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eastAsia="黑体"/>
          <w:b/>
          <w:bCs/>
          <w:sz w:val="84"/>
        </w:rPr>
      </w:pPr>
      <w:r>
        <w:rPr>
          <w:rFonts w:eastAsia="黑体"/>
          <w:b/>
          <w:bCs/>
          <w:sz w:val="84"/>
        </w:rPr>
      </w:r>
      <w:r/>
    </w:p>
    <w:p>
      <w:pPr>
        <w:pStyle w:val="1038"/>
        <w:ind w:firstLine="0"/>
        <w:jc w:val="center"/>
        <w:rPr>
          <w:rFonts w:eastAsia="黑体"/>
          <w:b/>
          <w:bCs/>
          <w:sz w:val="84"/>
        </w:rPr>
      </w:pPr>
      <w:r>
        <w:rPr>
          <w:rFonts w:hint="eastAsia" w:eastAsia="黑体"/>
          <w:b/>
          <w:bCs/>
          <w:sz w:val="84"/>
        </w:rPr>
        <w:t xml:space="preserve">招　标　文　件</w:t>
      </w:r>
      <w:r/>
    </w:p>
    <w:p>
      <w:pPr>
        <w:ind w:left="110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left="110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firstLine="1081"/>
        <w:spacing w:line="360" w:lineRule="auto"/>
        <w:tabs>
          <w:tab w:val="left" w:pos="3240" w:leader="none"/>
          <w:tab w:val="left" w:pos="3420" w:leader="none"/>
        </w:tabs>
        <w:rPr>
          <w:rFonts w:ascii="等线" w:hAnsi="等线" w:eastAsia="等线" w:cs="等线"/>
          <w:b/>
          <w:bCs w:val="0"/>
          <w:sz w:val="32"/>
          <w:szCs w:val="32"/>
          <w:u w:val="none"/>
          <w:lang w:bidi="ar"/>
        </w:rPr>
      </w:pPr>
      <w:r>
        <w:rPr>
          <w:rFonts w:hint="eastAsia" w:ascii="等线" w:hAnsi="等线" w:eastAsia="等线" w:cs="等线"/>
          <w:b/>
          <w:bCs w:val="0"/>
          <w:sz w:val="36"/>
          <w:szCs w:val="36"/>
          <w:u w:val="none"/>
          <w:lang w:bidi="ar"/>
        </w:rPr>
        <w:t xml:space="preserve">项目名称：</w:t>
      </w:r>
      <w:r>
        <w:rPr>
          <w:rFonts w:ascii="等线" w:hAnsi="等线" w:eastAsia="等线" w:cs="等线"/>
          <w:b/>
          <w:bCs w:val="0"/>
          <w:sz w:val="32"/>
          <w:szCs w:val="32"/>
          <w:u w:val="none"/>
          <w:lang w:bidi="ar"/>
        </w:rPr>
        <w:t xml:space="preserve">2026-2027年度常州市第一人民医院</w:t>
      </w:r>
      <w:r/>
    </w:p>
    <w:p>
      <w:pPr>
        <w:ind w:firstLine="1921"/>
        <w:spacing w:line="360" w:lineRule="auto"/>
        <w:tabs>
          <w:tab w:val="left" w:pos="3240" w:leader="none"/>
          <w:tab w:val="left" w:pos="3420" w:leader="none"/>
        </w:tabs>
        <w:rPr>
          <w:rFonts w:ascii="等线" w:hAnsi="等线" w:eastAsia="等线" w:cs="等线"/>
          <w:b/>
          <w:bCs w:val="0"/>
          <w:sz w:val="36"/>
          <w:szCs w:val="36"/>
          <w:u w:val="none"/>
          <w:lang w:bidi="ar"/>
        </w:rPr>
      </w:pPr>
      <w:r>
        <w:rPr>
          <w:rFonts w:ascii="等线" w:hAnsi="等线" w:eastAsia="等线" w:cs="等线"/>
          <w:b/>
          <w:bCs w:val="0"/>
          <w:sz w:val="32"/>
          <w:szCs w:val="32"/>
          <w:u w:val="none"/>
          <w:lang w:bidi="ar"/>
        </w:rPr>
        <w:t xml:space="preserve">等五家公立医院医疗责任险、财产险</w:t>
      </w:r>
      <w:r/>
    </w:p>
    <w:p>
      <w:pPr>
        <w:ind w:firstLine="1081"/>
        <w:spacing w:line="360" w:lineRule="auto"/>
        <w:tabs>
          <w:tab w:val="left" w:pos="3240" w:leader="none"/>
          <w:tab w:val="left" w:pos="3420" w:leader="none"/>
        </w:tabs>
        <w:rPr>
          <w:rFonts w:ascii="宋体" w:hAnsi="宋体"/>
          <w:b/>
          <w:bCs w:val="0"/>
          <w:sz w:val="32"/>
          <w:szCs w:val="32"/>
        </w:rPr>
      </w:pPr>
      <w:r>
        <w:rPr>
          <w:rFonts w:hint="eastAsia" w:ascii="等线" w:hAnsi="等线" w:eastAsia="等线" w:cs="等线"/>
          <w:b/>
          <w:bCs w:val="0"/>
          <w:sz w:val="36"/>
          <w:szCs w:val="36"/>
          <w:lang w:bidi="ar"/>
        </w:rPr>
        <w:t xml:space="preserve">项目编号：JSZC-320400-JZCG-G2026-0358</w:t>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rPr>
          <w:rFonts w:ascii="宋体" w:hAnsi="宋体"/>
        </w:rPr>
      </w:r>
      <w:r/>
    </w:p>
    <w:p>
      <w:pPr>
        <w:pStyle w:val="1038"/>
        <w:ind w:firstLine="0"/>
        <w:spacing w:before="0" w:after="0"/>
        <w:rPr>
          <w:rFonts w:ascii="宋体" w:hAnsi="宋体"/>
        </w:rPr>
      </w:pPr>
      <w:r/>
      <w:bookmarkStart w:id="238" w:name="_GoBack"/>
      <w:r/>
      <w:bookmarkEnd w:id="238"/>
      <w:r/>
      <w:r/>
    </w:p>
    <w:p>
      <w:pPr>
        <w:pStyle w:val="992"/>
        <w:spacing w:before="0" w:beforeAutospacing="0" w:after="0" w:afterAutospacing="0" w:line="360" w:lineRule="auto"/>
        <w:widowControl w:val="off"/>
      </w:pPr>
      <w:r/>
      <w:r/>
    </w:p>
    <w:p>
      <w:pPr>
        <w:pStyle w:val="992"/>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992"/>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2026年10月25日</w:t>
      </w:r>
      <w:r/>
    </w:p>
    <w:p>
      <w:pPr>
        <w:pStyle w:val="1038"/>
        <w:ind w:firstLine="0"/>
        <w:rPr>
          <w:u w:val="single"/>
        </w:rPr>
      </w:pPr>
      <w:r>
        <w:rPr>
          <w:rFonts w:hint="eastAsia"/>
        </w:rPr>
        <w:t xml:space="preserve">                        </w:t>
      </w:r>
      <w:r/>
    </w:p>
    <w:p>
      <w:pPr>
        <w:pStyle w:val="1038"/>
        <w:ind w:firstLine="0"/>
        <w:jc w:val="center"/>
      </w:pPr>
      <w:r/>
      <w:r/>
    </w:p>
    <w:p>
      <w:pPr>
        <w:jc w:val="center"/>
        <w:spacing w:line="480" w:lineRule="auto"/>
        <w:rPr>
          <w:rFonts w:ascii="黑体" w:hAnsi="Arial" w:eastAsia="黑体"/>
          <w:b/>
          <w:sz w:val="44"/>
        </w:rPr>
      </w:pPr>
      <w: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黑体" w:hAnsi="Arial" w:eastAsia="黑体"/>
          <w:b/>
          <w:sz w:val="44"/>
        </w:rPr>
        <w:t xml:space="preserve">总  目  录</w:t>
      </w:r>
      <w:r/>
    </w:p>
    <w:p>
      <w:pPr>
        <w:pStyle w:val="983"/>
        <w:rPr>
          <w:rFonts w:ascii="等线" w:hAnsi="等线" w:eastAsia="等线"/>
          <w:caps w:val="0"/>
          <w:sz w:val="21"/>
          <w:szCs w:val="22"/>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fldChar w:fldCharType="begin"/>
      </w:r>
      <w:r>
        <w:instrText xml:space="preserve"> HYPERLINK \l "_Toc173761689" </w:instrText>
      </w:r>
      <w:r>
        <w:fldChar w:fldCharType="separate"/>
      </w:r>
      <w:r>
        <w:rPr>
          <w:rStyle w:val="998"/>
          <w:rFonts w:ascii="黑体" w:eastAsia="黑体"/>
        </w:rPr>
        <w:t xml:space="preserve">第一章  投标邀请</w:t>
      </w:r>
      <w:r>
        <w:tab/>
      </w:r>
      <w:r>
        <w:fldChar w:fldCharType="begin"/>
      </w:r>
      <w:r>
        <w:instrText xml:space="preserve"> PAGEREF _Toc173761689 \h </w:instrText>
      </w:r>
      <w:r>
        <w:fldChar w:fldCharType="separate"/>
      </w:r>
      <w:r>
        <w:t xml:space="preserve">1</w:t>
      </w:r>
      <w:r>
        <w:fldChar w:fldCharType="end"/>
      </w:r>
      <w:r>
        <w:fldChar w:fldCharType="end"/>
      </w:r>
      <w:r/>
    </w:p>
    <w:p>
      <w:pPr>
        <w:pStyle w:val="983"/>
        <w:rPr>
          <w:rFonts w:ascii="等线" w:hAnsi="等线" w:eastAsia="等线"/>
          <w:caps w:val="0"/>
          <w:sz w:val="21"/>
          <w:szCs w:val="22"/>
        </w:rPr>
      </w:pPr>
      <w:r>
        <w:fldChar w:fldCharType="begin"/>
      </w:r>
      <w:r>
        <w:instrText xml:space="preserve"> HYPERLINK \l "_Toc173761690" </w:instrText>
      </w:r>
      <w:r>
        <w:fldChar w:fldCharType="separate"/>
      </w:r>
      <w:r>
        <w:rPr>
          <w:rStyle w:val="998"/>
          <w:rFonts w:ascii="黑体" w:eastAsia="黑体"/>
          <w:bCs/>
        </w:rPr>
        <w:t xml:space="preserve">第二章  投标人须知</w:t>
      </w:r>
      <w:r>
        <w:tab/>
      </w:r>
      <w:r>
        <w:fldChar w:fldCharType="begin"/>
      </w:r>
      <w:r>
        <w:instrText xml:space="preserve"> PAGEREF _Toc173761690 \h </w:instrText>
      </w:r>
      <w:r>
        <w:fldChar w:fldCharType="separate"/>
      </w:r>
      <w:r>
        <w:t xml:space="preserve">5</w:t>
      </w:r>
      <w:r>
        <w:fldChar w:fldCharType="end"/>
      </w:r>
      <w:r>
        <w:fldChar w:fldCharType="end"/>
      </w:r>
      <w:r/>
    </w:p>
    <w:p>
      <w:pPr>
        <w:pStyle w:val="983"/>
        <w:rPr>
          <w:rFonts w:ascii="等线" w:hAnsi="等线" w:eastAsia="等线"/>
          <w:caps w:val="0"/>
          <w:sz w:val="21"/>
          <w:szCs w:val="22"/>
        </w:rPr>
      </w:pPr>
      <w:r>
        <w:fldChar w:fldCharType="begin"/>
      </w:r>
      <w:r>
        <w:instrText xml:space="preserve"> HYPERLINK \l "_Toc173761691" </w:instrText>
      </w:r>
      <w:r>
        <w:fldChar w:fldCharType="separate"/>
      </w:r>
      <w:r>
        <w:rPr>
          <w:rStyle w:val="998"/>
          <w:rFonts w:ascii="黑体" w:eastAsia="黑体"/>
          <w:bCs/>
        </w:rPr>
        <w:t xml:space="preserve">第三章  合同文本</w:t>
      </w:r>
      <w:r>
        <w:tab/>
      </w:r>
      <w:r>
        <w:fldChar w:fldCharType="begin"/>
      </w:r>
      <w:r>
        <w:instrText xml:space="preserve"> PAGEREF _Toc173761691 \h </w:instrText>
      </w:r>
      <w:r>
        <w:fldChar w:fldCharType="separate"/>
      </w:r>
      <w:r>
        <w:t xml:space="preserve">20</w:t>
      </w:r>
      <w:r>
        <w:fldChar w:fldCharType="end"/>
      </w:r>
      <w:r>
        <w:fldChar w:fldCharType="end"/>
      </w:r>
      <w:r/>
    </w:p>
    <w:p>
      <w:pPr>
        <w:pStyle w:val="983"/>
        <w:rPr>
          <w:rFonts w:ascii="等线" w:hAnsi="等线" w:eastAsia="等线"/>
          <w:caps w:val="0"/>
          <w:sz w:val="21"/>
          <w:szCs w:val="22"/>
        </w:rPr>
      </w:pPr>
      <w:r>
        <w:fldChar w:fldCharType="begin"/>
      </w:r>
      <w:r>
        <w:instrText xml:space="preserve"> HYPERLINK \l "_Toc173761692" </w:instrText>
      </w:r>
      <w:r>
        <w:fldChar w:fldCharType="separate"/>
      </w:r>
      <w:r>
        <w:rPr>
          <w:rStyle w:val="998"/>
          <w:rFonts w:ascii="黑体" w:eastAsia="黑体"/>
        </w:rPr>
        <w:t xml:space="preserve">第四章  采购需求</w:t>
      </w:r>
      <w:r>
        <w:tab/>
      </w:r>
      <w:r>
        <w:fldChar w:fldCharType="begin"/>
      </w:r>
      <w:r>
        <w:instrText xml:space="preserve"> PAGEREF _Toc173761692 \h </w:instrText>
      </w:r>
      <w:r>
        <w:fldChar w:fldCharType="separate"/>
      </w:r>
      <w:r>
        <w:t xml:space="preserve">24</w:t>
      </w:r>
      <w:r>
        <w:fldChar w:fldCharType="end"/>
      </w:r>
      <w:r>
        <w:fldChar w:fldCharType="end"/>
      </w:r>
      <w:r/>
    </w:p>
    <w:p>
      <w:pPr>
        <w:pStyle w:val="983"/>
        <w:rPr>
          <w:rFonts w:ascii="等线" w:hAnsi="等线" w:eastAsia="等线"/>
          <w:caps w:val="0"/>
          <w:sz w:val="21"/>
          <w:szCs w:val="22"/>
        </w:rPr>
      </w:pPr>
      <w:r>
        <w:fldChar w:fldCharType="begin"/>
      </w:r>
      <w:r>
        <w:instrText xml:space="preserve"> HYPERLINK \l "_Toc173761693" </w:instrText>
      </w:r>
      <w:r>
        <w:fldChar w:fldCharType="separate"/>
      </w:r>
      <w:r>
        <w:rPr>
          <w:rStyle w:val="998"/>
          <w:rFonts w:ascii="黑体" w:eastAsia="黑体"/>
          <w:bCs/>
        </w:rPr>
        <w:t xml:space="preserve">第五章  评标方法与评标标准</w:t>
      </w:r>
      <w:r>
        <w:tab/>
      </w:r>
      <w:r>
        <w:fldChar w:fldCharType="begin"/>
      </w:r>
      <w:r>
        <w:instrText xml:space="preserve"> PAGEREF _Toc173761693 \h </w:instrText>
      </w:r>
      <w:r>
        <w:fldChar w:fldCharType="separate"/>
      </w:r>
      <w:r>
        <w:t xml:space="preserve">40</w:t>
      </w:r>
      <w:r>
        <w:fldChar w:fldCharType="end"/>
      </w:r>
      <w:r>
        <w:fldChar w:fldCharType="end"/>
      </w:r>
      <w:r/>
    </w:p>
    <w:p>
      <w:pPr>
        <w:pStyle w:val="983"/>
        <w:rPr>
          <w:rFonts w:ascii="等线" w:hAnsi="等线" w:eastAsia="等线"/>
          <w:caps w:val="0"/>
          <w:sz w:val="21"/>
          <w:szCs w:val="22"/>
        </w:rPr>
      </w:pPr>
      <w:r>
        <w:fldChar w:fldCharType="begin"/>
      </w:r>
      <w:r>
        <w:instrText xml:space="preserve"> HYPERLINK \l "_Toc173761694" </w:instrText>
      </w:r>
      <w:r>
        <w:fldChar w:fldCharType="separate"/>
      </w:r>
      <w:r>
        <w:rPr>
          <w:rStyle w:val="998"/>
          <w:rFonts w:ascii="黑体" w:eastAsia="黑体"/>
          <w:bCs/>
        </w:rPr>
        <w:t xml:space="preserve">第六章  投标文件格式</w:t>
      </w:r>
      <w:r>
        <w:tab/>
      </w:r>
      <w:r>
        <w:fldChar w:fldCharType="begin"/>
      </w:r>
      <w:r>
        <w:instrText xml:space="preserve"> PAGEREF _Toc173761694 \h </w:instrText>
      </w:r>
      <w:r>
        <w:fldChar w:fldCharType="separate"/>
      </w:r>
      <w:r>
        <w:t xml:space="preserve">4</w:t>
      </w:r>
      <w:r>
        <w:rPr>
          <w:rFonts w:hint="eastAsia"/>
          <w:lang w:val="en-US" w:eastAsia="zh-CN"/>
        </w:rPr>
        <w:t xml:space="preserve">5</w:t>
      </w:r>
      <w:r>
        <w:fldChar w:fldCharType="end"/>
      </w:r>
      <w:r>
        <w:fldChar w:fldCharType="end"/>
      </w:r>
      <w:r/>
    </w:p>
    <w:p>
      <w:pPr>
        <w:jc w:val="center"/>
        <w:spacing w:line="480" w:lineRule="auto"/>
        <w:outlineLvl w:val="0"/>
      </w:pPr>
      <w:r>
        <w:rPr>
          <w:rFonts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51"/>
        <w:rPr>
          <w:rFonts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黑体" w:eastAsia="黑体"/>
          <w:sz w:val="44"/>
          <w:szCs w:val="44"/>
        </w:rPr>
      </w:r>
      <w:r/>
    </w:p>
    <w:p>
      <w:pPr>
        <w:pStyle w:val="951"/>
        <w:rPr>
          <w:rFonts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ascii="等线" w:hAnsi="等线" w:eastAsia="等线"/>
          <w:sz w:val="24"/>
          <w:szCs w:val="24"/>
        </w:rPr>
      </w:pPr>
      <w:r/>
      <w:bookmarkStart w:id="7" w:name="_Toc35393790"/>
      <w:r/>
      <w:bookmarkStart w:id="8" w:name="_Toc38985263"/>
      <w:r/>
      <w:bookmarkStart w:id="9" w:name="_Toc28359002"/>
      <w:r/>
      <w:bookmarkStart w:id="10" w:name="_Toc28359079"/>
      <w:r/>
      <w:bookmarkStart w:id="11" w:name="_Toc35393621"/>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常州市第一人民医院等五家公立医院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2026-2027年度常州市第一人民医院等五家公立医院医疗责任险、财产险</w:t>
      </w:r>
      <w:r>
        <w:rPr>
          <w:rFonts w:hint="eastAsia" w:ascii="等线" w:hAnsi="等线" w:eastAsia="等线"/>
          <w:sz w:val="24"/>
          <w:szCs w:val="24"/>
        </w:rPr>
        <w:t xml:space="preserve"> (项目编号：</w:t>
      </w:r>
      <w:r>
        <w:rPr>
          <w:rFonts w:hint="eastAsia" w:ascii="等线" w:hAnsi="等线" w:eastAsia="等线"/>
          <w:sz w:val="24"/>
          <w:szCs w:val="24"/>
          <w:u w:val="single"/>
        </w:rPr>
        <w:t xml:space="preserve">  JSZC-320400-JZCG-G2026-0358</w:t>
      </w:r>
      <w:r>
        <w:rPr>
          <w:rFonts w:hint="eastAsia" w:ascii="等线" w:hAnsi="等线" w:eastAsia="等线"/>
          <w:sz w:val="24"/>
          <w:szCs w:val="24"/>
        </w:rPr>
        <w:t xml:space="preserve">)项目进行公开招标采购，欢迎符合条件的供应商投标。</w:t>
      </w:r>
      <w:r/>
    </w:p>
    <w:p>
      <w:pPr>
        <w:pStyle w:val="953"/>
        <w:ind w:firstLine="498"/>
        <w:spacing w:before="156" w:after="156" w:line="360" w:lineRule="auto"/>
      </w:pPr>
      <w:r>
        <w:rPr>
          <w:rFonts w:hint="eastAsia"/>
        </w:rPr>
        <w:t xml:space="preserve">一、项目基本情况</w:t>
      </w:r>
      <w:bookmarkEnd w:id="7"/>
      <w:r/>
      <w:bookmarkEnd w:id="8"/>
      <w:r/>
      <w:bookmarkEnd w:id="9"/>
      <w:r/>
      <w:bookmarkEnd w:id="10"/>
      <w:r/>
      <w:bookmarkEnd w:id="11"/>
      <w:r/>
      <w:bookmarkEnd w:id="12"/>
      <w:r/>
      <w:r/>
    </w:p>
    <w:p>
      <w:pPr>
        <w:ind w:firstLine="480"/>
        <w:rPr>
          <w:rFonts w:ascii="等线" w:hAnsi="等线" w:eastAsia="等线"/>
          <w:sz w:val="24"/>
          <w:szCs w:val="24"/>
        </w:rPr>
      </w:pPr>
      <w:r/>
      <w:bookmarkStart w:id="13" w:name="_Toc28359080"/>
      <w:r/>
      <w:bookmarkStart w:id="14" w:name="_Toc35393791"/>
      <w:r/>
      <w:bookmarkStart w:id="15" w:name="_Toc38985264"/>
      <w:r/>
      <w:bookmarkStart w:id="16" w:name="_Toc35393622"/>
      <w:r/>
      <w:bookmarkStart w:id="17" w:name="_Toc28359003"/>
      <w:r>
        <w:rPr>
          <w:rFonts w:hint="eastAsia" w:ascii="等线" w:hAnsi="等线" w:eastAsia="等线"/>
          <w:sz w:val="24"/>
          <w:szCs w:val="24"/>
        </w:rPr>
        <w:t xml:space="preserve">1.项目编号：JSZC-320400-JZCG-G2026-0358</w:t>
      </w:r>
      <w:r/>
    </w:p>
    <w:p>
      <w:pPr>
        <w:ind w:firstLine="480"/>
        <w:rPr>
          <w:rFonts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2026-2027年度常州市第一人民医院等五家公立医院医疗责任险、财产险</w:t>
      </w:r>
      <w:r/>
    </w:p>
    <w:p>
      <w:pPr>
        <w:ind w:firstLine="480"/>
        <w:rPr>
          <w:rFonts w:ascii="等线" w:hAnsi="等线" w:eastAsia="等线"/>
          <w:sz w:val="24"/>
          <w:szCs w:val="24"/>
        </w:rPr>
      </w:pPr>
      <w:r>
        <w:rPr>
          <w:rFonts w:hint="eastAsia" w:ascii="等线" w:hAnsi="等线" w:eastAsia="等线"/>
          <w:sz w:val="24"/>
          <w:szCs w:val="24"/>
        </w:rPr>
        <w:t xml:space="preserve">3.预算金额：1,887.12万元</w:t>
      </w:r>
      <w:r/>
    </w:p>
    <w:p>
      <w:pPr>
        <w:ind w:firstLine="480"/>
        <w:rPr>
          <w:rFonts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1281.06万元/年。各医疗机构的最高限价见采购需求；各医疗机构的医疗责任险的最高限价见分项报价表。</w:t>
      </w:r>
      <w:r/>
    </w:p>
    <w:p>
      <w:pPr>
        <w:ind w:firstLine="480"/>
        <w:rPr>
          <w:rFonts w:ascii="等线" w:hAnsi="等线" w:eastAsia="等线"/>
          <w:sz w:val="24"/>
          <w:szCs w:val="24"/>
        </w:rPr>
      </w:pPr>
      <w:r>
        <w:rPr>
          <w:rFonts w:hint="eastAsia" w:ascii="等线" w:hAnsi="等线" w:eastAsia="等线"/>
          <w:sz w:val="24"/>
          <w:szCs w:val="24"/>
        </w:rPr>
        <w:t xml:space="preserve">5.采购需求（简介）：</w:t>
      </w:r>
      <w:r>
        <w:rPr>
          <w:rFonts w:ascii="等线" w:hAnsi="等线" w:eastAsia="等线"/>
          <w:sz w:val="24"/>
          <w:szCs w:val="24"/>
        </w:rPr>
        <w:t xml:space="preserve">本项目对2026-2027年度常州市第一人民医院、常州市中医医院、常州市妇幼保健院、常州市儿童医院、常州市第七人民医院五家公立医院医疗责任保险（附加医疗机构场所责任险、附加医务人员遭受伤害责任保险）、财产保险（包括财产综合险、机器损坏险）项目进行公开招标。</w:t>
      </w:r>
      <w:r/>
    </w:p>
    <w:tbl>
      <w:tblPr>
        <w:tblStyle w:val="961"/>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2093"/>
        <w:gridCol w:w="3983"/>
        <w:gridCol w:w="3166"/>
      </w:tblGrid>
      <w:tr>
        <w:trPr>
          <w:trHeight w:val="84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b/>
                <w:bCs/>
                <w:color w:val="000000"/>
                <w:sz w:val="24"/>
              </w:rPr>
            </w:pPr>
            <w:r>
              <w:rPr>
                <w:b/>
                <w:bCs/>
                <w:color w:val="000000"/>
                <w:sz w:val="24"/>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center"/>
              <w:widowControl/>
              <w:rPr>
                <w:b/>
                <w:bCs/>
                <w:color w:val="000000"/>
                <w:sz w:val="24"/>
              </w:rPr>
            </w:pPr>
            <w:r>
              <w:rPr>
                <w:b/>
                <w:bCs/>
                <w:color w:val="000000"/>
                <w:sz w:val="24"/>
                <w:lang w:bidi="ar"/>
              </w:rPr>
              <w:t xml:space="preserve">医疗机构名称</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b/>
                <w:bCs/>
                <w:color w:val="000000"/>
                <w:sz w:val="24"/>
              </w:rPr>
            </w:pPr>
            <w:r>
              <w:rPr>
                <w:b/>
                <w:bCs/>
                <w:color w:val="000000"/>
                <w:sz w:val="24"/>
                <w:lang w:bidi="ar"/>
              </w:rPr>
              <w:t xml:space="preserve">预算/最高限价（万元/年）</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jc w:val="left"/>
              <w:widowControl/>
              <w:rPr>
                <w:color w:val="000000"/>
                <w:sz w:val="24"/>
              </w:rPr>
            </w:pPr>
            <w:r>
              <w:rPr>
                <w:color w:val="000000"/>
                <w:sz w:val="24"/>
                <w:lang w:bidi="ar"/>
              </w:rPr>
              <w:t xml:space="preserve">2026-2027年度常州市第一人民医院等五家公立医院医疗责任险、财产险项目</w:t>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常州市第一人民医院</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675</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jc w:val="lef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常州市中医医院</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215</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jc w:val="lef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常州市妇幼保健院</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195</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jc w:val="lef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常州市儿童医院</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86.06</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jc w:val="lef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常州市第七人民医院</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110</w:t>
            </w:r>
            <w:r/>
          </w:p>
        </w:tc>
      </w:tr>
      <w:tr>
        <w:trPr>
          <w:trHeight w:val="700"/>
        </w:trPr>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jc w:val="lef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3983" w:type="dxa"/>
            <w:vAlign w:val="center"/>
            <w:textDirection w:val="lrTb"/>
            <w:noWrap w:val="false"/>
          </w:tcPr>
          <w:p>
            <w:pPr>
              <w:jc w:val="left"/>
              <w:widowControl/>
              <w:rPr>
                <w:color w:val="000000"/>
                <w:sz w:val="24"/>
              </w:rPr>
            </w:pPr>
            <w:r>
              <w:rPr>
                <w:color w:val="000000"/>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widowControl/>
              <w:rPr>
                <w:color w:val="000000"/>
                <w:sz w:val="24"/>
              </w:rPr>
            </w:pPr>
            <w:r>
              <w:rPr>
                <w:color w:val="000000"/>
                <w:sz w:val="24"/>
                <w:lang w:bidi="ar"/>
              </w:rPr>
              <w:t xml:space="preserve">1281.06</w:t>
            </w:r>
            <w:r/>
          </w:p>
        </w:tc>
      </w:tr>
    </w:tbl>
    <w:p>
      <w:pPr>
        <w:ind w:firstLine="480"/>
        <w:rPr>
          <w:rFonts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服务期两年，合同一年一签。年度合同到期后，经采购人考核合格后方可续签下一年合同，最多续签壹次。</w:t>
      </w:r>
      <w:r/>
    </w:p>
    <w:p>
      <w:pPr>
        <w:pStyle w:val="95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ascii="等线" w:hAnsi="等线" w:eastAsia="等线"/>
          <w:sz w:val="24"/>
          <w:szCs w:val="24"/>
        </w:rPr>
      </w:pPr>
      <w:r/>
      <w:bookmarkStart w:id="18" w:name="_Toc38985265"/>
      <w:r/>
      <w:bookmarkStart w:id="19" w:name="_Toc35393623"/>
      <w:r/>
      <w:bookmarkStart w:id="20" w:name="_Toc35393792"/>
      <w:r/>
      <w:bookmarkStart w:id="21" w:name="_Toc28359081"/>
      <w:r/>
      <w:bookmarkStart w:id="22" w:name="_Toc28359004"/>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ascii="等线" w:hAnsi="等线" w:eastAsia="等线"/>
          <w:sz w:val="24"/>
          <w:szCs w:val="24"/>
        </w:rPr>
      </w:pPr>
      <w:r>
        <w:rPr>
          <w:rFonts w:hint="eastAsia" w:ascii="等线" w:hAnsi="等线" w:eastAsia="等线"/>
          <w:sz w:val="24"/>
          <w:szCs w:val="24"/>
        </w:rPr>
        <w:t xml:space="preserve">（二）本项目的特定资格要求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经国家金融监督管理总局（原中国银行保险监督管理委员会）批准的具有承保资质的财产保险公司，需提供有效保险业务经营许可证，</w:t>
      </w:r>
      <w:r>
        <w:rPr>
          <w:rFonts w:ascii="DengXian" w:hAnsi="DengXian" w:eastAsia="DengXian" w:cs="DengXian"/>
          <w:color w:val="000000"/>
          <w:sz w:val="24"/>
        </w:rPr>
        <w:t xml:space="preserve">许可证类型包括但不限于《中华人民共和国</w:t>
      </w:r>
      <w:r>
        <w:rPr>
          <w:rFonts w:ascii="DengXian" w:hAnsi="DengXian" w:eastAsia="DengXian" w:cs="DengXian"/>
          <w:color w:val="000000"/>
          <w:sz w:val="24"/>
        </w:rPr>
        <w:t xml:space="preserve">金融许可证》《保险许可证》《保险公司法人许可证》《经营保险业务许可</w:t>
      </w:r>
      <w:r>
        <w:rPr>
          <w:rFonts w:ascii="DengXian" w:hAnsi="DengXian" w:eastAsia="DengXian" w:cs="DengXian"/>
          <w:color w:val="000000"/>
          <w:sz w:val="24"/>
        </w:rPr>
        <w:t xml:space="preserve">证》</w:t>
      </w:r>
      <w:r>
        <w:rPr>
          <w:rFonts w:ascii="DengXian" w:hAnsi="DengXian" w:eastAsia="DengXian" w:cs="DengXian"/>
          <w:color w:val="000000"/>
          <w:sz w:val="24"/>
        </w:rPr>
        <w:t xml:space="preserve">；</w:t>
      </w:r>
      <w:r>
        <w:rPr>
          <w:rFonts w:ascii="DengXian" w:hAnsi="DengXian" w:eastAsia="DengXian" w:cs="DengXian"/>
          <w:color w:val="000000"/>
          <w:sz w:val="24"/>
        </w:rPr>
        <w:t xml:space="preserve">业务范围包含：财产损失保险、责任保险及意外伤害保险。如分支机构参与投标的，需提供总公司项目授权书并承诺由总公司承担民事责任（格式自拟）。同一家总公司只能有一家分支机构参与投标，且总公司不能与下属分支机构同时参与投标。</w:t>
      </w:r>
      <w:r>
        <w:rPr>
          <w:sz w:val="21"/>
        </w:rPr>
      </w:r>
      <w:r/>
    </w:p>
    <w:p>
      <w:pPr>
        <w:pStyle w:val="95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等线" w:hAnsi="等线" w:eastAsia="等线" w:cs="宋体"/>
          <w:sz w:val="24"/>
          <w:szCs w:val="24"/>
        </w:rPr>
      </w:pPr>
      <w:r/>
      <w:bookmarkStart w:id="23" w:name="_Toc28359005"/>
      <w:r/>
      <w:bookmarkStart w:id="24" w:name="_Toc28359082"/>
      <w:r/>
      <w:bookmarkStart w:id="25" w:name="_Toc35393793"/>
      <w:r/>
      <w:bookmarkStart w:id="26" w:name="_Toc38985266"/>
      <w:r/>
      <w:bookmarkStart w:id="27" w:name="_Toc35393624"/>
      <w:r/>
      <w:bookmarkStart w:id="28" w:name="_Toc35393625"/>
      <w:r/>
      <w:bookmarkStart w:id="29" w:name="_Toc28359084"/>
      <w:r/>
      <w:bookmarkStart w:id="30" w:name="_Toc28359007"/>
      <w:r/>
      <w:bookmarkStart w:id="31" w:name="_Toc38985267"/>
      <w:r/>
      <w:bookmarkStart w:id="32" w:name="_Toc35393794"/>
      <w:r>
        <w:rPr>
          <w:rFonts w:hint="eastAsia" w:ascii="等线" w:hAnsi="等线" w:eastAsia="等线" w:cs="宋体"/>
          <w:sz w:val="24"/>
          <w:szCs w:val="24"/>
        </w:rPr>
        <w:t xml:space="preserve">1.时间：详见招标文件公告。</w:t>
      </w:r>
      <w:r/>
    </w:p>
    <w:p>
      <w:pPr>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bookmarkEnd w:id="23"/>
      <w:r/>
      <w:bookmarkEnd w:id="24"/>
      <w:r/>
      <w:bookmarkEnd w:id="25"/>
      <w:r/>
      <w:bookmarkEnd w:id="26"/>
      <w:r/>
      <w:bookmarkEnd w:id="27"/>
      <w:r/>
      <w:r/>
    </w:p>
    <w:p>
      <w:pPr>
        <w:pStyle w:val="953"/>
        <w:ind w:firstLine="498"/>
        <w:spacing w:before="156" w:after="156" w:line="360" w:lineRule="auto"/>
      </w:pPr>
      <w:r>
        <w:rPr>
          <w:rFonts w:hint="eastAsia"/>
        </w:rPr>
        <w:t xml:space="preserve">四、投标文件提交</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953"/>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p>
    <w:p>
      <w:pPr>
        <w:pStyle w:val="953"/>
        <w:ind w:firstLine="498"/>
        <w:spacing w:before="156" w:after="156" w:line="360" w:lineRule="auto"/>
      </w:pPr>
      <w:r>
        <w:rPr>
          <w:rFonts w:hint="eastAsia"/>
        </w:rPr>
        <w:t xml:space="preserve">六、其他补充事宜</w:t>
      </w:r>
      <w:bookmarkEnd w:id="33"/>
      <w:r/>
      <w:bookmarkEnd w:id="34"/>
      <w:r/>
      <w:bookmarkEnd w:id="35"/>
      <w:r/>
      <w:r/>
    </w:p>
    <w:p>
      <w:pPr>
        <w:ind w:firstLine="480"/>
        <w:rPr>
          <w:rFonts w:ascii="等线" w:hAnsi="等线" w:eastAsia="等线" w:cs="宋体"/>
          <w:sz w:val="24"/>
          <w:szCs w:val="24"/>
        </w:rPr>
      </w:pPr>
      <w:r/>
      <w:bookmarkStart w:id="36" w:name="_Toc35393627"/>
      <w:r/>
      <w:bookmarkStart w:id="37" w:name="_Toc35393796"/>
      <w:r/>
      <w:bookmarkStart w:id="38" w:name="_Toc28359008"/>
      <w:r/>
      <w:bookmarkStart w:id="39" w:name="_Toc28359085"/>
      <w:r/>
      <w:bookmarkStart w:id="40" w:name="_Toc38985269"/>
      <w:r>
        <w:rPr>
          <w:rFonts w:hint="eastAsia" w:ascii="等线" w:hAnsi="等线" w:eastAsia="等线" w:cs="宋体"/>
          <w:sz w:val="24"/>
          <w:szCs w:val="24"/>
        </w:rPr>
        <w:t xml:space="preserve">无</w:t>
      </w:r>
      <w:r/>
    </w:p>
    <w:p>
      <w:pPr>
        <w:pStyle w:val="953"/>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ind w:firstLine="720"/>
        <w:spacing w:line="360" w:lineRule="auto"/>
        <w:rPr>
          <w:rFonts w:ascii="等线" w:hAnsi="等线" w:eastAsia="等线" w:cs="宋体"/>
          <w:sz w:val="24"/>
          <w:szCs w:val="24"/>
        </w:rPr>
      </w:pPr>
      <w:r/>
      <w:bookmarkStart w:id="41" w:name="_Toc28359086"/>
      <w:r/>
      <w:bookmarkStart w:id="42" w:name="_Toc28359010"/>
      <w:r/>
      <w:bookmarkStart w:id="43" w:name="_Toc28359087"/>
      <w:r/>
      <w:bookmarkStart w:id="44" w:name="_Toc28359009"/>
      <w:r>
        <w:rPr>
          <w:rFonts w:hint="eastAsia" w:ascii="等线" w:hAnsi="等线" w:eastAsia="等线" w:cs="宋体"/>
          <w:sz w:val="24"/>
          <w:szCs w:val="24"/>
        </w:rPr>
        <w:t xml:space="preserve">1.采购人信息</w:t>
      </w:r>
      <w:r/>
    </w:p>
    <w:p>
      <w:pPr>
        <w:ind w:firstLine="720"/>
        <w:spacing w:line="360" w:lineRule="auto"/>
        <w:rPr>
          <w:rFonts w:ascii="等线" w:hAnsi="等线" w:eastAsia="等线" w:cs="宋体"/>
          <w:sz w:val="24"/>
          <w:szCs w:val="24"/>
          <w:u w:val="single"/>
        </w:rPr>
      </w:pPr>
      <w:r>
        <w:rPr>
          <w:rFonts w:hint="eastAsia" w:ascii="等线" w:hAnsi="等线" w:eastAsia="等线" w:cs="宋体"/>
          <w:sz w:val="24"/>
          <w:szCs w:val="24"/>
        </w:rPr>
        <w:t xml:space="preserve">名 称：</w:t>
      </w:r>
      <w:r>
        <w:rPr>
          <w:rFonts w:hint="eastAsia" w:ascii="等线" w:hAnsi="等线" w:eastAsia="等线" w:cs="宋体"/>
          <w:sz w:val="24"/>
          <w:szCs w:val="24"/>
          <w:u w:val="single"/>
        </w:rPr>
        <w:t xml:space="preserve">常州市第一人民医院、常州市中医医院、常州市妇幼保健院、常州市儿童医院、常州市第七人民医院。</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w:t>
      </w:r>
      <w:r>
        <w:rPr>
          <w:rFonts w:hint="eastAsia" w:ascii="等线" w:hAnsi="等线" w:eastAsia="等线" w:cs="宋体"/>
          <w:sz w:val="24"/>
          <w:szCs w:val="24"/>
          <w:u w:val="single"/>
        </w:rPr>
        <w:t xml:space="preserve">常州市局前街185号，常州市和平北路25号，常州市丁香路16号，常州市中吴大道958号，常州市延陵东路288号。</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w:t>
      </w:r>
      <w:r>
        <w:rPr>
          <w:rFonts w:hint="eastAsia" w:ascii="等线" w:hAnsi="等线" w:eastAsia="等线" w:cs="宋体"/>
          <w:sz w:val="24"/>
          <w:szCs w:val="24"/>
          <w:u w:val="single"/>
        </w:rPr>
        <w:t xml:space="preserve">毛主任，陈主任，李主任，孟主任，丁主任。</w:t>
      </w:r>
      <w:r/>
    </w:p>
    <w:p>
      <w:pPr>
        <w:ind w:firstLine="720"/>
        <w:spacing w:line="360" w:lineRule="auto"/>
        <w:rPr>
          <w:rFonts w:ascii="等线" w:hAnsi="等线" w:eastAsia="等线" w:cs="宋体"/>
          <w:sz w:val="24"/>
          <w:szCs w:val="24"/>
          <w:u w:val="single"/>
        </w:rPr>
      </w:pPr>
      <w:r>
        <w:rPr>
          <w:rFonts w:hint="eastAsia" w:ascii="等线" w:hAnsi="等线" w:eastAsia="等线" w:cs="宋体"/>
          <w:sz w:val="24"/>
          <w:szCs w:val="24"/>
        </w:rPr>
        <w:t xml:space="preserve">联系方式：</w:t>
      </w:r>
      <w:r>
        <w:rPr>
          <w:rFonts w:hint="eastAsia" w:ascii="等线" w:hAnsi="等线" w:eastAsia="等线" w:cs="宋体"/>
          <w:sz w:val="24"/>
          <w:szCs w:val="24"/>
          <w:u w:val="single"/>
        </w:rPr>
        <w:t xml:space="preserve">0519-68870996，0519-89896697，0519-88581983，0519-69808038，0519-69800512。</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95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3. 本次招标不收取投标保证金。</w:t>
      </w:r>
      <w:r/>
      <w:r>
        <w:rPr>
          <w:rFonts w:ascii="宋体" w:hAnsi="宋体"/>
          <w:sz w:val="24"/>
        </w:rPr>
      </w:r>
      <w:r/>
      <w:r>
        <w:rPr>
          <w:rFonts w:ascii="等线" w:hAnsi="等线" w:eastAsia="等线"/>
          <w:bCs/>
          <w:sz w:val="24"/>
          <w:szCs w:val="24"/>
        </w:rPr>
      </w:r>
    </w:p>
    <w:p>
      <w:pPr>
        <w:ind w:right="840"/>
        <w:jc w:val="center"/>
        <w:rPr>
          <w:rFonts w:hint="eastAsia" w:ascii="黑体" w:hAnsi="Times New Roman" w:eastAsia="黑体" w:cs="Times New Roman"/>
          <w:sz w:val="44"/>
          <w:szCs w:val="44"/>
          <w:lang w:val="en-US" w:eastAsia="zh-CN" w:bidi="ar-SA"/>
        </w:rPr>
      </w:pPr>
      <w:r>
        <w:rPr>
          <w:rFonts w:ascii="宋体" w:hAnsi="宋体"/>
          <w:sz w:val="24"/>
          <w:szCs w:val="24"/>
        </w:rPr>
        <w:br w:type="page" w:clear="all"/>
      </w:r>
      <w:bookmarkStart w:id="45" w:name="_Toc120614211"/>
      <w:r/>
      <w:bookmarkStart w:id="46" w:name="_Toc173761690"/>
      <w:r>
        <w:rPr>
          <w:rFonts w:hint="eastAsia" w:ascii="黑体" w:hAnsi="Times New Roman" w:eastAsia="黑体" w:cs="Times New Roman"/>
          <w:sz w:val="44"/>
          <w:szCs w:val="44"/>
          <w:lang w:val="en-US" w:eastAsia="zh-CN" w:bidi="ar-SA"/>
        </w:rPr>
        <w:t xml:space="preserve">第二章  </w:t>
      </w:r>
      <w:bookmarkEnd w:id="1"/>
      <w:r/>
      <w:bookmarkEnd w:id="2"/>
      <w:r/>
      <w:bookmarkEnd w:id="3"/>
      <w:r/>
      <w:bookmarkEnd w:id="4"/>
      <w:r/>
      <w:bookmarkEnd w:id="5"/>
      <w:r/>
      <w:bookmarkEnd w:id="45"/>
      <w:r/>
      <w:bookmarkStart w:id="47" w:name="_Toc513029202"/>
      <w:r/>
      <w:bookmarkStart w:id="48" w:name="_Toc20823274"/>
      <w:r/>
      <w:bookmarkStart w:id="49" w:name="_Toc16938518"/>
      <w:r/>
      <w:bookmarkStart w:id="50" w:name="_Toc120614213"/>
      <w:r>
        <w:rPr>
          <w:rFonts w:hint="eastAsia" w:ascii="黑体" w:hAnsi="Times New Roman" w:eastAsia="黑体" w:cs="Times New Roman"/>
          <w:sz w:val="44"/>
          <w:szCs w:val="44"/>
          <w:lang w:val="en-US" w:eastAsia="zh-CN" w:bidi="ar-SA"/>
        </w:rPr>
        <w:t xml:space="preserve">投标人须知</w:t>
      </w:r>
      <w:bookmarkEnd w:id="46"/>
      <w:r/>
      <w:bookmarkEnd w:id="47"/>
      <w:r/>
      <w:bookmarkEnd w:id="48"/>
      <w:r/>
      <w:bookmarkEnd w:id="49"/>
      <w:r/>
      <w:bookmarkEnd w:id="50"/>
      <w:r/>
      <w:r/>
    </w:p>
    <w:p>
      <w:pPr>
        <w:pStyle w:val="953"/>
        <w:ind w:firstLine="498"/>
        <w:spacing w:before="156" w:after="156" w:line="360" w:lineRule="auto"/>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
    </w:p>
    <w:p>
      <w:pPr>
        <w:pStyle w:val="954"/>
        <w:ind w:firstLine="420"/>
        <w:spacing w:before="0" w:after="0" w:line="240" w:lineRule="auto"/>
        <w:rPr>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54"/>
        <w:ind w:firstLine="420"/>
        <w:spacing w:before="0" w:after="0" w:line="240" w:lineRule="auto"/>
        <w:rPr>
          <w:b w:val="0"/>
          <w:bCs w:val="0"/>
        </w:rPr>
      </w:pPr>
      <w:r/>
      <w:bookmarkStart w:id="60" w:name="_Toc16938521"/>
      <w:r/>
      <w:bookmarkStart w:id="61" w:name="_Toc20823277"/>
      <w:r/>
      <w:bookmarkStart w:id="62" w:name="_Toc513029205"/>
      <w:r>
        <w:rPr>
          <w:rFonts w:hint="eastAsia"/>
          <w:b w:val="0"/>
          <w:bCs w:val="0"/>
        </w:rPr>
        <w:t xml:space="preserve">2、合格的投标人</w:t>
      </w:r>
      <w:bookmarkEnd w:id="60"/>
      <w:r/>
      <w:bookmarkEnd w:id="61"/>
      <w:r/>
      <w:bookmarkEnd w:id="6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54"/>
        <w:ind w:firstLine="420"/>
        <w:spacing w:before="0" w:after="0" w:line="240" w:lineRule="auto"/>
        <w:rPr>
          <w:b w:val="0"/>
          <w:bCs w:val="0"/>
        </w:rPr>
      </w:pPr>
      <w:r/>
      <w:bookmarkStart w:id="63" w:name="_Toc20823278"/>
      <w:r/>
      <w:bookmarkStart w:id="64" w:name="_Toc513029206"/>
      <w:r/>
      <w:bookmarkStart w:id="65" w:name="_Toc16938522"/>
      <w:r>
        <w:rPr>
          <w:rFonts w:hint="eastAsia"/>
          <w:b w:val="0"/>
          <w:bCs w:val="0"/>
        </w:rPr>
        <w:t xml:space="preserve">3、适用法律</w:t>
      </w:r>
      <w:bookmarkEnd w:id="63"/>
      <w:r/>
      <w:bookmarkEnd w:id="64"/>
      <w:r/>
      <w:bookmarkEnd w:id="6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4"/>
        <w:ind w:firstLine="420"/>
        <w:spacing w:before="0" w:after="0" w:line="240" w:lineRule="auto"/>
        <w:rPr>
          <w:b w:val="0"/>
          <w:bCs w:val="0"/>
        </w:rPr>
      </w:pPr>
      <w:r/>
      <w:bookmarkStart w:id="66" w:name="_Toc16938523"/>
      <w:r/>
      <w:bookmarkStart w:id="67" w:name="_Toc20823279"/>
      <w:r/>
      <w:bookmarkStart w:id="68" w:name="_Toc462564067"/>
      <w:r/>
      <w:bookmarkStart w:id="69" w:name="_Toc513029207"/>
      <w:r>
        <w:rPr>
          <w:rFonts w:hint="eastAsia"/>
          <w:b w:val="0"/>
          <w:bCs w:val="0"/>
        </w:rPr>
        <w:t xml:space="preserve">4、投标费用</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54"/>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53"/>
        <w:ind w:firstLine="321"/>
        <w:spacing w:before="156" w:after="156" w:line="360" w:lineRule="auto"/>
      </w:pPr>
      <w:r/>
      <w:bookmarkStart w:id="70" w:name="_Toc16938525"/>
      <w:r/>
      <w:bookmarkStart w:id="71" w:name="_Toc513029209"/>
      <w:r/>
      <w:bookmarkStart w:id="72" w:name="_Toc20823281"/>
      <w:r/>
      <w:bookmarkStart w:id="73" w:name="_Toc120614215"/>
      <w:r>
        <w:rPr>
          <w:rFonts w:hint="eastAsia"/>
        </w:rPr>
        <w:t xml:space="preserve">二、招标文件</w:t>
      </w:r>
      <w:bookmarkEnd w:id="70"/>
      <w:r/>
      <w:bookmarkEnd w:id="71"/>
      <w:r/>
      <w:bookmarkEnd w:id="72"/>
      <w:r/>
      <w:bookmarkEnd w:id="73"/>
      <w:r/>
      <w:r/>
    </w:p>
    <w:p>
      <w:pPr>
        <w:pStyle w:val="954"/>
        <w:ind w:firstLine="420"/>
        <w:spacing w:before="0" w:after="0" w:line="240" w:lineRule="auto"/>
        <w:rPr>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560"/>
        <w:spacing w:before="0" w:after="0" w:line="240" w:lineRule="auto"/>
        <w:rPr>
          <w:b w:val="0"/>
          <w:bCs w:val="0"/>
        </w:rPr>
      </w:pPr>
      <w:r/>
      <w:bookmarkStart w:id="77" w:name="_Toc16938527"/>
      <w:r/>
      <w:bookmarkStart w:id="78" w:name="_Toc462564070"/>
      <w:r/>
      <w:bookmarkStart w:id="79" w:name="_Toc20823283"/>
      <w:r/>
      <w:bookmarkStart w:id="80" w:name="_Toc513029211"/>
      <w:r>
        <w:rPr>
          <w:rFonts w:hint="eastAsia"/>
          <w:b w:val="0"/>
          <w:bCs w:val="0"/>
        </w:rPr>
        <w:t xml:space="preserve">7、招标文件的澄清</w:t>
      </w:r>
      <w:bookmarkEnd w:id="77"/>
      <w:r/>
      <w:bookmarkEnd w:id="78"/>
      <w:r/>
      <w:bookmarkEnd w:id="79"/>
      <w:r/>
      <w:bookmarkEnd w:id="8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54"/>
        <w:ind w:firstLine="560"/>
        <w:spacing w:before="0" w:after="0" w:line="240" w:lineRule="auto"/>
        <w:rPr>
          <w:b w:val="0"/>
          <w:bCs w:val="0"/>
        </w:rPr>
      </w:pPr>
      <w:r/>
      <w:bookmarkStart w:id="81" w:name="_Toc16938528"/>
      <w:r/>
      <w:bookmarkStart w:id="82" w:name="_Toc462564071"/>
      <w:r/>
      <w:bookmarkStart w:id="83" w:name="_Toc20823284"/>
      <w:r/>
      <w:bookmarkStart w:id="84" w:name="_Toc513029212"/>
      <w:r>
        <w:rPr>
          <w:rFonts w:hint="eastAsia"/>
          <w:b w:val="0"/>
          <w:bCs w:val="0"/>
        </w:rPr>
        <w:t xml:space="preserve">8、招标文件的修改</w:t>
      </w:r>
      <w:bookmarkEnd w:id="81"/>
      <w:r/>
      <w:bookmarkEnd w:id="82"/>
      <w:r/>
      <w:bookmarkEnd w:id="83"/>
      <w:r/>
      <w:bookmarkEnd w:id="8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53"/>
        <w:ind w:firstLine="482"/>
        <w:spacing w:before="156" w:after="156" w:line="360" w:lineRule="auto"/>
      </w:pPr>
      <w:r/>
      <w:bookmarkStart w:id="85" w:name="_Toc462564072"/>
      <w:r/>
      <w:bookmarkStart w:id="86" w:name="_Toc513029213"/>
      <w:r/>
      <w:bookmarkStart w:id="87" w:name="_Toc120614216"/>
      <w:r/>
      <w:bookmarkStart w:id="88" w:name="_Toc20823285"/>
      <w:r/>
      <w:bookmarkStart w:id="89" w:name="_Toc16938529"/>
      <w:r>
        <w:rPr>
          <w:rFonts w:hint="eastAsia"/>
        </w:rPr>
        <w:t xml:space="preserve">三、投标文件的编制</w:t>
      </w:r>
      <w:bookmarkEnd w:id="85"/>
      <w:r/>
      <w:bookmarkEnd w:id="86"/>
      <w:r/>
      <w:bookmarkEnd w:id="87"/>
      <w:r/>
      <w:bookmarkEnd w:id="88"/>
      <w:r/>
      <w:bookmarkEnd w:id="89"/>
      <w:r/>
      <w:r/>
    </w:p>
    <w:p>
      <w:pPr>
        <w:pStyle w:val="954"/>
        <w:ind w:firstLine="560"/>
        <w:spacing w:before="0" w:after="0" w:line="240" w:lineRule="auto"/>
        <w:rPr>
          <w:bCs w:val="0"/>
        </w:rPr>
      </w:pPr>
      <w:r/>
      <w:bookmarkStart w:id="90" w:name="_Toc513029214"/>
      <w:r/>
      <w:bookmarkStart w:id="91" w:name="_Toc462564073"/>
      <w:r/>
      <w:bookmarkStart w:id="92" w:name="_Toc16938530"/>
      <w:r/>
      <w:bookmarkStart w:id="93" w:name="_Toc20823286"/>
      <w:r>
        <w:rPr>
          <w:rFonts w:hint="eastAsia"/>
          <w:b w:val="0"/>
          <w:bCs w:val="0"/>
        </w:rPr>
        <w:t xml:space="preserve">9、投标文件的语言及度量衡单位</w:t>
      </w:r>
      <w:bookmarkEnd w:id="90"/>
      <w:r/>
      <w:bookmarkEnd w:id="91"/>
      <w:r/>
      <w:bookmarkEnd w:id="92"/>
      <w:r/>
      <w:bookmarkEnd w:id="9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54"/>
        <w:ind w:firstLine="420"/>
        <w:spacing w:before="0" w:after="0" w:line="240" w:lineRule="auto"/>
        <w:rPr>
          <w:b w:val="0"/>
          <w:bCs w:val="0"/>
        </w:rPr>
      </w:pPr>
      <w:r/>
      <w:bookmarkStart w:id="94" w:name="_Toc513029215"/>
      <w:r/>
      <w:bookmarkStart w:id="95" w:name="_Toc16938531"/>
      <w:r/>
      <w:bookmarkStart w:id="96" w:name="_Toc20823287"/>
      <w:r/>
      <w:bookmarkStart w:id="97" w:name="_Toc462564074"/>
      <w:r>
        <w:rPr>
          <w:rFonts w:hint="eastAsia"/>
          <w:b w:val="0"/>
          <w:bCs w:val="0"/>
        </w:rPr>
        <w:t xml:space="preserve">10、投标文件构成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54"/>
        <w:ind w:firstLine="420"/>
        <w:spacing w:before="0" w:after="0" w:line="240" w:lineRule="auto"/>
        <w:rPr>
          <w:b w:val="0"/>
          <w:bCs w:val="0"/>
        </w:rPr>
      </w:pPr>
      <w:r/>
      <w:bookmarkStart w:id="98" w:name="_Hlt26954838"/>
      <w:r/>
      <w:bookmarkEnd w:id="98"/>
      <w:r/>
      <w:bookmarkStart w:id="99" w:name="_Hlt26668975"/>
      <w:r/>
      <w:bookmarkEnd w:id="99"/>
      <w:r/>
      <w:bookmarkStart w:id="100" w:name="_Hlt26670360"/>
      <w:r/>
      <w:bookmarkEnd w:id="100"/>
      <w:r/>
      <w:bookmarkStart w:id="101" w:name="_Toc513029219"/>
      <w:r/>
      <w:bookmarkStart w:id="102" w:name="_Toc14577357"/>
      <w:r/>
      <w:bookmarkStart w:id="103" w:name="_Toc49090509"/>
      <w:r/>
      <w:bookmarkStart w:id="104" w:name="_Toc513029216"/>
      <w:r/>
      <w:bookmarkStart w:id="105" w:name="_Toc14577354"/>
      <w:r/>
      <w:bookmarkStart w:id="106" w:name="_Toc49090507"/>
      <w:r>
        <w:rPr>
          <w:rFonts w:hint="eastAsia"/>
          <w:b w:val="0"/>
          <w:bCs w:val="0"/>
        </w:rPr>
        <w:t xml:space="preserve">11、证明投标人及投标标的符合招标文件规定的文件</w:t>
      </w:r>
      <w:bookmarkEnd w:id="101"/>
      <w:r/>
      <w:bookmarkEnd w:id="102"/>
      <w:r/>
      <w:bookmarkEnd w:id="103"/>
      <w:r/>
      <w:bookmarkEnd w:id="104"/>
      <w:r/>
      <w:bookmarkEnd w:id="105"/>
      <w:r/>
      <w:bookmarkEnd w:id="106"/>
      <w:r/>
      <w:r/>
    </w:p>
    <w:p>
      <w:pPr>
        <w:spacing w:line="480" w:lineRule="exact"/>
        <w:rPr>
          <w:rFonts w:ascii="宋体" w:hAnsi="宋体"/>
          <w:sz w:val="24"/>
          <w:szCs w:val="24"/>
        </w:rPr>
      </w:pPr>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4"/>
        <w:ind w:firstLine="420"/>
        <w:spacing w:before="0" w:after="0" w:line="240" w:lineRule="auto"/>
        <w:rPr>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54"/>
        <w:ind w:firstLine="420"/>
        <w:spacing w:before="0" w:after="0" w:line="240" w:lineRule="auto"/>
        <w:rPr>
          <w:b w:val="0"/>
          <w:bCs w:val="0"/>
        </w:rPr>
      </w:pPr>
      <w:r/>
      <w:bookmarkStart w:id="112" w:name="_Hlt26954731"/>
      <w:r/>
      <w:bookmarkEnd w:id="112"/>
      <w:r/>
      <w:bookmarkStart w:id="113" w:name="_Hlt26954844"/>
      <w:r/>
      <w:bookmarkEnd w:id="113"/>
      <w:r/>
      <w:bookmarkStart w:id="114" w:name="_Hlt26670486"/>
      <w:r/>
      <w:bookmarkEnd w:id="114"/>
      <w:r/>
      <w:bookmarkStart w:id="115" w:name="_Hlt26670482"/>
      <w:r/>
      <w:bookmarkEnd w:id="115"/>
      <w:r/>
      <w:bookmarkStart w:id="116" w:name="_Hlt26954846"/>
      <w:r/>
      <w:bookmarkEnd w:id="116"/>
      <w:r/>
      <w:bookmarkStart w:id="117" w:name="_Hlt26670403"/>
      <w:r/>
      <w:bookmarkEnd w:id="117"/>
      <w:r/>
      <w:bookmarkStart w:id="118" w:name="_Hlt26668983"/>
      <w:r/>
      <w:bookmarkEnd w:id="118"/>
      <w:r/>
      <w:bookmarkStart w:id="119" w:name="_Hlt26670425"/>
      <w:r/>
      <w:bookmarkEnd w:id="119"/>
      <w:r/>
      <w:bookmarkStart w:id="120" w:name="_Hlt26954842"/>
      <w:r/>
      <w:bookmarkEnd w:id="120"/>
      <w:r/>
      <w:bookmarkStart w:id="121" w:name="_Hlt26954848"/>
      <w:r/>
      <w:bookmarkEnd w:id="121"/>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54"/>
        <w:ind w:firstLine="420"/>
        <w:spacing w:before="0" w:after="0" w:line="240" w:lineRule="auto"/>
        <w:rPr>
          <w:b w:val="0"/>
          <w:bCs w:val="0"/>
        </w:rPr>
      </w:pPr>
      <w:r/>
      <w:bookmarkStart w:id="122" w:name="_Toc49090510"/>
      <w:r/>
      <w:bookmarkStart w:id="123" w:name="_Toc14577359"/>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r/>
      <w:bookmarkEnd w:id="123"/>
      <w:r/>
      <w:r/>
    </w:p>
    <w:p>
      <w:pPr>
        <w:pStyle w:val="954"/>
        <w:ind w:firstLine="420"/>
        <w:spacing w:before="0" w:after="0" w:line="240" w:lineRule="auto"/>
        <w:rPr>
          <w:b w:val="0"/>
          <w:bCs w:val="0"/>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4"/>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53"/>
        <w:ind w:firstLine="482"/>
        <w:spacing w:before="156" w:after="156" w:line="360" w:lineRule="auto"/>
      </w:pPr>
      <w:r/>
      <w:bookmarkStart w:id="129" w:name="_Hlt26954852"/>
      <w:r/>
      <w:bookmarkEnd w:id="129"/>
      <w:r/>
      <w:bookmarkStart w:id="130" w:name="_Hlt26954739"/>
      <w:r/>
      <w:bookmarkEnd w:id="130"/>
      <w:r/>
      <w:bookmarkStart w:id="131" w:name="_Toc16938540"/>
      <w:r/>
      <w:bookmarkStart w:id="132" w:name="_Toc120614217"/>
      <w:r/>
      <w:bookmarkStart w:id="133" w:name="_Toc513029224"/>
      <w:r/>
      <w:bookmarkStart w:id="134" w:name="_Toc20823296"/>
      <w:r>
        <w:rPr>
          <w:rFonts w:hint="eastAsia"/>
        </w:rPr>
        <w:t xml:space="preserve">四、投标文件的递交</w:t>
      </w:r>
      <w:bookmarkEnd w:id="131"/>
      <w:r/>
      <w:bookmarkEnd w:id="132"/>
      <w:r/>
      <w:bookmarkEnd w:id="133"/>
      <w:r/>
      <w:bookmarkEnd w:id="134"/>
      <w:r/>
      <w:r/>
    </w:p>
    <w:p>
      <w:pPr>
        <w:pStyle w:val="954"/>
        <w:ind w:firstLine="560"/>
        <w:spacing w:before="0" w:after="0" w:line="240" w:lineRule="auto"/>
        <w:rPr>
          <w:rFonts w:ascii="黑体"/>
          <w:b w:val="0"/>
          <w:bCs w:val="0"/>
        </w:rPr>
      </w:pPr>
      <w:r/>
      <w:bookmarkStart w:id="135" w:name="_Toc462564084"/>
      <w:r/>
      <w:bookmarkStart w:id="136" w:name="_Toc16938541"/>
      <w:r/>
      <w:bookmarkStart w:id="137" w:name="_Toc20823297"/>
      <w:r/>
      <w:bookmarkStart w:id="138" w:name="_Toc513029225"/>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64"/>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954"/>
        <w:ind w:firstLine="420"/>
        <w:rPr>
          <w:b w:val="0"/>
        </w:rPr>
      </w:pPr>
      <w:r>
        <w:rPr>
          <w:rFonts w:hint="eastAsia"/>
          <w:b w:val="0"/>
        </w:rPr>
        <w:t xml:space="preserve">18、投标截止</w:t>
      </w:r>
      <w:bookmarkEnd w:id="139"/>
      <w:r/>
      <w:bookmarkEnd w:id="140"/>
      <w:r/>
      <w:bookmarkEnd w:id="14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54"/>
        <w:ind w:firstLine="420"/>
        <w:spacing w:before="0" w:after="0" w:line="240" w:lineRule="auto"/>
        <w:rPr>
          <w:b w:val="0"/>
          <w:bCs w:val="0"/>
        </w:rPr>
      </w:pPr>
      <w:r/>
      <w:bookmarkStart w:id="142" w:name="_Toc513029227"/>
      <w:r/>
      <w:bookmarkStart w:id="143" w:name="_Toc20823299"/>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54"/>
        <w:ind w:firstLine="420"/>
        <w:spacing w:before="0" w:after="0" w:line="240" w:lineRule="auto"/>
        <w:rPr>
          <w:b w:val="0"/>
          <w:bCs w:val="0"/>
        </w:rPr>
      </w:pPr>
      <w:r/>
      <w:bookmarkStart w:id="145" w:name="_Toc16938544"/>
      <w:r/>
      <w:bookmarkStart w:id="146" w:name="_Toc513029228"/>
      <w:r/>
      <w:bookmarkStart w:id="147" w:name="_Toc20823300"/>
      <w:r>
        <w:rPr>
          <w:rFonts w:hint="eastAsia"/>
          <w:b w:val="0"/>
          <w:bCs w:val="0"/>
        </w:rPr>
        <w:t xml:space="preserve">20、投标文件的撤回和修改</w:t>
      </w:r>
      <w:bookmarkEnd w:id="145"/>
      <w:r/>
      <w:bookmarkEnd w:id="146"/>
      <w:r/>
      <w:bookmarkEnd w:id="14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53"/>
        <w:ind w:firstLine="482"/>
        <w:spacing w:before="156" w:after="156" w:line="360" w:lineRule="auto"/>
      </w:pPr>
      <w:r/>
      <w:bookmarkStart w:id="148" w:name="_Toc120614218"/>
      <w:r/>
      <w:bookmarkStart w:id="149" w:name="_Toc16938545"/>
      <w:r/>
      <w:bookmarkStart w:id="150" w:name="_Toc20823301"/>
      <w:r/>
      <w:bookmarkStart w:id="151" w:name="_Toc513029229"/>
      <w:r>
        <w:rPr>
          <w:rFonts w:hint="eastAsia"/>
        </w:rPr>
        <w:t xml:space="preserve">五、开标与评标</w:t>
      </w:r>
      <w:bookmarkEnd w:id="148"/>
      <w:r/>
      <w:bookmarkEnd w:id="149"/>
      <w:r/>
      <w:bookmarkEnd w:id="150"/>
      <w:r/>
      <w:bookmarkEnd w:id="151"/>
      <w:r/>
      <w:r/>
    </w:p>
    <w:p>
      <w:pPr>
        <w:pStyle w:val="954"/>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54"/>
        <w:ind w:firstLine="420"/>
        <w:spacing w:before="0" w:after="0" w:line="240" w:lineRule="auto"/>
        <w:rPr>
          <w:b w:val="0"/>
          <w:bCs w:val="0"/>
        </w:rPr>
      </w:pPr>
      <w:r/>
      <w:bookmarkStart w:id="155" w:name="_Toc20823303"/>
      <w:r/>
      <w:bookmarkStart w:id="156" w:name="_Toc513029231"/>
      <w:r/>
      <w:bookmarkStart w:id="157" w:name="_Toc16938547"/>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54"/>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54"/>
        <w:ind w:firstLine="420"/>
        <w:spacing w:before="0" w:after="0" w:line="240" w:lineRule="auto"/>
        <w:rPr>
          <w:b w:val="0"/>
          <w:bCs w:val="0"/>
        </w:rPr>
      </w:pPr>
      <w:r/>
      <w:bookmarkStart w:id="158" w:name="_Toc20823304"/>
      <w:r/>
      <w:bookmarkStart w:id="159" w:name="_Toc16938548"/>
      <w:r/>
      <w:bookmarkStart w:id="160" w:name="_Toc513029232"/>
      <w:r>
        <w:rPr>
          <w:rFonts w:hint="eastAsia"/>
          <w:b w:val="0"/>
          <w:bCs w:val="0"/>
        </w:rPr>
        <w:t xml:space="preserve">24、投标文件的澄清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54"/>
        <w:ind w:firstLine="420"/>
        <w:spacing w:before="0" w:after="0" w:line="240" w:lineRule="auto"/>
        <w:rPr>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54"/>
        <w:ind w:firstLine="420"/>
        <w:spacing w:before="0" w:after="0" w:line="240" w:lineRule="auto"/>
        <w:rPr>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ind w:left="479"/>
        <w:spacing w:line="440" w:lineRule="exact"/>
        <w:rPr>
          <w:rFonts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53"/>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54"/>
        <w:ind w:firstLine="600"/>
        <w:spacing w:before="0" w:after="0" w:line="240" w:lineRule="auto"/>
        <w:rPr>
          <w:rFonts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5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3"/>
        <w:spacing w:before="156" w:after="156" w:line="360" w:lineRule="auto"/>
      </w:pPr>
      <w:r/>
      <w:bookmarkStart w:id="175" w:name="_Toc120614220"/>
      <w:r/>
      <w:bookmarkStart w:id="176" w:name="_Toc16938552"/>
      <w:r/>
      <w:bookmarkStart w:id="177" w:name="_Toc20823308"/>
      <w:r/>
      <w:bookmarkStart w:id="178" w:name="_Toc513029236"/>
      <w:r>
        <w:rPr>
          <w:rFonts w:hint="eastAsia"/>
        </w:rPr>
        <w:t xml:space="preserve">七、授予合同</w:t>
      </w:r>
      <w:bookmarkEnd w:id="175"/>
      <w:r/>
      <w:bookmarkEnd w:id="176"/>
      <w:r/>
      <w:bookmarkEnd w:id="177"/>
      <w:r/>
      <w:bookmarkEnd w:id="178"/>
      <w:r/>
      <w:r/>
    </w:p>
    <w:p>
      <w:pPr>
        <w:pStyle w:val="954"/>
        <w:ind w:firstLine="600"/>
        <w:spacing w:before="0" w:after="0" w:line="240" w:lineRule="auto"/>
        <w:rPr>
          <w:rFonts w:ascii="黑体" w:hAnsi="宋体" w:cs="Times New Roman"/>
          <w:b w:val="0"/>
          <w:sz w:val="30"/>
          <w:szCs w:val="30"/>
        </w:rPr>
      </w:pPr>
      <w:r/>
      <w:bookmarkStart w:id="179" w:name="_Toc16938553"/>
      <w:r/>
      <w:bookmarkStart w:id="180" w:name="_Toc513029237"/>
      <w:r/>
      <w:bookmarkStart w:id="181" w:name="_Toc20823309"/>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5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
    </w:p>
    <w:p>
      <w:pPr>
        <w:pStyle w:val="954"/>
        <w:ind w:firstLine="600"/>
        <w:spacing w:before="0" w:after="0" w:line="240" w:lineRule="auto"/>
        <w:rPr>
          <w:rFonts w:ascii="黑体" w:hAnsi="宋体" w:cs="Times New Roman"/>
          <w:b w:val="0"/>
          <w:sz w:val="30"/>
          <w:szCs w:val="30"/>
        </w:rPr>
      </w:pPr>
      <w:r/>
      <w:bookmarkStart w:id="182" w:name="_Toc479757207"/>
      <w:r/>
      <w:bookmarkStart w:id="183" w:name="_Toc16938558"/>
      <w:r/>
      <w:bookmarkStart w:id="184" w:name="_Toc120614221"/>
      <w:r/>
      <w:bookmarkStart w:id="185" w:name="_Toc20823314"/>
      <w:r/>
      <w:bookmarkStart w:id="186" w:name="_Toc513029242"/>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62"/>
      </w:pPr>
      <w:r/>
      <w:r/>
    </w:p>
    <w:p>
      <w:r/>
      <w:r/>
    </w:p>
    <w:p>
      <w:r/>
      <w:r/>
    </w:p>
    <w:p>
      <w:r/>
      <w:r/>
    </w:p>
    <w:p>
      <w:r/>
      <w:r/>
    </w:p>
    <w:p>
      <w:r/>
      <w:r/>
    </w:p>
    <w:p>
      <w:r/>
      <w:r/>
    </w:p>
    <w:p>
      <w:pPr>
        <w:jc w:val="center"/>
        <w:rPr>
          <w:rFonts w:ascii="黑体" w:eastAsia="黑体"/>
          <w:bCs/>
          <w:sz w:val="44"/>
        </w:rPr>
      </w:pPr>
      <w:r>
        <w:br w:type="page" w:clear="all"/>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ascii="宋体" w:hAnsi="宋体"/>
          <w:bCs/>
          <w:sz w:val="24"/>
        </w:rPr>
      </w:pPr>
      <w:r/>
      <w:bookmarkStart w:id="188" w:name="_Toc16938559"/>
      <w:r/>
      <w:bookmarkStart w:id="189" w:name="_Toc513029243"/>
      <w:r/>
      <w:bookmarkStart w:id="190" w:name="_Toc20823315"/>
      <w:r>
        <w:rPr>
          <w:rFonts w:hint="eastAsia" w:ascii="宋体" w:hAnsi="宋体"/>
          <w:bCs/>
          <w:sz w:val="24"/>
        </w:rPr>
        <w:t xml:space="preserve">以下为中标后签定本项目合同的通用条款，中标人不得提出实质性的修改。</w:t>
      </w:r>
      <w:r/>
    </w:p>
    <w:p>
      <w:pPr>
        <w:jc w:val="center"/>
        <w:rPr>
          <w:b/>
          <w:bCs/>
          <w:sz w:val="30"/>
          <w:szCs w:val="20"/>
        </w:rPr>
      </w:pPr>
      <w:r>
        <w:rPr>
          <w:b/>
          <w:sz w:val="30"/>
        </w:rPr>
        <w:t xml:space="preserve">常州市政府采购合同（服务）（合同编号）</w:t>
      </w:r>
      <w:r/>
    </w:p>
    <w:p>
      <w:pPr>
        <w:spacing w:before="156" w:after="156"/>
        <w:rPr>
          <w:b/>
          <w:bCs/>
          <w:sz w:val="24"/>
        </w:rPr>
        <w:outlineLvl w:val="0"/>
      </w:pPr>
      <w:r>
        <w:rPr>
          <w:sz w:val="24"/>
        </w:rPr>
        <w:t xml:space="preserve">项目名称：2026-2027年度常州市第一人民医院医疗责任险、财产险项目</w:t>
      </w:r>
      <w:r/>
    </w:p>
    <w:p>
      <w:pPr>
        <w:spacing w:before="120" w:after="120"/>
        <w:rPr>
          <w:sz w:val="24"/>
        </w:rPr>
      </w:pPr>
      <w:r>
        <w:rPr>
          <w:sz w:val="24"/>
        </w:rPr>
        <w:t xml:space="preserve">项目编号：</w:t>
      </w:r>
      <w:r/>
    </w:p>
    <w:p>
      <w:pPr>
        <w:jc w:val="left"/>
        <w:spacing w:before="120" w:after="120"/>
        <w:widowControl/>
        <w:rPr>
          <w:sz w:val="24"/>
          <w:u w:val="single"/>
        </w:rPr>
      </w:pPr>
      <w:r>
        <w:rPr>
          <w:sz w:val="24"/>
        </w:rPr>
        <w:t xml:space="preserve">甲方：</w:t>
      </w:r>
      <w:r>
        <w:rPr>
          <w:sz w:val="24"/>
          <w:u w:val="single"/>
        </w:rPr>
        <w:t xml:space="preserve">                     </w:t>
      </w:r>
      <w:r/>
    </w:p>
    <w:p>
      <w:pPr>
        <w:jc w:val="left"/>
        <w:spacing w:before="120" w:after="120"/>
        <w:widowControl/>
        <w:rPr>
          <w:sz w:val="24"/>
        </w:rPr>
      </w:pPr>
      <w:r>
        <w:rPr>
          <w:sz w:val="24"/>
        </w:rPr>
        <w:t xml:space="preserve">乙方：</w:t>
      </w:r>
      <w:r>
        <w:rPr>
          <w:sz w:val="24"/>
          <w:u w:val="single"/>
        </w:rPr>
        <w:t xml:space="preserve">                     </w:t>
      </w:r>
      <w:r/>
    </w:p>
    <w:p>
      <w:pPr>
        <w:spacing w:before="120" w:after="120"/>
        <w:rPr>
          <w:sz w:val="24"/>
        </w:rPr>
      </w:pPr>
      <w:r>
        <w:rPr>
          <w:b/>
          <w:sz w:val="24"/>
        </w:rPr>
        <w:t xml:space="preserve">   </w:t>
      </w:r>
      <w:r>
        <w:rPr>
          <w:sz w:val="24"/>
        </w:rPr>
        <w:t xml:space="preserve">甲、乙双方根据</w:t>
      </w:r>
      <w:r>
        <w:rPr>
          <w:sz w:val="24"/>
          <w:u w:val="single"/>
        </w:rPr>
        <w:t xml:space="preserve">2026-2027年度常州市第一人民医院等五家公立医院医疗责任险、财产险项目</w:t>
      </w:r>
      <w:r>
        <w:rPr>
          <w:sz w:val="24"/>
        </w:rPr>
        <w:t xml:space="preserve">公开招标的结果，签署本合同。</w:t>
      </w:r>
      <w:r/>
    </w:p>
    <w:p>
      <w:pPr>
        <w:ind w:firstLine="480"/>
        <w:jc w:val="left"/>
        <w:widowControl/>
        <w:rPr>
          <w:sz w:val="24"/>
        </w:rPr>
      </w:pPr>
      <w:r>
        <w:rPr>
          <w:sz w:val="24"/>
        </w:rPr>
        <w:t xml:space="preserve">1．定义</w:t>
      </w:r>
      <w:r/>
    </w:p>
    <w:p>
      <w:pPr>
        <w:ind w:firstLine="420"/>
        <w:rPr>
          <w:sz w:val="24"/>
        </w:rPr>
      </w:pPr>
      <w:r>
        <w:rPr>
          <w:sz w:val="24"/>
        </w:rPr>
        <w:t xml:space="preserve">本合同中的下列术语应解释为：</w:t>
      </w:r>
      <w:r/>
    </w:p>
    <w:p>
      <w:pPr>
        <w:ind w:firstLine="420"/>
        <w:rPr>
          <w:sz w:val="24"/>
        </w:rPr>
      </w:pPr>
      <w:r>
        <w:rPr>
          <w:sz w:val="24"/>
        </w:rPr>
        <w:t xml:space="preserve">（1）“合同”系指：甲方与乙方签署的，合同格式中载明的甲方与乙方所达成的协议，包括所有的附件、附录和构成合同的所有文件。中标人（乙方）入围所出具的所有承诺及/或保证均构成本合同不可分割的一部分，对双方具有约束力。</w:t>
      </w:r>
      <w:r/>
    </w:p>
    <w:p>
      <w:pPr>
        <w:ind w:firstLine="420"/>
        <w:rPr>
          <w:sz w:val="24"/>
        </w:rPr>
      </w:pPr>
      <w:r>
        <w:rPr>
          <w:sz w:val="24"/>
        </w:rPr>
        <w:t xml:space="preserve">（2）“服务”系指：根据合同规定乙方应承担的义务及相关的后续服务，比如合规承保、限时理赔支付赔款等其他类似的乙方应承担的义务。</w:t>
      </w:r>
      <w:r/>
    </w:p>
    <w:p>
      <w:pPr>
        <w:ind w:firstLine="420"/>
        <w:rPr>
          <w:sz w:val="24"/>
        </w:rPr>
      </w:pPr>
      <w:r>
        <w:rPr>
          <w:sz w:val="24"/>
        </w:rPr>
        <w:t xml:space="preserve">（3）“甲方”系指：常州市第一人民医院、常州市中医医院、常州市妇幼保健院、常州市儿童医院、常州市第七人民医院。</w:t>
      </w:r>
      <w:r/>
    </w:p>
    <w:p>
      <w:pPr>
        <w:ind w:firstLine="420"/>
        <w:rPr>
          <w:color w:val="000000"/>
          <w:sz w:val="24"/>
        </w:rPr>
      </w:pPr>
      <w:r>
        <w:rPr>
          <w:sz w:val="24"/>
        </w:rPr>
        <w:t xml:space="preserve">（4）“乙方”系指：</w:t>
      </w:r>
      <w:r>
        <w:rPr>
          <w:color w:val="000000"/>
          <w:sz w:val="24"/>
        </w:rPr>
        <w:t xml:space="preserve">中标保险机构。</w:t>
      </w:r>
      <w:r/>
    </w:p>
    <w:p>
      <w:pPr>
        <w:ind w:firstLine="420"/>
        <w:rPr>
          <w:sz w:val="24"/>
        </w:rPr>
      </w:pPr>
      <w:r>
        <w:rPr>
          <w:sz w:val="24"/>
        </w:rPr>
        <w:t xml:space="preserve">（5）“投保人”系指：常州市第一人民医院、常州市中医医院、常州市妇幼保健院、常州市儿童医院、常州市第七人民医院。</w:t>
      </w:r>
      <w:r/>
    </w:p>
    <w:p>
      <w:pPr>
        <w:ind w:firstLine="420"/>
        <w:rPr>
          <w:sz w:val="24"/>
        </w:rPr>
      </w:pPr>
      <w:r>
        <w:rPr>
          <w:sz w:val="24"/>
        </w:rPr>
        <w:t xml:space="preserve">（6）“被保险人”系指</w:t>
      </w:r>
      <w:r>
        <w:rPr>
          <w:spacing w:val="2"/>
          <w:sz w:val="24"/>
          <w:lang w:val="zh-CN"/>
        </w:rPr>
        <w:t xml:space="preserve">：</w:t>
      </w:r>
      <w:r>
        <w:rPr>
          <w:sz w:val="24"/>
        </w:rPr>
        <w:t xml:space="preserve">常州市第一人民医院、常州市中医医院、常州市妇幼保健院、常州市儿童医院、常州市第七人民医院。</w:t>
      </w:r>
      <w:r/>
    </w:p>
    <w:p>
      <w:pPr>
        <w:ind w:firstLine="420"/>
        <w:rPr>
          <w:sz w:val="24"/>
        </w:rPr>
      </w:pPr>
      <w:r>
        <w:rPr>
          <w:sz w:val="24"/>
        </w:rPr>
        <w:t xml:space="preserve">（7）“附件”是指与本合同的订立、履行有关的，经甲乙及投保人认可的，对本合同约定的内容进行细化、补充、修改、变更的文件、图纸、音像制品等资料。</w:t>
      </w:r>
      <w:r/>
    </w:p>
    <w:p>
      <w:pPr>
        <w:ind w:firstLine="420"/>
        <w:rPr>
          <w:sz w:val="24"/>
        </w:rPr>
      </w:pPr>
      <w:r>
        <w:rPr>
          <w:sz w:val="24"/>
        </w:rPr>
        <w:t xml:space="preserve">（8）“工作日”是指除公休日和国家法定节假日以外的日历日。</w:t>
      </w:r>
      <w:r/>
    </w:p>
    <w:p>
      <w:pPr>
        <w:ind w:firstLine="560"/>
        <w:rPr>
          <w:sz w:val="24"/>
        </w:rPr>
      </w:pPr>
      <w:r>
        <w:rPr>
          <w:sz w:val="24"/>
        </w:rPr>
        <w:t xml:space="preserve">2．合同文件</w:t>
      </w:r>
      <w:r/>
    </w:p>
    <w:p>
      <w:pPr>
        <w:ind w:right="210" w:firstLine="420"/>
        <w:rPr>
          <w:sz w:val="24"/>
        </w:rPr>
      </w:pPr>
      <w:r>
        <w:rPr>
          <w:sz w:val="24"/>
        </w:rPr>
        <w:t xml:space="preserve">下列关于</w:t>
      </w:r>
      <w:r>
        <w:rPr>
          <w:sz w:val="24"/>
          <w:u w:val="single"/>
        </w:rPr>
        <w:t xml:space="preserve"> 2026-2027年</w:t>
      </w:r>
      <w:r>
        <w:rPr>
          <w:sz w:val="24"/>
        </w:rPr>
        <w:t xml:space="preserve">度常州市第一人民医院等五家公立医院医疗责</w:t>
      </w:r>
      <w:r>
        <w:rPr>
          <w:sz w:val="24"/>
          <w:u w:val="single"/>
        </w:rPr>
        <w:t xml:space="preserve">任险、财产险项目 </w:t>
      </w:r>
      <w:r>
        <w:rPr>
          <w:sz w:val="24"/>
        </w:rPr>
        <w:t xml:space="preserve">的招投标文件或与本次采购活动相适应的文件及有关附件是本合同不可分割的组成部分，与本合同具有同等法律效力，这些文件包括但不仅限于：</w:t>
      </w:r>
      <w:r/>
    </w:p>
    <w:p>
      <w:pPr>
        <w:ind w:firstLine="420"/>
        <w:rPr>
          <w:sz w:val="24"/>
        </w:rPr>
      </w:pPr>
      <w:r>
        <w:rPr>
          <w:sz w:val="24"/>
        </w:rPr>
        <w:t xml:space="preserve">（1）本合同书；</w:t>
      </w:r>
      <w:r/>
    </w:p>
    <w:p>
      <w:pPr>
        <w:ind w:firstLine="420"/>
        <w:rPr>
          <w:sz w:val="24"/>
        </w:rPr>
      </w:pPr>
      <w:r>
        <w:rPr>
          <w:sz w:val="24"/>
        </w:rPr>
        <w:t xml:space="preserve">（2）中标通知书；</w:t>
      </w:r>
      <w:r/>
    </w:p>
    <w:p>
      <w:pPr>
        <w:ind w:firstLine="420"/>
        <w:rPr>
          <w:sz w:val="24"/>
        </w:rPr>
      </w:pPr>
      <w:r>
        <w:rPr>
          <w:sz w:val="24"/>
        </w:rPr>
        <w:t xml:space="preserve">（3）招标文件及其附件（含招标过程中对有关问题的补充资料、补充公告和澄清文件等）；</w:t>
      </w:r>
      <w:r/>
    </w:p>
    <w:p>
      <w:pPr>
        <w:ind w:firstLine="420"/>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-273684</wp:posOffset>
                </wp:positionH>
                <wp:positionV relativeFrom="paragraph">
                  <wp:posOffset>537210</wp:posOffset>
                </wp:positionV>
                <wp:extent cx="234315" cy="3810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21.5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r/>
                      <w:r/>
                    </w:p>
                    <w:p>
                      <w:r/>
                      <w:r/>
                    </w:p>
                  </w:txbxContent>
                </v:textbox>
              </v:shape>
            </w:pict>
          </mc:Fallback>
        </mc:AlternateContent>
      </w:r>
      <w:r>
        <w:rPr>
          <w:sz w:val="24"/>
        </w:rPr>
        <w:t xml:space="preserve">（4）投标文件及其附件（含投标人在评标期间递交和确认并经采购代理机构同意的对有关问题的补充资料和澄清文件等）；</w:t>
      </w:r>
      <w:r/>
    </w:p>
    <w:p>
      <w:pPr>
        <w:ind w:firstLine="420"/>
        <w:rPr>
          <w:sz w:val="24"/>
        </w:rPr>
      </w:pPr>
      <w:r>
        <w:rPr>
          <w:sz w:val="24"/>
        </w:rPr>
        <w:t xml:space="preserve">（5）甲方、乙方商定的其他必要文件。</w:t>
      </w:r>
      <w:r/>
    </w:p>
    <w:p>
      <w:pPr>
        <w:ind w:firstLine="560"/>
        <w:rPr>
          <w:sz w:val="24"/>
        </w:rPr>
      </w:pPr>
      <w:r>
        <w:rPr>
          <w:sz w:val="24"/>
        </w:rPr>
        <w:t xml:space="preserve">3．服务范围、保险险种</w:t>
      </w:r>
      <w:r/>
    </w:p>
    <w:p>
      <w:pPr>
        <w:ind w:right="210" w:firstLine="481"/>
        <w:rPr>
          <w:color w:val="000000"/>
          <w:spacing w:val="2"/>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-238759</wp:posOffset>
                </wp:positionH>
                <wp:positionV relativeFrom="paragraph">
                  <wp:posOffset>206375</wp:posOffset>
                </wp:positionV>
                <wp:extent cx="173355" cy="70167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r/>
                            <w:r/>
                          </w:p>
                          <w:p>
                            <w:r/>
                            <w:r/>
                          </w:p>
                        </w:txbxContent>
                      </wps:txbx>
                      <wps:bodyPr wrap="square" upright="1"/>
                    </wps:wsp>
                  </a:graphicData>
                </a:graphic>
              </wp:anchor>
            </w:drawing>
          </mc:Choice>
          <mc:Fallback>
            <w:pict>
              <v:shape id="shape 4" o:spid="_x0000_s4" o:spt="1" type="#_x0000_t1" style="position:absolute;z-index:251659264;o:allowoverlap:true;o:allowincell:true;mso-position-horizontal-relative:text;margin-left:-18.8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r/>
                      <w:r/>
                    </w:p>
                    <w:p>
                      <w:r/>
                      <w:r/>
                    </w:p>
                  </w:txbxContent>
                </v:textbox>
              </v:shape>
            </w:pict>
          </mc:Fallback>
        </mc:AlternateContent>
      </w:r>
      <w:r>
        <w:rPr>
          <w:color w:val="000000"/>
          <w:sz w:val="24"/>
        </w:rPr>
        <w:t xml:space="preserve">3.1</w:t>
      </w:r>
      <w:r>
        <w:rPr>
          <w:bCs/>
          <w:color w:val="000000"/>
          <w:sz w:val="24"/>
        </w:rPr>
        <w:t xml:space="preserve">本合同服务范围为</w:t>
      </w:r>
      <w:r>
        <w:rPr>
          <w:sz w:val="24"/>
        </w:rPr>
        <w:t xml:space="preserve"> </w:t>
      </w:r>
      <w:r>
        <w:rPr>
          <w:sz w:val="24"/>
          <w:u w:val="single"/>
        </w:rPr>
        <w:t xml:space="preserve">2026-2027年度常州市第一人民医院、常州市中医医院、常州市妇幼保健院、常州市儿童医院、常州市第七人民医院医疗责任险、财产险项目</w:t>
      </w:r>
      <w:r>
        <w:rPr>
          <w:color w:val="000000"/>
          <w:spacing w:val="2"/>
          <w:sz w:val="24"/>
          <w:lang w:val="zh-CN"/>
        </w:rPr>
        <w:t xml:space="preserve">。</w:t>
      </w:r>
      <w:r/>
    </w:p>
    <w:p>
      <w:pPr>
        <w:ind w:right="210" w:firstLine="481"/>
        <w:rPr>
          <w:bCs/>
          <w:color w:val="000000"/>
          <w:sz w:val="24"/>
        </w:rPr>
      </w:pPr>
      <w:r>
        <w:rPr>
          <w:bCs/>
          <w:color w:val="000000"/>
          <w:sz w:val="24"/>
        </w:rPr>
        <w:t xml:space="preserve">3.2保险险种为：医疗责任保险、附加医疗机构场所责任险、附加医务人员遭受伤害责任保险；财产综合险、机器设备损坏险。</w:t>
      </w:r>
      <w:r/>
    </w:p>
    <w:p>
      <w:pPr>
        <w:ind w:firstLine="560"/>
        <w:rPr>
          <w:sz w:val="24"/>
        </w:rPr>
      </w:pPr>
      <w:r>
        <w:rPr>
          <w:sz w:val="24"/>
        </w:rPr>
        <w:t xml:space="preserve">4.保险服务期限</w:t>
      </w:r>
      <w:r/>
    </w:p>
    <w:p>
      <w:pPr>
        <w:ind w:left="479" w:right="211"/>
        <w:rPr>
          <w:color w:val="000000"/>
          <w:sz w:val="24"/>
        </w:rPr>
      </w:pPr>
      <w:r>
        <w:rPr>
          <w:sz w:val="24"/>
        </w:rPr>
        <w:t xml:space="preserve">4.1 保险服务期两年，合同一年一签。年度合同到期后，经采购人考核合格后方可续签下一年合同，最多续签壹次。本合同为第一年度合同，项目保险期间首年自</w:t>
      </w:r>
      <w:r>
        <w:rPr>
          <w:sz w:val="24"/>
          <w:u w:val="single"/>
        </w:rPr>
        <w:t xml:space="preserve">2026</w:t>
      </w:r>
      <w:r>
        <w:rPr>
          <w:sz w:val="24"/>
        </w:rPr>
        <w:t xml:space="preserve">年</w:t>
      </w:r>
      <w:r>
        <w:rPr>
          <w:sz w:val="24"/>
          <w:u w:val="single"/>
        </w:rPr>
        <w:t xml:space="preserve">1</w:t>
      </w:r>
      <w:r>
        <w:rPr>
          <w:sz w:val="24"/>
        </w:rPr>
        <w:t xml:space="preserve">月</w:t>
      </w:r>
      <w:r>
        <w:rPr>
          <w:sz w:val="24"/>
          <w:u w:val="single"/>
        </w:rPr>
        <w:t xml:space="preserve">1</w:t>
      </w:r>
      <w:r>
        <w:rPr>
          <w:sz w:val="24"/>
        </w:rPr>
        <w:t xml:space="preserve">日零时起至</w:t>
      </w:r>
      <w:r>
        <w:rPr>
          <w:sz w:val="24"/>
          <w:u w:val="single"/>
        </w:rPr>
        <w:t xml:space="preserve">2026</w:t>
      </w:r>
      <w:r>
        <w:rPr>
          <w:bCs/>
          <w:color w:val="000000"/>
          <w:sz w:val="24"/>
        </w:rPr>
        <w:t xml:space="preserve">年</w:t>
      </w:r>
      <w:r>
        <w:rPr>
          <w:bCs/>
          <w:color w:val="000000"/>
          <w:sz w:val="24"/>
          <w:u w:val="single"/>
        </w:rPr>
        <w:t xml:space="preserve">12</w:t>
      </w:r>
      <w:r>
        <w:rPr>
          <w:bCs/>
          <w:color w:val="000000"/>
          <w:sz w:val="24"/>
        </w:rPr>
        <w:t xml:space="preserve">月</w:t>
      </w:r>
      <w:r>
        <w:rPr>
          <w:bCs/>
          <w:color w:val="000000"/>
          <w:sz w:val="24"/>
          <w:u w:val="single"/>
        </w:rPr>
        <w:t xml:space="preserve">31</w:t>
      </w:r>
      <w:r>
        <w:rPr>
          <w:bCs/>
          <w:color w:val="000000"/>
          <w:sz w:val="24"/>
        </w:rPr>
        <w:t xml:space="preserve">日二十四时止，保险保单按年度出单</w:t>
      </w:r>
      <w:r>
        <w:rPr>
          <w:sz w:val="24"/>
        </w:rPr>
        <w:t xml:space="preserve">。</w:t>
      </w:r>
      <w:r/>
    </w:p>
    <w:p>
      <w:pPr>
        <w:ind w:firstLine="560"/>
        <w:rPr>
          <w:sz w:val="24"/>
        </w:rPr>
      </w:pPr>
      <w:r>
        <w:rPr>
          <w:sz w:val="24"/>
        </w:rPr>
        <w:t xml:space="preserve">5.保险方案</w:t>
      </w:r>
      <w:r/>
    </w:p>
    <w:p>
      <w:pPr>
        <w:ind w:firstLine="525"/>
        <w:rPr>
          <w:color w:val="000000"/>
          <w:sz w:val="24"/>
        </w:rPr>
      </w:pPr>
      <w:r>
        <w:rPr>
          <w:color w:val="000000"/>
          <w:sz w:val="24"/>
        </w:rPr>
        <w:t xml:space="preserve">5.1本项目保险方案包括但不仅限于招标文件的采购需求。</w:t>
      </w:r>
      <w:r/>
    </w:p>
    <w:p>
      <w:pPr>
        <w:ind w:right="211" w:firstLine="497"/>
        <w:rPr>
          <w:bCs/>
          <w:color w:val="000000"/>
          <w:spacing w:val="2"/>
          <w:sz w:val="24"/>
        </w:rPr>
      </w:pPr>
      <w:r>
        <w:rPr>
          <w:bCs/>
          <w:color w:val="000000"/>
          <w:spacing w:val="2"/>
          <w:sz w:val="24"/>
        </w:rPr>
        <w:t xml:space="preserve">5.2乙方应遵循本项目招标文件及其组成文件中特定的保险方案提供保险服务。保险方案与中标人（乙方）保险条款相悖处，以本项目招标文件保险方案为准。</w:t>
      </w:r>
      <w:r/>
    </w:p>
    <w:p>
      <w:pPr>
        <w:ind w:firstLine="560"/>
        <w:rPr>
          <w:sz w:val="24"/>
        </w:rPr>
      </w:pPr>
      <w:r>
        <w:rPr>
          <w:sz w:val="24"/>
        </w:rPr>
        <w:t xml:space="preserve">6.双方权利及义务</w:t>
      </w:r>
      <w:r/>
    </w:p>
    <w:p>
      <w:pPr>
        <w:ind w:right="211" w:firstLine="497"/>
        <w:rPr>
          <w:bCs/>
          <w:spacing w:val="2"/>
          <w:sz w:val="24"/>
        </w:rPr>
      </w:pPr>
      <w:r>
        <w:rPr>
          <w:bCs/>
          <w:spacing w:val="2"/>
          <w:sz w:val="24"/>
        </w:rPr>
        <w:t xml:space="preserve">6.1甲方应积极推动本保险项目的实施，投保人（甲方）应按时支付保险费。</w:t>
      </w:r>
      <w:r/>
    </w:p>
    <w:p>
      <w:pPr>
        <w:ind w:right="211" w:firstLine="497"/>
        <w:rPr>
          <w:bCs/>
          <w:spacing w:val="2"/>
          <w:sz w:val="24"/>
        </w:rPr>
      </w:pPr>
      <w:r>
        <w:rPr>
          <w:bCs/>
          <w:spacing w:val="2"/>
          <w:sz w:val="24"/>
        </w:rPr>
        <w:t xml:space="preserve">6.2乙方应接受甲方关于承保方案的安排，开展保险服务，执行中标保险人的费率，并以招标文件的采购需求中所列明的主要承保条件、服务要求等作为依据订立保险合同。</w:t>
      </w:r>
      <w:r/>
    </w:p>
    <w:p>
      <w:pPr>
        <w:ind w:right="211" w:firstLine="497"/>
        <w:rPr>
          <w:bCs/>
          <w:spacing w:val="2"/>
          <w:sz w:val="24"/>
        </w:rPr>
      </w:pPr>
      <w:r>
        <w:rPr>
          <w:bCs/>
          <w:spacing w:val="2"/>
          <w:sz w:val="24"/>
        </w:rPr>
        <w:t xml:space="preserve">6.3乙方应针对本项目成立健全的专门服务小组、分管领导亲自负责，做好本保险的承保及理赔服务工作。</w:t>
      </w:r>
      <w:r/>
    </w:p>
    <w:p>
      <w:pPr>
        <w:ind w:firstLine="428"/>
        <w:rPr>
          <w:bCs/>
          <w:spacing w:val="2"/>
          <w:sz w:val="24"/>
        </w:rPr>
      </w:pPr>
      <w:r>
        <w:rPr>
          <w:bCs/>
          <w:spacing w:val="2"/>
          <w:sz w:val="24"/>
        </w:rPr>
        <w:t xml:space="preserve">6.4乙方在服务期间，</w:t>
      </w:r>
      <w:r>
        <w:rPr>
          <w:rFonts w:hint="eastAsia"/>
          <w:bCs/>
          <w:spacing w:val="2"/>
          <w:sz w:val="24"/>
        </w:rPr>
        <w:t xml:space="preserve">双方配合</w:t>
      </w:r>
      <w:r>
        <w:rPr>
          <w:bCs/>
          <w:spacing w:val="2"/>
          <w:sz w:val="24"/>
        </w:rPr>
        <w:t xml:space="preserve">做好以下事项：</w:t>
      </w:r>
      <w:r/>
    </w:p>
    <w:p>
      <w:pPr>
        <w:ind w:left="-4" w:firstLine="428"/>
        <w:rPr>
          <w:spacing w:val="2"/>
          <w:sz w:val="24"/>
        </w:rPr>
      </w:pPr>
      <w:r>
        <w:rPr>
          <w:spacing w:val="2"/>
          <w:sz w:val="24"/>
        </w:rPr>
        <w:t xml:space="preserve">6.4.1投保服务</w:t>
      </w:r>
      <w:r/>
    </w:p>
    <w:p>
      <w:pPr>
        <w:ind w:left="-4" w:firstLine="428"/>
        <w:rPr>
          <w:spacing w:val="2"/>
          <w:sz w:val="24"/>
        </w:rPr>
      </w:pPr>
      <w:r>
        <w:rPr>
          <w:spacing w:val="2"/>
          <w:sz w:val="24"/>
        </w:rPr>
        <w:t xml:space="preserve">乙方上门收集甲方相关投保资料，</w:t>
      </w:r>
      <w:r>
        <w:rPr>
          <w:color w:val="000000"/>
          <w:spacing w:val="2"/>
          <w:sz w:val="24"/>
        </w:rPr>
        <w:t xml:space="preserve">乙方</w:t>
      </w:r>
      <w:r>
        <w:rPr>
          <w:spacing w:val="2"/>
          <w:sz w:val="24"/>
        </w:rPr>
        <w:t xml:space="preserve">在收集到完整投保资料后5个工作日内完成核保、出具保单、发票（或缴费通知书）。乙方将保险单正本件、保费票据及时交给甲方。</w:t>
      </w:r>
      <w:r/>
    </w:p>
    <w:p>
      <w:pPr>
        <w:ind w:left="-4" w:firstLine="428"/>
        <w:rPr>
          <w:spacing w:val="2"/>
          <w:sz w:val="24"/>
        </w:rPr>
      </w:pPr>
      <w:r>
        <w:rPr>
          <w:spacing w:val="2"/>
          <w:sz w:val="24"/>
        </w:rPr>
        <w:t xml:space="preserve">6.4.2理赔服务</w:t>
      </w:r>
      <w:r/>
    </w:p>
    <w:p>
      <w:pPr>
        <w:ind w:firstLine="488"/>
        <w:rPr>
          <w:color w:val="000000"/>
          <w:spacing w:val="2"/>
          <w:sz w:val="24"/>
        </w:rPr>
      </w:pPr>
      <w:r>
        <w:rPr>
          <w:spacing w:val="2"/>
          <w:sz w:val="24"/>
        </w:rPr>
        <w:t xml:space="preserve">6.4.2.1发生保险事故后，</w:t>
      </w:r>
      <w:r>
        <w:rPr>
          <w:color w:val="000000"/>
          <w:spacing w:val="2"/>
          <w:sz w:val="24"/>
        </w:rPr>
        <w:fldChar w:fldCharType="begin"/>
      </w:r>
      <w:r>
        <w:rPr>
          <w:color w:val="000000"/>
          <w:spacing w:val="2"/>
          <w:sz w:val="24"/>
        </w:rPr>
        <w:instrText xml:space="preserve"> = 1 \* GB3 \* MERGEFORMAT </w:instrText>
      </w:r>
      <w:r>
        <w:rPr>
          <w:color w:val="000000"/>
          <w:spacing w:val="2"/>
          <w:sz w:val="24"/>
        </w:rPr>
        <w:fldChar w:fldCharType="separate"/>
      </w:r>
      <w:r>
        <w:rPr>
          <w:color w:val="000000"/>
          <w:spacing w:val="2"/>
          <w:sz w:val="24"/>
        </w:rPr>
        <w:t xml:space="preserve">①</w:t>
      </w:r>
      <w:r>
        <w:rPr>
          <w:color w:val="000000"/>
          <w:spacing w:val="2"/>
          <w:sz w:val="24"/>
        </w:rPr>
        <w:fldChar w:fldCharType="end"/>
      </w:r>
      <w:r>
        <w:rPr>
          <w:color w:val="000000"/>
          <w:spacing w:val="2"/>
          <w:sz w:val="24"/>
        </w:rPr>
        <w:t xml:space="preserve">甲方及时向乙方报案；</w:t>
      </w:r>
      <w:r>
        <w:rPr>
          <w:color w:val="000000"/>
          <w:spacing w:val="2"/>
          <w:sz w:val="24"/>
        </w:rPr>
        <w:fldChar w:fldCharType="begin"/>
      </w:r>
      <w:r>
        <w:rPr>
          <w:color w:val="000000"/>
          <w:spacing w:val="2"/>
          <w:sz w:val="24"/>
        </w:rPr>
        <w:instrText xml:space="preserve"> = 2 \* GB3 \* MERGEFORMAT </w:instrText>
      </w:r>
      <w:r>
        <w:rPr>
          <w:color w:val="000000"/>
          <w:spacing w:val="2"/>
          <w:sz w:val="24"/>
        </w:rPr>
        <w:fldChar w:fldCharType="separate"/>
      </w:r>
      <w:r>
        <w:rPr>
          <w:color w:val="000000"/>
          <w:spacing w:val="2"/>
          <w:sz w:val="24"/>
        </w:rPr>
        <w:t xml:space="preserve">②</w:t>
      </w:r>
      <w:r>
        <w:rPr>
          <w:color w:val="000000"/>
          <w:spacing w:val="2"/>
          <w:sz w:val="24"/>
        </w:rPr>
        <w:fldChar w:fldCharType="end"/>
      </w:r>
      <w:r>
        <w:rPr>
          <w:color w:val="000000"/>
          <w:spacing w:val="2"/>
          <w:sz w:val="24"/>
        </w:rPr>
        <w:t xml:space="preserve">乙方及时上门收取理赔申请材料，并在收到案件理赔申请后，根据条款及相关约定，</w:t>
      </w:r>
      <w:r>
        <w:rPr>
          <w:spacing w:val="2"/>
          <w:sz w:val="24"/>
        </w:rPr>
        <w:t xml:space="preserve">按其工作流程审核相关材料并在约定的时限内提出处理意见，材料齐全后</w:t>
      </w:r>
      <w:r>
        <w:rPr>
          <w:color w:val="000000"/>
          <w:spacing w:val="2"/>
          <w:sz w:val="24"/>
        </w:rPr>
        <w:t xml:space="preserve">及时结案并足额理赔。</w:t>
      </w:r>
      <w:r/>
    </w:p>
    <w:p>
      <w:pPr>
        <w:ind w:firstLine="488"/>
        <w:rPr>
          <w:color w:val="000000"/>
          <w:spacing w:val="2"/>
          <w:sz w:val="24"/>
        </w:rPr>
      </w:pPr>
      <w:r>
        <w:rPr>
          <w:color w:val="000000"/>
          <w:spacing w:val="2"/>
          <w:sz w:val="24"/>
        </w:rPr>
        <w:t xml:space="preserve">6.4.2.2除非有合理和足够的证据证明，乙方不得以任何理由推卸、拖延甚至拒绝被甲方索赔的要求，否则其行为构成违约，并须承担违约责任。乙方未按约定相关条款的要求完成赔付的，在减去约定结案天数后按赔偿金额的0.657‰/日×实际滞纳天数计算滞纳金赔付给甲方，并承担由此造成的其他损失。</w:t>
      </w:r>
      <w:r/>
    </w:p>
    <w:p>
      <w:pPr>
        <w:ind w:firstLine="488"/>
        <w:rPr>
          <w:spacing w:val="2"/>
          <w:sz w:val="24"/>
        </w:rPr>
      </w:pPr>
      <w:r>
        <w:rPr>
          <w:color w:val="000000"/>
          <w:spacing w:val="2"/>
          <w:sz w:val="24"/>
        </w:rPr>
        <w:t xml:space="preserve">6.4.2.3若因工程施工、抢险需要或者因诊疗、抢救病人的机器设备急需立即维修，导致甲方因特殊情况无法报案或无法及时</w:t>
      </w:r>
      <w:r>
        <w:rPr>
          <w:spacing w:val="2"/>
          <w:sz w:val="24"/>
        </w:rPr>
        <w:t xml:space="preserve">报案，有材料证明事故属于本保险项目保障范围的，乙方应当正常理赔。</w:t>
      </w:r>
      <w:r/>
    </w:p>
    <w:p>
      <w:pPr>
        <w:ind w:firstLine="488"/>
        <w:rPr>
          <w:spacing w:val="2"/>
          <w:sz w:val="24"/>
        </w:rPr>
      </w:pPr>
      <w:r>
        <w:rPr>
          <w:spacing w:val="2"/>
          <w:sz w:val="24"/>
        </w:rPr>
        <w:t xml:space="preserve">6.4.2.4甲方应尽可能为乙方、公估人调查和取证工作保留事故现场；对无法留待乙方、公估人查勘的事故现场，甲方应尽可能留下照片、录像、文字记录供乙方审核之用。</w:t>
      </w:r>
      <w:r/>
    </w:p>
    <w:p>
      <w:pPr>
        <w:ind w:firstLine="480"/>
        <w:rPr>
          <w:b/>
          <w:bCs/>
          <w:sz w:val="24"/>
        </w:rPr>
      </w:pPr>
      <w:r>
        <w:rPr>
          <w:sz w:val="24"/>
        </w:rPr>
        <w:t xml:space="preserve">6.4.3保险保障+风控服务</w:t>
      </w:r>
      <w:r/>
    </w:p>
    <w:p>
      <w:pPr>
        <w:ind w:firstLine="480"/>
        <w:rPr>
          <w:sz w:val="24"/>
        </w:rPr>
      </w:pPr>
      <w:r>
        <w:rPr>
          <w:sz w:val="24"/>
        </w:rPr>
        <w:t xml:space="preserve">①乙方风控服务投入人员：共</w:t>
      </w:r>
      <w:r>
        <w:rPr>
          <w:sz w:val="24"/>
          <w:u w:val="single"/>
        </w:rPr>
        <w:t xml:space="preserve">   </w:t>
      </w:r>
      <w:r>
        <w:rPr>
          <w:sz w:val="24"/>
        </w:rPr>
        <w:t xml:space="preserve">人，其中</w:t>
      </w:r>
      <w:r>
        <w:rPr>
          <w:sz w:val="24"/>
          <w:u w:val="single"/>
        </w:rPr>
        <w:t xml:space="preserve">  </w:t>
      </w:r>
      <w:r>
        <w:rPr>
          <w:sz w:val="24"/>
        </w:rPr>
        <w:t xml:space="preserve">人为驻场人员（其中</w:t>
      </w:r>
      <w:r>
        <w:rPr>
          <w:sz w:val="24"/>
          <w:u w:val="single"/>
        </w:rPr>
        <w:t xml:space="preserve">    </w:t>
      </w:r>
      <w:r>
        <w:rPr>
          <w:sz w:val="24"/>
        </w:rPr>
        <w:t xml:space="preserve">（姓名、联系电话）为驻场甲方人员）；②每季度乙方至少组织一次到2个以上临床科室开展案例宣讲；③乙方组织外院专家开展医疗纠纷内部评估；④乙方根据甲方现有的风险防控信息手段，协助甲方开展信息化医疗风险防控工作。</w:t>
      </w:r>
      <w:r/>
    </w:p>
    <w:p>
      <w:pPr>
        <w:ind w:firstLine="488"/>
        <w:rPr>
          <w:spacing w:val="2"/>
          <w:sz w:val="24"/>
        </w:rPr>
      </w:pPr>
      <w:r>
        <w:rPr>
          <w:spacing w:val="2"/>
          <w:sz w:val="24"/>
        </w:rPr>
        <w:t xml:space="preserve">6.4.4监督管理</w:t>
      </w:r>
      <w:r/>
    </w:p>
    <w:p>
      <w:pPr>
        <w:ind w:firstLine="488"/>
        <w:rPr>
          <w:color w:val="000000"/>
          <w:spacing w:val="2"/>
          <w:sz w:val="24"/>
        </w:rPr>
      </w:pPr>
      <w:r>
        <w:rPr>
          <w:color w:val="000000"/>
          <w:spacing w:val="2"/>
          <w:sz w:val="24"/>
        </w:rPr>
        <w:t xml:space="preserve">为了整个承保机制顺利运行，乙方定期（每季度一次）与甲方汇总项目运行情况（包括但不仅限于报案、查勘、理赔等）。乙方于每月5日将上月结案明细以邮件形式发送给甲方。乙方按照规定每月向甲方提交各类报表、案件汇总、支付赔款凭证等。</w:t>
      </w:r>
      <w:r/>
    </w:p>
    <w:p>
      <w:pPr>
        <w:ind w:right="211" w:firstLine="497"/>
        <w:rPr>
          <w:bCs/>
          <w:spacing w:val="2"/>
          <w:sz w:val="24"/>
        </w:rPr>
      </w:pPr>
      <w:r>
        <w:rPr>
          <w:bCs/>
          <w:spacing w:val="2"/>
          <w:sz w:val="24"/>
        </w:rPr>
        <w:t xml:space="preserve">6.5乙方严格按照合同约定执行，按照相关管理办法定期接受甲方履约考核。</w:t>
      </w:r>
      <w:r/>
    </w:p>
    <w:p>
      <w:pPr>
        <w:ind w:right="210" w:firstLine="428"/>
        <w:rPr>
          <w:color w:val="000000"/>
          <w:spacing w:val="2"/>
          <w:sz w:val="24"/>
        </w:rPr>
      </w:pPr>
      <w:r>
        <w:rPr>
          <w:color w:val="000000"/>
          <w:spacing w:val="2"/>
          <w:sz w:val="24"/>
        </w:rPr>
        <w:t xml:space="preserve">6.6乙方应自觉遵守国家关于保险行业的有关法律、法规，以及廉政建设的各项规定，开展履约活动，并按照纪检监察机构相关规定出具廉洁自律保证书。</w:t>
      </w:r>
      <w:r/>
    </w:p>
    <w:p>
      <w:pPr>
        <w:ind w:right="210" w:firstLine="428"/>
        <w:rPr>
          <w:color w:val="000000"/>
          <w:spacing w:val="2"/>
          <w:sz w:val="24"/>
        </w:rPr>
      </w:pPr>
      <w:r>
        <w:rPr>
          <w:color w:val="000000"/>
          <w:spacing w:val="2"/>
          <w:sz w:val="24"/>
        </w:rPr>
        <w:t xml:space="preserve">6.7乙方违反投标文件以及本合同中的承诺、保证或其他主要义务的，构成根本违约，应当承担相应的违约责任。</w:t>
      </w:r>
      <w:r/>
    </w:p>
    <w:p>
      <w:pPr>
        <w:ind w:right="210" w:firstLine="428"/>
        <w:rPr>
          <w:color w:val="000000"/>
          <w:spacing w:val="2"/>
          <w:sz w:val="24"/>
        </w:rPr>
      </w:pPr>
      <w:r>
        <w:rPr>
          <w:color w:val="000000"/>
          <w:spacing w:val="2"/>
          <w:sz w:val="24"/>
        </w:rPr>
        <w:t xml:space="preserve">6.8 各方当事人应严格履行本合同各项条款，自觉接受财政、监察、审计部门的监督检查。</w:t>
      </w:r>
      <w:r/>
    </w:p>
    <w:p>
      <w:pPr>
        <w:ind w:firstLine="560"/>
        <w:rPr>
          <w:sz w:val="24"/>
        </w:rPr>
      </w:pPr>
      <w:r>
        <w:rPr>
          <w:sz w:val="24"/>
        </w:rPr>
        <w:t xml:space="preserve">7.考核及违约责任</w:t>
      </w:r>
      <w:r/>
    </w:p>
    <w:p>
      <w:pPr>
        <w:ind w:left="-4" w:firstLine="428"/>
        <w:rPr>
          <w:spacing w:val="2"/>
          <w:sz w:val="24"/>
        </w:rPr>
      </w:pPr>
      <w:r>
        <w:rPr>
          <w:spacing w:val="2"/>
          <w:sz w:val="24"/>
        </w:rPr>
        <w:t xml:space="preserve">1.乙方在合同有效期内应接受甲方对乙方履约情况进行考核评价（考核表见附件），包括但不仅限于对以下内容的审查：保险合同履行、赔付情况、客户满意度等。</w:t>
      </w:r>
      <w:r/>
    </w:p>
    <w:p>
      <w:pPr>
        <w:ind w:left="-4" w:firstLine="428"/>
        <w:rPr>
          <w:spacing w:val="2"/>
          <w:sz w:val="24"/>
        </w:rPr>
      </w:pPr>
      <w:r>
        <w:rPr>
          <w:spacing w:val="2"/>
          <w:sz w:val="24"/>
        </w:rPr>
        <w:t xml:space="preserve">2.根据《</w:t>
      </w:r>
      <w:r>
        <w:rPr>
          <w:rFonts w:hint="eastAsia"/>
          <w:spacing w:val="2"/>
          <w:sz w:val="24"/>
        </w:rPr>
        <w:t xml:space="preserve">江苏省政府采购信用管理暂行办法</w:t>
      </w:r>
      <w:r>
        <w:rPr>
          <w:spacing w:val="2"/>
          <w:sz w:val="24"/>
        </w:rPr>
        <w:t xml:space="preserve">》（</w:t>
      </w:r>
      <w:r>
        <w:rPr>
          <w:rFonts w:hint="eastAsia"/>
          <w:spacing w:val="2"/>
          <w:sz w:val="24"/>
        </w:rPr>
        <w:t xml:space="preserve">苏</w:t>
      </w:r>
      <w:r>
        <w:rPr>
          <w:spacing w:val="2"/>
          <w:sz w:val="24"/>
        </w:rPr>
        <w:t xml:space="preserve">财规〔201</w:t>
      </w:r>
      <w:r>
        <w:rPr>
          <w:rFonts w:hint="eastAsia"/>
          <w:spacing w:val="2"/>
          <w:sz w:val="24"/>
        </w:rPr>
        <w:t xml:space="preserve">8</w:t>
      </w:r>
      <w:r>
        <w:rPr>
          <w:spacing w:val="2"/>
          <w:sz w:val="24"/>
        </w:rPr>
        <w:t xml:space="preserve">〕</w:t>
      </w:r>
      <w:r>
        <w:rPr>
          <w:rFonts w:hint="eastAsia"/>
          <w:spacing w:val="2"/>
          <w:sz w:val="24"/>
        </w:rPr>
        <w:t xml:space="preserve">18</w:t>
      </w:r>
      <w:r>
        <w:rPr>
          <w:spacing w:val="2"/>
          <w:sz w:val="24"/>
        </w:rPr>
        <w:t xml:space="preserve">号）</w:t>
      </w:r>
      <w:r>
        <w:rPr>
          <w:rFonts w:hint="eastAsia"/>
          <w:spacing w:val="2"/>
          <w:sz w:val="24"/>
        </w:rPr>
        <w:t xml:space="preserve">和政府采购法及其实施条例、财政部信用查询</w:t>
      </w:r>
      <w:r>
        <w:rPr>
          <w:spacing w:val="2"/>
          <w:sz w:val="24"/>
        </w:rPr>
        <w:t xml:space="preserve">相关规定，乙方未按合同规定履行合同义务，造成不良后果的，甲方应将具体情况以书面形式向财政部门报告，由财政部门按照规定核实予以乙方行政处罚或失信记录。</w:t>
      </w:r>
      <w:r/>
    </w:p>
    <w:p>
      <w:pPr>
        <w:ind w:firstLine="560"/>
        <w:rPr>
          <w:sz w:val="24"/>
        </w:rPr>
      </w:pPr>
      <w:r>
        <w:rPr>
          <w:sz w:val="24"/>
        </w:rPr>
        <w:t xml:space="preserve">8．保密条款</w:t>
      </w:r>
      <w:r/>
    </w:p>
    <w:p>
      <w:pPr>
        <w:ind w:right="210" w:firstLine="420"/>
        <w:rPr>
          <w:sz w:val="24"/>
        </w:rPr>
      </w:pPr>
      <w:r>
        <w:rPr>
          <w:sz w:val="24"/>
        </w:rPr>
        <w:t xml:space="preserve">8.1任何一方对其获知的本合同涉及的所有有形、无形的信息及资料（包括但不仅限于甲乙及投保人的往来书面文字文件、电子邮件及信息、电子资料、保险合同、保险费率、保险方案、理赔数据等）中另一方的商业秘密负有保密义务。</w:t>
      </w:r>
      <w:r/>
    </w:p>
    <w:p>
      <w:pPr>
        <w:ind w:right="210" w:firstLine="420"/>
        <w:rPr>
          <w:color w:val="000000"/>
          <w:spacing w:val="6"/>
          <w:sz w:val="24"/>
        </w:rPr>
      </w:pPr>
      <w:r>
        <w:rPr>
          <w:sz w:val="24"/>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04"/>
        <w:rPr>
          <w:color w:val="000000"/>
          <w:spacing w:val="6"/>
          <w:sz w:val="24"/>
        </w:rPr>
      </w:pPr>
      <w:r>
        <w:rPr>
          <w:color w:val="000000"/>
          <w:spacing w:val="6"/>
          <w:sz w:val="24"/>
        </w:rPr>
        <w:t xml:space="preserve">8.3本合同终止后本条款永久有效。</w:t>
      </w:r>
      <w:r/>
    </w:p>
    <w:p>
      <w:pPr>
        <w:ind w:firstLine="560"/>
        <w:rPr>
          <w:sz w:val="24"/>
        </w:rPr>
      </w:pPr>
      <w:r>
        <w:rPr>
          <w:sz w:val="24"/>
        </w:rPr>
        <w:t xml:space="preserve">9.保费</w:t>
      </w:r>
      <w:r/>
    </w:p>
    <w:p>
      <w:pPr>
        <w:ind w:firstLine="480"/>
        <w:rPr>
          <w:b/>
          <w:sz w:val="24"/>
        </w:rPr>
      </w:pPr>
      <w:r>
        <w:rPr>
          <w:color w:val="000000"/>
          <w:sz w:val="24"/>
        </w:rPr>
        <w:t xml:space="preserve">9.1本合同执行乙方的中标价（见附件） 。</w:t>
      </w:r>
      <w:r/>
    </w:p>
    <w:p>
      <w:pPr>
        <w:ind w:firstLine="480"/>
        <w:rPr>
          <w:color w:val="000000"/>
          <w:sz w:val="24"/>
        </w:rPr>
      </w:pPr>
      <w:r>
        <w:rPr>
          <w:color w:val="000000"/>
          <w:sz w:val="24"/>
        </w:rPr>
        <w:t xml:space="preserve">9.2投保人（甲方）在收到乙方保单、保险费发票后30日内将上述款项划入乙方指定账户。</w:t>
      </w:r>
      <w:r/>
    </w:p>
    <w:p>
      <w:pPr>
        <w:ind w:right="210" w:firstLine="420"/>
        <w:rPr>
          <w:sz w:val="24"/>
        </w:rPr>
      </w:pPr>
      <w:r>
        <w:rPr>
          <w:sz w:val="24"/>
        </w:rPr>
        <w:t xml:space="preserve">9.3 在约定保险期间内，保费交清前发生的保险事故，保险人（乙方）承担保险责任。</w:t>
      </w:r>
      <w:r/>
    </w:p>
    <w:p>
      <w:pPr>
        <w:ind w:firstLine="420"/>
        <w:rPr>
          <w:sz w:val="24"/>
        </w:rPr>
      </w:pPr>
      <w:r>
        <w:rPr>
          <w:sz w:val="24"/>
        </w:rPr>
        <w:t xml:space="preserve">9.4与本合同有关的一切税、费，均由乙方承担。</w:t>
      </w:r>
      <w:r/>
    </w:p>
    <w:p>
      <w:pPr>
        <w:pStyle w:val="1065"/>
        <w:ind w:firstLine="480"/>
        <w:rPr>
          <w:rFonts w:ascii="Times New Roman" w:hAnsi="Times New Roman" w:eastAsia="宋体"/>
          <w:sz w:val="24"/>
          <w:szCs w:val="24"/>
        </w:rPr>
      </w:pPr>
      <w:r>
        <w:rPr>
          <w:rFonts w:ascii="Times New Roman" w:hAnsi="Times New Roman" w:eastAsia="宋体"/>
          <w:sz w:val="24"/>
          <w:szCs w:val="24"/>
        </w:rPr>
        <w:t xml:space="preserve">10.履约保证金</w:t>
      </w:r>
      <w:r/>
    </w:p>
    <w:p>
      <w:pPr>
        <w:ind w:firstLine="640"/>
        <w:rPr>
          <w:sz w:val="24"/>
        </w:rPr>
      </w:pPr>
      <w:r>
        <w:rPr>
          <w:sz w:val="24"/>
        </w:rPr>
        <w:t xml:space="preserve">本项目</w:t>
      </w:r>
      <w:r>
        <w:rPr>
          <w:sz w:val="24"/>
          <w:u w:val="single"/>
        </w:rPr>
        <w:t xml:space="preserve">（不收取）</w:t>
      </w:r>
      <w:r>
        <w:rPr>
          <w:sz w:val="24"/>
        </w:rPr>
        <w:t xml:space="preserve">履约保证金。</w:t>
      </w:r>
      <w:r/>
    </w:p>
    <w:p>
      <w:pPr>
        <w:ind w:firstLine="560"/>
        <w:rPr>
          <w:sz w:val="24"/>
        </w:rPr>
      </w:pPr>
      <w:r>
        <w:rPr>
          <w:sz w:val="24"/>
        </w:rPr>
        <w:t xml:space="preserve">11.合同的变更</w:t>
      </w:r>
      <w:r/>
    </w:p>
    <w:p>
      <w:pPr>
        <w:ind w:right="210" w:firstLine="420"/>
        <w:rPr>
          <w:sz w:val="24"/>
        </w:rPr>
      </w:pPr>
      <w:r>
        <w:rPr>
          <w:sz w:val="24"/>
        </w:rPr>
        <w:t xml:space="preserve">11.1、除《中华人民共和国政府采购法》第四十九条、第五十条第二款规定的情形外，本合同一经签订，甲乙双方不得擅自变更、中止或终止合同。</w:t>
      </w:r>
      <w:r/>
    </w:p>
    <w:p>
      <w:pPr>
        <w:ind w:firstLine="420"/>
        <w:rPr>
          <w:sz w:val="24"/>
        </w:rPr>
      </w:pPr>
      <w:r>
        <w:rPr>
          <w:sz w:val="24"/>
        </w:rPr>
        <w:t xml:space="preserve">11.2、如需修改或补充合同内容，应经甲方、乙方协商，共同签署书面修改或补充协议。该协议将作为本合同不可分割的一部分。</w:t>
      </w:r>
      <w:r/>
    </w:p>
    <w:p>
      <w:pPr>
        <w:ind w:firstLine="560"/>
        <w:rPr>
          <w:sz w:val="24"/>
        </w:rPr>
      </w:pPr>
      <w:r>
        <w:rPr>
          <w:sz w:val="24"/>
        </w:rPr>
        <w:t xml:space="preserve">12.转让</w:t>
      </w:r>
      <w:r/>
    </w:p>
    <w:p>
      <w:pPr>
        <w:ind w:firstLine="420"/>
        <w:rPr>
          <w:sz w:val="24"/>
        </w:rPr>
      </w:pPr>
      <w:r>
        <w:rPr>
          <w:sz w:val="24"/>
        </w:rPr>
        <w:t xml:space="preserve">除甲方事先书面同意外，乙方不得擅自部分或全部转让其应履行的合同义务。</w:t>
      </w:r>
      <w:r/>
    </w:p>
    <w:p>
      <w:pPr>
        <w:ind w:firstLine="560"/>
        <w:rPr>
          <w:sz w:val="24"/>
        </w:rPr>
      </w:pPr>
      <w:r>
        <w:rPr>
          <w:sz w:val="24"/>
        </w:rPr>
        <w:t xml:space="preserve">13.解决合同纠纷的方式</w:t>
      </w:r>
      <w:r/>
    </w:p>
    <w:p>
      <w:pPr>
        <w:ind w:firstLine="420"/>
        <w:rPr>
          <w:sz w:val="24"/>
        </w:rPr>
      </w:pPr>
      <w:r>
        <w:rPr>
          <w:sz w:val="24"/>
        </w:rPr>
        <w:t xml:space="preserve">13.1在执行本合同中所发生的或与本合同有关的一切争端，甲方和乙方应通过友好协商的办法进行解决。如从协商开始15天内仍不能解决，可向甲方所在地人民法院提起诉讼。</w:t>
      </w:r>
      <w:r/>
    </w:p>
    <w:p>
      <w:pPr>
        <w:ind w:firstLine="420"/>
        <w:rPr>
          <w:sz w:val="24"/>
        </w:rPr>
      </w:pPr>
      <w:r>
        <w:rPr>
          <w:sz w:val="24"/>
        </w:rPr>
        <w:t xml:space="preserve">13.2在诉讼期间，本合同应继续执行。</w:t>
      </w:r>
      <w:r/>
    </w:p>
    <w:p>
      <w:pPr>
        <w:ind w:firstLine="560"/>
        <w:rPr>
          <w:sz w:val="24"/>
        </w:rPr>
      </w:pPr>
      <w:r>
        <w:rPr>
          <w:sz w:val="24"/>
        </w:rPr>
        <w:t xml:space="preserve">14.生效</w:t>
      </w:r>
      <w:r/>
    </w:p>
    <w:p>
      <w:pPr>
        <w:ind w:firstLine="422"/>
        <w:rPr>
          <w:b/>
          <w:bCs/>
          <w:sz w:val="24"/>
        </w:rPr>
      </w:pPr>
      <w:r>
        <w:rPr>
          <w:b/>
          <w:bCs/>
          <w:sz w:val="24"/>
        </w:rPr>
        <w:t xml:space="preserve">本合同自甲乙双方签名盖章之日起生效。</w:t>
      </w:r>
      <w:r/>
    </w:p>
    <w:p>
      <w:pPr>
        <w:ind w:firstLine="560"/>
        <w:rPr>
          <w:sz w:val="24"/>
        </w:rPr>
      </w:pPr>
      <w:r>
        <w:rPr>
          <w:sz w:val="24"/>
        </w:rPr>
        <w:t xml:space="preserve">15.合同保存</w:t>
      </w:r>
      <w:r/>
    </w:p>
    <w:p>
      <w:pPr>
        <w:ind w:firstLine="422"/>
        <w:rPr>
          <w:sz w:val="24"/>
        </w:rPr>
      </w:pPr>
      <w:r>
        <w:rPr>
          <w:b/>
          <w:sz w:val="24"/>
        </w:rPr>
        <w:t xml:space="preserve">合同份数：本合同一式 </w:t>
      </w:r>
      <w:r>
        <w:rPr>
          <w:b/>
          <w:sz w:val="24"/>
          <w:u w:val="single"/>
        </w:rPr>
        <w:t xml:space="preserve">   </w:t>
      </w:r>
      <w:r>
        <w:rPr>
          <w:b/>
          <w:sz w:val="24"/>
        </w:rPr>
        <w:t xml:space="preserve">份，甲方执</w:t>
      </w:r>
      <w:r>
        <w:rPr>
          <w:b/>
          <w:sz w:val="24"/>
          <w:u w:val="single"/>
        </w:rPr>
        <w:t xml:space="preserve">肆</w:t>
      </w:r>
      <w:r>
        <w:rPr>
          <w:b/>
          <w:sz w:val="24"/>
        </w:rPr>
        <w:t xml:space="preserve">份，乙方执</w:t>
      </w:r>
      <w:r>
        <w:rPr>
          <w:b/>
          <w:sz w:val="24"/>
          <w:u w:val="single"/>
        </w:rPr>
        <w:t xml:space="preserve">   </w:t>
      </w:r>
      <w:r>
        <w:rPr>
          <w:b/>
          <w:sz w:val="24"/>
        </w:rPr>
        <w:t xml:space="preserve">份，具有同等法律效力。</w:t>
      </w:r>
      <w:r/>
    </w:p>
    <w:p>
      <w:pPr>
        <w:rPr>
          <w:sz w:val="24"/>
        </w:rPr>
      </w:pPr>
      <w:r>
        <w:rPr>
          <w:sz w:val="24"/>
        </w:rPr>
      </w:r>
      <w:r/>
    </w:p>
    <w:p>
      <w:pPr>
        <w:rPr>
          <w:sz w:val="24"/>
        </w:rPr>
      </w:pPr>
      <w:r>
        <w:rPr>
          <w:sz w:val="24"/>
        </w:rPr>
        <w:t xml:space="preserve">甲    方：                                     </w:t>
      </w:r>
      <w:r/>
    </w:p>
    <w:p>
      <w:pPr>
        <w:rPr>
          <w:sz w:val="24"/>
        </w:rPr>
      </w:pPr>
      <w:r>
        <w:rPr>
          <w:sz w:val="24"/>
        </w:rPr>
        <w:t xml:space="preserve">单位名称（章）：</w:t>
      </w:r>
      <w:r/>
    </w:p>
    <w:p>
      <w:pPr>
        <w:rPr>
          <w:sz w:val="24"/>
        </w:rPr>
      </w:pPr>
      <w:r>
        <w:rPr>
          <w:sz w:val="24"/>
        </w:rPr>
        <w:t xml:space="preserve">单位地址：</w:t>
      </w:r>
      <w:r/>
    </w:p>
    <w:p>
      <w:pPr>
        <w:rPr>
          <w:sz w:val="24"/>
        </w:rPr>
      </w:pPr>
      <w:r>
        <w:rPr>
          <w:sz w:val="24"/>
        </w:rPr>
        <w:t xml:space="preserve">法定代表人：                        </w:t>
      </w:r>
      <w:r/>
    </w:p>
    <w:p>
      <w:pPr>
        <w:rPr>
          <w:sz w:val="24"/>
        </w:rPr>
      </w:pPr>
      <w:r>
        <w:rPr>
          <w:sz w:val="24"/>
        </w:rPr>
        <w:t xml:space="preserve">委托代理人： </w:t>
      </w:r>
      <w:r/>
    </w:p>
    <w:p>
      <w:pPr>
        <w:rPr>
          <w:sz w:val="24"/>
        </w:rPr>
      </w:pPr>
      <w:r>
        <w:rPr>
          <w:sz w:val="24"/>
        </w:rPr>
        <w:t xml:space="preserve">经办人：                        </w:t>
      </w:r>
      <w:r/>
    </w:p>
    <w:p>
      <w:pPr>
        <w:rPr>
          <w:sz w:val="24"/>
        </w:rPr>
      </w:pPr>
      <w:r>
        <w:rPr>
          <w:sz w:val="24"/>
        </w:rPr>
        <w:t xml:space="preserve">电  话： </w:t>
      </w:r>
      <w:r/>
    </w:p>
    <w:p>
      <w:pPr>
        <w:rPr>
          <w:sz w:val="24"/>
        </w:rPr>
      </w:pPr>
      <w:r>
        <w:rPr>
          <w:sz w:val="24"/>
        </w:rPr>
        <w:t xml:space="preserve">日期：        年    月    日 </w:t>
      </w:r>
      <w:r/>
    </w:p>
    <w:p>
      <w:pPr>
        <w:rPr>
          <w:sz w:val="24"/>
        </w:rPr>
      </w:pPr>
      <w:r>
        <w:rPr>
          <w:sz w:val="24"/>
        </w:rPr>
      </w:r>
      <w:r/>
    </w:p>
    <w:p>
      <w:pPr>
        <w:rPr>
          <w:sz w:val="24"/>
        </w:rPr>
      </w:pPr>
      <w:r>
        <w:rPr>
          <w:sz w:val="24"/>
        </w:rPr>
        <w:t xml:space="preserve">乙    方：</w:t>
      </w:r>
      <w:r/>
    </w:p>
    <w:p>
      <w:pPr>
        <w:rPr>
          <w:sz w:val="24"/>
        </w:rPr>
      </w:pPr>
      <w:r>
        <w:rPr>
          <w:sz w:val="24"/>
        </w:rPr>
        <w:t xml:space="preserve">单位名称（章）：</w:t>
      </w:r>
      <w:r/>
    </w:p>
    <w:p>
      <w:pPr>
        <w:rPr>
          <w:sz w:val="24"/>
        </w:rPr>
      </w:pPr>
      <w:r>
        <w:rPr>
          <w:sz w:val="24"/>
        </w:rPr>
        <w:t xml:space="preserve">单位地址：</w:t>
      </w:r>
      <w:r/>
    </w:p>
    <w:p>
      <w:pPr>
        <w:rPr>
          <w:sz w:val="24"/>
        </w:rPr>
      </w:pPr>
      <w:r>
        <w:rPr>
          <w:sz w:val="24"/>
        </w:rPr>
        <w:t xml:space="preserve">开户银行：</w:t>
      </w:r>
      <w:r/>
    </w:p>
    <w:p>
      <w:pPr>
        <w:rPr>
          <w:sz w:val="24"/>
        </w:rPr>
      </w:pPr>
      <w:r>
        <w:rPr>
          <w:sz w:val="24"/>
        </w:rPr>
        <w:t xml:space="preserve">银行账号：</w:t>
      </w:r>
      <w:r/>
    </w:p>
    <w:p>
      <w:pPr>
        <w:rPr>
          <w:sz w:val="24"/>
        </w:rPr>
      </w:pPr>
      <w:r>
        <w:rPr>
          <w:sz w:val="24"/>
        </w:rPr>
        <w:t xml:space="preserve">法定代表人（或单位负责人）：</w:t>
      </w:r>
      <w:r/>
    </w:p>
    <w:p>
      <w:pPr>
        <w:rPr>
          <w:sz w:val="24"/>
        </w:rPr>
      </w:pPr>
      <w:r>
        <w:rPr>
          <w:sz w:val="24"/>
        </w:rPr>
        <w:t xml:space="preserve">委托代理人：</w:t>
      </w:r>
      <w:r/>
    </w:p>
    <w:p>
      <w:pPr>
        <w:rPr>
          <w:sz w:val="24"/>
        </w:rPr>
      </w:pPr>
      <w:r>
        <w:rPr>
          <w:sz w:val="24"/>
        </w:rPr>
        <w:t xml:space="preserve">日期：        年    月    日</w:t>
      </w:r>
      <w:r/>
    </w:p>
    <w:p>
      <w:pPr>
        <w:spacing w:before="120" w:after="120"/>
        <w:rPr>
          <w:sz w:val="24"/>
        </w:rPr>
      </w:pPr>
      <w:r>
        <w:rPr>
          <w:sz w:val="24"/>
        </w:rPr>
        <w:t xml:space="preserve">电  话：</w:t>
      </w:r>
      <w:r>
        <w:rPr>
          <w:b/>
          <w:bCs/>
          <w:sz w:val="24"/>
        </w:rPr>
        <w:t xml:space="preserve">注：银行账号与开户银行必须填写清楚。</w:t>
      </w:r>
      <w:r>
        <w:rPr>
          <w:sz w:val="24"/>
        </w:rPr>
        <w:t xml:space="preserve"> </w:t>
      </w:r>
      <w:r/>
    </w:p>
    <w:p>
      <w:pPr>
        <w:jc w:val="center"/>
        <w:rPr>
          <w:rFonts w:ascii="黑体" w:eastAsia="黑体"/>
          <w:sz w:val="44"/>
        </w:rPr>
      </w:pPr>
      <w:r>
        <w:rPr>
          <w:rFonts w:hint="eastAsia" w:ascii="宋体" w:hAnsi="宋体"/>
          <w:b/>
          <w:bCs/>
          <w:sz w:val="30"/>
          <w:szCs w:val="20"/>
        </w:rPr>
        <w:br w:type="page" w:clear="all"/>
      </w:r>
      <w:bookmarkEnd w:id="188"/>
      <w:r/>
      <w:bookmarkEnd w:id="189"/>
      <w:r/>
      <w:bookmarkEnd w:id="190"/>
      <w:r/>
      <w:bookmarkStart w:id="191" w:name="_Toc173761692"/>
      <w:r/>
      <w:bookmarkStart w:id="192" w:name="_Toc120614281"/>
      <w:r/>
      <w:bookmarkStart w:id="193" w:name="_Toc26554093"/>
      <w:r/>
      <w:bookmarkStart w:id="194" w:name="_Toc49090575"/>
      <w:r/>
      <w:bookmarkStart w:id="195" w:name="_Toc462564139"/>
      <w:r/>
      <w:bookmarkStart w:id="196" w:name="_Toc479757211"/>
      <w:r>
        <w:rPr>
          <w:rFonts w:hint="eastAsia" w:ascii="黑体" w:eastAsia="黑体"/>
          <w:sz w:val="44"/>
        </w:rPr>
        <w:t xml:space="preserve">第四章  采购需求</w:t>
      </w:r>
      <w:bookmarkEnd w:id="191"/>
      <w:r/>
      <w:r/>
    </w:p>
    <w:p>
      <w:pPr>
        <w:pStyle w:val="1043"/>
        <w:numPr>
          <w:ilvl w:val="0"/>
          <w:numId w:val="4"/>
        </w:numPr>
        <w:jc w:val="both"/>
        <w:widowControl w:val="off"/>
        <w:rPr>
          <w:rFonts w:ascii="Times New Roman" w:hAnsi="Times New Roman"/>
          <w:b/>
        </w:rPr>
      </w:pPr>
      <w:r>
        <w:rPr>
          <w:rFonts w:ascii="Times New Roman" w:hAnsi="Times New Roman"/>
          <w:b/>
        </w:rPr>
        <w:t xml:space="preserve">采购标的</w:t>
      </w:r>
      <w:r/>
    </w:p>
    <w:p>
      <w:pPr>
        <w:contextualSpacing/>
        <w:rPr>
          <w:bCs/>
          <w:sz w:val="24"/>
        </w:rPr>
      </w:pPr>
      <w:r>
        <w:rPr>
          <w:bCs/>
          <w:sz w:val="24"/>
        </w:rPr>
        <w:t xml:space="preserve">1.项目名称：2026-2027年度常州市第一人民医院等五家公立医院医疗责任险、财产险</w:t>
      </w:r>
      <w:r/>
    </w:p>
    <w:p>
      <w:pPr>
        <w:rPr>
          <w:sz w:val="24"/>
        </w:rPr>
      </w:pPr>
      <w:r>
        <w:rPr>
          <w:sz w:val="24"/>
        </w:rPr>
        <w:t xml:space="preserve">2.预算金额：1,887.12万元</w:t>
      </w:r>
      <w:r/>
    </w:p>
    <w:p>
      <w:pPr>
        <w:rPr>
          <w:sz w:val="24"/>
        </w:rPr>
      </w:pPr>
      <w:r>
        <w:rPr>
          <w:sz w:val="24"/>
        </w:rPr>
        <w:t xml:space="preserve">3.最高限价：1281.06万元/年</w:t>
      </w:r>
      <w:r>
        <w:rPr>
          <w:rFonts w:hint="eastAsia"/>
          <w:sz w:val="24"/>
        </w:rPr>
        <w:t xml:space="preserve">。</w:t>
      </w:r>
      <w:r>
        <w:rPr>
          <w:sz w:val="24"/>
        </w:rPr>
        <w:t xml:space="preserve">各医疗机构的最高限价见采购需求；各医疗机构的医疗责任险的最高限价见分项报价表。</w:t>
      </w:r>
      <w:r/>
    </w:p>
    <w:p>
      <w:pPr>
        <w:rPr>
          <w:sz w:val="24"/>
        </w:rPr>
      </w:pPr>
      <w:r>
        <w:rPr>
          <w:sz w:val="24"/>
        </w:rPr>
        <w:t xml:space="preserve">4.采购项目概况（简介）：本项目对2026-2027年度常州市第一人民医院、常州市中医医院、常州市妇幼保健院、常州市儿童医院、常州市第七人民医院五家公立医院医疗责任保险（附加医疗机构场所责任险、附加医务人员遭受伤害责任保险）、财产保险（包括财产综合险、机器损坏险）项目进行公开招标。</w:t>
      </w:r>
      <w:r/>
    </w:p>
    <w:tbl>
      <w:tblPr>
        <w:tblStyle w:val="961"/>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6"/>
        <w:gridCol w:w="3172"/>
        <w:gridCol w:w="3874"/>
      </w:tblGrid>
      <w:tr>
        <w:trPr>
          <w:trHeight w:val="567"/>
        </w:trPr>
        <w:tc>
          <w:tcPr>
            <w:tcW w:w="2196" w:type="dxa"/>
            <w:vAlign w:val="center"/>
            <w:textDirection w:val="lrTb"/>
            <w:noWrap w:val="false"/>
          </w:tcPr>
          <w:p>
            <w:pPr>
              <w:jc w:val="center"/>
              <w:widowControl/>
              <w:rPr>
                <w:b/>
                <w:bCs/>
                <w:sz w:val="24"/>
              </w:rPr>
            </w:pPr>
            <w:r>
              <w:rPr>
                <w:b/>
                <w:bCs/>
                <w:sz w:val="24"/>
              </w:rPr>
              <w:t xml:space="preserve">标的名称</w:t>
            </w:r>
            <w:r/>
          </w:p>
        </w:tc>
        <w:tc>
          <w:tcPr>
            <w:tcW w:w="3172" w:type="dxa"/>
            <w:vAlign w:val="center"/>
            <w:textDirection w:val="lrTb"/>
            <w:noWrap w:val="false"/>
          </w:tcPr>
          <w:p>
            <w:pPr>
              <w:jc w:val="center"/>
              <w:widowControl/>
              <w:rPr>
                <w:b/>
                <w:bCs/>
                <w:sz w:val="24"/>
              </w:rPr>
            </w:pPr>
            <w:r>
              <w:rPr>
                <w:b/>
                <w:bCs/>
                <w:sz w:val="24"/>
              </w:rPr>
              <w:t xml:space="preserve">医疗机构名称</w:t>
            </w:r>
            <w:r/>
          </w:p>
        </w:tc>
        <w:tc>
          <w:tcPr>
            <w:tcW w:w="3874" w:type="dxa"/>
            <w:vAlign w:val="center"/>
            <w:textDirection w:val="lrTb"/>
            <w:noWrap w:val="false"/>
          </w:tcPr>
          <w:p>
            <w:pPr>
              <w:jc w:val="center"/>
              <w:widowControl/>
              <w:rPr>
                <w:b/>
                <w:bCs/>
                <w:sz w:val="24"/>
              </w:rPr>
            </w:pPr>
            <w:r>
              <w:rPr>
                <w:b/>
                <w:bCs/>
                <w:sz w:val="24"/>
              </w:rPr>
              <w:t xml:space="preserve">预算/最高限价（万元/年）</w:t>
            </w:r>
            <w:r/>
          </w:p>
        </w:tc>
      </w:tr>
      <w:tr>
        <w:trPr>
          <w:trHeight w:val="567"/>
        </w:trPr>
        <w:tc>
          <w:tcPr>
            <w:tcW w:w="2196" w:type="dxa"/>
            <w:vAlign w:val="center"/>
            <w:vMerge w:val="restart"/>
            <w:textDirection w:val="lrTb"/>
            <w:noWrap w:val="false"/>
          </w:tcPr>
          <w:p>
            <w:pPr>
              <w:jc w:val="left"/>
              <w:rPr>
                <w:sz w:val="24"/>
              </w:rPr>
            </w:pPr>
            <w:r>
              <w:rPr>
                <w:sz w:val="24"/>
              </w:rPr>
              <w:t xml:space="preserve">2026-2027年度常州市第一人民医院等五家公立医院医疗责任险、财产险项目</w:t>
            </w:r>
            <w:r/>
          </w:p>
        </w:tc>
        <w:tc>
          <w:tcPr>
            <w:tcW w:w="3172" w:type="dxa"/>
            <w:vAlign w:val="center"/>
            <w:textDirection w:val="lrTb"/>
            <w:noWrap w:val="false"/>
          </w:tcPr>
          <w:p>
            <w:pPr>
              <w:jc w:val="left"/>
              <w:widowControl/>
              <w:rPr>
                <w:sz w:val="24"/>
              </w:rPr>
            </w:pPr>
            <w:r>
              <w:rPr>
                <w:sz w:val="24"/>
              </w:rPr>
              <w:t xml:space="preserve">常州市第一人民医院</w:t>
            </w:r>
            <w:r/>
          </w:p>
        </w:tc>
        <w:tc>
          <w:tcPr>
            <w:tcW w:w="3874" w:type="dxa"/>
            <w:vAlign w:val="center"/>
            <w:textDirection w:val="lrTb"/>
            <w:noWrap w:val="false"/>
          </w:tcPr>
          <w:p>
            <w:pPr>
              <w:jc w:val="center"/>
              <w:widowControl/>
              <w:rPr>
                <w:sz w:val="24"/>
              </w:rPr>
            </w:pPr>
            <w:r>
              <w:rPr>
                <w:color w:val="000000"/>
                <w:sz w:val="24"/>
                <w:lang w:bidi="ar"/>
              </w:rPr>
              <w:t xml:space="preserve">675</w:t>
            </w:r>
            <w:r/>
          </w:p>
        </w:tc>
      </w:tr>
      <w:tr>
        <w:trPr>
          <w:trHeight w:val="567"/>
        </w:trPr>
        <w:tc>
          <w:tcPr>
            <w:tcW w:w="2196" w:type="dxa"/>
            <w:vMerge w:val="continue"/>
            <w:textDirection w:val="lrTb"/>
            <w:noWrap w:val="false"/>
          </w:tcPr>
          <w:p>
            <w:pPr>
              <w:jc w:val="left"/>
              <w:rPr>
                <w:sz w:val="24"/>
              </w:rPr>
            </w:pPr>
            <w:r>
              <w:rPr>
                <w:sz w:val="24"/>
              </w:rPr>
            </w:r>
            <w:r/>
          </w:p>
        </w:tc>
        <w:tc>
          <w:tcPr>
            <w:tcW w:w="3172" w:type="dxa"/>
            <w:vAlign w:val="center"/>
            <w:textDirection w:val="lrTb"/>
            <w:noWrap w:val="false"/>
          </w:tcPr>
          <w:p>
            <w:pPr>
              <w:jc w:val="left"/>
              <w:widowControl/>
              <w:rPr>
                <w:sz w:val="24"/>
              </w:rPr>
            </w:pPr>
            <w:r>
              <w:rPr>
                <w:sz w:val="24"/>
              </w:rPr>
              <w:t xml:space="preserve">常州市中医医院</w:t>
            </w:r>
            <w:r/>
          </w:p>
        </w:tc>
        <w:tc>
          <w:tcPr>
            <w:tcW w:w="3874" w:type="dxa"/>
            <w:vAlign w:val="center"/>
            <w:textDirection w:val="lrTb"/>
            <w:noWrap w:val="false"/>
          </w:tcPr>
          <w:p>
            <w:pPr>
              <w:jc w:val="center"/>
              <w:widowControl/>
              <w:rPr>
                <w:sz w:val="24"/>
              </w:rPr>
            </w:pPr>
            <w:r>
              <w:rPr>
                <w:color w:val="000000"/>
                <w:sz w:val="24"/>
                <w:lang w:bidi="ar"/>
              </w:rPr>
              <w:t xml:space="preserve">215</w:t>
            </w:r>
            <w:r/>
          </w:p>
        </w:tc>
      </w:tr>
      <w:tr>
        <w:trPr>
          <w:trHeight w:val="567"/>
        </w:trPr>
        <w:tc>
          <w:tcPr>
            <w:tcW w:w="2196" w:type="dxa"/>
            <w:vMerge w:val="continue"/>
            <w:textDirection w:val="lrTb"/>
            <w:noWrap w:val="false"/>
          </w:tcPr>
          <w:p>
            <w:pPr>
              <w:jc w:val="left"/>
              <w:rPr>
                <w:sz w:val="24"/>
              </w:rPr>
            </w:pPr>
            <w:r>
              <w:rPr>
                <w:sz w:val="24"/>
              </w:rPr>
            </w:r>
            <w:r/>
          </w:p>
        </w:tc>
        <w:tc>
          <w:tcPr>
            <w:tcW w:w="3172" w:type="dxa"/>
            <w:vAlign w:val="center"/>
            <w:textDirection w:val="lrTb"/>
            <w:noWrap w:val="false"/>
          </w:tcPr>
          <w:p>
            <w:pPr>
              <w:jc w:val="left"/>
              <w:widowControl/>
              <w:rPr>
                <w:sz w:val="24"/>
              </w:rPr>
            </w:pPr>
            <w:r>
              <w:rPr>
                <w:sz w:val="24"/>
              </w:rPr>
              <w:t xml:space="preserve">常州市妇幼保健院</w:t>
            </w:r>
            <w:r/>
          </w:p>
        </w:tc>
        <w:tc>
          <w:tcPr>
            <w:tcW w:w="3874" w:type="dxa"/>
            <w:vAlign w:val="center"/>
            <w:textDirection w:val="lrTb"/>
            <w:noWrap w:val="false"/>
          </w:tcPr>
          <w:p>
            <w:pPr>
              <w:jc w:val="center"/>
              <w:widowControl/>
              <w:rPr>
                <w:color w:val="000000"/>
                <w:sz w:val="24"/>
                <w:lang w:bidi="ar"/>
              </w:rPr>
            </w:pPr>
            <w:r>
              <w:rPr>
                <w:color w:val="000000"/>
                <w:sz w:val="24"/>
                <w:lang w:bidi="ar"/>
              </w:rPr>
              <w:t xml:space="preserve">195</w:t>
            </w:r>
            <w:r/>
          </w:p>
        </w:tc>
      </w:tr>
      <w:tr>
        <w:trPr>
          <w:trHeight w:val="567"/>
        </w:trPr>
        <w:tc>
          <w:tcPr>
            <w:tcW w:w="2196" w:type="dxa"/>
            <w:vMerge w:val="continue"/>
            <w:textDirection w:val="lrTb"/>
            <w:noWrap w:val="false"/>
          </w:tcPr>
          <w:p>
            <w:pPr>
              <w:jc w:val="left"/>
              <w:rPr>
                <w:sz w:val="24"/>
              </w:rPr>
            </w:pPr>
            <w:r>
              <w:rPr>
                <w:sz w:val="24"/>
              </w:rPr>
            </w:r>
            <w:r/>
          </w:p>
        </w:tc>
        <w:tc>
          <w:tcPr>
            <w:tcW w:w="3172" w:type="dxa"/>
            <w:vAlign w:val="center"/>
            <w:textDirection w:val="lrTb"/>
            <w:noWrap w:val="false"/>
          </w:tcPr>
          <w:p>
            <w:pPr>
              <w:jc w:val="left"/>
              <w:widowControl/>
              <w:rPr>
                <w:sz w:val="24"/>
              </w:rPr>
            </w:pPr>
            <w:r>
              <w:rPr>
                <w:sz w:val="24"/>
              </w:rPr>
              <w:t xml:space="preserve">常州市儿童医院</w:t>
            </w:r>
            <w:r/>
          </w:p>
        </w:tc>
        <w:tc>
          <w:tcPr>
            <w:tcW w:w="3874" w:type="dxa"/>
            <w:vAlign w:val="center"/>
            <w:textDirection w:val="lrTb"/>
            <w:noWrap w:val="false"/>
          </w:tcPr>
          <w:p>
            <w:pPr>
              <w:jc w:val="center"/>
              <w:widowControl/>
              <w:rPr>
                <w:sz w:val="24"/>
              </w:rPr>
            </w:pPr>
            <w:r>
              <w:rPr>
                <w:color w:val="000000"/>
                <w:sz w:val="24"/>
                <w:lang w:bidi="ar"/>
              </w:rPr>
              <w:t xml:space="preserve">86.06</w:t>
            </w:r>
            <w:r/>
          </w:p>
        </w:tc>
      </w:tr>
      <w:tr>
        <w:trPr>
          <w:trHeight w:val="567"/>
        </w:trPr>
        <w:tc>
          <w:tcPr>
            <w:tcW w:w="2196" w:type="dxa"/>
            <w:vMerge w:val="continue"/>
            <w:textDirection w:val="lrTb"/>
            <w:noWrap w:val="false"/>
          </w:tcPr>
          <w:p>
            <w:pPr>
              <w:jc w:val="left"/>
              <w:rPr>
                <w:sz w:val="24"/>
              </w:rPr>
            </w:pPr>
            <w:r>
              <w:rPr>
                <w:sz w:val="24"/>
              </w:rPr>
            </w:r>
            <w:r/>
          </w:p>
        </w:tc>
        <w:tc>
          <w:tcPr>
            <w:tcW w:w="3172" w:type="dxa"/>
            <w:vAlign w:val="center"/>
            <w:textDirection w:val="lrTb"/>
            <w:noWrap w:val="false"/>
          </w:tcPr>
          <w:p>
            <w:pPr>
              <w:jc w:val="left"/>
              <w:widowControl/>
              <w:rPr>
                <w:sz w:val="24"/>
              </w:rPr>
            </w:pPr>
            <w:r>
              <w:rPr>
                <w:sz w:val="24"/>
              </w:rPr>
              <w:t xml:space="preserve">常州市第七人民医院</w:t>
            </w:r>
            <w:r/>
          </w:p>
        </w:tc>
        <w:tc>
          <w:tcPr>
            <w:tcW w:w="3874" w:type="dxa"/>
            <w:vAlign w:val="center"/>
            <w:textDirection w:val="lrTb"/>
            <w:noWrap w:val="false"/>
          </w:tcPr>
          <w:p>
            <w:pPr>
              <w:jc w:val="center"/>
              <w:widowControl/>
              <w:rPr>
                <w:sz w:val="24"/>
              </w:rPr>
            </w:pPr>
            <w:r>
              <w:rPr>
                <w:color w:val="000000"/>
                <w:sz w:val="24"/>
                <w:lang w:bidi="ar"/>
              </w:rPr>
              <w:t xml:space="preserve">110</w:t>
            </w:r>
            <w:r/>
          </w:p>
        </w:tc>
      </w:tr>
      <w:tr>
        <w:trPr>
          <w:trHeight w:val="567"/>
        </w:trPr>
        <w:tc>
          <w:tcPr>
            <w:tcW w:w="2196" w:type="dxa"/>
            <w:vMerge w:val="continue"/>
            <w:textDirection w:val="lrTb"/>
            <w:noWrap w:val="false"/>
          </w:tcPr>
          <w:p>
            <w:pPr>
              <w:jc w:val="left"/>
              <w:rPr>
                <w:sz w:val="24"/>
              </w:rPr>
            </w:pPr>
            <w:r>
              <w:rPr>
                <w:sz w:val="24"/>
              </w:rPr>
            </w:r>
            <w:r/>
          </w:p>
        </w:tc>
        <w:tc>
          <w:tcPr>
            <w:tcW w:w="3172" w:type="dxa"/>
            <w:vAlign w:val="center"/>
            <w:textDirection w:val="lrTb"/>
            <w:noWrap w:val="false"/>
          </w:tcPr>
          <w:p>
            <w:pPr>
              <w:jc w:val="left"/>
              <w:widowControl/>
              <w:rPr>
                <w:sz w:val="24"/>
              </w:rPr>
            </w:pPr>
            <w:r>
              <w:rPr>
                <w:sz w:val="24"/>
              </w:rPr>
              <w:t xml:space="preserve">合计</w:t>
            </w:r>
            <w:r/>
          </w:p>
        </w:tc>
        <w:tc>
          <w:tcPr>
            <w:tcW w:w="3874" w:type="dxa"/>
            <w:vAlign w:val="center"/>
            <w:textDirection w:val="lrTb"/>
            <w:noWrap w:val="false"/>
          </w:tcPr>
          <w:p>
            <w:pPr>
              <w:jc w:val="center"/>
              <w:widowControl/>
              <w:rPr>
                <w:sz w:val="24"/>
              </w:rPr>
            </w:pPr>
            <w:r>
              <w:rPr>
                <w:sz w:val="24"/>
              </w:rPr>
              <w:t xml:space="preserve">1281.06</w:t>
            </w:r>
            <w:r/>
          </w:p>
        </w:tc>
      </w:tr>
    </w:tbl>
    <w:p>
      <w:pPr>
        <w:ind w:firstLine="240"/>
        <w:rPr>
          <w:b/>
          <w:bCs/>
          <w:color w:val="000000"/>
          <w:spacing w:val="2"/>
          <w:sz w:val="24"/>
        </w:rPr>
      </w:pPr>
      <w:r>
        <w:rPr>
          <w:sz w:val="24"/>
        </w:rPr>
        <w:t xml:space="preserve">★</w:t>
      </w:r>
      <w:r>
        <w:rPr>
          <w:color w:val="000000"/>
          <w:spacing w:val="2"/>
          <w:sz w:val="24"/>
        </w:rPr>
        <w:t xml:space="preserve">投标文件中医疗责任保险（附加医疗机构场所责任险、附加医务人员遭受伤害责任保险）、财产险（包括财产综合险、机器设备损坏险）的保险条款及费率，如已报备，提供报备条款及报备号；如未完成报备，在中标后30日内向国家金融监督管理总局（原中国银行保险监督管理委员会）报备。（提供承诺函）</w:t>
      </w:r>
      <w:r/>
    </w:p>
    <w:p>
      <w:pPr>
        <w:ind w:firstLine="480"/>
        <w:rPr>
          <w:bCs/>
          <w:sz w:val="24"/>
        </w:rPr>
      </w:pPr>
      <w:r>
        <w:rPr>
          <w:sz w:val="24"/>
        </w:rPr>
        <w:t xml:space="preserve">5.服务期限：</w:t>
      </w:r>
      <w:r>
        <w:rPr>
          <w:bCs/>
          <w:sz w:val="24"/>
        </w:rPr>
        <w:t xml:space="preserve">服务期两年。合同一年一签，考核合格后方能续签下一年度合同，最多续签壹次</w:t>
      </w:r>
      <w:r>
        <w:rPr>
          <w:bCs/>
          <w:color w:val="000000"/>
          <w:sz w:val="24"/>
        </w:rPr>
        <w:t xml:space="preserve">。</w:t>
      </w:r>
      <w:r/>
    </w:p>
    <w:p>
      <w:pPr>
        <w:ind w:firstLine="240"/>
        <w:rPr>
          <w:color w:val="000000"/>
          <w:spacing w:val="2"/>
          <w:sz w:val="24"/>
        </w:rPr>
      </w:pPr>
      <w:r>
        <w:rPr>
          <w:sz w:val="24"/>
        </w:rPr>
        <w:t xml:space="preserve">★</w:t>
      </w:r>
      <w:r>
        <w:rPr>
          <w:color w:val="000000"/>
          <w:spacing w:val="2"/>
          <w:sz w:val="24"/>
        </w:rPr>
        <w:t xml:space="preserve">本保险项目所涉保险责任自2026年01月01日零时起，自上述期限起发生合同约定的符合采购需求的保险事故均由承保保险公司承担理赔责任。（提供承诺函）</w:t>
      </w:r>
      <w:r/>
    </w:p>
    <w:p>
      <w:pPr>
        <w:ind w:firstLine="480"/>
        <w:rPr>
          <w:sz w:val="24"/>
        </w:rPr>
      </w:pPr>
      <w:r>
        <w:rPr>
          <w:color w:val="000000"/>
          <w:spacing w:val="2"/>
          <w:sz w:val="24"/>
        </w:rPr>
        <w:t xml:space="preserve"> 保单应按年度签订。对中途投保不足一年的，应按实际投保天数计算（日保费=年保险费÷365天）。</w:t>
      </w:r>
      <w:r/>
    </w:p>
    <w:p>
      <w:pPr>
        <w:rPr>
          <w:sz w:val="24"/>
        </w:rPr>
      </w:pPr>
      <w:r>
        <w:rPr>
          <w:sz w:val="24"/>
        </w:rPr>
        <w:t xml:space="preserve">6.是否接受联合体投标：不接受联合体投标</w:t>
      </w:r>
      <w:r/>
    </w:p>
    <w:p>
      <w:pPr>
        <w:rPr>
          <w:bCs/>
          <w:sz w:val="24"/>
        </w:rPr>
      </w:pPr>
      <w:r>
        <w:rPr>
          <w:sz w:val="24"/>
        </w:rPr>
        <w:t xml:space="preserve">7.是否接受分支机构参与响应：是</w:t>
      </w:r>
      <w:r/>
    </w:p>
    <w:p>
      <w:pPr>
        <w:rPr>
          <w:sz w:val="24"/>
        </w:rPr>
      </w:pPr>
      <w:r>
        <w:rPr>
          <w:sz w:val="24"/>
        </w:rPr>
        <w:t xml:space="preserve">8.是否属于政府购买服务：否</w:t>
      </w:r>
      <w:r/>
    </w:p>
    <w:p>
      <w:pPr>
        <w:rPr>
          <w:sz w:val="24"/>
        </w:rPr>
      </w:pPr>
      <w:r>
        <w:rPr>
          <w:sz w:val="24"/>
        </w:rPr>
        <w:t xml:space="preserve">9.是否接受进口产品投标：否</w:t>
      </w:r>
      <w:r/>
    </w:p>
    <w:p>
      <w:pPr>
        <w:rPr>
          <w:sz w:val="24"/>
        </w:rPr>
      </w:pPr>
      <w:r>
        <w:rPr>
          <w:sz w:val="24"/>
        </w:rPr>
        <w:t xml:space="preserve">10.是否专门面向中小企业预留采购份额：本项目不专门面向中小企业采购。</w:t>
      </w:r>
      <w:r/>
    </w:p>
    <w:p>
      <w:pPr>
        <w:rPr>
          <w:sz w:val="24"/>
        </w:rPr>
      </w:pPr>
      <w:r>
        <w:rPr>
          <w:sz w:val="24"/>
        </w:rPr>
        <w:t xml:space="preserve">1</w:t>
      </w:r>
      <w:r>
        <w:rPr>
          <w:rFonts w:hint="eastAsia"/>
          <w:sz w:val="24"/>
        </w:rPr>
        <w:t xml:space="preserve">1</w:t>
      </w:r>
      <w:r>
        <w:rPr>
          <w:sz w:val="24"/>
        </w:rPr>
        <w:t xml:space="preserve">.本项目的特定资格要求：</w:t>
      </w:r>
      <w:r>
        <w:rPr>
          <w:rFonts w:ascii="DengXian" w:hAnsi="DengXian" w:eastAsia="DengXian" w:cs="DengXian"/>
          <w:color w:val="000000"/>
          <w:sz w:val="24"/>
        </w:rPr>
        <w:t xml:space="preserve">经国家金融监督管理总局（原中国银行保险监督管理委员会）批准的具有承保资质的财产保险公司，需提供有效保险业务经营许可证，</w:t>
      </w:r>
      <w:r>
        <w:rPr>
          <w:rFonts w:ascii="DengXian" w:hAnsi="DengXian" w:eastAsia="DengXian" w:cs="DengXian"/>
          <w:color w:val="000000"/>
          <w:sz w:val="24"/>
        </w:rPr>
        <w:t xml:space="preserve">许可证类型包括但不限于《中华人民共和国</w:t>
      </w:r>
      <w:r>
        <w:rPr>
          <w:rFonts w:ascii="DengXian" w:hAnsi="DengXian" w:eastAsia="DengXian" w:cs="DengXian"/>
          <w:color w:val="000000"/>
          <w:sz w:val="24"/>
        </w:rPr>
        <w:t xml:space="preserve">金融许可证》《保险许可证》《保险公司法人许可证》《经营保险业务许可</w:t>
      </w:r>
      <w:r>
        <w:rPr>
          <w:rFonts w:ascii="DengXian" w:hAnsi="DengXian" w:eastAsia="DengXian" w:cs="DengXian"/>
          <w:color w:val="000000"/>
          <w:sz w:val="24"/>
        </w:rPr>
        <w:t xml:space="preserve">证》</w:t>
      </w:r>
      <w:r>
        <w:rPr>
          <w:rFonts w:ascii="DengXian" w:hAnsi="DengXian" w:eastAsia="DengXian" w:cs="DengXian"/>
          <w:color w:val="000000"/>
          <w:sz w:val="24"/>
        </w:rPr>
        <w:t xml:space="preserve">；</w:t>
      </w:r>
      <w:r>
        <w:rPr>
          <w:rFonts w:ascii="DengXian" w:hAnsi="DengXian" w:eastAsia="DengXian" w:cs="DengXian"/>
          <w:color w:val="000000"/>
          <w:sz w:val="24"/>
        </w:rPr>
        <w:t xml:space="preserve">业务范围包含：财产损失保险、责任保险及意外伤害保险。如分支机构参与投标的，需提供总公司项目授权书并承诺由总公司承担民事责任（格式自拟）。同一家总公司只能有一家分支机构参与投标，且总公司不能与下属分支机构同时参与投标。</w:t>
      </w:r>
      <w:r>
        <w:rPr>
          <w:rFonts w:hint="eastAsia"/>
          <w:sz w:val="24"/>
        </w:rPr>
      </w:r>
      <w:r/>
    </w:p>
    <w:p>
      <w:pPr>
        <w:rPr>
          <w:sz w:val="24"/>
        </w:rPr>
      </w:pPr>
      <w:r>
        <w:rPr>
          <w:sz w:val="24"/>
        </w:rPr>
        <w:t xml:space="preserve">1</w:t>
      </w:r>
      <w:r>
        <w:rPr>
          <w:rFonts w:hint="eastAsia"/>
          <w:sz w:val="24"/>
        </w:rPr>
        <w:t xml:space="preserve">2</w:t>
      </w:r>
      <w:r>
        <w:rPr>
          <w:sz w:val="24"/>
        </w:rPr>
        <w:t xml:space="preserve">.项目类别：服务类</w:t>
      </w:r>
      <w:r/>
    </w:p>
    <w:p>
      <w:pPr>
        <w:rPr>
          <w:rFonts w:ascii="宋体" w:hAnsi="宋体"/>
          <w:bCs/>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pStyle w:val="1043"/>
        <w:numPr>
          <w:ilvl w:val="0"/>
          <w:numId w:val="4"/>
        </w:numPr>
        <w:jc w:val="both"/>
        <w:widowControl w:val="off"/>
        <w:rPr>
          <w:rFonts w:ascii="Times New Roman" w:hAnsi="Times New Roman"/>
          <w:b/>
        </w:rPr>
      </w:pPr>
      <w:r>
        <w:rPr>
          <w:rFonts w:ascii="Times New Roman" w:hAnsi="Times New Roman"/>
          <w:b/>
          <w:lang w:eastAsia="zh-CN"/>
        </w:rPr>
        <w:t xml:space="preserve">商务要求</w:t>
      </w:r>
      <w:r/>
    </w:p>
    <w:p>
      <w:pPr>
        <w:ind w:firstLine="560"/>
        <w:rPr>
          <w:bCs/>
          <w:sz w:val="28"/>
          <w:szCs w:val="28"/>
        </w:rPr>
      </w:pPr>
      <w:r>
        <w:rPr>
          <w:bCs/>
          <w:sz w:val="28"/>
          <w:szCs w:val="28"/>
        </w:rPr>
        <w:t xml:space="preserve">（一）服务要求</w:t>
      </w:r>
      <w:r/>
    </w:p>
    <w:p>
      <w:pPr>
        <w:ind w:firstLine="480"/>
        <w:rPr>
          <w:sz w:val="24"/>
        </w:rPr>
      </w:pPr>
      <w:r>
        <w:rPr>
          <w:sz w:val="24"/>
        </w:rPr>
        <w:t xml:space="preserve">1.中标保险人在本项目承保理赔工作中，严格遵守国家法律法规、行业监管规定，廉洁自律、依法合规经营。</w:t>
      </w:r>
      <w:r/>
    </w:p>
    <w:p>
      <w:pPr>
        <w:ind w:firstLine="480"/>
        <w:rPr>
          <w:sz w:val="24"/>
        </w:rPr>
      </w:pPr>
      <w:r>
        <w:rPr>
          <w:sz w:val="24"/>
        </w:rPr>
        <w:t xml:space="preserve">★投标人承诺（提供投标人承诺函并加盖公章，格式自拟）：在投标文件中拟派的项目负责人，一旦中标，此项目负责人必须参与到本招标文件所述项目中，且不得更换，否则视为投标人自动放弃中标。</w:t>
      </w:r>
      <w:r/>
    </w:p>
    <w:p>
      <w:pPr>
        <w:ind w:firstLine="480"/>
        <w:rPr>
          <w:sz w:val="24"/>
        </w:rPr>
      </w:pPr>
      <w:r>
        <w:rPr>
          <w:sz w:val="24"/>
        </w:rPr>
        <w:t xml:space="preserve">1.1保险人组建日常服务团队。服务团队应包括项目负责人、投保服务负责人、理赔服务负责人、风控服务负责人、服务团队其他成员等；注明团队成员的出生年月、学历、毕业院校、职称、职务、医疗责任险、财产险等保险从业经验、在团队中的职责分工、是否驻场（明确驻场人员所服务的医疗机构）等。</w:t>
      </w:r>
      <w:r/>
    </w:p>
    <w:p>
      <w:pPr>
        <w:ind w:firstLine="480"/>
        <w:rPr>
          <w:sz w:val="24"/>
        </w:rPr>
      </w:pPr>
      <w:r>
        <w:rPr>
          <w:sz w:val="24"/>
        </w:rPr>
        <w:t xml:space="preserve">项目负责人应具备5年以上医疗责任险保险从业经验。</w:t>
      </w:r>
      <w:r/>
    </w:p>
    <w:p>
      <w:pPr>
        <w:ind w:firstLine="480"/>
        <w:rPr>
          <w:sz w:val="24"/>
        </w:rPr>
      </w:pPr>
      <w:r>
        <w:rPr>
          <w:sz w:val="24"/>
        </w:rPr>
        <w:t xml:space="preserve">1.2保险人应制定完整的团队服务方案，并提供投诉监督方式，以及如何利用经营网点配合日常服务团队提供服务等。</w:t>
      </w:r>
      <w:r/>
    </w:p>
    <w:p>
      <w:pPr>
        <w:ind w:firstLine="480"/>
        <w:rPr>
          <w:sz w:val="24"/>
        </w:rPr>
      </w:pPr>
      <w:r>
        <w:rPr>
          <w:sz w:val="24"/>
        </w:rPr>
        <w:t xml:space="preserve">1.3保险人应当具有本项目类似经验：近5年</w:t>
      </w:r>
      <w:r>
        <w:t xml:space="preserve">有</w:t>
      </w:r>
      <w:r>
        <w:rPr>
          <w:sz w:val="24"/>
        </w:rPr>
        <w:t xml:space="preserve">类似承保经验，包括医疗责任险、财产综合险、机器设备损坏险。</w:t>
      </w:r>
      <w:r/>
    </w:p>
    <w:p>
      <w:pPr>
        <w:ind w:firstLine="480"/>
        <w:rPr>
          <w:sz w:val="24"/>
        </w:rPr>
      </w:pPr>
      <w:r>
        <w:rPr>
          <w:sz w:val="24"/>
        </w:rPr>
        <w:t xml:space="preserve">1.4保险人应当具有机关事业单位项目承保经验：近5年有机关事业单位项目承保经验。</w:t>
      </w:r>
      <w:r/>
    </w:p>
    <w:p>
      <w:pPr>
        <w:ind w:left="-4" w:firstLine="428"/>
        <w:rPr>
          <w:spacing w:val="2"/>
          <w:sz w:val="24"/>
        </w:rPr>
      </w:pPr>
      <w:r>
        <w:rPr>
          <w:spacing w:val="2"/>
          <w:sz w:val="24"/>
        </w:rPr>
        <w:t xml:space="preserve">2.投保服务</w:t>
      </w:r>
      <w:r/>
    </w:p>
    <w:p>
      <w:pPr>
        <w:ind w:left="-4" w:firstLine="428"/>
        <w:rPr>
          <w:spacing w:val="2"/>
          <w:sz w:val="24"/>
        </w:rPr>
      </w:pPr>
      <w:r>
        <w:rPr>
          <w:spacing w:val="2"/>
          <w:sz w:val="24"/>
        </w:rPr>
        <w:t xml:space="preserve">保险人上门收集投保人相关投保资料，</w:t>
      </w:r>
      <w:r>
        <w:rPr>
          <w:color w:val="000000"/>
          <w:spacing w:val="2"/>
          <w:sz w:val="24"/>
        </w:rPr>
        <w:t xml:space="preserve">保险人</w:t>
      </w:r>
      <w:r>
        <w:rPr>
          <w:spacing w:val="2"/>
          <w:sz w:val="24"/>
        </w:rPr>
        <w:t xml:space="preserve">在收集到完整投保资料后5个工作日内完成核保、出具保单、发票（或缴费通知书）。保险人将保险单正本件、保费票据及时交给投保人。</w:t>
      </w:r>
      <w:r/>
    </w:p>
    <w:p>
      <w:pPr>
        <w:ind w:left="-4" w:firstLine="428"/>
        <w:rPr>
          <w:spacing w:val="2"/>
          <w:sz w:val="24"/>
        </w:rPr>
      </w:pPr>
      <w:r>
        <w:rPr>
          <w:spacing w:val="2"/>
          <w:sz w:val="24"/>
        </w:rPr>
        <w:t xml:space="preserve">3.理赔服务</w:t>
      </w:r>
      <w:r/>
    </w:p>
    <w:p>
      <w:pPr>
        <w:ind w:firstLine="488"/>
        <w:rPr>
          <w:color w:val="000000"/>
          <w:spacing w:val="2"/>
          <w:sz w:val="24"/>
        </w:rPr>
      </w:pPr>
      <w:r>
        <w:rPr>
          <w:spacing w:val="2"/>
          <w:sz w:val="24"/>
        </w:rPr>
        <w:t xml:space="preserve">3.1发生保险事故后，</w:t>
      </w:r>
      <w:r>
        <w:rPr>
          <w:color w:val="000000"/>
          <w:spacing w:val="2"/>
          <w:sz w:val="24"/>
        </w:rPr>
        <w:fldChar w:fldCharType="begin"/>
      </w:r>
      <w:r>
        <w:rPr>
          <w:color w:val="000000"/>
          <w:spacing w:val="2"/>
          <w:sz w:val="24"/>
        </w:rPr>
        <w:instrText xml:space="preserve"> = 1 \* GB3 \* MERGEFORMAT </w:instrText>
      </w:r>
      <w:r>
        <w:rPr>
          <w:color w:val="000000"/>
          <w:spacing w:val="2"/>
          <w:sz w:val="24"/>
        </w:rPr>
        <w:fldChar w:fldCharType="separate"/>
      </w:r>
      <w:r>
        <w:rPr>
          <w:color w:val="000000"/>
          <w:spacing w:val="2"/>
          <w:sz w:val="24"/>
        </w:rPr>
        <w:t xml:space="preserve">①</w:t>
      </w:r>
      <w:r>
        <w:rPr>
          <w:color w:val="000000"/>
          <w:spacing w:val="2"/>
          <w:sz w:val="24"/>
        </w:rPr>
        <w:fldChar w:fldCharType="end"/>
      </w:r>
      <w:r>
        <w:rPr>
          <w:color w:val="000000"/>
          <w:spacing w:val="2"/>
          <w:sz w:val="24"/>
        </w:rPr>
        <w:t xml:space="preserve">被保险人及时向保险人报案；</w:t>
      </w:r>
      <w:r>
        <w:rPr>
          <w:color w:val="000000"/>
          <w:spacing w:val="2"/>
          <w:sz w:val="24"/>
        </w:rPr>
        <w:fldChar w:fldCharType="begin"/>
      </w:r>
      <w:r>
        <w:rPr>
          <w:color w:val="000000"/>
          <w:spacing w:val="2"/>
          <w:sz w:val="24"/>
        </w:rPr>
        <w:instrText xml:space="preserve"> = 2 \* GB3 \* MERGEFORMAT </w:instrText>
      </w:r>
      <w:r>
        <w:rPr>
          <w:color w:val="000000"/>
          <w:spacing w:val="2"/>
          <w:sz w:val="24"/>
        </w:rPr>
        <w:fldChar w:fldCharType="separate"/>
      </w:r>
      <w:r>
        <w:rPr>
          <w:color w:val="000000"/>
          <w:spacing w:val="2"/>
          <w:sz w:val="24"/>
        </w:rPr>
        <w:t xml:space="preserve">②</w:t>
      </w:r>
      <w:r>
        <w:rPr>
          <w:color w:val="000000"/>
          <w:spacing w:val="2"/>
          <w:sz w:val="24"/>
        </w:rPr>
        <w:fldChar w:fldCharType="end"/>
      </w:r>
      <w:r>
        <w:rPr>
          <w:color w:val="000000"/>
          <w:spacing w:val="2"/>
          <w:sz w:val="24"/>
        </w:rPr>
        <w:t xml:space="preserve">保险人及时上门收取理赔申请材料，并在收到案件理赔申请后，根据条款及相关约定，</w:t>
      </w:r>
      <w:r>
        <w:rPr>
          <w:spacing w:val="2"/>
          <w:sz w:val="24"/>
        </w:rPr>
        <w:t xml:space="preserve">按其工作流程审核相关材料并在约定的时限内提出处理意见，材料齐全后</w:t>
      </w:r>
      <w:r>
        <w:rPr>
          <w:color w:val="000000"/>
          <w:spacing w:val="2"/>
          <w:sz w:val="24"/>
        </w:rPr>
        <w:t xml:space="preserve">及时结案并足额理赔。</w:t>
      </w:r>
      <w:r/>
    </w:p>
    <w:p>
      <w:pPr>
        <w:ind w:firstLine="488"/>
        <w:rPr>
          <w:color w:val="000000"/>
          <w:spacing w:val="2"/>
          <w:sz w:val="24"/>
        </w:rPr>
      </w:pPr>
      <w:r>
        <w:rPr>
          <w:spacing w:val="2"/>
          <w:sz w:val="24"/>
        </w:rPr>
        <w:t xml:space="preserve">3.2</w:t>
      </w:r>
      <w:r>
        <w:rPr>
          <w:color w:val="000000"/>
          <w:spacing w:val="2"/>
          <w:sz w:val="24"/>
        </w:rPr>
        <w:t xml:space="preserve">除非有合理和足够的证据证明，保险人不得以任何理由推卸、拖延甚至拒绝被保险人索赔的要求，否则其行为构成违约，并须承担违约责任。保险人未按约定相关条款的要求完成赔付的，在减去约定结案天数后按赔偿金额的0.657‰/日×实际滞纳天数计算滞纳金赔付给被保险人，并承担由此造成的其他损失。</w:t>
      </w:r>
      <w:r/>
    </w:p>
    <w:p>
      <w:pPr>
        <w:ind w:firstLine="488"/>
        <w:rPr>
          <w:spacing w:val="2"/>
          <w:sz w:val="24"/>
        </w:rPr>
      </w:pPr>
      <w:r>
        <w:rPr>
          <w:color w:val="000000"/>
          <w:spacing w:val="2"/>
          <w:sz w:val="24"/>
        </w:rPr>
        <w:t xml:space="preserve">3.3若因工程施工、抢险需要或者因诊疗、抢救病人的机器设备急需立即维修，导致被保险人因特殊情况无法报案或无法及时</w:t>
      </w:r>
      <w:r>
        <w:rPr>
          <w:spacing w:val="2"/>
          <w:sz w:val="24"/>
        </w:rPr>
        <w:t xml:space="preserve">报案，有材料证明事故属于本保险项目保障范围的，保险人应当正常理赔。</w:t>
      </w:r>
      <w:r/>
    </w:p>
    <w:p>
      <w:pPr>
        <w:ind w:firstLine="488"/>
        <w:rPr>
          <w:spacing w:val="2"/>
          <w:sz w:val="24"/>
        </w:rPr>
      </w:pPr>
      <w:r>
        <w:rPr>
          <w:spacing w:val="2"/>
          <w:sz w:val="24"/>
        </w:rPr>
        <w:t xml:space="preserve">3.4被保险人应尽可能为保险人、公估人调查和取证工作保留事故现场；对无法留待保险人、公估人查勘的事故现场，被保险人应尽可能留下照片、录像、文字记录供保险人审核之用。</w:t>
      </w:r>
      <w:r/>
    </w:p>
    <w:p>
      <w:pPr>
        <w:ind w:firstLine="480"/>
        <w:rPr>
          <w:b/>
          <w:bCs/>
          <w:sz w:val="24"/>
        </w:rPr>
      </w:pPr>
      <w:r>
        <w:rPr>
          <w:sz w:val="24"/>
        </w:rPr>
        <w:t xml:space="preserve">4.保险保障+风控服务</w:t>
      </w:r>
      <w:r/>
    </w:p>
    <w:p>
      <w:pPr>
        <w:ind w:firstLine="480"/>
        <w:rPr>
          <w:sz w:val="24"/>
        </w:rPr>
      </w:pPr>
      <w:r>
        <w:rPr>
          <w:sz w:val="24"/>
        </w:rPr>
        <w:t xml:space="preserve">保险人须结合本项目招标文件全部采购内</w:t>
      </w:r>
      <w:r>
        <w:rPr>
          <w:sz w:val="24"/>
        </w:rPr>
        <w:t xml:space="preserve">容、服务场景、风险特点，针对性编制“保险保障+风控服务”方案，方案需贴合本项目实际需求，杜绝通用模板、套用无效内容，全面响应项目保险保障、风险防控、隐患治理、系统服务等全流程服务要求。方案应涵盖以下几方面：①风控服务投入人员：至少3人，其中2人必须为驻场人员（其中1人驻场服务中医院、儿童医院、七院；1人驻场服务一院、妇保院）；②每季度至少组织一次到2个以上临床科室开展案例宣讲（具体实施根据采购人要求）；③组织外院专家开展医疗纠纷内部评估；④根据医院现有的风险防控信息手段，协助医院开展信息化医疗风险防控工作。</w:t>
      </w:r>
      <w:r/>
    </w:p>
    <w:p>
      <w:pPr>
        <w:ind w:firstLine="488"/>
        <w:rPr>
          <w:spacing w:val="2"/>
          <w:sz w:val="24"/>
        </w:rPr>
      </w:pPr>
      <w:r>
        <w:rPr>
          <w:spacing w:val="2"/>
          <w:sz w:val="24"/>
        </w:rPr>
        <w:t xml:space="preserve">5.监督管理</w:t>
      </w:r>
      <w:r/>
    </w:p>
    <w:p>
      <w:pPr>
        <w:ind w:firstLine="488"/>
        <w:rPr>
          <w:color w:val="000000"/>
          <w:spacing w:val="2"/>
          <w:sz w:val="24"/>
        </w:rPr>
      </w:pPr>
      <w:r>
        <w:rPr>
          <w:color w:val="000000"/>
          <w:spacing w:val="2"/>
          <w:sz w:val="24"/>
        </w:rPr>
        <w:t xml:space="preserve">5.1为了整个承保机制顺利运行，中标保险人必须定期（每季度一次）与采购人汇总项目运行情况（包括但不仅限于报案、查勘、理赔等）。中标保险人于每月5日将上月结案明细以邮件形式发送给被保险人。按照规定每月提交各类报表、案件汇总、支付赔款凭证等</w:t>
      </w:r>
      <w:r/>
    </w:p>
    <w:p>
      <w:pPr>
        <w:ind w:left="-4" w:firstLine="428"/>
        <w:rPr>
          <w:bCs/>
          <w:color w:val="000000"/>
          <w:sz w:val="28"/>
          <w:szCs w:val="28"/>
        </w:rPr>
      </w:pPr>
      <w:r>
        <w:rPr>
          <w:spacing w:val="2"/>
          <w:sz w:val="24"/>
        </w:rPr>
        <w:t xml:space="preserve">5.2保险人在合同有效期内，应接受采购人等的监督管理。中标保险人非因不可抗力未履行招标文件、投标文件和合同规定的义务，一经查实，采购人将根据《</w:t>
      </w:r>
      <w:r>
        <w:rPr>
          <w:rFonts w:hint="eastAsia"/>
          <w:spacing w:val="2"/>
          <w:sz w:val="24"/>
        </w:rPr>
        <w:t xml:space="preserve">江苏省政府采购信用管理暂行办法</w:t>
      </w:r>
      <w:r>
        <w:rPr>
          <w:spacing w:val="2"/>
          <w:sz w:val="24"/>
        </w:rPr>
        <w:t xml:space="preserve">》（</w:t>
      </w:r>
      <w:r>
        <w:rPr>
          <w:rFonts w:hint="eastAsia"/>
          <w:spacing w:val="2"/>
          <w:sz w:val="24"/>
        </w:rPr>
        <w:t xml:space="preserve">苏</w:t>
      </w:r>
      <w:r>
        <w:rPr>
          <w:spacing w:val="2"/>
          <w:sz w:val="24"/>
        </w:rPr>
        <w:t xml:space="preserve">财规〔201</w:t>
      </w:r>
      <w:r>
        <w:rPr>
          <w:rFonts w:hint="eastAsia"/>
          <w:spacing w:val="2"/>
          <w:sz w:val="24"/>
        </w:rPr>
        <w:t xml:space="preserve">8</w:t>
      </w:r>
      <w:r>
        <w:rPr>
          <w:spacing w:val="2"/>
          <w:sz w:val="24"/>
        </w:rPr>
        <w:t xml:space="preserve">〕</w:t>
      </w:r>
      <w:r>
        <w:rPr>
          <w:rFonts w:hint="eastAsia"/>
          <w:spacing w:val="2"/>
          <w:sz w:val="24"/>
        </w:rPr>
        <w:t xml:space="preserve">18</w:t>
      </w:r>
      <w:r>
        <w:rPr>
          <w:spacing w:val="2"/>
          <w:sz w:val="24"/>
        </w:rPr>
        <w:t xml:space="preserve">号）</w:t>
      </w:r>
      <w:r>
        <w:rPr>
          <w:rFonts w:hint="eastAsia"/>
          <w:spacing w:val="2"/>
          <w:sz w:val="24"/>
        </w:rPr>
        <w:t xml:space="preserve">和政府采购法及其实施条例、财政部信用查询</w:t>
      </w:r>
      <w:r>
        <w:rPr>
          <w:spacing w:val="2"/>
          <w:sz w:val="24"/>
        </w:rPr>
        <w:t xml:space="preserve">相关规定报请财政部门按照规定予以中标人行政处罚或失信记录。造成采购人或投保人损失的将启动诉讼程序，要求中标保险人承担相关损失赔偿责任。</w:t>
      </w:r>
      <w:r/>
    </w:p>
    <w:p>
      <w:pPr>
        <w:ind w:firstLine="560"/>
        <w:rPr>
          <w:bCs/>
          <w:color w:val="000000"/>
          <w:sz w:val="28"/>
          <w:szCs w:val="28"/>
        </w:rPr>
      </w:pPr>
      <w:r>
        <w:rPr>
          <w:bCs/>
          <w:color w:val="000000"/>
          <w:sz w:val="28"/>
          <w:szCs w:val="28"/>
        </w:rPr>
        <w:t xml:space="preserve">（二）关于合同</w:t>
      </w:r>
      <w:r/>
    </w:p>
    <w:p>
      <w:pPr>
        <w:ind w:left="-4" w:firstLine="428"/>
        <w:rPr>
          <w:spacing w:val="2"/>
          <w:sz w:val="24"/>
        </w:rPr>
      </w:pPr>
      <w:r>
        <w:rPr>
          <w:spacing w:val="2"/>
          <w:sz w:val="24"/>
        </w:rPr>
        <w:t xml:space="preserve">1.采购合同。中标人应在中标通知书发出之日起30天内与采购人签署采购合同。招标文件、中标人的投标文件及招标过程中有关澄清、承诺文件均应构成合同的组成部分。</w:t>
      </w:r>
      <w:r/>
    </w:p>
    <w:p>
      <w:pPr>
        <w:ind w:left="-4" w:firstLine="428"/>
        <w:rPr>
          <w:spacing w:val="2"/>
          <w:sz w:val="24"/>
        </w:rPr>
      </w:pPr>
      <w:r>
        <w:rPr>
          <w:spacing w:val="2"/>
          <w:sz w:val="24"/>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p>
    <w:p>
      <w:pPr>
        <w:ind w:left="-4" w:firstLine="428"/>
        <w:rPr>
          <w:spacing w:val="2"/>
        </w:rPr>
      </w:pPr>
      <w:r>
        <w:rPr>
          <w:spacing w:val="2"/>
          <w:sz w:val="24"/>
        </w:rPr>
        <w:t xml:space="preserve">3.采购人等对中标保险公司的合同履行情况进行监督。对中标保险公司非因不可抗力未履行招标文件、投标文件和合同规定的义务，一经查实，采购人等将根据具体情况做出相应处理，或启动诉讼追究中标保险公司承担相关损失赔偿责任（包括但不仅限于律师费）。</w:t>
      </w:r>
      <w:r/>
    </w:p>
    <w:p>
      <w:pPr>
        <w:ind w:firstLine="560"/>
        <w:rPr>
          <w:sz w:val="28"/>
          <w:szCs w:val="28"/>
        </w:rPr>
      </w:pPr>
      <w:r>
        <w:rPr>
          <w:sz w:val="28"/>
          <w:szCs w:val="28"/>
        </w:rPr>
        <w:t xml:space="preserve">（三）保密约定</w:t>
      </w:r>
      <w:r/>
    </w:p>
    <w:p>
      <w:pPr>
        <w:ind w:left="-4" w:firstLine="428"/>
        <w:rPr>
          <w:spacing w:val="2"/>
          <w:sz w:val="24"/>
        </w:rPr>
      </w:pPr>
      <w:r>
        <w:rPr>
          <w:spacing w:val="2"/>
          <w:sz w:val="24"/>
        </w:rPr>
        <w:t xml:space="preserve">1.任何一方对其获知的本合同涉及的所有有形、无形的信息及资料（包括但不仅限于中标保险公司及投保人的往来书面文字文件、电子邮件及信息、电子资料、相关理赔材料等）中另一方的商业秘密负有保密义务。</w:t>
      </w:r>
      <w:r/>
    </w:p>
    <w:p>
      <w:pPr>
        <w:ind w:left="-4" w:firstLine="428"/>
        <w:rPr>
          <w:spacing w:val="2"/>
          <w:sz w:val="24"/>
        </w:rPr>
      </w:pPr>
      <w:r>
        <w:rPr>
          <w:spacing w:val="2"/>
          <w:sz w:val="24"/>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60"/>
        <w:rPr>
          <w:bCs/>
          <w:sz w:val="28"/>
          <w:szCs w:val="28"/>
        </w:rPr>
      </w:pPr>
      <w:r>
        <w:rPr>
          <w:bCs/>
          <w:sz w:val="28"/>
          <w:szCs w:val="28"/>
        </w:rPr>
        <w:t xml:space="preserve">（四）争议解决方式</w:t>
      </w:r>
      <w:r/>
    </w:p>
    <w:p>
      <w:pPr>
        <w:ind w:left="-4" w:firstLine="428"/>
        <w:rPr>
          <w:spacing w:val="2"/>
          <w:sz w:val="24"/>
        </w:rPr>
      </w:pPr>
      <w:r>
        <w:rPr>
          <w:spacing w:val="2"/>
          <w:sz w:val="24"/>
        </w:rPr>
        <w:t xml:space="preserve">有关本协议的争议应通过友好协商解决。如果协商不成，依法向采购人住所地人民法院提起诉讼。</w:t>
      </w:r>
      <w:r/>
    </w:p>
    <w:p>
      <w:pPr>
        <w:ind w:firstLine="560"/>
        <w:rPr>
          <w:bCs/>
          <w:sz w:val="28"/>
          <w:szCs w:val="28"/>
        </w:rPr>
      </w:pPr>
      <w:r>
        <w:rPr>
          <w:bCs/>
          <w:sz w:val="28"/>
          <w:szCs w:val="28"/>
        </w:rPr>
        <w:t xml:space="preserve">（五）主要承保条件</w:t>
      </w:r>
      <w:r/>
    </w:p>
    <w:p>
      <w:pPr>
        <w:ind w:firstLine="561"/>
        <w:spacing w:line="500" w:lineRule="exact"/>
        <w:rPr>
          <w:sz w:val="28"/>
          <w:szCs w:val="28"/>
        </w:rPr>
      </w:pPr>
      <w:r>
        <w:rPr>
          <w:sz w:val="28"/>
          <w:szCs w:val="28"/>
        </w:rPr>
        <w:t xml:space="preserve">（Ⅰ）医疗机构医疗责任险（附加医疗机构场所责任险、医务人员遭受伤害责任保险）项目</w:t>
      </w:r>
      <w:r/>
    </w:p>
    <w:p>
      <w:pPr>
        <w:pStyle w:val="1069"/>
        <w:ind w:firstLine="643"/>
        <w:spacing w:line="240" w:lineRule="auto"/>
        <w:rPr>
          <w:rFonts w:ascii="Times New Roman" w:cs="Times New Roman"/>
          <w:b/>
          <w:bCs/>
          <w:sz w:val="32"/>
          <w:szCs w:val="32"/>
        </w:rPr>
      </w:pPr>
      <w:r>
        <w:rPr>
          <w:rFonts w:ascii="Times New Roman" w:cs="Times New Roman"/>
          <w:b/>
          <w:bCs/>
          <w:sz w:val="32"/>
          <w:szCs w:val="32"/>
        </w:rPr>
        <w:t xml:space="preserve">1．医疗责任保险</w:t>
      </w:r>
      <w:r/>
    </w:p>
    <w:p>
      <w:pPr>
        <w:ind w:left="-4" w:firstLine="428"/>
        <w:jc w:val="left"/>
        <w:rPr>
          <w:spacing w:val="2"/>
          <w:sz w:val="24"/>
        </w:rPr>
      </w:pPr>
      <w:r>
        <w:rPr>
          <w:spacing w:val="2"/>
          <w:sz w:val="24"/>
        </w:rPr>
        <w:t xml:space="preserve">1.1投保人：常州市第一人民医院、常州市中医医院、常州市妇幼保健院、常州市儿童医院、常州市第七人民医院。</w:t>
      </w:r>
      <w:r/>
    </w:p>
    <w:p>
      <w:pPr>
        <w:ind w:left="-4" w:firstLine="428"/>
        <w:jc w:val="left"/>
        <w:rPr>
          <w:spacing w:val="2"/>
          <w:sz w:val="24"/>
        </w:rPr>
      </w:pPr>
      <w:r>
        <w:rPr>
          <w:spacing w:val="2"/>
          <w:sz w:val="24"/>
        </w:rPr>
        <w:t xml:space="preserve">1.2  被保险人：常州市第一人民医院、常州市中医医院、常州市妇幼保健院、常州市儿童医院、常州市第七人民医院。</w:t>
      </w:r>
      <w:r/>
    </w:p>
    <w:p>
      <w:pPr>
        <w:ind w:left="-4" w:firstLine="428"/>
        <w:rPr>
          <w:spacing w:val="2"/>
          <w:sz w:val="24"/>
        </w:rPr>
      </w:pPr>
      <w:r>
        <w:rPr>
          <w:spacing w:val="2"/>
          <w:sz w:val="24"/>
        </w:rPr>
        <w:t xml:space="preserve">1.3  保险期限：2026年01月01日零时—2027年12月31日二十四时。</w:t>
      </w:r>
      <w:r/>
    </w:p>
    <w:p>
      <w:pPr>
        <w:ind w:left="-4" w:firstLine="428"/>
        <w:rPr>
          <w:spacing w:val="2"/>
          <w:sz w:val="24"/>
        </w:rPr>
      </w:pPr>
      <w:r>
        <w:rPr>
          <w:spacing w:val="2"/>
          <w:sz w:val="24"/>
        </w:rPr>
        <w:t xml:space="preserve">1.4追溯期</w:t>
      </w:r>
      <w:r/>
    </w:p>
    <w:p>
      <w:pPr>
        <w:ind w:left="-4" w:firstLine="428"/>
        <w:rPr>
          <w:spacing w:val="2"/>
          <w:sz w:val="24"/>
        </w:rPr>
      </w:pPr>
      <w:r>
        <w:rPr>
          <w:spacing w:val="2"/>
          <w:sz w:val="24"/>
        </w:rPr>
        <w:t xml:space="preserve">1.4.1本保险为期内索赔，追溯期为2年。</w:t>
      </w:r>
      <w:r/>
    </w:p>
    <w:p>
      <w:pPr>
        <w:ind w:left="-4" w:firstLine="428"/>
        <w:rPr>
          <w:spacing w:val="2"/>
          <w:sz w:val="24"/>
        </w:rPr>
      </w:pPr>
      <w:r>
        <w:rPr>
          <w:spacing w:val="2"/>
          <w:sz w:val="24"/>
        </w:rPr>
        <w:t xml:space="preserve">追溯期自2024年01月01日零时起至2025年12月31日二十四时止。</w:t>
      </w:r>
      <w:r/>
    </w:p>
    <w:p>
      <w:pPr>
        <w:ind w:left="-4" w:firstLine="428"/>
        <w:rPr>
          <w:spacing w:val="2"/>
          <w:sz w:val="24"/>
        </w:rPr>
      </w:pPr>
      <w:r>
        <w:rPr>
          <w:spacing w:val="2"/>
          <w:sz w:val="24"/>
        </w:rPr>
        <w:t xml:space="preserve">1.4.2经人民法院追认的医患纠纷赔偿在本保险期限内保险人同样负责赔偿。</w:t>
      </w:r>
      <w:r/>
    </w:p>
    <w:p>
      <w:pPr>
        <w:ind w:left="-4" w:firstLine="428"/>
        <w:rPr>
          <w:spacing w:val="2"/>
          <w:sz w:val="24"/>
        </w:rPr>
      </w:pPr>
      <w:r>
        <w:rPr>
          <w:spacing w:val="2"/>
          <w:sz w:val="24"/>
        </w:rPr>
        <w:t xml:space="preserve">1.4.3在患者连续住院就诊并首次向被保险人提出索赔日在本保险起始日之后的医患纠纷，保险人负责纠纷的赔偿。</w:t>
      </w:r>
      <w:r/>
    </w:p>
    <w:p>
      <w:pPr>
        <w:ind w:left="-4" w:firstLine="428"/>
        <w:rPr>
          <w:spacing w:val="2"/>
          <w:sz w:val="24"/>
        </w:rPr>
      </w:pPr>
      <w:r>
        <w:rPr>
          <w:spacing w:val="2"/>
          <w:sz w:val="24"/>
        </w:rPr>
        <w:t xml:space="preserve">1.4.4当年度（包括追溯期内发生的纠纷）的赔款纳入实际赔偿年度累计赔偿限额计算。</w:t>
      </w:r>
      <w:r/>
    </w:p>
    <w:p>
      <w:pPr>
        <w:ind w:left="-4" w:firstLine="428"/>
        <w:jc w:val="left"/>
        <w:rPr>
          <w:spacing w:val="2"/>
          <w:sz w:val="24"/>
        </w:rPr>
      </w:pPr>
      <w:r>
        <w:rPr>
          <w:spacing w:val="2"/>
          <w:sz w:val="24"/>
        </w:rPr>
        <w:t xml:space="preserve">1.5年度保费：（根据中标人报价）。</w:t>
      </w:r>
      <w:r/>
    </w:p>
    <w:p>
      <w:pPr>
        <w:ind w:left="-4" w:firstLine="428"/>
        <w:rPr>
          <w:spacing w:val="2"/>
          <w:sz w:val="24"/>
        </w:rPr>
      </w:pPr>
      <w:r>
        <w:rPr>
          <w:spacing w:val="2"/>
          <w:sz w:val="24"/>
        </w:rPr>
        <w:t xml:space="preserve">1.6保险责任</w:t>
      </w:r>
      <w:r/>
    </w:p>
    <w:p>
      <w:pPr>
        <w:ind w:left="-4" w:firstLine="428"/>
        <w:rPr>
          <w:spacing w:val="2"/>
          <w:sz w:val="24"/>
        </w:rPr>
      </w:pPr>
      <w:r>
        <w:rPr>
          <w:spacing w:val="2"/>
          <w:sz w:val="24"/>
        </w:rPr>
        <w:t xml:space="preserve">1.6.1在保险单列明的保险期间或追溯期及承保区域范围内，在保险单中载明的被保险人的医务人员（以下简称投保医务人员）在诊疗活动中，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p>
    <w:p>
      <w:pPr>
        <w:ind w:left="-4" w:firstLine="428"/>
        <w:rPr>
          <w:spacing w:val="2"/>
          <w:sz w:val="24"/>
        </w:rPr>
      </w:pPr>
      <w:r>
        <w:rPr>
          <w:spacing w:val="2"/>
          <w:sz w:val="24"/>
        </w:rPr>
        <w:t xml:space="preserve">1.6.2保险责任范围内的事故发生后，必要的法律费用，包括但不仅限于事故鉴定费、查勘费、取证费、差旅费、仲裁或诉讼费、案件受理费、律师费等，保险人按照本保险合同的约定负责赔偿。</w:t>
      </w:r>
      <w:r/>
    </w:p>
    <w:p>
      <w:pPr>
        <w:ind w:left="-4" w:firstLine="428"/>
        <w:rPr>
          <w:spacing w:val="2"/>
          <w:sz w:val="24"/>
        </w:rPr>
      </w:pPr>
      <w:r>
        <w:rPr>
          <w:spacing w:val="2"/>
          <w:sz w:val="24"/>
        </w:rPr>
        <w:t xml:space="preserve">1.7  扩展责任</w:t>
      </w:r>
      <w:r/>
    </w:p>
    <w:p>
      <w:pPr>
        <w:ind w:left="-4" w:firstLine="428"/>
        <w:rPr>
          <w:spacing w:val="2"/>
          <w:sz w:val="24"/>
        </w:rPr>
      </w:pPr>
      <w:r>
        <w:rPr>
          <w:spacing w:val="2"/>
          <w:sz w:val="24"/>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p>
    <w:p>
      <w:pPr>
        <w:ind w:left="-4" w:firstLine="428"/>
        <w:rPr>
          <w:spacing w:val="2"/>
          <w:sz w:val="24"/>
        </w:rPr>
      </w:pPr>
      <w:r>
        <w:rPr>
          <w:spacing w:val="2"/>
          <w:sz w:val="24"/>
        </w:rPr>
        <w:t xml:space="preserve">（1）在诊疗护理过程中，由于病情或患者体质特殊而发生的难以预料或在预料之中但难以防范的不良后果；</w:t>
      </w:r>
      <w:r/>
    </w:p>
    <w:p>
      <w:pPr>
        <w:ind w:left="-4" w:firstLine="428"/>
        <w:rPr>
          <w:spacing w:val="2"/>
          <w:sz w:val="24"/>
        </w:rPr>
      </w:pPr>
      <w:r>
        <w:rPr>
          <w:spacing w:val="2"/>
          <w:sz w:val="24"/>
        </w:rPr>
        <w:t xml:space="preserve">（2）按照正常的技术规范操作，仍然发生难以避免的并发症或者治疗意外；</w:t>
      </w:r>
      <w:r/>
    </w:p>
    <w:p>
      <w:pPr>
        <w:ind w:left="-4" w:firstLine="428"/>
        <w:rPr>
          <w:spacing w:val="2"/>
          <w:sz w:val="24"/>
        </w:rPr>
      </w:pPr>
      <w:r>
        <w:rPr>
          <w:spacing w:val="2"/>
          <w:sz w:val="24"/>
        </w:rPr>
        <w:t xml:space="preserve">（3）应用现有医学科学技术，仍然发生无法预料或难以防范的不良后果；</w:t>
      </w:r>
      <w:r/>
    </w:p>
    <w:p>
      <w:pPr>
        <w:ind w:left="-4" w:firstLine="428"/>
        <w:rPr>
          <w:spacing w:val="2"/>
          <w:sz w:val="24"/>
        </w:rPr>
      </w:pPr>
      <w:r>
        <w:rPr>
          <w:spacing w:val="2"/>
          <w:sz w:val="24"/>
        </w:rPr>
        <w:t xml:space="preserve">（4）在危急情况下为抢救危重患者生命而采取的紧急措施所造成的不良后果；</w:t>
      </w:r>
      <w:r/>
    </w:p>
    <w:p>
      <w:pPr>
        <w:ind w:left="-4" w:firstLine="428"/>
        <w:rPr>
          <w:spacing w:val="2"/>
          <w:sz w:val="24"/>
        </w:rPr>
      </w:pPr>
      <w:r>
        <w:rPr>
          <w:spacing w:val="2"/>
          <w:sz w:val="24"/>
        </w:rPr>
        <w:t xml:space="preserve">（5）因药品、消毒药剂、医疗器械的缺陷，或者输入不合格的血液，或药品不良反应造成患者损害。</w:t>
      </w:r>
      <w:r/>
    </w:p>
    <w:p>
      <w:pPr>
        <w:ind w:left="-4" w:firstLine="428"/>
        <w:rPr>
          <w:spacing w:val="2"/>
          <w:sz w:val="24"/>
        </w:rPr>
      </w:pPr>
      <w:r>
        <w:rPr>
          <w:spacing w:val="2"/>
          <w:sz w:val="24"/>
        </w:rPr>
        <w:t xml:space="preserve">1.7.2外聘（外请）医疗专家医疗责任扩展条款</w:t>
      </w:r>
      <w:r/>
    </w:p>
    <w:p>
      <w:pPr>
        <w:ind w:left="-4" w:firstLine="428"/>
        <w:rPr>
          <w:spacing w:val="2"/>
          <w:sz w:val="24"/>
        </w:rPr>
      </w:pPr>
      <w:r>
        <w:rPr>
          <w:spacing w:val="2"/>
          <w:sz w:val="24"/>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p>
    <w:p>
      <w:pPr>
        <w:ind w:left="-4" w:firstLine="428"/>
        <w:rPr>
          <w:spacing w:val="2"/>
          <w:sz w:val="24"/>
        </w:rPr>
      </w:pPr>
      <w:r>
        <w:rPr>
          <w:spacing w:val="2"/>
          <w:sz w:val="24"/>
        </w:rPr>
        <w:t xml:space="preserve">1.7.2.2外聘（外请）医疗专家保费条款</w:t>
      </w:r>
      <w:r/>
    </w:p>
    <w:p>
      <w:pPr>
        <w:ind w:left="-4" w:firstLine="428"/>
        <w:rPr>
          <w:spacing w:val="2"/>
          <w:sz w:val="24"/>
        </w:rPr>
      </w:pPr>
      <w:r>
        <w:rPr>
          <w:spacing w:val="2"/>
          <w:sz w:val="24"/>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p>
    <w:p>
      <w:pPr>
        <w:ind w:right="211" w:firstLine="422"/>
        <w:rPr>
          <w:b/>
          <w:bCs/>
          <w:sz w:val="24"/>
        </w:rPr>
      </w:pPr>
      <w:r>
        <w:rPr>
          <w:b/>
          <w:bCs/>
          <w:sz w:val="24"/>
        </w:rPr>
        <w:t xml:space="preserve">1.8责任免除</w:t>
      </w:r>
      <w:r/>
    </w:p>
    <w:p>
      <w:pPr>
        <w:ind w:right="211" w:firstLine="422"/>
        <w:rPr>
          <w:b/>
          <w:bCs/>
          <w:sz w:val="24"/>
        </w:rPr>
      </w:pPr>
      <w:r>
        <w:rPr>
          <w:b/>
          <w:bCs/>
          <w:sz w:val="24"/>
        </w:rPr>
        <w:t xml:space="preserve">1.8.1  下列原因造成的损失、费用和责任，保险人不负责赔偿：</w:t>
      </w:r>
      <w:r/>
    </w:p>
    <w:p>
      <w:pPr>
        <w:ind w:right="211" w:firstLine="420"/>
        <w:rPr>
          <w:sz w:val="24"/>
        </w:rPr>
      </w:pPr>
      <w:r>
        <w:rPr>
          <w:sz w:val="24"/>
        </w:rPr>
        <w:t xml:space="preserve">（1）被保险人或其投保医务人员的故意行为、犯罪行为和非执业行为；</w:t>
      </w:r>
      <w:r/>
    </w:p>
    <w:p>
      <w:pPr>
        <w:ind w:right="211" w:firstLine="420"/>
        <w:rPr>
          <w:sz w:val="24"/>
        </w:rPr>
      </w:pPr>
      <w:r>
        <w:rPr>
          <w:sz w:val="24"/>
        </w:rPr>
        <w:t xml:space="preserve">（2）战争、敌对行为、军事行动、武装冲突、恐怖活动、罢工、骚乱、暴动、盗窃、抢劫；</w:t>
      </w:r>
      <w:r/>
    </w:p>
    <w:p>
      <w:pPr>
        <w:ind w:right="211" w:firstLine="420"/>
        <w:rPr>
          <w:sz w:val="24"/>
        </w:rPr>
      </w:pPr>
      <w:r>
        <w:rPr>
          <w:sz w:val="24"/>
        </w:rPr>
        <w:t xml:space="preserve">（3）核反应、核子辐射和放射性污染。但使用放射器材治疗发生的赔偿责任，不在此限；</w:t>
      </w:r>
      <w:r/>
    </w:p>
    <w:p>
      <w:pPr>
        <w:ind w:right="211" w:firstLine="420"/>
        <w:rPr>
          <w:sz w:val="24"/>
        </w:rPr>
      </w:pPr>
      <w:r>
        <w:rPr>
          <w:sz w:val="24"/>
        </w:rPr>
        <w:t xml:space="preserve">（4）地震、海啸、雷击、暴雨、洪水等自然灾害。</w:t>
      </w:r>
      <w:r/>
    </w:p>
    <w:p>
      <w:pPr>
        <w:ind w:right="211" w:firstLine="422"/>
        <w:rPr>
          <w:b/>
          <w:bCs/>
          <w:sz w:val="24"/>
        </w:rPr>
      </w:pPr>
      <w:r>
        <w:rPr>
          <w:b/>
          <w:bCs/>
          <w:sz w:val="24"/>
        </w:rPr>
        <w:t xml:space="preserve">1.8.2  下列情形造成的损失、费用和责任，保险人不负责赔偿：</w:t>
      </w:r>
      <w:r/>
    </w:p>
    <w:p>
      <w:pPr>
        <w:ind w:right="211" w:firstLine="420"/>
        <w:rPr>
          <w:sz w:val="24"/>
        </w:rPr>
      </w:pPr>
      <w:r>
        <w:rPr>
          <w:sz w:val="24"/>
        </w:rPr>
        <w:t xml:space="preserve">（1）未经国家有关部门认定合格的医务人员进行的诊疗工作；</w:t>
      </w:r>
      <w:r/>
    </w:p>
    <w:p>
      <w:pPr>
        <w:ind w:right="211" w:firstLine="420"/>
        <w:rPr>
          <w:sz w:val="24"/>
        </w:rPr>
      </w:pPr>
      <w:r>
        <w:rPr>
          <w:sz w:val="24"/>
        </w:rPr>
        <w:t xml:space="preserve">（2）临床试验性检查、治疗以及其它不以治疗为目的的诊疗活动造成患者的人身损害，包括但不仅限于整形美容、健康体检；</w:t>
      </w:r>
      <w:r/>
    </w:p>
    <w:p>
      <w:pPr>
        <w:ind w:right="211" w:firstLine="420"/>
        <w:rPr>
          <w:sz w:val="24"/>
        </w:rPr>
      </w:pPr>
      <w:r>
        <w:rPr>
          <w:sz w:val="24"/>
        </w:rPr>
        <w:t xml:space="preserve">（3）被保险人或其投保医务人员从事未经国家有关部门许可的诊疗工作；</w:t>
      </w:r>
      <w:r/>
    </w:p>
    <w:p>
      <w:pPr>
        <w:ind w:right="211" w:firstLine="420"/>
        <w:rPr>
          <w:sz w:val="24"/>
        </w:rPr>
      </w:pPr>
      <w:r>
        <w:rPr>
          <w:sz w:val="24"/>
        </w:rPr>
        <w:t xml:space="preserve">（4）被保险人或其投保医务人员被吊销执业许可或被取消执业资格以及受停业、停职处分后仍继续进行诊疗工作；</w:t>
      </w:r>
      <w:r/>
    </w:p>
    <w:p>
      <w:pPr>
        <w:ind w:right="211" w:firstLine="420"/>
        <w:rPr>
          <w:sz w:val="24"/>
        </w:rPr>
      </w:pPr>
      <w:r>
        <w:rPr>
          <w:sz w:val="24"/>
        </w:rPr>
        <w:t xml:space="preserve">（5）被保险人投保医务人员在饮酒、吸毒或药剂麻醉状态下进行诊疗工作；</w:t>
      </w:r>
      <w:r/>
    </w:p>
    <w:p>
      <w:pPr>
        <w:ind w:right="211" w:firstLine="420"/>
        <w:rPr>
          <w:sz w:val="24"/>
        </w:rPr>
      </w:pPr>
      <w:r>
        <w:rPr>
          <w:sz w:val="24"/>
        </w:rPr>
        <w:t xml:space="preserve">（6）被保险人或其投保医务人员使用未经国家有关部门批准使用的药品、消毒药剂和医疗器械，但经国家有关部门批准进行临床实验所使用的药品、消毒药剂、医疗器械不在此限；</w:t>
      </w:r>
      <w:r/>
    </w:p>
    <w:p>
      <w:pPr>
        <w:ind w:right="211" w:firstLine="420"/>
        <w:rPr>
          <w:sz w:val="24"/>
        </w:rPr>
      </w:pPr>
      <w:r>
        <w:rPr>
          <w:sz w:val="24"/>
        </w:rPr>
        <w:t xml:space="preserve">（7）被保险人或其投保医务人员在正当的诊断、治疗范围外使用麻醉药品、医疗用毒性药品、精神药品和放射性药品；</w:t>
      </w:r>
      <w:r/>
    </w:p>
    <w:p>
      <w:pPr>
        <w:ind w:right="211" w:firstLine="420"/>
        <w:rPr>
          <w:sz w:val="24"/>
        </w:rPr>
      </w:pPr>
      <w:r>
        <w:rPr>
          <w:sz w:val="24"/>
        </w:rPr>
        <w:t xml:space="preserve">（8）患者或者其近亲属不配合医疗机构进行符合诊疗规范的诊疗，被保险人及其医务人员没有过错的。</w:t>
      </w:r>
      <w:r/>
    </w:p>
    <w:p>
      <w:pPr>
        <w:ind w:right="211" w:firstLine="422"/>
        <w:rPr>
          <w:sz w:val="24"/>
        </w:rPr>
      </w:pPr>
      <w:r>
        <w:rPr>
          <w:b/>
          <w:bCs/>
          <w:sz w:val="24"/>
        </w:rPr>
        <w:t xml:space="preserve">1.8.3  下列损失、费用和责任，保险人不负责赔偿</w:t>
      </w:r>
      <w:r>
        <w:rPr>
          <w:sz w:val="24"/>
        </w:rPr>
        <w:t xml:space="preserve">：</w:t>
      </w:r>
      <w:r/>
    </w:p>
    <w:p>
      <w:pPr>
        <w:ind w:right="211" w:firstLine="420"/>
        <w:rPr>
          <w:sz w:val="24"/>
        </w:rPr>
      </w:pPr>
      <w:r>
        <w:rPr>
          <w:sz w:val="24"/>
        </w:rPr>
        <w:t xml:space="preserve">（1）被保险人医务人员或其代表的人身伤亡；</w:t>
      </w:r>
      <w:r/>
    </w:p>
    <w:p>
      <w:pPr>
        <w:ind w:right="211" w:firstLine="420"/>
        <w:rPr>
          <w:sz w:val="24"/>
        </w:rPr>
      </w:pPr>
      <w:r>
        <w:rPr>
          <w:sz w:val="24"/>
        </w:rPr>
        <w:t xml:space="preserve">（2）直接或间接由于计算机2000年问题引起的损失；</w:t>
      </w:r>
      <w:r/>
    </w:p>
    <w:p>
      <w:pPr>
        <w:ind w:right="211" w:firstLine="420"/>
        <w:rPr>
          <w:sz w:val="24"/>
        </w:rPr>
      </w:pPr>
      <w:r>
        <w:rPr>
          <w:sz w:val="24"/>
        </w:rPr>
        <w:t xml:space="preserve">（3）罚款、罚金或惩罚性赔偿；</w:t>
      </w:r>
      <w:r/>
    </w:p>
    <w:p>
      <w:pPr>
        <w:ind w:right="211" w:firstLine="420"/>
        <w:rPr>
          <w:sz w:val="24"/>
        </w:rPr>
      </w:pPr>
      <w:r>
        <w:rPr>
          <w:sz w:val="24"/>
        </w:rPr>
        <w:t xml:space="preserve">（4）投保医务人员自终止在被保险人的营业处所内工作之后所发生的任何损失、费用和责任。</w:t>
      </w:r>
      <w:r/>
    </w:p>
    <w:p>
      <w:pPr>
        <w:ind w:right="211" w:firstLine="422"/>
        <w:rPr>
          <w:b/>
          <w:bCs/>
          <w:sz w:val="24"/>
        </w:rPr>
      </w:pPr>
      <w:r>
        <w:rPr>
          <w:b/>
          <w:bCs/>
          <w:sz w:val="24"/>
        </w:rPr>
        <w:t xml:space="preserve">1.9赔偿限额</w:t>
      </w:r>
      <w:r/>
    </w:p>
    <w:p>
      <w:pPr>
        <w:ind w:right="211" w:firstLine="422"/>
        <w:rPr>
          <w:b/>
          <w:bCs/>
          <w:sz w:val="24"/>
        </w:rPr>
      </w:pPr>
      <w:r>
        <w:rPr>
          <w:b/>
          <w:bCs/>
          <w:sz w:val="24"/>
        </w:rPr>
        <w:t xml:space="preserve">1.9.1</w:t>
      </w:r>
      <w:r/>
    </w:p>
    <w:tbl>
      <w:tblPr>
        <w:tblStyle w:val="961"/>
        <w:tblW w:w="92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5"/>
        <w:gridCol w:w="3213"/>
        <w:gridCol w:w="2874"/>
      </w:tblGrid>
      <w:tr>
        <w:trPr>
          <w:jc w:val="center"/>
          <w:trHeight w:val="845"/>
        </w:trPr>
        <w:tc>
          <w:tcPr>
            <w:tcW w:w="3155" w:type="dxa"/>
            <w:vAlign w:val="center"/>
            <w:textDirection w:val="lrTb"/>
            <w:noWrap/>
          </w:tcPr>
          <w:p>
            <w:pPr>
              <w:ind w:firstLine="411"/>
              <w:jc w:val="center"/>
              <w:rPr>
                <w:bCs/>
                <w:color w:val="000000"/>
                <w:sz w:val="24"/>
              </w:rPr>
            </w:pPr>
            <w:r>
              <w:rPr>
                <w:bCs/>
                <w:color w:val="000000"/>
                <w:sz w:val="24"/>
              </w:rPr>
              <w:t xml:space="preserve">医疗机构</w:t>
            </w:r>
            <w:r/>
          </w:p>
        </w:tc>
        <w:tc>
          <w:tcPr>
            <w:tcW w:w="3213" w:type="dxa"/>
            <w:vAlign w:val="center"/>
            <w:textDirection w:val="lrTb"/>
            <w:noWrap/>
          </w:tcPr>
          <w:p>
            <w:pPr>
              <w:ind w:firstLine="411"/>
              <w:jc w:val="center"/>
              <w:rPr>
                <w:bCs/>
                <w:color w:val="000000"/>
                <w:sz w:val="24"/>
              </w:rPr>
            </w:pPr>
            <w:r/>
            <w:bookmarkStart w:id="197" w:name="OLE_LINK4"/>
            <w:r>
              <w:rPr>
                <w:bCs/>
                <w:color w:val="000000"/>
                <w:sz w:val="24"/>
              </w:rPr>
              <w:t xml:space="preserve">年度累计赔偿</w:t>
            </w:r>
            <w:bookmarkEnd w:id="197"/>
            <w:r>
              <w:rPr>
                <w:bCs/>
                <w:color w:val="000000"/>
                <w:sz w:val="24"/>
              </w:rPr>
              <w:t xml:space="preserve">限额</w:t>
            </w:r>
            <w:r/>
          </w:p>
          <w:p>
            <w:pPr>
              <w:ind w:firstLine="411"/>
              <w:jc w:val="center"/>
              <w:rPr>
                <w:bCs/>
                <w:color w:val="000000"/>
                <w:sz w:val="24"/>
              </w:rPr>
            </w:pPr>
            <w:r>
              <w:rPr>
                <w:bCs/>
                <w:color w:val="000000"/>
                <w:sz w:val="24"/>
              </w:rPr>
              <w:t xml:space="preserve">（万元/年）</w:t>
            </w:r>
            <w:r/>
          </w:p>
        </w:tc>
        <w:tc>
          <w:tcPr>
            <w:tcW w:w="2874" w:type="dxa"/>
            <w:vAlign w:val="center"/>
            <w:textDirection w:val="lrTb"/>
            <w:noWrap/>
          </w:tcPr>
          <w:p>
            <w:pPr>
              <w:ind w:firstLine="411"/>
              <w:jc w:val="center"/>
              <w:rPr>
                <w:bCs/>
                <w:color w:val="000000"/>
                <w:sz w:val="24"/>
              </w:rPr>
            </w:pPr>
            <w:r>
              <w:rPr>
                <w:bCs/>
                <w:color w:val="000000"/>
                <w:sz w:val="24"/>
              </w:rPr>
              <w:t xml:space="preserve">每人每次赔偿限额</w:t>
            </w:r>
            <w:r/>
          </w:p>
          <w:p>
            <w:pPr>
              <w:ind w:firstLine="411"/>
              <w:jc w:val="center"/>
              <w:rPr>
                <w:bCs/>
                <w:color w:val="000000"/>
                <w:sz w:val="24"/>
              </w:rPr>
            </w:pPr>
            <w:r>
              <w:rPr>
                <w:bCs/>
                <w:color w:val="000000"/>
                <w:sz w:val="24"/>
              </w:rPr>
              <w:t xml:space="preserve">（万元/年）</w:t>
            </w:r>
            <w:r/>
          </w:p>
        </w:tc>
      </w:tr>
      <w:tr>
        <w:trPr>
          <w:jc w:val="center"/>
        </w:trPr>
        <w:tc>
          <w:tcPr>
            <w:tcW w:w="3155" w:type="dxa"/>
            <w:textDirection w:val="lrTb"/>
            <w:noWrap/>
          </w:tcPr>
          <w:p>
            <w:pPr>
              <w:ind w:firstLine="411"/>
              <w:rPr>
                <w:bCs/>
                <w:sz w:val="24"/>
              </w:rPr>
            </w:pPr>
            <w:r/>
            <w:bookmarkStart w:id="198" w:name="_Hlk180586196"/>
            <w:r>
              <w:rPr>
                <w:bCs/>
                <w:sz w:val="24"/>
              </w:rPr>
              <w:t xml:space="preserve">常州市第一人民医院</w:t>
            </w:r>
            <w:r/>
          </w:p>
        </w:tc>
        <w:tc>
          <w:tcPr>
            <w:tcW w:w="3213" w:type="dxa"/>
            <w:vAlign w:val="center"/>
            <w:textDirection w:val="lrTb"/>
            <w:noWrap/>
          </w:tcPr>
          <w:p>
            <w:pPr>
              <w:jc w:val="center"/>
              <w:widowControl/>
              <w:rPr>
                <w:color w:val="000000"/>
                <w:sz w:val="24"/>
                <w:u w:val="single"/>
              </w:rPr>
            </w:pPr>
            <w:r>
              <w:rPr>
                <w:color w:val="000000"/>
                <w:sz w:val="24"/>
                <w:lang w:bidi="ar"/>
              </w:rPr>
              <w:t xml:space="preserve">630</w:t>
            </w:r>
            <w:r/>
          </w:p>
        </w:tc>
        <w:tc>
          <w:tcPr>
            <w:tcW w:w="2874" w:type="dxa"/>
            <w:textDirection w:val="lrTb"/>
            <w:noWrap/>
          </w:tcPr>
          <w:p>
            <w:pPr>
              <w:ind w:firstLine="411"/>
              <w:jc w:val="center"/>
              <w:rPr>
                <w:bCs/>
                <w:sz w:val="24"/>
              </w:rPr>
            </w:pPr>
            <w:r>
              <w:rPr>
                <w:bCs/>
                <w:sz w:val="24"/>
              </w:rPr>
              <w:t xml:space="preserve">60</w:t>
            </w:r>
            <w:r/>
          </w:p>
        </w:tc>
      </w:tr>
      <w:tr>
        <w:trPr>
          <w:jc w:val="center"/>
        </w:trPr>
        <w:tc>
          <w:tcPr>
            <w:tcW w:w="3155" w:type="dxa"/>
            <w:textDirection w:val="lrTb"/>
            <w:noWrap/>
          </w:tcPr>
          <w:p>
            <w:pPr>
              <w:ind w:firstLine="411"/>
              <w:rPr>
                <w:bCs/>
                <w:sz w:val="24"/>
              </w:rPr>
            </w:pPr>
            <w:r>
              <w:rPr>
                <w:bCs/>
                <w:sz w:val="24"/>
              </w:rPr>
              <w:t xml:space="preserve">常州市中医医院</w:t>
            </w:r>
            <w:r/>
          </w:p>
        </w:tc>
        <w:tc>
          <w:tcPr>
            <w:tcW w:w="3213" w:type="dxa"/>
            <w:vAlign w:val="center"/>
            <w:textDirection w:val="lrTb"/>
            <w:noWrap/>
          </w:tcPr>
          <w:p>
            <w:pPr>
              <w:jc w:val="center"/>
              <w:widowControl/>
              <w:rPr>
                <w:color w:val="000000"/>
                <w:sz w:val="24"/>
                <w:u w:val="single"/>
              </w:rPr>
            </w:pPr>
            <w:r>
              <w:rPr>
                <w:color w:val="000000"/>
                <w:sz w:val="24"/>
                <w:lang w:bidi="ar"/>
              </w:rPr>
              <w:t xml:space="preserve">204.75</w:t>
            </w:r>
            <w:r/>
          </w:p>
        </w:tc>
        <w:tc>
          <w:tcPr>
            <w:tcW w:w="2874" w:type="dxa"/>
            <w:textDirection w:val="lrTb"/>
            <w:noWrap/>
          </w:tcPr>
          <w:p>
            <w:pPr>
              <w:ind w:firstLine="411"/>
              <w:jc w:val="center"/>
              <w:rPr>
                <w:bCs/>
                <w:sz w:val="24"/>
              </w:rPr>
            </w:pPr>
            <w:r>
              <w:rPr>
                <w:bCs/>
                <w:sz w:val="24"/>
              </w:rPr>
              <w:t xml:space="preserve">80</w:t>
            </w:r>
            <w:r/>
          </w:p>
        </w:tc>
      </w:tr>
      <w:tr>
        <w:trPr>
          <w:jc w:val="center"/>
        </w:trPr>
        <w:tc>
          <w:tcPr>
            <w:tcW w:w="3155" w:type="dxa"/>
            <w:textDirection w:val="lrTb"/>
            <w:noWrap/>
          </w:tcPr>
          <w:p>
            <w:pPr>
              <w:ind w:firstLine="411"/>
              <w:rPr>
                <w:bCs/>
                <w:sz w:val="24"/>
              </w:rPr>
            </w:pPr>
            <w:r>
              <w:rPr>
                <w:bCs/>
                <w:sz w:val="24"/>
              </w:rPr>
              <w:t xml:space="preserve">常州市妇幼保健院</w:t>
            </w:r>
            <w:r/>
          </w:p>
        </w:tc>
        <w:tc>
          <w:tcPr>
            <w:tcW w:w="3213" w:type="dxa"/>
            <w:vAlign w:val="center"/>
            <w:textDirection w:val="lrTb"/>
            <w:noWrap/>
          </w:tcPr>
          <w:p>
            <w:pPr>
              <w:jc w:val="center"/>
              <w:widowControl/>
              <w:rPr>
                <w:color w:val="000000"/>
                <w:sz w:val="24"/>
                <w:u w:val="single"/>
              </w:rPr>
            </w:pPr>
            <w:r>
              <w:rPr>
                <w:color w:val="000000"/>
                <w:sz w:val="24"/>
                <w:lang w:bidi="ar"/>
              </w:rPr>
              <w:t xml:space="preserve">192.5</w:t>
            </w:r>
            <w:r/>
          </w:p>
        </w:tc>
        <w:tc>
          <w:tcPr>
            <w:tcW w:w="2874" w:type="dxa"/>
            <w:textDirection w:val="lrTb"/>
            <w:noWrap/>
          </w:tcPr>
          <w:p>
            <w:pPr>
              <w:ind w:firstLine="411"/>
              <w:jc w:val="center"/>
              <w:rPr>
                <w:bCs/>
                <w:sz w:val="24"/>
              </w:rPr>
            </w:pPr>
            <w:r>
              <w:rPr>
                <w:bCs/>
                <w:sz w:val="24"/>
              </w:rPr>
              <w:t xml:space="preserve">80</w:t>
            </w:r>
            <w:r/>
          </w:p>
        </w:tc>
      </w:tr>
      <w:tr>
        <w:trPr>
          <w:jc w:val="center"/>
        </w:trPr>
        <w:tc>
          <w:tcPr>
            <w:tcW w:w="3155" w:type="dxa"/>
            <w:textDirection w:val="lrTb"/>
            <w:noWrap/>
          </w:tcPr>
          <w:p>
            <w:pPr>
              <w:ind w:firstLine="411"/>
              <w:rPr>
                <w:bCs/>
                <w:sz w:val="24"/>
              </w:rPr>
            </w:pPr>
            <w:r>
              <w:rPr>
                <w:bCs/>
                <w:sz w:val="24"/>
              </w:rPr>
              <w:t xml:space="preserve">常州市儿童医院</w:t>
            </w:r>
            <w:r/>
          </w:p>
        </w:tc>
        <w:tc>
          <w:tcPr>
            <w:tcW w:w="3213" w:type="dxa"/>
            <w:vAlign w:val="center"/>
            <w:textDirection w:val="lrTb"/>
            <w:noWrap/>
          </w:tcPr>
          <w:p>
            <w:pPr>
              <w:jc w:val="center"/>
              <w:widowControl/>
              <w:rPr>
                <w:color w:val="000000"/>
                <w:sz w:val="24"/>
                <w:u w:val="single"/>
              </w:rPr>
            </w:pPr>
            <w:r>
              <w:rPr>
                <w:color w:val="000000"/>
                <w:sz w:val="24"/>
                <w:lang w:bidi="ar"/>
              </w:rPr>
              <w:t xml:space="preserve">88</w:t>
            </w:r>
            <w:r/>
          </w:p>
        </w:tc>
        <w:tc>
          <w:tcPr>
            <w:tcW w:w="2874" w:type="dxa"/>
            <w:textDirection w:val="lrTb"/>
            <w:noWrap/>
          </w:tcPr>
          <w:p>
            <w:pPr>
              <w:ind w:firstLine="411"/>
              <w:jc w:val="center"/>
              <w:rPr>
                <w:bCs/>
                <w:sz w:val="24"/>
              </w:rPr>
            </w:pPr>
            <w:r>
              <w:rPr>
                <w:bCs/>
                <w:sz w:val="24"/>
              </w:rPr>
              <w:t xml:space="preserve">80</w:t>
            </w:r>
            <w:r/>
          </w:p>
        </w:tc>
      </w:tr>
      <w:tr>
        <w:trPr>
          <w:jc w:val="center"/>
        </w:trPr>
        <w:tc>
          <w:tcPr>
            <w:tcW w:w="3155" w:type="dxa"/>
            <w:textDirection w:val="lrTb"/>
            <w:noWrap/>
          </w:tcPr>
          <w:p>
            <w:pPr>
              <w:ind w:firstLine="411"/>
              <w:rPr>
                <w:bCs/>
                <w:sz w:val="24"/>
              </w:rPr>
            </w:pPr>
            <w:r>
              <w:rPr>
                <w:bCs/>
                <w:sz w:val="24"/>
              </w:rPr>
              <w:t xml:space="preserve">常州市第七人民医院</w:t>
            </w:r>
            <w:r/>
          </w:p>
        </w:tc>
        <w:tc>
          <w:tcPr>
            <w:tcW w:w="3213" w:type="dxa"/>
            <w:vAlign w:val="center"/>
            <w:textDirection w:val="lrTb"/>
            <w:noWrap/>
          </w:tcPr>
          <w:p>
            <w:pPr>
              <w:jc w:val="center"/>
              <w:widowControl/>
              <w:rPr>
                <w:color w:val="000000"/>
                <w:sz w:val="24"/>
                <w:u w:val="single"/>
              </w:rPr>
            </w:pPr>
            <w:r>
              <w:rPr>
                <w:color w:val="000000"/>
                <w:sz w:val="24"/>
                <w:lang w:bidi="ar"/>
              </w:rPr>
              <w:t xml:space="preserve">110</w:t>
            </w:r>
            <w:r/>
          </w:p>
        </w:tc>
        <w:tc>
          <w:tcPr>
            <w:tcW w:w="2874" w:type="dxa"/>
            <w:textDirection w:val="lrTb"/>
            <w:noWrap/>
          </w:tcPr>
          <w:p>
            <w:pPr>
              <w:ind w:firstLine="411"/>
              <w:jc w:val="center"/>
              <w:rPr>
                <w:bCs/>
                <w:sz w:val="24"/>
              </w:rPr>
            </w:pPr>
            <w:r>
              <w:rPr>
                <w:bCs/>
                <w:sz w:val="24"/>
              </w:rPr>
              <w:t xml:space="preserve">80</w:t>
            </w:r>
            <w:bookmarkEnd w:id="198"/>
            <w:r/>
            <w:r/>
          </w:p>
        </w:tc>
      </w:tr>
    </w:tbl>
    <w:p>
      <w:pPr>
        <w:ind w:firstLine="411"/>
        <w:rPr>
          <w:bCs/>
          <w:sz w:val="24"/>
        </w:rPr>
      </w:pPr>
      <w:r>
        <w:rPr>
          <w:bCs/>
          <w:sz w:val="24"/>
        </w:rPr>
        <w:t xml:space="preserve">1.9.2精神损害每人责任限额：为医疗责任保险每人次责任限额的30%，包含在医疗责任保险每人次责任限额内。</w:t>
      </w:r>
      <w:r/>
    </w:p>
    <w:p>
      <w:pPr>
        <w:ind w:firstLine="411"/>
        <w:rPr>
          <w:bCs/>
          <w:sz w:val="24"/>
        </w:rPr>
      </w:pPr>
      <w:r>
        <w:rPr>
          <w:bCs/>
          <w:sz w:val="24"/>
        </w:rPr>
        <w:t xml:space="preserve">1.9.3法律费用累计赔偿限额：为医疗责任保险单载明年度累计赔偿限额的10%。</w:t>
      </w:r>
      <w:r/>
    </w:p>
    <w:p>
      <w:pPr>
        <w:ind w:firstLine="411"/>
        <w:rPr>
          <w:bCs/>
          <w:sz w:val="24"/>
        </w:rPr>
      </w:pPr>
      <w:r>
        <w:rPr>
          <w:bCs/>
          <w:sz w:val="24"/>
        </w:rPr>
        <w:t xml:space="preserve">其中：每人次赔偿限额为实际发生赔偿金额的10%或10000元，以高者为准。</w:t>
      </w:r>
      <w:r/>
    </w:p>
    <w:p>
      <w:pPr>
        <w:ind w:firstLine="411"/>
        <w:rPr>
          <w:sz w:val="24"/>
        </w:rPr>
      </w:pPr>
      <w:r>
        <w:rPr>
          <w:color w:val="000000"/>
          <w:sz w:val="24"/>
        </w:rPr>
        <w:t xml:space="preserve">1.9.4对属于保</w:t>
      </w:r>
      <w:r>
        <w:rPr>
          <w:sz w:val="24"/>
        </w:rPr>
        <w:t xml:space="preserve">险责任范围内的医患民事纠纷，保险人依据常州市医患纠纷人民调解委员会（</w:t>
      </w:r>
      <w:r>
        <w:rPr>
          <w:bCs/>
          <w:sz w:val="24"/>
        </w:rPr>
        <w:t xml:space="preserve">调处中心</w:t>
      </w:r>
      <w:r>
        <w:rPr>
          <w:sz w:val="24"/>
        </w:rPr>
        <w:t xml:space="preserve">）的“人民调解协议书”、人民法院的生效法律文书（包括调解书、裁、判文书），在约定赔偿限额内向被保险人（或患方）足额赔偿。</w:t>
      </w:r>
      <w:r/>
    </w:p>
    <w:p>
      <w:pPr>
        <w:ind w:right="211" w:firstLine="420"/>
        <w:rPr>
          <w:b/>
          <w:bCs/>
          <w:sz w:val="24"/>
          <w:u w:val="single"/>
        </w:rPr>
      </w:pPr>
      <w:r>
        <w:rPr>
          <w:sz w:val="24"/>
        </w:rPr>
        <w:t xml:space="preserve">1.10免赔额或免赔率：本医疗责任保险无免赔额或免赔率。</w:t>
      </w:r>
      <w:r/>
    </w:p>
    <w:p>
      <w:pPr>
        <w:ind w:right="211" w:firstLine="422"/>
        <w:rPr>
          <w:b/>
          <w:bCs/>
          <w:sz w:val="24"/>
        </w:rPr>
      </w:pPr>
      <w:r>
        <w:rPr>
          <w:b/>
          <w:bCs/>
          <w:sz w:val="24"/>
        </w:rPr>
        <w:t xml:space="preserve">1.11理赔约定</w:t>
      </w:r>
      <w:r/>
    </w:p>
    <w:p>
      <w:pPr>
        <w:ind w:right="211" w:firstLine="420"/>
        <w:rPr>
          <w:sz w:val="24"/>
        </w:rPr>
      </w:pPr>
      <w:r>
        <w:rPr>
          <w:sz w:val="24"/>
        </w:rPr>
        <w:t xml:space="preserve">1.11.1纠纷处置</w:t>
      </w:r>
      <w:r/>
    </w:p>
    <w:p>
      <w:pPr>
        <w:ind w:firstLine="411"/>
        <w:rPr>
          <w:bCs/>
          <w:sz w:val="24"/>
        </w:rPr>
      </w:pPr>
      <w:r>
        <w:rPr>
          <w:bCs/>
          <w:sz w:val="24"/>
        </w:rPr>
        <w:t xml:space="preserve">根据《医疗纠纷预防和处理条例》、《江苏省医疗纠纷预防与处理条例》规定，发生医疗纠纷，医患双方可向常州市医患纠纷人民调解委员会（调处中心）申请调解或向人民法院提起诉讼。</w:t>
      </w:r>
      <w:r/>
    </w:p>
    <w:p>
      <w:pPr>
        <w:ind w:firstLine="411"/>
        <w:rPr>
          <w:bCs/>
          <w:sz w:val="24"/>
        </w:rPr>
      </w:pPr>
      <w:r>
        <w:rPr>
          <w:bCs/>
          <w:sz w:val="24"/>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p>
    <w:p>
      <w:pPr>
        <w:ind w:firstLine="411"/>
        <w:rPr>
          <w:bCs/>
          <w:color w:val="ffff00"/>
          <w:sz w:val="24"/>
        </w:rPr>
      </w:pPr>
      <w:r>
        <w:rPr>
          <w:bCs/>
          <w:sz w:val="24"/>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p>
    <w:p>
      <w:pPr>
        <w:ind w:right="211" w:firstLine="420"/>
        <w:rPr>
          <w:bCs/>
          <w:sz w:val="24"/>
        </w:rPr>
      </w:pPr>
      <w:r>
        <w:rPr>
          <w:bCs/>
          <w:sz w:val="24"/>
        </w:rPr>
        <w:t xml:space="preserve">1.11.2理赔依据</w:t>
      </w:r>
      <w:r/>
    </w:p>
    <w:p>
      <w:pPr>
        <w:ind w:firstLine="411"/>
        <w:rPr>
          <w:bCs/>
          <w:sz w:val="24"/>
        </w:rPr>
      </w:pPr>
      <w:r>
        <w:rPr>
          <w:sz w:val="24"/>
        </w:rPr>
        <w:t xml:space="preserve">★</w:t>
      </w:r>
      <w:r>
        <w:rPr>
          <w:bCs/>
          <w:sz w:val="24"/>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p>
    <w:p>
      <w:pPr>
        <w:ind w:firstLine="411"/>
        <w:rPr>
          <w:bCs/>
          <w:sz w:val="24"/>
        </w:rPr>
      </w:pPr>
      <w:r>
        <w:rPr>
          <w:bCs/>
          <w:sz w:val="24"/>
        </w:rPr>
        <w:t xml:space="preserve">1.11.3  赔偿方式 </w:t>
      </w:r>
      <w:r/>
    </w:p>
    <w:p>
      <w:pPr>
        <w:ind w:firstLine="411"/>
        <w:rPr>
          <w:b/>
          <w:bCs/>
          <w:sz w:val="24"/>
          <w:u w:val="single"/>
        </w:rPr>
      </w:pPr>
      <w:r>
        <w:rPr>
          <w:bCs/>
          <w:sz w:val="24"/>
        </w:rPr>
        <w:t xml:space="preserve">保险人遵照《保险法》第65条之规定“保险人对责任保险的被保险人给第三者造成的损害，可以依照法律的规定或者合同的约定，直接向该第三者赔偿保险金”，直接赔付给患者或其代理人，或根据市卫健委主管部门的要求向被保险人赔偿。</w:t>
      </w:r>
      <w:r/>
    </w:p>
    <w:p>
      <w:pPr>
        <w:ind w:firstLine="413"/>
        <w:rPr>
          <w:bCs/>
          <w:sz w:val="24"/>
        </w:rPr>
      </w:pPr>
      <w:r>
        <w:rPr>
          <w:b/>
          <w:sz w:val="24"/>
        </w:rPr>
        <w:t xml:space="preserve">1.11.4  理赔材料</w:t>
      </w:r>
      <w:r/>
    </w:p>
    <w:p>
      <w:pPr>
        <w:ind w:firstLine="411"/>
        <w:rPr>
          <w:bCs/>
          <w:sz w:val="24"/>
        </w:rPr>
      </w:pPr>
      <w:r>
        <w:rPr>
          <w:bCs/>
          <w:sz w:val="24"/>
        </w:rPr>
        <w:t xml:space="preserve">被保险人须提供的理赔材料：</w:t>
      </w:r>
      <w:r/>
    </w:p>
    <w:p>
      <w:pPr>
        <w:ind w:firstLine="411"/>
        <w:rPr>
          <w:bCs/>
          <w:sz w:val="24"/>
        </w:rPr>
      </w:pPr>
      <w:r>
        <w:rPr>
          <w:bCs/>
          <w:sz w:val="24"/>
        </w:rPr>
        <w:t xml:space="preserve">（1）保险出险通知书；</w:t>
      </w:r>
      <w:r/>
    </w:p>
    <w:p>
      <w:pPr>
        <w:ind w:right="211" w:firstLine="420"/>
        <w:rPr>
          <w:bCs/>
          <w:sz w:val="24"/>
        </w:rPr>
      </w:pPr>
      <w:r>
        <w:rPr>
          <w:bCs/>
          <w:sz w:val="24"/>
        </w:rPr>
        <w:t xml:space="preserve">（2）人民调解书或人民法院生效法律文书；</w:t>
      </w:r>
      <w:r/>
    </w:p>
    <w:p>
      <w:pPr>
        <w:ind w:firstLine="411"/>
        <w:rPr>
          <w:bCs/>
          <w:sz w:val="24"/>
        </w:rPr>
      </w:pPr>
      <w:r>
        <w:rPr>
          <w:bCs/>
          <w:sz w:val="24"/>
        </w:rPr>
        <w:t xml:space="preserve">（3）医患纠纷当事人确认表；</w:t>
      </w:r>
      <w:r/>
    </w:p>
    <w:p>
      <w:pPr>
        <w:ind w:firstLine="411"/>
        <w:rPr>
          <w:bCs/>
          <w:sz w:val="24"/>
        </w:rPr>
      </w:pPr>
      <w:r>
        <w:rPr>
          <w:bCs/>
          <w:sz w:val="24"/>
        </w:rPr>
        <w:t xml:space="preserve">（4）医方授权委托书；</w:t>
      </w:r>
      <w:r/>
    </w:p>
    <w:p>
      <w:pPr>
        <w:ind w:firstLine="411"/>
        <w:rPr>
          <w:bCs/>
          <w:sz w:val="24"/>
        </w:rPr>
      </w:pPr>
      <w:r>
        <w:rPr>
          <w:bCs/>
          <w:sz w:val="24"/>
        </w:rPr>
        <w:t xml:space="preserve">（5）患方授权委托书及受托人身份证明；</w:t>
      </w:r>
      <w:r/>
    </w:p>
    <w:p>
      <w:pPr>
        <w:ind w:firstLine="411"/>
        <w:rPr>
          <w:bCs/>
          <w:sz w:val="24"/>
        </w:rPr>
      </w:pPr>
      <w:r>
        <w:rPr>
          <w:bCs/>
          <w:sz w:val="24"/>
        </w:rPr>
        <w:t xml:space="preserve">（6）患方身份证明（包括未成年人在内的限制民事行为能力人或无民事行为能力人须提供其监护人身份证明），患者死亡的须提供医学死亡证明或户口注销证明（复印件）；</w:t>
      </w:r>
      <w:r/>
    </w:p>
    <w:p>
      <w:pPr>
        <w:ind w:firstLine="411"/>
        <w:rPr>
          <w:bCs/>
          <w:sz w:val="24"/>
        </w:rPr>
      </w:pPr>
      <w:r>
        <w:rPr>
          <w:bCs/>
          <w:sz w:val="24"/>
        </w:rPr>
        <w:t xml:space="preserve">（7）患者本人或委托代理人银行卡复印件；</w:t>
      </w:r>
      <w:r/>
    </w:p>
    <w:p>
      <w:pPr>
        <w:ind w:firstLine="411"/>
        <w:rPr>
          <w:bCs/>
          <w:sz w:val="24"/>
        </w:rPr>
      </w:pPr>
      <w:r>
        <w:rPr>
          <w:bCs/>
          <w:sz w:val="24"/>
        </w:rPr>
        <w:t xml:space="preserve">（8）委托转账支付授权书；</w:t>
      </w:r>
      <w:r/>
    </w:p>
    <w:p>
      <w:pPr>
        <w:ind w:firstLine="411"/>
        <w:rPr>
          <w:bCs/>
          <w:sz w:val="24"/>
        </w:rPr>
      </w:pPr>
      <w:r>
        <w:rPr>
          <w:bCs/>
          <w:sz w:val="24"/>
        </w:rPr>
        <w:t xml:space="preserve">（9）当事医护人员执业证书、资格证书；</w:t>
      </w:r>
      <w:r/>
    </w:p>
    <w:p>
      <w:pPr>
        <w:ind w:firstLine="411"/>
        <w:rPr>
          <w:bCs/>
          <w:sz w:val="24"/>
        </w:rPr>
      </w:pPr>
      <w:r>
        <w:rPr>
          <w:bCs/>
          <w:sz w:val="24"/>
        </w:rPr>
        <w:t xml:space="preserve">（10）病历材料，包括：门诊病历、出院记录、手术记录、涉及医药费赔偿的需提供医疗费票据；</w:t>
      </w:r>
      <w:r/>
    </w:p>
    <w:p>
      <w:pPr>
        <w:ind w:firstLine="411"/>
        <w:rPr>
          <w:bCs/>
          <w:sz w:val="24"/>
        </w:rPr>
      </w:pPr>
      <w:r>
        <w:rPr>
          <w:bCs/>
          <w:sz w:val="24"/>
        </w:rPr>
        <w:t xml:space="preserve">（11）医院医疗事件调查登记表；</w:t>
      </w:r>
      <w:r/>
    </w:p>
    <w:p>
      <w:pPr>
        <w:ind w:firstLine="411"/>
        <w:rPr>
          <w:bCs/>
          <w:sz w:val="24"/>
        </w:rPr>
      </w:pPr>
      <w:r>
        <w:rPr>
          <w:bCs/>
          <w:sz w:val="24"/>
        </w:rPr>
        <w:t xml:space="preserve">（12）保险人直接向被保险人支付的，被保险人需提供已将理赔款支付给患者或其代理人的凭证：收条、照片、银行转账凭证。</w:t>
      </w:r>
      <w:r/>
    </w:p>
    <w:p>
      <w:pPr>
        <w:ind w:firstLine="413"/>
        <w:rPr>
          <w:b/>
          <w:sz w:val="24"/>
        </w:rPr>
      </w:pPr>
      <w:r>
        <w:rPr>
          <w:b/>
          <w:sz w:val="24"/>
        </w:rPr>
        <w:t xml:space="preserve">1.11.5  赔偿期限</w:t>
      </w:r>
      <w:r/>
    </w:p>
    <w:p>
      <w:pPr>
        <w:ind w:firstLine="411"/>
        <w:rPr>
          <w:bCs/>
          <w:sz w:val="24"/>
        </w:rPr>
      </w:pPr>
      <w:r>
        <w:rPr>
          <w:bCs/>
          <w:sz w:val="24"/>
        </w:rPr>
        <w:t xml:space="preserve">（1）每人赔偿金额在贰万元以内（包括贰万元）的，保险人在收到完整理赔材料的3个工作日内完成赔付。</w:t>
      </w:r>
      <w:r/>
    </w:p>
    <w:p>
      <w:pPr>
        <w:ind w:firstLine="411"/>
        <w:rPr>
          <w:bCs/>
          <w:sz w:val="24"/>
        </w:rPr>
      </w:pPr>
      <w:r>
        <w:rPr>
          <w:bCs/>
          <w:sz w:val="24"/>
        </w:rPr>
        <w:t xml:space="preserve">（2）每人赔偿金额超过贰万元的，保险人在收到完整理赔材料的7个工作日内完成赔付。</w:t>
      </w:r>
      <w:r/>
    </w:p>
    <w:p>
      <w:pPr>
        <w:ind w:firstLine="411"/>
        <w:rPr>
          <w:bCs/>
          <w:sz w:val="24"/>
        </w:rPr>
      </w:pPr>
      <w:r>
        <w:rPr>
          <w:bCs/>
          <w:sz w:val="24"/>
        </w:rPr>
        <w:t xml:space="preserve">（3）如超过期限未向采购人发出结案通知的，在减去约定结案天数后按赔偿金额的0.657‰/日×实际滞纳天数计算滞纳金赔付给被保险人；如保险人在约定结案期限内发出“拒赔通知”经诉讼后人民法院判决保险人仍需承担赔偿责任的，除承担相应标的的赔偿及上述滞纳金外，保险人另需承担被保险人其他相关的损失（</w:t>
      </w:r>
      <w:r>
        <w:rPr>
          <w:sz w:val="24"/>
        </w:rPr>
        <w:t xml:space="preserve">包括但</w:t>
      </w:r>
      <w:r>
        <w:rPr>
          <w:color w:val="000000"/>
          <w:sz w:val="24"/>
        </w:rPr>
        <w:t xml:space="preserve">不仅限于鉴定费、调查取证费、律师费等</w:t>
      </w:r>
      <w:r>
        <w:rPr>
          <w:bCs/>
          <w:sz w:val="24"/>
        </w:rPr>
        <w:t xml:space="preserve">）。</w:t>
      </w:r>
      <w:r/>
    </w:p>
    <w:p>
      <w:pPr>
        <w:ind w:firstLine="413"/>
        <w:rPr>
          <w:bCs/>
          <w:sz w:val="24"/>
        </w:rPr>
      </w:pPr>
      <w:r>
        <w:rPr>
          <w:b/>
          <w:sz w:val="24"/>
        </w:rPr>
        <w:t xml:space="preserve">1.11.6后续费用</w:t>
      </w:r>
      <w:r>
        <w:rPr>
          <w:bCs/>
          <w:sz w:val="24"/>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p>
    <w:p>
      <w:pPr>
        <w:ind w:firstLine="411"/>
        <w:rPr>
          <w:bCs/>
          <w:sz w:val="24"/>
        </w:rPr>
      </w:pPr>
      <w:r>
        <w:rPr>
          <w:bCs/>
          <w:sz w:val="24"/>
        </w:rPr>
        <w:t xml:space="preserve">1.11.7赔偿项目、范围和标准以《中华人民共和国民法典》、《最高人民法院关于审理人身损害赔偿案件若干问题的解释》等相关法律规定为准。</w:t>
      </w:r>
      <w:r/>
    </w:p>
    <w:p>
      <w:pPr>
        <w:ind w:firstLine="413"/>
        <w:rPr>
          <w:b/>
          <w:sz w:val="24"/>
        </w:rPr>
      </w:pPr>
      <w:r>
        <w:rPr>
          <w:b/>
          <w:sz w:val="24"/>
        </w:rPr>
        <w:t xml:space="preserve">1.11.8  鉴定：</w:t>
      </w:r>
      <w:r>
        <w:rPr>
          <w:bCs/>
          <w:sz w:val="24"/>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p>
    <w:p>
      <w:pPr>
        <w:ind w:right="211" w:firstLine="422"/>
        <w:rPr>
          <w:b/>
          <w:sz w:val="24"/>
        </w:rPr>
      </w:pPr>
      <w:r>
        <w:rPr>
          <w:b/>
          <w:sz w:val="24"/>
        </w:rPr>
        <w:t xml:space="preserve">1.12医疗机构床位、手术台数、人员的增减</w:t>
      </w:r>
      <w:r/>
    </w:p>
    <w:p>
      <w:pPr>
        <w:ind w:firstLine="411"/>
        <w:rPr>
          <w:bCs/>
          <w:sz w:val="24"/>
        </w:rPr>
      </w:pPr>
      <w:r>
        <w:rPr>
          <w:bCs/>
          <w:sz w:val="24"/>
        </w:rPr>
        <w:fldChar w:fldCharType="begin"/>
      </w:r>
      <w:r>
        <w:rPr>
          <w:bCs/>
          <w:sz w:val="24"/>
        </w:rPr>
        <w:instrText xml:space="preserve"> = 1 \* GB3 \* MERGEFORMAT </w:instrText>
      </w:r>
      <w:r>
        <w:rPr>
          <w:bCs/>
          <w:sz w:val="24"/>
        </w:rPr>
        <w:fldChar w:fldCharType="separate"/>
      </w:r>
      <w:r>
        <w:rPr>
          <w:sz w:val="24"/>
        </w:rPr>
        <w:t xml:space="preserve">①</w:t>
      </w:r>
      <w:r>
        <w:rPr>
          <w:bCs/>
          <w:sz w:val="24"/>
        </w:rPr>
        <w:fldChar w:fldCharType="end"/>
      </w:r>
      <w:r>
        <w:rPr>
          <w:bCs/>
          <w:sz w:val="24"/>
        </w:rPr>
        <w:t xml:space="preserve">床位基准保险费：450元/床位/年。</w:t>
      </w:r>
      <w:r/>
    </w:p>
    <w:p>
      <w:pPr>
        <w:ind w:firstLine="411"/>
        <w:rPr>
          <w:bCs/>
          <w:sz w:val="24"/>
        </w:rPr>
      </w:pPr>
      <w:r>
        <w:rPr>
          <w:sz w:val="24"/>
        </w:rPr>
        <w:fldChar w:fldCharType="begin"/>
      </w:r>
      <w:r>
        <w:rPr>
          <w:sz w:val="24"/>
        </w:rPr>
        <w:instrText xml:space="preserve"> = 2 \* GB3 \* MERGEFORMAT </w:instrText>
      </w:r>
      <w:r>
        <w:rPr>
          <w:sz w:val="24"/>
        </w:rPr>
        <w:fldChar w:fldCharType="separate"/>
      </w:r>
      <w:r>
        <w:rPr>
          <w:sz w:val="24"/>
        </w:rPr>
        <w:t xml:space="preserve">②</w:t>
      </w:r>
      <w:r>
        <w:rPr>
          <w:sz w:val="24"/>
        </w:rPr>
        <w:fldChar w:fldCharType="end"/>
      </w:r>
      <w:r>
        <w:rPr>
          <w:bCs/>
          <w:sz w:val="24"/>
        </w:rPr>
        <w:t xml:space="preserve">住院病人手术人次基准保险费：50元/人次。</w:t>
      </w:r>
      <w:r/>
    </w:p>
    <w:p>
      <w:pPr>
        <w:ind w:firstLine="411"/>
        <w:rPr>
          <w:bCs/>
          <w:sz w:val="24"/>
        </w:rPr>
      </w:pPr>
      <w:r>
        <w:rPr>
          <w:sz w:val="24"/>
        </w:rPr>
        <w:fldChar w:fldCharType="begin"/>
      </w:r>
      <w:r>
        <w:rPr>
          <w:sz w:val="24"/>
        </w:rPr>
        <w:instrText xml:space="preserve"> = 3 \* GB3 \* MERGEFORMAT </w:instrText>
      </w:r>
      <w:r>
        <w:rPr>
          <w:sz w:val="24"/>
        </w:rPr>
        <w:fldChar w:fldCharType="separate"/>
      </w:r>
      <w:r>
        <w:rPr>
          <w:sz w:val="24"/>
        </w:rPr>
        <w:t xml:space="preserve">③</w:t>
      </w:r>
      <w:r>
        <w:rPr>
          <w:sz w:val="24"/>
        </w:rPr>
        <w:fldChar w:fldCharType="end"/>
      </w:r>
      <w:r>
        <w:rPr>
          <w:bCs/>
          <w:sz w:val="24"/>
        </w:rPr>
        <w:t xml:space="preserve">医务人员基准保险费：</w:t>
      </w:r>
      <w:r/>
    </w:p>
    <w:p>
      <w:pPr>
        <w:ind w:firstLine="411"/>
        <w:rPr>
          <w:bCs/>
          <w:sz w:val="24"/>
        </w:rPr>
      </w:pPr>
      <w:r>
        <w:rPr>
          <w:bCs/>
          <w:sz w:val="24"/>
        </w:rPr>
        <w:t xml:space="preserve">一院手术科室医师1500元/人/年、非手术科室医师800元/人/年、护士及医技、药剂科室人员500元/人/年；</w:t>
      </w:r>
      <w:r/>
    </w:p>
    <w:p>
      <w:pPr>
        <w:ind w:firstLine="411"/>
        <w:rPr>
          <w:bCs/>
          <w:sz w:val="24"/>
        </w:rPr>
      </w:pPr>
      <w:r>
        <w:rPr>
          <w:bCs/>
          <w:sz w:val="24"/>
        </w:rPr>
        <w:t xml:space="preserve">中医院、妇保院手术科室医师1300元/人/年、非手术科室医师600元/人/年、护士及医技、药剂科室人员400元/人/年；</w:t>
      </w:r>
      <w:r/>
    </w:p>
    <w:p>
      <w:pPr>
        <w:ind w:firstLine="411"/>
        <w:rPr>
          <w:bCs/>
          <w:sz w:val="24"/>
        </w:rPr>
      </w:pPr>
      <w:r>
        <w:rPr>
          <w:bCs/>
          <w:sz w:val="24"/>
        </w:rPr>
        <w:t xml:space="preserve">儿童医院、七院手术科室医师1000元/人/年、非手术科室医师500元/人/年、护士及医技、药剂科室人员300元/人/年。</w:t>
      </w:r>
      <w:r/>
    </w:p>
    <w:p>
      <w:pPr>
        <w:ind w:firstLine="411"/>
        <w:rPr>
          <w:b/>
          <w:bCs/>
          <w:sz w:val="24"/>
        </w:rPr>
      </w:pPr>
      <w:r>
        <w:rPr>
          <w:bCs/>
          <w:sz w:val="24"/>
        </w:rPr>
        <w:t xml:space="preserve">为了简化操作，保险期间内医疗机构床位、手术台数发生变动不调整保费。保险期间内，医护人员发生变动，按岗位类别对应人员保费标准及实际天数计收或退还保费。</w:t>
      </w:r>
      <w:r/>
    </w:p>
    <w:p>
      <w:pPr>
        <w:ind w:firstLine="422"/>
        <w:rPr>
          <w:b/>
          <w:sz w:val="24"/>
        </w:rPr>
      </w:pPr>
      <w:r>
        <w:rPr>
          <w:b/>
          <w:sz w:val="24"/>
        </w:rPr>
        <w:t xml:space="preserve">1.13  保险人、被保险人职责</w:t>
      </w:r>
      <w:r/>
    </w:p>
    <w:p>
      <w:pPr>
        <w:ind w:firstLine="420"/>
        <w:rPr>
          <w:bCs/>
          <w:sz w:val="24"/>
        </w:rPr>
      </w:pPr>
      <w:r>
        <w:rPr>
          <w:bCs/>
          <w:sz w:val="24"/>
        </w:rPr>
        <w:t xml:space="preserve">1.13.1  保险人：严格执行保险合同约定；协助被保险人收集、整理投保或理赔相关材料，材料齐全以后，快速做好出单或赔偿工作；严格执行理赔时限；每月底与采购人核对理赔数据，并及时出具相关统计表，定期将保险开展情况及各项相关真实数据按双方协定的方式报送被保险人。</w:t>
      </w:r>
      <w:r/>
    </w:p>
    <w:p>
      <w:pPr>
        <w:ind w:firstLine="420"/>
        <w:rPr>
          <w:bCs/>
          <w:sz w:val="24"/>
        </w:rPr>
      </w:pPr>
      <w:r>
        <w:rPr>
          <w:bCs/>
          <w:sz w:val="24"/>
        </w:rPr>
        <w:t xml:space="preserve">1.13.2  被保险人：及时向保险人报案，及时提供投保资料并交付保险费，切实组织好本单位的投保工作；及时、真实地提供理赔材料；严格执行保险合同约定；认真执行相关法律法规，规范医疗行为。 </w:t>
      </w:r>
      <w:r/>
    </w:p>
    <w:p>
      <w:pPr>
        <w:ind w:firstLine="420"/>
        <w:rPr>
          <w:sz w:val="24"/>
        </w:rPr>
      </w:pPr>
      <w:r>
        <w:rPr>
          <w:bCs/>
          <w:sz w:val="24"/>
        </w:rPr>
        <w:t xml:space="preserve">1.14 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p>
    <w:p>
      <w:pPr>
        <w:ind w:firstLine="422"/>
        <w:rPr>
          <w:b/>
          <w:sz w:val="24"/>
        </w:rPr>
      </w:pPr>
      <w:r>
        <w:rPr>
          <w:b/>
          <w:sz w:val="24"/>
        </w:rPr>
        <w:t xml:space="preserve">1.15保险机构保险条款中与本方案保险责任、扩展责任、责任免除、出险处理、理赔材料等不一致的以本方案规定为准。</w:t>
      </w:r>
      <w:r/>
    </w:p>
    <w:p>
      <w:pPr>
        <w:ind w:left="420"/>
        <w:rPr>
          <w:b/>
          <w:sz w:val="32"/>
          <w:szCs w:val="32"/>
        </w:rPr>
      </w:pPr>
      <w:r>
        <w:rPr>
          <w:b/>
          <w:sz w:val="32"/>
          <w:szCs w:val="32"/>
        </w:rPr>
        <w:t xml:space="preserve">2．附加场所责任险</w:t>
      </w:r>
      <w:r/>
    </w:p>
    <w:p>
      <w:pPr>
        <w:ind w:firstLine="420"/>
        <w:jc w:val="left"/>
        <w:rPr>
          <w:sz w:val="24"/>
        </w:rPr>
      </w:pPr>
      <w:r>
        <w:rPr>
          <w:b/>
          <w:bCs/>
          <w:sz w:val="24"/>
        </w:rPr>
        <w:t xml:space="preserve">2.1  投保人</w:t>
      </w:r>
      <w:r>
        <w:rPr>
          <w:bCs/>
          <w:sz w:val="24"/>
        </w:rPr>
        <w:t xml:space="preserve">：</w:t>
      </w:r>
      <w:r>
        <w:rPr>
          <w:sz w:val="24"/>
        </w:rPr>
        <w:t xml:space="preserve">常州市第一人民医院、常州市中医医院、常州市妇幼保健院、常州市儿童医院、常州市第七人民医院。</w:t>
      </w:r>
      <w:r/>
    </w:p>
    <w:p>
      <w:pPr>
        <w:ind w:firstLine="420"/>
        <w:jc w:val="left"/>
        <w:rPr>
          <w:bCs/>
          <w:sz w:val="24"/>
        </w:rPr>
      </w:pPr>
      <w:r>
        <w:rPr>
          <w:b/>
          <w:bCs/>
          <w:sz w:val="24"/>
        </w:rPr>
        <w:t xml:space="preserve">2.2  被保险人</w:t>
      </w:r>
      <w:r>
        <w:rPr>
          <w:bCs/>
          <w:sz w:val="24"/>
        </w:rPr>
        <w:t xml:space="preserve">：</w:t>
      </w:r>
      <w:r>
        <w:rPr>
          <w:sz w:val="24"/>
        </w:rPr>
        <w:t xml:space="preserve">常州市第一人民医院、常州市中医医院、常州市妇幼保健院、常州市儿童医院、常州市第七人民医院。</w:t>
      </w:r>
      <w:r/>
    </w:p>
    <w:p>
      <w:pPr>
        <w:ind w:right="211" w:firstLine="422"/>
        <w:rPr>
          <w:sz w:val="24"/>
        </w:rPr>
      </w:pPr>
      <w:r>
        <w:rPr>
          <w:b/>
          <w:bCs/>
          <w:sz w:val="24"/>
        </w:rPr>
        <w:t xml:space="preserve">2.3  保险期间</w:t>
      </w:r>
      <w:r>
        <w:rPr>
          <w:bCs/>
          <w:sz w:val="24"/>
        </w:rPr>
        <w:t xml:space="preserve">：</w:t>
      </w:r>
      <w:r>
        <w:rPr>
          <w:sz w:val="24"/>
        </w:rPr>
        <w:t xml:space="preserve">2026年01月01日零时—2027年12月31日二十四时。</w:t>
      </w:r>
      <w:r/>
    </w:p>
    <w:p>
      <w:pPr>
        <w:ind w:firstLine="422"/>
        <w:rPr>
          <w:b/>
          <w:sz w:val="24"/>
        </w:rPr>
      </w:pPr>
      <w:r>
        <w:rPr>
          <w:b/>
          <w:sz w:val="24"/>
        </w:rPr>
        <w:t xml:space="preserve">2.4  保险责任</w:t>
      </w:r>
      <w:r/>
    </w:p>
    <w:p>
      <w:pPr>
        <w:ind w:firstLine="420"/>
        <w:rPr>
          <w:bCs/>
          <w:sz w:val="24"/>
        </w:rPr>
      </w:pPr>
      <w:r>
        <w:rPr>
          <w:bCs/>
          <w:sz w:val="24"/>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p>
    <w:p>
      <w:pPr>
        <w:ind w:firstLine="420"/>
        <w:rPr>
          <w:bCs/>
          <w:sz w:val="24"/>
        </w:rPr>
      </w:pPr>
      <w:r>
        <w:rPr>
          <w:bCs/>
          <w:sz w:val="24"/>
        </w:rPr>
        <w:t xml:space="preserve">（1）被保险医疗机构的公共设施存在缺陷；</w:t>
      </w:r>
      <w:r/>
    </w:p>
    <w:p>
      <w:pPr>
        <w:ind w:firstLine="420"/>
        <w:rPr>
          <w:bCs/>
          <w:sz w:val="24"/>
        </w:rPr>
      </w:pPr>
      <w:r>
        <w:rPr>
          <w:bCs/>
          <w:sz w:val="24"/>
        </w:rPr>
        <w:t xml:space="preserve">（2）被保险医疗机构内的公共设施管理不善或操作、维护不当；</w:t>
      </w:r>
      <w:r/>
    </w:p>
    <w:p>
      <w:pPr>
        <w:ind w:firstLine="420"/>
        <w:rPr>
          <w:bCs/>
          <w:sz w:val="24"/>
        </w:rPr>
      </w:pPr>
      <w:r>
        <w:rPr>
          <w:bCs/>
          <w:sz w:val="24"/>
        </w:rPr>
        <w:t xml:space="preserve">（3）被保险医疗机构范围内的火灾或爆炸；</w:t>
      </w:r>
      <w:r/>
    </w:p>
    <w:p>
      <w:pPr>
        <w:ind w:firstLine="420"/>
        <w:rPr>
          <w:bCs/>
          <w:sz w:val="24"/>
        </w:rPr>
      </w:pPr>
      <w:r>
        <w:rPr>
          <w:bCs/>
          <w:sz w:val="24"/>
        </w:rPr>
        <w:t xml:space="preserve">（4）被保险医疗机构提供的食品引发食物中毒或其他食源性疾患。</w:t>
      </w:r>
      <w:r/>
    </w:p>
    <w:p>
      <w:pPr>
        <w:ind w:firstLine="422"/>
        <w:rPr>
          <w:b/>
          <w:sz w:val="24"/>
        </w:rPr>
      </w:pPr>
      <w:r>
        <w:rPr>
          <w:b/>
          <w:sz w:val="24"/>
        </w:rPr>
        <w:t xml:space="preserve">2.5  赔偿限额</w:t>
      </w:r>
      <w:r/>
    </w:p>
    <w:p>
      <w:pPr>
        <w:ind w:firstLine="420"/>
        <w:rPr>
          <w:sz w:val="24"/>
        </w:rPr>
      </w:pPr>
      <w:r/>
      <w:bookmarkStart w:id="199" w:name="OLE_LINK13"/>
      <w:r>
        <w:rPr>
          <w:sz w:val="24"/>
        </w:rPr>
        <w:t xml:space="preserve">每人每次事故赔偿限额：一院：60万元；其余医疗机构：80万元。</w:t>
      </w:r>
      <w:r/>
    </w:p>
    <w:p>
      <w:pPr>
        <w:ind w:firstLine="420"/>
        <w:rPr>
          <w:sz w:val="24"/>
        </w:rPr>
      </w:pPr>
      <w:r>
        <w:rPr>
          <w:sz w:val="24"/>
        </w:rPr>
        <w:t xml:space="preserve">医疗机构年度累计赔偿限额：300万元。</w:t>
      </w:r>
      <w:bookmarkEnd w:id="199"/>
      <w:r/>
      <w:r/>
    </w:p>
    <w:p>
      <w:pPr>
        <w:ind w:firstLine="420"/>
        <w:rPr>
          <w:bCs/>
          <w:sz w:val="24"/>
        </w:rPr>
      </w:pPr>
      <w:r>
        <w:rPr>
          <w:bCs/>
          <w:sz w:val="24"/>
        </w:rPr>
        <w:t xml:space="preserve">2.6  本附加保险无免赔额或免赔率。</w:t>
      </w:r>
      <w:r/>
    </w:p>
    <w:p>
      <w:pPr>
        <w:ind w:firstLine="420"/>
        <w:rPr>
          <w:bCs/>
          <w:sz w:val="24"/>
        </w:rPr>
      </w:pPr>
      <w:r>
        <w:rPr>
          <w:bCs/>
          <w:sz w:val="24"/>
        </w:rPr>
        <w:t xml:space="preserve">2.7  理赔依据：为常州市医患纠纷人民调解委员会（调处中心）出具的“纠纷调解协议书”或人民法院的生效法律文书（包括调解书、裁、判文书）。</w:t>
      </w:r>
      <w:r/>
    </w:p>
    <w:p>
      <w:pPr>
        <w:ind w:firstLine="422"/>
        <w:rPr>
          <w:b/>
          <w:sz w:val="24"/>
        </w:rPr>
      </w:pPr>
      <w:r>
        <w:rPr>
          <w:b/>
          <w:sz w:val="24"/>
        </w:rPr>
        <w:t xml:space="preserve">2.8  赔偿期限</w:t>
      </w:r>
      <w:r/>
    </w:p>
    <w:p>
      <w:pPr>
        <w:ind w:firstLine="420"/>
        <w:rPr>
          <w:bCs/>
          <w:sz w:val="24"/>
        </w:rPr>
      </w:pPr>
      <w:r>
        <w:rPr>
          <w:bCs/>
          <w:sz w:val="24"/>
        </w:rPr>
        <w:t xml:space="preserve">2.8.1  每人赔偿金额在贰万元以内（包括贰万元）的，保险人在收到完整理赔材料的3个工作日内完成赔付。</w:t>
      </w:r>
      <w:r/>
    </w:p>
    <w:p>
      <w:pPr>
        <w:ind w:firstLine="420"/>
        <w:rPr>
          <w:bCs/>
          <w:sz w:val="24"/>
        </w:rPr>
      </w:pPr>
      <w:r>
        <w:rPr>
          <w:bCs/>
          <w:sz w:val="24"/>
        </w:rPr>
        <w:t xml:space="preserve">2.8.2  每人赔偿金额超过贰万元的，保险人在收到完整理赔材料的7个工作日内完成赔付。</w:t>
      </w:r>
      <w:r/>
    </w:p>
    <w:p>
      <w:pPr>
        <w:ind w:firstLine="420"/>
        <w:rPr>
          <w:bCs/>
          <w:sz w:val="24"/>
        </w:rPr>
      </w:pPr>
      <w:r>
        <w:rPr>
          <w:bCs/>
          <w:sz w:val="24"/>
        </w:rPr>
        <w:t xml:space="preserve">2.8.3如超过期限未向采购人发出结案通知的，在减去约定结案天数后按赔偿金额的0.657‰/日×实际滞纳天数计算滞纳金赔付给被保险人；如保险人在约定结案期限内发出“拒赔通知”经诉讼后人民法院判决保险人仍需承担赔偿责任的，除承担相应标的赔偿外，保险人另需承担被保险人其他相关的损失（</w:t>
      </w:r>
      <w:r>
        <w:rPr>
          <w:sz w:val="24"/>
        </w:rPr>
        <w:t xml:space="preserve">包括但</w:t>
      </w:r>
      <w:r>
        <w:rPr>
          <w:color w:val="000000"/>
          <w:sz w:val="24"/>
        </w:rPr>
        <w:t xml:space="preserve">不仅限于鉴定费、调查取证费、律师费等</w:t>
      </w:r>
      <w:r>
        <w:rPr>
          <w:bCs/>
          <w:sz w:val="24"/>
        </w:rPr>
        <w:t xml:space="preserve">）。</w:t>
      </w:r>
      <w:r/>
    </w:p>
    <w:p>
      <w:pPr>
        <w:ind w:firstLine="422"/>
        <w:rPr>
          <w:bCs/>
          <w:sz w:val="24"/>
        </w:rPr>
      </w:pPr>
      <w:r>
        <w:rPr>
          <w:b/>
          <w:sz w:val="24"/>
        </w:rPr>
        <w:t xml:space="preserve">2.9  赔偿方式 </w:t>
      </w:r>
      <w:r/>
    </w:p>
    <w:p>
      <w:pPr>
        <w:ind w:firstLine="420"/>
        <w:rPr>
          <w:sz w:val="24"/>
        </w:rPr>
      </w:pPr>
      <w:r>
        <w:rPr>
          <w:sz w:val="24"/>
        </w:rPr>
        <w:t xml:space="preserve"> 保险人遵照《保险法》第65条之规定原则上直接赔付给伤者，或根据市卫健委主管部门的要求向被保险人赔偿。</w:t>
      </w:r>
      <w:r/>
    </w:p>
    <w:p>
      <w:pPr>
        <w:ind w:firstLine="422"/>
        <w:rPr>
          <w:b/>
          <w:sz w:val="24"/>
        </w:rPr>
      </w:pPr>
      <w:r>
        <w:rPr>
          <w:b/>
          <w:sz w:val="24"/>
        </w:rPr>
        <w:t xml:space="preserve">2.10  理赔材料</w:t>
      </w:r>
      <w:r/>
    </w:p>
    <w:p>
      <w:pPr>
        <w:ind w:firstLine="420"/>
        <w:rPr>
          <w:bCs/>
          <w:sz w:val="24"/>
        </w:rPr>
      </w:pPr>
      <w:r>
        <w:rPr>
          <w:bCs/>
          <w:sz w:val="24"/>
        </w:rPr>
        <w:t xml:space="preserve">被保险人须提供的理赔材料：</w:t>
      </w:r>
      <w:r/>
    </w:p>
    <w:p>
      <w:pPr>
        <w:ind w:firstLine="420"/>
        <w:rPr>
          <w:bCs/>
          <w:sz w:val="24"/>
        </w:rPr>
      </w:pPr>
      <w:r>
        <w:rPr>
          <w:bCs/>
          <w:sz w:val="24"/>
        </w:rPr>
        <w:t xml:space="preserve">（1）保险出险通知书；</w:t>
      </w:r>
      <w:r/>
    </w:p>
    <w:p>
      <w:pPr>
        <w:ind w:firstLine="420"/>
        <w:rPr>
          <w:bCs/>
          <w:sz w:val="24"/>
        </w:rPr>
      </w:pPr>
      <w:r>
        <w:rPr>
          <w:bCs/>
          <w:sz w:val="24"/>
        </w:rPr>
        <w:t xml:space="preserve">（2）人民调解书或相关人民法院法律文书；</w:t>
      </w:r>
      <w:r/>
    </w:p>
    <w:p>
      <w:pPr>
        <w:ind w:firstLine="420"/>
        <w:rPr>
          <w:bCs/>
          <w:sz w:val="24"/>
        </w:rPr>
      </w:pPr>
      <w:r>
        <w:rPr>
          <w:bCs/>
          <w:sz w:val="24"/>
        </w:rPr>
        <w:t xml:space="preserve">（3）事故确认表；</w:t>
      </w:r>
      <w:r/>
    </w:p>
    <w:p>
      <w:pPr>
        <w:ind w:firstLine="420"/>
        <w:rPr>
          <w:bCs/>
          <w:sz w:val="24"/>
        </w:rPr>
      </w:pPr>
      <w:r>
        <w:rPr>
          <w:bCs/>
          <w:sz w:val="24"/>
        </w:rPr>
        <w:t xml:space="preserve">（4）医方授权委托书；</w:t>
      </w:r>
      <w:r/>
    </w:p>
    <w:p>
      <w:pPr>
        <w:ind w:firstLine="420"/>
        <w:rPr>
          <w:bCs/>
          <w:sz w:val="24"/>
        </w:rPr>
      </w:pPr>
      <w:r>
        <w:rPr>
          <w:bCs/>
          <w:sz w:val="24"/>
        </w:rPr>
        <w:t xml:space="preserve">（5）伤者授权委托书及受托人身份证明；</w:t>
      </w:r>
      <w:r/>
    </w:p>
    <w:p>
      <w:pPr>
        <w:ind w:firstLine="420"/>
        <w:rPr>
          <w:bCs/>
          <w:sz w:val="24"/>
        </w:rPr>
      </w:pPr>
      <w:r>
        <w:rPr>
          <w:bCs/>
          <w:sz w:val="24"/>
        </w:rPr>
        <w:t xml:space="preserve">（6）伤者身份证明（包括未成年人在内的限制民事行为能力人或无民事行为能力人须提供其监护人身份证明），伤者死亡的须提供医学死亡证明或户口注销证明（复印件）；</w:t>
      </w:r>
      <w:r/>
    </w:p>
    <w:p>
      <w:pPr>
        <w:ind w:firstLine="420"/>
        <w:rPr>
          <w:bCs/>
          <w:sz w:val="24"/>
        </w:rPr>
      </w:pPr>
      <w:r>
        <w:rPr>
          <w:bCs/>
          <w:sz w:val="24"/>
        </w:rPr>
        <w:t xml:space="preserve">（7）伤者本人或委托代理人银行卡复印件；</w:t>
      </w:r>
      <w:r/>
    </w:p>
    <w:p>
      <w:pPr>
        <w:ind w:firstLine="420"/>
        <w:rPr>
          <w:bCs/>
          <w:sz w:val="24"/>
        </w:rPr>
      </w:pPr>
      <w:r>
        <w:rPr>
          <w:bCs/>
          <w:sz w:val="24"/>
        </w:rPr>
        <w:t xml:space="preserve">（8）委托转账支付授权书；</w:t>
      </w:r>
      <w:r/>
    </w:p>
    <w:p>
      <w:pPr>
        <w:ind w:firstLine="420"/>
        <w:rPr>
          <w:bCs/>
          <w:sz w:val="24"/>
        </w:rPr>
      </w:pPr>
      <w:r>
        <w:rPr>
          <w:bCs/>
          <w:sz w:val="24"/>
        </w:rPr>
        <w:t xml:space="preserve">（9）病历材料，包括：门诊病历、出院记录、手术记录、涉及医药费赔偿的需提供医疗费票据；</w:t>
      </w:r>
      <w:r/>
    </w:p>
    <w:p>
      <w:pPr>
        <w:ind w:firstLine="411"/>
        <w:rPr>
          <w:bCs/>
          <w:sz w:val="24"/>
        </w:rPr>
      </w:pPr>
      <w:r>
        <w:rPr>
          <w:bCs/>
          <w:sz w:val="24"/>
        </w:rPr>
        <w:t xml:space="preserve">（10）保险人直接向被保险人支付的，被保险人需提供已将理赔款支付给伤者或其代理人的凭证：收条、照片、银行转账凭证。</w:t>
      </w:r>
      <w:r/>
    </w:p>
    <w:p>
      <w:pPr>
        <w:ind w:firstLine="413"/>
        <w:rPr>
          <w:b/>
          <w:sz w:val="24"/>
        </w:rPr>
      </w:pPr>
      <w:r>
        <w:rPr>
          <w:b/>
          <w:sz w:val="24"/>
        </w:rPr>
        <w:t xml:space="preserve">2.11本附加险方案未约定事项，以主险方案为准；保险机构保险条款中与本方案保险责任、扩展责任、责任免除、出险处理、理赔材料等不一致的以本方案规定为准。</w:t>
      </w:r>
      <w:r/>
    </w:p>
    <w:p>
      <w:pPr>
        <w:ind w:firstLine="643"/>
        <w:rPr>
          <w:b/>
          <w:sz w:val="32"/>
          <w:szCs w:val="32"/>
        </w:rPr>
      </w:pPr>
      <w:r>
        <w:rPr>
          <w:b/>
          <w:sz w:val="32"/>
          <w:szCs w:val="32"/>
        </w:rPr>
        <w:t xml:space="preserve">3．附加医务人员遭受伤害责任保险</w:t>
      </w:r>
      <w:r/>
    </w:p>
    <w:p>
      <w:pPr>
        <w:ind w:firstLine="420"/>
        <w:jc w:val="left"/>
        <w:rPr>
          <w:sz w:val="24"/>
        </w:rPr>
      </w:pPr>
      <w:r>
        <w:rPr>
          <w:b/>
          <w:sz w:val="24"/>
        </w:rPr>
        <w:t xml:space="preserve">3.1投保人</w:t>
      </w:r>
      <w:r>
        <w:rPr>
          <w:sz w:val="24"/>
        </w:rPr>
        <w:t xml:space="preserve">：常州市第一人民医院、常州市中医医院、常州市妇幼保健院、常州市儿童医院、常州市第七人民医院。</w:t>
      </w:r>
      <w:r/>
    </w:p>
    <w:p>
      <w:pPr>
        <w:ind w:firstLine="420"/>
        <w:jc w:val="left"/>
        <w:rPr>
          <w:bCs/>
          <w:sz w:val="24"/>
        </w:rPr>
      </w:pPr>
      <w:r>
        <w:rPr>
          <w:b/>
          <w:bCs/>
          <w:sz w:val="24"/>
        </w:rPr>
        <w:t xml:space="preserve">3.2被保险人</w:t>
      </w:r>
      <w:r>
        <w:rPr>
          <w:bCs/>
          <w:sz w:val="24"/>
        </w:rPr>
        <w:t xml:space="preserve">：</w:t>
      </w:r>
      <w:r>
        <w:rPr>
          <w:sz w:val="24"/>
        </w:rPr>
        <w:t xml:space="preserve">常州市第一人民医院、常州市中医医院、常州市妇幼保健院、常州市儿童医院、常州市第七人民医院。</w:t>
      </w:r>
      <w:r/>
    </w:p>
    <w:p>
      <w:pPr>
        <w:ind w:right="211" w:firstLine="422"/>
        <w:rPr>
          <w:sz w:val="24"/>
        </w:rPr>
      </w:pPr>
      <w:r>
        <w:rPr>
          <w:b/>
          <w:bCs/>
          <w:sz w:val="24"/>
        </w:rPr>
        <w:t xml:space="preserve">3.3保险期间</w:t>
      </w:r>
      <w:r>
        <w:rPr>
          <w:b/>
          <w:sz w:val="24"/>
        </w:rPr>
        <w:t xml:space="preserve">：</w:t>
      </w:r>
      <w:r>
        <w:rPr>
          <w:sz w:val="24"/>
        </w:rPr>
        <w:t xml:space="preserve">2026年01月01日零时—2027年12月31日二十四时。</w:t>
      </w:r>
      <w:r/>
    </w:p>
    <w:p>
      <w:pPr>
        <w:ind w:firstLine="422"/>
        <w:rPr>
          <w:bCs/>
          <w:sz w:val="24"/>
        </w:rPr>
      </w:pPr>
      <w:r>
        <w:rPr>
          <w:b/>
          <w:sz w:val="24"/>
        </w:rPr>
        <w:t xml:space="preserve">3.4保险责任：</w:t>
      </w:r>
      <w:r>
        <w:rPr>
          <w:bCs/>
          <w:sz w:val="24"/>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p>
    <w:p>
      <w:pPr>
        <w:ind w:firstLine="481"/>
        <w:rPr>
          <w:b/>
          <w:sz w:val="24"/>
        </w:rPr>
      </w:pPr>
      <w:r>
        <w:rPr>
          <w:b/>
          <w:sz w:val="24"/>
        </w:rPr>
        <w:t xml:space="preserve">3.5责任免除</w:t>
      </w:r>
      <w:r/>
    </w:p>
    <w:p>
      <w:pPr>
        <w:ind w:firstLine="481"/>
        <w:rPr>
          <w:bCs/>
          <w:sz w:val="24"/>
        </w:rPr>
      </w:pPr>
      <w:r>
        <w:rPr>
          <w:bCs/>
          <w:sz w:val="24"/>
        </w:rPr>
        <w:t xml:space="preserve">由于下列各项引起的损失或责任，保险人不负责赔偿：</w:t>
      </w:r>
      <w:r/>
    </w:p>
    <w:p>
      <w:pPr>
        <w:ind w:firstLine="481"/>
        <w:rPr>
          <w:bCs/>
          <w:sz w:val="24"/>
        </w:rPr>
      </w:pPr>
      <w:r>
        <w:rPr>
          <w:bCs/>
          <w:sz w:val="24"/>
        </w:rPr>
        <w:t xml:space="preserve">（1）由于被保险人的投保医务人员自残、自杀、违法行为所致的人身伤害；</w:t>
      </w:r>
      <w:r/>
    </w:p>
    <w:p>
      <w:pPr>
        <w:ind w:firstLine="481"/>
        <w:rPr>
          <w:bCs/>
          <w:sz w:val="24"/>
        </w:rPr>
      </w:pPr>
      <w:r>
        <w:rPr>
          <w:bCs/>
          <w:sz w:val="24"/>
        </w:rPr>
        <w:t xml:space="preserve">（2）被保险人的投保医务人员因非职业原因而受酒精或药剂的影响所导致的伤残或死亡；</w:t>
      </w:r>
      <w:r/>
    </w:p>
    <w:p>
      <w:pPr>
        <w:ind w:firstLine="481"/>
        <w:rPr>
          <w:bCs/>
          <w:sz w:val="24"/>
        </w:rPr>
      </w:pPr>
      <w:r>
        <w:rPr>
          <w:bCs/>
          <w:sz w:val="24"/>
        </w:rPr>
        <w:t xml:space="preserve">（3）被保险人直接或指使他人对其投保医务人员故意实施的人身伤害；</w:t>
      </w:r>
      <w:r/>
    </w:p>
    <w:p>
      <w:pPr>
        <w:ind w:firstLine="481"/>
        <w:rPr>
          <w:bCs/>
          <w:sz w:val="24"/>
        </w:rPr>
      </w:pPr>
      <w:r>
        <w:rPr>
          <w:bCs/>
          <w:sz w:val="24"/>
        </w:rPr>
        <w:t xml:space="preserve">（4）被保险人对其承包商所雇佣雇员的责任；</w:t>
      </w:r>
      <w:r/>
    </w:p>
    <w:p>
      <w:pPr>
        <w:ind w:firstLine="481"/>
        <w:rPr>
          <w:bCs/>
          <w:sz w:val="24"/>
        </w:rPr>
      </w:pPr>
      <w:r>
        <w:rPr>
          <w:bCs/>
          <w:sz w:val="24"/>
        </w:rPr>
        <w:t xml:space="preserve">（5）被保险人对其投保医务人员的精神损害赔偿责任；</w:t>
      </w:r>
      <w:r/>
    </w:p>
    <w:p>
      <w:pPr>
        <w:ind w:firstLine="481"/>
        <w:rPr>
          <w:bCs/>
          <w:sz w:val="24"/>
        </w:rPr>
      </w:pPr>
      <w:r>
        <w:rPr>
          <w:bCs/>
          <w:sz w:val="24"/>
        </w:rPr>
        <w:t xml:space="preserve">（6）除保险单另有约定外，被保险人的投保医务人员在中华人民共和国境外及港、澳、台地区所发生的人身伤害。</w:t>
      </w:r>
      <w:r/>
    </w:p>
    <w:p>
      <w:pPr>
        <w:ind w:firstLine="481"/>
        <w:rPr>
          <w:bCs/>
          <w:sz w:val="24"/>
        </w:rPr>
      </w:pPr>
      <w:r>
        <w:rPr>
          <w:bCs/>
          <w:sz w:val="24"/>
        </w:rPr>
        <w:t xml:space="preserve">对于任何财产损失及任何间接损失，保险人不负责赔偿。</w:t>
      </w:r>
      <w:r/>
    </w:p>
    <w:p>
      <w:pPr>
        <w:ind w:firstLine="422"/>
        <w:rPr>
          <w:b/>
          <w:color w:val="000000"/>
          <w:sz w:val="24"/>
        </w:rPr>
      </w:pPr>
      <w:r>
        <w:rPr>
          <w:b/>
          <w:color w:val="000000"/>
          <w:sz w:val="24"/>
        </w:rPr>
        <w:t xml:space="preserve">3.6赔偿项目及限额</w:t>
      </w:r>
      <w:r/>
    </w:p>
    <w:p>
      <w:pPr>
        <w:ind w:right="211" w:firstLine="420"/>
        <w:rPr>
          <w:color w:val="000000"/>
          <w:sz w:val="24"/>
        </w:rPr>
      </w:pPr>
      <w:r>
        <w:rPr>
          <w:color w:val="000000"/>
          <w:sz w:val="24"/>
        </w:rPr>
        <w:t xml:space="preserve">3.6.1</w:t>
      </w:r>
      <w:bookmarkStart w:id="200" w:name="OLE_LINK16"/>
      <w:r/>
      <w:bookmarkStart w:id="201" w:name="OLE_LINK15"/>
      <w:r>
        <w:rPr>
          <w:color w:val="000000"/>
          <w:sz w:val="24"/>
        </w:rPr>
        <w:t xml:space="preserve">医疗机构年度累计赔偿限额：500万元</w:t>
      </w:r>
      <w:bookmarkEnd w:id="200"/>
      <w:r/>
      <w:bookmarkEnd w:id="201"/>
      <w:r>
        <w:rPr>
          <w:color w:val="000000"/>
          <w:sz w:val="24"/>
        </w:rPr>
        <w:t xml:space="preserve">。</w:t>
      </w:r>
      <w:r/>
    </w:p>
    <w:p>
      <w:pPr>
        <w:ind w:firstLine="420"/>
        <w:rPr>
          <w:color w:val="000000"/>
          <w:sz w:val="24"/>
        </w:rPr>
      </w:pPr>
      <w:r>
        <w:rPr>
          <w:color w:val="000000"/>
          <w:sz w:val="24"/>
        </w:rPr>
        <w:t xml:space="preserve">3.6.2</w:t>
      </w:r>
      <w:bookmarkStart w:id="202" w:name="OLE_LINK18"/>
      <w:r>
        <w:rPr>
          <w:color w:val="000000"/>
          <w:sz w:val="24"/>
        </w:rPr>
        <w:t xml:space="preserve">人员身故赔偿限额：</w:t>
      </w:r>
      <w:r>
        <w:rPr>
          <w:sz w:val="24"/>
        </w:rPr>
        <w:t xml:space="preserve">一院：60万元</w:t>
      </w:r>
      <w:r>
        <w:rPr>
          <w:color w:val="000000"/>
          <w:sz w:val="24"/>
        </w:rPr>
        <w:t xml:space="preserve">/人</w:t>
      </w:r>
      <w:r>
        <w:rPr>
          <w:sz w:val="24"/>
        </w:rPr>
        <w:t xml:space="preserve">；其余医疗机构：</w:t>
      </w:r>
      <w:r>
        <w:rPr>
          <w:color w:val="000000"/>
          <w:sz w:val="24"/>
        </w:rPr>
        <w:t xml:space="preserve">80万元/人。</w:t>
      </w:r>
      <w:bookmarkEnd w:id="202"/>
      <w:r/>
      <w:r/>
    </w:p>
    <w:p>
      <w:pPr>
        <w:ind w:firstLine="420"/>
        <w:jc w:val="left"/>
        <w:tabs>
          <w:tab w:val="left" w:pos="2256" w:leader="none"/>
        </w:tabs>
        <w:rPr>
          <w:color w:val="000000"/>
          <w:sz w:val="24"/>
        </w:rPr>
      </w:pPr>
      <w:r>
        <w:rPr>
          <w:color w:val="000000"/>
          <w:sz w:val="24"/>
        </w:rPr>
        <w:t xml:space="preserve">3.6.3</w:t>
      </w:r>
      <w:bookmarkStart w:id="203" w:name="OLE_LINK20"/>
      <w:r>
        <w:rPr>
          <w:color w:val="000000"/>
          <w:sz w:val="24"/>
        </w:rPr>
        <w:t xml:space="preserve">人员残疾赔偿限额</w:t>
      </w:r>
      <w:bookmarkEnd w:id="203"/>
      <w:r>
        <w:rPr>
          <w:color w:val="000000"/>
          <w:sz w:val="24"/>
        </w:rPr>
        <w:t xml:space="preserve">：</w:t>
      </w:r>
      <w:r>
        <w:rPr>
          <w:sz w:val="24"/>
        </w:rPr>
        <w:t xml:space="preserve">一院：60万元</w:t>
      </w:r>
      <w:r>
        <w:rPr>
          <w:color w:val="000000"/>
          <w:sz w:val="24"/>
        </w:rPr>
        <w:t xml:space="preserve">/人/年；</w:t>
      </w:r>
      <w:r>
        <w:rPr>
          <w:sz w:val="24"/>
        </w:rPr>
        <w:t xml:space="preserve">其余医疗机构：</w:t>
      </w:r>
      <w:r>
        <w:rPr>
          <w:color w:val="000000"/>
          <w:sz w:val="24"/>
        </w:rPr>
        <w:t xml:space="preserve">80万元/人/年。</w:t>
      </w:r>
      <w:r/>
    </w:p>
    <w:p>
      <w:pPr>
        <w:ind w:firstLine="496"/>
        <w:jc w:val="left"/>
        <w:tabs>
          <w:tab w:val="left" w:pos="2256" w:leader="none"/>
        </w:tabs>
        <w:rPr>
          <w:bCs/>
          <w:sz w:val="24"/>
        </w:rPr>
      </w:pPr>
      <w:r>
        <w:rPr>
          <w:bCs/>
          <w:sz w:val="24"/>
        </w:rPr>
        <w:t xml:space="preserve">根据《劳动能力鉴定 职工工伤与职业病致残等级》（GB/T16180-2014）所对应的伤残等级与下列“伤残等级赔偿限额比例表”相对应的比例乘以每人伤残赔偿限额所得金额进行赔偿。</w:t>
      </w:r>
      <w:r/>
    </w:p>
    <w:tbl>
      <w:tblPr>
        <w:tblStyle w:val="961"/>
        <w:tblW w:w="905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235"/>
        <w:gridCol w:w="4821"/>
      </w:tblGrid>
      <w:tr>
        <w:trPr>
          <w:jc w:val="cente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56" w:type="dxa"/>
            <w:vAlign w:val="center"/>
            <w:textDirection w:val="lrTb"/>
            <w:noWrap/>
          </w:tcPr>
          <w:p>
            <w:pPr>
              <w:ind w:firstLine="493"/>
              <w:jc w:val="center"/>
              <w:tabs>
                <w:tab w:val="left" w:pos="2256" w:leader="none"/>
              </w:tabs>
              <w:rPr>
                <w:bCs/>
                <w:sz w:val="24"/>
              </w:rPr>
            </w:pPr>
            <w:r>
              <w:rPr>
                <w:bCs/>
                <w:sz w:val="24"/>
              </w:rPr>
              <w:t xml:space="preserve">伤残等级赔偿限额比例表</w:t>
            </w:r>
            <w:r/>
          </w:p>
        </w:tc>
      </w:tr>
      <w:tr>
        <w:trPr>
          <w:jc w:val="cente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100%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二级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90%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三级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60%</w:t>
            </w:r>
            <w:r/>
          </w:p>
        </w:tc>
      </w:tr>
      <w:tr>
        <w:trPr>
          <w:jc w:val="cente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35" w:type="dxa"/>
            <w:vAlign w:val="bottom"/>
            <w:textDirection w:val="lrTb"/>
            <w:noWrap/>
          </w:tcPr>
          <w:p>
            <w:pPr>
              <w:ind w:firstLine="496"/>
              <w:jc w:val="center"/>
              <w:tabs>
                <w:tab w:val="left" w:pos="2256" w:leader="none"/>
              </w:tabs>
              <w:rPr>
                <w:bCs/>
                <w:sz w:val="24"/>
              </w:rPr>
            </w:pPr>
            <w:r>
              <w:rPr>
                <w:bCs/>
                <w:sz w:val="24"/>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21" w:type="dxa"/>
            <w:vAlign w:val="bottom"/>
            <w:textDirection w:val="lrTb"/>
            <w:noWrap/>
          </w:tcPr>
          <w:p>
            <w:pPr>
              <w:ind w:firstLine="493"/>
              <w:jc w:val="center"/>
              <w:tabs>
                <w:tab w:val="left" w:pos="2256" w:leader="none"/>
              </w:tabs>
              <w:rPr>
                <w:bCs/>
                <w:sz w:val="24"/>
              </w:rPr>
            </w:pPr>
            <w:r>
              <w:rPr>
                <w:bCs/>
                <w:sz w:val="24"/>
              </w:rPr>
              <w:t xml:space="preserve">10%</w:t>
            </w:r>
            <w:r/>
          </w:p>
        </w:tc>
      </w:tr>
    </w:tbl>
    <w:p>
      <w:pPr>
        <w:ind w:right="211" w:firstLine="420"/>
        <w:jc w:val="left"/>
        <w:rPr>
          <w:color w:val="000000"/>
          <w:sz w:val="24"/>
        </w:rPr>
      </w:pPr>
      <w:r>
        <w:rPr>
          <w:color w:val="000000"/>
          <w:sz w:val="24"/>
        </w:rPr>
        <w:t xml:space="preserve">3.6.4</w:t>
      </w:r>
      <w:r>
        <w:rPr>
          <w:b/>
          <w:bCs/>
          <w:color w:val="000000"/>
          <w:sz w:val="24"/>
        </w:rPr>
        <w:t xml:space="preserve">本附加险赔偿份额不计算在各医疗机构医疗责任保险主险年度累计赔偿限额中，应另行计算。</w:t>
      </w:r>
      <w:r/>
    </w:p>
    <w:p>
      <w:pPr>
        <w:ind w:firstLine="420"/>
        <w:jc w:val="left"/>
        <w:rPr>
          <w:b/>
          <w:color w:val="000000"/>
          <w:sz w:val="24"/>
        </w:rPr>
      </w:pPr>
      <w:r>
        <w:rPr>
          <w:b/>
          <w:color w:val="000000"/>
          <w:sz w:val="24"/>
        </w:rPr>
        <w:t xml:space="preserve">3.7</w:t>
      </w:r>
      <w:r>
        <w:rPr>
          <w:b/>
          <w:sz w:val="24"/>
        </w:rPr>
        <w:t xml:space="preserve">本附加保险无免赔额或免赔率。</w:t>
      </w:r>
      <w:r/>
    </w:p>
    <w:p>
      <w:pPr>
        <w:ind w:firstLine="496"/>
        <w:jc w:val="left"/>
        <w:tabs>
          <w:tab w:val="left" w:pos="2256" w:leader="none"/>
        </w:tabs>
        <w:rPr>
          <w:b/>
          <w:sz w:val="24"/>
        </w:rPr>
      </w:pPr>
      <w:r>
        <w:rPr>
          <w:b/>
          <w:sz w:val="24"/>
        </w:rPr>
        <w:t xml:space="preserve">3.8理赔材料</w:t>
      </w:r>
      <w:r/>
    </w:p>
    <w:p>
      <w:pPr>
        <w:ind w:left="496"/>
        <w:jc w:val="left"/>
        <w:tabs>
          <w:tab w:val="left" w:pos="2256" w:leader="none"/>
        </w:tabs>
        <w:rPr>
          <w:bCs/>
          <w:sz w:val="24"/>
        </w:rPr>
      </w:pPr>
      <w:r>
        <w:rPr>
          <w:bCs/>
          <w:sz w:val="24"/>
        </w:rPr>
        <w:t xml:space="preserve">（1）保险金给付申请书；</w:t>
      </w:r>
      <w:r/>
    </w:p>
    <w:p>
      <w:pPr>
        <w:ind w:left="496"/>
        <w:jc w:val="left"/>
        <w:tabs>
          <w:tab w:val="left" w:pos="2256" w:leader="none"/>
        </w:tabs>
        <w:rPr>
          <w:bCs/>
          <w:sz w:val="24"/>
        </w:rPr>
      </w:pPr>
      <w:r>
        <w:rPr>
          <w:bCs/>
          <w:sz w:val="24"/>
        </w:rPr>
        <w:t xml:space="preserve">（2）公安部门出具的报案证明；</w:t>
      </w:r>
      <w:r/>
    </w:p>
    <w:p>
      <w:pPr>
        <w:ind w:left="496"/>
        <w:jc w:val="left"/>
        <w:tabs>
          <w:tab w:val="left" w:pos="2256" w:leader="none"/>
        </w:tabs>
        <w:rPr>
          <w:bCs/>
          <w:sz w:val="24"/>
        </w:rPr>
      </w:pPr>
      <w:r>
        <w:rPr>
          <w:bCs/>
          <w:sz w:val="24"/>
        </w:rPr>
        <w:t xml:space="preserve">（3）造成残疾的，应提供鉴定机构出具的鉴定书；</w:t>
      </w:r>
      <w:r/>
    </w:p>
    <w:p>
      <w:pPr>
        <w:ind w:left="496"/>
        <w:jc w:val="left"/>
        <w:tabs>
          <w:tab w:val="left" w:pos="2256" w:leader="none"/>
          <w:tab w:val="left" w:pos="6555" w:leader="none"/>
        </w:tabs>
        <w:rPr>
          <w:bCs/>
          <w:sz w:val="24"/>
        </w:rPr>
      </w:pPr>
      <w:r>
        <w:rPr>
          <w:bCs/>
          <w:sz w:val="24"/>
        </w:rPr>
        <w:t xml:space="preserve">（4）造成死亡的，应提供死亡证明、户籍注销证明。</w:t>
      </w:r>
      <w:r/>
    </w:p>
    <w:p>
      <w:pPr>
        <w:ind w:firstLine="413"/>
        <w:rPr>
          <w:b/>
          <w:sz w:val="24"/>
        </w:rPr>
      </w:pPr>
      <w:r>
        <w:rPr>
          <w:b/>
          <w:sz w:val="24"/>
        </w:rPr>
        <w:t xml:space="preserve">3.9本附加险方案未约定事项，以主险方案为准；保险机构保险条款中与本方案保险责任、扩展责任、责任免除、出险处理、理赔材料等不一致的以本方案规定为准。</w:t>
      </w:r>
      <w:r/>
    </w:p>
    <w:p>
      <w:pPr>
        <w:ind w:firstLine="560"/>
        <w:jc w:val="left"/>
        <w:rPr>
          <w:sz w:val="28"/>
          <w:szCs w:val="28"/>
        </w:rPr>
      </w:pPr>
      <w:r>
        <w:rPr>
          <w:sz w:val="28"/>
          <w:szCs w:val="28"/>
        </w:rPr>
        <w:t xml:space="preserve">（Ⅱ）医疗机构财产险项目</w:t>
      </w:r>
      <w:r/>
    </w:p>
    <w:p>
      <w:pPr>
        <w:ind w:firstLine="640"/>
        <w:jc w:val="left"/>
        <w:rPr>
          <w:sz w:val="32"/>
          <w:szCs w:val="32"/>
        </w:rPr>
      </w:pPr>
      <w:r>
        <w:rPr>
          <w:sz w:val="32"/>
          <w:szCs w:val="32"/>
        </w:rPr>
        <w:t xml:space="preserve">1.财产综合险</w:t>
      </w:r>
      <w:r/>
    </w:p>
    <w:p>
      <w:pPr>
        <w:ind w:firstLine="420"/>
        <w:jc w:val="left"/>
        <w:rPr>
          <w:sz w:val="24"/>
        </w:rPr>
      </w:pPr>
      <w:r>
        <w:rPr>
          <w:color w:val="000000"/>
          <w:sz w:val="24"/>
        </w:rPr>
        <w:t xml:space="preserve">1.1投保人：</w:t>
      </w:r>
      <w:r>
        <w:rPr>
          <w:sz w:val="24"/>
        </w:rPr>
        <w:t xml:space="preserve">常州市第一人民医院、常州市中医医院、常州市妇幼保健院、常州市儿童医院、常州市第七人民医院。</w:t>
      </w:r>
      <w:r/>
    </w:p>
    <w:p>
      <w:pPr>
        <w:ind w:firstLine="420"/>
        <w:jc w:val="left"/>
        <w:rPr>
          <w:color w:val="000000"/>
          <w:sz w:val="24"/>
        </w:rPr>
      </w:pPr>
      <w:r>
        <w:rPr>
          <w:color w:val="000000"/>
          <w:sz w:val="24"/>
        </w:rPr>
        <w:t xml:space="preserve">1.2  被保险人：</w:t>
      </w:r>
      <w:r>
        <w:rPr>
          <w:sz w:val="24"/>
        </w:rPr>
        <w:t xml:space="preserve">常州市第一人民医院、常州市中医医院、常州市妇幼保健院、常州市儿童医院、常州市第七人民医院。</w:t>
      </w:r>
      <w:r/>
    </w:p>
    <w:p>
      <w:pPr>
        <w:ind w:firstLine="420"/>
        <w:jc w:val="left"/>
        <w:rPr>
          <w:color w:val="000000"/>
          <w:sz w:val="24"/>
        </w:rPr>
      </w:pPr>
      <w:r>
        <w:rPr>
          <w:color w:val="000000"/>
          <w:sz w:val="24"/>
        </w:rPr>
        <w:t xml:space="preserve">1.3  保险标的：各卫生机构保险合同载明地址中的财产（扣除机动车辆）。</w:t>
      </w:r>
      <w:r/>
    </w:p>
    <w:p>
      <w:pPr>
        <w:ind w:right="211" w:firstLine="420"/>
        <w:rPr>
          <w:color w:val="000000"/>
          <w:sz w:val="24"/>
        </w:rPr>
      </w:pPr>
      <w:r>
        <w:rPr>
          <w:color w:val="000000"/>
          <w:sz w:val="24"/>
        </w:rPr>
        <w:t xml:space="preserve">1.4  </w:t>
      </w:r>
      <w:r>
        <w:rPr>
          <w:b/>
          <w:bCs/>
          <w:sz w:val="24"/>
        </w:rPr>
        <w:t xml:space="preserve">保险期间</w:t>
      </w:r>
      <w:r>
        <w:rPr>
          <w:b/>
          <w:sz w:val="24"/>
        </w:rPr>
        <w:t xml:space="preserve">：</w:t>
      </w:r>
      <w:r>
        <w:rPr>
          <w:sz w:val="24"/>
        </w:rPr>
        <w:t xml:space="preserve">2026年01月01日零时—2027年12月31日二十四时。</w:t>
      </w:r>
      <w:r/>
    </w:p>
    <w:p>
      <w:pPr>
        <w:ind w:right="211" w:firstLine="420"/>
        <w:jc w:val="left"/>
        <w:rPr>
          <w:color w:val="000000"/>
          <w:sz w:val="24"/>
        </w:rPr>
      </w:pPr>
      <w:r>
        <w:rPr>
          <w:color w:val="000000"/>
          <w:sz w:val="24"/>
        </w:rPr>
        <w:t xml:space="preserve">1.5  保险金额： </w:t>
      </w:r>
      <w:r/>
    </w:p>
    <w:tbl>
      <w:tblPr>
        <w:tblStyle w:val="961"/>
        <w:tblW w:w="92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3"/>
        <w:gridCol w:w="4349"/>
      </w:tblGrid>
      <w:tr>
        <w:trPr>
          <w:jc w:val="center"/>
          <w:trHeight w:val="795"/>
        </w:trPr>
        <w:tc>
          <w:tcPr>
            <w:tcW w:w="4893" w:type="dxa"/>
            <w:vAlign w:val="center"/>
            <w:textDirection w:val="lrTb"/>
            <w:noWrap/>
          </w:tcPr>
          <w:p>
            <w:pPr>
              <w:ind w:right="211" w:firstLine="420"/>
              <w:jc w:val="left"/>
              <w:rPr>
                <w:sz w:val="24"/>
              </w:rPr>
            </w:pPr>
            <w:r/>
            <w:bookmarkStart w:id="204" w:name="OLE_LINK24"/>
            <w:r/>
            <w:bookmarkStart w:id="205" w:name="OLE_LINK25"/>
            <w:r>
              <w:rPr>
                <w:color w:val="000000"/>
                <w:sz w:val="24"/>
              </w:rPr>
              <w:t xml:space="preserve">医疗机构</w:t>
            </w:r>
            <w:r/>
          </w:p>
        </w:tc>
        <w:tc>
          <w:tcPr>
            <w:tcW w:w="4349" w:type="dxa"/>
            <w:vAlign w:val="center"/>
            <w:textDirection w:val="lrTb"/>
            <w:noWrap/>
          </w:tcPr>
          <w:p>
            <w:pPr>
              <w:jc w:val="center"/>
              <w:rPr>
                <w:color w:val="000000"/>
                <w:sz w:val="24"/>
              </w:rPr>
            </w:pPr>
            <w:r>
              <w:rPr>
                <w:color w:val="000000"/>
                <w:sz w:val="24"/>
              </w:rPr>
              <w:t xml:space="preserve">财产综合险保险金额（万元）</w:t>
            </w:r>
            <w:r/>
          </w:p>
        </w:tc>
      </w:tr>
      <w:tr>
        <w:trPr>
          <w:jc w:val="center"/>
          <w:trHeight w:val="432"/>
        </w:trPr>
        <w:tc>
          <w:tcPr>
            <w:tcW w:w="4893" w:type="dxa"/>
            <w:textDirection w:val="lrTb"/>
            <w:noWrap/>
          </w:tcPr>
          <w:p>
            <w:pPr>
              <w:jc w:val="center"/>
              <w:rPr>
                <w:sz w:val="24"/>
              </w:rPr>
            </w:pPr>
            <w:r>
              <w:rPr>
                <w:color w:val="000000"/>
                <w:sz w:val="24"/>
              </w:rPr>
              <w:t xml:space="preserve">常州市第一人民医院</w:t>
            </w:r>
            <w:r/>
          </w:p>
        </w:tc>
        <w:tc>
          <w:tcPr>
            <w:tcW w:w="4349" w:type="dxa"/>
            <w:vAlign w:val="center"/>
            <w:textDirection w:val="lrTb"/>
            <w:noWrap/>
          </w:tcPr>
          <w:p>
            <w:pPr>
              <w:jc w:val="center"/>
              <w:rPr>
                <w:color w:val="000000"/>
                <w:sz w:val="24"/>
              </w:rPr>
            </w:pPr>
            <w:r>
              <w:rPr>
                <w:color w:val="000000"/>
                <w:sz w:val="24"/>
                <w:lang w:bidi="ar"/>
              </w:rPr>
              <w:t xml:space="preserve">348108.19</w:t>
            </w:r>
            <w:r/>
          </w:p>
        </w:tc>
      </w:tr>
      <w:tr>
        <w:trPr>
          <w:jc w:val="center"/>
          <w:trHeight w:val="432"/>
        </w:trPr>
        <w:tc>
          <w:tcPr>
            <w:tcW w:w="4893" w:type="dxa"/>
            <w:textDirection w:val="lrTb"/>
            <w:noWrap/>
          </w:tcPr>
          <w:p>
            <w:pPr>
              <w:jc w:val="center"/>
              <w:rPr>
                <w:sz w:val="24"/>
              </w:rPr>
            </w:pPr>
            <w:r>
              <w:rPr>
                <w:color w:val="000000"/>
                <w:sz w:val="24"/>
              </w:rPr>
              <w:t xml:space="preserve">常州市中医医院</w:t>
            </w:r>
            <w:r/>
          </w:p>
        </w:tc>
        <w:tc>
          <w:tcPr>
            <w:tcW w:w="4349" w:type="dxa"/>
            <w:vAlign w:val="center"/>
            <w:textDirection w:val="lrTb"/>
            <w:noWrap/>
          </w:tcPr>
          <w:p>
            <w:pPr>
              <w:jc w:val="center"/>
              <w:widowControl/>
              <w:rPr>
                <w:color w:val="000000"/>
                <w:sz w:val="24"/>
                <w:lang w:bidi="ar"/>
              </w:rPr>
            </w:pPr>
            <w:r>
              <w:rPr>
                <w:color w:val="000000"/>
                <w:sz w:val="24"/>
                <w:lang w:bidi="ar"/>
              </w:rPr>
              <w:t xml:space="preserve">95670.74373</w:t>
            </w:r>
            <w:r/>
          </w:p>
        </w:tc>
      </w:tr>
      <w:tr>
        <w:trPr>
          <w:jc w:val="center"/>
          <w:trHeight w:val="432"/>
        </w:trPr>
        <w:tc>
          <w:tcPr>
            <w:tcW w:w="4893" w:type="dxa"/>
            <w:textDirection w:val="lrTb"/>
            <w:noWrap/>
          </w:tcPr>
          <w:p>
            <w:pPr>
              <w:jc w:val="center"/>
              <w:rPr>
                <w:sz w:val="24"/>
              </w:rPr>
            </w:pPr>
            <w:r>
              <w:rPr>
                <w:color w:val="000000"/>
                <w:sz w:val="24"/>
              </w:rPr>
              <w:t xml:space="preserve">常州市妇幼保健院</w:t>
            </w:r>
            <w:r/>
          </w:p>
        </w:tc>
        <w:tc>
          <w:tcPr>
            <w:tcW w:w="4349" w:type="dxa"/>
            <w:vAlign w:val="center"/>
            <w:textDirection w:val="lrTb"/>
            <w:noWrap/>
          </w:tcPr>
          <w:p>
            <w:pPr>
              <w:jc w:val="center"/>
              <w:widowControl/>
              <w:rPr>
                <w:color w:val="000000"/>
                <w:sz w:val="24"/>
                <w:lang w:bidi="ar"/>
              </w:rPr>
            </w:pPr>
            <w:r>
              <w:rPr>
                <w:color w:val="000000"/>
                <w:sz w:val="24"/>
                <w:lang w:bidi="ar"/>
              </w:rPr>
              <w:t xml:space="preserve">107051.465</w:t>
            </w:r>
            <w:r/>
          </w:p>
        </w:tc>
      </w:tr>
      <w:tr>
        <w:trPr>
          <w:jc w:val="center"/>
          <w:trHeight w:val="432"/>
        </w:trPr>
        <w:tc>
          <w:tcPr>
            <w:tcW w:w="4893" w:type="dxa"/>
            <w:textDirection w:val="lrTb"/>
            <w:noWrap/>
          </w:tcPr>
          <w:p>
            <w:pPr>
              <w:jc w:val="center"/>
              <w:rPr>
                <w:sz w:val="24"/>
              </w:rPr>
            </w:pPr>
            <w:r>
              <w:rPr>
                <w:color w:val="000000"/>
                <w:sz w:val="24"/>
              </w:rPr>
              <w:t xml:space="preserve">常州市儿童医院</w:t>
            </w:r>
            <w:r/>
          </w:p>
        </w:tc>
        <w:tc>
          <w:tcPr>
            <w:tcW w:w="4349" w:type="dxa"/>
            <w:vAlign w:val="center"/>
            <w:textDirection w:val="lrTb"/>
            <w:noWrap/>
          </w:tcPr>
          <w:p>
            <w:pPr>
              <w:jc w:val="center"/>
              <w:widowControl/>
              <w:rPr>
                <w:color w:val="000000"/>
                <w:sz w:val="24"/>
                <w:lang w:bidi="ar"/>
              </w:rPr>
            </w:pPr>
            <w:r>
              <w:rPr>
                <w:color w:val="000000"/>
                <w:sz w:val="24"/>
                <w:lang w:bidi="ar"/>
              </w:rPr>
              <w:t xml:space="preserve">21686.64</w:t>
            </w:r>
            <w:r/>
          </w:p>
        </w:tc>
      </w:tr>
      <w:tr>
        <w:trPr>
          <w:jc w:val="center"/>
          <w:trHeight w:val="432"/>
        </w:trPr>
        <w:tc>
          <w:tcPr>
            <w:tcW w:w="4893" w:type="dxa"/>
            <w:textDirection w:val="lrTb"/>
            <w:noWrap/>
          </w:tcPr>
          <w:p>
            <w:pPr>
              <w:jc w:val="center"/>
              <w:rPr>
                <w:sz w:val="24"/>
              </w:rPr>
            </w:pPr>
            <w:r>
              <w:rPr>
                <w:color w:val="000000"/>
                <w:sz w:val="24"/>
              </w:rPr>
              <w:t xml:space="preserve">常州市第七人民医院</w:t>
            </w:r>
            <w:r/>
          </w:p>
        </w:tc>
        <w:tc>
          <w:tcPr>
            <w:tcW w:w="4349" w:type="dxa"/>
            <w:vAlign w:val="center"/>
            <w:textDirection w:val="lrTb"/>
            <w:noWrap/>
          </w:tcPr>
          <w:p>
            <w:pPr>
              <w:jc w:val="center"/>
              <w:widowControl/>
              <w:rPr>
                <w:color w:val="000000"/>
                <w:sz w:val="24"/>
                <w:lang w:bidi="ar"/>
              </w:rPr>
            </w:pPr>
            <w:r>
              <w:rPr>
                <w:color w:val="000000"/>
                <w:sz w:val="24"/>
                <w:lang w:bidi="ar"/>
              </w:rPr>
              <w:t xml:space="preserve">55245.6155</w:t>
            </w:r>
            <w:r/>
          </w:p>
        </w:tc>
      </w:tr>
      <w:tr>
        <w:trPr>
          <w:jc w:val="center"/>
          <w:trHeight w:val="437"/>
        </w:trPr>
        <w:tc>
          <w:tcPr>
            <w:tcW w:w="4893" w:type="dxa"/>
            <w:vAlign w:val="center"/>
            <w:textDirection w:val="lrTb"/>
            <w:noWrap/>
          </w:tcPr>
          <w:p>
            <w:pPr>
              <w:jc w:val="center"/>
              <w:rPr>
                <w:sz w:val="24"/>
              </w:rPr>
            </w:pPr>
            <w:r>
              <w:rPr>
                <w:bCs/>
                <w:color w:val="000000"/>
                <w:sz w:val="24"/>
              </w:rPr>
              <w:t xml:space="preserve">合计</w:t>
            </w:r>
            <w:r/>
          </w:p>
        </w:tc>
        <w:tc>
          <w:tcPr>
            <w:tcW w:w="4349" w:type="dxa"/>
            <w:vAlign w:val="center"/>
            <w:textDirection w:val="lrTb"/>
            <w:noWrap/>
          </w:tcPr>
          <w:p>
            <w:pPr>
              <w:jc w:val="center"/>
              <w:widowControl/>
              <w:rPr>
                <w:color w:val="000000"/>
                <w:sz w:val="24"/>
                <w:lang w:bidi="ar"/>
              </w:rPr>
            </w:pPr>
            <w:r>
              <w:rPr>
                <w:color w:val="000000"/>
                <w:sz w:val="24"/>
                <w:lang w:bidi="ar"/>
              </w:rPr>
              <w:t xml:space="preserve">627762.65423</w:t>
            </w:r>
            <w:bookmarkEnd w:id="204"/>
            <w:r/>
            <w:bookmarkEnd w:id="205"/>
            <w:r/>
            <w:r/>
          </w:p>
        </w:tc>
      </w:tr>
    </w:tbl>
    <w:p>
      <w:pPr>
        <w:ind w:right="211" w:firstLine="422"/>
        <w:rPr>
          <w:b/>
          <w:bCs/>
        </w:rPr>
      </w:pPr>
      <w:r>
        <w:rPr>
          <w:b/>
          <w:bCs/>
          <w:sz w:val="24"/>
        </w:rPr>
        <w:t xml:space="preserve">1.6保险责任</w:t>
      </w:r>
      <w:r/>
    </w:p>
    <w:p>
      <w:pPr>
        <w:ind w:firstLine="420"/>
        <w:rPr>
          <w:bCs/>
          <w:sz w:val="24"/>
        </w:rPr>
      </w:pPr>
      <w:r>
        <w:rPr>
          <w:bCs/>
          <w:sz w:val="24"/>
        </w:rPr>
        <w:t xml:space="preserve">1.6.1在保险期间内，由于下列原因造成保险标的的损失，保险人按照本保险合同的约定负责赔偿：</w:t>
      </w:r>
      <w:r/>
    </w:p>
    <w:p>
      <w:pPr>
        <w:ind w:firstLine="420"/>
        <w:rPr>
          <w:bCs/>
          <w:sz w:val="24"/>
        </w:rPr>
      </w:pPr>
      <w:r>
        <w:rPr>
          <w:bCs/>
          <w:sz w:val="24"/>
        </w:rPr>
        <w:t xml:space="preserve">（1）火灾、爆炸；</w:t>
      </w:r>
      <w:r/>
    </w:p>
    <w:p>
      <w:pPr>
        <w:ind w:firstLine="420"/>
        <w:rPr>
          <w:bCs/>
          <w:sz w:val="24"/>
        </w:rPr>
      </w:pPr>
      <w:r>
        <w:rPr>
          <w:bCs/>
          <w:sz w:val="24"/>
        </w:rPr>
        <w:t xml:space="preserve">（2） 雷击、暴雨、洪水、暴风、龙卷风、冰雹、台风、飓风、暴雪、冰凌、突发性滑坡、崩塌、泥石流、地面突然下陷下沉；</w:t>
      </w:r>
      <w:r/>
    </w:p>
    <w:p>
      <w:pPr>
        <w:ind w:firstLine="420"/>
        <w:rPr>
          <w:bCs/>
          <w:sz w:val="24"/>
        </w:rPr>
      </w:pPr>
      <w:r>
        <w:rPr>
          <w:bCs/>
          <w:sz w:val="24"/>
        </w:rPr>
        <w:t xml:space="preserve">（3）飞行物体及其他空中运行物体坠落。</w:t>
      </w:r>
      <w:r/>
    </w:p>
    <w:p>
      <w:pPr>
        <w:ind w:firstLine="420"/>
        <w:rPr>
          <w:bCs/>
          <w:sz w:val="24"/>
        </w:rPr>
      </w:pPr>
      <w:r>
        <w:rPr>
          <w:bCs/>
          <w:sz w:val="24"/>
        </w:rPr>
        <w:t xml:space="preserve">前款原因造成的保险事故发生时，为抢救保险标的或防止灾害蔓延，采取必要的、合理的措施而造成保险标的的损失，保险人按照本保险合同的约定也负责赔偿。</w:t>
      </w:r>
      <w:r/>
    </w:p>
    <w:p>
      <w:pPr>
        <w:ind w:firstLine="420"/>
        <w:rPr>
          <w:bCs/>
          <w:sz w:val="24"/>
        </w:rPr>
      </w:pPr>
      <w:r>
        <w:rPr>
          <w:bCs/>
          <w:sz w:val="24"/>
        </w:rPr>
        <w:t xml:space="preserve">1.6.2被保险人拥有财产所有权的自用的供电、供水、供气设备因保险事故遭受损坏，引起停电、停水、停气以致造成保险标的直接损失，保险人按照本保险合同的约定也负责赔偿。</w:t>
      </w:r>
      <w:r/>
    </w:p>
    <w:p>
      <w:pPr>
        <w:ind w:firstLine="420"/>
        <w:rPr>
          <w:bCs/>
          <w:sz w:val="24"/>
        </w:rPr>
      </w:pPr>
      <w:r>
        <w:rPr>
          <w:bCs/>
          <w:sz w:val="24"/>
        </w:rPr>
        <w:t xml:space="preserve">1.6.3保险事故发生后，被保险人为防止或减少保险标的的损失所支付的必要的、合理的费用，保险人按照本保险合同的约定也负责赔偿。</w:t>
      </w:r>
      <w:r/>
    </w:p>
    <w:p>
      <w:pPr>
        <w:ind w:firstLine="422"/>
        <w:rPr>
          <w:bCs/>
          <w:sz w:val="24"/>
        </w:rPr>
      </w:pPr>
      <w:r>
        <w:rPr>
          <w:b/>
          <w:sz w:val="24"/>
        </w:rPr>
        <w:t xml:space="preserve">1.7扩展条款</w:t>
      </w:r>
      <w:r/>
    </w:p>
    <w:p>
      <w:pPr>
        <w:ind w:firstLine="420"/>
        <w:rPr>
          <w:bCs/>
          <w:sz w:val="24"/>
        </w:rPr>
      </w:pPr>
      <w:r>
        <w:rPr>
          <w:bCs/>
          <w:sz w:val="24"/>
        </w:rPr>
        <w:t xml:space="preserve">1.7.1自动喷淋系统水损条款</w:t>
      </w:r>
      <w:r/>
    </w:p>
    <w:p>
      <w:pPr>
        <w:ind w:firstLine="420"/>
        <w:rPr>
          <w:bCs/>
          <w:sz w:val="24"/>
        </w:rPr>
      </w:pPr>
      <w:r>
        <w:rPr>
          <w:bCs/>
          <w:sz w:val="24"/>
        </w:rPr>
        <w:t xml:space="preserve">本保险扩展承保本保险单明细表中列明的被保险财产因喷淋系统的突然破裂、失灵造成该财产的水损（或水污损失）。</w:t>
      </w:r>
      <w:r/>
    </w:p>
    <w:p>
      <w:pPr>
        <w:ind w:firstLine="420"/>
        <w:rPr>
          <w:bCs/>
          <w:sz w:val="24"/>
        </w:rPr>
      </w:pPr>
      <w:r>
        <w:rPr>
          <w:bCs/>
          <w:sz w:val="24"/>
        </w:rPr>
        <w:t xml:space="preserve">1.7.2附加水暖管爆裂保险条款</w:t>
      </w:r>
      <w:r/>
    </w:p>
    <w:p>
      <w:pPr>
        <w:ind w:firstLine="420"/>
        <w:rPr>
          <w:bCs/>
          <w:sz w:val="24"/>
        </w:rPr>
      </w:pPr>
      <w:r>
        <w:rPr>
          <w:bCs/>
          <w:sz w:val="24"/>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p>
    <w:p>
      <w:pPr>
        <w:ind w:firstLine="420"/>
        <w:rPr>
          <w:bCs/>
          <w:sz w:val="24"/>
        </w:rPr>
      </w:pPr>
      <w:r>
        <w:rPr>
          <w:bCs/>
          <w:sz w:val="24"/>
        </w:rPr>
        <w:t xml:space="preserve">1.7.3恶意破坏扩展条款</w:t>
      </w:r>
      <w:r/>
    </w:p>
    <w:p>
      <w:pPr>
        <w:ind w:firstLine="420"/>
        <w:rPr>
          <w:bCs/>
          <w:sz w:val="24"/>
        </w:rPr>
      </w:pPr>
      <w:r>
        <w:rPr>
          <w:bCs/>
          <w:sz w:val="24"/>
        </w:rPr>
        <w:t xml:space="preserve">本保险扩展承保本保险单明细表中列明的保险财产因他人的恶意破坏所致的损失。</w:t>
      </w:r>
      <w:r/>
    </w:p>
    <w:p>
      <w:pPr>
        <w:ind w:firstLine="420"/>
        <w:rPr>
          <w:bCs/>
          <w:sz w:val="24"/>
        </w:rPr>
      </w:pPr>
      <w:r>
        <w:rPr>
          <w:bCs/>
          <w:sz w:val="24"/>
        </w:rPr>
        <w:t xml:space="preserve">1.7.4自动恢复保险金额条款</w:t>
      </w:r>
      <w:r/>
    </w:p>
    <w:p>
      <w:pPr>
        <w:ind w:firstLine="420"/>
        <w:rPr>
          <w:bCs/>
          <w:sz w:val="24"/>
        </w:rPr>
      </w:pPr>
      <w:r>
        <w:rPr>
          <w:bCs/>
          <w:sz w:val="24"/>
        </w:rPr>
        <w:t xml:space="preserve">在保险公司对保险单明细表中列明的被保险财产的损失予以赔偿后，原保险金额自动恢复。</w:t>
      </w:r>
      <w:r/>
    </w:p>
    <w:p>
      <w:pPr>
        <w:ind w:firstLine="420"/>
        <w:rPr>
          <w:bCs/>
          <w:sz w:val="24"/>
        </w:rPr>
      </w:pPr>
      <w:r>
        <w:rPr>
          <w:bCs/>
          <w:sz w:val="24"/>
        </w:rPr>
        <w:t xml:space="preserve">1.7.5增加资产条款</w:t>
      </w:r>
      <w:r/>
    </w:p>
    <w:p>
      <w:pPr>
        <w:ind w:firstLine="420"/>
        <w:rPr>
          <w:bCs/>
          <w:sz w:val="24"/>
        </w:rPr>
      </w:pPr>
      <w:r>
        <w:rPr>
          <w:bCs/>
          <w:sz w:val="24"/>
        </w:rPr>
        <w:t xml:space="preserve">鉴于被保险人在投保资产原值基础上附加了5%增值部分，本保险扩展承保本保险生效后被保险人在中华人民共和国境内所增加的全部资产，但不包括财产的自动升值。</w:t>
      </w:r>
      <w:r/>
    </w:p>
    <w:p>
      <w:pPr>
        <w:ind w:firstLine="420"/>
        <w:rPr>
          <w:bCs/>
          <w:sz w:val="24"/>
        </w:rPr>
      </w:pPr>
      <w:r>
        <w:rPr>
          <w:bCs/>
          <w:sz w:val="24"/>
        </w:rPr>
        <w:t xml:space="preserve">1.7.6紧急抢险条款</w:t>
      </w:r>
      <w:r/>
    </w:p>
    <w:p>
      <w:pPr>
        <w:ind w:firstLine="420"/>
        <w:rPr>
          <w:bCs/>
          <w:sz w:val="24"/>
        </w:rPr>
      </w:pPr>
      <w:r>
        <w:rPr>
          <w:bCs/>
          <w:sz w:val="24"/>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firstLine="420"/>
        <w:rPr>
          <w:color w:val="000000"/>
          <w:sz w:val="24"/>
        </w:rPr>
      </w:pPr>
      <w:r>
        <w:rPr>
          <w:bCs/>
          <w:color w:val="000000"/>
          <w:sz w:val="24"/>
        </w:rPr>
        <w:t xml:space="preserve">1.7.7</w:t>
      </w:r>
      <w:r>
        <w:rPr>
          <w:color w:val="000000"/>
          <w:sz w:val="24"/>
        </w:rPr>
        <w:t xml:space="preserve">广告牌、告示牌及装饰物扩展条款</w:t>
      </w:r>
      <w:r/>
    </w:p>
    <w:p>
      <w:pPr>
        <w:ind w:firstLine="420"/>
        <w:rPr>
          <w:color w:val="000000"/>
          <w:sz w:val="24"/>
        </w:rPr>
      </w:pPr>
      <w:r>
        <w:rPr>
          <w:color w:val="000000"/>
          <w:sz w:val="24"/>
        </w:rPr>
        <w:t xml:space="preserve">在被保险人列明地点及地点之外的，被保险人所有的广告标志及装饰物因主险保险责任范围内的事故造成的财产损失，保险人按照本保险合同的约定负责赔偿。</w:t>
      </w:r>
      <w:r/>
    </w:p>
    <w:p>
      <w:pPr>
        <w:ind w:firstLine="420"/>
        <w:rPr>
          <w:bCs/>
          <w:color w:val="000000"/>
          <w:sz w:val="24"/>
        </w:rPr>
      </w:pPr>
      <w:r>
        <w:rPr>
          <w:bCs/>
          <w:color w:val="000000"/>
          <w:sz w:val="24"/>
        </w:rPr>
        <w:t xml:space="preserve">1.7.8 露天及简易建筑内存放财产扩展条款</w:t>
      </w:r>
      <w:r/>
    </w:p>
    <w:p>
      <w:pPr>
        <w:ind w:firstLine="420"/>
        <w:rPr>
          <w:color w:val="000000"/>
          <w:sz w:val="24"/>
        </w:rPr>
      </w:pPr>
      <w:r>
        <w:rPr>
          <w:color w:val="000000"/>
          <w:sz w:val="24"/>
        </w:rPr>
        <w:t xml:space="preserve">由于暴风、暴雨、龙卷风、台风、飓风、雷电、冰雹、暴雪、冰凌、洪水造成的存放于露天或简易建筑内的保险标的的损失，保险人按照本保险合同的约定负责赔偿。</w:t>
      </w:r>
      <w:r/>
    </w:p>
    <w:p>
      <w:pPr>
        <w:ind w:firstLine="420"/>
        <w:rPr>
          <w:bCs/>
          <w:color w:val="000000"/>
          <w:sz w:val="24"/>
        </w:rPr>
      </w:pPr>
      <w:r>
        <w:rPr>
          <w:bCs/>
          <w:color w:val="000000"/>
          <w:sz w:val="24"/>
        </w:rPr>
        <w:t xml:space="preserve">1.7.9锅炉、压力容器扩展条款</w:t>
      </w:r>
      <w:r/>
    </w:p>
    <w:p>
      <w:pPr>
        <w:ind w:firstLine="420"/>
        <w:rPr>
          <w:bCs/>
          <w:color w:val="000000"/>
          <w:sz w:val="24"/>
        </w:rPr>
      </w:pPr>
      <w:r>
        <w:rPr>
          <w:bCs/>
          <w:color w:val="000000"/>
          <w:sz w:val="24"/>
        </w:rPr>
        <w:t xml:space="preserve">在本保险合同中载明的保险标的地址内，被保险人所有的或管控的锅炉、压力容器在正常使用过程中，由于下列原因造成自身的损失，保险人按照本保险合同的约定负责赔偿：</w:t>
      </w:r>
      <w:r/>
    </w:p>
    <w:p>
      <w:pPr>
        <w:ind w:firstLine="420"/>
        <w:rPr>
          <w:bCs/>
          <w:color w:val="000000"/>
          <w:sz w:val="24"/>
        </w:rPr>
      </w:pPr>
      <w:r>
        <w:rPr>
          <w:bCs/>
          <w:color w:val="000000"/>
          <w:sz w:val="24"/>
        </w:rPr>
        <w:t xml:space="preserve">（一）操作不当；</w:t>
      </w:r>
      <w:r/>
    </w:p>
    <w:p>
      <w:pPr>
        <w:ind w:firstLine="420"/>
        <w:rPr>
          <w:bCs/>
          <w:color w:val="000000"/>
          <w:sz w:val="24"/>
        </w:rPr>
      </w:pPr>
      <w:r>
        <w:rPr>
          <w:bCs/>
          <w:color w:val="000000"/>
          <w:sz w:val="24"/>
        </w:rPr>
        <w:t xml:space="preserve">（二）爆炸。</w:t>
      </w:r>
      <w:r/>
    </w:p>
    <w:p>
      <w:pPr>
        <w:ind w:right="211" w:firstLine="480"/>
        <w:rPr>
          <w:b/>
          <w:bCs/>
          <w:sz w:val="24"/>
        </w:rPr>
      </w:pPr>
      <w:r>
        <w:rPr>
          <w:bCs/>
          <w:sz w:val="24"/>
        </w:rPr>
        <w:t xml:space="preserve">1.8</w:t>
      </w:r>
      <w:r>
        <w:rPr>
          <w:b/>
          <w:bCs/>
          <w:sz w:val="24"/>
        </w:rPr>
        <w:t xml:space="preserve">责任免除</w:t>
      </w:r>
      <w:r/>
    </w:p>
    <w:p>
      <w:pPr>
        <w:ind w:right="211" w:firstLine="480"/>
        <w:rPr>
          <w:sz w:val="24"/>
        </w:rPr>
      </w:pPr>
      <w:r>
        <w:rPr>
          <w:b/>
          <w:bCs/>
          <w:sz w:val="24"/>
        </w:rPr>
        <w:t xml:space="preserve">1.8.1  下列原因造成的损失、费用，保险人不负责赔偿：</w:t>
      </w:r>
      <w:r/>
    </w:p>
    <w:p>
      <w:pPr>
        <w:ind w:right="211" w:firstLine="480"/>
        <w:rPr>
          <w:sz w:val="24"/>
        </w:rPr>
      </w:pPr>
      <w:r>
        <w:rPr>
          <w:sz w:val="24"/>
        </w:rPr>
        <w:t xml:space="preserve">（1）投保人、被保险人及其代表的故意或重大过失行为；</w:t>
      </w:r>
      <w:r/>
    </w:p>
    <w:p>
      <w:pPr>
        <w:ind w:right="211" w:firstLine="480"/>
        <w:rPr>
          <w:sz w:val="24"/>
        </w:rPr>
      </w:pPr>
      <w:r>
        <w:rPr>
          <w:sz w:val="24"/>
        </w:rPr>
        <w:t xml:space="preserve">（2）行政行为或司法行为； </w:t>
      </w:r>
      <w:r/>
    </w:p>
    <w:p>
      <w:pPr>
        <w:ind w:right="211" w:firstLine="480"/>
        <w:rPr>
          <w:sz w:val="24"/>
        </w:rPr>
      </w:pPr>
      <w:r>
        <w:rPr>
          <w:sz w:val="24"/>
        </w:rPr>
        <w:t xml:space="preserve">（3）战争、类似战争行为、敌对行动、军事行动、武装冲突、罢工、骚乱、暴动、政变、谋反、恐怖活动； </w:t>
      </w:r>
      <w:r/>
    </w:p>
    <w:p>
      <w:pPr>
        <w:ind w:right="211" w:firstLine="480"/>
        <w:rPr>
          <w:sz w:val="24"/>
        </w:rPr>
      </w:pPr>
      <w:r>
        <w:rPr>
          <w:sz w:val="24"/>
        </w:rPr>
        <w:t xml:space="preserve">（4）地震、海啸及其次生灾害；</w:t>
      </w:r>
      <w:r/>
    </w:p>
    <w:p>
      <w:pPr>
        <w:ind w:right="211" w:firstLine="480"/>
        <w:rPr>
          <w:sz w:val="24"/>
        </w:rPr>
      </w:pPr>
      <w:r>
        <w:rPr>
          <w:sz w:val="24"/>
        </w:rPr>
        <w:t xml:space="preserve">（5）核辐射、核裂变、核聚变、核污染及其他放射性污染；</w:t>
      </w:r>
      <w:r/>
    </w:p>
    <w:p>
      <w:pPr>
        <w:ind w:right="211" w:firstLine="480"/>
        <w:rPr>
          <w:sz w:val="24"/>
        </w:rPr>
      </w:pPr>
      <w:r>
        <w:rPr>
          <w:sz w:val="24"/>
        </w:rPr>
        <w:t xml:space="preserve">（6）大气污染、土地污染、水污染及其他非放射性污染，但因保险事故造成的非放射性污染不在此限；</w:t>
      </w:r>
      <w:r/>
    </w:p>
    <w:p>
      <w:pPr>
        <w:ind w:right="211" w:firstLine="480"/>
        <w:rPr>
          <w:sz w:val="24"/>
        </w:rPr>
      </w:pPr>
      <w:r>
        <w:rPr>
          <w:sz w:val="24"/>
        </w:rPr>
        <w:t xml:space="preserve">（7）保险标的的内在或潜在缺陷、自然磨损、自然损耗，大气（气候或气温）变化、正常水位变化或其他渐变原因，物质本身变化、霉烂、受潮、鼠咬、虫蛀、鸟啄、氧化、锈蚀、渗漏、自燃、烘焙；</w:t>
      </w:r>
      <w:r/>
    </w:p>
    <w:p>
      <w:pPr>
        <w:ind w:right="211" w:firstLine="420"/>
        <w:rPr>
          <w:sz w:val="24"/>
        </w:rPr>
      </w:pPr>
      <w:r>
        <w:rPr>
          <w:sz w:val="24"/>
        </w:rPr>
        <w:t xml:space="preserve">（8）盗窃、抢劫。</w:t>
      </w:r>
      <w:r/>
    </w:p>
    <w:p>
      <w:pPr>
        <w:ind w:right="211" w:firstLine="422"/>
        <w:rPr>
          <w:b/>
          <w:bCs/>
          <w:sz w:val="24"/>
        </w:rPr>
      </w:pPr>
      <w:r>
        <w:rPr>
          <w:b/>
          <w:bCs/>
          <w:sz w:val="24"/>
        </w:rPr>
        <w:t xml:space="preserve">1.8.2  下列损失、费用，保险人也不负责赔偿：</w:t>
      </w:r>
      <w:r/>
    </w:p>
    <w:p>
      <w:pPr>
        <w:ind w:left="480" w:right="211"/>
        <w:rPr>
          <w:color w:val="000000"/>
          <w:sz w:val="24"/>
        </w:rPr>
      </w:pPr>
      <w:r>
        <w:rPr>
          <w:color w:val="000000"/>
          <w:sz w:val="24"/>
        </w:rPr>
        <w:t xml:space="preserve">（1）保险标的遭受保险事故引起的各种间接损失；</w:t>
      </w:r>
      <w:r/>
    </w:p>
    <w:p>
      <w:pPr>
        <w:ind w:right="211" w:firstLine="480"/>
        <w:rPr>
          <w:sz w:val="24"/>
        </w:rPr>
      </w:pPr>
      <w:r>
        <w:rPr>
          <w:sz w:val="24"/>
        </w:rPr>
        <w:t xml:space="preserve">（2）本保险合同中载明的免赔额。</w:t>
      </w:r>
      <w:r/>
    </w:p>
    <w:p>
      <w:pPr>
        <w:ind w:right="211" w:firstLine="480"/>
        <w:rPr>
          <w:b/>
          <w:bCs/>
          <w:sz w:val="24"/>
        </w:rPr>
      </w:pPr>
      <w:r>
        <w:rPr>
          <w:b/>
          <w:bCs/>
          <w:sz w:val="24"/>
        </w:rPr>
        <w:t xml:space="preserve">1.9免赔额或免赔率</w:t>
      </w:r>
      <w:r/>
    </w:p>
    <w:p>
      <w:pPr>
        <w:ind w:right="211" w:firstLine="420"/>
        <w:jc w:val="left"/>
        <w:rPr>
          <w:sz w:val="24"/>
        </w:rPr>
      </w:pPr>
      <w:r>
        <w:rPr>
          <w:sz w:val="24"/>
        </w:rPr>
        <w:t xml:space="preserve">1.9.1</w:t>
      </w:r>
      <w:bookmarkStart w:id="206" w:name="OLE_LINK23"/>
      <w:r>
        <w:rPr>
          <w:sz w:val="24"/>
        </w:rPr>
        <w:t xml:space="preserve">绝对免赔额：10000元/次。</w:t>
      </w:r>
      <w:bookmarkEnd w:id="206"/>
      <w:r/>
      <w:r/>
    </w:p>
    <w:p>
      <w:pPr>
        <w:ind w:right="211" w:firstLine="480"/>
        <w:rPr>
          <w:sz w:val="24"/>
        </w:rPr>
      </w:pPr>
      <w:r>
        <w:rPr>
          <w:sz w:val="24"/>
        </w:rPr>
        <w:t xml:space="preserve">免赔率：无。</w:t>
      </w:r>
      <w:r/>
    </w:p>
    <w:p>
      <w:pPr>
        <w:ind w:right="211" w:firstLine="480"/>
        <w:rPr>
          <w:b/>
          <w:bCs/>
          <w:sz w:val="24"/>
        </w:rPr>
      </w:pPr>
      <w:r>
        <w:rPr>
          <w:b/>
          <w:bCs/>
          <w:sz w:val="24"/>
        </w:rPr>
        <w:t xml:space="preserve">1.10出险处理</w:t>
      </w:r>
      <w:r/>
    </w:p>
    <w:p>
      <w:pPr>
        <w:ind w:right="211" w:firstLine="480"/>
        <w:rPr>
          <w:sz w:val="24"/>
        </w:rPr>
      </w:pPr>
      <w:r>
        <w:rPr>
          <w:sz w:val="24"/>
        </w:rPr>
        <w:t xml:space="preserve">1.10.1保险人承诺一旦接到被保险人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80"/>
        <w:rPr>
          <w:sz w:val="24"/>
        </w:rPr>
      </w:pPr>
      <w:r>
        <w:rPr>
          <w:sz w:val="24"/>
        </w:rPr>
        <w:t xml:space="preserve">1.10.2除非有合理和足够的证据证明，保险人不得以任何理由推卸、拖延甚至拒绝被保险人的索赔要求，否则其行为构成违约，并须承担违约责任。保险人未按上述1.10.1要求完成赔付的，按赔偿金额的0.657‰/日×实际滞纳天数计算滞纳金赔付给被保险人，并承担由此造成的其他损失</w:t>
      </w:r>
      <w:r>
        <w:rPr>
          <w:bCs/>
          <w:sz w:val="24"/>
        </w:rPr>
        <w:t xml:space="preserve">（</w:t>
      </w:r>
      <w:r>
        <w:rPr>
          <w:sz w:val="24"/>
        </w:rPr>
        <w:t xml:space="preserve">包括但</w:t>
      </w:r>
      <w:r>
        <w:rPr>
          <w:color w:val="000000"/>
          <w:sz w:val="24"/>
        </w:rPr>
        <w:t xml:space="preserve">不仅限于鉴定费、调查取证费、律师费等</w:t>
      </w:r>
      <w:r>
        <w:rPr>
          <w:bCs/>
          <w:sz w:val="24"/>
        </w:rPr>
        <w:t xml:space="preserve">）。</w:t>
      </w:r>
      <w:r/>
    </w:p>
    <w:p>
      <w:pPr>
        <w:ind w:right="211" w:firstLine="480"/>
        <w:rPr>
          <w:sz w:val="24"/>
        </w:rPr>
      </w:pPr>
      <w:r>
        <w:rPr>
          <w:sz w:val="24"/>
        </w:rPr>
        <w:t xml:space="preserve">1.10.3被保险人应尽可能为保险人、公估人调查和取证工作保留事故现场；对无法留待保险人、公估人查勘的事故现场，被保险人应尽可能留下照片、录像、文字记录供保险人审核之用。</w:t>
      </w:r>
      <w:r/>
    </w:p>
    <w:p>
      <w:pPr>
        <w:ind w:right="211" w:firstLine="422"/>
        <w:rPr>
          <w:b/>
          <w:bCs/>
          <w:sz w:val="24"/>
        </w:rPr>
      </w:pPr>
      <w:r>
        <w:rPr>
          <w:b/>
          <w:bCs/>
          <w:sz w:val="24"/>
        </w:rPr>
        <w:t xml:space="preserve">1.11理赔材料</w:t>
      </w:r>
      <w:r/>
    </w:p>
    <w:p>
      <w:pPr>
        <w:numPr>
          <w:ilvl w:val="0"/>
          <w:numId w:val="5"/>
        </w:numPr>
        <w:ind w:right="211"/>
        <w:rPr>
          <w:sz w:val="24"/>
        </w:rPr>
      </w:pPr>
      <w:r>
        <w:rPr>
          <w:sz w:val="24"/>
        </w:rPr>
        <w:t xml:space="preserve">索赔申请；</w:t>
      </w:r>
      <w:r/>
    </w:p>
    <w:p>
      <w:pPr>
        <w:numPr>
          <w:ilvl w:val="0"/>
          <w:numId w:val="5"/>
        </w:numPr>
        <w:ind w:right="211"/>
        <w:rPr>
          <w:sz w:val="24"/>
        </w:rPr>
      </w:pPr>
      <w:r>
        <w:rPr>
          <w:sz w:val="24"/>
        </w:rPr>
        <w:t xml:space="preserve">事故报告说明；</w:t>
      </w:r>
      <w:r/>
    </w:p>
    <w:p>
      <w:pPr>
        <w:numPr>
          <w:ilvl w:val="0"/>
          <w:numId w:val="5"/>
        </w:numPr>
        <w:ind w:right="211"/>
        <w:rPr>
          <w:sz w:val="24"/>
        </w:rPr>
      </w:pPr>
      <w:r>
        <w:rPr>
          <w:sz w:val="24"/>
        </w:rPr>
        <w:t xml:space="preserve">维修合同、发票原件；</w:t>
      </w:r>
      <w:r/>
    </w:p>
    <w:p>
      <w:pPr>
        <w:numPr>
          <w:ilvl w:val="0"/>
          <w:numId w:val="5"/>
        </w:numPr>
        <w:ind w:right="211"/>
        <w:rPr>
          <w:sz w:val="24"/>
        </w:rPr>
      </w:pPr>
      <w:r>
        <w:rPr>
          <w:bCs/>
          <w:sz w:val="24"/>
        </w:rPr>
        <w:t xml:space="preserve">损失清单及金额。</w:t>
      </w:r>
      <w:r/>
    </w:p>
    <w:p>
      <w:pPr>
        <w:ind w:firstLine="422"/>
        <w:rPr>
          <w:b/>
          <w:sz w:val="24"/>
        </w:rPr>
      </w:pPr>
      <w:r>
        <w:rPr>
          <w:b/>
          <w:sz w:val="24"/>
        </w:rPr>
        <w:t xml:space="preserve">1.12保险机构保险条款中与本方案保险责任、扩展责任、责任免除、出险处理、理赔材料等不一致的以本方案规定为准。</w:t>
      </w:r>
      <w:r/>
    </w:p>
    <w:p>
      <w:pPr>
        <w:ind w:firstLine="640"/>
        <w:jc w:val="left"/>
        <w:rPr>
          <w:sz w:val="32"/>
          <w:szCs w:val="32"/>
        </w:rPr>
      </w:pPr>
      <w:r>
        <w:rPr>
          <w:sz w:val="32"/>
          <w:szCs w:val="32"/>
        </w:rPr>
        <w:t xml:space="preserve">2．机器损坏险</w:t>
      </w:r>
      <w:r/>
    </w:p>
    <w:p>
      <w:pPr>
        <w:ind w:firstLine="420"/>
        <w:jc w:val="left"/>
        <w:rPr>
          <w:sz w:val="24"/>
        </w:rPr>
      </w:pPr>
      <w:r>
        <w:rPr>
          <w:sz w:val="24"/>
        </w:rPr>
        <w:t xml:space="preserve">2.1  投保人：常州市第一人民医院、常州市中医医院、常州市妇幼保健院、常州市儿童医院、常州市第七人民医院。</w:t>
      </w:r>
      <w:r/>
    </w:p>
    <w:p>
      <w:pPr>
        <w:ind w:firstLine="420"/>
        <w:jc w:val="left"/>
        <w:rPr>
          <w:sz w:val="24"/>
        </w:rPr>
      </w:pPr>
      <w:r>
        <w:rPr>
          <w:sz w:val="24"/>
        </w:rPr>
        <w:t xml:space="preserve">2.2  被保险人：常州市第一人民医院、常州市中医医院、常州市妇幼保健院、常州市儿童医院、常州市第七人民医院。</w:t>
      </w:r>
      <w:r/>
    </w:p>
    <w:p>
      <w:pPr>
        <w:ind w:firstLine="420"/>
        <w:jc w:val="left"/>
        <w:rPr>
          <w:color w:val="000000"/>
          <w:sz w:val="24"/>
        </w:rPr>
      </w:pPr>
      <w:r>
        <w:rPr>
          <w:sz w:val="24"/>
        </w:rPr>
        <w:t xml:space="preserve">2.3  保险标的：各医疗机构专用设备、通用设备等（扣除机</w:t>
      </w:r>
      <w:r>
        <w:rPr>
          <w:color w:val="000000"/>
          <w:sz w:val="24"/>
        </w:rPr>
        <w:t xml:space="preserve">动车辆）。</w:t>
      </w:r>
      <w:r/>
    </w:p>
    <w:p>
      <w:pPr>
        <w:ind w:firstLine="420"/>
        <w:jc w:val="left"/>
        <w:rPr>
          <w:color w:val="000000"/>
          <w:sz w:val="24"/>
        </w:rPr>
      </w:pPr>
      <w:r>
        <w:rPr>
          <w:color w:val="000000"/>
          <w:sz w:val="24"/>
        </w:rPr>
        <w:t xml:space="preserve">2.4</w:t>
      </w:r>
      <w:r>
        <w:rPr>
          <w:b/>
          <w:bCs/>
          <w:sz w:val="24"/>
        </w:rPr>
        <w:t xml:space="preserve">保险期间</w:t>
      </w:r>
      <w:r>
        <w:rPr>
          <w:b/>
          <w:sz w:val="24"/>
        </w:rPr>
        <w:t xml:space="preserve">：</w:t>
      </w:r>
      <w:r>
        <w:rPr>
          <w:sz w:val="24"/>
        </w:rPr>
        <w:t xml:space="preserve">2026年01月01日零时—2027年12月31日二十四时。</w:t>
      </w:r>
      <w:r/>
    </w:p>
    <w:p>
      <w:pPr>
        <w:ind w:right="211" w:firstLine="420"/>
        <w:jc w:val="left"/>
        <w:rPr>
          <w:color w:val="000000"/>
          <w:sz w:val="24"/>
        </w:rPr>
      </w:pPr>
      <w:r>
        <w:rPr>
          <w:color w:val="000000"/>
          <w:sz w:val="24"/>
        </w:rPr>
        <w:t xml:space="preserve">2.5  保险金额： </w:t>
      </w:r>
      <w:r/>
    </w:p>
    <w:tbl>
      <w:tblPr>
        <w:tblStyle w:val="961"/>
        <w:tblW w:w="92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4"/>
        <w:gridCol w:w="5198"/>
      </w:tblGrid>
      <w:tr>
        <w:trPr>
          <w:jc w:val="center"/>
          <w:trHeight w:val="795"/>
        </w:trPr>
        <w:tc>
          <w:tcPr>
            <w:tcW w:w="4044" w:type="dxa"/>
            <w:vAlign w:val="center"/>
            <w:textDirection w:val="lrTb"/>
            <w:noWrap/>
          </w:tcPr>
          <w:p>
            <w:pPr>
              <w:ind w:right="211" w:firstLine="420"/>
              <w:jc w:val="center"/>
              <w:rPr>
                <w:sz w:val="24"/>
              </w:rPr>
            </w:pPr>
            <w:r>
              <w:rPr>
                <w:color w:val="000000"/>
                <w:sz w:val="24"/>
              </w:rPr>
              <w:t xml:space="preserve">医疗机构</w:t>
            </w:r>
            <w:r/>
          </w:p>
        </w:tc>
        <w:tc>
          <w:tcPr>
            <w:tcW w:w="5198" w:type="dxa"/>
            <w:vAlign w:val="center"/>
            <w:textDirection w:val="lrTb"/>
            <w:noWrap/>
          </w:tcPr>
          <w:p>
            <w:pPr>
              <w:jc w:val="center"/>
              <w:rPr>
                <w:color w:val="000000"/>
                <w:sz w:val="24"/>
              </w:rPr>
            </w:pPr>
            <w:r>
              <w:rPr>
                <w:color w:val="000000"/>
                <w:sz w:val="24"/>
              </w:rPr>
              <w:t xml:space="preserve">机器设备损坏险保险金额（万元）</w:t>
            </w:r>
            <w:r/>
          </w:p>
        </w:tc>
      </w:tr>
      <w:tr>
        <w:trPr>
          <w:jc w:val="center"/>
          <w:trHeight w:val="432"/>
        </w:trPr>
        <w:tc>
          <w:tcPr>
            <w:tcW w:w="4044" w:type="dxa"/>
            <w:vAlign w:val="center"/>
            <w:textDirection w:val="lrTb"/>
            <w:noWrap/>
          </w:tcPr>
          <w:p>
            <w:pPr>
              <w:jc w:val="center"/>
              <w:rPr>
                <w:sz w:val="24"/>
              </w:rPr>
            </w:pPr>
            <w:r>
              <w:rPr>
                <w:color w:val="000000"/>
                <w:sz w:val="24"/>
              </w:rPr>
              <w:t xml:space="preserve">常州市第一人民医院</w:t>
            </w:r>
            <w:r/>
          </w:p>
        </w:tc>
        <w:tc>
          <w:tcPr>
            <w:tcW w:w="5198" w:type="dxa"/>
            <w:vAlign w:val="center"/>
            <w:textDirection w:val="lrTb"/>
            <w:noWrap/>
          </w:tcPr>
          <w:p>
            <w:pPr>
              <w:jc w:val="center"/>
              <w:rPr>
                <w:color w:val="000000"/>
                <w:sz w:val="24"/>
              </w:rPr>
            </w:pPr>
            <w:r>
              <w:rPr>
                <w:color w:val="000000"/>
                <w:sz w:val="24"/>
                <w:lang w:bidi="ar"/>
              </w:rPr>
              <w:t xml:space="preserve">157188.2</w:t>
            </w:r>
            <w:r/>
          </w:p>
        </w:tc>
      </w:tr>
      <w:tr>
        <w:trPr>
          <w:jc w:val="center"/>
          <w:trHeight w:val="432"/>
        </w:trPr>
        <w:tc>
          <w:tcPr>
            <w:tcW w:w="4044" w:type="dxa"/>
            <w:vAlign w:val="center"/>
            <w:textDirection w:val="lrTb"/>
            <w:noWrap/>
          </w:tcPr>
          <w:p>
            <w:pPr>
              <w:jc w:val="center"/>
              <w:rPr>
                <w:sz w:val="24"/>
              </w:rPr>
            </w:pPr>
            <w:r>
              <w:rPr>
                <w:color w:val="000000"/>
                <w:sz w:val="24"/>
              </w:rPr>
              <w:t xml:space="preserve">常州市中医医院</w:t>
            </w:r>
            <w:r/>
          </w:p>
        </w:tc>
        <w:tc>
          <w:tcPr>
            <w:tcW w:w="5198" w:type="dxa"/>
            <w:vAlign w:val="center"/>
            <w:textDirection w:val="lrTb"/>
            <w:noWrap/>
          </w:tcPr>
          <w:p>
            <w:pPr>
              <w:jc w:val="center"/>
              <w:widowControl/>
              <w:rPr>
                <w:color w:val="000000"/>
                <w:sz w:val="24"/>
                <w:lang w:bidi="ar"/>
              </w:rPr>
            </w:pPr>
            <w:r>
              <w:rPr>
                <w:color w:val="000000"/>
                <w:sz w:val="24"/>
                <w:lang w:bidi="ar"/>
              </w:rPr>
              <w:t xml:space="preserve">38557.4442</w:t>
            </w:r>
            <w:r/>
          </w:p>
        </w:tc>
      </w:tr>
      <w:tr>
        <w:trPr>
          <w:jc w:val="center"/>
          <w:trHeight w:val="432"/>
        </w:trPr>
        <w:tc>
          <w:tcPr>
            <w:tcW w:w="4044" w:type="dxa"/>
            <w:vAlign w:val="center"/>
            <w:textDirection w:val="lrTb"/>
            <w:noWrap/>
          </w:tcPr>
          <w:p>
            <w:pPr>
              <w:jc w:val="center"/>
              <w:rPr>
                <w:sz w:val="24"/>
              </w:rPr>
            </w:pPr>
            <w:r>
              <w:rPr>
                <w:color w:val="000000"/>
                <w:sz w:val="24"/>
              </w:rPr>
              <w:t xml:space="preserve">常州市妇幼保健院</w:t>
            </w:r>
            <w:r/>
          </w:p>
        </w:tc>
        <w:tc>
          <w:tcPr>
            <w:tcW w:w="5198" w:type="dxa"/>
            <w:vAlign w:val="center"/>
            <w:textDirection w:val="lrTb"/>
            <w:noWrap/>
          </w:tcPr>
          <w:p>
            <w:pPr>
              <w:jc w:val="center"/>
              <w:widowControl/>
              <w:rPr>
                <w:color w:val="000000"/>
                <w:sz w:val="24"/>
                <w:lang w:bidi="ar"/>
              </w:rPr>
            </w:pPr>
            <w:r>
              <w:rPr>
                <w:color w:val="000000"/>
                <w:sz w:val="24"/>
                <w:lang w:bidi="ar"/>
              </w:rPr>
              <w:t xml:space="preserve">27176.72294</w:t>
            </w:r>
            <w:r/>
          </w:p>
        </w:tc>
      </w:tr>
      <w:tr>
        <w:trPr>
          <w:jc w:val="center"/>
          <w:trHeight w:val="432"/>
        </w:trPr>
        <w:tc>
          <w:tcPr>
            <w:tcW w:w="4044" w:type="dxa"/>
            <w:vAlign w:val="center"/>
            <w:textDirection w:val="lrTb"/>
            <w:noWrap/>
          </w:tcPr>
          <w:p>
            <w:pPr>
              <w:jc w:val="center"/>
              <w:rPr>
                <w:sz w:val="24"/>
              </w:rPr>
            </w:pPr>
            <w:r>
              <w:rPr>
                <w:color w:val="000000"/>
                <w:sz w:val="24"/>
              </w:rPr>
              <w:t xml:space="preserve">常州市儿童医院</w:t>
            </w:r>
            <w:r/>
          </w:p>
        </w:tc>
        <w:tc>
          <w:tcPr>
            <w:tcW w:w="5198" w:type="dxa"/>
            <w:vAlign w:val="center"/>
            <w:textDirection w:val="lrTb"/>
            <w:noWrap/>
          </w:tcPr>
          <w:p>
            <w:pPr>
              <w:jc w:val="center"/>
              <w:widowControl/>
              <w:rPr>
                <w:color w:val="000000"/>
                <w:sz w:val="24"/>
                <w:lang w:bidi="ar"/>
              </w:rPr>
            </w:pPr>
            <w:r>
              <w:rPr>
                <w:color w:val="000000"/>
                <w:sz w:val="24"/>
                <w:lang w:bidi="ar"/>
              </w:rPr>
              <w:t xml:space="preserve">17594.02</w:t>
            </w:r>
            <w:r/>
          </w:p>
        </w:tc>
      </w:tr>
      <w:tr>
        <w:trPr>
          <w:jc w:val="center"/>
          <w:trHeight w:val="432"/>
        </w:trPr>
        <w:tc>
          <w:tcPr>
            <w:tcW w:w="4044" w:type="dxa"/>
            <w:vAlign w:val="center"/>
            <w:textDirection w:val="lrTb"/>
            <w:noWrap/>
          </w:tcPr>
          <w:p>
            <w:pPr>
              <w:jc w:val="center"/>
              <w:rPr>
                <w:sz w:val="24"/>
              </w:rPr>
            </w:pPr>
            <w:r>
              <w:rPr>
                <w:color w:val="000000"/>
                <w:sz w:val="24"/>
              </w:rPr>
              <w:t xml:space="preserve">常州市第七人民医院</w:t>
            </w:r>
            <w:r/>
          </w:p>
        </w:tc>
        <w:tc>
          <w:tcPr>
            <w:tcW w:w="5198" w:type="dxa"/>
            <w:vAlign w:val="center"/>
            <w:textDirection w:val="lrTb"/>
            <w:noWrap/>
          </w:tcPr>
          <w:p>
            <w:pPr>
              <w:jc w:val="center"/>
              <w:widowControl/>
              <w:rPr>
                <w:color w:val="000000"/>
                <w:sz w:val="24"/>
                <w:lang w:bidi="ar"/>
              </w:rPr>
            </w:pPr>
            <w:r>
              <w:rPr>
                <w:color w:val="000000"/>
                <w:sz w:val="24"/>
                <w:lang w:bidi="ar"/>
              </w:rPr>
              <w:t xml:space="preserve">4604.02</w:t>
            </w:r>
            <w:r/>
          </w:p>
        </w:tc>
      </w:tr>
      <w:tr>
        <w:trPr>
          <w:jc w:val="center"/>
          <w:trHeight w:val="437"/>
        </w:trPr>
        <w:tc>
          <w:tcPr>
            <w:tcW w:w="4044" w:type="dxa"/>
            <w:vAlign w:val="center"/>
            <w:textDirection w:val="lrTb"/>
            <w:noWrap/>
          </w:tcPr>
          <w:p>
            <w:pPr>
              <w:jc w:val="center"/>
              <w:rPr>
                <w:sz w:val="24"/>
              </w:rPr>
            </w:pPr>
            <w:r>
              <w:rPr>
                <w:bCs/>
                <w:color w:val="000000"/>
                <w:sz w:val="24"/>
              </w:rPr>
              <w:t xml:space="preserve">合计</w:t>
            </w:r>
            <w:r/>
          </w:p>
        </w:tc>
        <w:tc>
          <w:tcPr>
            <w:tcW w:w="5198" w:type="dxa"/>
            <w:vAlign w:val="center"/>
            <w:textDirection w:val="lrTb"/>
            <w:noWrap/>
          </w:tcPr>
          <w:p>
            <w:pPr>
              <w:jc w:val="center"/>
              <w:widowControl/>
              <w:rPr>
                <w:color w:val="000000"/>
                <w:sz w:val="24"/>
                <w:lang w:bidi="ar"/>
              </w:rPr>
            </w:pPr>
            <w:r>
              <w:rPr>
                <w:color w:val="000000"/>
                <w:sz w:val="24"/>
                <w:lang w:bidi="ar"/>
              </w:rPr>
              <w:t xml:space="preserve">245120.40714</w:t>
            </w:r>
            <w:r/>
          </w:p>
        </w:tc>
      </w:tr>
    </w:tbl>
    <w:p>
      <w:pPr>
        <w:ind w:right="211"/>
        <w:rPr>
          <w:b/>
          <w:bCs/>
          <w:sz w:val="24"/>
        </w:rPr>
      </w:pPr>
      <w:r>
        <w:rPr>
          <w:b/>
          <w:bCs/>
          <w:sz w:val="24"/>
        </w:rPr>
      </w:r>
      <w:r/>
    </w:p>
    <w:p>
      <w:pPr>
        <w:ind w:right="211" w:firstLine="422"/>
        <w:rPr>
          <w:b/>
          <w:bCs/>
          <w:sz w:val="24"/>
        </w:rPr>
      </w:pPr>
      <w:r>
        <w:rPr>
          <w:b/>
          <w:bCs/>
          <w:sz w:val="24"/>
        </w:rPr>
        <w:t xml:space="preserve">2.6保险责任</w:t>
      </w:r>
      <w:r/>
    </w:p>
    <w:p>
      <w:pPr>
        <w:ind w:right="211" w:firstLine="420"/>
        <w:rPr>
          <w:sz w:val="24"/>
        </w:rPr>
      </w:pPr>
      <w:r>
        <w:rPr>
          <w:sz w:val="24"/>
        </w:rPr>
        <w:t xml:space="preserve">2.6.1  在保险期间内，因下列原因引起或构成突然的、不可预料的意外事故造成的物质损坏或灭失(以下简称“损失”)，保险人按照本保险合同的约定负责赔偿：</w:t>
      </w:r>
      <w:r/>
    </w:p>
    <w:p>
      <w:pPr>
        <w:ind w:right="211" w:firstLine="420"/>
        <w:rPr>
          <w:sz w:val="24"/>
        </w:rPr>
      </w:pPr>
      <w:r>
        <w:rPr>
          <w:sz w:val="24"/>
        </w:rPr>
        <w:t xml:space="preserve">（1）设计、制造或安装错误、铸造和原材料缺陷；</w:t>
      </w:r>
      <w:r/>
    </w:p>
    <w:p>
      <w:pPr>
        <w:ind w:right="211" w:firstLine="420"/>
        <w:rPr>
          <w:sz w:val="24"/>
        </w:rPr>
      </w:pPr>
      <w:r>
        <w:rPr>
          <w:sz w:val="24"/>
        </w:rPr>
        <w:t xml:space="preserve">（2）工人、技术人员操作错误、缺乏经验、技术不善、疏忽、过失、恶意行为；</w:t>
      </w:r>
      <w:r/>
    </w:p>
    <w:p>
      <w:pPr>
        <w:ind w:right="211" w:firstLine="420"/>
        <w:rPr>
          <w:sz w:val="24"/>
        </w:rPr>
      </w:pPr>
      <w:r>
        <w:rPr>
          <w:sz w:val="24"/>
        </w:rPr>
        <w:t xml:space="preserve">（3）离心力引起的断裂；</w:t>
      </w:r>
      <w:r/>
    </w:p>
    <w:p>
      <w:pPr>
        <w:ind w:right="211" w:firstLine="420"/>
        <w:rPr>
          <w:sz w:val="24"/>
        </w:rPr>
      </w:pPr>
      <w:r>
        <w:rPr>
          <w:sz w:val="24"/>
        </w:rPr>
        <w:t xml:space="preserve">（4）超负荷、超电压、碰线、电弧、漏电、短路、大气放电、感应电及其他电气原因；</w:t>
      </w:r>
      <w:r/>
    </w:p>
    <w:p>
      <w:pPr>
        <w:ind w:right="211" w:firstLine="420"/>
        <w:rPr>
          <w:sz w:val="24"/>
        </w:rPr>
      </w:pPr>
      <w:r>
        <w:rPr>
          <w:sz w:val="24"/>
        </w:rPr>
        <w:t xml:space="preserve">（5）除本条款中“2.8责任免除”规定以外的其他原因。</w:t>
      </w:r>
      <w:r/>
    </w:p>
    <w:p>
      <w:pPr>
        <w:ind w:right="211" w:firstLine="420"/>
        <w:rPr>
          <w:sz w:val="24"/>
        </w:rPr>
      </w:pPr>
      <w:r>
        <w:rPr>
          <w:sz w:val="24"/>
        </w:rPr>
        <w:t xml:space="preserve">2.6.2  保险事故发生后，被保险人为防止或减少保险标的的损失所支付的必要的、合理的费用，保险人按照本保险合同的约定也负责赔偿。</w:t>
      </w:r>
      <w:r/>
    </w:p>
    <w:p>
      <w:pPr>
        <w:ind w:right="211" w:firstLine="422"/>
        <w:rPr>
          <w:b/>
          <w:bCs/>
          <w:sz w:val="24"/>
        </w:rPr>
      </w:pPr>
      <w:r>
        <w:rPr>
          <w:b/>
          <w:bCs/>
          <w:sz w:val="24"/>
        </w:rPr>
        <w:t xml:space="preserve">2.7扩展条款</w:t>
      </w:r>
      <w:r/>
    </w:p>
    <w:p>
      <w:pPr>
        <w:ind w:right="211" w:firstLine="420"/>
        <w:rPr>
          <w:sz w:val="24"/>
        </w:rPr>
      </w:pPr>
      <w:r>
        <w:rPr>
          <w:sz w:val="24"/>
        </w:rPr>
        <w:t xml:space="preserve">2.7.1  增加资产条款</w:t>
      </w:r>
      <w:r/>
    </w:p>
    <w:p>
      <w:pPr>
        <w:ind w:right="211" w:firstLine="420"/>
        <w:rPr>
          <w:sz w:val="24"/>
        </w:rPr>
      </w:pPr>
      <w:r>
        <w:rPr>
          <w:sz w:val="24"/>
        </w:rPr>
        <w:t xml:space="preserve">鉴于被保险人在投保资产原值基础上附加了5%增值部分，本保险扩展承保本保险生效后被保险人在中华人民共和国境内新增加的全部资产，但不包括财产的自动升值。</w:t>
      </w:r>
      <w:r/>
    </w:p>
    <w:p>
      <w:pPr>
        <w:ind w:right="211" w:firstLine="420"/>
        <w:rPr>
          <w:sz w:val="24"/>
        </w:rPr>
      </w:pPr>
      <w:r>
        <w:rPr>
          <w:sz w:val="24"/>
        </w:rPr>
        <w:t xml:space="preserve">2.7.2  紧急抢险条款</w:t>
      </w:r>
      <w:r/>
    </w:p>
    <w:p>
      <w:pPr>
        <w:ind w:right="211" w:firstLine="420"/>
        <w:rPr>
          <w:sz w:val="24"/>
        </w:rPr>
      </w:pPr>
      <w:r>
        <w:rPr>
          <w:sz w:val="24"/>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right="211" w:firstLine="422"/>
        <w:rPr>
          <w:b/>
          <w:bCs/>
          <w:sz w:val="24"/>
        </w:rPr>
      </w:pPr>
      <w:r>
        <w:rPr>
          <w:b/>
          <w:bCs/>
          <w:sz w:val="24"/>
        </w:rPr>
        <w:t xml:space="preserve">2.8责任免除</w:t>
      </w:r>
      <w:r/>
    </w:p>
    <w:p>
      <w:pPr>
        <w:ind w:right="211" w:firstLine="422"/>
        <w:rPr>
          <w:b/>
          <w:bCs/>
          <w:sz w:val="24"/>
        </w:rPr>
      </w:pPr>
      <w:r>
        <w:rPr>
          <w:b/>
          <w:bCs/>
          <w:sz w:val="24"/>
        </w:rPr>
        <w:t xml:space="preserve">2.8.1  下列原因造成的损失、费用，保险人不负责赔偿：</w:t>
      </w:r>
      <w:r/>
    </w:p>
    <w:p>
      <w:pPr>
        <w:ind w:right="211" w:firstLine="420"/>
        <w:rPr>
          <w:sz w:val="24"/>
        </w:rPr>
      </w:pPr>
      <w:r>
        <w:rPr>
          <w:sz w:val="24"/>
        </w:rPr>
        <w:t xml:space="preserve">（1）被保险人及其代表的故意行为或重大过失；</w:t>
      </w:r>
      <w:r/>
    </w:p>
    <w:p>
      <w:pPr>
        <w:ind w:right="211" w:firstLine="420"/>
        <w:rPr>
          <w:sz w:val="24"/>
        </w:rPr>
      </w:pPr>
      <w:r>
        <w:rPr>
          <w:sz w:val="24"/>
        </w:rPr>
        <w:t xml:space="preserve">（2）被保险人及其代表已经知道或应该知道的保险机器及其附属设备在本保险开始前已经存在的缺点或缺陷；</w:t>
      </w:r>
      <w:r/>
    </w:p>
    <w:p>
      <w:pPr>
        <w:ind w:right="211" w:firstLine="420"/>
        <w:rPr>
          <w:sz w:val="24"/>
        </w:rPr>
      </w:pPr>
      <w:r>
        <w:rPr>
          <w:sz w:val="24"/>
        </w:rPr>
        <w:t xml:space="preserve">（3）战争、类似战争行为、敌对行为、军事行为、武装冲突、恐怖活动、谋反、政变、罢工、暴动、骚乱；</w:t>
      </w:r>
      <w:r/>
    </w:p>
    <w:p>
      <w:pPr>
        <w:ind w:right="211" w:firstLine="420"/>
        <w:rPr>
          <w:sz w:val="24"/>
        </w:rPr>
      </w:pPr>
      <w:r>
        <w:rPr>
          <w:sz w:val="24"/>
        </w:rPr>
        <w:t xml:space="preserve">（4）政府命令或任何公共当局没收、征用、销毁或毁坏；</w:t>
      </w:r>
      <w:r/>
    </w:p>
    <w:p>
      <w:pPr>
        <w:ind w:right="211" w:firstLine="420"/>
        <w:rPr>
          <w:sz w:val="24"/>
        </w:rPr>
      </w:pPr>
      <w:r>
        <w:rPr>
          <w:sz w:val="24"/>
        </w:rPr>
        <w:t xml:space="preserve">（5）核裂变、核聚变、核武器、核材料、核辐射及放射性污染；</w:t>
      </w:r>
      <w:r/>
    </w:p>
    <w:p>
      <w:pPr>
        <w:ind w:right="211" w:firstLine="420"/>
        <w:rPr>
          <w:sz w:val="24"/>
        </w:rPr>
      </w:pPr>
      <w:r>
        <w:rPr>
          <w:sz w:val="24"/>
        </w:rPr>
        <w:t xml:space="preserve">（6）机器设备运行必然引起的后果，如自然磨损、氧化、腐蚀、锈蚀、孔蚀、锅垢等物理性变化或化学反应；</w:t>
      </w:r>
      <w:r/>
    </w:p>
    <w:p>
      <w:pPr>
        <w:ind w:right="211" w:firstLine="420"/>
        <w:rPr>
          <w:sz w:val="24"/>
        </w:rPr>
      </w:pPr>
      <w:r>
        <w:rPr>
          <w:sz w:val="24"/>
        </w:rPr>
        <w:t xml:space="preserve">（7）由于公共设施部门的限制性供应及故意行为或非意外事故引起的停电、停气、停水；</w:t>
      </w:r>
      <w:r/>
    </w:p>
    <w:p>
      <w:pPr>
        <w:ind w:right="211" w:firstLine="420"/>
        <w:rPr>
          <w:sz w:val="24"/>
        </w:rPr>
      </w:pPr>
      <w:r>
        <w:rPr>
          <w:sz w:val="24"/>
        </w:rPr>
        <w:t xml:space="preserve">（8）火灾、爆炸；</w:t>
      </w:r>
      <w:r/>
    </w:p>
    <w:p>
      <w:pPr>
        <w:ind w:right="211" w:firstLine="420"/>
        <w:rPr>
          <w:sz w:val="24"/>
        </w:rPr>
      </w:pPr>
      <w:r>
        <w:rPr>
          <w:sz w:val="24"/>
        </w:rPr>
        <w:t xml:space="preserve">（9）地震、海啸及其次生灾害；</w:t>
      </w:r>
      <w:r/>
    </w:p>
    <w:p>
      <w:pPr>
        <w:ind w:right="211" w:firstLine="420"/>
        <w:rPr>
          <w:sz w:val="24"/>
        </w:rPr>
      </w:pPr>
      <w:r>
        <w:rPr>
          <w:sz w:val="24"/>
        </w:rPr>
        <w:t xml:space="preserve">（10）雷击、飓风、台风、龙卷风、暴风、暴雨、洪水、冰雹、地崩、山崩、雪崩、火山爆发、地面下陷下沉及其他自然灾害；</w:t>
      </w:r>
      <w:r/>
    </w:p>
    <w:p>
      <w:pPr>
        <w:ind w:right="211" w:firstLine="420"/>
        <w:rPr>
          <w:sz w:val="24"/>
        </w:rPr>
      </w:pPr>
      <w:r>
        <w:rPr>
          <w:sz w:val="24"/>
        </w:rPr>
        <w:t xml:space="preserve">（11）飞机坠毁、飞机部件或飞机物体坠落；</w:t>
      </w:r>
      <w:r/>
    </w:p>
    <w:p>
      <w:pPr>
        <w:ind w:right="211" w:firstLine="420"/>
        <w:rPr>
          <w:sz w:val="24"/>
        </w:rPr>
      </w:pPr>
      <w:r>
        <w:rPr>
          <w:sz w:val="24"/>
        </w:rPr>
        <w:t xml:space="preserve">（12）机动车碰撞；</w:t>
      </w:r>
      <w:r/>
    </w:p>
    <w:p>
      <w:pPr>
        <w:ind w:right="211" w:firstLine="420"/>
        <w:rPr>
          <w:sz w:val="24"/>
        </w:rPr>
      </w:pPr>
      <w:r>
        <w:rPr>
          <w:sz w:val="24"/>
        </w:rPr>
        <w:t xml:space="preserve">（13）水箱、水管爆裂；</w:t>
      </w:r>
      <w:r/>
    </w:p>
    <w:p>
      <w:pPr>
        <w:ind w:right="211" w:firstLine="420"/>
        <w:rPr>
          <w:sz w:val="24"/>
        </w:rPr>
      </w:pPr>
      <w:r>
        <w:rPr>
          <w:sz w:val="24"/>
        </w:rPr>
        <w:t xml:space="preserve">（14）虫蛀、鼠咬、鸟啄。</w:t>
      </w:r>
      <w:r/>
    </w:p>
    <w:p>
      <w:pPr>
        <w:ind w:right="211" w:firstLine="422"/>
        <w:rPr>
          <w:b/>
          <w:bCs/>
          <w:sz w:val="24"/>
        </w:rPr>
      </w:pPr>
      <w:r>
        <w:rPr>
          <w:b/>
          <w:bCs/>
          <w:sz w:val="24"/>
        </w:rPr>
        <w:t xml:space="preserve">2.8.2  下列损失、费用，保险人也不负责赔偿：</w:t>
      </w:r>
      <w:r/>
    </w:p>
    <w:p>
      <w:pPr>
        <w:ind w:right="211" w:firstLine="420"/>
        <w:rPr>
          <w:color w:val="000000"/>
          <w:sz w:val="24"/>
        </w:rPr>
      </w:pPr>
      <w:r>
        <w:rPr>
          <w:color w:val="000000"/>
          <w:sz w:val="24"/>
        </w:rPr>
        <w:t xml:space="preserve">（1）保险事故发生后引起的各种间接损失或费用；</w:t>
      </w:r>
      <w:r/>
    </w:p>
    <w:p>
      <w:pPr>
        <w:ind w:right="211" w:firstLine="420"/>
        <w:rPr>
          <w:sz w:val="24"/>
        </w:rPr>
      </w:pPr>
      <w:r>
        <w:rPr>
          <w:sz w:val="24"/>
        </w:rPr>
        <w:t xml:space="preserve">（2）根据法律或契约应由供货方、制造人、安装人或修理人负责的损失或费用；</w:t>
      </w:r>
      <w:r/>
    </w:p>
    <w:p>
      <w:pPr>
        <w:ind w:right="211" w:firstLine="420"/>
        <w:rPr>
          <w:sz w:val="24"/>
        </w:rPr>
      </w:pPr>
      <w:r>
        <w:rPr>
          <w:sz w:val="24"/>
        </w:rPr>
        <w:t xml:space="preserve">（3）保险机器设备在修复或重置过程中发生的任何变更、性能增加或改进所产生的额外费用；</w:t>
      </w:r>
      <w:r/>
    </w:p>
    <w:p>
      <w:pPr>
        <w:ind w:right="211" w:firstLine="420"/>
        <w:rPr>
          <w:sz w:val="24"/>
        </w:rPr>
      </w:pPr>
      <w:r>
        <w:rPr>
          <w:sz w:val="24"/>
        </w:rPr>
        <w:t xml:space="preserve">（4）本保险合同中载明的免赔额。</w:t>
      </w:r>
      <w:r/>
    </w:p>
    <w:p>
      <w:pPr>
        <w:ind w:right="211" w:firstLine="422"/>
        <w:rPr>
          <w:b/>
          <w:bCs/>
          <w:sz w:val="24"/>
        </w:rPr>
      </w:pPr>
      <w:r>
        <w:rPr>
          <w:b/>
          <w:bCs/>
          <w:sz w:val="24"/>
        </w:rPr>
        <w:t xml:space="preserve">2.9免赔额或免赔率 </w:t>
      </w:r>
      <w:r/>
    </w:p>
    <w:p>
      <w:pPr>
        <w:ind w:right="211" w:firstLine="420"/>
        <w:jc w:val="left"/>
        <w:rPr>
          <w:sz w:val="24"/>
        </w:rPr>
      </w:pPr>
      <w:r>
        <w:rPr>
          <w:sz w:val="24"/>
        </w:rPr>
        <w:t xml:space="preserve">2.9.1</w:t>
      </w:r>
      <w:bookmarkStart w:id="207" w:name="OLE_LINK29"/>
      <w:r>
        <w:rPr>
          <w:sz w:val="24"/>
        </w:rPr>
        <w:t xml:space="preserve">绝对免赔额：10000元/次。</w:t>
      </w:r>
      <w:bookmarkEnd w:id="207"/>
      <w:r/>
      <w:r/>
    </w:p>
    <w:p>
      <w:pPr>
        <w:ind w:right="211" w:firstLine="420"/>
        <w:rPr>
          <w:sz w:val="24"/>
        </w:rPr>
      </w:pPr>
      <w:r>
        <w:rPr>
          <w:sz w:val="24"/>
        </w:rPr>
        <w:t xml:space="preserve">免赔率：无。</w:t>
      </w:r>
      <w:r/>
    </w:p>
    <w:p>
      <w:pPr>
        <w:ind w:right="211" w:firstLine="422"/>
        <w:rPr>
          <w:b/>
          <w:bCs/>
          <w:sz w:val="24"/>
        </w:rPr>
      </w:pPr>
      <w:r>
        <w:rPr>
          <w:b/>
          <w:bCs/>
          <w:sz w:val="24"/>
        </w:rPr>
        <w:t xml:space="preserve">2.10出险处理</w:t>
      </w:r>
      <w:r/>
    </w:p>
    <w:p>
      <w:pPr>
        <w:ind w:right="211" w:firstLine="420"/>
        <w:rPr>
          <w:sz w:val="24"/>
        </w:rPr>
      </w:pPr>
      <w:r>
        <w:rPr>
          <w:sz w:val="24"/>
        </w:rPr>
        <w:t xml:space="preserve">2.10.1保险人承诺一旦接到被保险人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20"/>
        <w:rPr>
          <w:sz w:val="24"/>
        </w:rPr>
      </w:pPr>
      <w:r>
        <w:rPr>
          <w:sz w:val="24"/>
        </w:rPr>
        <w:t xml:space="preserve">2.10.2除非有合理和足够的证据证明，保险人不得以任何理由推卸、拖延甚至拒绝被保险人的索赔要求，否则其行为构成违约，并须承担违约责任。保险人未按上述2.10.1要求完成赔付的，按赔偿金额的0.657‰/日×实际滞纳天数计算滞纳金赔付给被保险人，并承担由此造成的其他损失</w:t>
      </w:r>
      <w:r>
        <w:rPr>
          <w:bCs/>
          <w:sz w:val="24"/>
        </w:rPr>
        <w:t xml:space="preserve">（</w:t>
      </w:r>
      <w:r>
        <w:rPr>
          <w:sz w:val="24"/>
        </w:rPr>
        <w:t xml:space="preserve">包括但</w:t>
      </w:r>
      <w:r>
        <w:rPr>
          <w:color w:val="000000"/>
          <w:sz w:val="24"/>
        </w:rPr>
        <w:t xml:space="preserve">不仅限于鉴定费、调查取证费、律师费等</w:t>
      </w:r>
      <w:r>
        <w:rPr>
          <w:bCs/>
          <w:sz w:val="24"/>
        </w:rPr>
        <w:t xml:space="preserve">）</w:t>
      </w:r>
      <w:r>
        <w:rPr>
          <w:sz w:val="24"/>
        </w:rPr>
        <w:t xml:space="preserve">。</w:t>
      </w:r>
      <w:r/>
    </w:p>
    <w:p>
      <w:pPr>
        <w:ind w:right="211" w:firstLine="420"/>
        <w:rPr>
          <w:sz w:val="24"/>
        </w:rPr>
      </w:pPr>
      <w:r>
        <w:rPr>
          <w:sz w:val="24"/>
        </w:rPr>
        <w:t xml:space="preserve">2.10.3被保险人应尽可能为保险人、公估人调查和取证工作保留事故现场；对无法留待保险人、公估人查勘的事故现场，被保险人应尽可能留下照片、录像、文字记录供保险人审核之用。</w:t>
      </w:r>
      <w:r/>
    </w:p>
    <w:p>
      <w:pPr>
        <w:ind w:right="211" w:firstLine="422"/>
        <w:rPr>
          <w:b/>
          <w:bCs/>
          <w:sz w:val="24"/>
        </w:rPr>
      </w:pPr>
      <w:r>
        <w:rPr>
          <w:b/>
          <w:bCs/>
          <w:sz w:val="24"/>
        </w:rPr>
        <w:t xml:space="preserve">2.11理赔材料</w:t>
      </w:r>
      <w:r/>
    </w:p>
    <w:p>
      <w:pPr>
        <w:ind w:right="211" w:firstLine="420"/>
        <w:rPr>
          <w:sz w:val="24"/>
        </w:rPr>
      </w:pPr>
      <w:r>
        <w:rPr>
          <w:sz w:val="24"/>
        </w:rPr>
        <w:t xml:space="preserve">（1）索赔申请；</w:t>
      </w:r>
      <w:r/>
    </w:p>
    <w:p>
      <w:pPr>
        <w:ind w:right="211" w:firstLine="420"/>
        <w:rPr>
          <w:sz w:val="24"/>
        </w:rPr>
      </w:pPr>
      <w:r>
        <w:rPr>
          <w:sz w:val="24"/>
        </w:rPr>
        <w:t xml:space="preserve">（2）事故报告说明；</w:t>
      </w:r>
      <w:r/>
    </w:p>
    <w:p>
      <w:pPr>
        <w:ind w:right="211" w:firstLine="420"/>
        <w:rPr>
          <w:sz w:val="24"/>
        </w:rPr>
      </w:pPr>
      <w:r>
        <w:rPr>
          <w:sz w:val="24"/>
        </w:rPr>
        <w:t xml:space="preserve">（3）维修合同、发票原件；</w:t>
      </w:r>
      <w:r/>
    </w:p>
    <w:p>
      <w:pPr>
        <w:ind w:right="211" w:firstLine="420"/>
        <w:rPr>
          <w:sz w:val="24"/>
        </w:rPr>
      </w:pPr>
      <w:r>
        <w:rPr>
          <w:bCs/>
          <w:sz w:val="24"/>
        </w:rPr>
        <w:t xml:space="preserve">（4）损失清单及金额；</w:t>
      </w:r>
      <w:r/>
    </w:p>
    <w:p>
      <w:pPr>
        <w:numPr>
          <w:ilvl w:val="0"/>
          <w:numId w:val="5"/>
        </w:numPr>
        <w:ind w:right="211"/>
        <w:rPr>
          <w:sz w:val="24"/>
        </w:rPr>
      </w:pPr>
      <w:r>
        <w:rPr>
          <w:bCs/>
          <w:sz w:val="24"/>
        </w:rPr>
        <w:t xml:space="preserve">受损标的设备登记记录。</w:t>
      </w:r>
      <w:r/>
    </w:p>
    <w:p>
      <w:pPr>
        <w:ind w:firstLine="422"/>
        <w:rPr>
          <w:sz w:val="24"/>
        </w:rPr>
      </w:pPr>
      <w:r>
        <w:rPr>
          <w:b/>
          <w:sz w:val="24"/>
        </w:rPr>
        <w:t xml:space="preserve">2.12保险机构保险条款中与本方案保险责任、扩展责任、责任免除、出险处理、理赔材料等不一致的以本方案规定为准。</w:t>
      </w:r>
      <w:r/>
    </w:p>
    <w:p>
      <w:pPr>
        <w:ind w:firstLine="422"/>
        <w:rPr>
          <w:b/>
          <w:sz w:val="24"/>
        </w:rPr>
      </w:pPr>
      <w:r>
        <w:rPr>
          <w:b/>
          <w:sz w:val="24"/>
        </w:rPr>
        <w:t xml:space="preserve">本</w:t>
      </w:r>
      <w:r>
        <w:rPr>
          <w:rFonts w:hint="eastAsia"/>
          <w:b/>
          <w:sz w:val="24"/>
        </w:rPr>
        <w:t xml:space="preserve">项目</w:t>
      </w:r>
      <w:r>
        <w:rPr>
          <w:b/>
          <w:sz w:val="24"/>
        </w:rPr>
        <w:t xml:space="preserve">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p>
    <w:p>
      <w:pPr>
        <w:pStyle w:val="1066"/>
        <w:ind w:left="0"/>
        <w:jc w:val="center"/>
        <w:rPr>
          <w:rFonts w:ascii="Times New Roman" w:hAnsi="Times New Roman"/>
          <w:b/>
          <w:sz w:val="28"/>
          <w:szCs w:val="28"/>
          <w:lang w:eastAsia="zh-CN"/>
        </w:rPr>
        <w:outlineLvl w:val="1"/>
      </w:pPr>
      <w:r/>
      <w:bookmarkStart w:id="208" w:name="OLE_LINK5"/>
      <w:r>
        <w:rPr>
          <w:rFonts w:ascii="Times New Roman" w:hAnsi="Times New Roman"/>
          <w:b/>
          <w:sz w:val="28"/>
          <w:szCs w:val="28"/>
          <w:lang w:eastAsia="zh-CN"/>
        </w:rPr>
        <w:t xml:space="preserve">年度考核标准</w:t>
      </w:r>
      <w:bookmarkEnd w:id="208"/>
      <w:r/>
      <w:r/>
    </w:p>
    <w:tbl>
      <w:tblPr>
        <w:tblStyle w:val="961"/>
        <w:tblW w:w="905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716"/>
        <w:gridCol w:w="3403"/>
        <w:gridCol w:w="708"/>
        <w:gridCol w:w="3229"/>
      </w:tblGrid>
      <w:tr>
        <w:trPr>
          <w:jc w:val="center"/>
          <w:trHeight w:val="1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rPr>
                <w:b/>
                <w:bCs/>
                <w:sz w:val="24"/>
              </w:rPr>
              <w:t xml:space="preserve">考评指标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center"/>
              <w:widowControl/>
              <w:rPr>
                <w:b/>
                <w:bCs/>
                <w:sz w:val="24"/>
              </w:rPr>
            </w:pPr>
            <w:r>
              <w:rPr>
                <w:b/>
                <w:bCs/>
                <w:sz w:val="24"/>
              </w:rPr>
              <w:t xml:space="preserve">考评指标要点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rPr>
                <w:b/>
                <w:bCs/>
                <w:sz w:val="24"/>
              </w:rPr>
            </w:pPr>
            <w:r>
              <w:rPr>
                <w:b/>
                <w:bCs/>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center"/>
              <w:widowControl/>
              <w:rPr>
                <w:b/>
                <w:bCs/>
                <w:sz w:val="24"/>
              </w:rPr>
            </w:pPr>
            <w:r>
              <w:rPr>
                <w:b/>
                <w:bCs/>
                <w:sz w:val="24"/>
              </w:rPr>
              <w:t xml:space="preserve">评分细则</w:t>
            </w:r>
            <w:r/>
          </w:p>
        </w:tc>
      </w:tr>
      <w:tr>
        <w:trPr>
          <w:jc w:val="center"/>
          <w:trHeight w:val="10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t xml:space="preserve">专属服务团队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t xml:space="preserve">是否设置项目专属服务团队。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t xml:space="preserve">设置项目专属服务团队，由</w:t>
            </w:r>
            <w:r>
              <w:rPr>
                <w:rFonts w:hint="eastAsia"/>
              </w:rPr>
              <w:t xml:space="preserve">项目负责人带队</w:t>
            </w:r>
            <w:r>
              <w:t xml:space="preserve">（</w:t>
            </w:r>
            <w:r>
              <w:rPr>
                <w:rFonts w:hint="eastAsia"/>
              </w:rPr>
              <w:t xml:space="preserve">1</w:t>
            </w:r>
            <w:r>
              <w:t xml:space="preserve">分）；提供专属承保专员（1分）、专属理赔专员（1分）</w:t>
            </w:r>
            <w:r>
              <w:rPr>
                <w:rFonts w:hint="eastAsia"/>
              </w:rPr>
              <w:t xml:space="preserve">、专属风控专员（1分）</w:t>
            </w:r>
            <w:r>
              <w:t xml:space="preserve">；提供专属投诉监督方式（</w:t>
            </w:r>
            <w:r>
              <w:rPr>
                <w:rStyle w:val="1070"/>
                <w:sz w:val="21"/>
                <w:szCs w:val="21"/>
              </w:rPr>
              <w:t xml:space="preserve">1</w:t>
            </w:r>
            <w:r>
              <w:rPr>
                <w:rStyle w:val="1071"/>
                <w:rFonts w:hint="default" w:ascii="Times New Roman" w:hAnsi="Times New Roman" w:cs="Times New Roman"/>
                <w:sz w:val="21"/>
                <w:szCs w:val="21"/>
              </w:rPr>
              <w:t xml:space="preserve">分）；未设置（</w:t>
            </w:r>
            <w:r>
              <w:rPr>
                <w:rStyle w:val="1070"/>
                <w:sz w:val="21"/>
                <w:szCs w:val="21"/>
              </w:rPr>
              <w:t xml:space="preserve">0</w:t>
            </w:r>
            <w:r>
              <w:rPr>
                <w:rStyle w:val="1071"/>
                <w:rFonts w:hint="default" w:ascii="Times New Roman" w:hAnsi="Times New Roman" w:cs="Times New Roman"/>
                <w:sz w:val="21"/>
                <w:szCs w:val="21"/>
              </w:rPr>
              <w:t xml:space="preserve">分）。</w:t>
            </w:r>
            <w:r/>
          </w:p>
        </w:tc>
      </w:tr>
      <w:tr>
        <w:trPr>
          <w:jc w:val="center"/>
          <w:trHeight w:val="5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t xml:space="preserve">承保服务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t xml:space="preserve">投保及日常服务是否便捷、高效，出单是否及时；保单信息是否真实、完整、准确。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t xml:space="preserve">出单不及时扣</w:t>
            </w:r>
            <w:r>
              <w:rPr>
                <w:rStyle w:val="1070"/>
                <w:sz w:val="21"/>
                <w:szCs w:val="21"/>
              </w:rPr>
              <w:t xml:space="preserve">2</w:t>
            </w:r>
            <w:r>
              <w:rPr>
                <w:rStyle w:val="1071"/>
                <w:rFonts w:hint="default" w:ascii="Times New Roman" w:hAnsi="Times New Roman" w:cs="Times New Roman"/>
                <w:sz w:val="21"/>
                <w:szCs w:val="21"/>
              </w:rPr>
              <w:t xml:space="preserve">分；承保信息不符合质量要求的保单扣</w:t>
            </w:r>
            <w:r>
              <w:rPr>
                <w:rStyle w:val="1070"/>
                <w:sz w:val="21"/>
                <w:szCs w:val="21"/>
              </w:rPr>
              <w:t xml:space="preserve">1</w:t>
            </w:r>
            <w:r>
              <w:rPr>
                <w:rStyle w:val="1071"/>
                <w:rFonts w:hint="default" w:ascii="Times New Roman" w:hAnsi="Times New Roman" w:cs="Times New Roman"/>
                <w:sz w:val="21"/>
                <w:szCs w:val="21"/>
              </w:rPr>
              <w:t xml:space="preserve">分，扣完为止。</w:t>
            </w:r>
            <w:r/>
          </w:p>
        </w:tc>
      </w:tr>
      <w:tr>
        <w:trPr>
          <w:jc w:val="center"/>
          <w:trHeight w:val="1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rPr>
                <w:rStyle w:val="1068"/>
                <w:b w:val="0"/>
                <w:bCs w:val="0"/>
              </w:rPr>
              <w:t xml:space="preserve">案件赔付及时率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rPr>
                <w:rStyle w:val="1068"/>
                <w:b w:val="0"/>
                <w:bCs w:val="0"/>
              </w:rPr>
              <w:t xml:space="preserve">承保机构理赔是否严格按照《2026-2027年度常州市第一人民医院等五家公立医院医疗责任险、财产险项目项目招标文件》中载明的期限赔付。案件赔付及时率=（理赔期限内赔付的案件数）/（已赔付结案的案件数）</w:t>
            </w:r>
            <w:r>
              <w:rPr>
                <w:rStyle w:val="1070"/>
                <w:sz w:val="21"/>
                <w:szCs w:val="21"/>
              </w:rPr>
              <w:t xml:space="preserve">×100%</w:t>
            </w:r>
            <w:r>
              <w:rPr>
                <w:rStyle w:val="1071"/>
                <w:rFonts w:hint="default" w:ascii="Times New Roman" w:hAnsi="Times New Roman"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rPr>
                <w:rStyle w:val="1068"/>
                <w:b w:val="0"/>
                <w:bCs w:val="0"/>
              </w:rPr>
              <w:t xml:space="preserve">案件赔付及时率在95</w:t>
            </w:r>
            <w:r>
              <w:rPr>
                <w:rStyle w:val="1070"/>
                <w:sz w:val="21"/>
                <w:szCs w:val="21"/>
              </w:rPr>
              <w:t xml:space="preserve">%</w:t>
            </w:r>
            <w:r>
              <w:rPr>
                <w:rStyle w:val="1068"/>
                <w:b w:val="0"/>
                <w:bCs w:val="0"/>
              </w:rPr>
              <w:t xml:space="preserve">（含）以上得（20分）、</w:t>
            </w:r>
            <w:r>
              <w:rPr>
                <w:rStyle w:val="1070"/>
                <w:sz w:val="21"/>
                <w:szCs w:val="21"/>
              </w:rPr>
              <w:t xml:space="preserve">90%</w:t>
            </w:r>
            <w:r>
              <w:rPr>
                <w:rStyle w:val="1068"/>
                <w:b w:val="0"/>
                <w:bCs w:val="0"/>
              </w:rPr>
              <w:t xml:space="preserve">（含）至</w:t>
            </w:r>
            <w:r>
              <w:rPr>
                <w:rStyle w:val="1070"/>
                <w:sz w:val="21"/>
                <w:szCs w:val="21"/>
              </w:rPr>
              <w:t xml:space="preserve">95%得</w:t>
            </w:r>
            <w:r>
              <w:rPr>
                <w:rStyle w:val="1068"/>
                <w:b w:val="0"/>
                <w:bCs w:val="0"/>
              </w:rPr>
              <w:t xml:space="preserve">（</w:t>
            </w:r>
            <w:r>
              <w:rPr>
                <w:rStyle w:val="1070"/>
                <w:sz w:val="21"/>
                <w:szCs w:val="21"/>
              </w:rPr>
              <w:t xml:space="preserve">15</w:t>
            </w:r>
            <w:r>
              <w:rPr>
                <w:rStyle w:val="1068"/>
                <w:b w:val="0"/>
                <w:bCs w:val="0"/>
              </w:rPr>
              <w:t xml:space="preserve">分）、</w:t>
            </w:r>
            <w:r>
              <w:rPr>
                <w:rStyle w:val="1070"/>
                <w:sz w:val="21"/>
                <w:szCs w:val="21"/>
              </w:rPr>
              <w:t xml:space="preserve">85%</w:t>
            </w:r>
            <w:r>
              <w:rPr>
                <w:rStyle w:val="1068"/>
                <w:b w:val="0"/>
                <w:bCs w:val="0"/>
              </w:rPr>
              <w:t xml:space="preserve">（含）至</w:t>
            </w:r>
            <w:r>
              <w:rPr>
                <w:rStyle w:val="1070"/>
                <w:sz w:val="21"/>
                <w:szCs w:val="21"/>
              </w:rPr>
              <w:t xml:space="preserve">90%得</w:t>
            </w:r>
            <w:r>
              <w:rPr>
                <w:rStyle w:val="1068"/>
                <w:b w:val="0"/>
                <w:bCs w:val="0"/>
              </w:rPr>
              <w:t xml:space="preserve">（</w:t>
            </w:r>
            <w:r>
              <w:rPr>
                <w:rStyle w:val="1070"/>
                <w:sz w:val="21"/>
                <w:szCs w:val="21"/>
              </w:rPr>
              <w:t xml:space="preserve">10</w:t>
            </w:r>
            <w:r>
              <w:rPr>
                <w:rStyle w:val="1068"/>
                <w:b w:val="0"/>
                <w:bCs w:val="0"/>
              </w:rPr>
              <w:t xml:space="preserve">分）、</w:t>
            </w:r>
            <w:r>
              <w:rPr>
                <w:rStyle w:val="1070"/>
                <w:sz w:val="21"/>
                <w:szCs w:val="21"/>
              </w:rPr>
              <w:t xml:space="preserve">80%</w:t>
            </w:r>
            <w:r>
              <w:rPr>
                <w:rStyle w:val="1068"/>
                <w:b w:val="0"/>
                <w:bCs w:val="0"/>
              </w:rPr>
              <w:t xml:space="preserve">（含）至85</w:t>
            </w:r>
            <w:r>
              <w:rPr>
                <w:rStyle w:val="1070"/>
                <w:sz w:val="21"/>
                <w:szCs w:val="21"/>
              </w:rPr>
              <w:t xml:space="preserve">%</w:t>
            </w:r>
            <w:r>
              <w:rPr>
                <w:rStyle w:val="1068"/>
                <w:b w:val="0"/>
                <w:bCs w:val="0"/>
              </w:rPr>
              <w:t xml:space="preserve">得（5分）、80</w:t>
            </w:r>
            <w:r>
              <w:rPr>
                <w:rStyle w:val="1070"/>
                <w:sz w:val="21"/>
                <w:szCs w:val="21"/>
              </w:rPr>
              <w:t xml:space="preserve">%以下得0分。</w:t>
            </w:r>
            <w:r/>
          </w:p>
        </w:tc>
      </w:tr>
      <w:tr>
        <w:trPr>
          <w:jc w:val="cente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rPr>
                <w:rStyle w:val="1068"/>
                <w:b w:val="0"/>
                <w:bCs w:val="0"/>
              </w:rPr>
              <w:t xml:space="preserve">案件赔付精准率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rPr>
                <w:rStyle w:val="1068"/>
                <w:b w:val="0"/>
                <w:bCs w:val="0"/>
              </w:rPr>
              <w:t xml:space="preserve">承保机构理赔是否严格按照《2026-2027年度常州市第一人民医院等五家公立医院医疗责任险、财产险项目项目招标文件》中载明的要求足额赔付。案件赔付精准率=（严格按照赔付标准赔付的案件数）/（已赔付结案的案件数）</w:t>
            </w:r>
            <w:r>
              <w:rPr>
                <w:rStyle w:val="1070"/>
                <w:sz w:val="21"/>
                <w:szCs w:val="21"/>
              </w:rPr>
              <w:t xml:space="preserve">×100%</w:t>
            </w:r>
            <w:r>
              <w:rPr>
                <w:rStyle w:val="1071"/>
                <w:rFonts w:hint="default" w:ascii="Times New Roman" w:hAnsi="Times New Roman"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rPr>
                <w:rStyle w:val="1068"/>
                <w:b w:val="0"/>
                <w:bCs w:val="0"/>
              </w:rPr>
              <w:t xml:space="preserve">案件赔付精准率在95</w:t>
            </w:r>
            <w:r>
              <w:rPr>
                <w:rStyle w:val="1070"/>
                <w:sz w:val="21"/>
                <w:szCs w:val="21"/>
              </w:rPr>
              <w:t xml:space="preserve">%</w:t>
            </w:r>
            <w:r>
              <w:rPr>
                <w:rStyle w:val="1068"/>
                <w:b w:val="0"/>
                <w:bCs w:val="0"/>
              </w:rPr>
              <w:t xml:space="preserve">（含）以上得（20分）、</w:t>
            </w:r>
            <w:r>
              <w:rPr>
                <w:rStyle w:val="1070"/>
                <w:sz w:val="21"/>
                <w:szCs w:val="21"/>
              </w:rPr>
              <w:t xml:space="preserve">90%</w:t>
            </w:r>
            <w:r>
              <w:rPr>
                <w:rStyle w:val="1068"/>
                <w:b w:val="0"/>
                <w:bCs w:val="0"/>
              </w:rPr>
              <w:t xml:space="preserve">（含）至</w:t>
            </w:r>
            <w:r>
              <w:rPr>
                <w:rStyle w:val="1070"/>
                <w:sz w:val="21"/>
                <w:szCs w:val="21"/>
              </w:rPr>
              <w:t xml:space="preserve">95%得</w:t>
            </w:r>
            <w:r>
              <w:rPr>
                <w:rStyle w:val="1068"/>
                <w:b w:val="0"/>
                <w:bCs w:val="0"/>
              </w:rPr>
              <w:t xml:space="preserve">（</w:t>
            </w:r>
            <w:r>
              <w:rPr>
                <w:rStyle w:val="1070"/>
                <w:sz w:val="21"/>
                <w:szCs w:val="21"/>
              </w:rPr>
              <w:t xml:space="preserve">15</w:t>
            </w:r>
            <w:r>
              <w:rPr>
                <w:rStyle w:val="1068"/>
                <w:b w:val="0"/>
                <w:bCs w:val="0"/>
              </w:rPr>
              <w:t xml:space="preserve">分）、</w:t>
            </w:r>
            <w:r>
              <w:rPr>
                <w:rStyle w:val="1070"/>
                <w:sz w:val="21"/>
                <w:szCs w:val="21"/>
              </w:rPr>
              <w:t xml:space="preserve">85%</w:t>
            </w:r>
            <w:r>
              <w:rPr>
                <w:rStyle w:val="1068"/>
                <w:b w:val="0"/>
                <w:bCs w:val="0"/>
              </w:rPr>
              <w:t xml:space="preserve">（含）至</w:t>
            </w:r>
            <w:r>
              <w:rPr>
                <w:rStyle w:val="1070"/>
                <w:sz w:val="21"/>
                <w:szCs w:val="21"/>
              </w:rPr>
              <w:t xml:space="preserve">90%得</w:t>
            </w:r>
            <w:r>
              <w:rPr>
                <w:rStyle w:val="1068"/>
                <w:b w:val="0"/>
                <w:bCs w:val="0"/>
              </w:rPr>
              <w:t xml:space="preserve">（</w:t>
            </w:r>
            <w:r>
              <w:rPr>
                <w:rStyle w:val="1070"/>
                <w:sz w:val="21"/>
                <w:szCs w:val="21"/>
              </w:rPr>
              <w:t xml:space="preserve">10</w:t>
            </w:r>
            <w:r>
              <w:rPr>
                <w:rStyle w:val="1068"/>
                <w:b w:val="0"/>
                <w:bCs w:val="0"/>
              </w:rPr>
              <w:t xml:space="preserve">分）、</w:t>
            </w:r>
            <w:r>
              <w:rPr>
                <w:rStyle w:val="1070"/>
                <w:sz w:val="21"/>
                <w:szCs w:val="21"/>
              </w:rPr>
              <w:t xml:space="preserve">80%</w:t>
            </w:r>
            <w:r>
              <w:rPr>
                <w:rStyle w:val="1068"/>
                <w:b w:val="0"/>
                <w:bCs w:val="0"/>
              </w:rPr>
              <w:t xml:space="preserve">（含）至85</w:t>
            </w:r>
            <w:r>
              <w:rPr>
                <w:rStyle w:val="1070"/>
                <w:sz w:val="21"/>
                <w:szCs w:val="21"/>
              </w:rPr>
              <w:t xml:space="preserve">%</w:t>
            </w:r>
            <w:r>
              <w:rPr>
                <w:rStyle w:val="1068"/>
                <w:b w:val="0"/>
                <w:bCs w:val="0"/>
              </w:rPr>
              <w:t xml:space="preserve">得（5分）、80</w:t>
            </w:r>
            <w:r>
              <w:rPr>
                <w:rStyle w:val="1070"/>
                <w:sz w:val="21"/>
                <w:szCs w:val="21"/>
              </w:rPr>
              <w:t xml:space="preserve">%以下得0分。</w:t>
            </w:r>
            <w:r/>
          </w:p>
        </w:tc>
      </w:tr>
      <w:tr>
        <w:trPr>
          <w:jc w:val="center"/>
          <w:trHeight w:val="12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t xml:space="preserve">案件赔付结案率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rPr>
                <w:rStyle w:val="1068"/>
                <w:b w:val="0"/>
                <w:bCs w:val="0"/>
              </w:rPr>
              <w:t xml:space="preserve">案件赔付结案率=（已足额理赔完毕结案的案件数）/（已立案案件总数）</w:t>
            </w:r>
            <w:r>
              <w:rPr>
                <w:rStyle w:val="1070"/>
                <w:sz w:val="21"/>
                <w:szCs w:val="21"/>
              </w:rPr>
              <w:t xml:space="preserve">×100%</w:t>
            </w:r>
            <w:r>
              <w:rPr>
                <w:rStyle w:val="1071"/>
                <w:rFonts w:hint="default" w:ascii="Times New Roman" w:hAnsi="Times New Roman"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rPr>
                <w:rStyle w:val="1068"/>
                <w:b w:val="0"/>
                <w:bCs w:val="0"/>
              </w:rPr>
              <w:t xml:space="preserve">案件赔付结案率在95</w:t>
            </w:r>
            <w:r>
              <w:rPr>
                <w:rStyle w:val="1070"/>
                <w:sz w:val="21"/>
                <w:szCs w:val="21"/>
              </w:rPr>
              <w:t xml:space="preserve">%</w:t>
            </w:r>
            <w:r>
              <w:rPr>
                <w:rStyle w:val="1068"/>
                <w:b w:val="0"/>
                <w:bCs w:val="0"/>
              </w:rPr>
              <w:t xml:space="preserve">（含）以上得（20分）、</w:t>
            </w:r>
            <w:r>
              <w:rPr>
                <w:rStyle w:val="1070"/>
                <w:sz w:val="21"/>
                <w:szCs w:val="21"/>
              </w:rPr>
              <w:t xml:space="preserve">90%</w:t>
            </w:r>
            <w:r>
              <w:rPr>
                <w:rStyle w:val="1068"/>
                <w:b w:val="0"/>
                <w:bCs w:val="0"/>
              </w:rPr>
              <w:t xml:space="preserve">（含）至</w:t>
            </w:r>
            <w:r>
              <w:rPr>
                <w:rStyle w:val="1070"/>
                <w:sz w:val="21"/>
                <w:szCs w:val="21"/>
              </w:rPr>
              <w:t xml:space="preserve">95%得</w:t>
            </w:r>
            <w:r>
              <w:rPr>
                <w:rStyle w:val="1068"/>
                <w:b w:val="0"/>
                <w:bCs w:val="0"/>
              </w:rPr>
              <w:t xml:space="preserve">（</w:t>
            </w:r>
            <w:r>
              <w:rPr>
                <w:rStyle w:val="1070"/>
                <w:sz w:val="21"/>
                <w:szCs w:val="21"/>
              </w:rPr>
              <w:t xml:space="preserve">15</w:t>
            </w:r>
            <w:r>
              <w:rPr>
                <w:rStyle w:val="1068"/>
                <w:b w:val="0"/>
                <w:bCs w:val="0"/>
              </w:rPr>
              <w:t xml:space="preserve">分）、</w:t>
            </w:r>
            <w:r>
              <w:rPr>
                <w:rStyle w:val="1070"/>
                <w:sz w:val="21"/>
                <w:szCs w:val="21"/>
              </w:rPr>
              <w:t xml:space="preserve">85%</w:t>
            </w:r>
            <w:r>
              <w:rPr>
                <w:rStyle w:val="1068"/>
                <w:b w:val="0"/>
                <w:bCs w:val="0"/>
              </w:rPr>
              <w:t xml:space="preserve">（含）至</w:t>
            </w:r>
            <w:r>
              <w:rPr>
                <w:rStyle w:val="1070"/>
                <w:sz w:val="21"/>
                <w:szCs w:val="21"/>
              </w:rPr>
              <w:t xml:space="preserve">90%得</w:t>
            </w:r>
            <w:r>
              <w:rPr>
                <w:rStyle w:val="1068"/>
                <w:b w:val="0"/>
                <w:bCs w:val="0"/>
              </w:rPr>
              <w:t xml:space="preserve">（</w:t>
            </w:r>
            <w:r>
              <w:rPr>
                <w:rStyle w:val="1070"/>
                <w:sz w:val="21"/>
                <w:szCs w:val="21"/>
              </w:rPr>
              <w:t xml:space="preserve">10</w:t>
            </w:r>
            <w:r>
              <w:rPr>
                <w:rStyle w:val="1068"/>
                <w:b w:val="0"/>
                <w:bCs w:val="0"/>
              </w:rPr>
              <w:t xml:space="preserve">分）、</w:t>
            </w:r>
            <w:r>
              <w:rPr>
                <w:rStyle w:val="1070"/>
                <w:sz w:val="21"/>
                <w:szCs w:val="21"/>
              </w:rPr>
              <w:t xml:space="preserve">80%</w:t>
            </w:r>
            <w:r>
              <w:rPr>
                <w:rStyle w:val="1068"/>
                <w:b w:val="0"/>
                <w:bCs w:val="0"/>
              </w:rPr>
              <w:t xml:space="preserve">（含）至85</w:t>
            </w:r>
            <w:r>
              <w:rPr>
                <w:rStyle w:val="1070"/>
                <w:sz w:val="21"/>
                <w:szCs w:val="21"/>
              </w:rPr>
              <w:t xml:space="preserve">%</w:t>
            </w:r>
            <w:r>
              <w:rPr>
                <w:rStyle w:val="1068"/>
                <w:b w:val="0"/>
                <w:bCs w:val="0"/>
              </w:rPr>
              <w:t xml:space="preserve">得（5分）、80</w:t>
            </w:r>
            <w:r>
              <w:rPr>
                <w:rStyle w:val="1070"/>
                <w:sz w:val="21"/>
                <w:szCs w:val="21"/>
              </w:rPr>
              <w:t xml:space="preserve">%以下得0分。</w:t>
            </w:r>
            <w:r/>
          </w:p>
        </w:tc>
      </w:tr>
      <w:tr>
        <w:trPr>
          <w:jc w:val="center"/>
          <w:trHeight w:val="11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6" w:type="dxa"/>
            <w:vAlign w:val="center"/>
            <w:textDirection w:val="lrTb"/>
            <w:noWrap/>
          </w:tcPr>
          <w:p>
            <w:pPr>
              <w:jc w:val="center"/>
              <w:widowControl/>
            </w:pPr>
            <w:r>
              <w:rPr>
                <w:rStyle w:val="1068"/>
                <w:b w:val="0"/>
                <w:bCs w:val="0"/>
              </w:rPr>
              <w:t xml:space="preserve">满意率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rPr>
                <w:rStyle w:val="1068"/>
                <w:b w:val="0"/>
                <w:bCs w:val="0"/>
              </w:rPr>
            </w:pPr>
            <w:r>
              <w:rPr>
                <w:rStyle w:val="1068"/>
                <w:b w:val="0"/>
                <w:bCs w:val="0"/>
              </w:rPr>
              <w:t xml:space="preserve">对被保险人进行满意度调查，调查其对承保保险公司服务是否满意。</w:t>
            </w:r>
            <w:r/>
          </w:p>
          <w:p>
            <w:pPr>
              <w:jc w:val="left"/>
              <w:widowControl/>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rPr>
                <w:rStyle w:val="1068"/>
                <w:b w:val="0"/>
                <w:bCs w:val="0"/>
              </w:rPr>
            </w:pPr>
            <w:r>
              <w:rPr>
                <w:rStyle w:val="1068"/>
                <w:b w:val="0"/>
                <w:bCs w:val="0"/>
              </w:rPr>
              <w:t xml:space="preserve">非常满意得10分、比较满意得8分、基本满意得分6分、不太满意得4分、非常不满意得0分。</w:t>
            </w:r>
            <w:r/>
          </w:p>
        </w:tc>
      </w:tr>
      <w:tr>
        <w:trPr>
          <w:cantSplit/>
          <w:jc w:val="center"/>
          <w:trHeight w:val="971"/>
        </w:trPr>
        <w:tc>
          <w:tcPr>
            <w:tcBorders>
              <w:top w:val="single" w:color="000000" w:sz="4" w:space="0"/>
              <w:left w:val="single" w:color="000000" w:sz="4" w:space="0"/>
              <w:right w:val="single" w:color="000000" w:sz="4" w:space="0"/>
            </w:tcBorders>
            <w:tcMar>
              <w:left w:w="15" w:type="dxa"/>
              <w:top w:w="15" w:type="dxa"/>
              <w:right w:w="15" w:type="dxa"/>
            </w:tcMar>
            <w:tcW w:w="1716" w:type="dxa"/>
            <w:vAlign w:val="center"/>
            <w:vMerge w:val="restart"/>
            <w:textDirection w:val="lrTb"/>
            <w:noWrap/>
          </w:tcPr>
          <w:p>
            <w:pPr>
              <w:jc w:val="center"/>
              <w:widowControl/>
            </w:pPr>
            <w:r>
              <w:t xml:space="preserve">其他服务要求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t xml:space="preserve">每月是否按照采购文件及采购人的要求及时完整准确报送出险、定损、理赔、结案等数据。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pPr>
            <w:r>
              <w:rPr>
                <w:rStyle w:val="1068"/>
                <w:b w:val="0"/>
                <w:bCs w:val="0"/>
              </w:rPr>
              <w:t xml:space="preserve">未及时完整准确报送信息数据的，一次扣</w:t>
            </w:r>
            <w:r>
              <w:rPr>
                <w:rStyle w:val="1070"/>
                <w:sz w:val="21"/>
                <w:szCs w:val="21"/>
              </w:rPr>
              <w:t xml:space="preserve">1</w:t>
            </w:r>
            <w:r>
              <w:rPr>
                <w:rStyle w:val="1068"/>
                <w:b w:val="0"/>
                <w:bCs w:val="0"/>
              </w:rPr>
              <w:t xml:space="preserve">分，扣完为止。</w:t>
            </w:r>
            <w:r/>
          </w:p>
        </w:tc>
      </w:tr>
      <w:tr>
        <w:trPr>
          <w:cantSplit/>
          <w:jc w:val="center"/>
          <w:trHeight w:val="1893"/>
        </w:trPr>
        <w:tc>
          <w:tcPr>
            <w:tcBorders>
              <w:left w:val="single" w:color="000000" w:sz="4" w:space="0"/>
              <w:right w:val="single" w:color="000000" w:sz="4" w:space="0"/>
            </w:tcBorders>
            <w:tcMar>
              <w:left w:w="15" w:type="dxa"/>
              <w:top w:w="15" w:type="dxa"/>
              <w:right w:w="15" w:type="dxa"/>
            </w:tcMar>
            <w:tcW w:w="1716" w:type="dxa"/>
            <w:vAlign w:val="center"/>
            <w:vMerge w:val="continue"/>
            <w:textDirection w:val="lrTb"/>
            <w:noWrap/>
          </w:tcPr>
          <w:p>
            <w:pPr>
              <w:jc w:val="center"/>
              <w:widowControl/>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pPr>
            <w:r>
              <w:rPr>
                <w:rStyle w:val="1068"/>
                <w:b w:val="0"/>
                <w:bCs w:val="0"/>
              </w:rPr>
              <w:t xml:space="preserve">是否与被保险人、市卫健委建立良好有效的沟通反馈工作机制，包括但不限于每半年召开一次工作协调会议，就本保险项目开展情况及时沟通；发生重大、疑难及社会较大影响的案件及时沟通、共同制定理赔方案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r>
              <w:t xml:space="preserve">每有一次未能完成的扣除1分，扣完为止。</w:t>
            </w:r>
            <w:r/>
          </w:p>
        </w:tc>
      </w:tr>
      <w:tr>
        <w:trPr>
          <w:cantSplit/>
          <w:jc w:val="center"/>
          <w:trHeight w:val="587"/>
        </w:trPr>
        <w:tc>
          <w:tcPr>
            <w:tcBorders>
              <w:left w:val="single" w:color="000000" w:sz="4" w:space="0"/>
              <w:bottom w:val="single" w:color="000000" w:sz="4" w:space="0"/>
              <w:right w:val="single" w:color="000000" w:sz="4" w:space="0"/>
            </w:tcBorders>
            <w:tcMar>
              <w:left w:w="15" w:type="dxa"/>
              <w:top w:w="15" w:type="dxa"/>
              <w:right w:w="15" w:type="dxa"/>
            </w:tcMar>
            <w:tcW w:w="1716" w:type="dxa"/>
            <w:vAlign w:val="center"/>
            <w:vMerge w:val="continue"/>
            <w:textDirection w:val="lrTb"/>
            <w:noWrap/>
          </w:tcPr>
          <w:p>
            <w:pPr>
              <w:jc w:val="center"/>
              <w:widowControl/>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3" w:type="dxa"/>
            <w:vAlign w:val="center"/>
            <w:textDirection w:val="lrTb"/>
            <w:noWrap/>
          </w:tcPr>
          <w:p>
            <w:pPr>
              <w:jc w:val="left"/>
              <w:widowControl/>
              <w:rPr>
                <w:rStyle w:val="1068"/>
                <w:b w:val="0"/>
                <w:bCs w:val="0"/>
              </w:rPr>
            </w:pPr>
            <w:r>
              <w:rPr>
                <w:rStyle w:val="1068"/>
                <w:b w:val="0"/>
                <w:bCs w:val="0"/>
              </w:rPr>
              <w:t xml:space="preserve">是否积极配合被保险人开展医疗风险防控及各类防灾防损宣传活动。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tcPr>
          <w:p>
            <w:pPr>
              <w:jc w:val="center"/>
              <w:widowControl/>
            </w:pPr>
            <w: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9" w:type="dxa"/>
            <w:vAlign w:val="center"/>
            <w:textDirection w:val="lrTb"/>
            <w:noWrap/>
          </w:tcPr>
          <w:p>
            <w:pPr>
              <w:jc w:val="left"/>
              <w:widowControl/>
              <w:rPr>
                <w:rStyle w:val="1068"/>
                <w:b w:val="0"/>
                <w:bCs w:val="0"/>
              </w:rPr>
            </w:pPr>
            <w:r>
              <w:t xml:space="preserve">每有一次加1分，满分5分。</w:t>
            </w:r>
            <w:r/>
          </w:p>
        </w:tc>
      </w:tr>
    </w:tbl>
    <w:p>
      <w:pPr>
        <w:rPr>
          <w:b/>
          <w:sz w:val="24"/>
        </w:rPr>
      </w:pPr>
      <w:r>
        <w:rPr>
          <w:b/>
          <w:sz w:val="24"/>
        </w:rPr>
      </w:r>
      <w:r/>
    </w:p>
    <w:p>
      <w:pPr>
        <w:pStyle w:val="1043"/>
        <w:numPr>
          <w:ilvl w:val="0"/>
          <w:numId w:val="4"/>
        </w:numPr>
        <w:jc w:val="both"/>
        <w:widowControl w:val="off"/>
        <w:rPr>
          <w:rFonts w:ascii="Times New Roman" w:hAnsi="Times New Roman"/>
          <w:b/>
          <w:bCs/>
          <w:iCs/>
          <w:lang w:eastAsia="zh-CN"/>
        </w:rPr>
      </w:pPr>
      <w:r>
        <w:rPr>
          <w:rFonts w:hint="eastAsia"/>
          <w:b/>
          <w:bCs/>
          <w:iCs/>
          <w:lang w:eastAsia="zh-CN"/>
        </w:rPr>
        <w:t xml:space="preserve">实质性要求汇总：</w:t>
      </w:r>
      <w:r>
        <w:rPr>
          <w:rFonts w:ascii="Times New Roman" w:hAnsi="Times New Roman"/>
          <w:b/>
          <w:bCs/>
          <w:iCs/>
          <w:lang w:eastAsia="zh-CN"/>
        </w:rPr>
        <w:t xml:space="preserve">本招标文件中斜体且有下划线部分的、或者加“★”号的、或者以文字说明属于实质性要求的内容均为实质性要求和条件</w:t>
      </w:r>
      <w:r/>
    </w:p>
    <w:p>
      <w:pPr>
        <w:rPr>
          <w:b/>
          <w:bCs/>
          <w:color w:val="000000"/>
          <w:spacing w:val="2"/>
          <w:sz w:val="24"/>
        </w:rPr>
      </w:pPr>
      <w:r>
        <w:rPr>
          <w:rFonts w:hint="eastAsia"/>
          <w:sz w:val="24"/>
        </w:rPr>
        <w:t xml:space="preserve">1.</w:t>
      </w:r>
      <w:r>
        <w:rPr>
          <w:sz w:val="24"/>
        </w:rPr>
        <w:t xml:space="preserve">★</w:t>
      </w:r>
      <w:r>
        <w:rPr>
          <w:color w:val="000000"/>
          <w:spacing w:val="2"/>
          <w:sz w:val="24"/>
        </w:rPr>
        <w:t xml:space="preserve">投标文件中医疗责任保险（附加医疗机构场所责任险、附加医务人员遭受伤害责任保险）、财产险（包括财产综合险、机器设备损坏险）的保险条款及费率，如已报备，提供报备条款及报备号；如未完成报备，在中标后30日内向国家金融监督管理总局（原中国银行保险监督管理委员会）报备。</w:t>
      </w:r>
      <w:r>
        <w:rPr>
          <w:sz w:val="24"/>
        </w:rPr>
        <w:t xml:space="preserve">（提供承诺函并加投标人盖公章，格式自拟）</w:t>
      </w:r>
      <w:r/>
    </w:p>
    <w:p>
      <w:pPr>
        <w:rPr>
          <w:color w:val="000000"/>
          <w:spacing w:val="2"/>
          <w:sz w:val="24"/>
        </w:rPr>
      </w:pPr>
      <w:r>
        <w:rPr>
          <w:rFonts w:hint="eastAsia"/>
          <w:sz w:val="24"/>
        </w:rPr>
        <w:t xml:space="preserve">2.</w:t>
      </w:r>
      <w:r>
        <w:rPr>
          <w:sz w:val="24"/>
        </w:rPr>
        <w:t xml:space="preserve">★</w:t>
      </w:r>
      <w:r>
        <w:rPr>
          <w:color w:val="000000"/>
          <w:spacing w:val="2"/>
          <w:sz w:val="24"/>
        </w:rPr>
        <w:t xml:space="preserve">本保险项目所涉保险责任自2026年01月01日零时起，自上述期限起发生合同约定的符合采购需求的保险事故均由承保保险公司承担理赔责任。</w:t>
      </w:r>
      <w:r>
        <w:rPr>
          <w:sz w:val="24"/>
        </w:rPr>
        <w:t xml:space="preserve">（提供承诺函并加投标人盖公章，格式自拟）</w:t>
      </w:r>
      <w:r/>
    </w:p>
    <w:p>
      <w:pPr>
        <w:rPr>
          <w:sz w:val="24"/>
        </w:rPr>
      </w:pPr>
      <w:r>
        <w:rPr>
          <w:rFonts w:hint="eastAsia"/>
          <w:sz w:val="24"/>
        </w:rPr>
        <w:t xml:space="preserve">3.</w:t>
      </w:r>
      <w:r>
        <w:rPr>
          <w:sz w:val="24"/>
        </w:rPr>
        <w:t xml:space="preserve">★投标人承诺：在投标文件中拟派的项目负责人，一旦中标，此项目负责人必须参与到本招标文件所述项目中，且不得更换，否则视为投标人自动放弃中标。（提供承诺函并加投标人盖公章，格式自拟）</w:t>
      </w:r>
      <w:r/>
    </w:p>
    <w:p>
      <w:pPr>
        <w:rPr>
          <w:bCs/>
          <w:sz w:val="24"/>
        </w:rPr>
      </w:pPr>
      <w:r>
        <w:rPr>
          <w:rFonts w:hint="eastAsia"/>
          <w:sz w:val="24"/>
        </w:rPr>
        <w:t xml:space="preserve">4.</w:t>
      </w:r>
      <w:r>
        <w:rPr>
          <w:sz w:val="24"/>
        </w:rPr>
        <w:t xml:space="preserve">★</w:t>
      </w:r>
      <w:r>
        <w:rPr>
          <w:bCs/>
          <w:sz w:val="24"/>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rPr>
          <w:sz w:val="24"/>
        </w:rPr>
        <w:t xml:space="preserve">（提供承诺函并加投标人盖公章，格式自拟）</w:t>
      </w:r>
      <w:r/>
    </w:p>
    <w:p>
      <w:pPr>
        <w:rPr>
          <w:bCs/>
          <w:sz w:val="24"/>
        </w:rPr>
      </w:pPr>
      <w:r>
        <w:rPr>
          <w:rFonts w:hint="eastAsia"/>
          <w:bCs/>
          <w:sz w:val="24"/>
        </w:rPr>
        <w:t xml:space="preserve">5.</w:t>
      </w:r>
      <w:r>
        <w:rPr>
          <w:bCs/>
          <w:sz w:val="24"/>
        </w:rPr>
        <w:t xml:space="preserve">★技术要求响应及偏离表中如有“负偏离”视作未实质响应采购文件，按无效响应处理。</w:t>
      </w:r>
      <w:r>
        <w:rPr>
          <w:rFonts w:hint="eastAsia"/>
          <w:bCs/>
          <w:sz w:val="24"/>
        </w:rPr>
        <w:t xml:space="preserve">（提供</w:t>
      </w:r>
      <w:r>
        <w:rPr>
          <w:bCs/>
          <w:sz w:val="24"/>
        </w:rPr>
        <w:t xml:space="preserve">技术要求响应及偏离表</w:t>
      </w:r>
      <w:r>
        <w:rPr>
          <w:rFonts w:hint="eastAsia"/>
          <w:bCs/>
          <w:sz w:val="24"/>
        </w:rPr>
        <w:t xml:space="preserve">）</w:t>
      </w:r>
      <w:r/>
    </w:p>
    <w:p>
      <w:pPr>
        <w:rPr>
          <w:bCs/>
          <w:sz w:val="24"/>
        </w:rPr>
      </w:pPr>
      <w:r>
        <w:rPr>
          <w:bCs/>
          <w:sz w:val="24"/>
        </w:rPr>
      </w:r>
      <w:r/>
    </w:p>
    <w:p>
      <w:pPr>
        <w:tabs>
          <w:tab w:val="left" w:pos="6360" w:leader="none"/>
        </w:tabs>
        <w:rPr>
          <w:rFonts w:ascii="宋体" w:hAnsi="宋体"/>
          <w:sz w:val="24"/>
        </w:rPr>
      </w:pPr>
      <w:r>
        <w:rPr>
          <w:rFonts w:hint="eastAsia" w:ascii="宋体" w:hAnsi="宋体"/>
          <w:sz w:val="24"/>
          <w:lang w:val="en-US" w:eastAsia="zh-CN"/>
        </w:rPr>
        <w:t xml:space="preserve">四</w:t>
      </w:r>
      <w:r>
        <w:rPr>
          <w:rFonts w:hint="eastAsia" w:ascii="宋体" w:hAnsi="宋体"/>
          <w:sz w:val="24"/>
          <w:lang w:eastAsia="zh-CN"/>
        </w:rPr>
        <w:t xml:space="preserve">、</w:t>
      </w:r>
      <w:r>
        <w:rPr>
          <w:rFonts w:hint="eastAsia" w:ascii="宋体" w:hAnsi="宋体"/>
          <w:sz w:val="24"/>
        </w:rPr>
        <w:t xml:space="preserve">采购标的对应的中小企业划分标准所属行业一览表</w:t>
      </w:r>
      <w:r>
        <w:rPr>
          <w:rFonts w:hint="eastAsia" w:ascii="宋体" w:hAnsi="宋体"/>
          <w:sz w:val="24"/>
        </w:rPr>
        <w:tab/>
      </w:r>
      <w:r/>
    </w:p>
    <w:tbl>
      <w:tblPr>
        <w:tblStyle w:val="961"/>
        <w:tblpPr w:horzAnchor="margin" w:tblpXSpec="left" w:vertAnchor="text" w:tblpY="188" w:leftFromText="180" w:topFromText="0" w:rightFromText="180" w:bottomFromText="0"/>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4549"/>
        <w:gridCol w:w="3941"/>
      </w:tblGrid>
      <w:tr>
        <w:trPr>
          <w:cantSplit/>
        </w:trPr>
        <w:tc>
          <w:tcPr>
            <w:tcW w:w="752"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4549"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3941"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752"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4549" w:type="dxa"/>
            <w:vAlign w:val="center"/>
            <w:textDirection w:val="lrTb"/>
            <w:noWrap w:val="false"/>
          </w:tcPr>
          <w:p>
            <w:pPr>
              <w:jc w:val="center"/>
              <w:rPr>
                <w:rFonts w:ascii="宋体" w:hAnsi="宋体"/>
                <w:sz w:val="24"/>
              </w:rPr>
            </w:pPr>
            <w:r>
              <w:rPr>
                <w:rFonts w:ascii="宋体" w:hAnsi="宋体"/>
                <w:sz w:val="24"/>
              </w:rPr>
              <w:t xml:space="preserve">2026-2027年度常州市第一人民医院等五家公立医院医疗责任险、财产险</w:t>
            </w:r>
            <w:r/>
          </w:p>
        </w:tc>
        <w:tc>
          <w:tcPr>
            <w:tcW w:w="3941" w:type="dxa"/>
            <w:vAlign w:val="center"/>
            <w:textDirection w:val="lrTb"/>
            <w:noWrap w:val="false"/>
          </w:tcPr>
          <w:p>
            <w:pPr>
              <w:jc w:val="center"/>
              <w:rPr>
                <w:rFonts w:ascii="宋体" w:hAnsi="宋体"/>
                <w:sz w:val="24"/>
              </w:rPr>
            </w:pPr>
            <w:r>
              <w:rPr>
                <w:rFonts w:hint="eastAsia" w:ascii="宋体" w:hAnsi="宋体"/>
                <w:sz w:val="24"/>
                <w:lang w:val="en-US" w:eastAsia="zh-CN"/>
              </w:rPr>
              <w:t xml:space="preserve">其他未列明行业</w:t>
            </w:r>
            <w:r/>
          </w:p>
        </w:tc>
      </w:tr>
    </w:tbl>
    <w:p>
      <w:pPr>
        <w:tabs>
          <w:tab w:val="left" w:pos="6360" w:leader="none"/>
        </w:tabs>
        <w:rPr>
          <w:rFonts w:ascii="宋体" w:hAnsi="宋体"/>
          <w:sz w:val="24"/>
        </w:rPr>
      </w:pPr>
      <w:r>
        <w:rPr>
          <w:rFonts w:ascii="宋体" w:hAnsi="宋体"/>
          <w:sz w:val="24"/>
        </w:rPr>
      </w:r>
      <w:r/>
    </w:p>
    <w:p>
      <w:pPr>
        <w:jc w:val="center"/>
        <w:rPr>
          <w:rFonts w:ascii="黑体" w:eastAsia="黑体"/>
          <w:bCs/>
          <w:sz w:val="44"/>
        </w:rPr>
      </w:pPr>
      <w:r>
        <w:br w:type="page" w:clear="all"/>
      </w:r>
      <w:bookmarkStart w:id="209" w:name="_Toc173761693"/>
      <w:r>
        <w:rPr>
          <w:rFonts w:hint="eastAsia" w:ascii="黑体" w:eastAsia="黑体"/>
          <w:bCs/>
          <w:sz w:val="44"/>
        </w:rPr>
        <w:t xml:space="preserve">第五章  评标方法与评标标准</w:t>
      </w:r>
      <w:bookmarkEnd w:id="209"/>
      <w:r/>
      <w:r/>
    </w:p>
    <w:p>
      <w:r/>
      <w:r/>
    </w:p>
    <w:p>
      <w:pPr>
        <w:pStyle w:val="103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1038"/>
        <w:ind w:firstLine="441"/>
        <w:rPr>
          <w:rFonts w:ascii="宋体" w:hAnsi="宋体"/>
          <w:b/>
          <w:highlight w:val="yellow"/>
        </w:rPr>
      </w:pPr>
      <w:r>
        <w:rPr>
          <w:rFonts w:hint="eastAsia" w:ascii="宋体" w:hAnsi="宋体"/>
          <w:b/>
        </w:rPr>
        <w:t xml:space="preserve">政府采购政策功能落实</w:t>
      </w:r>
      <w:r/>
    </w:p>
    <w:p>
      <w:pPr>
        <w:pStyle w:val="1038"/>
        <w:spacing w:line="0" w:lineRule="atLeast"/>
        <w:rPr>
          <w:rFonts w:ascii="宋体" w:hAnsi="宋体"/>
        </w:rPr>
      </w:pPr>
      <w:r>
        <w:rPr>
          <w:rFonts w:hint="eastAsia" w:ascii="宋体" w:hAnsi="宋体"/>
        </w:rPr>
        <w:t xml:space="preserve">1、小微型企业价格扣除</w:t>
      </w:r>
      <w:r/>
    </w:p>
    <w:p>
      <w:pPr>
        <w:pStyle w:val="1038"/>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38"/>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3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38"/>
        <w:spacing w:line="0" w:lineRule="atLeast"/>
        <w:rPr>
          <w:rFonts w:ascii="宋体" w:hAnsi="宋体"/>
        </w:rPr>
      </w:pPr>
      <w:r>
        <w:rPr>
          <w:rFonts w:hint="eastAsia" w:ascii="宋体" w:hAnsi="宋体"/>
        </w:rPr>
        <w:t xml:space="preserve">2、残疾人福利单位价格扣除</w:t>
      </w:r>
      <w:r/>
    </w:p>
    <w:p>
      <w:pPr>
        <w:pStyle w:val="1038"/>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3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3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38"/>
        <w:spacing w:line="0" w:lineRule="atLeast"/>
        <w:rPr>
          <w:rFonts w:ascii="宋体" w:hAnsi="宋体"/>
        </w:rPr>
      </w:pPr>
      <w:r>
        <w:rPr>
          <w:rFonts w:hint="eastAsia" w:ascii="宋体" w:hAnsi="宋体"/>
        </w:rPr>
        <w:t xml:space="preserve">3、监狱和戒毒企业价格扣除</w:t>
      </w:r>
      <w:r/>
    </w:p>
    <w:p>
      <w:pPr>
        <w:pStyle w:val="1038"/>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3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3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38"/>
        <w:spacing w:line="400" w:lineRule="exact"/>
        <w:rPr>
          <w:rFonts w:ascii="宋体" w:hAnsi="宋体"/>
        </w:rPr>
      </w:pPr>
      <w:r>
        <w:rPr>
          <w:rFonts w:hint="eastAsia" w:ascii="宋体" w:hAnsi="宋体"/>
        </w:rPr>
        <w:t xml:space="preserve">4、残疾人福利单位、监狱企业属于小型、微型企业的，不重复享受政策。</w:t>
      </w:r>
      <w:r/>
    </w:p>
    <w:p>
      <w:pPr>
        <w:pStyle w:val="1038"/>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38"/>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38"/>
        <w:ind w:firstLine="482"/>
        <w:spacing w:line="400" w:lineRule="exact"/>
        <w:rPr>
          <w:rFonts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38"/>
        <w:spacing w:line="0" w:lineRule="atLeast"/>
        <w:rPr>
          <w:rFonts w:ascii="宋体" w:hAnsi="宋体"/>
        </w:rPr>
      </w:pPr>
      <w:r>
        <w:rPr>
          <w:rFonts w:ascii="宋体" w:hAnsi="宋体"/>
        </w:rPr>
      </w:r>
      <w:r/>
    </w:p>
    <w:p>
      <w:pPr>
        <w:pStyle w:val="1038"/>
        <w:ind w:firstLine="482"/>
        <w:spacing w:line="0" w:lineRule="atLeast"/>
        <w:rPr>
          <w:rFonts w:ascii="宋体" w:hAnsi="宋体"/>
          <w:b/>
          <w:highlight w:val="yellow"/>
        </w:rPr>
      </w:pPr>
      <w:r>
        <w:rPr>
          <w:rFonts w:hint="eastAsia" w:ascii="宋体" w:hAnsi="宋体"/>
          <w:b/>
        </w:rPr>
        <w:t xml:space="preserve">评标方法与评标标准</w:t>
      </w:r>
      <w:r/>
    </w:p>
    <w:tbl>
      <w:tblPr>
        <w:tblStyle w:val="961"/>
        <w:tblW w:w="90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6"/>
        <w:gridCol w:w="1420"/>
        <w:gridCol w:w="4267"/>
        <w:gridCol w:w="567"/>
        <w:gridCol w:w="567"/>
        <w:gridCol w:w="853"/>
        <w:gridCol w:w="806"/>
      </w:tblGrid>
      <w:tr>
        <w:trPr>
          <w:jc w:val="center"/>
          <w:trHeight w:val="654"/>
        </w:trPr>
        <w:tc>
          <w:tcPr>
            <w:tcW w:w="576" w:type="dxa"/>
            <w:vAlign w:val="center"/>
            <w:textDirection w:val="lrTb"/>
            <w:noWrap/>
          </w:tcPr>
          <w:p>
            <w:pPr>
              <w:jc w:val="center"/>
              <w:widowControl/>
              <w:rPr>
                <w:b/>
                <w:sz w:val="21"/>
                <w:szCs w:val="21"/>
              </w:rPr>
            </w:pPr>
            <w:r>
              <w:rPr>
                <w:b/>
                <w:sz w:val="21"/>
                <w:szCs w:val="21"/>
              </w:rPr>
              <w:t xml:space="preserve">序号</w:t>
            </w:r>
            <w:r/>
          </w:p>
        </w:tc>
        <w:tc>
          <w:tcPr>
            <w:tcMar>
              <w:left w:w="108" w:type="dxa"/>
              <w:top w:w="0" w:type="dxa"/>
              <w:right w:w="108" w:type="dxa"/>
              <w:bottom w:w="0" w:type="dxa"/>
            </w:tcMar>
            <w:tcW w:w="1420" w:type="dxa"/>
            <w:vAlign w:val="center"/>
            <w:textDirection w:val="lrTb"/>
            <w:noWrap/>
          </w:tcPr>
          <w:p>
            <w:pPr>
              <w:jc w:val="center"/>
              <w:widowControl/>
              <w:rPr>
                <w:b/>
                <w:sz w:val="21"/>
                <w:szCs w:val="21"/>
              </w:rPr>
            </w:pPr>
            <w:r>
              <w:rPr>
                <w:b/>
                <w:sz w:val="21"/>
                <w:szCs w:val="21"/>
              </w:rPr>
              <w:t xml:space="preserve">评分因素</w:t>
            </w:r>
            <w:r/>
          </w:p>
        </w:tc>
        <w:tc>
          <w:tcPr>
            <w:tcMar>
              <w:left w:w="108" w:type="dxa"/>
              <w:top w:w="0" w:type="dxa"/>
              <w:right w:w="108" w:type="dxa"/>
              <w:bottom w:w="0" w:type="dxa"/>
            </w:tcMar>
            <w:tcW w:w="4267" w:type="dxa"/>
            <w:vAlign w:val="center"/>
            <w:textDirection w:val="lrTb"/>
            <w:noWrap/>
          </w:tcPr>
          <w:p>
            <w:pPr>
              <w:jc w:val="center"/>
              <w:widowControl/>
              <w:rPr>
                <w:b/>
                <w:sz w:val="21"/>
                <w:szCs w:val="21"/>
              </w:rPr>
            </w:pPr>
            <w:r>
              <w:rPr>
                <w:b/>
                <w:sz w:val="21"/>
                <w:szCs w:val="21"/>
              </w:rPr>
              <w:t xml:space="preserve">评分标准和评审材料</w:t>
            </w:r>
            <w:r/>
          </w:p>
        </w:tc>
        <w:tc>
          <w:tcPr>
            <w:tcW w:w="567" w:type="dxa"/>
            <w:vAlign w:val="center"/>
            <w:textDirection w:val="lrTb"/>
            <w:noWrap/>
          </w:tcPr>
          <w:p>
            <w:pPr>
              <w:jc w:val="center"/>
              <w:rPr>
                <w:b/>
                <w:sz w:val="21"/>
                <w:szCs w:val="21"/>
              </w:rPr>
            </w:pPr>
            <w:r>
              <w:rPr>
                <w:b/>
                <w:sz w:val="21"/>
                <w:szCs w:val="21"/>
              </w:rPr>
              <w:t xml:space="preserve">最低分值</w:t>
            </w:r>
            <w:r/>
          </w:p>
        </w:tc>
        <w:tc>
          <w:tcPr>
            <w:tcW w:w="567" w:type="dxa"/>
            <w:vAlign w:val="center"/>
            <w:textDirection w:val="lrTb"/>
            <w:noWrap/>
          </w:tcPr>
          <w:p>
            <w:pPr>
              <w:jc w:val="center"/>
              <w:rPr>
                <w:b/>
                <w:sz w:val="21"/>
                <w:szCs w:val="21"/>
              </w:rPr>
            </w:pPr>
            <w:r>
              <w:rPr>
                <w:b/>
                <w:sz w:val="21"/>
                <w:szCs w:val="21"/>
              </w:rPr>
              <w:t xml:space="preserve">最高分值</w:t>
            </w:r>
            <w:r/>
          </w:p>
        </w:tc>
        <w:tc>
          <w:tcPr>
            <w:tcW w:w="853" w:type="dxa"/>
            <w:vAlign w:val="center"/>
            <w:textDirection w:val="lrTb"/>
            <w:noWrap/>
          </w:tcPr>
          <w:p>
            <w:pPr>
              <w:jc w:val="center"/>
              <w:rPr>
                <w:b/>
                <w:sz w:val="21"/>
                <w:szCs w:val="21"/>
              </w:rPr>
            </w:pPr>
            <w:r>
              <w:rPr>
                <w:b/>
                <w:sz w:val="21"/>
                <w:szCs w:val="21"/>
              </w:rPr>
              <w:t xml:space="preserve">是否暗标评审</w:t>
            </w:r>
            <w:r/>
          </w:p>
        </w:tc>
        <w:tc>
          <w:tcPr>
            <w:tcW w:w="806" w:type="dxa"/>
            <w:vAlign w:val="center"/>
            <w:textDirection w:val="lrTb"/>
            <w:noWrap/>
          </w:tcPr>
          <w:p>
            <w:pPr>
              <w:jc w:val="center"/>
              <w:rPr>
                <w:b/>
                <w:sz w:val="21"/>
                <w:szCs w:val="21"/>
              </w:rPr>
            </w:pPr>
            <w:r>
              <w:rPr>
                <w:b/>
                <w:sz w:val="21"/>
                <w:szCs w:val="21"/>
              </w:rPr>
              <w:t xml:space="preserve">是否客观分</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1</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价格分</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10</w:t>
            </w:r>
            <w:r/>
          </w:p>
        </w:tc>
        <w:tc>
          <w:tcPr>
            <w:tcW w:w="853" w:type="dxa"/>
            <w:vAlign w:val="center"/>
            <w:textDirection w:val="lrTb"/>
            <w:noWrap/>
          </w:tcPr>
          <w:p>
            <w:pPr>
              <w:jc w:val="center"/>
              <w:widowControl/>
              <w:rPr>
                <w:sz w:val="21"/>
                <w:szCs w:val="21"/>
              </w:rPr>
            </w:pPr>
            <w:r>
              <w:rPr>
                <w:sz w:val="21"/>
                <w:szCs w:val="21"/>
              </w:rPr>
              <w:t xml:space="preserve">/</w:t>
            </w:r>
            <w:r/>
          </w:p>
        </w:tc>
        <w:tc>
          <w:tcPr>
            <w:tcW w:w="806" w:type="dxa"/>
            <w:vAlign w:val="center"/>
            <w:textDirection w:val="lrTb"/>
            <w:noWrap/>
          </w:tcPr>
          <w:p>
            <w:pPr>
              <w:jc w:val="center"/>
              <w:widowControl/>
              <w:rPr>
                <w:sz w:val="21"/>
                <w:szCs w:val="21"/>
              </w:rPr>
            </w:pPr>
            <w:r>
              <w:rPr>
                <w:sz w:val="21"/>
                <w:szCs w:val="21"/>
              </w:rPr>
              <w:t xml:space="preserve">/</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2</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技术分</w:t>
            </w:r>
            <w:r/>
          </w:p>
          <w:p>
            <w:pPr>
              <w:jc w:val="center"/>
              <w:widowControl/>
              <w:rPr>
                <w:b/>
                <w:bCs/>
                <w:sz w:val="21"/>
                <w:szCs w:val="21"/>
              </w:rPr>
            </w:pPr>
            <w:r>
              <w:rPr>
                <w:b/>
                <w:bCs/>
                <w:sz w:val="21"/>
                <w:szCs w:val="21"/>
              </w:rPr>
              <w:t xml:space="preserve">（主观分）</w:t>
            </w:r>
            <w:r/>
          </w:p>
        </w:tc>
        <w:tc>
          <w:tcPr>
            <w:tcMar>
              <w:left w:w="108" w:type="dxa"/>
              <w:top w:w="0" w:type="dxa"/>
              <w:right w:w="108" w:type="dxa"/>
              <w:bottom w:w="0" w:type="dxa"/>
            </w:tcMar>
            <w:tcW w:w="4267" w:type="dxa"/>
            <w:vAlign w:val="center"/>
            <w:textDirection w:val="lrTb"/>
            <w:noWrap/>
          </w:tcPr>
          <w:p>
            <w:pPr>
              <w:jc w:val="left"/>
              <w:widowControl/>
              <w:rPr>
                <w:b/>
                <w:bCs/>
                <w:sz w:val="21"/>
                <w:szCs w:val="21"/>
              </w:rPr>
            </w:pPr>
            <w:r>
              <w:rPr>
                <w:b/>
                <w:bCs/>
                <w:sz w:val="21"/>
                <w:szCs w:val="21"/>
              </w:rPr>
            </w:r>
            <w:r/>
          </w:p>
        </w:tc>
        <w:tc>
          <w:tcPr>
            <w:tcW w:w="567" w:type="dxa"/>
            <w:vAlign w:val="center"/>
            <w:textDirection w:val="lrTb"/>
            <w:noWrap/>
          </w:tcPr>
          <w:p>
            <w:pPr>
              <w:jc w:val="center"/>
              <w:widowControl/>
              <w:rPr>
                <w:b/>
                <w:bCs/>
                <w:sz w:val="21"/>
                <w:szCs w:val="21"/>
              </w:rPr>
            </w:pPr>
            <w:r>
              <w:rPr>
                <w:b/>
                <w:bCs/>
                <w:sz w:val="21"/>
                <w:szCs w:val="21"/>
              </w:rPr>
              <w:t xml:space="preserve">0</w:t>
            </w:r>
            <w:r/>
          </w:p>
        </w:tc>
        <w:tc>
          <w:tcPr>
            <w:tcW w:w="567" w:type="dxa"/>
            <w:vAlign w:val="center"/>
            <w:textDirection w:val="lrTb"/>
            <w:noWrap/>
          </w:tcPr>
          <w:p>
            <w:pPr>
              <w:jc w:val="center"/>
              <w:widowControl/>
              <w:rPr>
                <w:b/>
                <w:bCs/>
                <w:sz w:val="21"/>
                <w:szCs w:val="21"/>
              </w:rPr>
            </w:pPr>
            <w:r>
              <w:rPr>
                <w:b/>
                <w:bCs/>
                <w:sz w:val="21"/>
                <w:szCs w:val="21"/>
              </w:rPr>
              <w:t xml:space="preserve">50</w:t>
            </w:r>
            <w:r/>
          </w:p>
        </w:tc>
        <w:tc>
          <w:tcPr>
            <w:tcW w:w="853" w:type="dxa"/>
            <w:vAlign w:val="center"/>
            <w:textDirection w:val="lrTb"/>
            <w:noWrap/>
          </w:tcPr>
          <w:p>
            <w:pPr>
              <w:jc w:val="center"/>
              <w:widowControl/>
              <w:rPr>
                <w:b/>
                <w:bCs/>
                <w:sz w:val="21"/>
                <w:szCs w:val="21"/>
              </w:rPr>
            </w:pPr>
            <w:r>
              <w:rPr>
                <w:b/>
                <w:bCs/>
                <w:sz w:val="21"/>
                <w:szCs w:val="21"/>
              </w:rPr>
              <w:t xml:space="preserve">否</w:t>
            </w:r>
            <w:r/>
          </w:p>
        </w:tc>
        <w:tc>
          <w:tcPr>
            <w:tcW w:w="806" w:type="dxa"/>
            <w:vAlign w:val="center"/>
            <w:textDirection w:val="lrTb"/>
            <w:noWrap/>
          </w:tcPr>
          <w:p>
            <w:pPr>
              <w:jc w:val="center"/>
              <w:widowControl/>
              <w:rPr>
                <w:b/>
                <w:bCs/>
                <w:sz w:val="21"/>
                <w:szCs w:val="21"/>
              </w:rPr>
            </w:pPr>
            <w:r>
              <w:rPr>
                <w:b/>
                <w:bCs/>
                <w:sz w:val="21"/>
                <w:szCs w:val="21"/>
              </w:rPr>
              <w:t xml:space="preserve">否</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2.1</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服务团队方案</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服务团队方案制定：</w:t>
            </w:r>
            <w:r/>
          </w:p>
          <w:p>
            <w:pPr>
              <w:jc w:val="left"/>
              <w:widowControl/>
              <w:rPr>
                <w:sz w:val="21"/>
                <w:szCs w:val="21"/>
              </w:rPr>
            </w:pPr>
            <w:r>
              <w:rPr>
                <w:sz w:val="21"/>
                <w:szCs w:val="21"/>
              </w:rPr>
              <w:t xml:space="preserve">投标人结合本项目采购需求组建日常服务团队，服务团队应包括项目负责人、投保服务负责人、理赔服务负责人、风控服务负责人、服务团队其他成员等；注明团队成员的出生年月、学历、毕业院校、职称、职务、医疗责任险、财产险等保险从业经验、在团队中的职责分工、是否驻场等。成员项目经验丰富，服务团队职责明晰；提供投诉监督方式；利用经营网点配合团队提供服务等内容。</w:t>
            </w:r>
            <w:r/>
          </w:p>
          <w:p>
            <w:pPr>
              <w:jc w:val="left"/>
              <w:widowControl/>
              <w:rPr>
                <w:sz w:val="21"/>
                <w:szCs w:val="21"/>
              </w:rPr>
            </w:pPr>
            <w:r>
              <w:rPr>
                <w:sz w:val="21"/>
                <w:szCs w:val="21"/>
              </w:rPr>
              <w:t xml:space="preserve">1）方案符合采购需求、团队建设合理、可操作性强的，得8分；</w:t>
            </w:r>
            <w:r/>
          </w:p>
          <w:p>
            <w:pPr>
              <w:jc w:val="left"/>
              <w:widowControl/>
              <w:rPr>
                <w:sz w:val="21"/>
                <w:szCs w:val="21"/>
              </w:rPr>
            </w:pPr>
            <w:r>
              <w:rPr>
                <w:sz w:val="21"/>
                <w:szCs w:val="21"/>
              </w:rPr>
              <w:t xml:space="preserve">2）方案较符合采购需求、团队建设较合理、有一定可操作性的得6分；</w:t>
            </w:r>
            <w:r/>
          </w:p>
          <w:p>
            <w:pPr>
              <w:jc w:val="left"/>
              <w:widowControl/>
              <w:rPr>
                <w:sz w:val="21"/>
                <w:szCs w:val="21"/>
              </w:rPr>
            </w:pPr>
            <w:r>
              <w:rPr>
                <w:sz w:val="21"/>
                <w:szCs w:val="21"/>
              </w:rPr>
              <w:t xml:space="preserve">3）方案与采购需求有差异、团队建设不尽合理、可操作性一般的，得4分；</w:t>
            </w:r>
            <w:r/>
          </w:p>
          <w:p>
            <w:pPr>
              <w:jc w:val="left"/>
              <w:widowControl/>
              <w:rPr>
                <w:sz w:val="21"/>
                <w:szCs w:val="21"/>
              </w:rPr>
            </w:pPr>
            <w:r>
              <w:rPr>
                <w:sz w:val="21"/>
                <w:szCs w:val="21"/>
              </w:rPr>
              <w:t xml:space="preserve">4）未提供方案的不得分。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2.2</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承保服务方案</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承保服务方案制定：</w:t>
            </w:r>
            <w:r/>
          </w:p>
          <w:p>
            <w:pPr>
              <w:jc w:val="left"/>
              <w:widowControl/>
              <w:rPr>
                <w:sz w:val="21"/>
                <w:szCs w:val="21"/>
              </w:rPr>
            </w:pPr>
            <w:r>
              <w:rPr>
                <w:sz w:val="21"/>
                <w:szCs w:val="21"/>
              </w:rPr>
              <w:t xml:space="preserve">投标人结合采购需求，制定承保方案，内容包括但不限于：1、依法合规核保；2、准确及时出单；3、投保服务便捷、高效等内容。</w:t>
            </w:r>
            <w:r/>
          </w:p>
          <w:p>
            <w:pPr>
              <w:jc w:val="left"/>
              <w:widowControl/>
              <w:rPr>
                <w:sz w:val="21"/>
                <w:szCs w:val="21"/>
              </w:rPr>
            </w:pPr>
            <w:r>
              <w:rPr>
                <w:sz w:val="21"/>
                <w:szCs w:val="21"/>
              </w:rPr>
              <w:t xml:space="preserve">1）方案符合采购需求、设计合理、可操作性强的，得8分；</w:t>
            </w:r>
            <w:r/>
          </w:p>
          <w:p>
            <w:pPr>
              <w:jc w:val="left"/>
              <w:widowControl/>
              <w:rPr>
                <w:sz w:val="21"/>
                <w:szCs w:val="21"/>
              </w:rPr>
            </w:pPr>
            <w:r>
              <w:rPr>
                <w:sz w:val="21"/>
                <w:szCs w:val="21"/>
              </w:rPr>
              <w:t xml:space="preserve">2）方案较符合采购需求、设计较合理、有一定可操作性的，得6分；</w:t>
            </w:r>
            <w:r/>
          </w:p>
          <w:p>
            <w:pPr>
              <w:jc w:val="left"/>
              <w:widowControl/>
              <w:rPr>
                <w:sz w:val="21"/>
                <w:szCs w:val="21"/>
              </w:rPr>
            </w:pPr>
            <w:r>
              <w:rPr>
                <w:sz w:val="21"/>
                <w:szCs w:val="21"/>
              </w:rPr>
              <w:t xml:space="preserve">3）方案与采购需求有差异、设计不尽合理、可操作性一般的，得4分；</w:t>
            </w:r>
            <w:r/>
          </w:p>
          <w:p>
            <w:pPr>
              <w:jc w:val="left"/>
              <w:widowControl/>
              <w:rPr>
                <w:sz w:val="21"/>
                <w:szCs w:val="21"/>
              </w:rPr>
            </w:pPr>
            <w:r>
              <w:rPr>
                <w:sz w:val="21"/>
                <w:szCs w:val="21"/>
              </w:rPr>
              <w:t xml:space="preserve">4) 未提供方案的不得分。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90"/>
        </w:trPr>
        <w:tc>
          <w:tcPr>
            <w:tcW w:w="576" w:type="dxa"/>
            <w:vAlign w:val="center"/>
            <w:textDirection w:val="lrTb"/>
            <w:noWrap/>
          </w:tcPr>
          <w:p>
            <w:pPr>
              <w:jc w:val="center"/>
              <w:widowControl/>
              <w:rPr>
                <w:b/>
                <w:bCs/>
                <w:sz w:val="21"/>
                <w:szCs w:val="21"/>
              </w:rPr>
            </w:pPr>
            <w:r>
              <w:rPr>
                <w:b/>
                <w:bCs/>
                <w:sz w:val="21"/>
                <w:szCs w:val="21"/>
              </w:rPr>
              <w:t xml:space="preserve">2.3</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理赔服务方案</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理赔服务方案制定：</w:t>
            </w:r>
            <w:r/>
          </w:p>
          <w:p>
            <w:pPr>
              <w:jc w:val="left"/>
              <w:widowControl/>
              <w:rPr>
                <w:sz w:val="21"/>
                <w:szCs w:val="21"/>
              </w:rPr>
            </w:pPr>
            <w:r>
              <w:rPr>
                <w:sz w:val="21"/>
                <w:szCs w:val="21"/>
              </w:rPr>
              <w:t xml:space="preserve">内容包括但不限于：1.理赔服务流程；2.限时支付承诺；3.持续完善的措施等内容。</w:t>
            </w:r>
            <w:r/>
          </w:p>
          <w:p>
            <w:pPr>
              <w:jc w:val="left"/>
              <w:widowControl/>
              <w:rPr>
                <w:sz w:val="21"/>
                <w:szCs w:val="21"/>
              </w:rPr>
            </w:pPr>
            <w:r>
              <w:rPr>
                <w:sz w:val="21"/>
                <w:szCs w:val="21"/>
              </w:rPr>
              <w:t xml:space="preserve">1）方案符合采购需求、设计合理、可操作性强的，得8分；</w:t>
            </w:r>
            <w:r/>
          </w:p>
          <w:p>
            <w:pPr>
              <w:jc w:val="left"/>
              <w:widowControl/>
              <w:rPr>
                <w:sz w:val="21"/>
                <w:szCs w:val="21"/>
              </w:rPr>
            </w:pPr>
            <w:r>
              <w:rPr>
                <w:sz w:val="21"/>
                <w:szCs w:val="21"/>
              </w:rPr>
              <w:t xml:space="preserve">2）方案较符合采购需求、设计较合理、有一定可操作性的，得6分；</w:t>
            </w:r>
            <w:r/>
          </w:p>
          <w:p>
            <w:pPr>
              <w:jc w:val="left"/>
              <w:widowControl/>
              <w:rPr>
                <w:sz w:val="21"/>
                <w:szCs w:val="21"/>
              </w:rPr>
            </w:pPr>
            <w:r>
              <w:rPr>
                <w:sz w:val="21"/>
                <w:szCs w:val="21"/>
              </w:rPr>
              <w:t xml:space="preserve">3）方案与采购需求有差异、设计不尽合理、可操作性一般的，得4分；</w:t>
            </w:r>
            <w:r/>
          </w:p>
          <w:p>
            <w:pPr>
              <w:jc w:val="left"/>
              <w:widowControl/>
              <w:rPr>
                <w:sz w:val="21"/>
                <w:szCs w:val="21"/>
              </w:rPr>
            </w:pPr>
            <w:r>
              <w:rPr>
                <w:sz w:val="21"/>
                <w:szCs w:val="21"/>
              </w:rPr>
              <w:t xml:space="preserve">4)未提供方案的不得分。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841"/>
        </w:trPr>
        <w:tc>
          <w:tcPr>
            <w:tcW w:w="576" w:type="dxa"/>
            <w:vAlign w:val="center"/>
            <w:textDirection w:val="lrTb"/>
            <w:noWrap/>
          </w:tcPr>
          <w:p>
            <w:pPr>
              <w:jc w:val="center"/>
              <w:widowControl/>
              <w:rPr>
                <w:b/>
                <w:bCs/>
                <w:sz w:val="21"/>
                <w:szCs w:val="21"/>
              </w:rPr>
            </w:pPr>
            <w:r>
              <w:rPr>
                <w:b/>
                <w:bCs/>
                <w:sz w:val="21"/>
                <w:szCs w:val="21"/>
              </w:rPr>
              <w:t xml:space="preserve">2.4</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保险保障+风控服务方案</w:t>
            </w:r>
            <w:r/>
          </w:p>
        </w:tc>
        <w:tc>
          <w:tcPr>
            <w:tcMar>
              <w:left w:w="108" w:type="dxa"/>
              <w:top w:w="0" w:type="dxa"/>
              <w:right w:w="108" w:type="dxa"/>
              <w:bottom w:w="0" w:type="dxa"/>
            </w:tcMar>
            <w:tcW w:w="4267" w:type="dxa"/>
            <w:vAlign w:val="center"/>
            <w:textDirection w:val="lrTb"/>
            <w:noWrap/>
          </w:tcPr>
          <w:p>
            <w:pPr>
              <w:jc w:val="left"/>
              <w:rPr>
                <w:sz w:val="21"/>
                <w:szCs w:val="21"/>
              </w:rPr>
            </w:pPr>
            <w:r>
              <w:rPr>
                <w:sz w:val="21"/>
                <w:szCs w:val="21"/>
              </w:rPr>
              <w:t xml:space="preserve">保险保障+风控服务方案制定：</w:t>
            </w:r>
            <w:r/>
          </w:p>
          <w:p>
            <w:pPr>
              <w:jc w:val="left"/>
              <w:rPr>
                <w:sz w:val="21"/>
                <w:szCs w:val="21"/>
              </w:rPr>
            </w:pPr>
            <w:r>
              <w:rPr>
                <w:sz w:val="21"/>
                <w:szCs w:val="21"/>
              </w:rPr>
              <w:t xml:space="preserve">方案需贴合本项目实际需求，杜绝通用模板、套用无效内容，全面响应项目保险保障、风险防控、隐患治理、系统服务等全流程服务要求。方案应涵盖以下几方面：1、风控服务投入人员：至少3人，其中2人必须为驻场人员（其中1人驻场服务中医院、儿童医院、七院；1人驻场服务一院、妇保院）；2、每季度至少组织一次到2个以上临床科室开展案例宣讲（具体实施根据采购人要求）；3、组织外院专家开展医疗纠纷内部评估；4、根据医院现有的风险防控信息手段，协助医院开展信息化医疗风险防控工作。</w:t>
            </w:r>
            <w:r/>
          </w:p>
          <w:p>
            <w:pPr>
              <w:jc w:val="left"/>
              <w:widowControl/>
              <w:rPr>
                <w:sz w:val="21"/>
                <w:szCs w:val="21"/>
              </w:rPr>
            </w:pPr>
            <w:r>
              <w:rPr>
                <w:sz w:val="21"/>
                <w:szCs w:val="21"/>
              </w:rPr>
              <w:t xml:space="preserve">1）方案符合采购需求、设计合理、可操作性强的，得8分；</w:t>
            </w:r>
            <w:r/>
          </w:p>
          <w:p>
            <w:pPr>
              <w:jc w:val="left"/>
              <w:widowControl/>
              <w:rPr>
                <w:sz w:val="21"/>
                <w:szCs w:val="21"/>
              </w:rPr>
            </w:pPr>
            <w:r>
              <w:rPr>
                <w:sz w:val="21"/>
                <w:szCs w:val="21"/>
              </w:rPr>
              <w:t xml:space="preserve">2）方案较符合采购需求、设计较合理、有一定可操作性的，得6分；</w:t>
            </w:r>
            <w:r/>
          </w:p>
          <w:p>
            <w:pPr>
              <w:jc w:val="left"/>
              <w:widowControl/>
              <w:rPr>
                <w:sz w:val="21"/>
                <w:szCs w:val="21"/>
              </w:rPr>
            </w:pPr>
            <w:r>
              <w:rPr>
                <w:sz w:val="21"/>
                <w:szCs w:val="21"/>
              </w:rPr>
              <w:t xml:space="preserve">3）方案与采购需求有差异、设计不尽合理、可操作性一般的，得4分；</w:t>
            </w:r>
            <w:r/>
          </w:p>
          <w:p>
            <w:pPr>
              <w:jc w:val="left"/>
              <w:widowControl/>
              <w:rPr>
                <w:sz w:val="21"/>
                <w:szCs w:val="21"/>
              </w:rPr>
            </w:pPr>
            <w:r>
              <w:rPr>
                <w:sz w:val="21"/>
                <w:szCs w:val="21"/>
              </w:rPr>
              <w:t xml:space="preserve">4) 未提供方案的不得分。</w:t>
            </w:r>
            <w:r/>
          </w:p>
          <w:p>
            <w:pPr>
              <w:jc w:val="left"/>
              <w:widowControl/>
              <w:rPr>
                <w:b/>
                <w:bCs/>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841"/>
        </w:trPr>
        <w:tc>
          <w:tcPr>
            <w:tcW w:w="576" w:type="dxa"/>
            <w:vAlign w:val="center"/>
            <w:textDirection w:val="lrTb"/>
            <w:noWrap/>
          </w:tcPr>
          <w:p>
            <w:pPr>
              <w:jc w:val="center"/>
              <w:widowControl/>
              <w:rPr>
                <w:b/>
                <w:bCs/>
                <w:sz w:val="21"/>
                <w:szCs w:val="21"/>
              </w:rPr>
            </w:pPr>
            <w:r>
              <w:rPr>
                <w:b/>
                <w:bCs/>
                <w:sz w:val="21"/>
                <w:szCs w:val="21"/>
              </w:rPr>
              <w:t xml:space="preserve">2.5</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重大、疑难案件服务方案</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投标人根据自身对项目的理解设计重大、疑难案件服务方案（重大、疑难案件指赔偿金额30万以上或在媒体、人群等公众舆论面等播撒或责任界定困难的案件）。</w:t>
            </w:r>
            <w:r/>
          </w:p>
          <w:p>
            <w:pPr>
              <w:jc w:val="left"/>
              <w:widowControl/>
              <w:rPr>
                <w:sz w:val="21"/>
                <w:szCs w:val="21"/>
              </w:rPr>
            </w:pPr>
            <w:r>
              <w:rPr>
                <w:sz w:val="21"/>
                <w:szCs w:val="21"/>
              </w:rPr>
              <w:t xml:space="preserve">1）服务方案针对性、完善性、科学性、可行性强的，得8分；                                        2）方案完善性、科学性、可行性一般的，得6分；</w:t>
            </w:r>
            <w:r/>
          </w:p>
          <w:p>
            <w:pPr>
              <w:jc w:val="left"/>
              <w:widowControl/>
              <w:rPr>
                <w:sz w:val="21"/>
                <w:szCs w:val="21"/>
              </w:rPr>
            </w:pPr>
            <w:r>
              <w:rPr>
                <w:sz w:val="21"/>
                <w:szCs w:val="21"/>
              </w:rPr>
              <w:t xml:space="preserve">3）方案不完整、针对性、科学性、可行性欠缺的，得4分；</w:t>
            </w:r>
            <w:r/>
          </w:p>
          <w:p>
            <w:pPr>
              <w:jc w:val="left"/>
              <w:widowControl/>
              <w:rPr>
                <w:sz w:val="21"/>
                <w:szCs w:val="21"/>
              </w:rPr>
            </w:pPr>
            <w:r>
              <w:rPr>
                <w:sz w:val="21"/>
                <w:szCs w:val="21"/>
              </w:rPr>
              <w:t xml:space="preserve">4)未提供方案的不得分。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color w:val="0d1e0f"/>
                <w:sz w:val="21"/>
                <w:szCs w:val="21"/>
              </w:rPr>
            </w:pPr>
            <w:r>
              <w:rPr>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2.6</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配合监督管理方案</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配合监督管理方案制定：</w:t>
            </w:r>
            <w:r/>
          </w:p>
          <w:p>
            <w:pPr>
              <w:jc w:val="left"/>
              <w:widowControl/>
              <w:rPr>
                <w:sz w:val="21"/>
                <w:szCs w:val="21"/>
              </w:rPr>
            </w:pPr>
            <w:r>
              <w:rPr>
                <w:sz w:val="21"/>
                <w:szCs w:val="21"/>
              </w:rPr>
              <w:t xml:space="preserve">内容包括但不限于：1.配合采购人、做好各项日常监督管理；2.向采购人提供本项目各类数据，包括但不仅限于接报案明细、查勘、理赔、结案明细表，每月提供案件汇总、支付凭证；3.每年配合采购人进行绩效考评等内容。</w:t>
            </w:r>
            <w:r/>
          </w:p>
          <w:p>
            <w:pPr>
              <w:jc w:val="left"/>
              <w:widowControl/>
              <w:rPr>
                <w:sz w:val="21"/>
                <w:szCs w:val="21"/>
              </w:rPr>
            </w:pPr>
            <w:r>
              <w:rPr>
                <w:sz w:val="21"/>
                <w:szCs w:val="21"/>
              </w:rPr>
              <w:t xml:space="preserve">1）方案符合采购需求、设计合理、可操作性强的，得5分；</w:t>
            </w:r>
            <w:r/>
          </w:p>
          <w:p>
            <w:pPr>
              <w:jc w:val="left"/>
              <w:widowControl/>
              <w:rPr>
                <w:sz w:val="21"/>
                <w:szCs w:val="21"/>
              </w:rPr>
            </w:pPr>
            <w:r>
              <w:rPr>
                <w:sz w:val="21"/>
                <w:szCs w:val="21"/>
              </w:rPr>
              <w:t xml:space="preserve">2）方案较符合采购需求、设计较合理、有一定可操作性的，得3分；</w:t>
            </w:r>
            <w:r/>
          </w:p>
          <w:p>
            <w:pPr>
              <w:jc w:val="left"/>
              <w:widowControl/>
              <w:rPr>
                <w:sz w:val="21"/>
                <w:szCs w:val="21"/>
              </w:rPr>
            </w:pPr>
            <w:r>
              <w:rPr>
                <w:sz w:val="21"/>
                <w:szCs w:val="21"/>
              </w:rPr>
              <w:t xml:space="preserve">3）方案与采购需求有差异、设计不尽合理、可操作性一般的，得1分；</w:t>
            </w:r>
            <w:r/>
          </w:p>
          <w:p>
            <w:pPr>
              <w:jc w:val="left"/>
              <w:widowControl/>
              <w:rPr>
                <w:sz w:val="21"/>
                <w:szCs w:val="21"/>
              </w:rPr>
            </w:pPr>
            <w:r>
              <w:rPr>
                <w:sz w:val="21"/>
                <w:szCs w:val="21"/>
              </w:rPr>
              <w:t xml:space="preserve">4）未提供方案的不得分。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color w:val="0d1e0f"/>
                <w:sz w:val="21"/>
                <w:szCs w:val="21"/>
              </w:rPr>
            </w:pPr>
            <w:r>
              <w:rPr>
                <w:sz w:val="21"/>
                <w:szCs w:val="21"/>
              </w:rPr>
              <w:t xml:space="preserve">5</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2.7</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合同履约</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根据《江苏省政府采购信用管理暂行办法》（苏财规〔2018〕18号）</w:t>
            </w:r>
            <w:r>
              <w:rPr>
                <w:rFonts w:hint="eastAsia"/>
                <w:sz w:val="21"/>
                <w:szCs w:val="21"/>
              </w:rPr>
              <w:t xml:space="preserve">“</w:t>
            </w:r>
            <w:r>
              <w:rPr>
                <w:sz w:val="21"/>
                <w:szCs w:val="21"/>
              </w:rPr>
              <w:t xml:space="preserve">第六条 供应商有下列情形之一的，属于严重失信行为：（二）14．拒绝履行合同义务</w:t>
            </w:r>
            <w:r>
              <w:rPr>
                <w:rFonts w:hint="eastAsia"/>
                <w:sz w:val="21"/>
                <w:szCs w:val="21"/>
              </w:rPr>
              <w:t xml:space="preserve">；</w:t>
            </w:r>
            <w:r>
              <w:rPr>
                <w:sz w:val="21"/>
                <w:szCs w:val="21"/>
              </w:rPr>
              <w:t xml:space="preserve">第九条 供应商有下列情形之一的，属于一般失信行为：（二）5．不按照合同规定履行合同义务，存在延迟交付、不完全履约、偷工减料等情形</w:t>
            </w:r>
            <w:r>
              <w:rPr>
                <w:rFonts w:hint="eastAsia"/>
                <w:sz w:val="21"/>
                <w:szCs w:val="21"/>
              </w:rPr>
              <w:t xml:space="preserve">”</w:t>
            </w:r>
            <w:r>
              <w:rPr>
                <w:sz w:val="21"/>
                <w:szCs w:val="21"/>
              </w:rPr>
              <w:t xml:space="preserve">和政府采购法及其实施条例、财政部信用查询相关规定，结合本保险项目的特殊情况，对诚信履约主要包括但不限于如何做到应赔尽赔，发生拖赔惜赔等违约情况后的处罚措施，进行全面阐述并做相关承诺的得5分，阐述或承诺较全面的得3分，阐述或承诺不全面的得1分，未阐述和承诺的不得分。</w:t>
            </w:r>
            <w:r/>
          </w:p>
          <w:p>
            <w:pPr>
              <w:jc w:val="left"/>
              <w:widowControl/>
              <w:rPr>
                <w:sz w:val="21"/>
                <w:szCs w:val="21"/>
              </w:rPr>
            </w:pPr>
            <w:r>
              <w:rPr>
                <w:b/>
                <w:bCs/>
                <w:sz w:val="21"/>
                <w:szCs w:val="21"/>
              </w:rPr>
              <w:t xml:space="preserve">本项需提供相关方案。</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sz w:val="21"/>
                <w:szCs w:val="21"/>
              </w:rPr>
              <w:t xml:space="preserve">5</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否</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3</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商务分</w:t>
            </w:r>
            <w:r/>
          </w:p>
          <w:p>
            <w:pPr>
              <w:jc w:val="center"/>
              <w:widowControl/>
              <w:rPr>
                <w:b/>
                <w:bCs/>
                <w:sz w:val="21"/>
                <w:szCs w:val="21"/>
              </w:rPr>
            </w:pPr>
            <w:r>
              <w:rPr>
                <w:b/>
                <w:bCs/>
                <w:sz w:val="21"/>
                <w:szCs w:val="21"/>
              </w:rPr>
              <w:t xml:space="preserve">（客观分）</w:t>
            </w:r>
            <w:r/>
          </w:p>
        </w:tc>
        <w:tc>
          <w:tcPr>
            <w:tcMar>
              <w:left w:w="108" w:type="dxa"/>
              <w:top w:w="0" w:type="dxa"/>
              <w:right w:w="108" w:type="dxa"/>
              <w:bottom w:w="0" w:type="dxa"/>
            </w:tcMar>
            <w:tcW w:w="4267" w:type="dxa"/>
            <w:vAlign w:val="center"/>
            <w:textDirection w:val="lrTb"/>
            <w:noWrap/>
          </w:tcPr>
          <w:p>
            <w:pPr>
              <w:jc w:val="left"/>
              <w:widowControl/>
              <w:rPr>
                <w:b/>
                <w:bCs/>
                <w:sz w:val="21"/>
                <w:szCs w:val="21"/>
              </w:rPr>
            </w:pPr>
            <w:r>
              <w:rPr>
                <w:b/>
                <w:bCs/>
                <w:sz w:val="21"/>
                <w:szCs w:val="21"/>
              </w:rPr>
            </w:r>
            <w:r/>
          </w:p>
        </w:tc>
        <w:tc>
          <w:tcPr>
            <w:tcW w:w="567" w:type="dxa"/>
            <w:vAlign w:val="center"/>
            <w:textDirection w:val="lrTb"/>
            <w:noWrap/>
          </w:tcPr>
          <w:p>
            <w:pPr>
              <w:jc w:val="center"/>
              <w:widowControl/>
              <w:rPr>
                <w:b/>
                <w:bCs/>
                <w:sz w:val="21"/>
                <w:szCs w:val="21"/>
              </w:rPr>
            </w:pPr>
            <w:r>
              <w:rPr>
                <w:b/>
                <w:bCs/>
                <w:sz w:val="21"/>
                <w:szCs w:val="21"/>
              </w:rPr>
              <w:t xml:space="preserve">0</w:t>
            </w:r>
            <w:r/>
          </w:p>
        </w:tc>
        <w:tc>
          <w:tcPr>
            <w:tcW w:w="567" w:type="dxa"/>
            <w:vAlign w:val="center"/>
            <w:textDirection w:val="lrTb"/>
            <w:noWrap/>
          </w:tcPr>
          <w:p>
            <w:pPr>
              <w:jc w:val="center"/>
              <w:widowControl/>
              <w:rPr>
                <w:b/>
                <w:bCs/>
                <w:sz w:val="21"/>
                <w:szCs w:val="21"/>
              </w:rPr>
            </w:pPr>
            <w:r>
              <w:rPr>
                <w:b/>
                <w:bCs/>
                <w:sz w:val="21"/>
                <w:szCs w:val="21"/>
              </w:rPr>
              <w:t xml:space="preserve">40</w:t>
            </w:r>
            <w:r/>
          </w:p>
        </w:tc>
        <w:tc>
          <w:tcPr>
            <w:tcW w:w="853" w:type="dxa"/>
            <w:vAlign w:val="center"/>
            <w:textDirection w:val="lrTb"/>
            <w:noWrap/>
          </w:tcPr>
          <w:p>
            <w:pPr>
              <w:jc w:val="center"/>
              <w:widowControl/>
              <w:rPr>
                <w:b/>
                <w:bCs/>
                <w:sz w:val="21"/>
                <w:szCs w:val="21"/>
              </w:rPr>
            </w:pPr>
            <w:r>
              <w:rPr>
                <w:b/>
                <w:bCs/>
                <w:sz w:val="21"/>
                <w:szCs w:val="21"/>
              </w:rPr>
              <w:t xml:space="preserve">否</w:t>
            </w:r>
            <w:r/>
          </w:p>
        </w:tc>
        <w:tc>
          <w:tcPr>
            <w:tcW w:w="806" w:type="dxa"/>
            <w:vAlign w:val="center"/>
            <w:textDirection w:val="lrTb"/>
            <w:noWrap/>
          </w:tcPr>
          <w:p>
            <w:pPr>
              <w:jc w:val="center"/>
              <w:widowControl/>
              <w:rPr>
                <w:b/>
                <w:bCs/>
                <w:sz w:val="21"/>
                <w:szCs w:val="21"/>
              </w:rPr>
            </w:pPr>
            <w:r>
              <w:rPr>
                <w:b/>
                <w:bCs/>
                <w:sz w:val="21"/>
                <w:szCs w:val="21"/>
              </w:rPr>
              <w:t xml:space="preserve">是</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3.1</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体系认证</w:t>
            </w:r>
            <w:r/>
          </w:p>
        </w:tc>
        <w:tc>
          <w:tcPr>
            <w:tcMar>
              <w:left w:w="108" w:type="dxa"/>
              <w:top w:w="0" w:type="dxa"/>
              <w:right w:w="108" w:type="dxa"/>
              <w:bottom w:w="0" w:type="dxa"/>
            </w:tcMar>
            <w:tcW w:w="4267" w:type="dxa"/>
            <w:vAlign w:val="center"/>
            <w:textDirection w:val="lrTb"/>
            <w:noWrap/>
          </w:tcPr>
          <w:p>
            <w:pPr>
              <w:jc w:val="left"/>
              <w:widowControl/>
              <w:rPr>
                <w:bCs/>
                <w:sz w:val="21"/>
                <w:szCs w:val="21"/>
              </w:rPr>
            </w:pPr>
            <w:r>
              <w:rPr>
                <w:bCs/>
                <w:sz w:val="21"/>
                <w:szCs w:val="21"/>
              </w:rPr>
              <w:t xml:space="preserve">投标人总公司具有有效的质量管理体系、职业健康安全管理体系、环境管理体系、信息安全管理体系认证证书的，每提供一项证书得</w:t>
            </w:r>
            <w:r>
              <w:rPr>
                <w:rFonts w:hint="eastAsia"/>
                <w:bCs/>
                <w:sz w:val="21"/>
                <w:szCs w:val="21"/>
              </w:rPr>
              <w:t xml:space="preserve">2</w:t>
            </w:r>
            <w:r>
              <w:rPr>
                <w:bCs/>
                <w:sz w:val="21"/>
                <w:szCs w:val="21"/>
              </w:rPr>
              <w:t xml:space="preserve">分，最高得</w:t>
            </w:r>
            <w:r>
              <w:rPr>
                <w:rFonts w:hint="eastAsia"/>
                <w:bCs/>
                <w:sz w:val="21"/>
                <w:szCs w:val="21"/>
              </w:rPr>
              <w:t xml:space="preserve">8</w:t>
            </w:r>
            <w:r>
              <w:rPr>
                <w:bCs/>
                <w:sz w:val="21"/>
                <w:szCs w:val="21"/>
              </w:rPr>
              <w:t xml:space="preserve">分。</w:t>
            </w:r>
            <w:r/>
          </w:p>
          <w:p>
            <w:pPr>
              <w:jc w:val="left"/>
              <w:widowControl/>
              <w:rPr>
                <w:rFonts w:hint="default"/>
                <w:bCs/>
                <w:sz w:val="21"/>
                <w:szCs w:val="21"/>
                <w:lang w:val="en-US"/>
              </w:rPr>
            </w:pPr>
            <w:r>
              <w:rPr>
                <w:b/>
                <w:bCs/>
                <w:sz w:val="21"/>
                <w:szCs w:val="21"/>
              </w:rPr>
              <w:t xml:space="preserve">本项需提供</w:t>
            </w:r>
            <w:r>
              <w:rPr>
                <w:rFonts w:hint="eastAsia"/>
                <w:b/>
                <w:bCs/>
                <w:sz w:val="21"/>
                <w:szCs w:val="21"/>
                <w:lang w:val="en-US" w:eastAsia="zh-CN"/>
              </w:rPr>
              <w:t xml:space="preserve">证书扫描件。</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rFonts w:hint="eastAsia"/>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是</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3.2</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风险综合评级</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投标人总公司风险评级：</w:t>
            </w:r>
            <w:r/>
          </w:p>
          <w:p>
            <w:pPr>
              <w:jc w:val="left"/>
              <w:widowControl/>
              <w:rPr>
                <w:sz w:val="21"/>
                <w:szCs w:val="21"/>
              </w:rPr>
            </w:pPr>
            <w:r>
              <w:rPr>
                <w:sz w:val="21"/>
                <w:szCs w:val="21"/>
              </w:rPr>
              <w:t xml:space="preserve">根据各投标人总公司2025年第四季度偿付能力报告中风险综合评级进行评分：风险综合评级达到A类得</w:t>
            </w:r>
            <w:r>
              <w:rPr>
                <w:rFonts w:hint="eastAsia"/>
                <w:sz w:val="21"/>
                <w:szCs w:val="21"/>
              </w:rPr>
              <w:t xml:space="preserve">8</w:t>
            </w:r>
            <w:r>
              <w:rPr>
                <w:sz w:val="21"/>
                <w:szCs w:val="21"/>
              </w:rPr>
              <w:t xml:space="preserve">分，B类得</w:t>
            </w:r>
            <w:r>
              <w:rPr>
                <w:rFonts w:hint="eastAsia"/>
                <w:sz w:val="21"/>
                <w:szCs w:val="21"/>
              </w:rPr>
              <w:t xml:space="preserve">6</w:t>
            </w:r>
            <w:r>
              <w:rPr>
                <w:sz w:val="21"/>
                <w:szCs w:val="21"/>
              </w:rPr>
              <w:t xml:space="preserve">分，C类得</w:t>
            </w:r>
            <w:r>
              <w:rPr>
                <w:rFonts w:hint="eastAsia"/>
                <w:sz w:val="21"/>
                <w:szCs w:val="21"/>
              </w:rPr>
              <w:t xml:space="preserve">4</w:t>
            </w:r>
            <w:r>
              <w:rPr>
                <w:sz w:val="21"/>
                <w:szCs w:val="21"/>
              </w:rPr>
              <w:t xml:space="preserve">分，C类以下不得分。</w:t>
            </w:r>
            <w:r/>
          </w:p>
          <w:p>
            <w:pPr>
              <w:jc w:val="left"/>
              <w:widowControl/>
              <w:rPr>
                <w:sz w:val="21"/>
                <w:szCs w:val="21"/>
              </w:rPr>
            </w:pPr>
            <w:r>
              <w:rPr>
                <w:b/>
                <w:bCs/>
                <w:sz w:val="21"/>
                <w:szCs w:val="21"/>
              </w:rPr>
              <w:t xml:space="preserve">本项需提供中国保险行业协会官网信息披露栏中2025年第四季度偿付能力季度报告摘要扫描件或复印件。</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rFonts w:hint="eastAsia"/>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是</w:t>
            </w:r>
            <w:r/>
          </w:p>
        </w:tc>
      </w:tr>
      <w:tr>
        <w:trPr>
          <w:jc w:val="center"/>
          <w:trHeight w:val="459"/>
        </w:trPr>
        <w:tc>
          <w:tcPr>
            <w:tcW w:w="576" w:type="dxa"/>
            <w:vAlign w:val="center"/>
            <w:textDirection w:val="lrTb"/>
            <w:noWrap/>
          </w:tcPr>
          <w:p>
            <w:pPr>
              <w:jc w:val="center"/>
              <w:widowControl/>
              <w:rPr>
                <w:b/>
                <w:bCs/>
                <w:sz w:val="21"/>
                <w:szCs w:val="21"/>
              </w:rPr>
            </w:pPr>
            <w:r>
              <w:rPr>
                <w:b/>
                <w:bCs/>
                <w:sz w:val="21"/>
                <w:szCs w:val="21"/>
              </w:rPr>
              <w:t xml:space="preserve">3.</w:t>
            </w:r>
            <w:r>
              <w:rPr>
                <w:rFonts w:hint="eastAsia"/>
                <w:b/>
                <w:bCs/>
                <w:sz w:val="21"/>
                <w:szCs w:val="21"/>
              </w:rPr>
              <w:t xml:space="preserve">3</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投标人或其当地的分支机构2023年1月1日以来类似险种的承保经验</w:t>
            </w:r>
            <w:r/>
          </w:p>
        </w:tc>
        <w:tc>
          <w:tcPr>
            <w:tcMar>
              <w:left w:w="108" w:type="dxa"/>
              <w:top w:w="0" w:type="dxa"/>
              <w:right w:w="108" w:type="dxa"/>
              <w:bottom w:w="0" w:type="dxa"/>
            </w:tcMar>
            <w:tcW w:w="4267" w:type="dxa"/>
            <w:vAlign w:val="center"/>
            <w:textDirection w:val="lrTb"/>
            <w:noWrap/>
          </w:tcPr>
          <w:p>
            <w:pPr>
              <w:jc w:val="left"/>
              <w:widowControl/>
              <w:rPr>
                <w:sz w:val="21"/>
                <w:szCs w:val="21"/>
              </w:rPr>
            </w:pPr>
            <w:r>
              <w:rPr>
                <w:sz w:val="21"/>
                <w:szCs w:val="21"/>
              </w:rPr>
              <w:t xml:space="preserve">1）有财产综合险业务的，每有一单得1分，最高得2分；</w:t>
            </w:r>
            <w:r/>
          </w:p>
          <w:p>
            <w:pPr>
              <w:jc w:val="left"/>
              <w:widowControl/>
              <w:rPr>
                <w:sz w:val="21"/>
                <w:szCs w:val="21"/>
              </w:rPr>
            </w:pPr>
            <w:r>
              <w:rPr>
                <w:sz w:val="21"/>
                <w:szCs w:val="21"/>
              </w:rPr>
              <w:t xml:space="preserve">2）有机器损坏险业务的，每有一单得1分，最高得2分；</w:t>
            </w:r>
            <w:r/>
          </w:p>
          <w:p>
            <w:pPr>
              <w:jc w:val="left"/>
              <w:widowControl/>
              <w:rPr>
                <w:sz w:val="21"/>
                <w:szCs w:val="21"/>
              </w:rPr>
            </w:pPr>
            <w:r>
              <w:rPr>
                <w:sz w:val="21"/>
                <w:szCs w:val="21"/>
              </w:rPr>
              <w:t xml:space="preserve">3）有医疗责任保险业务的，每有一单得2分，最高得6分；</w:t>
            </w:r>
            <w:r/>
          </w:p>
          <w:p>
            <w:pPr>
              <w:jc w:val="left"/>
              <w:widowControl/>
              <w:rPr>
                <w:sz w:val="21"/>
                <w:szCs w:val="21"/>
              </w:rPr>
            </w:pPr>
            <w:r>
              <w:rPr>
                <w:sz w:val="21"/>
                <w:szCs w:val="21"/>
              </w:rPr>
              <w:t xml:space="preserve">本项最高得10分。</w:t>
            </w:r>
            <w:r/>
          </w:p>
          <w:p>
            <w:pPr>
              <w:jc w:val="left"/>
              <w:widowControl/>
              <w:rPr>
                <w:sz w:val="21"/>
                <w:szCs w:val="21"/>
              </w:rPr>
            </w:pPr>
            <w:r>
              <w:rPr>
                <w:b/>
                <w:bCs/>
                <w:sz w:val="21"/>
                <w:szCs w:val="21"/>
              </w:rPr>
              <w:t xml:space="preserve">本项需提供2023年1月1日以来的保险合同或保单的扫描件。</w:t>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color w:val="0d1e0f"/>
                <w:sz w:val="21"/>
                <w:szCs w:val="21"/>
              </w:rPr>
            </w:pPr>
            <w:r>
              <w:rPr>
                <w:sz w:val="21"/>
                <w:szCs w:val="21"/>
              </w:rPr>
              <w:t xml:space="preserve">10</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是</w:t>
            </w:r>
            <w:r/>
          </w:p>
        </w:tc>
      </w:tr>
      <w:tr>
        <w:trPr>
          <w:jc w:val="center"/>
          <w:trHeight w:val="482"/>
        </w:trPr>
        <w:tc>
          <w:tcPr>
            <w:tcW w:w="576" w:type="dxa"/>
            <w:vAlign w:val="center"/>
            <w:textDirection w:val="lrTb"/>
            <w:noWrap/>
          </w:tcPr>
          <w:p>
            <w:pPr>
              <w:jc w:val="center"/>
              <w:widowControl/>
              <w:rPr>
                <w:b/>
                <w:bCs/>
                <w:sz w:val="21"/>
                <w:szCs w:val="21"/>
              </w:rPr>
            </w:pPr>
            <w:r>
              <w:rPr>
                <w:b/>
                <w:bCs/>
                <w:sz w:val="21"/>
                <w:szCs w:val="21"/>
              </w:rPr>
              <w:t xml:space="preserve">3.</w:t>
            </w:r>
            <w:r>
              <w:rPr>
                <w:rFonts w:hint="eastAsia"/>
                <w:b/>
                <w:bCs/>
                <w:sz w:val="21"/>
                <w:szCs w:val="21"/>
              </w:rPr>
              <w:t xml:space="preserve">4</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投标人或其当地分支机构2023年1月1日以来机关事业单位项目承保经验</w:t>
            </w:r>
            <w:r/>
          </w:p>
        </w:tc>
        <w:tc>
          <w:tcPr>
            <w:tcMar>
              <w:left w:w="108" w:type="dxa"/>
              <w:top w:w="0" w:type="dxa"/>
              <w:right w:w="108" w:type="dxa"/>
              <w:bottom w:w="0" w:type="dxa"/>
            </w:tcMar>
            <w:tcW w:w="4267" w:type="dxa"/>
            <w:vAlign w:val="center"/>
            <w:textDirection w:val="lrTb"/>
            <w:noWrap/>
          </w:tcPr>
          <w:p>
            <w:pPr>
              <w:jc w:val="left"/>
              <w:widowControl/>
              <w:rPr>
                <w:sz w:val="21"/>
                <w:szCs w:val="21"/>
              </w:rPr>
            </w:pPr>
            <w:r/>
            <w:bookmarkStart w:id="210" w:name="OLE_LINK35"/>
            <w:r/>
            <w:bookmarkStart w:id="211" w:name="OLE_LINK34"/>
            <w:r>
              <w:rPr>
                <w:sz w:val="21"/>
                <w:szCs w:val="21"/>
              </w:rPr>
              <w:t xml:space="preserve">2023年1月1日以来机关事业单位项目承保经验，独家承保的，每有一项得2分；与其他保险公司合作承保的，每有一项得1分；本项最高得</w:t>
            </w:r>
            <w:r>
              <w:rPr>
                <w:rFonts w:hint="eastAsia"/>
                <w:sz w:val="21"/>
                <w:szCs w:val="21"/>
              </w:rPr>
              <w:t xml:space="preserve">8</w:t>
            </w:r>
            <w:r>
              <w:rPr>
                <w:sz w:val="21"/>
                <w:szCs w:val="21"/>
              </w:rPr>
              <w:t xml:space="preserve">分。此项目不得与上一条“类似险种的承保经验”重复。</w:t>
            </w:r>
            <w:r/>
          </w:p>
          <w:p>
            <w:pPr>
              <w:jc w:val="left"/>
              <w:widowControl/>
              <w:rPr>
                <w:sz w:val="21"/>
                <w:szCs w:val="21"/>
              </w:rPr>
            </w:pPr>
            <w:r>
              <w:rPr>
                <w:b/>
                <w:bCs/>
                <w:sz w:val="21"/>
                <w:szCs w:val="21"/>
              </w:rPr>
              <w:t xml:space="preserve">本项需提供的评审材料：采购合同或保险单扫描件（同一项目不同年度算一个业绩）。</w:t>
            </w:r>
            <w:bookmarkStart w:id="212" w:name="OLE_LINK44"/>
            <w:r/>
            <w:bookmarkStart w:id="213" w:name="OLE_LINK45"/>
            <w:r>
              <w:rPr>
                <w:b/>
                <w:bCs/>
                <w:sz w:val="21"/>
                <w:szCs w:val="21"/>
              </w:rPr>
              <w:t xml:space="preserve">同时，投标人应提供材料证明是独家承保还是合作承保〔如：中标（成交）公告的网页截图等〕，未提供该项材料者一律视为合作承保。</w:t>
            </w:r>
            <w:bookmarkEnd w:id="210"/>
            <w:r/>
            <w:bookmarkEnd w:id="211"/>
            <w:r/>
            <w:bookmarkEnd w:id="212"/>
            <w:r/>
            <w:bookmarkEnd w:id="213"/>
            <w:r/>
            <w:r/>
          </w:p>
        </w:tc>
        <w:tc>
          <w:tcPr>
            <w:tcW w:w="567" w:type="dxa"/>
            <w:vAlign w:val="center"/>
            <w:textDirection w:val="lrTb"/>
            <w:noWrap/>
          </w:tcPr>
          <w:p>
            <w:pPr>
              <w:jc w:val="center"/>
              <w:widowControl/>
              <w:rPr>
                <w:sz w:val="21"/>
                <w:szCs w:val="21"/>
              </w:rPr>
            </w:pPr>
            <w:r>
              <w:rPr>
                <w:sz w:val="21"/>
                <w:szCs w:val="21"/>
              </w:rPr>
              <w:t xml:space="preserve">0</w:t>
            </w:r>
            <w:r/>
          </w:p>
        </w:tc>
        <w:tc>
          <w:tcPr>
            <w:tcW w:w="567" w:type="dxa"/>
            <w:vAlign w:val="center"/>
            <w:textDirection w:val="lrTb"/>
            <w:noWrap/>
          </w:tcPr>
          <w:p>
            <w:pPr>
              <w:jc w:val="center"/>
              <w:widowControl/>
              <w:rPr>
                <w:sz w:val="21"/>
                <w:szCs w:val="21"/>
              </w:rPr>
            </w:pPr>
            <w:r>
              <w:rPr>
                <w:rFonts w:hint="eastAsia"/>
                <w:sz w:val="21"/>
                <w:szCs w:val="21"/>
              </w:rPr>
              <w:t xml:space="preserve">8</w:t>
            </w:r>
            <w:r/>
          </w:p>
        </w:tc>
        <w:tc>
          <w:tcPr>
            <w:tcW w:w="853" w:type="dxa"/>
            <w:vAlign w:val="center"/>
            <w:textDirection w:val="lrTb"/>
            <w:noWrap/>
          </w:tcPr>
          <w:p>
            <w:pPr>
              <w:jc w:val="center"/>
              <w:widowControl/>
              <w:rPr>
                <w:sz w:val="21"/>
                <w:szCs w:val="21"/>
              </w:rPr>
            </w:pPr>
            <w:r>
              <w:rPr>
                <w:b/>
                <w:bCs/>
                <w:sz w:val="21"/>
                <w:szCs w:val="21"/>
              </w:rPr>
              <w:t xml:space="preserve">否</w:t>
            </w:r>
            <w:r/>
          </w:p>
        </w:tc>
        <w:tc>
          <w:tcPr>
            <w:tcW w:w="806" w:type="dxa"/>
            <w:vAlign w:val="center"/>
            <w:textDirection w:val="lrTb"/>
            <w:noWrap/>
          </w:tcPr>
          <w:p>
            <w:pPr>
              <w:jc w:val="center"/>
              <w:widowControl/>
              <w:rPr>
                <w:sz w:val="21"/>
                <w:szCs w:val="21"/>
              </w:rPr>
            </w:pPr>
            <w:r>
              <w:rPr>
                <w:b/>
                <w:bCs/>
                <w:sz w:val="21"/>
                <w:szCs w:val="21"/>
              </w:rPr>
              <w:t xml:space="preserve">是</w:t>
            </w:r>
            <w:r/>
          </w:p>
        </w:tc>
      </w:tr>
      <w:tr>
        <w:trPr>
          <w:jc w:val="center"/>
          <w:trHeight w:val="102"/>
        </w:trPr>
        <w:tc>
          <w:tcPr>
            <w:tcW w:w="576" w:type="dxa"/>
            <w:vAlign w:val="center"/>
            <w:textDirection w:val="lrTb"/>
            <w:noWrap/>
          </w:tcPr>
          <w:p>
            <w:pPr>
              <w:jc w:val="center"/>
              <w:widowControl/>
              <w:rPr>
                <w:b/>
                <w:bCs/>
                <w:sz w:val="21"/>
                <w:szCs w:val="21"/>
              </w:rPr>
            </w:pPr>
            <w:r>
              <w:rPr>
                <w:b/>
                <w:bCs/>
                <w:sz w:val="21"/>
                <w:szCs w:val="21"/>
              </w:rPr>
              <w:t xml:space="preserve">3.</w:t>
            </w:r>
            <w:r>
              <w:rPr>
                <w:rFonts w:hint="eastAsia"/>
                <w:b/>
                <w:bCs/>
                <w:sz w:val="21"/>
                <w:szCs w:val="21"/>
              </w:rPr>
              <w:t xml:space="preserve">5</w:t>
            </w:r>
            <w:r/>
          </w:p>
        </w:tc>
        <w:tc>
          <w:tcPr>
            <w:tcMar>
              <w:left w:w="108" w:type="dxa"/>
              <w:top w:w="0" w:type="dxa"/>
              <w:right w:w="108" w:type="dxa"/>
              <w:bottom w:w="0" w:type="dxa"/>
            </w:tcMar>
            <w:tcW w:w="1420" w:type="dxa"/>
            <w:vAlign w:val="center"/>
            <w:textDirection w:val="lrTb"/>
            <w:noWrap/>
          </w:tcPr>
          <w:p>
            <w:pPr>
              <w:jc w:val="center"/>
              <w:widowControl/>
              <w:rPr>
                <w:b/>
                <w:bCs/>
                <w:sz w:val="21"/>
                <w:szCs w:val="21"/>
              </w:rPr>
            </w:pPr>
            <w:r>
              <w:rPr>
                <w:b/>
                <w:bCs/>
                <w:sz w:val="21"/>
                <w:szCs w:val="21"/>
              </w:rPr>
              <w:t xml:space="preserve">项目负责人</w:t>
            </w:r>
            <w:r/>
          </w:p>
        </w:tc>
        <w:tc>
          <w:tcPr>
            <w:tcMar>
              <w:left w:w="108" w:type="dxa"/>
              <w:top w:w="0" w:type="dxa"/>
              <w:right w:w="108" w:type="dxa"/>
              <w:bottom w:w="0" w:type="dxa"/>
            </w:tcMar>
            <w:tcW w:w="4267" w:type="dxa"/>
            <w:vAlign w:val="center"/>
            <w:textDirection w:val="lrTb"/>
            <w:noWrap/>
          </w:tcPr>
          <w:p>
            <w:pPr>
              <w:jc w:val="left"/>
              <w:widowControl/>
              <w:rPr>
                <w:sz w:val="21"/>
                <w:szCs w:val="21"/>
              </w:rPr>
              <w:pBdr>
                <w:top w:val="none" w:color="000000" w:sz="0" w:space="0"/>
                <w:left w:val="none" w:color="000000" w:sz="0" w:space="0"/>
                <w:bottom w:val="none" w:color="000000" w:sz="0" w:space="0"/>
                <w:right w:val="none" w:color="000000" w:sz="0" w:space="0"/>
              </w:pBdr>
            </w:pPr>
            <w:r>
              <w:rPr>
                <w:sz w:val="21"/>
                <w:szCs w:val="21"/>
              </w:rPr>
              <w:t xml:space="preserve">拟派项目负责人1人，50周岁以内，（须为投标单位正式职工）</w:t>
            </w:r>
            <w:r/>
          </w:p>
          <w:p>
            <w:pPr>
              <w:jc w:val="left"/>
              <w:widowControl/>
              <w:rPr>
                <w:sz w:val="21"/>
                <w:szCs w:val="21"/>
              </w:rPr>
              <w:pBdr>
                <w:top w:val="none" w:color="000000" w:sz="0" w:space="0"/>
                <w:left w:val="none" w:color="000000" w:sz="0" w:space="0"/>
                <w:bottom w:val="none" w:color="000000" w:sz="0" w:space="0"/>
                <w:right w:val="none" w:color="000000" w:sz="0" w:space="0"/>
              </w:pBdr>
            </w:pPr>
            <w:r>
              <w:rPr>
                <w:sz w:val="21"/>
                <w:szCs w:val="21"/>
              </w:rPr>
              <w:t xml:space="preserve">（1）具有本科或以上学历得2分；</w:t>
            </w:r>
            <w:r/>
          </w:p>
          <w:p>
            <w:pPr>
              <w:jc w:val="left"/>
              <w:widowControl/>
              <w:rPr>
                <w:sz w:val="21"/>
                <w:szCs w:val="21"/>
              </w:rPr>
              <w:pBdr>
                <w:top w:val="none" w:color="000000" w:sz="0" w:space="0"/>
                <w:left w:val="none" w:color="000000" w:sz="0" w:space="0"/>
                <w:bottom w:val="none" w:color="000000" w:sz="0" w:space="0"/>
                <w:right w:val="none" w:color="000000" w:sz="0" w:space="0"/>
              </w:pBdr>
            </w:pPr>
            <w:r>
              <w:rPr>
                <w:sz w:val="21"/>
                <w:szCs w:val="21"/>
              </w:rPr>
              <w:t xml:space="preserve">（2）具有中级及以上职称的得2分。</w:t>
            </w:r>
            <w:r/>
          </w:p>
          <w:p>
            <w:pPr>
              <w:jc w:val="left"/>
              <w:widowControl/>
              <w:rPr>
                <w:color w:val="000000"/>
                <w:sz w:val="21"/>
                <w:szCs w:val="21"/>
              </w:rPr>
              <w:pBdr>
                <w:top w:val="none" w:color="000000" w:sz="0" w:space="0"/>
                <w:left w:val="none" w:color="000000" w:sz="0" w:space="0"/>
                <w:bottom w:val="none" w:color="000000" w:sz="0" w:space="0"/>
                <w:right w:val="none" w:color="000000" w:sz="0" w:space="0"/>
              </w:pBdr>
            </w:pPr>
            <w:r>
              <w:rPr>
                <w:sz w:val="21"/>
                <w:szCs w:val="21"/>
              </w:rPr>
              <w:t xml:space="preserve">（3）具备5年（含）以上保险从业经历的得2分</w:t>
            </w:r>
            <w:r/>
          </w:p>
          <w:p>
            <w:pPr>
              <w:jc w:val="left"/>
              <w:widowControl/>
              <w:rPr>
                <w:b/>
                <w:bCs/>
                <w:sz w:val="21"/>
                <w:szCs w:val="21"/>
              </w:rPr>
            </w:pPr>
            <w:r>
              <w:rPr>
                <w:b/>
                <w:bCs/>
                <w:sz w:val="21"/>
                <w:szCs w:val="21"/>
              </w:rPr>
              <w:t xml:space="preserve">提供证书扫描件、加盖从业单位公章的保险从业经历证明材料扫描件，并提供投标人2026年</w:t>
            </w:r>
            <w:r>
              <w:rPr>
                <w:rFonts w:hint="eastAsia"/>
                <w:b/>
                <w:bCs/>
                <w:sz w:val="21"/>
                <w:szCs w:val="21"/>
              </w:rPr>
              <w:t xml:space="preserve">9</w:t>
            </w:r>
            <w:r>
              <w:rPr>
                <w:b/>
                <w:bCs/>
                <w:sz w:val="21"/>
                <w:szCs w:val="21"/>
              </w:rPr>
              <w:t xml:space="preserve">月为其缴纳的社保证明否则不得分。未按要求提供不得分。</w:t>
            </w:r>
            <w:r/>
          </w:p>
        </w:tc>
        <w:tc>
          <w:tcPr>
            <w:tcW w:w="567" w:type="dxa"/>
            <w:vAlign w:val="center"/>
            <w:textDirection w:val="lrTb"/>
            <w:noWrap/>
          </w:tcPr>
          <w:p>
            <w:pPr>
              <w:jc w:val="center"/>
              <w:widowControl/>
              <w:rPr>
                <w:b/>
                <w:bCs/>
                <w:sz w:val="21"/>
                <w:szCs w:val="21"/>
              </w:rPr>
            </w:pPr>
            <w:r>
              <w:rPr>
                <w:b/>
                <w:bCs/>
                <w:sz w:val="21"/>
                <w:szCs w:val="21"/>
              </w:rPr>
              <w:t xml:space="preserve">0</w:t>
            </w:r>
            <w:r/>
          </w:p>
        </w:tc>
        <w:tc>
          <w:tcPr>
            <w:tcW w:w="567" w:type="dxa"/>
            <w:vAlign w:val="center"/>
            <w:textDirection w:val="lrTb"/>
            <w:noWrap/>
          </w:tcPr>
          <w:p>
            <w:pPr>
              <w:jc w:val="center"/>
              <w:widowControl/>
              <w:rPr>
                <w:b/>
                <w:bCs/>
                <w:sz w:val="21"/>
                <w:szCs w:val="21"/>
              </w:rPr>
            </w:pPr>
            <w:r>
              <w:rPr>
                <w:b/>
                <w:bCs/>
                <w:sz w:val="21"/>
                <w:szCs w:val="21"/>
              </w:rPr>
              <w:t xml:space="preserve">6</w:t>
            </w:r>
            <w:r/>
          </w:p>
        </w:tc>
        <w:tc>
          <w:tcPr>
            <w:tcW w:w="853" w:type="dxa"/>
            <w:vAlign w:val="center"/>
            <w:textDirection w:val="lrTb"/>
            <w:noWrap/>
          </w:tcPr>
          <w:p>
            <w:pPr>
              <w:jc w:val="center"/>
              <w:widowControl/>
              <w:rPr>
                <w:b/>
                <w:bCs/>
                <w:sz w:val="21"/>
                <w:szCs w:val="21"/>
              </w:rPr>
            </w:pPr>
            <w:r>
              <w:rPr>
                <w:b/>
                <w:bCs/>
                <w:sz w:val="21"/>
                <w:szCs w:val="21"/>
              </w:rPr>
              <w:t xml:space="preserve">否</w:t>
            </w:r>
            <w:r/>
          </w:p>
        </w:tc>
        <w:tc>
          <w:tcPr>
            <w:tcW w:w="806" w:type="dxa"/>
            <w:vAlign w:val="center"/>
            <w:textDirection w:val="lrTb"/>
            <w:noWrap/>
          </w:tcPr>
          <w:p>
            <w:pPr>
              <w:jc w:val="center"/>
              <w:widowControl/>
              <w:rPr>
                <w:b/>
                <w:bCs/>
                <w:sz w:val="21"/>
                <w:szCs w:val="21"/>
              </w:rPr>
            </w:pPr>
            <w:r>
              <w:rPr>
                <w:b/>
                <w:bCs/>
                <w:sz w:val="21"/>
                <w:szCs w:val="21"/>
              </w:rPr>
              <w:t xml:space="preserve">是</w:t>
            </w:r>
            <w:r/>
          </w:p>
        </w:tc>
      </w:tr>
    </w:tbl>
    <w:p>
      <w:r/>
      <w:r/>
    </w:p>
    <w:p>
      <w:r/>
      <w:r/>
    </w:p>
    <w:p>
      <w:r/>
      <w:r/>
    </w:p>
    <w:p>
      <w:r>
        <w:br w:type="page" w:clear="all"/>
      </w:r>
      <w:r/>
    </w:p>
    <w:p>
      <w:pPr>
        <w:pStyle w:val="951"/>
        <w:rPr>
          <w:rFonts w:ascii="黑体" w:eastAsia="黑体"/>
          <w:bCs/>
          <w:sz w:val="44"/>
        </w:rPr>
      </w:pPr>
      <w:r/>
      <w:bookmarkStart w:id="214" w:name="_Toc173761694"/>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bookmarkEnd w:id="214"/>
      <w:r>
        <w:rPr>
          <w:rFonts w:hint="eastAsia" w:ascii="黑体" w:eastAsia="黑体"/>
          <w:bCs/>
          <w:sz w:val="44"/>
        </w:rPr>
        <w:t xml:space="preserve"> </w:t>
      </w:r>
      <w:r/>
    </w:p>
    <w:p>
      <w:pPr>
        <w:jc w:val="center"/>
        <w:rPr>
          <w:rFonts w:ascii="宋体" w:hAnsi="宋体"/>
          <w:b/>
          <w:sz w:val="72"/>
        </w:rPr>
      </w:pPr>
      <w:r/>
      <w:bookmarkStart w:id="215" w:name="_Hlt26671244"/>
      <w:r/>
      <w:bookmarkEnd w:id="215"/>
      <w:r/>
      <w:bookmarkStart w:id="216" w:name="_Hlt26955039"/>
      <w:r/>
      <w:bookmarkEnd w:id="216"/>
      <w:r/>
      <w:bookmarkStart w:id="217" w:name="_Toc26554094"/>
      <w:r/>
      <w:bookmarkStart w:id="218" w:name="_Toc49090576"/>
      <w:r/>
      <w:bookmarkStart w:id="219"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i/>
          <w:sz w:val="24"/>
          <w:u w:val="single"/>
        </w:rPr>
      </w:pPr>
      <w:r>
        <w:rPr>
          <w:i/>
          <w:sz w:val="24"/>
          <w:u w:val="single"/>
        </w:rPr>
        <w:t xml:space="preserve">一、投标人资格声明函</w:t>
      </w:r>
      <w:r/>
    </w:p>
    <w:p>
      <w:pPr>
        <w:ind w:firstLine="480"/>
        <w:spacing w:line="440" w:lineRule="exact"/>
        <w:rPr>
          <w:i/>
          <w:sz w:val="24"/>
          <w:u w:val="single"/>
        </w:rPr>
      </w:pPr>
      <w:r>
        <w:rPr>
          <w:i/>
          <w:sz w:val="24"/>
          <w:u w:val="single"/>
        </w:rPr>
        <w:t xml:space="preserve">二、特定资格要求的证明文件</w:t>
      </w:r>
      <w:r/>
    </w:p>
    <w:p>
      <w:pPr>
        <w:ind w:firstLine="480"/>
        <w:spacing w:line="440" w:lineRule="exact"/>
        <w:rPr>
          <w:i/>
          <w:sz w:val="24"/>
          <w:u w:val="single"/>
        </w:rPr>
      </w:pPr>
      <w:r>
        <w:rPr>
          <w:i/>
          <w:sz w:val="24"/>
          <w:u w:val="single"/>
        </w:rPr>
        <w:t xml:space="preserve">三、法人授权书</w:t>
      </w:r>
      <w:r/>
    </w:p>
    <w:p>
      <w:pPr>
        <w:ind w:firstLine="480"/>
        <w:spacing w:line="440" w:lineRule="exact"/>
        <w:rPr>
          <w:i/>
          <w:sz w:val="24"/>
          <w:u w:val="single"/>
        </w:rPr>
      </w:pPr>
      <w:r>
        <w:rPr>
          <w:i/>
          <w:sz w:val="24"/>
          <w:u w:val="single"/>
        </w:rPr>
        <w:t xml:space="preserve">四、投标函</w:t>
      </w:r>
      <w:r/>
    </w:p>
    <w:p>
      <w:pPr>
        <w:ind w:firstLine="480"/>
        <w:spacing w:line="440" w:lineRule="exact"/>
        <w:rPr>
          <w:sz w:val="24"/>
        </w:rPr>
      </w:pPr>
      <w:r>
        <w:rPr>
          <w:sz w:val="24"/>
        </w:rPr>
        <w:t xml:space="preserve">五、小微企业声明函</w:t>
      </w:r>
      <w:r/>
    </w:p>
    <w:p>
      <w:pPr>
        <w:ind w:firstLine="480"/>
        <w:spacing w:line="440" w:lineRule="exact"/>
        <w:rPr>
          <w:sz w:val="24"/>
        </w:rPr>
      </w:pPr>
      <w:r>
        <w:rPr>
          <w:sz w:val="24"/>
        </w:rPr>
        <w:t xml:space="preserve">六、残疾人福利性单位声明函或监狱企业证明</w:t>
      </w:r>
      <w:r/>
    </w:p>
    <w:p>
      <w:pPr>
        <w:ind w:firstLine="480"/>
        <w:spacing w:line="440" w:lineRule="exact"/>
        <w:rPr>
          <w:i/>
          <w:sz w:val="24"/>
          <w:u w:val="single"/>
        </w:rPr>
      </w:pPr>
      <w:r>
        <w:rPr>
          <w:i/>
          <w:sz w:val="24"/>
          <w:u w:val="single"/>
        </w:rPr>
        <w:t xml:space="preserve">七、投标分项报价表</w:t>
      </w:r>
      <w:r/>
    </w:p>
    <w:p>
      <w:pPr>
        <w:ind w:firstLine="480"/>
        <w:spacing w:line="440" w:lineRule="exact"/>
        <w:rPr>
          <w:sz w:val="24"/>
        </w:rPr>
      </w:pPr>
      <w:r>
        <w:rPr>
          <w:sz w:val="24"/>
        </w:rPr>
        <w:t xml:space="preserve">八、技术要求响应及偏离表</w:t>
      </w:r>
      <w:r/>
    </w:p>
    <w:p>
      <w:pPr>
        <w:ind w:firstLine="480"/>
        <w:spacing w:line="440" w:lineRule="exact"/>
        <w:rPr>
          <w:sz w:val="24"/>
        </w:rPr>
      </w:pPr>
      <w:r>
        <w:rPr>
          <w:sz w:val="24"/>
        </w:rPr>
        <w:t xml:space="preserve">九、商务要求响应及偏离表</w:t>
      </w:r>
      <w:r/>
    </w:p>
    <w:p>
      <w:pPr>
        <w:ind w:firstLine="480"/>
        <w:spacing w:line="440" w:lineRule="exact"/>
        <w:rPr>
          <w:i/>
          <w:sz w:val="24"/>
          <w:u w:val="single"/>
        </w:rPr>
      </w:pPr>
      <w:r>
        <w:rPr>
          <w:i/>
          <w:sz w:val="24"/>
          <w:u w:val="single"/>
        </w:rPr>
        <w:t xml:space="preserve">十、开标一览表</w:t>
      </w:r>
      <w:r/>
    </w:p>
    <w:p>
      <w:pPr>
        <w:ind w:firstLine="480"/>
        <w:spacing w:line="440" w:lineRule="exact"/>
        <w:rPr>
          <w:i/>
          <w:sz w:val="24"/>
          <w:u w:val="single"/>
        </w:rPr>
      </w:pPr>
      <w:r>
        <w:rPr>
          <w:i/>
          <w:iCs/>
          <w:sz w:val="24"/>
          <w:u w:val="single"/>
        </w:rPr>
        <w:t xml:space="preserve">十一、保险条款、费率报备手续说明（实质性格式）</w:t>
      </w:r>
      <w:r/>
    </w:p>
    <w:p>
      <w:pPr>
        <w:ind w:firstLine="480"/>
        <w:spacing w:line="440" w:lineRule="exact"/>
        <w:rPr>
          <w:i/>
          <w:iCs/>
          <w:sz w:val="24"/>
          <w:u w:val="single"/>
        </w:rPr>
      </w:pPr>
      <w:r>
        <w:rPr>
          <w:i/>
          <w:iCs/>
          <w:sz w:val="24"/>
          <w:u w:val="single"/>
        </w:rPr>
        <w:t xml:space="preserve">十二、同意接受对本项目保险责任起期的书面承诺（实质性格式）</w:t>
      </w:r>
      <w:r/>
    </w:p>
    <w:p>
      <w:pPr>
        <w:ind w:firstLine="480"/>
        <w:spacing w:line="440" w:lineRule="exact"/>
        <w:rPr>
          <w:i/>
          <w:iCs/>
          <w:sz w:val="24"/>
          <w:u w:val="single"/>
        </w:rPr>
      </w:pPr>
      <w:r>
        <w:rPr>
          <w:i/>
          <w:iCs/>
          <w:sz w:val="24"/>
          <w:u w:val="single"/>
        </w:rPr>
        <w:t xml:space="preserve">十三、不更换项目负责人承诺函</w:t>
      </w:r>
      <w:r/>
    </w:p>
    <w:p>
      <w:pPr>
        <w:ind w:firstLine="480"/>
        <w:spacing w:line="440" w:lineRule="exact"/>
        <w:rPr>
          <w:i/>
          <w:iCs/>
          <w:sz w:val="24"/>
          <w:u w:val="single"/>
        </w:rPr>
      </w:pPr>
      <w:r>
        <w:rPr>
          <w:i/>
          <w:iCs/>
          <w:sz w:val="24"/>
          <w:u w:val="single"/>
        </w:rPr>
        <w:t xml:space="preserve">十四、理赔承诺函</w:t>
      </w:r>
      <w:r/>
    </w:p>
    <w:p>
      <w:pPr>
        <w:ind w:firstLine="480"/>
        <w:spacing w:line="440" w:lineRule="exact"/>
        <w:rPr>
          <w:sz w:val="24"/>
        </w:rPr>
      </w:pPr>
      <w:r>
        <w:rPr>
          <w:sz w:val="24"/>
        </w:rPr>
        <w:t xml:space="preserve">十五、服务团队成员表</w:t>
      </w:r>
      <w:r/>
    </w:p>
    <w:p>
      <w:pPr>
        <w:ind w:firstLine="480"/>
        <w:spacing w:line="440" w:lineRule="exact"/>
        <w:rPr>
          <w:rFonts w:ascii="宋体" w:hAnsi="宋体"/>
          <w:i/>
          <w:sz w:val="24"/>
          <w:u w:val="single"/>
        </w:rPr>
      </w:pPr>
      <w:r>
        <w:rPr>
          <w:rFonts w:ascii="宋体" w:hAnsi="宋体"/>
          <w:i/>
          <w:sz w:val="24"/>
          <w:u w:val="single"/>
        </w:rPr>
      </w:r>
      <w:r/>
    </w:p>
    <w:p>
      <w:pPr>
        <w:ind w:firstLine="480"/>
        <w:spacing w:line="440" w:lineRule="exact"/>
        <w:rPr>
          <w:rFonts w:ascii="黑体" w:hAnsi="黑体" w:eastAsia="黑体"/>
          <w:i/>
          <w:sz w:val="32"/>
          <w:szCs w:val="32"/>
          <w:u w:val="single"/>
        </w:rPr>
      </w:pPr>
      <w:r>
        <w:rPr>
          <w:rFonts w:hint="eastAsia" w:ascii="宋体" w:hAnsi="宋体"/>
          <w:sz w:val="24"/>
        </w:rPr>
        <w:br w:type="page" w:clear="all"/>
      </w:r>
      <w:bookmarkEnd w:id="217"/>
      <w:r/>
      <w:bookmarkEnd w:id="218"/>
      <w:r/>
      <w:bookmarkEnd w:id="219"/>
      <w:r/>
      <w:bookmarkStart w:id="22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62"/>
        <w:ind w:firstLine="480"/>
        <w:spacing w:line="460" w:lineRule="exact"/>
      </w:pPr>
      <w:r>
        <w:rPr>
          <w:rFonts w:hint="eastAsia"/>
        </w:rPr>
        <w:t xml:space="preserve">致：常州市政府采购中心</w:t>
      </w:r>
      <w:r/>
    </w:p>
    <w:p>
      <w:pPr>
        <w:pStyle w:val="962"/>
        <w:ind w:firstLine="840"/>
        <w:spacing w:line="460" w:lineRule="exact"/>
        <w:rPr>
          <w:u w:val="single"/>
        </w:rPr>
      </w:pPr>
      <w:r>
        <w:rPr>
          <w:rFonts w:hint="eastAsia"/>
          <w:u w:val="single"/>
        </w:rPr>
        <w:t xml:space="preserve">（采购人名称）</w:t>
      </w:r>
      <w:r/>
    </w:p>
    <w:p>
      <w:pPr>
        <w:pStyle w:val="962"/>
        <w:ind w:firstLine="480"/>
        <w:spacing w:line="460" w:lineRule="exact"/>
      </w:pPr>
      <w:r>
        <w:rPr>
          <w:rFonts w:hint="eastAsia"/>
        </w:rPr>
        <w:t xml:space="preserve">按照《中华人民共和国政府采购法》第二十二条和招标文件的规定，我单位郑重声明如下：</w:t>
      </w:r>
      <w:r/>
    </w:p>
    <w:p>
      <w:pPr>
        <w:pStyle w:val="96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62"/>
        <w:ind w:firstLine="480"/>
        <w:spacing w:line="460" w:lineRule="exact"/>
      </w:pPr>
      <w:r>
        <w:rPr>
          <w:rFonts w:hint="eastAsia"/>
        </w:rPr>
        <w:t xml:space="preserve">二、我单位具有良好的商业信誉（指投标人经营状况良好，无本资格声明第十条情形）和健全的财务会计制度。</w:t>
      </w:r>
      <w:r/>
    </w:p>
    <w:p>
      <w:pPr>
        <w:pStyle w:val="962"/>
        <w:ind w:firstLine="480"/>
        <w:spacing w:line="460" w:lineRule="exact"/>
      </w:pPr>
      <w:r>
        <w:rPr>
          <w:rFonts w:hint="eastAsia"/>
        </w:rPr>
        <w:t xml:space="preserve">三、我单位依法进行纳税和社会保险申报并实际履行了义务。</w:t>
      </w:r>
      <w:r/>
    </w:p>
    <w:p>
      <w:pPr>
        <w:pStyle w:val="96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2"/>
        <w:ind w:firstLine="480"/>
        <w:spacing w:line="460" w:lineRule="exact"/>
      </w:pPr>
      <w:r>
        <w:rPr>
          <w:rFonts w:hint="eastAsia"/>
        </w:rPr>
        <w:t xml:space="preserve">主要设备有：</w:t>
      </w:r>
      <w:r>
        <w:rPr>
          <w:u w:val="single"/>
        </w:rPr>
        <w:t xml:space="preserve">            </w:t>
      </w:r>
      <w:r/>
    </w:p>
    <w:p>
      <w:pPr>
        <w:pStyle w:val="962"/>
        <w:ind w:firstLine="480"/>
        <w:spacing w:line="460" w:lineRule="exact"/>
      </w:pPr>
      <w:r>
        <w:rPr>
          <w:rFonts w:hint="eastAsia"/>
        </w:rPr>
        <w:t xml:space="preserve">主要专业技术能力有</w:t>
      </w:r>
      <w:r>
        <w:rPr>
          <w:rFonts w:hint="eastAsia"/>
          <w:u w:val="single"/>
        </w:rPr>
        <w:t xml:space="preserve">                 </w:t>
      </w:r>
      <w:r/>
    </w:p>
    <w:p>
      <w:pPr>
        <w:pStyle w:val="96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2"/>
        <w:ind w:firstLine="480"/>
        <w:spacing w:line="460" w:lineRule="exact"/>
      </w:pPr>
      <w:r>
        <w:rPr>
          <w:rFonts w:hint="eastAsia"/>
        </w:rPr>
        <w:t xml:space="preserve">六、我单位具备法律、行政法规规定的其他条件。</w:t>
      </w:r>
      <w:r/>
    </w:p>
    <w:p>
      <w:pPr>
        <w:pStyle w:val="96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2"/>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96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2"/>
        <w:ind w:firstLine="480"/>
        <w:spacing w:line="460" w:lineRule="exact"/>
      </w:pPr>
      <w:r>
        <w:rPr>
          <w:rFonts w:hint="eastAsia"/>
        </w:rPr>
        <w:t xml:space="preserve">九、</w:t>
      </w:r>
      <w:r>
        <w:t xml:space="preserve">我单位无以下不良信用记录情形：</w:t>
      </w:r>
      <w:r/>
    </w:p>
    <w:p>
      <w:pPr>
        <w:pStyle w:val="962"/>
        <w:ind w:firstLine="480"/>
        <w:spacing w:line="460" w:lineRule="exact"/>
      </w:pPr>
      <w:r>
        <w:t xml:space="preserve">1</w:t>
      </w:r>
      <w:r>
        <w:rPr>
          <w:rFonts w:hint="eastAsia"/>
        </w:rPr>
        <w:t xml:space="preserve">、在“信用中国”网站被列入失信被执行人和重大税收违法案件当事人名单；</w:t>
      </w:r>
      <w:r/>
    </w:p>
    <w:p>
      <w:pPr>
        <w:pStyle w:val="962"/>
        <w:ind w:firstLine="480"/>
        <w:spacing w:line="460" w:lineRule="exact"/>
      </w:pPr>
      <w:r>
        <w:t xml:space="preserve">2</w:t>
      </w:r>
      <w:r>
        <w:rPr>
          <w:rFonts w:hint="eastAsia"/>
        </w:rPr>
        <w:t xml:space="preserve">、在“中国政府采购网”网站被列入政府采购严重违法失信行为记录名单；</w:t>
      </w:r>
      <w:r/>
    </w:p>
    <w:p>
      <w:pPr>
        <w:pStyle w:val="962"/>
        <w:ind w:firstLine="480"/>
        <w:spacing w:line="460" w:lineRule="exact"/>
      </w:pPr>
      <w:r>
        <w:t xml:space="preserve">3</w:t>
      </w:r>
      <w:r>
        <w:rPr>
          <w:rFonts w:hint="eastAsia"/>
        </w:rPr>
        <w:t xml:space="preserve">、</w:t>
      </w:r>
      <w:r>
        <w:t xml:space="preserve">不符合《政府采购法》第二十二条规定的条件。</w:t>
      </w:r>
      <w:r/>
    </w:p>
    <w:p>
      <w:pPr>
        <w:pStyle w:val="962"/>
        <w:ind w:firstLine="480"/>
        <w:spacing w:line="460" w:lineRule="exact"/>
      </w:pPr>
      <w:r/>
      <w:r/>
    </w:p>
    <w:p>
      <w:pPr>
        <w:pStyle w:val="96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2"/>
        <w:ind w:firstLine="480"/>
        <w:spacing w:line="460" w:lineRule="exact"/>
      </w:pPr>
      <w:r/>
      <w:r/>
    </w:p>
    <w:p>
      <w:pPr>
        <w:pStyle w:val="962"/>
        <w:ind w:firstLine="480"/>
        <w:spacing w:line="460" w:lineRule="exact"/>
      </w:pPr>
      <w:r/>
      <w:r/>
    </w:p>
    <w:p>
      <w:pPr>
        <w:pStyle w:val="962"/>
        <w:ind w:firstLine="480"/>
        <w:spacing w:line="460" w:lineRule="exact"/>
      </w:pPr>
      <w:r>
        <w:rPr>
          <w:rFonts w:hint="eastAsia"/>
        </w:rPr>
        <w:t xml:space="preserve">                                            投标人：（加盖公章）</w:t>
      </w:r>
      <w:r/>
    </w:p>
    <w:p>
      <w:pPr>
        <w:pStyle w:val="962"/>
        <w:ind w:firstLine="480"/>
        <w:spacing w:line="460" w:lineRule="exact"/>
      </w:pPr>
      <w:r>
        <w:rPr>
          <w:rFonts w:hint="eastAsia"/>
        </w:rPr>
        <w:t xml:space="preserve">                                           法定代表人（或单位负责人）签字或盖章：</w:t>
      </w:r>
      <w:r/>
    </w:p>
    <w:p>
      <w:pPr>
        <w:pStyle w:val="962"/>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ind w:firstLine="480"/>
        <w:jc w:val="left"/>
      </w:pPr>
      <w:r>
        <w:rPr>
          <w:sz w:val="24"/>
        </w:rPr>
      </w:r>
      <w:r>
        <w:rPr>
          <w:rFonts w:ascii="DengXian" w:hAnsi="DengXian" w:eastAsia="DengXian" w:cs="DengXian"/>
          <w:color w:val="000000"/>
          <w:sz w:val="24"/>
        </w:rPr>
        <w:t xml:space="preserve">经国家金融监督管理总局（原中国银行保险监督管理委员会）批准的具有承保资质的财产保险公司，需提供有效保险业务经营许可证，</w:t>
      </w:r>
      <w:r>
        <w:rPr>
          <w:rFonts w:ascii="DengXian" w:hAnsi="DengXian" w:eastAsia="DengXian" w:cs="DengXian"/>
          <w:color w:val="000000"/>
          <w:sz w:val="24"/>
        </w:rPr>
        <w:t xml:space="preserve">许可证类型包括但不限于《中华人民共和国</w:t>
      </w:r>
      <w:r>
        <w:rPr>
          <w:rFonts w:ascii="DengXian" w:hAnsi="DengXian" w:eastAsia="DengXian" w:cs="DengXian"/>
          <w:color w:val="000000"/>
          <w:sz w:val="24"/>
        </w:rPr>
        <w:t xml:space="preserve">金融许可证》《保险许可证》《保险公司法人许可证》《经营保险业务许可</w:t>
      </w:r>
      <w:r>
        <w:rPr>
          <w:rFonts w:ascii="DengXian" w:hAnsi="DengXian" w:eastAsia="DengXian" w:cs="DengXian"/>
          <w:color w:val="000000"/>
          <w:sz w:val="24"/>
        </w:rPr>
        <w:t xml:space="preserve">证》</w:t>
      </w:r>
      <w:r>
        <w:rPr>
          <w:rFonts w:ascii="DengXian" w:hAnsi="DengXian" w:eastAsia="DengXian" w:cs="DengXian"/>
          <w:color w:val="000000"/>
          <w:sz w:val="24"/>
        </w:rPr>
        <w:t xml:space="preserve">；</w:t>
      </w:r>
      <w:r>
        <w:rPr>
          <w:rFonts w:ascii="DengXian" w:hAnsi="DengXian" w:eastAsia="DengXian" w:cs="DengXian"/>
          <w:color w:val="000000"/>
          <w:sz w:val="24"/>
        </w:rPr>
        <w:t xml:space="preserve">业务范围包含：财产损失保险、责任保险及意外伤害保险。如分支机构参与投标的，需提供总公司项目授权书并承诺由总公司承担民事责任（格式自拟）。同一家总公司只能有一家分支机构参与投标，且总公司不能与下属分支机构同时参与投标。</w:t>
      </w:r>
      <w:r>
        <w:rPr>
          <w:rFonts w:hint="eastAsia" w:ascii="宋体" w:hAnsi="宋体"/>
          <w:bCs/>
          <w:sz w:val="24"/>
        </w:rPr>
        <w:br w:type="page" w:clear="all"/>
      </w:r>
      <w:r>
        <w:rPr>
          <w:rFonts w:hint="eastAsia" w:ascii="黑体" w:hAnsi="黑体" w:eastAsia="黑体"/>
          <w:i/>
          <w:sz w:val="32"/>
          <w:szCs w:val="32"/>
          <w:u w:val="single"/>
        </w:rPr>
        <w:t xml:space="preserve">三、法人</w:t>
      </w:r>
      <w:r>
        <w:rPr>
          <w:rFonts w:ascii="黑体" w:hAnsi="黑体" w:eastAsia="黑体"/>
          <w:i/>
          <w:sz w:val="32"/>
          <w:szCs w:val="32"/>
          <w:u w:val="single"/>
        </w:rPr>
        <w:t xml:space="preserve">（单位负责人）</w:t>
      </w:r>
      <w:r>
        <w:rPr>
          <w:rFonts w:hint="eastAsia" w:ascii="黑体" w:hAnsi="黑体" w:eastAsia="黑体"/>
          <w:i/>
          <w:sz w:val="32"/>
          <w:szCs w:val="32"/>
          <w:u w:val="single"/>
        </w:rPr>
        <w:t xml:space="preserve">授权书</w:t>
      </w:r>
      <w:r>
        <w:rPr>
          <w:rFonts w:ascii="DengXian" w:hAnsi="DengXian" w:eastAsia="DengXian" w:cs="DengXian"/>
          <w:color w:val="000000"/>
          <w:sz w:val="24"/>
        </w:rPr>
      </w:r>
      <w:r/>
    </w:p>
    <w:p>
      <w:pPr>
        <w:pStyle w:val="1036"/>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36"/>
        <w:ind w:firstLine="480"/>
        <w:rPr>
          <w:sz w:val="24"/>
          <w:szCs w:val="24"/>
        </w:rPr>
      </w:pPr>
      <w:r>
        <w:rPr>
          <w:rFonts w:hint="eastAsia"/>
          <w:sz w:val="24"/>
          <w:szCs w:val="24"/>
        </w:rPr>
        <w:t xml:space="preserve">本授权书于______年____月____日起生效，特此声明。</w:t>
      </w:r>
      <w:r/>
    </w:p>
    <w:p>
      <w:pPr>
        <w:pStyle w:val="1036"/>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36"/>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36"/>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36"/>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36"/>
        <w:ind w:firstLine="480"/>
        <w:rPr>
          <w:sz w:val="24"/>
          <w:szCs w:val="24"/>
        </w:rPr>
      </w:pPr>
      <w:r>
        <w:rPr>
          <w:rFonts w:hint="eastAsia"/>
          <w:sz w:val="24"/>
          <w:szCs w:val="24"/>
        </w:rPr>
        <w:t xml:space="preserve">      日期：</w:t>
      </w:r>
      <w:bookmarkStart w:id="221" w:name="_Hlt26955070"/>
      <w:r/>
      <w:bookmarkEnd w:id="221"/>
      <w:r/>
      <w:bookmarkStart w:id="222" w:name="_Hlt26671380"/>
      <w:r/>
      <w:bookmarkEnd w:id="222"/>
      <w:r/>
      <w:bookmarkStart w:id="223" w:name="_格式3__银行出具的资信证明"/>
      <w:r/>
      <w:bookmarkEnd w:id="223"/>
      <w:r>
        <w:rPr>
          <w:rFonts w:hint="eastAsia"/>
          <w:sz w:val="24"/>
          <w:szCs w:val="24"/>
          <w:u w:val="single"/>
        </w:rPr>
        <w:t xml:space="preserve">                                         </w:t>
      </w:r>
      <w:r/>
    </w:p>
    <w:p>
      <w:pPr>
        <w:pStyle w:val="962"/>
        <w:jc w:val="center"/>
        <w:rPr>
          <w:rFonts w:ascii="黑体" w:hAnsi="黑体" w:eastAsia="黑体"/>
          <w:i/>
          <w:sz w:val="32"/>
          <w:szCs w:val="32"/>
          <w:u w:val="single"/>
        </w:rPr>
      </w:pPr>
      <w:r>
        <w:rPr>
          <w:i/>
          <w:sz w:val="24"/>
          <w:szCs w:val="24"/>
          <w:u w:val="single"/>
        </w:rPr>
        <w:br w:type="page" w:clear="all"/>
      </w:r>
      <w:r>
        <w:rPr>
          <w:rFonts w:hint="eastAsia" w:ascii="黑体" w:hAnsi="黑体" w:eastAsia="黑体"/>
          <w:i/>
          <w:sz w:val="32"/>
          <w:szCs w:val="32"/>
          <w:u w:val="single"/>
        </w:rPr>
        <w:t xml:space="preserve">四、投标函</w:t>
      </w:r>
      <w:r/>
    </w:p>
    <w:p>
      <w:pPr>
        <w:pStyle w:val="1038"/>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38"/>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38"/>
        <w:spacing w:before="0" w:after="0" w:line="420" w:lineRule="exact"/>
        <w:rPr>
          <w:rFonts w:ascii="宋体" w:hAnsi="宋体"/>
          <w:szCs w:val="21"/>
        </w:rPr>
      </w:pPr>
      <w:r>
        <w:rPr>
          <w:rFonts w:hint="eastAsia" w:ascii="宋体" w:hAnsi="宋体"/>
          <w:szCs w:val="21"/>
        </w:rPr>
        <w:t xml:space="preserve">据此函，__________被授权人兹宣布同意如下：</w:t>
      </w:r>
      <w:r/>
    </w:p>
    <w:p>
      <w:pPr>
        <w:pStyle w:val="103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3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3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8"/>
        <w:ind w:left="420"/>
        <w:spacing w:before="0" w:after="0" w:line="420" w:lineRule="exact"/>
        <w:rPr>
          <w:rFonts w:ascii="宋体" w:hAnsi="宋体"/>
          <w:szCs w:val="21"/>
        </w:rPr>
      </w:pPr>
      <w:r>
        <w:rPr>
          <w:rFonts w:hint="eastAsia" w:ascii="宋体" w:hAnsi="宋体"/>
          <w:szCs w:val="21"/>
        </w:rPr>
        <w:t xml:space="preserve">地          址：</w:t>
      </w:r>
      <w:r/>
    </w:p>
    <w:p>
      <w:pPr>
        <w:pStyle w:val="1038"/>
        <w:ind w:left="420"/>
        <w:spacing w:before="0" w:after="0" w:line="420" w:lineRule="exact"/>
        <w:rPr>
          <w:rFonts w:ascii="宋体" w:hAnsi="宋体"/>
          <w:szCs w:val="21"/>
        </w:rPr>
      </w:pPr>
      <w:r>
        <w:rPr>
          <w:rFonts w:hint="eastAsia" w:ascii="宋体" w:hAnsi="宋体"/>
          <w:szCs w:val="21"/>
        </w:rPr>
        <w:t xml:space="preserve">邮          编：</w:t>
      </w:r>
      <w:r/>
    </w:p>
    <w:p>
      <w:pPr>
        <w:pStyle w:val="1038"/>
        <w:ind w:left="420"/>
        <w:spacing w:before="0" w:after="0" w:line="420" w:lineRule="exact"/>
        <w:rPr>
          <w:rFonts w:ascii="宋体" w:hAnsi="宋体"/>
          <w:szCs w:val="21"/>
        </w:rPr>
      </w:pPr>
      <w:r>
        <w:rPr>
          <w:rFonts w:hint="eastAsia" w:ascii="宋体" w:hAnsi="宋体"/>
          <w:szCs w:val="21"/>
        </w:rPr>
        <w:t xml:space="preserve">电          话：</w:t>
      </w:r>
      <w:r/>
    </w:p>
    <w:p>
      <w:pPr>
        <w:pStyle w:val="1038"/>
        <w:ind w:left="420"/>
        <w:spacing w:before="0" w:after="0" w:line="420" w:lineRule="exact"/>
        <w:rPr>
          <w:rFonts w:ascii="宋体" w:hAnsi="宋体"/>
          <w:szCs w:val="21"/>
        </w:rPr>
      </w:pPr>
      <w:r>
        <w:rPr>
          <w:rFonts w:hint="eastAsia" w:ascii="宋体" w:hAnsi="宋体"/>
          <w:szCs w:val="21"/>
        </w:rPr>
        <w:t xml:space="preserve">传          真：</w:t>
      </w:r>
      <w:r/>
    </w:p>
    <w:p>
      <w:pPr>
        <w:pStyle w:val="1038"/>
        <w:ind w:left="420"/>
        <w:spacing w:before="0" w:after="0" w:line="420" w:lineRule="exact"/>
        <w:rPr>
          <w:rFonts w:ascii="宋体" w:hAnsi="宋体"/>
          <w:szCs w:val="21"/>
        </w:rPr>
      </w:pPr>
      <w:r>
        <w:rPr>
          <w:rFonts w:hint="eastAsia" w:ascii="宋体" w:hAnsi="宋体"/>
          <w:szCs w:val="21"/>
        </w:rPr>
        <w:t xml:space="preserve">投标人开户行：</w:t>
      </w:r>
      <w:r/>
    </w:p>
    <w:p>
      <w:pPr>
        <w:pStyle w:val="1038"/>
        <w:ind w:left="420"/>
        <w:spacing w:before="0" w:after="0" w:line="420" w:lineRule="exact"/>
        <w:rPr>
          <w:rFonts w:ascii="宋体" w:hAnsi="宋体"/>
          <w:szCs w:val="21"/>
        </w:rPr>
      </w:pPr>
      <w:r>
        <w:rPr>
          <w:rFonts w:hint="eastAsia" w:ascii="宋体" w:hAnsi="宋体"/>
          <w:szCs w:val="21"/>
        </w:rPr>
        <w:t xml:space="preserve">账          号： </w:t>
      </w:r>
      <w:r/>
    </w:p>
    <w:p>
      <w:pPr>
        <w:pStyle w:val="103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lang w:val="en-US" w:eastAsia="zh-CN"/>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lang w:val="en-US" w:eastAsia="zh-CN"/>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i/>
          <w:sz w:val="32"/>
          <w:szCs w:val="32"/>
          <w:u w:val="single"/>
        </w:rPr>
      </w:pPr>
      <w:r>
        <w:rPr>
          <w:rFonts w:hint="eastAsia" w:ascii="黑体" w:hAnsi="黑体" w:eastAsia="黑体"/>
          <w:b/>
          <w:sz w:val="32"/>
          <w:szCs w:val="32"/>
        </w:rPr>
        <w:br w:type="page" w:clear="all"/>
      </w:r>
      <w:r>
        <w:rPr>
          <w:rFonts w:hint="eastAsia" w:ascii="黑体" w:hAnsi="黑体" w:eastAsia="黑体"/>
          <w:b/>
          <w:i/>
          <w:sz w:val="32"/>
          <w:szCs w:val="32"/>
          <w:u w:val="single"/>
        </w:rPr>
        <w:t xml:space="preserve">七、投标分项报价表（分包号：**）</w:t>
      </w:r>
      <w:r/>
    </w:p>
    <w:p>
      <w:pPr>
        <w:tabs>
          <w:tab w:val="left" w:pos="1800" w:leader="none"/>
          <w:tab w:val="left" w:pos="5580" w:leader="none"/>
        </w:tabs>
        <w:rPr>
          <w:color w:val="000000"/>
          <w:sz w:val="24"/>
        </w:rPr>
      </w:pPr>
      <w:r>
        <w:rPr>
          <w:color w:val="000000"/>
          <w:sz w:val="24"/>
        </w:rPr>
      </w:r>
      <w:r/>
    </w:p>
    <w:p>
      <w:pPr>
        <w:tabs>
          <w:tab w:val="left" w:pos="1800" w:leader="none"/>
          <w:tab w:val="left" w:pos="5580" w:leader="none"/>
        </w:tabs>
        <w:rPr>
          <w:b/>
          <w:color w:val="000000"/>
          <w:sz w:val="36"/>
          <w:szCs w:val="36"/>
        </w:rPr>
      </w:pPr>
      <w:r>
        <w:rPr>
          <w:color w:val="000000"/>
          <w:sz w:val="24"/>
        </w:rPr>
        <w:t xml:space="preserve">项目编号/包号：___________ 项目名称：__________报价单位：人民币元</w:t>
      </w:r>
      <w:r/>
    </w:p>
    <w:p>
      <w:pPr>
        <w:jc w:val="center"/>
        <w:rPr>
          <w:b/>
          <w:bCs/>
          <w:color w:val="000000"/>
          <w:sz w:val="28"/>
          <w:szCs w:val="28"/>
        </w:rPr>
      </w:pPr>
      <w:r>
        <w:rPr>
          <w:b/>
          <w:bCs/>
          <w:color w:val="000000"/>
          <w:sz w:val="28"/>
          <w:szCs w:val="28"/>
        </w:rPr>
        <w:t xml:space="preserve">分项报价表一</w:t>
      </w:r>
      <w:r/>
    </w:p>
    <w:tbl>
      <w:tblPr>
        <w:tblStyle w:val="961"/>
        <w:tblW w:w="91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31"/>
        <w:gridCol w:w="1596"/>
        <w:gridCol w:w="551"/>
        <w:gridCol w:w="1207"/>
        <w:gridCol w:w="1660"/>
        <w:gridCol w:w="534"/>
        <w:gridCol w:w="1213"/>
        <w:gridCol w:w="1177"/>
      </w:tblGrid>
      <w:tr>
        <w:trPr>
          <w:jc w:val="center"/>
          <w:trHeight w:val="600"/>
        </w:trPr>
        <w:tc>
          <w:tcPr>
            <w:tcBorders>
              <w:top w:val="single" w:color="000000" w:sz="4" w:space="0"/>
              <w:left w:val="single" w:color="000000" w:sz="4" w:space="0"/>
              <w:bottom w:val="single" w:color="000000" w:sz="4" w:space="0"/>
              <w:right w:val="single" w:color="000000" w:sz="4" w:space="0"/>
            </w:tcBorders>
            <w:tcW w:w="1231" w:type="dxa"/>
            <w:vAlign w:val="center"/>
            <w:vMerge w:val="restart"/>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医疗机构名称（简称）</w:t>
            </w:r>
            <w:r/>
          </w:p>
        </w:tc>
        <w:tc>
          <w:tcPr>
            <w:gridSpan w:val="3"/>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财产综合险</w:t>
            </w:r>
            <w:r/>
          </w:p>
        </w:tc>
        <w:tc>
          <w:tcPr>
            <w:gridSpan w:val="3"/>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机器设备损坏险</w:t>
            </w:r>
            <w:r/>
          </w:p>
        </w:tc>
        <w:tc>
          <w:tcPr>
            <w:tcBorders>
              <w:top w:val="single" w:color="000000" w:sz="4" w:space="0"/>
              <w:left w:val="single" w:color="000000" w:sz="4" w:space="0"/>
              <w:right w:val="single" w:color="000000" w:sz="4" w:space="0"/>
            </w:tcBorders>
            <w:tcW w:w="1177" w:type="dxa"/>
            <w:vAlign w:val="center"/>
            <w:vMerge w:val="restart"/>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保费小计</w:t>
            </w:r>
            <w:r>
              <w:rPr>
                <w:color w:val="000000"/>
                <w:sz w:val="24"/>
                <w:lang w:bidi="ar"/>
              </w:rPr>
              <w:br/>
            </w:r>
            <w:r>
              <w:rPr>
                <w:color w:val="000000"/>
                <w:sz w:val="24"/>
                <w:lang w:bidi="ar"/>
              </w:rPr>
              <w:t xml:space="preserve">（元/年）</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保险金额</w:t>
            </w:r>
            <w:r/>
          </w:p>
          <w:p>
            <w:pPr>
              <w:jc w:val="center"/>
              <w:keepLines w:val="0"/>
              <w:keepNext w:val="0"/>
              <w:pageBreakBefore w:val="0"/>
              <w:spacing w:line="400" w:lineRule="exact"/>
              <w:widowControl/>
              <w:rPr>
                <w:color w:val="000000"/>
                <w:sz w:val="24"/>
              </w:rPr>
            </w:pPr>
            <w:r>
              <w:rPr>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费率</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保费</w:t>
            </w:r>
            <w:r>
              <w:rPr>
                <w:color w:val="000000"/>
                <w:sz w:val="24"/>
                <w:lang w:bidi="ar"/>
              </w:rPr>
              <w:br/>
            </w:r>
            <w:r>
              <w:rPr>
                <w:color w:val="000000"/>
                <w:sz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保险金额</w:t>
            </w:r>
            <w:r/>
          </w:p>
          <w:p>
            <w:pPr>
              <w:jc w:val="center"/>
              <w:keepLines w:val="0"/>
              <w:keepNext w:val="0"/>
              <w:pageBreakBefore w:val="0"/>
              <w:spacing w:line="400" w:lineRule="exact"/>
              <w:widowControl/>
              <w:rPr>
                <w:color w:val="000000"/>
                <w:sz w:val="24"/>
              </w:rPr>
            </w:pPr>
            <w:r>
              <w:rPr>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费率</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保费</w:t>
            </w:r>
            <w:r>
              <w:rPr>
                <w:color w:val="000000"/>
                <w:sz w:val="24"/>
                <w:lang w:bidi="ar"/>
              </w:rPr>
              <w:br/>
            </w:r>
            <w:r>
              <w:rPr>
                <w:color w:val="000000"/>
                <w:sz w:val="24"/>
                <w:lang w:bidi="ar"/>
              </w:rPr>
              <w:t xml:space="preserve">（元/年）</w:t>
            </w:r>
            <w:r/>
          </w:p>
        </w:tc>
        <w:tc>
          <w:tcPr>
            <w:tcBorders>
              <w:left w:val="single" w:color="000000" w:sz="4" w:space="0"/>
              <w:bottom w:val="single" w:color="000000" w:sz="4" w:space="0"/>
              <w:right w:val="single" w:color="000000" w:sz="4" w:space="0"/>
            </w:tcBorders>
            <w:tcW w:w="1177" w:type="dxa"/>
            <w:vAlign w:val="center"/>
            <w:vMerge w:val="continue"/>
            <w:textDirection w:val="lrTb"/>
            <w:noWrap w:val="false"/>
          </w:tcPr>
          <w:p>
            <w:pPr>
              <w:jc w:val="center"/>
              <w:keepLines w:val="0"/>
              <w:keepNext w:val="0"/>
              <w:pageBreakBefore w:val="0"/>
              <w:spacing w:line="400" w:lineRule="exact"/>
              <w:widowControl/>
              <w:rPr>
                <w:color w:val="000000"/>
                <w:sz w:val="24"/>
              </w:rPr>
            </w:pPr>
            <w:r>
              <w:rPr>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一院</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348108.19</w:t>
            </w:r>
            <w:r/>
          </w:p>
        </w:tc>
        <w:tc>
          <w:tcPr>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val="false"/>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157188.2</w:t>
            </w:r>
            <w:r/>
          </w:p>
        </w:tc>
        <w:tc>
          <w:tcPr>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中医院</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95670.74373</w:t>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38557.4442</w:t>
            </w:r>
            <w:r/>
          </w:p>
        </w:tc>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妇保院</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107051.465</w:t>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27176.72294</w:t>
            </w:r>
            <w:r/>
          </w:p>
        </w:tc>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儿童医院</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pageBreakBefore w:val="0"/>
              <w:spacing w:line="400" w:lineRule="exact"/>
              <w:widowControl/>
              <w:rPr>
                <w:sz w:val="24"/>
                <w:lang w:bidi="ar"/>
              </w:rPr>
            </w:pPr>
            <w:r>
              <w:rPr>
                <w:color w:val="000000"/>
                <w:sz w:val="24"/>
                <w:lang w:bidi="ar"/>
              </w:rPr>
              <w:t xml:space="preserve">21686.64</w:t>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keepLines w:val="0"/>
              <w:keepNext w:val="0"/>
              <w:pageBreakBefore w:val="0"/>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keepLines w:val="0"/>
              <w:keepNext w:val="0"/>
              <w:pageBreakBefore w:val="0"/>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17594.02</w:t>
            </w:r>
            <w:r/>
          </w:p>
        </w:tc>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keepLines w:val="0"/>
              <w:keepNext w:val="0"/>
              <w:pageBreakBefore w:val="0"/>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七院</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55245.6155</w:t>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4604.02</w:t>
            </w:r>
            <w:r/>
          </w:p>
        </w:tc>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年度投标价合计</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627762.65423</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245120.40714</w:t>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pageBreakBefore w:val="0"/>
              <w:spacing w:line="400" w:lineRule="exact"/>
              <w:widowControl/>
              <w:rPr>
                <w:color w:val="000000"/>
                <w:sz w:val="24"/>
              </w:rPr>
            </w:pPr>
            <w:r>
              <w:rPr>
                <w:color w:val="000000"/>
                <w:sz w:val="24"/>
              </w:rPr>
            </w:r>
            <w:r/>
          </w:p>
        </w:tc>
      </w:tr>
    </w:tbl>
    <w:p>
      <w:pPr>
        <w:jc w:val="center"/>
        <w:rPr>
          <w:b/>
          <w:bCs/>
          <w:color w:val="000000"/>
          <w:sz w:val="28"/>
          <w:szCs w:val="28"/>
        </w:rPr>
      </w:pPr>
      <w:r>
        <w:rPr>
          <w:b/>
          <w:bCs/>
          <w:color w:val="000000"/>
          <w:sz w:val="28"/>
          <w:szCs w:val="28"/>
        </w:rPr>
        <w:t xml:space="preserve">分项报价表二</w:t>
      </w:r>
      <w:r/>
    </w:p>
    <w:tbl>
      <w:tblPr>
        <w:tblStyle w:val="961"/>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1284"/>
        <w:gridCol w:w="2604"/>
        <w:gridCol w:w="1817"/>
        <w:gridCol w:w="1628"/>
        <w:gridCol w:w="1836"/>
      </w:tblGrid>
      <w:tr>
        <w:trPr>
          <w:trHeight w:val="1155"/>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医疗机构名称（简称）</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医责险年度累计赔偿限额</w:t>
            </w:r>
            <w:r>
              <w:rPr>
                <w:color w:val="000000"/>
                <w:sz w:val="24"/>
                <w:lang w:bidi="ar"/>
              </w:rPr>
              <w:br/>
            </w:r>
            <w:r>
              <w:rPr>
                <w:color w:val="000000"/>
                <w:sz w:val="24"/>
                <w:lang w:bidi="ar"/>
              </w:rPr>
              <w:t xml:space="preserve">（万元/年）</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医责险每人每次赔偿限额</w:t>
            </w:r>
            <w:r>
              <w:rPr>
                <w:color w:val="000000"/>
                <w:sz w:val="24"/>
                <w:lang w:bidi="ar"/>
              </w:rPr>
              <w:br/>
            </w:r>
            <w:r>
              <w:rPr>
                <w:color w:val="000000"/>
                <w:sz w:val="24"/>
                <w:lang w:bidi="ar"/>
              </w:rPr>
              <w:t xml:space="preserve">（万元/人/次）</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医责险最高限价（万元/年）</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医责险报价</w:t>
            </w:r>
            <w:r>
              <w:rPr>
                <w:color w:val="000000"/>
                <w:sz w:val="24"/>
                <w:lang w:bidi="ar"/>
              </w:rPr>
              <w:br/>
            </w:r>
            <w:r>
              <w:rPr>
                <w:color w:val="000000"/>
                <w:sz w:val="24"/>
                <w:lang w:bidi="ar"/>
              </w:rPr>
              <w:t xml:space="preserve">（元/年）</w:t>
            </w:r>
            <w:r/>
          </w:p>
        </w:tc>
      </w:tr>
      <w:tr>
        <w:trPr>
          <w:trHeight w:val="30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一院</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630</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60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600</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r>
        <w:trPr>
          <w:trHeight w:val="9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中医院</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204.75</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195</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妇保院</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192.5</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keepLines w:val="0"/>
              <w:keepNext w:val="0"/>
              <w:pageBreakBefore w:val="0"/>
              <w:spacing w:line="400" w:lineRule="exact"/>
              <w:widowControl/>
              <w:rPr>
                <w:color w:val="000000"/>
                <w:sz w:val="24"/>
                <w:lang w:bidi="ar"/>
              </w:rPr>
            </w:pPr>
            <w:r>
              <w:rPr>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175</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儿童医院</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88</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七院</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年度投标价合计</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1225.25</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keepLines w:val="0"/>
              <w:keepNext w:val="0"/>
              <w:pageBreakBefore w:val="0"/>
              <w:spacing w:line="400" w:lineRule="exact"/>
              <w:widowControl/>
              <w:rPr>
                <w:color w:val="000000"/>
                <w:sz w:val="24"/>
                <w:lang w:bidi="ar"/>
              </w:rPr>
            </w:pPr>
            <w:r>
              <w:rPr>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pageBreakBefore w:val="0"/>
              <w:spacing w:line="400" w:lineRule="exact"/>
              <w:widowControl/>
              <w:rPr>
                <w:color w:val="000000"/>
                <w:sz w:val="24"/>
                <w:lang w:bidi="ar"/>
              </w:rPr>
            </w:pPr>
            <w:r>
              <w:rPr>
                <w:color w:val="000000"/>
                <w:sz w:val="24"/>
                <w:lang w:bidi="ar"/>
              </w:rPr>
              <w:t xml:space="preserve">1150</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jc w:val="center"/>
              <w:keepLines w:val="0"/>
              <w:keepNext w:val="0"/>
              <w:pageBreakBefore w:val="0"/>
              <w:spacing w:line="400" w:lineRule="exact"/>
              <w:widowControl/>
              <w:rPr>
                <w:color w:val="000000"/>
                <w:sz w:val="22"/>
                <w:szCs w:val="22"/>
              </w:rPr>
            </w:pPr>
            <w:r>
              <w:rPr>
                <w:color w:val="000000"/>
                <w:sz w:val="22"/>
                <w:szCs w:val="22"/>
              </w:rPr>
            </w:r>
            <w:r/>
          </w:p>
        </w:tc>
      </w:tr>
    </w:tbl>
    <w:p>
      <w:pPr>
        <w:rPr>
          <w:color w:val="000000"/>
          <w:sz w:val="24"/>
        </w:rPr>
      </w:pPr>
      <w:r>
        <w:rPr>
          <w:color w:val="000000"/>
          <w:sz w:val="24"/>
        </w:rPr>
      </w:r>
      <w:r/>
    </w:p>
    <w:p>
      <w:pPr>
        <w:jc w:val="center"/>
        <w:rPr>
          <w:b/>
          <w:bCs/>
          <w:color w:val="000000"/>
          <w:sz w:val="28"/>
          <w:szCs w:val="28"/>
        </w:rPr>
      </w:pPr>
      <w:r>
        <w:rPr>
          <w:b/>
          <w:bCs/>
          <w:color w:val="000000"/>
          <w:sz w:val="28"/>
          <w:szCs w:val="28"/>
        </w:rPr>
        <w:t xml:space="preserve">分项报价表三（附加承诺保障）</w:t>
      </w:r>
      <w:r/>
    </w:p>
    <w:tbl>
      <w:tblPr>
        <w:tblStyle w:val="961"/>
        <w:tblW w:w="91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3664"/>
        <w:gridCol w:w="1821"/>
        <w:gridCol w:w="1821"/>
        <w:gridCol w:w="1863"/>
      </w:tblGrid>
      <w:tr>
        <w:trPr>
          <w:jc w:val="center"/>
          <w:trHeight w:val="840"/>
        </w:trPr>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险种</w:t>
            </w:r>
            <w:r/>
          </w:p>
        </w:tc>
        <w:tc>
          <w:tcPr>
            <w:gridSpan w:val="2"/>
            <w:tcBorders>
              <w:top w:val="single" w:color="000000" w:sz="4" w:space="0"/>
              <w:left w:val="single" w:color="000000" w:sz="4" w:space="0"/>
              <w:bottom w:val="single" w:color="000000" w:sz="4" w:space="0"/>
              <w:right w:val="single" w:color="000000" w:sz="4" w:space="0"/>
            </w:tcBorders>
            <w:tcW w:w="3642"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赔偿限额（万元/人/次）</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累计赔偿限额（万元/年）</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医疗机构医责险附加医疗机构场所责任保险限额</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一院：60</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其余：80</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300</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keepLines w:val="0"/>
              <w:keepNext w:val="0"/>
              <w:pageBreakBefore w:val="0"/>
              <w:spacing w:line="400" w:lineRule="exact"/>
              <w:widowControl/>
              <w:rPr>
                <w:color w:val="000000"/>
                <w:sz w:val="24"/>
              </w:rPr>
            </w:pPr>
            <w:r>
              <w:rPr>
                <w:color w:val="000000"/>
                <w:sz w:val="24"/>
                <w:lang w:bidi="ar"/>
              </w:rPr>
              <w:t xml:space="preserve">医疗机构医责险附加医务人员遭受伤害责任保险死亡伤残限额</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一院：60</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其余：80</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pageBreakBefore w:val="0"/>
              <w:spacing w:line="400" w:lineRule="exact"/>
              <w:widowControl/>
              <w:rPr>
                <w:color w:val="000000"/>
                <w:sz w:val="24"/>
              </w:rPr>
            </w:pPr>
            <w:r>
              <w:rPr>
                <w:color w:val="000000"/>
                <w:sz w:val="24"/>
                <w:lang w:bidi="ar"/>
              </w:rPr>
              <w:t xml:space="preserve">500</w:t>
            </w:r>
            <w:r/>
          </w:p>
        </w:tc>
      </w:tr>
    </w:tbl>
    <w:p>
      <w:pPr>
        <w:pStyle w:val="1066"/>
        <w:ind w:left="0"/>
        <w:jc w:val="center"/>
        <w:rPr>
          <w:rFonts w:ascii="Times New Roman" w:hAnsi="Times New Roman"/>
          <w:b/>
          <w:bCs/>
          <w:color w:val="000000"/>
          <w:sz w:val="28"/>
          <w:szCs w:val="28"/>
          <w:lang w:eastAsia="zh-CN" w:bidi="ar-SA"/>
        </w:rPr>
        <w:outlineLvl w:val="1"/>
      </w:pPr>
      <w:r>
        <w:rPr>
          <w:rFonts w:ascii="Times New Roman" w:hAnsi="Times New Roman"/>
          <w:b/>
          <w:bCs/>
          <w:color w:val="000000"/>
          <w:sz w:val="28"/>
          <w:szCs w:val="28"/>
          <w:lang w:eastAsia="zh-CN" w:bidi="ar-SA"/>
        </w:rPr>
        <w:t xml:space="preserve">投标分项报价表汇总</w:t>
      </w:r>
      <w:r/>
    </w:p>
    <w:tbl>
      <w:tblPr>
        <w:tblStyle w:val="961"/>
        <w:tblW w:w="916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17"/>
        <w:gridCol w:w="1863"/>
        <w:gridCol w:w="2481"/>
        <w:gridCol w:w="1243"/>
        <w:gridCol w:w="1865"/>
      </w:tblGrid>
      <w:tr>
        <w:trPr>
          <w:jc w:val="center"/>
          <w:trHeight w:val="1340"/>
        </w:trPr>
        <w:tc>
          <w:tcPr>
            <w:tcW w:w="1717" w:type="dxa"/>
            <w:vAlign w:val="center"/>
            <w:textDirection w:val="lrTb"/>
            <w:noWrap/>
          </w:tcPr>
          <w:p>
            <w:pPr>
              <w:jc w:val="center"/>
              <w:keepLines w:val="0"/>
              <w:keepNext w:val="0"/>
              <w:pageBreakBefore w:val="0"/>
              <w:spacing w:line="400" w:lineRule="exact"/>
              <w:widowControl/>
              <w:rPr>
                <w:b/>
                <w:bCs/>
                <w:color w:val="000000"/>
                <w:sz w:val="24"/>
                <w:highlight w:val="yellow"/>
              </w:rPr>
            </w:pPr>
            <w:r>
              <w:rPr>
                <w:b/>
                <w:bCs/>
                <w:color w:val="000000"/>
                <w:sz w:val="24"/>
                <w:highlight w:val="yellow"/>
                <w:lang w:bidi="ar"/>
              </w:rPr>
              <w:t xml:space="preserve">医疗机构名称</w:t>
            </w:r>
            <w:r/>
          </w:p>
        </w:tc>
        <w:tc>
          <w:tcPr>
            <w:tcW w:w="1863" w:type="dxa"/>
            <w:vAlign w:val="center"/>
            <w:textDirection w:val="lrTb"/>
            <w:noWrap w:val="false"/>
          </w:tcPr>
          <w:p>
            <w:pPr>
              <w:jc w:val="center"/>
              <w:keepLines w:val="0"/>
              <w:keepNext w:val="0"/>
              <w:pageBreakBefore w:val="0"/>
              <w:spacing w:line="400" w:lineRule="exact"/>
              <w:widowControl/>
              <w:rPr>
                <w:b/>
                <w:bCs/>
                <w:color w:val="000000"/>
                <w:sz w:val="24"/>
                <w:highlight w:val="yellow"/>
                <w:lang w:bidi="ar"/>
              </w:rPr>
            </w:pPr>
            <w:r>
              <w:rPr>
                <w:b/>
                <w:bCs/>
                <w:color w:val="000000"/>
                <w:sz w:val="24"/>
                <w:highlight w:val="yellow"/>
                <w:lang w:bidi="ar"/>
              </w:rPr>
              <w:t xml:space="preserve">各医疗机构预算/最高限价（元/年）</w:t>
            </w:r>
            <w:r/>
          </w:p>
        </w:tc>
        <w:tc>
          <w:tcPr>
            <w:tcW w:w="2481" w:type="dxa"/>
            <w:vAlign w:val="center"/>
            <w:textDirection w:val="lrTb"/>
            <w:noWrap w:val="false"/>
          </w:tcPr>
          <w:p>
            <w:pPr>
              <w:jc w:val="center"/>
              <w:keepLines w:val="0"/>
              <w:keepNext w:val="0"/>
              <w:pageBreakBefore w:val="0"/>
              <w:spacing w:line="400" w:lineRule="exact"/>
              <w:widowControl/>
              <w:rPr>
                <w:b/>
                <w:bCs/>
                <w:color w:val="000000"/>
                <w:sz w:val="24"/>
                <w:highlight w:val="yellow"/>
                <w:lang w:bidi="ar"/>
              </w:rPr>
            </w:pPr>
            <w:r>
              <w:rPr>
                <w:rFonts w:hint="eastAsia"/>
                <w:b/>
                <w:bCs/>
                <w:color w:val="000000"/>
                <w:sz w:val="24"/>
                <w:highlight w:val="yellow"/>
                <w:lang w:bidi="ar"/>
              </w:rPr>
              <w:t xml:space="preserve">各医疗机构1年投标</w:t>
            </w:r>
            <w:r>
              <w:rPr>
                <w:b/>
                <w:bCs/>
                <w:color w:val="000000"/>
                <w:sz w:val="24"/>
                <w:highlight w:val="yellow"/>
                <w:lang w:bidi="ar"/>
              </w:rPr>
              <w:t xml:space="preserve">报价（元）=财产综合险保费+机器设备损坏险保费+医疗责任险报价</w:t>
            </w:r>
            <w:r/>
          </w:p>
        </w:tc>
        <w:tc>
          <w:tcPr>
            <w:tcW w:w="1243" w:type="dxa"/>
            <w:vAlign w:val="center"/>
            <w:textDirection w:val="lrTb"/>
            <w:noWrap w:val="false"/>
          </w:tcPr>
          <w:p>
            <w:pPr>
              <w:jc w:val="center"/>
              <w:keepLines w:val="0"/>
              <w:keepNext w:val="0"/>
              <w:pageBreakBefore w:val="0"/>
              <w:spacing w:line="400" w:lineRule="exact"/>
              <w:widowControl/>
              <w:rPr>
                <w:b/>
                <w:bCs/>
                <w:color w:val="000000"/>
                <w:sz w:val="24"/>
                <w:highlight w:val="yellow"/>
              </w:rPr>
            </w:pPr>
            <w:r>
              <w:rPr>
                <w:rFonts w:hint="eastAsia"/>
                <w:b/>
                <w:bCs/>
                <w:color w:val="000000"/>
                <w:sz w:val="24"/>
                <w:highlight w:val="yellow"/>
                <w:lang w:bidi="ar"/>
              </w:rPr>
              <w:t xml:space="preserve">申报通过的预算年度数</w:t>
            </w:r>
            <w:r/>
          </w:p>
        </w:tc>
        <w:tc>
          <w:tcPr>
            <w:tcW w:w="1865" w:type="dxa"/>
            <w:vAlign w:val="center"/>
            <w:textDirection w:val="lrTb"/>
            <w:noWrap w:val="false"/>
          </w:tcPr>
          <w:p>
            <w:pPr>
              <w:jc w:val="center"/>
              <w:keepLines w:val="0"/>
              <w:keepNext w:val="0"/>
              <w:pageBreakBefore w:val="0"/>
              <w:spacing w:line="400" w:lineRule="exact"/>
              <w:widowControl/>
              <w:rPr>
                <w:b/>
                <w:bCs/>
                <w:color w:val="000000"/>
                <w:sz w:val="24"/>
                <w:highlight w:val="yellow"/>
              </w:rPr>
            </w:pPr>
            <w:r>
              <w:rPr>
                <w:rFonts w:hint="eastAsia"/>
                <w:b/>
                <w:bCs/>
                <w:color w:val="000000"/>
                <w:sz w:val="24"/>
                <w:highlight w:val="yellow"/>
                <w:lang w:bidi="ar"/>
              </w:rPr>
              <w:t xml:space="preserve">各医疗机构投标报价（元）=1年投标报价*申报通过的预算年度数</w:t>
            </w:r>
            <w:r/>
          </w:p>
        </w:tc>
      </w:tr>
      <w:tr>
        <w:trPr>
          <w:jc w:val="center"/>
          <w:trHeight w:val="600"/>
        </w:trPr>
        <w:tc>
          <w:tcPr>
            <w:tcW w:w="1717" w:type="dxa"/>
            <w:vAlign w:val="center"/>
            <w:textDirection w:val="lrTb"/>
            <w:noWrap w:val="false"/>
          </w:tcPr>
          <w:p>
            <w:pPr>
              <w:jc w:val="center"/>
              <w:keepLines w:val="0"/>
              <w:keepNext w:val="0"/>
              <w:pageBreakBefore w:val="0"/>
              <w:spacing w:line="400" w:lineRule="exact"/>
              <w:widowControl/>
              <w:rPr>
                <w:color w:val="000000"/>
                <w:sz w:val="24"/>
                <w:highlight w:val="yellow"/>
              </w:rPr>
            </w:pPr>
            <w:r>
              <w:rPr>
                <w:color w:val="000000"/>
                <w:sz w:val="24"/>
                <w:highlight w:val="yellow"/>
                <w:lang w:bidi="ar"/>
              </w:rPr>
              <w:t xml:space="preserve">常州市第一人民医院</w:t>
            </w:r>
            <w:r/>
          </w:p>
        </w:tc>
        <w:tc>
          <w:tcPr>
            <w:tcW w:w="1863"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lang w:bidi="ar"/>
              </w:rPr>
              <w:t xml:space="preserve">6750000</w:t>
            </w:r>
            <w:r/>
          </w:p>
        </w:tc>
        <w:tc>
          <w:tcPr>
            <w:tcW w:w="2481"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c>
          <w:tcPr>
            <w:tcW w:w="1243" w:type="dxa"/>
            <w:vAlign w:val="center"/>
            <w:textDirection w:val="lrTb"/>
            <w:noWrap w:val="false"/>
          </w:tcPr>
          <w:p>
            <w:pPr>
              <w:jc w:val="center"/>
              <w:keepLines w:val="0"/>
              <w:keepNext w:val="0"/>
              <w:pageBreakBefore w:val="0"/>
              <w:spacing w:line="400" w:lineRule="exact"/>
              <w:rPr>
                <w:color w:val="000000"/>
                <w:sz w:val="24"/>
                <w:highlight w:val="yellow"/>
              </w:rPr>
            </w:pPr>
            <w:r>
              <w:rPr>
                <w:rFonts w:hint="eastAsia"/>
                <w:color w:val="000000"/>
                <w:sz w:val="24"/>
                <w:highlight w:val="yellow"/>
                <w:lang w:bidi="ar"/>
              </w:rPr>
              <w:t xml:space="preserve">1年</w:t>
            </w:r>
            <w:r/>
          </w:p>
        </w:tc>
        <w:tc>
          <w:tcPr>
            <w:tcW w:w="1865"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r>
      <w:tr>
        <w:trPr>
          <w:jc w:val="center"/>
          <w:trHeight w:val="600"/>
        </w:trPr>
        <w:tc>
          <w:tcPr>
            <w:tcW w:w="1717" w:type="dxa"/>
            <w:vAlign w:val="center"/>
            <w:textDirection w:val="lrTb"/>
            <w:noWrap w:val="false"/>
          </w:tcPr>
          <w:p>
            <w:pPr>
              <w:jc w:val="center"/>
              <w:keepLines w:val="0"/>
              <w:keepNext w:val="0"/>
              <w:pageBreakBefore w:val="0"/>
              <w:spacing w:line="400" w:lineRule="exact"/>
              <w:widowControl/>
              <w:rPr>
                <w:color w:val="000000"/>
                <w:sz w:val="24"/>
                <w:highlight w:val="yellow"/>
                <w:lang w:bidi="ar"/>
              </w:rPr>
            </w:pPr>
            <w:r>
              <w:rPr>
                <w:sz w:val="24"/>
                <w:highlight w:val="yellow"/>
                <w:u w:val="single"/>
              </w:rPr>
              <w:t xml:space="preserve">常州市中医医院</w:t>
            </w:r>
            <w:r/>
          </w:p>
        </w:tc>
        <w:tc>
          <w:tcPr>
            <w:tcW w:w="1863"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lang w:bidi="ar"/>
              </w:rPr>
              <w:t xml:space="preserve">2150000</w:t>
            </w:r>
            <w:r/>
          </w:p>
        </w:tc>
        <w:tc>
          <w:tcPr>
            <w:tcW w:w="2481"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c>
          <w:tcPr>
            <w:tcW w:w="1243" w:type="dxa"/>
            <w:vAlign w:val="center"/>
            <w:textDirection w:val="lrTb"/>
            <w:noWrap w:val="false"/>
          </w:tcPr>
          <w:p>
            <w:pPr>
              <w:jc w:val="center"/>
              <w:keepLines w:val="0"/>
              <w:keepNext w:val="0"/>
              <w:pageBreakBefore w:val="0"/>
              <w:spacing w:line="400" w:lineRule="exact"/>
              <w:rPr>
                <w:color w:val="000000"/>
                <w:sz w:val="24"/>
                <w:highlight w:val="yellow"/>
              </w:rPr>
            </w:pPr>
            <w:r>
              <w:rPr>
                <w:rFonts w:hint="eastAsia"/>
                <w:color w:val="000000"/>
                <w:sz w:val="24"/>
                <w:highlight w:val="yellow"/>
                <w:lang w:bidi="ar"/>
              </w:rPr>
              <w:t xml:space="preserve">2年</w:t>
            </w:r>
            <w:r/>
          </w:p>
        </w:tc>
        <w:tc>
          <w:tcPr>
            <w:tcW w:w="1865"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r>
      <w:tr>
        <w:trPr>
          <w:jc w:val="center"/>
          <w:trHeight w:val="620"/>
        </w:trPr>
        <w:tc>
          <w:tcPr>
            <w:tcW w:w="1717" w:type="dxa"/>
            <w:vAlign w:val="center"/>
            <w:textDirection w:val="lrTb"/>
            <w:noWrap w:val="false"/>
          </w:tcPr>
          <w:p>
            <w:pPr>
              <w:jc w:val="center"/>
              <w:keepLines w:val="0"/>
              <w:keepNext w:val="0"/>
              <w:pageBreakBefore w:val="0"/>
              <w:spacing w:line="400" w:lineRule="exact"/>
              <w:widowControl/>
              <w:rPr>
                <w:sz w:val="24"/>
                <w:highlight w:val="yellow"/>
                <w:u w:val="single"/>
              </w:rPr>
            </w:pPr>
            <w:r>
              <w:rPr>
                <w:sz w:val="24"/>
                <w:highlight w:val="yellow"/>
                <w:u w:val="single"/>
              </w:rPr>
              <w:t xml:space="preserve">常州市妇幼保健院</w:t>
            </w:r>
            <w:r/>
          </w:p>
        </w:tc>
        <w:tc>
          <w:tcPr>
            <w:tcW w:w="1863"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lang w:bidi="ar"/>
              </w:rPr>
              <w:t xml:space="preserve">1950000</w:t>
            </w:r>
            <w:r/>
          </w:p>
        </w:tc>
        <w:tc>
          <w:tcPr>
            <w:tcW w:w="2481"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c>
          <w:tcPr>
            <w:tcW w:w="1243" w:type="dxa"/>
            <w:vAlign w:val="center"/>
            <w:textDirection w:val="lrTb"/>
            <w:noWrap w:val="false"/>
          </w:tcPr>
          <w:p>
            <w:pPr>
              <w:jc w:val="center"/>
              <w:keepLines w:val="0"/>
              <w:keepNext w:val="0"/>
              <w:pageBreakBefore w:val="0"/>
              <w:spacing w:line="400" w:lineRule="exact"/>
              <w:rPr>
                <w:color w:val="000000"/>
                <w:sz w:val="24"/>
                <w:highlight w:val="yellow"/>
              </w:rPr>
            </w:pPr>
            <w:r>
              <w:rPr>
                <w:rFonts w:hint="eastAsia"/>
                <w:color w:val="000000"/>
                <w:sz w:val="24"/>
                <w:highlight w:val="yellow"/>
                <w:lang w:bidi="ar"/>
              </w:rPr>
              <w:t xml:space="preserve">2年</w:t>
            </w:r>
            <w:r/>
          </w:p>
        </w:tc>
        <w:tc>
          <w:tcPr>
            <w:tcW w:w="1865"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r>
      <w:tr>
        <w:trPr>
          <w:jc w:val="center"/>
          <w:trHeight w:val="600"/>
        </w:trPr>
        <w:tc>
          <w:tcPr>
            <w:tcW w:w="1717" w:type="dxa"/>
            <w:vAlign w:val="center"/>
            <w:textDirection w:val="lrTb"/>
            <w:noWrap w:val="false"/>
          </w:tcPr>
          <w:p>
            <w:pPr>
              <w:jc w:val="center"/>
              <w:keepLines w:val="0"/>
              <w:keepNext w:val="0"/>
              <w:pageBreakBefore w:val="0"/>
              <w:spacing w:line="400" w:lineRule="exact"/>
              <w:widowControl/>
              <w:rPr>
                <w:color w:val="000000"/>
                <w:sz w:val="24"/>
                <w:highlight w:val="yellow"/>
                <w:lang w:bidi="ar"/>
              </w:rPr>
            </w:pPr>
            <w:r>
              <w:rPr>
                <w:sz w:val="24"/>
                <w:highlight w:val="yellow"/>
                <w:u w:val="single"/>
              </w:rPr>
              <w:t xml:space="preserve">常州市儿童医院</w:t>
            </w:r>
            <w:r/>
          </w:p>
        </w:tc>
        <w:tc>
          <w:tcPr>
            <w:tcW w:w="1863"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lang w:bidi="ar"/>
              </w:rPr>
              <w:t xml:space="preserve">860600</w:t>
            </w:r>
            <w:r/>
          </w:p>
        </w:tc>
        <w:tc>
          <w:tcPr>
            <w:tcW w:w="2481"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c>
          <w:tcPr>
            <w:tcW w:w="1243" w:type="dxa"/>
            <w:vAlign w:val="center"/>
            <w:textDirection w:val="lrTb"/>
            <w:noWrap w:val="false"/>
          </w:tcPr>
          <w:p>
            <w:pPr>
              <w:jc w:val="center"/>
              <w:keepLines w:val="0"/>
              <w:keepNext w:val="0"/>
              <w:pageBreakBefore w:val="0"/>
              <w:spacing w:line="400" w:lineRule="exact"/>
              <w:rPr>
                <w:color w:val="000000"/>
                <w:sz w:val="24"/>
                <w:highlight w:val="yellow"/>
              </w:rPr>
            </w:pPr>
            <w:r>
              <w:rPr>
                <w:rFonts w:hint="eastAsia"/>
                <w:color w:val="000000"/>
                <w:sz w:val="24"/>
                <w:highlight w:val="yellow"/>
                <w:lang w:bidi="ar"/>
              </w:rPr>
              <w:t xml:space="preserve">2年</w:t>
            </w:r>
            <w:r/>
          </w:p>
        </w:tc>
        <w:tc>
          <w:tcPr>
            <w:tcW w:w="1865"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r>
      <w:tr>
        <w:trPr>
          <w:jc w:val="center"/>
          <w:trHeight w:val="600"/>
        </w:trPr>
        <w:tc>
          <w:tcPr>
            <w:tcW w:w="1717" w:type="dxa"/>
            <w:vAlign w:val="center"/>
            <w:textDirection w:val="lrTb"/>
            <w:noWrap w:val="false"/>
          </w:tcPr>
          <w:p>
            <w:pPr>
              <w:jc w:val="center"/>
              <w:keepLines w:val="0"/>
              <w:keepNext w:val="0"/>
              <w:pageBreakBefore w:val="0"/>
              <w:spacing w:line="400" w:lineRule="exact"/>
              <w:widowControl/>
              <w:rPr>
                <w:color w:val="000000"/>
                <w:sz w:val="24"/>
                <w:highlight w:val="yellow"/>
                <w:lang w:bidi="ar"/>
              </w:rPr>
            </w:pPr>
            <w:r>
              <w:rPr>
                <w:sz w:val="24"/>
                <w:highlight w:val="yellow"/>
                <w:u w:val="single"/>
              </w:rPr>
              <w:t xml:space="preserve">常州市第七人民医院</w:t>
            </w:r>
            <w:r/>
          </w:p>
        </w:tc>
        <w:tc>
          <w:tcPr>
            <w:tcW w:w="1863"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lang w:bidi="ar"/>
              </w:rPr>
              <w:t xml:space="preserve">1100000</w:t>
            </w:r>
            <w:r/>
          </w:p>
        </w:tc>
        <w:tc>
          <w:tcPr>
            <w:tcW w:w="2481"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c>
          <w:tcPr>
            <w:tcW w:w="1243" w:type="dxa"/>
            <w:vAlign w:val="center"/>
            <w:textDirection w:val="lrTb"/>
            <w:noWrap w:val="false"/>
          </w:tcPr>
          <w:p>
            <w:pPr>
              <w:jc w:val="center"/>
              <w:keepLines w:val="0"/>
              <w:keepNext w:val="0"/>
              <w:pageBreakBefore w:val="0"/>
              <w:spacing w:line="400" w:lineRule="exact"/>
              <w:rPr>
                <w:color w:val="000000"/>
                <w:sz w:val="24"/>
                <w:highlight w:val="yellow"/>
              </w:rPr>
            </w:pPr>
            <w:r>
              <w:rPr>
                <w:rFonts w:hint="eastAsia"/>
                <w:color w:val="000000"/>
                <w:sz w:val="24"/>
                <w:highlight w:val="yellow"/>
                <w:lang w:bidi="ar"/>
              </w:rPr>
              <w:t xml:space="preserve">2年</w:t>
            </w:r>
            <w:r/>
          </w:p>
        </w:tc>
        <w:tc>
          <w:tcPr>
            <w:tcW w:w="1865" w:type="dxa"/>
            <w:vAlign w:val="center"/>
            <w:textDirection w:val="lrTb"/>
            <w:noWrap w:val="false"/>
          </w:tcPr>
          <w:p>
            <w:pPr>
              <w:jc w:val="center"/>
              <w:keepLines w:val="0"/>
              <w:keepNext w:val="0"/>
              <w:pageBreakBefore w:val="0"/>
              <w:spacing w:line="400" w:lineRule="exact"/>
              <w:rPr>
                <w:color w:val="000000"/>
                <w:sz w:val="24"/>
                <w:highlight w:val="yellow"/>
              </w:rPr>
            </w:pPr>
            <w:r>
              <w:rPr>
                <w:color w:val="000000"/>
                <w:sz w:val="24"/>
                <w:highlight w:val="yellow"/>
              </w:rPr>
            </w:r>
            <w:r/>
          </w:p>
        </w:tc>
      </w:tr>
      <w:tr>
        <w:trPr>
          <w:jc w:val="center"/>
          <w:trHeight w:val="600"/>
        </w:trPr>
        <w:tc>
          <w:tcPr>
            <w:gridSpan w:val="4"/>
            <w:tcW w:w="7304" w:type="dxa"/>
            <w:vAlign w:val="center"/>
            <w:textDirection w:val="lrTb"/>
            <w:noWrap w:val="false"/>
          </w:tcPr>
          <w:p>
            <w:pPr>
              <w:jc w:val="center"/>
              <w:keepLines w:val="0"/>
              <w:keepNext w:val="0"/>
              <w:pageBreakBefore w:val="0"/>
              <w:spacing w:line="400" w:lineRule="exact"/>
              <w:rPr>
                <w:b/>
                <w:bCs/>
                <w:color w:val="000000"/>
                <w:sz w:val="24"/>
                <w:lang w:bidi="ar"/>
              </w:rPr>
            </w:pPr>
            <w:r>
              <w:rPr>
                <w:b/>
                <w:bCs/>
                <w:sz w:val="24"/>
                <w:highlight w:val="yellow"/>
                <w:u w:val="single"/>
              </w:rPr>
              <w:t xml:space="preserve">合计</w:t>
            </w:r>
            <w:r>
              <w:rPr>
                <w:rStyle w:val="999"/>
                <w:rFonts w:hint="eastAsia"/>
                <w:b/>
                <w:bCs/>
                <w:sz w:val="24"/>
                <w:highlight w:val="yellow"/>
                <w:u w:val="single"/>
              </w:rPr>
              <w:t xml:space="preserve">投标总报价（元）</w:t>
            </w:r>
            <w:r/>
          </w:p>
        </w:tc>
        <w:tc>
          <w:tcPr>
            <w:tcW w:w="1865" w:type="dxa"/>
            <w:vAlign w:val="center"/>
            <w:textDirection w:val="lrTb"/>
            <w:noWrap w:val="false"/>
          </w:tcPr>
          <w:p>
            <w:pPr>
              <w:jc w:val="center"/>
              <w:keepLines w:val="0"/>
              <w:keepNext w:val="0"/>
              <w:pageBreakBefore w:val="0"/>
              <w:spacing w:line="400" w:lineRule="exact"/>
              <w:rPr>
                <w:color w:val="000000"/>
                <w:sz w:val="24"/>
              </w:rPr>
            </w:pPr>
            <w:r>
              <w:rPr>
                <w:color w:val="000000"/>
                <w:sz w:val="24"/>
              </w:rPr>
            </w:r>
            <w:r/>
          </w:p>
        </w:tc>
      </w:tr>
    </w:tbl>
    <w:p>
      <w:pPr>
        <w:jc w:val="left"/>
        <w:rPr>
          <w:b/>
          <w:sz w:val="24"/>
        </w:rPr>
      </w:pPr>
      <w:r>
        <w:rPr>
          <w:b/>
          <w:sz w:val="24"/>
        </w:rPr>
      </w:r>
      <w:r/>
    </w:p>
    <w:p>
      <w:pPr>
        <w:jc w:val="left"/>
        <w:rPr>
          <w:rFonts w:hint="eastAsia" w:eastAsia="宋体"/>
          <w:b/>
          <w:bCs/>
          <w:lang w:eastAsia="zh-CN"/>
        </w:rPr>
      </w:pPr>
      <w:r>
        <w:rPr>
          <w:rFonts w:hint="eastAsia"/>
          <w:b/>
        </w:rPr>
        <w:t xml:space="preserve">注：1.各</w:t>
      </w:r>
      <w:r>
        <w:rPr>
          <w:rFonts w:hint="eastAsia"/>
          <w:b/>
          <w:bCs/>
        </w:rPr>
        <w:t xml:space="preserve">医疗机构“</w:t>
      </w:r>
      <w:r>
        <w:rPr>
          <w:rFonts w:hint="eastAsia"/>
          <w:b/>
          <w:bCs/>
          <w:lang w:bidi="ar"/>
        </w:rPr>
        <w:t xml:space="preserve">财</w:t>
      </w:r>
      <w:r>
        <w:rPr>
          <w:rFonts w:hint="eastAsia"/>
          <w:b/>
          <w:bCs/>
          <w:color w:val="000000"/>
          <w:lang w:bidi="ar"/>
        </w:rPr>
        <w:t xml:space="preserve">产</w:t>
      </w:r>
      <w:r>
        <w:rPr>
          <w:rFonts w:hint="eastAsia"/>
          <w:b/>
          <w:bCs/>
          <w:lang w:bidi="ar"/>
        </w:rPr>
        <w:t xml:space="preserve">综合险保费+机器设备损坏险保费</w:t>
      </w:r>
      <w:r>
        <w:rPr>
          <w:rFonts w:hint="eastAsia"/>
          <w:b/>
          <w:bCs/>
        </w:rPr>
        <w:t xml:space="preserve">”的最高限价=各医疗机构最高限价-各医疗机构医责险最高限价。</w:t>
      </w:r>
      <w:r>
        <w:rPr>
          <w:rFonts w:hint="eastAsia"/>
          <w:b/>
          <w:bCs/>
          <w:lang w:eastAsia="zh-CN"/>
        </w:rPr>
        <w:t xml:space="preserve">（</w:t>
      </w:r>
      <w:r>
        <w:rPr>
          <w:rFonts w:hint="eastAsia"/>
          <w:b/>
          <w:bCs/>
          <w:lang w:val="en-US" w:eastAsia="zh-CN"/>
        </w:rPr>
        <w:t xml:space="preserve">最高限价均为单年度限价</w:t>
      </w:r>
      <w:r>
        <w:rPr>
          <w:rFonts w:hint="eastAsia"/>
          <w:b/>
          <w:bCs/>
          <w:lang w:eastAsia="zh-CN"/>
        </w:rPr>
        <w:t xml:space="preserve">）</w:t>
      </w:r>
      <w:r/>
    </w:p>
    <w:p>
      <w:pPr>
        <w:numPr>
          <w:ilvl w:val="0"/>
          <w:numId w:val="6"/>
        </w:numPr>
        <w:ind w:firstLine="482"/>
        <w:jc w:val="left"/>
        <w:rPr>
          <w:rFonts w:hint="eastAsia"/>
          <w:b/>
          <w:bCs/>
          <w:lang w:eastAsia="zh-CN"/>
        </w:rPr>
      </w:pPr>
      <w:r>
        <w:rPr>
          <w:rFonts w:hint="eastAsia"/>
          <w:b/>
          <w:bCs/>
        </w:rPr>
        <w:t xml:space="preserve">投标人报价不得超过各医疗机构最高限价，超过最高限价的报价视为无效投标。投标分项报价表汇总必须填写和提供，用于判定是否超过各医疗机构最高限价。</w:t>
      </w:r>
      <w:r>
        <w:rPr>
          <w:rFonts w:hint="eastAsia"/>
          <w:b/>
          <w:bCs/>
          <w:lang w:eastAsia="zh-CN"/>
        </w:rPr>
        <w:t xml:space="preserve">（</w:t>
      </w:r>
      <w:r>
        <w:rPr>
          <w:rFonts w:hint="eastAsia"/>
          <w:b/>
          <w:bCs/>
          <w:lang w:val="en-US" w:eastAsia="zh-CN"/>
        </w:rPr>
        <w:t xml:space="preserve">最高限价均为单年度限价</w:t>
      </w:r>
      <w:r>
        <w:rPr>
          <w:rFonts w:hint="eastAsia"/>
          <w:b/>
          <w:bCs/>
          <w:lang w:eastAsia="zh-CN"/>
        </w:rPr>
        <w:t xml:space="preserve">）</w:t>
      </w:r>
      <w:r/>
    </w:p>
    <w:p>
      <w:pPr>
        <w:ind w:firstLine="482"/>
        <w:jc w:val="left"/>
        <w:rPr>
          <w:b/>
          <w:bCs/>
        </w:rPr>
      </w:pPr>
      <w:r>
        <w:rPr>
          <w:rFonts w:hint="eastAsia"/>
          <w:b/>
          <w:bCs/>
        </w:rPr>
        <w:t xml:space="preserve">3.分项报价表三（附加承诺保障）的保费由报价表二予以涵盖。</w:t>
      </w:r>
      <w:r/>
    </w:p>
    <w:p>
      <w:pPr>
        <w:ind w:firstLine="422"/>
        <w:rPr>
          <w:rFonts w:hint="eastAsia" w:eastAsia="宋体"/>
          <w:b/>
          <w:bCs/>
          <w:lang w:eastAsia="zh-CN"/>
        </w:rPr>
      </w:pPr>
      <w:r>
        <w:rPr>
          <w:rFonts w:hint="eastAsia"/>
          <w:b/>
          <w:bCs/>
        </w:rPr>
        <w:t xml:space="preserve">4.投标总</w:t>
      </w:r>
      <w:r>
        <w:rPr>
          <w:rFonts w:hint="eastAsia"/>
          <w:b/>
          <w:bCs/>
          <w:lang w:val="en-US" w:eastAsia="zh-CN"/>
        </w:rPr>
        <w:t xml:space="preserve">报</w:t>
      </w:r>
      <w:r>
        <w:rPr>
          <w:rFonts w:hint="eastAsia"/>
          <w:b/>
          <w:bCs/>
        </w:rPr>
        <w:t xml:space="preserve">价=</w:t>
      </w:r>
      <w:r>
        <w:rPr>
          <w:rFonts w:hint="eastAsia"/>
          <w:b/>
          <w:bCs/>
          <w:lang w:eastAsia="zh-CN"/>
        </w:rPr>
        <w:t xml:space="preserve">（</w:t>
      </w:r>
      <w:r>
        <w:rPr>
          <w:rFonts w:hint="eastAsia"/>
          <w:b/>
          <w:bCs/>
        </w:rPr>
        <w:t xml:space="preserve">分项报价表一+分项报价表二</w:t>
      </w:r>
      <w:r>
        <w:rPr>
          <w:rFonts w:hint="eastAsia"/>
          <w:b/>
          <w:bCs/>
          <w:lang w:eastAsia="zh-CN"/>
        </w:rPr>
        <w:t xml:space="preserve">）</w:t>
      </w:r>
      <w:r>
        <w:rPr>
          <w:rFonts w:hint="eastAsia"/>
          <w:b/>
          <w:bCs/>
          <w:lang w:val="en-US" w:eastAsia="zh-CN"/>
        </w:rPr>
        <w:t xml:space="preserve">*申报通过的预算年度数</w:t>
      </w:r>
      <w:r>
        <w:rPr>
          <w:rFonts w:hint="eastAsia"/>
          <w:b/>
          <w:bCs/>
        </w:rPr>
        <w:t xml:space="preserve">。</w:t>
      </w:r>
      <w:r>
        <w:rPr>
          <w:rFonts w:hint="eastAsia"/>
          <w:b/>
          <w:bCs/>
          <w:lang w:eastAsia="zh-CN"/>
        </w:rPr>
        <w:t xml:space="preserve">（</w:t>
      </w:r>
      <w:r>
        <w:rPr>
          <w:rFonts w:hint="eastAsia"/>
          <w:b/>
          <w:bCs/>
          <w:lang w:val="en-US" w:eastAsia="zh-CN"/>
        </w:rPr>
        <w:t xml:space="preserve">见“投标分项报价表汇总”</w:t>
      </w:r>
      <w:r>
        <w:rPr>
          <w:rFonts w:hint="eastAsia"/>
          <w:b/>
          <w:bCs/>
          <w:lang w:eastAsia="zh-CN"/>
        </w:rPr>
        <w:t xml:space="preserve">）</w:t>
      </w:r>
      <w:r/>
    </w:p>
    <w:p>
      <w:pPr>
        <w:ind w:firstLine="422"/>
        <w:jc w:val="left"/>
        <w:rPr>
          <w:b/>
          <w:bCs/>
        </w:rPr>
      </w:pPr>
      <w:r>
        <w:rPr>
          <w:b/>
          <w:bCs/>
        </w:rPr>
        <w:t xml:space="preserve">5.</w:t>
      </w:r>
      <w:r>
        <w:rPr>
          <w:rFonts w:hint="eastAsia"/>
          <w:b/>
          <w:bCs/>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22"/>
        <w:jc w:val="left"/>
        <w:rPr>
          <w:b/>
          <w:bCs/>
        </w:rPr>
      </w:pPr>
      <w:r>
        <w:rPr>
          <w:b/>
          <w:bCs/>
        </w:rPr>
        <w:t xml:space="preserve">6</w:t>
      </w:r>
      <w:r>
        <w:rPr>
          <w:rFonts w:hint="eastAsia"/>
          <w:b/>
          <w:bCs/>
        </w:rPr>
        <w:t xml:space="preserve">. “投标分项报价表”中“投标总报价”数额应当与“开标一览表”中“投标总报价”数额一致。</w:t>
      </w:r>
      <w:r/>
    </w:p>
    <w:p>
      <w:pPr>
        <w:jc w:val="left"/>
        <w:rPr>
          <w:b/>
          <w:color w:val="000000"/>
          <w:sz w:val="24"/>
        </w:rPr>
      </w:pPr>
      <w:r>
        <w:rPr>
          <w:b/>
          <w:color w:val="000000"/>
          <w:sz w:val="24"/>
        </w:rPr>
      </w:r>
      <w:r/>
    </w:p>
    <w:p>
      <w:pPr>
        <w:jc w:val="left"/>
        <w:rPr>
          <w:bCs/>
          <w:sz w:val="24"/>
        </w:rPr>
      </w:pPr>
      <w:r>
        <w:rPr>
          <w:bCs/>
          <w:color w:val="000000"/>
          <w:sz w:val="24"/>
        </w:rPr>
        <w:t xml:space="preserve">我司承诺：若中标严格按照本招标文件设置的保额进行承保。</w:t>
      </w:r>
      <w:r/>
    </w:p>
    <w:p>
      <w:pPr>
        <w:rPr>
          <w:sz w:val="24"/>
          <w:u w:val="single"/>
        </w:rPr>
      </w:pPr>
      <w:r>
        <w:rPr>
          <w:sz w:val="24"/>
        </w:rPr>
        <w:t xml:space="preserve">法定代表人（或单位负责人）（签字或盖章）：</w:t>
      </w:r>
      <w:r>
        <w:rPr>
          <w:sz w:val="24"/>
          <w:u w:val="single"/>
        </w:rPr>
        <w:t xml:space="preserve">                                  </w:t>
      </w:r>
      <w:r/>
    </w:p>
    <w:p>
      <w:pPr>
        <w:rPr>
          <w:sz w:val="24"/>
          <w:szCs w:val="24"/>
        </w:rPr>
      </w:pPr>
      <w:r>
        <w:rPr>
          <w:sz w:val="24"/>
          <w:szCs w:val="24"/>
        </w:rPr>
        <w:t xml:space="preserve">供应商全称（加盖CA电子公章）：</w:t>
      </w:r>
      <w:r/>
    </w:p>
    <w:p>
      <w:pPr>
        <w:rPr>
          <w:rFonts w:ascii="黑体" w:hAnsi="黑体" w:eastAsia="黑体"/>
          <w:b/>
          <w:sz w:val="32"/>
          <w:szCs w:val="32"/>
        </w:rPr>
      </w:pPr>
      <w:r>
        <w:rPr>
          <w:sz w:val="24"/>
        </w:rPr>
        <w:t xml:space="preserve">日期：</w:t>
      </w:r>
      <w:r>
        <w:rPr>
          <w:sz w:val="24"/>
          <w:u w:val="single"/>
        </w:rPr>
        <w:t xml:space="preserve">                   </w:t>
      </w:r>
      <w:r/>
    </w:p>
    <w:p>
      <w:pPr>
        <w:jc w:val="center"/>
        <w:rPr>
          <w:rFonts w:ascii="黑体" w:hAnsi="黑体" w:eastAsia="黑体"/>
          <w:b/>
          <w:bCs/>
          <w:sz w:val="32"/>
          <w:szCs w:val="32"/>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jc w:val="center"/>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jc w:val="center"/>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jc w:val="center"/>
        <w:rPr>
          <w:rFonts w:hint="eastAsia" w:ascii="黑体" w:hAnsi="黑体" w:eastAsia="黑体"/>
          <w:b/>
          <w:bCs/>
          <w:sz w:val="32"/>
          <w:szCs w:val="32"/>
          <w:highlight w:val="none"/>
        </w:rPr>
      </w:pPr>
      <w:r>
        <w:rPr>
          <w:rFonts w:hint="eastAsia" w:ascii="黑体" w:hAnsi="黑体" w:eastAsia="黑体"/>
          <w:b/>
          <w:sz w:val="32"/>
          <w:szCs w:val="32"/>
        </w:rPr>
        <w:t xml:space="preserve">八、技术要求响应及偏离表（分包号：**）</w:t>
      </w:r>
      <w:r/>
    </w:p>
    <w:tbl>
      <w:tblPr>
        <w:tblStyle w:val="96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szCs w:val="32"/>
        </w:rPr>
      </w:pPr>
      <w:r>
        <w:rPr>
          <w:rFonts w:ascii="黑体" w:hAnsi="Arial" w:eastAsia="黑体"/>
          <w:sz w:val="32"/>
        </w:rPr>
      </w:r>
      <w:r>
        <w:rPr>
          <w:rFonts w:ascii="黑体" w:hAnsi="Arial" w:eastAsia="黑体"/>
          <w:sz w:val="32"/>
        </w:rPr>
      </w: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r/>
    </w:p>
    <w:p>
      <w:pPr>
        <w:rPr>
          <w:rFonts w:ascii="黑体" w:hAnsi="Arial" w:eastAsia="黑体"/>
          <w:sz w:val="32"/>
          <w:szCs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20"/>
      <w:r/>
      <w:r/>
    </w:p>
    <w:p>
      <w:pPr>
        <w:jc w:val="center"/>
        <w:rPr>
          <w:rFonts w:ascii="黑体" w:hAnsi="黑体" w:eastAsia="黑体"/>
          <w:b/>
          <w:sz w:val="32"/>
          <w:szCs w:val="32"/>
        </w:rPr>
      </w:pPr>
      <w:r/>
      <w:bookmarkStart w:id="224" w:name="_Hlt26955054"/>
      <w:r/>
      <w:bookmarkEnd w:id="224"/>
      <w:r>
        <w:rPr>
          <w:rFonts w:hint="eastAsia" w:ascii="黑体" w:hAnsi="黑体" w:eastAsia="黑体"/>
          <w:b/>
          <w:sz w:val="32"/>
          <w:szCs w:val="32"/>
        </w:rPr>
        <w:t xml:space="preserve">九、商务要求响应及偏离表（分包号：**）</w:t>
      </w:r>
      <w:r/>
    </w:p>
    <w:tbl>
      <w:tblPr>
        <w:tblStyle w:val="96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25" w:name="_Hlt26609391"/>
            <w:r/>
            <w:bookmarkEnd w:id="225"/>
            <w:r/>
            <w:bookmarkStart w:id="226" w:name="_Hlt26580838"/>
            <w:r/>
            <w:bookmarkEnd w:id="226"/>
            <w:r/>
            <w:bookmarkStart w:id="227" w:name="_Hlt26671372"/>
            <w:r/>
            <w:bookmarkEnd w:id="227"/>
            <w:r/>
            <w:bookmarkStart w:id="228" w:name="_Hlt26782999"/>
            <w:r/>
            <w:bookmarkEnd w:id="228"/>
            <w:r/>
            <w:bookmarkStart w:id="229" w:name="_Hlt26955056"/>
            <w:r/>
            <w:bookmarkEnd w:id="229"/>
            <w:r/>
            <w:bookmarkStart w:id="230" w:name="_Hlt24879081"/>
            <w:r/>
            <w:bookmarkEnd w:id="230"/>
            <w:r/>
            <w:bookmarkStart w:id="231" w:name="_Hlt26955064"/>
            <w:r/>
            <w:bookmarkEnd w:id="231"/>
            <w:r/>
            <w:bookmarkStart w:id="232" w:name="_Hlt26671343"/>
            <w:r/>
            <w:bookmarkEnd w:id="23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62"/>
        <w:ind w:firstLine="0"/>
        <w:rPr>
          <w:rFonts w:eastAsia="仿宋_GB2312"/>
          <w:sz w:val="24"/>
          <w:szCs w:val="20"/>
        </w:rPr>
      </w:pPr>
      <w:r/>
      <w:bookmarkStart w:id="233" w:name="_Hlt26671374"/>
      <w:r/>
      <w:bookmarkEnd w:id="233"/>
      <w:r/>
      <w:bookmarkStart w:id="234" w:name="_Hlt26955066"/>
      <w:r/>
      <w:bookmarkEnd w:id="234"/>
      <w:r/>
      <w:bookmarkStart w:id="235" w:name="_Hlt26609389"/>
      <w:r/>
      <w:bookmarkEnd w:id="235"/>
      <w:r/>
      <w:bookmarkStart w:id="236" w:name="_Toc462564146"/>
      <w:r>
        <w:rPr>
          <w:rFonts w:hint="eastAsia" w:ascii="宋体" w:hAnsi="宋体"/>
          <w:sz w:val="24"/>
        </w:rPr>
        <w:br w:type="page" w:clear="all"/>
      </w:r>
      <w:bookmarkEnd w:id="195"/>
      <w:r/>
      <w:bookmarkEnd w:id="196"/>
      <w:r/>
      <w:bookmarkEnd w:id="236"/>
      <w:r/>
      <w:bookmarkStart w:id="237" w:name="_格式2__法定代表人授权书"/>
      <w:r/>
      <w:bookmarkEnd w:id="237"/>
      <w:r>
        <w:rPr>
          <w:rFonts w:hint="eastAsia" w:ascii="黑体" w:hAnsi="黑体" w:eastAsia="黑体"/>
          <w:b/>
          <w:i/>
          <w:sz w:val="32"/>
          <w:szCs w:val="32"/>
          <w:u w:val="single"/>
        </w:rPr>
        <w:t xml:space="preserve">十、开标一览表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961"/>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38"/>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hint="default" w:ascii="Times New Roman" w:hAnsi="Times New Roman" w:eastAsia="宋体" w:cs="Times New Roman"/>
          <w:b/>
          <w:i/>
          <w:sz w:val="32"/>
          <w:szCs w:val="32"/>
          <w:highlight w:val="none"/>
          <w:u w:val="single"/>
        </w:rPr>
      </w:pPr>
      <w:r>
        <w:rPr>
          <w:rFonts w:hint="default" w:ascii="Times New Roman" w:hAnsi="Times New Roman" w:eastAsia="宋体" w:cs="Times New Roman"/>
          <w:b/>
          <w:i/>
          <w:sz w:val="32"/>
          <w:szCs w:val="32"/>
          <w:highlight w:val="none"/>
          <w:u w:val="single"/>
        </w:rPr>
        <w:t xml:space="preserve">十</w:t>
      </w:r>
      <w:r>
        <w:rPr>
          <w:rFonts w:hint="default" w:ascii="Times New Roman" w:hAnsi="Times New Roman" w:eastAsia="宋体" w:cs="Times New Roman"/>
          <w:b/>
          <w:i/>
          <w:sz w:val="32"/>
          <w:szCs w:val="32"/>
          <w:highlight w:val="none"/>
          <w:u w:val="single"/>
          <w:lang w:val="en-US" w:eastAsia="zh-CN"/>
        </w:rPr>
        <w:t xml:space="preserve">一</w:t>
      </w:r>
      <w:r>
        <w:rPr>
          <w:rFonts w:hint="default" w:ascii="Times New Roman" w:hAnsi="Times New Roman" w:eastAsia="宋体" w:cs="Times New Roman"/>
          <w:b/>
          <w:i/>
          <w:sz w:val="32"/>
          <w:szCs w:val="32"/>
          <w:highlight w:val="none"/>
          <w:u w:val="single"/>
        </w:rPr>
        <w:t xml:space="preserve">、保险条款、费率报备手续说明（实质性格式）</w:t>
      </w:r>
      <w:r/>
    </w:p>
    <w:p>
      <w:pPr>
        <w:rPr>
          <w:rFonts w:hint="default" w:ascii="Times New Roman" w:hAnsi="Times New Roman" w:eastAsia="宋体" w:cs="Times New Roman"/>
          <w:b/>
          <w:sz w:val="32"/>
          <w:highlight w:val="none"/>
        </w:rPr>
      </w:pPr>
      <w:r>
        <w:rPr>
          <w:rFonts w:hint="default" w:ascii="Times New Roman" w:hAnsi="Times New Roman" w:eastAsia="宋体" w:cs="Times New Roman"/>
          <w:b/>
          <w:sz w:val="32"/>
          <w:highlight w:val="none"/>
        </w:rPr>
      </w:r>
      <w:r/>
    </w:p>
    <w:p>
      <w:pPr>
        <w:jc w:val="center"/>
        <w:spacing w:line="480" w:lineRule="auto"/>
        <w:rPr>
          <w:rFonts w:hint="default" w:ascii="Times New Roman" w:hAnsi="Times New Roman" w:eastAsia="宋体" w:cs="Times New Roman"/>
          <w:b/>
          <w:bCs/>
          <w:sz w:val="28"/>
          <w:szCs w:val="28"/>
          <w:highlight w:val="none"/>
        </w:rPr>
      </w:pPr>
      <w:r>
        <w:rPr>
          <w:rFonts w:hint="default" w:ascii="Times New Roman" w:hAnsi="Times New Roman" w:eastAsia="宋体" w:cs="Times New Roman"/>
          <w:b/>
          <w:bCs/>
          <w:sz w:val="28"/>
          <w:szCs w:val="28"/>
          <w:highlight w:val="none"/>
        </w:rPr>
        <w:t xml:space="preserve">保险条款、费率报备手续说明</w:t>
      </w:r>
      <w:r/>
    </w:p>
    <w:p>
      <w:pPr>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highlight w:val="none"/>
        </w:rPr>
        <w:t xml:space="preserve">常州市政府采购中心</w:t>
      </w:r>
      <w:r>
        <w:rPr>
          <w:rFonts w:hint="default" w:ascii="Times New Roman" w:hAnsi="Times New Roman" w:eastAsia="宋体" w:cs="Times New Roman"/>
          <w:color w:val="000000"/>
          <w:sz w:val="24"/>
          <w:szCs w:val="24"/>
          <w:highlight w:val="none"/>
        </w:rPr>
        <w:t xml:space="preserve">：</w:t>
      </w:r>
      <w:r/>
    </w:p>
    <w:p>
      <w:pPr>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highlight w:val="none"/>
          <w:u w:val="single"/>
        </w:rPr>
        <w:t xml:space="preserve">（采购人名称）</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我公司承诺，投标文件中所涉（1）财产综合险。</w:t>
      </w:r>
      <w:r/>
    </w:p>
    <w:p>
      <w:pPr>
        <w:ind w:firstLine="353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（2）机器设备损坏险。</w:t>
      </w:r>
      <w:r/>
    </w:p>
    <w:p>
      <w:pPr>
        <w:ind w:firstLine="353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（3）医疗责任险。</w:t>
      </w:r>
      <w:r/>
    </w:p>
    <w:p>
      <w:pPr>
        <w:ind w:firstLine="353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（4）附加医疗机构场所责任保险。</w:t>
      </w:r>
      <w:r/>
    </w:p>
    <w:p>
      <w:pPr>
        <w:ind w:firstLine="353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（5）附加医务人员遭受伤害责任保险。</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szCs w:val="24"/>
          <w:highlight w:val="none"/>
        </w:rPr>
        <w:t xml:space="preserve">这5项保险条款及费率，</w:t>
      </w:r>
      <w:r>
        <w:rPr>
          <w:rFonts w:hint="default" w:ascii="Times New Roman" w:hAnsi="Times New Roman" w:eastAsia="宋体" w:cs="Times New Roman"/>
          <w:sz w:val="24"/>
          <w:highlight w:val="none"/>
        </w:rPr>
        <w:t xml:space="preserve">在中标后30日内向国家金融监督管理总局（原中国银行保险监督管理委员会）报备。</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条款名称以各投标人向国家金融监督管理总局（原中国银行保险监督管理委员会）报批或报备的名称为准。</w:t>
      </w:r>
      <w:r/>
    </w:p>
    <w:p>
      <w:pPr>
        <w:ind w:firstLine="48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before="25" w:after="25" w:line="360" w:lineRule="auto"/>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sz w:val="24"/>
          <w:szCs w:val="24"/>
          <w:highlight w:val="none"/>
        </w:rPr>
        <w:t xml:space="preserve">投标人名称</w:t>
      </w:r>
      <w:r>
        <w:rPr>
          <w:rFonts w:hint="default" w:ascii="Times New Roman" w:hAnsi="Times New Roman" w:eastAsia="宋体" w:cs="Times New Roman"/>
          <w:color w:val="000000"/>
          <w:sz w:val="24"/>
          <w:highlight w:val="none"/>
        </w:rPr>
        <w:t xml:space="preserve">（加盖公章）</w:t>
      </w:r>
      <w:r>
        <w:rPr>
          <w:rFonts w:hint="default" w:ascii="Times New Roman" w:hAnsi="Times New Roman" w:eastAsia="宋体" w:cs="Times New Roman"/>
          <w:color w:val="000000"/>
          <w:sz w:val="24"/>
          <w:highlight w:val="none"/>
          <w:lang w:val="zh-CN"/>
        </w:rPr>
        <w:t xml:space="preserve">：    ____________</w:t>
      </w:r>
      <w:r/>
    </w:p>
    <w:p>
      <w:pPr>
        <w:spacing w:before="25" w:after="25" w:line="360" w:lineRule="auto"/>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color w:val="000000"/>
          <w:sz w:val="24"/>
          <w:highlight w:val="none"/>
          <w:lang w:val="zh-CN"/>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法定代表人或代理人（签字或盖章）：</w:t>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left"/>
        <w:spacing w:line="480" w:lineRule="auto"/>
        <w:rPr>
          <w:rFonts w:hint="default" w:ascii="Times New Roman" w:hAnsi="Times New Roman" w:eastAsia="宋体" w:cs="Times New Roman"/>
          <w:b/>
          <w:bCs/>
          <w:i/>
          <w:color w:val="000000"/>
          <w:sz w:val="24"/>
          <w:szCs w:val="24"/>
          <w:highlight w:val="none"/>
          <w:u w:val="single"/>
        </w:rPr>
      </w:pPr>
      <w:r>
        <w:rPr>
          <w:rFonts w:hint="default" w:ascii="Times New Roman" w:hAnsi="Times New Roman" w:eastAsia="宋体" w:cs="Times New Roman"/>
          <w:b/>
          <w:i/>
          <w:sz w:val="32"/>
          <w:szCs w:val="32"/>
          <w:highlight w:val="none"/>
          <w:u w:val="single"/>
        </w:rPr>
        <w:t xml:space="preserve">十</w:t>
      </w:r>
      <w:r>
        <w:rPr>
          <w:rFonts w:hint="default" w:ascii="Times New Roman" w:hAnsi="Times New Roman" w:eastAsia="宋体" w:cs="Times New Roman"/>
          <w:b/>
          <w:i/>
          <w:sz w:val="32"/>
          <w:szCs w:val="32"/>
          <w:highlight w:val="none"/>
          <w:u w:val="single"/>
          <w:lang w:val="en-US" w:eastAsia="zh-CN"/>
        </w:rPr>
        <w:t xml:space="preserve">二</w:t>
      </w:r>
      <w:r>
        <w:rPr>
          <w:rFonts w:hint="default" w:ascii="Times New Roman" w:hAnsi="Times New Roman" w:eastAsia="宋体" w:cs="Times New Roman"/>
          <w:b/>
          <w:i/>
          <w:sz w:val="32"/>
          <w:szCs w:val="32"/>
          <w:highlight w:val="none"/>
          <w:u w:val="single"/>
        </w:rPr>
        <w:t xml:space="preserve">、同意接受对本项目保险责任起期的书面承诺（实质性格式）</w:t>
      </w:r>
      <w:r/>
    </w:p>
    <w:p>
      <w:pPr>
        <w:rPr>
          <w:rFonts w:hint="default" w:ascii="Times New Roman" w:hAnsi="Times New Roman" w:eastAsia="宋体" w:cs="Times New Roman"/>
          <w:b/>
          <w:sz w:val="32"/>
          <w:highlight w:val="none"/>
        </w:rPr>
      </w:pPr>
      <w:r>
        <w:rPr>
          <w:rFonts w:hint="default" w:ascii="Times New Roman" w:hAnsi="Times New Roman" w:eastAsia="宋体" w:cs="Times New Roman"/>
          <w:b/>
          <w:sz w:val="32"/>
          <w:highlight w:val="none"/>
        </w:rPr>
      </w:r>
      <w:r/>
    </w:p>
    <w:p>
      <w:pPr>
        <w:jc w:val="center"/>
        <w:spacing w:line="360" w:lineRule="auto"/>
        <w:rPr>
          <w:rFonts w:hint="default" w:ascii="Times New Roman" w:hAnsi="Times New Roman" w:eastAsia="宋体" w:cs="Times New Roman"/>
          <w:b/>
          <w:bCs/>
          <w:color w:val="000000"/>
          <w:sz w:val="28"/>
          <w:szCs w:val="28"/>
          <w:highlight w:val="none"/>
        </w:rPr>
      </w:pPr>
      <w:r>
        <w:rPr>
          <w:rFonts w:hint="default" w:ascii="Times New Roman" w:hAnsi="Times New Roman" w:eastAsia="宋体" w:cs="Times New Roman"/>
          <w:b/>
          <w:bCs/>
          <w:color w:val="000000"/>
          <w:sz w:val="28"/>
          <w:szCs w:val="28"/>
          <w:highlight w:val="none"/>
        </w:rPr>
        <w:t xml:space="preserve">同意接受对本项目保险责任起期的书面承诺</w:t>
      </w:r>
      <w:r/>
    </w:p>
    <w:p>
      <w:pPr>
        <w:spacing w:line="360" w:lineRule="auto"/>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r>
      <w:r/>
    </w:p>
    <w:p>
      <w:pPr>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常州市政府采购中心：</w:t>
      </w:r>
      <w:r/>
    </w:p>
    <w:p>
      <w:pPr>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u w:val="single"/>
        </w:rPr>
        <w:t xml:space="preserve">（采购人名称）：</w:t>
      </w:r>
      <w:r/>
    </w:p>
    <w:p>
      <w:pPr>
        <w:ind w:firstLine="480"/>
        <w:jc w:val="left"/>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我公司愿针对</w:t>
      </w:r>
      <w:r>
        <w:rPr>
          <w:rFonts w:hint="default" w:ascii="Times New Roman" w:hAnsi="Times New Roman" w:eastAsia="宋体" w:cs="Times New Roman"/>
          <w:color w:val="000000"/>
          <w:sz w:val="24"/>
          <w:szCs w:val="24"/>
          <w:highlight w:val="none"/>
          <w:u w:val="single"/>
          <w:lang w:val="en-US" w:eastAsia="zh-CN"/>
        </w:rPr>
        <w:t xml:space="preserve">2026-2027年度常州市第一人民医院等五家公立医院医疗责任险、财产险项目</w:t>
      </w:r>
      <w:r>
        <w:rPr>
          <w:rFonts w:hint="default" w:ascii="Times New Roman" w:hAnsi="Times New Roman" w:eastAsia="宋体" w:cs="Times New Roman"/>
          <w:color w:val="000000"/>
          <w:sz w:val="24"/>
          <w:szCs w:val="24"/>
          <w:highlight w:val="none"/>
        </w:rPr>
        <w:t xml:space="preserve">进行投标</w:t>
      </w:r>
      <w:r>
        <w:rPr>
          <w:rFonts w:hint="default" w:ascii="Times New Roman" w:hAnsi="Times New Roman" w:eastAsia="宋体" w:cs="Times New Roman"/>
          <w:color w:val="000000"/>
          <w:sz w:val="24"/>
          <w:szCs w:val="24"/>
          <w:highlight w:val="none"/>
          <w:lang w:val="zh-CN"/>
        </w:rPr>
        <w:t xml:space="preserve">，</w:t>
      </w:r>
      <w:r>
        <w:rPr>
          <w:rFonts w:hint="default" w:ascii="Times New Roman" w:hAnsi="Times New Roman" w:eastAsia="宋体" w:cs="Times New Roman"/>
          <w:color w:val="000000"/>
          <w:sz w:val="24"/>
          <w:szCs w:val="24"/>
          <w:highlight w:val="none"/>
        </w:rPr>
        <w:t xml:space="preserve">若本公司中标承诺如下：</w:t>
      </w:r>
      <w:r/>
    </w:p>
    <w:p>
      <w:pPr>
        <w:numPr>
          <w:ilvl w:val="0"/>
          <w:numId w:val="7"/>
        </w:numPr>
        <w:ind w:firstLine="42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本保险项目所涉保险责</w:t>
      </w:r>
      <w:r>
        <w:rPr>
          <w:rFonts w:hint="default" w:ascii="Times New Roman" w:hAnsi="Times New Roman" w:eastAsia="宋体" w:cs="Times New Roman"/>
          <w:color w:val="auto"/>
          <w:sz w:val="24"/>
          <w:szCs w:val="24"/>
          <w:highlight w:val="none"/>
        </w:rPr>
        <w:t xml:space="preserve">任</w:t>
      </w:r>
      <w:r>
        <w:rPr>
          <w:rFonts w:hint="default" w:ascii="Times New Roman" w:hAnsi="Times New Roman" w:eastAsia="宋体" w:cs="Times New Roman"/>
          <w:color w:val="auto"/>
          <w:sz w:val="24"/>
          <w:szCs w:val="24"/>
          <w:highlight w:val="none"/>
          <w:lang w:val="en-US" w:eastAsia="zh-CN"/>
        </w:rPr>
        <w:t xml:space="preserve">自</w:t>
      </w:r>
      <w:r>
        <w:rPr>
          <w:rFonts w:hint="default" w:ascii="Times New Roman" w:hAnsi="Times New Roman" w:eastAsia="宋体" w:cs="Times New Roman"/>
          <w:b w:val="0"/>
          <w:bCs w:val="0"/>
          <w:color w:val="auto"/>
          <w:spacing w:val="2"/>
          <w:sz w:val="24"/>
          <w:szCs w:val="24"/>
          <w:highlight w:val="none"/>
          <w:lang w:val="en-US" w:eastAsia="zh-CN"/>
        </w:rPr>
        <w:t xml:space="preserve">2026年01月01日零时起</w:t>
      </w:r>
      <w:r>
        <w:rPr>
          <w:rFonts w:hint="default" w:ascii="Times New Roman" w:hAnsi="Times New Roman" w:eastAsia="宋体" w:cs="Times New Roman"/>
          <w:color w:val="auto"/>
          <w:sz w:val="24"/>
          <w:szCs w:val="24"/>
          <w:highlight w:val="none"/>
        </w:rPr>
        <w:t xml:space="preserve">，自</w:t>
      </w:r>
      <w:r>
        <w:rPr>
          <w:rFonts w:hint="default" w:ascii="Times New Roman" w:hAnsi="Times New Roman" w:eastAsia="宋体" w:cs="Times New Roman"/>
          <w:color w:val="000000"/>
          <w:sz w:val="24"/>
          <w:szCs w:val="24"/>
          <w:highlight w:val="none"/>
        </w:rPr>
        <w:t xml:space="preserve">上述期限起（及追溯期内）发生合同约定的保险事故均由我公司承担理赔责任。</w:t>
      </w:r>
      <w:r/>
    </w:p>
    <w:p>
      <w:pPr>
        <w:numPr>
          <w:ilvl w:val="-1"/>
          <w:numId w:val="0"/>
        </w:numPr>
        <w:ind w:firstLine="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p>
      <w:pPr>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特此承诺！</w:t>
      </w:r>
      <w:r/>
    </w:p>
    <w:p>
      <w:pP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投标人名称（加盖公章）</w:t>
      </w:r>
      <w:r>
        <w:rPr>
          <w:rFonts w:hint="default" w:ascii="Times New Roman" w:hAnsi="Times New Roman" w:eastAsia="宋体" w:cs="Times New Roman"/>
          <w:sz w:val="24"/>
          <w:szCs w:val="24"/>
          <w:highlight w:val="none"/>
          <w:lang w:val="zh-CN"/>
        </w:rPr>
        <w:t xml:space="preserve">：    ____________</w:t>
      </w:r>
      <w:r/>
    </w:p>
    <w:p>
      <w:pP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法定代表人或代理人（签字或盖章）：</w:t>
      </w:r>
      <w:r/>
    </w:p>
    <w:p>
      <w:pPr>
        <w:spacing w:line="46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bCs/>
          <w:sz w:val="32"/>
          <w:szCs w:val="32"/>
          <w:highlight w:val="none"/>
        </w:rPr>
      </w:pPr>
      <w:r>
        <w:rPr>
          <w:rFonts w:hint="default" w:ascii="Times New Roman" w:hAnsi="Times New Roman" w:eastAsia="宋体" w:cs="Times New Roman"/>
          <w:b/>
          <w:sz w:val="32"/>
          <w:szCs w:val="32"/>
          <w:highlight w:val="none"/>
        </w:rPr>
      </w: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bCs/>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spacing w:line="460" w:lineRule="exact"/>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rPr>
          <w:rFonts w:hint="default" w:ascii="Times New Roman" w:hAnsi="Times New Roman" w:eastAsia="宋体" w:cs="Times New Roman"/>
          <w:b/>
          <w:i/>
          <w:iCs/>
          <w:sz w:val="32"/>
          <w:szCs w:val="32"/>
          <w:highlight w:val="none"/>
        </w:rPr>
      </w:pPr>
      <w:r>
        <w:rPr>
          <w:rFonts w:hint="default" w:ascii="Times New Roman" w:hAnsi="Times New Roman" w:eastAsia="宋体" w:cs="Times New Roman"/>
          <w:b/>
          <w:i/>
          <w:iCs/>
          <w:sz w:val="32"/>
          <w:szCs w:val="32"/>
          <w:highlight w:val="none"/>
        </w:rPr>
        <w:t xml:space="preserve">十</w:t>
      </w:r>
      <w:r>
        <w:rPr>
          <w:rFonts w:hint="default" w:ascii="Times New Roman" w:hAnsi="Times New Roman" w:eastAsia="宋体" w:cs="Times New Roman"/>
          <w:b/>
          <w:i/>
          <w:iCs/>
          <w:sz w:val="32"/>
          <w:szCs w:val="32"/>
          <w:highlight w:val="none"/>
          <w:lang w:val="en-US" w:eastAsia="zh-CN"/>
        </w:rPr>
        <w:t xml:space="preserve">三</w:t>
      </w:r>
      <w:r>
        <w:rPr>
          <w:rFonts w:hint="default" w:ascii="Times New Roman" w:hAnsi="Times New Roman" w:eastAsia="宋体" w:cs="Times New Roman"/>
          <w:b/>
          <w:i/>
          <w:iCs/>
          <w:sz w:val="32"/>
          <w:szCs w:val="32"/>
          <w:highlight w:val="none"/>
        </w:rPr>
        <w:t xml:space="preserve">、</w:t>
      </w:r>
      <w:r>
        <w:rPr>
          <w:rFonts w:hint="default" w:ascii="Times New Roman" w:hAnsi="Times New Roman" w:eastAsia="宋体" w:cs="Times New Roman"/>
          <w:b/>
          <w:i/>
          <w:iCs/>
          <w:sz w:val="32"/>
          <w:szCs w:val="32"/>
          <w:highlight w:val="none"/>
          <w:lang w:val="en-US" w:eastAsia="zh-CN"/>
        </w:rPr>
        <w:t xml:space="preserve">不更换项目负责人</w:t>
      </w:r>
      <w:r>
        <w:rPr>
          <w:rFonts w:hint="default" w:ascii="Times New Roman" w:hAnsi="Times New Roman" w:eastAsia="宋体" w:cs="Times New Roman"/>
          <w:b/>
          <w:i/>
          <w:iCs/>
          <w:sz w:val="32"/>
          <w:szCs w:val="32"/>
          <w:highlight w:val="none"/>
        </w:rPr>
        <w:t xml:space="preserve">承诺函</w:t>
      </w:r>
      <w:r/>
    </w:p>
    <w:p>
      <w:pPr>
        <w:jc w:val="center"/>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jc w:val="center"/>
        <w:spacing w:line="360" w:lineRule="auto"/>
        <w:rPr>
          <w:rFonts w:hint="default" w:ascii="Times New Roman" w:hAnsi="Times New Roman" w:eastAsia="宋体" w:cs="Times New Roman"/>
          <w:b/>
          <w:sz w:val="32"/>
          <w:szCs w:val="32"/>
          <w:highlight w:val="none"/>
          <w:lang w:val="en-US" w:eastAsia="zh-CN"/>
        </w:rPr>
      </w:pPr>
      <w:r>
        <w:rPr>
          <w:rFonts w:hint="default" w:ascii="Times New Roman" w:hAnsi="Times New Roman" w:eastAsia="宋体" w:cs="Times New Roman"/>
          <w:b/>
          <w:sz w:val="32"/>
          <w:szCs w:val="32"/>
          <w:highlight w:val="none"/>
          <w:lang w:val="en-US" w:eastAsia="zh-CN"/>
        </w:rPr>
      </w:r>
      <w:r/>
    </w:p>
    <w:p>
      <w:pPr>
        <w:jc w:val="center"/>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lang w:val="en-US" w:eastAsia="zh-CN"/>
        </w:rPr>
        <w:t xml:space="preserve">不更换项目负责人</w:t>
      </w:r>
      <w:r>
        <w:rPr>
          <w:rFonts w:hint="default" w:ascii="Times New Roman" w:hAnsi="Times New Roman" w:eastAsia="宋体" w:cs="Times New Roman"/>
          <w:b/>
          <w:sz w:val="32"/>
          <w:szCs w:val="32"/>
          <w:highlight w:val="none"/>
        </w:rPr>
        <w:t xml:space="preserve">承诺函</w:t>
      </w:r>
      <w:r/>
    </w:p>
    <w:p>
      <w:pPr>
        <w:jc w:val="center"/>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常州市政府采购中心：</w:t>
      </w:r>
      <w:r/>
    </w:p>
    <w:p>
      <w:pPr>
        <w:ind w:firstLine="480"/>
        <w:spacing w:line="360" w:lineRule="auto"/>
        <w:widowControl/>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u w:val="single"/>
        </w:rPr>
        <w:t xml:space="preserve">（采购人名称）</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我公司愿就</w:t>
      </w:r>
      <w:r>
        <w:rPr>
          <w:rFonts w:hint="default" w:ascii="Times New Roman" w:hAnsi="Times New Roman" w:eastAsia="宋体" w:cs="Times New Roman"/>
          <w:color w:val="000000"/>
          <w:sz w:val="24"/>
          <w:szCs w:val="24"/>
          <w:highlight w:val="none"/>
          <w:lang w:val="en-US" w:eastAsia="zh-CN"/>
        </w:rPr>
        <w:t xml:space="preserve">2026-2027年度常州市第一人民医院等五家公立医院医疗责任险、财产险项目</w:t>
      </w:r>
      <w:r>
        <w:rPr>
          <w:rFonts w:hint="default" w:ascii="Times New Roman" w:hAnsi="Times New Roman" w:eastAsia="宋体" w:cs="Times New Roman"/>
          <w:color w:val="000000"/>
          <w:sz w:val="24"/>
          <w:szCs w:val="24"/>
          <w:highlight w:val="none"/>
        </w:rPr>
        <w:t xml:space="preserve">进行投标</w:t>
      </w:r>
      <w:r>
        <w:rPr>
          <w:rFonts w:hint="default" w:ascii="Times New Roman" w:hAnsi="Times New Roman" w:eastAsia="宋体" w:cs="Times New Roman"/>
          <w:color w:val="000000"/>
          <w:sz w:val="24"/>
          <w:szCs w:val="24"/>
          <w:highlight w:val="none"/>
          <w:lang w:val="zh-CN"/>
        </w:rPr>
        <w:t xml:space="preserve">，</w:t>
      </w:r>
      <w:r>
        <w:rPr>
          <w:rFonts w:hint="default" w:ascii="Times New Roman" w:hAnsi="Times New Roman" w:eastAsia="宋体" w:cs="Times New Roman"/>
          <w:color w:val="000000"/>
          <w:sz w:val="24"/>
          <w:szCs w:val="24"/>
          <w:highlight w:val="none"/>
        </w:rPr>
        <w:t xml:space="preserve">本公司承诺：</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在</w:t>
      </w:r>
      <w:r>
        <w:rPr>
          <w:rFonts w:hint="default" w:ascii="Times New Roman" w:hAnsi="Times New Roman" w:eastAsia="宋体" w:cs="Times New Roman"/>
          <w:color w:val="000000"/>
          <w:sz w:val="24"/>
          <w:szCs w:val="24"/>
          <w:highlight w:val="none"/>
          <w:lang w:val="en-US" w:eastAsia="zh-CN"/>
        </w:rPr>
        <w:t xml:space="preserve">本项目</w:t>
      </w:r>
      <w:r>
        <w:rPr>
          <w:rFonts w:hint="default" w:ascii="Times New Roman" w:hAnsi="Times New Roman" w:eastAsia="宋体" w:cs="Times New Roman"/>
          <w:color w:val="000000"/>
          <w:sz w:val="24"/>
          <w:szCs w:val="24"/>
          <w:highlight w:val="none"/>
        </w:rPr>
        <w:t xml:space="preserve">投标文件中拟派的项目负责人，一旦中标，此项目负责人必</w:t>
      </w:r>
      <w:r>
        <w:rPr>
          <w:rFonts w:hint="default" w:ascii="Times New Roman" w:hAnsi="Times New Roman" w:eastAsia="宋体" w:cs="Times New Roman"/>
          <w:color w:val="000000"/>
          <w:sz w:val="24"/>
          <w:szCs w:val="24"/>
          <w:highlight w:val="none"/>
          <w:lang w:val="en-US" w:eastAsia="zh-CN"/>
        </w:rPr>
        <w:t xml:space="preserve">定</w:t>
      </w:r>
      <w:r>
        <w:rPr>
          <w:rFonts w:hint="default" w:ascii="Times New Roman" w:hAnsi="Times New Roman" w:eastAsia="宋体" w:cs="Times New Roman"/>
          <w:color w:val="000000"/>
          <w:sz w:val="24"/>
          <w:szCs w:val="24"/>
          <w:highlight w:val="none"/>
        </w:rPr>
        <w:t xml:space="preserve">参与到本</w:t>
      </w:r>
      <w:r>
        <w:rPr>
          <w:rFonts w:hint="default" w:ascii="Times New Roman" w:hAnsi="Times New Roman" w:eastAsia="宋体" w:cs="Times New Roman"/>
          <w:color w:val="000000"/>
          <w:sz w:val="24"/>
          <w:szCs w:val="24"/>
          <w:highlight w:val="none"/>
          <w:lang w:val="en-US" w:eastAsia="zh-CN"/>
        </w:rPr>
        <w:t xml:space="preserve">项目</w:t>
      </w:r>
      <w:r>
        <w:rPr>
          <w:rFonts w:hint="default" w:ascii="Times New Roman" w:hAnsi="Times New Roman" w:eastAsia="宋体" w:cs="Times New Roman"/>
          <w:color w:val="000000"/>
          <w:sz w:val="24"/>
          <w:szCs w:val="24"/>
          <w:highlight w:val="none"/>
        </w:rPr>
        <w:t xml:space="preserve">招标文件所述项目中</w:t>
      </w:r>
      <w:r>
        <w:rPr>
          <w:rFonts w:hint="default" w:ascii="Times New Roman" w:hAnsi="Times New Roman" w:eastAsia="宋体" w:cs="Times New Roman"/>
          <w:color w:val="000000"/>
          <w:sz w:val="24"/>
          <w:szCs w:val="24"/>
          <w:highlight w:val="none"/>
          <w:lang w:val="en-US" w:eastAsia="zh-CN"/>
        </w:rPr>
        <w:t xml:space="preserve">担任项目负责人</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如果我公司更换该项目负责人，即视为我公司</w:t>
      </w:r>
      <w:r>
        <w:rPr>
          <w:rFonts w:hint="default" w:ascii="Times New Roman" w:hAnsi="Times New Roman" w:eastAsia="宋体" w:cs="Times New Roman"/>
          <w:color w:val="000000"/>
          <w:sz w:val="24"/>
          <w:szCs w:val="24"/>
          <w:highlight w:val="none"/>
        </w:rPr>
        <w:t xml:space="preserve">自动放弃中标。</w:t>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特此承诺！</w:t>
      </w:r>
      <w:r/>
    </w:p>
    <w:p>
      <w:p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spacing w:before="25" w:after="25"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投标人名称</w:t>
      </w:r>
      <w:r>
        <w:rPr>
          <w:rFonts w:hint="default" w:ascii="Times New Roman" w:hAnsi="Times New Roman" w:eastAsia="宋体" w:cs="Times New Roman"/>
          <w:color w:val="000000"/>
          <w:sz w:val="24"/>
          <w:highlight w:val="none"/>
        </w:rPr>
        <w:t xml:space="preserve">（加盖公章）</w:t>
      </w:r>
      <w:r>
        <w:rPr>
          <w:rFonts w:hint="default" w:ascii="Times New Roman" w:hAnsi="Times New Roman" w:eastAsia="宋体" w:cs="Times New Roman"/>
          <w:color w:val="000000"/>
          <w:sz w:val="24"/>
          <w:highlight w:val="none"/>
          <w:lang w:val="zh-CN"/>
        </w:rPr>
        <w:t xml:space="preserve">：    ____________</w:t>
      </w:r>
      <w:r/>
    </w:p>
    <w:p>
      <w:pP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法定代表人或代理人（签字或盖章）：</w:t>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rPr>
          <w:rFonts w:hint="default" w:ascii="Times New Roman" w:hAnsi="Times New Roman" w:eastAsia="宋体" w:cs="Times New Roman"/>
          <w:b/>
          <w:i/>
          <w:iCs/>
          <w:sz w:val="32"/>
          <w:szCs w:val="32"/>
          <w:highlight w:val="none"/>
        </w:rPr>
      </w:pPr>
      <w:r>
        <w:rPr>
          <w:rFonts w:hint="default" w:ascii="Times New Roman" w:hAnsi="Times New Roman" w:eastAsia="宋体" w:cs="Times New Roman"/>
          <w:b/>
          <w:i/>
          <w:iCs/>
          <w:sz w:val="32"/>
          <w:szCs w:val="32"/>
          <w:highlight w:val="none"/>
        </w:rPr>
        <w:t xml:space="preserve">十</w:t>
      </w:r>
      <w:r>
        <w:rPr>
          <w:rFonts w:hint="default" w:ascii="Times New Roman" w:hAnsi="Times New Roman" w:eastAsia="宋体" w:cs="Times New Roman"/>
          <w:b/>
          <w:i/>
          <w:iCs/>
          <w:sz w:val="32"/>
          <w:szCs w:val="32"/>
          <w:highlight w:val="none"/>
          <w:lang w:val="en-US" w:eastAsia="zh-CN"/>
        </w:rPr>
        <w:t xml:space="preserve">四</w:t>
      </w:r>
      <w:r>
        <w:rPr>
          <w:rFonts w:hint="default" w:ascii="Times New Roman" w:hAnsi="Times New Roman" w:eastAsia="宋体" w:cs="Times New Roman"/>
          <w:b/>
          <w:i/>
          <w:iCs/>
          <w:sz w:val="32"/>
          <w:szCs w:val="32"/>
          <w:highlight w:val="none"/>
        </w:rPr>
        <w:t xml:space="preserve">、理赔承诺函</w:t>
      </w:r>
      <w:r/>
    </w:p>
    <w:p>
      <w:pPr>
        <w:jc w:val="center"/>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jc w:val="center"/>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t xml:space="preserve">理赔承诺函</w:t>
      </w:r>
      <w:r/>
    </w:p>
    <w:p>
      <w:pPr>
        <w:jc w:val="center"/>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常州市政府采购中心：</w:t>
      </w:r>
      <w:r/>
    </w:p>
    <w:p>
      <w:pPr>
        <w:ind w:firstLine="480"/>
        <w:spacing w:line="360" w:lineRule="auto"/>
        <w:widowControl/>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u w:val="single"/>
        </w:rPr>
        <w:t xml:space="preserve">（采购人名称）</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我公司愿就</w:t>
      </w:r>
      <w:r>
        <w:rPr>
          <w:rFonts w:hint="default" w:ascii="Times New Roman" w:hAnsi="Times New Roman" w:eastAsia="宋体" w:cs="Times New Roman"/>
          <w:color w:val="000000"/>
          <w:sz w:val="24"/>
          <w:szCs w:val="24"/>
          <w:highlight w:val="none"/>
          <w:lang w:val="en-US" w:eastAsia="zh-CN"/>
        </w:rPr>
        <w:t xml:space="preserve">2026-2027年度常州市第一人民医院等五家公立医院医疗责任险、财产险项目</w:t>
      </w:r>
      <w:r>
        <w:rPr>
          <w:rFonts w:hint="default" w:ascii="Times New Roman" w:hAnsi="Times New Roman" w:eastAsia="宋体" w:cs="Times New Roman"/>
          <w:color w:val="000000"/>
          <w:sz w:val="24"/>
          <w:szCs w:val="24"/>
          <w:highlight w:val="none"/>
        </w:rPr>
        <w:t xml:space="preserve">进行投标</w:t>
      </w:r>
      <w:r>
        <w:rPr>
          <w:rFonts w:hint="default" w:ascii="Times New Roman" w:hAnsi="Times New Roman" w:eastAsia="宋体" w:cs="Times New Roman"/>
          <w:color w:val="000000"/>
          <w:sz w:val="24"/>
          <w:szCs w:val="24"/>
          <w:highlight w:val="none"/>
          <w:lang w:val="zh-CN"/>
        </w:rPr>
        <w:t xml:space="preserve">，</w:t>
      </w:r>
      <w:r>
        <w:rPr>
          <w:rFonts w:hint="default" w:ascii="Times New Roman" w:hAnsi="Times New Roman" w:eastAsia="宋体" w:cs="Times New Roman"/>
          <w:color w:val="000000"/>
          <w:sz w:val="24"/>
          <w:szCs w:val="24"/>
          <w:highlight w:val="none"/>
        </w:rPr>
        <w:t xml:space="preserve">若本公司中标承诺如下：</w:t>
      </w:r>
      <w:r/>
    </w:p>
    <w:p>
      <w:pPr>
        <w:ind w:firstLine="480"/>
        <w:spacing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医疗责任保险理赔依据为常州市医患纠纷人民调解委员会（调处中心）的“人民调解协议书”或人民法院的生效法律文书（包括调解书、裁、判文书）。保险人充分尊重并认可常州市医患纠纷人民调解委员会（调处中心）、人民法院的调解或裁、判结论。</w:t>
      </w:r>
      <w:r/>
    </w:p>
    <w:p>
      <w:p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特此承诺！</w:t>
      </w:r>
      <w:r/>
    </w:p>
    <w:p>
      <w:p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spacing w:before="25" w:after="25"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投标人名称</w:t>
      </w:r>
      <w:r>
        <w:rPr>
          <w:rFonts w:hint="default" w:ascii="Times New Roman" w:hAnsi="Times New Roman" w:eastAsia="宋体" w:cs="Times New Roman"/>
          <w:color w:val="000000"/>
          <w:sz w:val="24"/>
          <w:highlight w:val="none"/>
        </w:rPr>
        <w:t xml:space="preserve">（加盖公章）</w:t>
      </w:r>
      <w:r>
        <w:rPr>
          <w:rFonts w:hint="default" w:ascii="Times New Roman" w:hAnsi="Times New Roman" w:eastAsia="宋体" w:cs="Times New Roman"/>
          <w:color w:val="000000"/>
          <w:sz w:val="24"/>
          <w:highlight w:val="none"/>
          <w:lang w:val="zh-CN"/>
        </w:rPr>
        <w:t xml:space="preserve">：    ____________</w:t>
      </w:r>
      <w:r/>
    </w:p>
    <w:p>
      <w:pP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法定代表人或代理人（签字或盖章）：</w:t>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val="0"/>
          <w:i w:val="0"/>
          <w:iCs w:val="0"/>
          <w:sz w:val="32"/>
          <w:szCs w:val="32"/>
          <w:highlight w:val="none"/>
          <w:lang w:val="en-US" w:eastAsia="zh-CN"/>
        </w:rPr>
      </w:pPr>
      <w:r>
        <w:rPr>
          <w:rFonts w:hint="default" w:ascii="Times New Roman" w:hAnsi="Times New Roman" w:eastAsia="宋体" w:cs="Times New Roman"/>
          <w:b/>
          <w:bCs w:val="0"/>
          <w:i w:val="0"/>
          <w:iCs w:val="0"/>
          <w:sz w:val="32"/>
          <w:szCs w:val="32"/>
          <w:highlight w:val="none"/>
        </w:rPr>
        <w:t xml:space="preserve">十</w:t>
      </w:r>
      <w:r>
        <w:rPr>
          <w:rFonts w:hint="default" w:ascii="Times New Roman" w:hAnsi="Times New Roman" w:eastAsia="宋体" w:cs="Times New Roman"/>
          <w:b/>
          <w:bCs w:val="0"/>
          <w:i w:val="0"/>
          <w:iCs w:val="0"/>
          <w:sz w:val="32"/>
          <w:szCs w:val="32"/>
          <w:highlight w:val="none"/>
          <w:lang w:val="en-US" w:eastAsia="zh-CN"/>
        </w:rPr>
        <w:t xml:space="preserve">五</w:t>
      </w:r>
      <w:r>
        <w:rPr>
          <w:rFonts w:hint="default" w:ascii="Times New Roman" w:hAnsi="Times New Roman" w:eastAsia="宋体" w:cs="Times New Roman"/>
          <w:b/>
          <w:bCs w:val="0"/>
          <w:i w:val="0"/>
          <w:iCs w:val="0"/>
          <w:sz w:val="32"/>
          <w:szCs w:val="32"/>
          <w:highlight w:val="none"/>
        </w:rPr>
        <w:t xml:space="preserve">、</w:t>
      </w:r>
      <w:r>
        <w:rPr>
          <w:rFonts w:hint="default" w:ascii="Times New Roman" w:hAnsi="Times New Roman" w:eastAsia="宋体" w:cs="Times New Roman"/>
          <w:b/>
          <w:bCs w:val="0"/>
          <w:i w:val="0"/>
          <w:iCs w:val="0"/>
          <w:sz w:val="32"/>
          <w:szCs w:val="32"/>
          <w:highlight w:val="none"/>
          <w:lang w:val="en-US" w:eastAsia="zh-CN"/>
        </w:rPr>
        <w:t xml:space="preserve">服务团队成员表</w:t>
      </w:r>
      <w:r/>
    </w:p>
    <w:p>
      <w:pPr>
        <w:ind w:firstLine="0"/>
        <w:jc w:val="center"/>
        <w:spacing w:line="240" w:lineRule="auto"/>
        <w:rPr>
          <w:rFonts w:hint="default" w:ascii="Times New Roman" w:hAnsi="Times New Roman" w:eastAsia="宋体" w:cs="Times New Roman"/>
          <w:b/>
          <w:sz w:val="32"/>
          <w:szCs w:val="32"/>
          <w:highlight w:val="none"/>
          <w:lang w:val="en-US" w:eastAsia="zh-CN"/>
        </w:rPr>
      </w:pPr>
      <w:r>
        <w:rPr>
          <w:rFonts w:hint="default" w:ascii="Times New Roman" w:hAnsi="Times New Roman" w:eastAsia="宋体" w:cs="Times New Roman"/>
          <w:b/>
          <w:sz w:val="32"/>
          <w:szCs w:val="32"/>
          <w:highlight w:val="none"/>
          <w:lang w:val="en-US" w:eastAsia="zh-CN"/>
        </w:rPr>
      </w:r>
      <w:r/>
    </w:p>
    <w:p>
      <w:pPr>
        <w:ind w:firstLine="0"/>
        <w:jc w:val="center"/>
        <w:spacing w:line="240" w:lineRule="auto"/>
        <w:rPr>
          <w:rFonts w:hint="default" w:ascii="Times New Roman" w:hAnsi="Times New Roman" w:eastAsia="宋体" w:cs="Times New Roman"/>
          <w:b/>
          <w:sz w:val="32"/>
          <w:szCs w:val="32"/>
          <w:highlight w:val="none"/>
          <w:lang w:val="en-US" w:eastAsia="zh-CN"/>
        </w:rPr>
      </w:pPr>
      <w:r>
        <w:rPr>
          <w:rFonts w:hint="default" w:ascii="Times New Roman" w:hAnsi="Times New Roman" w:eastAsia="宋体" w:cs="Times New Roman"/>
          <w:b/>
          <w:sz w:val="32"/>
          <w:szCs w:val="32"/>
          <w:highlight w:val="none"/>
          <w:lang w:val="en-US" w:eastAsia="zh-CN"/>
        </w:rPr>
        <w:t xml:space="preserve">服务团队成员表</w:t>
      </w:r>
      <w:r/>
    </w:p>
    <w:tbl>
      <w:tblPr>
        <w:tblStyle w:val="1000"/>
        <w:tblpPr w:horzAnchor="page" w:tblpX="1452" w:vertAnchor="text" w:tblpY="355" w:leftFromText="180" w:topFromText="0" w:rightFromText="180" w:bottomFromText="0"/>
        <w:tblW w:w="9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1430"/>
        <w:gridCol w:w="800"/>
        <w:gridCol w:w="790"/>
        <w:gridCol w:w="740"/>
        <w:gridCol w:w="730"/>
        <w:gridCol w:w="700"/>
        <w:gridCol w:w="700"/>
        <w:gridCol w:w="910"/>
        <w:gridCol w:w="800"/>
        <w:gridCol w:w="1000"/>
      </w:tblGrid>
      <w:tr>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序号</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职责分工</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姓名</w:t>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出生年月</w:t>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学历</w:t>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毕业院校</w:t>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职称</w:t>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职务</w:t>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从业经验</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是否驻场</w:t>
            </w:r>
            <w:r/>
          </w:p>
        </w:tc>
        <w:tc>
          <w:tcPr>
            <w:tcW w:w="1000" w:type="dxa"/>
            <w:vAlign w:val="center"/>
            <w:textDirection w:val="lrTb"/>
            <w:noWrap w:val="false"/>
          </w:tcPr>
          <w:p>
            <w:pPr>
              <w:jc w:val="left"/>
              <w:spacing w:line="240" w:lineRule="auto"/>
              <w:tabs>
                <w:tab w:val="left" w:pos="318"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驻场人员服务的医院</w:t>
            </w:r>
            <w:r/>
          </w:p>
        </w:tc>
      </w:tr>
      <w:tr>
        <w:trPr>
          <w:trHeight w:val="651"/>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项目负责人</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2</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投保服务负责人</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3</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理赔服务负责人</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风控服务负责人</w:t>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rHeight w:val="535"/>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5</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rHeight w:val="515"/>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6</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r>
        <w:trPr>
          <w:trHeight w:val="485"/>
        </w:trPr>
        <w:tc>
          <w:tcPr>
            <w:tcW w:w="425"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7</w:t>
            </w:r>
            <w:r/>
          </w:p>
        </w:tc>
        <w:tc>
          <w:tcPr>
            <w:tcW w:w="14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9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4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3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7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91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8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W w:w="1000" w:type="dxa"/>
            <w:vAlign w:val="center"/>
            <w:textDirection w:val="lrTb"/>
            <w:noWrap w:val="false"/>
          </w:tcPr>
          <w:p>
            <w:pPr>
              <w:jc w:val="center"/>
              <w:spacing w:line="240" w:lineRule="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r>
    </w:tbl>
    <w:p>
      <w:pPr>
        <w:ind w:firstLine="480"/>
        <w:spacing w:line="240" w:lineRule="auto"/>
        <w:rPr>
          <w:rFonts w:hint="default" w:ascii="Times New Roman" w:hAnsi="Times New Roman" w:eastAsia="宋体" w:cs="Times New Roman"/>
          <w:color w:val="a5a5a5" w:themeColor="accent3"/>
          <w:sz w:val="24"/>
          <w:szCs w:val="24"/>
          <w:highlight w:val="none"/>
          <w:lang w:val="en-US" w:eastAsia="zh-CN"/>
        </w:rPr>
      </w:pPr>
      <w:r>
        <w:rPr>
          <w:rFonts w:hint="default" w:ascii="Times New Roman" w:hAnsi="Times New Roman" w:eastAsia="宋体" w:cs="Times New Roman"/>
          <w:color w:val="a5a5a5" w:themeColor="accent3"/>
          <w:sz w:val="24"/>
          <w:szCs w:val="24"/>
          <w:highlight w:val="none"/>
          <w:lang w:val="en-US" w:eastAsia="zh-CN"/>
        </w:rPr>
      </w:r>
      <w:r/>
    </w:p>
    <w:p>
      <w:pPr>
        <w:jc w:val="left"/>
        <w:spacing w:line="480" w:lineRule="auto"/>
        <w:rPr>
          <w:rFonts w:hint="default" w:ascii="Times New Roman" w:hAnsi="Times New Roman" w:eastAsia="宋体" w:cs="Times New Roman"/>
          <w:b/>
          <w:i/>
          <w:color w:val="a5a5a5" w:themeColor="accent3"/>
          <w:sz w:val="32"/>
          <w:szCs w:val="32"/>
          <w:highlight w:val="none"/>
          <w:u w:val="single"/>
        </w:rPr>
      </w:pPr>
      <w:r>
        <w:rPr>
          <w:rFonts w:hint="default" w:ascii="Times New Roman" w:hAnsi="Times New Roman" w:eastAsia="宋体" w:cs="Times New Roman"/>
          <w:color w:val="auto"/>
          <w:sz w:val="24"/>
          <w:szCs w:val="24"/>
          <w:highlight w:val="none"/>
          <w:lang w:val="en-US" w:eastAsia="zh-CN"/>
        </w:rPr>
        <w:t xml:space="preserve">备注：表中1-4的人员是必备的人员，其余人员请自行填写，务必填全应有的信息，项目负责人应具备5</w:t>
      </w:r>
      <w:r>
        <w:rPr>
          <w:rFonts w:hint="default" w:ascii="Times New Roman" w:hAnsi="Times New Roman" w:eastAsia="宋体" w:cs="Times New Roman"/>
          <w:color w:val="auto"/>
          <w:sz w:val="24"/>
          <w:szCs w:val="24"/>
          <w:highlight w:val="none"/>
        </w:rPr>
        <w:t xml:space="preserve">年以上</w:t>
      </w:r>
      <w:r>
        <w:rPr>
          <w:rFonts w:hint="default" w:ascii="Times New Roman" w:hAnsi="Times New Roman" w:eastAsia="宋体" w:cs="Times New Roman"/>
          <w:color w:val="auto"/>
          <w:sz w:val="24"/>
          <w:szCs w:val="24"/>
          <w:highlight w:val="none"/>
          <w:lang w:val="en-US" w:eastAsia="zh-CN"/>
        </w:rPr>
        <w:t xml:space="preserve">医疗责任险</w:t>
      </w:r>
      <w:r>
        <w:rPr>
          <w:rFonts w:hint="default" w:ascii="Times New Roman" w:hAnsi="Times New Roman" w:eastAsia="宋体" w:cs="Times New Roman"/>
          <w:color w:val="auto"/>
          <w:sz w:val="24"/>
          <w:szCs w:val="24"/>
          <w:highlight w:val="none"/>
        </w:rPr>
        <w:t xml:space="preserve">保险从业经验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上表的从业经验指的是“医疗责任险、财产险等保险从业</w:t>
      </w:r>
      <w:r>
        <w:rPr>
          <w:rFonts w:hint="default" w:ascii="Times New Roman" w:hAnsi="Times New Roman" w:eastAsia="宋体" w:cs="Times New Roman"/>
          <w:color w:val="auto"/>
          <w:sz w:val="24"/>
          <w:szCs w:val="24"/>
          <w:highlight w:val="none"/>
        </w:rPr>
        <w:t xml:space="preserve">经验</w:t>
      </w:r>
      <w:r>
        <w:rPr>
          <w:rFonts w:hint="default" w:ascii="Times New Roman" w:hAnsi="Times New Roman" w:eastAsia="宋体" w:cs="Times New Roman"/>
          <w:color w:val="auto"/>
          <w:sz w:val="24"/>
          <w:szCs w:val="24"/>
          <w:highlight w:val="none"/>
          <w:lang w:val="en-US" w:eastAsia="zh-CN"/>
        </w:rPr>
        <w:t xml:space="preserve">”，表中行数不够可自行添加。</w:t>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pStyle w:val="962"/>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r>
      <w:r/>
    </w:p>
    <w:p>
      <w:pPr>
        <w:jc w:val="center"/>
        <w:rPr>
          <w:rFonts w:ascii="黑体" w:hAnsi="黑体" w:eastAsia="黑体"/>
          <w:b/>
          <w:sz w:val="32"/>
          <w:szCs w:val="32"/>
        </w:rPr>
      </w:pPr>
      <w:r>
        <w:rPr>
          <w:rFonts w:hint="eastAsia" w:ascii="宋体" w:hAnsi="宋体"/>
          <w:sz w:val="24"/>
          <w:szCs w:val="24"/>
        </w:rPr>
        <w:br w:type="page" w:clear="all"/>
      </w:r>
      <w:r>
        <w:rPr>
          <w:rFonts w:hint="eastAsia" w:ascii="黑体" w:hAnsi="黑体" w:eastAsia="黑体"/>
          <w:b/>
          <w:sz w:val="32"/>
          <w:szCs w:val="32"/>
        </w:rPr>
        <w:t xml:space="preserve">投标（响应）文件通用模板编制和评审要求</w:t>
      </w:r>
      <w:r/>
    </w:p>
    <w:p>
      <w:pPr>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tbl>
      <w:tblPr>
        <w:tblStyle w:val="96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798"/>
        <w:gridCol w:w="6469"/>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1798"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646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798"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1798"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613"/>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469" w:type="dxa"/>
            <w:vAlign w:val="center"/>
            <w:textDirection w:val="lrTb"/>
            <w:noWrap w:val="false"/>
          </w:tcPr>
          <w:p>
            <w:pPr>
              <w:rPr>
                <w:rFonts w:ascii="宋体" w:hAnsi="宋体" w:cs="宋体"/>
              </w:rPr>
            </w:pPr>
            <w:r>
              <w:rPr>
                <w:rFonts w:ascii="宋体" w:hAnsi="宋体" w:cs="宋体"/>
              </w:rPr>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ff0000"/>
              </w:rPr>
              <w:t xml:space="preserve">报价符合性审查</w:t>
            </w:r>
            <w:r/>
          </w:p>
        </w:tc>
        <w:tc>
          <w:tcPr>
            <w:tcW w:w="6469"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646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798"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6469"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798"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6469"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798"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6469"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000000"/>
              </w:rPr>
            </w:pPr>
            <w:r>
              <w:rPr>
                <w:rFonts w:hint="eastAsia" w:ascii="宋体" w:hAnsi="宋体" w:cs="宋体"/>
                <w:color w:val="ff0000"/>
              </w:rPr>
              <w:t xml:space="preserve">审查　</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ff0000"/>
              </w:rPr>
              <w:t xml:space="preserve">报价审查　</w:t>
            </w:r>
            <w:r/>
          </w:p>
        </w:tc>
        <w:tc>
          <w:tcPr>
            <w:tcW w:w="6469"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center"/>
              <w:widowControl/>
              <w:rPr>
                <w:rFonts w:ascii="宋体" w:hAnsi="宋体" w:cs="宋体"/>
                <w:color w:val="00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14"/>
        </w:trPr>
        <w:tc>
          <w:tcPr>
            <w:tcW w:w="108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1798"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646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469"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469"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1798" w:type="dxa"/>
            <w:vAlign w:val="center"/>
            <w:textDirection w:val="lrTb"/>
            <w:noWrap w:val="false"/>
          </w:tcPr>
          <w:p>
            <w:pPr>
              <w:jc w:val="center"/>
              <w:widowControl/>
              <w:rPr>
                <w:rFonts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6469" w:type="dxa"/>
            <w:vAlign w:val="center"/>
            <w:textDirection w:val="lrTb"/>
            <w:noWrap w:val="false"/>
          </w:tcPr>
          <w:p>
            <w:pPr>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color w:val="000000"/>
              </w:rPr>
            </w:pPr>
            <w:r>
              <w:rPr>
                <w:rFonts w:hint="eastAsia" w:ascii="宋体" w:hAnsi="宋体" w:cs="宋体"/>
                <w:highlight w:val="yellow"/>
              </w:rPr>
              <w:t xml:space="preserve">（非专门面向中小企业的项目需要）</w:t>
            </w:r>
            <w:r/>
          </w:p>
        </w:tc>
      </w:tr>
      <w:tr>
        <w:trPr>
          <w:trHeight w:val="991"/>
        </w:trPr>
        <w:tc>
          <w:tcPr>
            <w:shd w:val="clear" w:color="000000" w:fill="ffff00"/>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shd w:val="clear" w:color="000000" w:fill="ffff00"/>
            <w:tcW w:w="1798"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shd w:val="clear" w:color="000000" w:fill="ffff00"/>
            <w:tcW w:w="6469" w:type="dxa"/>
            <w:vAlign w:val="center"/>
            <w:textDirection w:val="lrTb"/>
            <w:noWrap w:val="false"/>
          </w:tcPr>
          <w:p>
            <w:pPr>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ascii="宋体" w:hAnsi="宋体" w:cs="宋体"/>
                <w:highlight w:val="yellow"/>
              </w:rPr>
            </w:pPr>
            <w:r>
              <w:rPr>
                <w:rFonts w:hint="eastAsia" w:ascii="宋体" w:hAnsi="宋体" w:cs="宋体"/>
                <w:highlight w:val="yellow"/>
              </w:rPr>
              <w:t xml:space="preserve">（货物类或者包含产品的服务类项目需要）</w:t>
            </w:r>
            <w:r/>
          </w:p>
        </w:tc>
      </w:tr>
    </w:tbl>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bCs/>
          <w:sz w:val="24"/>
          <w:szCs w:val="24"/>
        </w:rPr>
      </w:pPr>
      <w:r>
        <w:rPr>
          <w:rFonts w:ascii="宋体" w:hAnsi="宋体"/>
          <w:b/>
          <w:sz w:val="24"/>
          <w:szCs w:val="24"/>
        </w:rPr>
      </w:r>
      <w:r>
        <w:rPr>
          <w:rFonts w:ascii="宋体" w:hAnsi="宋体"/>
          <w:b/>
          <w:sz w:val="24"/>
          <w:szCs w:val="24"/>
        </w:rPr>
      </w:r>
      <w:r/>
    </w:p>
    <w:p>
      <w:pPr>
        <w:spacing w:line="400" w:lineRule="exact"/>
        <w:rPr>
          <w:rFonts w:ascii="宋体" w:hAnsi="宋体"/>
          <w:b/>
          <w:bCs/>
          <w:sz w:val="24"/>
          <w:szCs w:val="24"/>
        </w:rPr>
      </w:pPr>
      <w:r>
        <w:rPr>
          <w:rFonts w:ascii="宋体" w:hAnsi="宋体"/>
          <w:b/>
          <w:bCs/>
          <w:sz w:val="24"/>
          <w:szCs w:val="24"/>
        </w:rPr>
      </w:r>
      <w:r>
        <w:rPr>
          <w:rFonts w:ascii="宋体" w:hAnsi="宋体"/>
          <w:b/>
          <w:bCs/>
          <w:sz w:val="24"/>
          <w:szCs w:val="24"/>
        </w:rPr>
      </w:r>
      <w:r/>
    </w:p>
    <w:p>
      <w:pPr>
        <w:spacing w:line="400" w:lineRule="exact"/>
        <w:rPr>
          <w:rFonts w:ascii="宋体" w:hAnsi="宋体"/>
          <w:b/>
          <w:bCs/>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62"/>
        <w:rPr>
          <w:sz w:val="24"/>
          <w:szCs w:val="24"/>
        </w:rPr>
      </w:pPr>
      <w:r>
        <w:rPr>
          <w:sz w:val="24"/>
          <w:szCs w:val="24"/>
        </w:rPr>
      </w:r>
      <w:r/>
    </w:p>
    <w:p>
      <w:pPr>
        <w:pStyle w:val="962"/>
        <w:rPr>
          <w:sz w:val="24"/>
          <w:szCs w:val="24"/>
        </w:rPr>
      </w:pPr>
      <w:r>
        <w:rPr>
          <w:sz w:val="24"/>
          <w:szCs w:val="24"/>
        </w:rPr>
      </w:r>
      <w:r/>
    </w:p>
    <w:p>
      <w:r/>
      <w:r/>
    </w:p>
    <w:p>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lear" w:pos="4153" w:leader="none"/>
        <w:tab w:val="left" w:pos="7119"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miter/>
                      </a:ln>
                    </wps:spPr>
                    <wps:txbx>
                      <w:txbxContent>
                        <w:p>
                          <w:pPr>
                            <w:pStyle w:val="980"/>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98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miter/>
                      </a:ln>
                    </wps:spPr>
                    <wps:txbx>
                      <w:txbxContent>
                        <w:p>
                          <w:pPr>
                            <w:pStyle w:val="980"/>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98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1885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48285" cy="188594"/>
                      </a:xfrm>
                      <a:prstGeom prst="rect">
                        <a:avLst/>
                      </a:prstGeom>
                      <a:noFill/>
                      <a:ln>
                        <a:noFill/>
                        <a:miter/>
                      </a:ln>
                    </wps:spPr>
                    <wps:txbx>
                      <w:txbxContent>
                        <w:p>
                          <w:pPr>
                            <w:pStyle w:val="980"/>
                          </w:pPr>
                          <w:r>
                            <w:fldChar w:fldCharType="begin"/>
                          </w:r>
                          <w:r>
                            <w:instrText xml:space="preserve"> PAGE  \* MERGEFORMAT </w:instrText>
                          </w:r>
                          <w:r>
                            <w:fldChar w:fldCharType="separate"/>
                          </w:r>
                          <w:r>
                            <w:t xml:space="preserve">65</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9.6pt;height:14.8pt;mso-wrap-distance-left:9.0pt;mso-wrap-distance-top:0.0pt;mso-wrap-distance-right:9.0pt;mso-wrap-distance-bottom:0.0pt;visibility:visible;" filled="f" stroked="f">
              <v:textbox inset="0,0,0,0">
                <w:txbxContent>
                  <w:p>
                    <w:pPr>
                      <w:pStyle w:val="98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0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56"/>
      <w:isLgl w:val="false"/>
      <w:suff w:val="nothing"/>
      <w:lvlText w:val=""/>
      <w:lvlJc w:val="left"/>
      <w:pPr>
        <w:ind w:left="0" w:firstLine="0"/>
      </w:pPr>
      <w:rPr>
        <w:rFonts w:hint="eastAsia"/>
      </w:rPr>
    </w:lvl>
    <w:lvl w:ilvl="6">
      <w:start w:val="1"/>
      <w:numFmt w:val="none"/>
      <w:pStyle w:val="957"/>
      <w:isLgl w:val="false"/>
      <w:suff w:val="nothing"/>
      <w:lvlText w:val=""/>
      <w:lvlJc w:val="left"/>
      <w:pPr>
        <w:ind w:left="0" w:firstLine="0"/>
      </w:pPr>
      <w:rPr>
        <w:rFonts w:hint="eastAsia"/>
      </w:rPr>
    </w:lvl>
    <w:lvl w:ilvl="7">
      <w:start w:val="1"/>
      <w:numFmt w:val="none"/>
      <w:pStyle w:val="958"/>
      <w:isLgl w:val="false"/>
      <w:suff w:val="nothing"/>
      <w:lvlText w:val=""/>
      <w:lvlJc w:val="left"/>
      <w:pPr>
        <w:ind w:left="0" w:firstLine="0"/>
      </w:pPr>
      <w:rPr>
        <w:rFonts w:hint="eastAsia"/>
      </w:rPr>
    </w:lvl>
    <w:lvl w:ilvl="8">
      <w:start w:val="1"/>
      <w:numFmt w:val="none"/>
      <w:pStyle w:val="959"/>
      <w:isLgl w:val="false"/>
      <w:suff w:val="nothing"/>
      <w:lvlText w:val=""/>
      <w:lvlJc w:val="left"/>
      <w:pPr>
        <w:ind w:left="0" w:firstLine="0"/>
      </w:pPr>
      <w:rPr>
        <w:rFonts w:hint="eastAsia"/>
      </w:rPr>
    </w:lvl>
  </w:abstractNum>
  <w:num w:numId="1">
    <w:abstractNumId w:val="6"/>
  </w:num>
  <w:num w:numId="2">
    <w:abstractNumId w:val="2"/>
  </w:num>
  <w:num w:numId="3">
    <w:abstractNumId w:val="5"/>
  </w:num>
  <w:num w:numId="4">
    <w:abstractNumId w:val="3"/>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60"/>
    <w:link w:val="951"/>
    <w:uiPriority w:val="9"/>
    <w:rPr>
      <w:rFonts w:ascii="Arial" w:hAnsi="Arial" w:eastAsia="Arial" w:cs="Arial"/>
      <w:sz w:val="40"/>
      <w:szCs w:val="40"/>
    </w:rPr>
  </w:style>
  <w:style w:type="character" w:styleId="799">
    <w:name w:val="Heading 2 Char"/>
    <w:basedOn w:val="960"/>
    <w:link w:val="952"/>
    <w:uiPriority w:val="9"/>
    <w:rPr>
      <w:rFonts w:ascii="Arial" w:hAnsi="Arial" w:eastAsia="Arial" w:cs="Arial"/>
      <w:sz w:val="34"/>
    </w:rPr>
  </w:style>
  <w:style w:type="character" w:styleId="800">
    <w:name w:val="Heading 3 Char"/>
    <w:basedOn w:val="960"/>
    <w:link w:val="953"/>
    <w:uiPriority w:val="9"/>
    <w:rPr>
      <w:rFonts w:ascii="Arial" w:hAnsi="Arial" w:eastAsia="Arial" w:cs="Arial"/>
      <w:sz w:val="30"/>
      <w:szCs w:val="30"/>
    </w:rPr>
  </w:style>
  <w:style w:type="character" w:styleId="801">
    <w:name w:val="Heading 4 Char"/>
    <w:basedOn w:val="960"/>
    <w:link w:val="954"/>
    <w:uiPriority w:val="9"/>
    <w:rPr>
      <w:rFonts w:ascii="Arial" w:hAnsi="Arial" w:eastAsia="Arial" w:cs="Arial"/>
      <w:b/>
      <w:bCs/>
      <w:sz w:val="26"/>
      <w:szCs w:val="26"/>
    </w:rPr>
  </w:style>
  <w:style w:type="character" w:styleId="802">
    <w:name w:val="Heading 5 Char"/>
    <w:basedOn w:val="960"/>
    <w:link w:val="955"/>
    <w:uiPriority w:val="9"/>
    <w:rPr>
      <w:rFonts w:ascii="Arial" w:hAnsi="Arial" w:eastAsia="Arial" w:cs="Arial"/>
      <w:b/>
      <w:bCs/>
      <w:sz w:val="24"/>
      <w:szCs w:val="24"/>
    </w:rPr>
  </w:style>
  <w:style w:type="character" w:styleId="803">
    <w:name w:val="Heading 6 Char"/>
    <w:basedOn w:val="960"/>
    <w:link w:val="956"/>
    <w:uiPriority w:val="9"/>
    <w:rPr>
      <w:rFonts w:ascii="Arial" w:hAnsi="Arial" w:eastAsia="Arial" w:cs="Arial"/>
      <w:b/>
      <w:bCs/>
      <w:sz w:val="22"/>
      <w:szCs w:val="22"/>
    </w:rPr>
  </w:style>
  <w:style w:type="character" w:styleId="804">
    <w:name w:val="Heading 7 Char"/>
    <w:basedOn w:val="960"/>
    <w:link w:val="957"/>
    <w:uiPriority w:val="9"/>
    <w:rPr>
      <w:rFonts w:ascii="Arial" w:hAnsi="Arial" w:eastAsia="Arial" w:cs="Arial"/>
      <w:b/>
      <w:bCs/>
      <w:i/>
      <w:iCs/>
      <w:sz w:val="22"/>
      <w:szCs w:val="22"/>
    </w:rPr>
  </w:style>
  <w:style w:type="character" w:styleId="805">
    <w:name w:val="Heading 8 Char"/>
    <w:basedOn w:val="960"/>
    <w:link w:val="958"/>
    <w:uiPriority w:val="9"/>
    <w:rPr>
      <w:rFonts w:ascii="Arial" w:hAnsi="Arial" w:eastAsia="Arial" w:cs="Arial"/>
      <w:i/>
      <w:iCs/>
      <w:sz w:val="22"/>
      <w:szCs w:val="22"/>
    </w:rPr>
  </w:style>
  <w:style w:type="character" w:styleId="806">
    <w:name w:val="Heading 9 Char"/>
    <w:basedOn w:val="960"/>
    <w:link w:val="959"/>
    <w:uiPriority w:val="9"/>
    <w:rPr>
      <w:rFonts w:ascii="Arial" w:hAnsi="Arial" w:eastAsia="Arial" w:cs="Arial"/>
      <w:i/>
      <w:iCs/>
      <w:sz w:val="21"/>
      <w:szCs w:val="21"/>
    </w:rPr>
  </w:style>
  <w:style w:type="character" w:styleId="807">
    <w:name w:val="Title Char"/>
    <w:basedOn w:val="960"/>
    <w:link w:val="994"/>
    <w:uiPriority w:val="10"/>
    <w:rPr>
      <w:sz w:val="48"/>
      <w:szCs w:val="48"/>
    </w:rPr>
  </w:style>
  <w:style w:type="paragraph" w:styleId="808">
    <w:name w:val="Subtitle"/>
    <w:basedOn w:val="950"/>
    <w:next w:val="950"/>
    <w:link w:val="809"/>
    <w:uiPriority w:val="11"/>
    <w:qFormat/>
    <w:pPr>
      <w:spacing w:before="200" w:after="200"/>
    </w:pPr>
    <w:rPr>
      <w:sz w:val="24"/>
      <w:szCs w:val="24"/>
    </w:rPr>
  </w:style>
  <w:style w:type="character" w:styleId="809">
    <w:name w:val="Subtitle Char"/>
    <w:basedOn w:val="960"/>
    <w:link w:val="808"/>
    <w:uiPriority w:val="11"/>
    <w:rPr>
      <w:sz w:val="24"/>
      <w:szCs w:val="24"/>
    </w:rPr>
  </w:style>
  <w:style w:type="paragraph" w:styleId="810">
    <w:name w:val="Quote"/>
    <w:basedOn w:val="950"/>
    <w:next w:val="950"/>
    <w:link w:val="811"/>
    <w:uiPriority w:val="29"/>
    <w:qFormat/>
    <w:pPr>
      <w:ind w:left="720" w:right="720"/>
    </w:pPr>
    <w:rPr>
      <w:i/>
    </w:rPr>
  </w:style>
  <w:style w:type="character" w:styleId="811">
    <w:name w:val="Quote Char"/>
    <w:link w:val="810"/>
    <w:uiPriority w:val="29"/>
    <w:rPr>
      <w:i/>
    </w:rPr>
  </w:style>
  <w:style w:type="paragraph" w:styleId="812">
    <w:name w:val="Intense Quote"/>
    <w:basedOn w:val="950"/>
    <w:next w:val="95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60"/>
    <w:link w:val="982"/>
    <w:uiPriority w:val="99"/>
  </w:style>
  <w:style w:type="character" w:styleId="815">
    <w:name w:val="Footer Char"/>
    <w:basedOn w:val="960"/>
    <w:link w:val="980"/>
    <w:uiPriority w:val="99"/>
  </w:style>
  <w:style w:type="paragraph" w:styleId="816">
    <w:name w:val="Caption"/>
    <w:basedOn w:val="950"/>
    <w:next w:val="950"/>
    <w:uiPriority w:val="35"/>
    <w:semiHidden/>
    <w:unhideWhenUsed/>
    <w:qFormat/>
    <w:pPr>
      <w:spacing w:line="276" w:lineRule="auto"/>
    </w:pPr>
    <w:rPr>
      <w:b/>
      <w:bCs/>
      <w:color w:val="4f81bd" w:themeColor="accent1"/>
      <w:sz w:val="18"/>
      <w:szCs w:val="18"/>
    </w:rPr>
  </w:style>
  <w:style w:type="character" w:styleId="817">
    <w:name w:val="Caption Char"/>
    <w:basedOn w:val="816"/>
    <w:link w:val="980"/>
    <w:uiPriority w:val="99"/>
  </w:style>
  <w:style w:type="table" w:styleId="818">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4">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5">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6">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7">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8">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9">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6">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9">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0">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1">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2">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3">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4">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6">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7">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8">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9">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0">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1">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0">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1">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2">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3">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4">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5">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7">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8">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9">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0">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1">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2">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4">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8">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1">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2">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3">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4">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5">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6">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3">
    <w:name w:val="footnote text"/>
    <w:basedOn w:val="95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basedOn w:val="960"/>
    <w:uiPriority w:val="99"/>
    <w:unhideWhenUsed/>
    <w:rPr>
      <w:vertAlign w:val="superscript"/>
    </w:rPr>
  </w:style>
  <w:style w:type="paragraph" w:styleId="946">
    <w:name w:val="endnote text"/>
    <w:basedOn w:val="95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basedOn w:val="960"/>
    <w:uiPriority w:val="99"/>
    <w:semiHidden/>
    <w:unhideWhenUsed/>
    <w:rPr>
      <w:vertAlign w:val="superscript"/>
    </w:rPr>
  </w:style>
  <w:style w:type="paragraph" w:styleId="949">
    <w:name w:val="TOC Heading"/>
    <w:uiPriority w:val="39"/>
    <w:unhideWhenUsed/>
  </w:style>
  <w:style w:type="paragraph" w:styleId="95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51">
    <w:name w:val="Heading 1"/>
    <w:basedOn w:val="950"/>
    <w:next w:val="950"/>
    <w:link w:val="1001"/>
    <w:uiPriority w:val="0"/>
    <w:qFormat/>
    <w:pPr>
      <w:jc w:val="center"/>
      <w:keepNext/>
      <w:outlineLvl w:val="0"/>
    </w:pPr>
    <w:rPr>
      <w:rFonts w:ascii="楷体_GB2312" w:eastAsia="楷体_GB2312"/>
      <w:sz w:val="28"/>
      <w:szCs w:val="28"/>
    </w:rPr>
  </w:style>
  <w:style w:type="paragraph" w:styleId="952">
    <w:name w:val="Heading 2"/>
    <w:basedOn w:val="950"/>
    <w:next w:val="962"/>
    <w:link w:val="10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name w:val="Heading 3"/>
    <w:basedOn w:val="950"/>
    <w:next w:val="962"/>
    <w:link w:val="1004"/>
    <w:uiPriority w:val="0"/>
    <w:qFormat/>
    <w:pPr>
      <w:keepLines/>
      <w:keepNext/>
      <w:spacing w:before="260" w:after="260" w:line="416" w:lineRule="auto"/>
      <w:outlineLvl w:val="2"/>
    </w:pPr>
    <w:rPr>
      <w:b/>
      <w:bCs/>
      <w:sz w:val="32"/>
      <w:szCs w:val="32"/>
    </w:rPr>
  </w:style>
  <w:style w:type="paragraph" w:styleId="954">
    <w:name w:val="Heading 4"/>
    <w:basedOn w:val="950"/>
    <w:next w:val="962"/>
    <w:link w:val="1005"/>
    <w:uiPriority w:val="0"/>
    <w:qFormat/>
    <w:pPr>
      <w:keepLines/>
      <w:keepNext/>
      <w:spacing w:before="280" w:after="290" w:line="376" w:lineRule="auto"/>
      <w:outlineLvl w:val="3"/>
    </w:pPr>
    <w:rPr>
      <w:rFonts w:ascii="Arial" w:hAnsi="Arial" w:eastAsia="黑体" w:cs="Arial"/>
      <w:b/>
      <w:bCs/>
      <w:sz w:val="28"/>
      <w:szCs w:val="28"/>
    </w:rPr>
  </w:style>
  <w:style w:type="paragraph" w:styleId="955">
    <w:name w:val="Heading 5"/>
    <w:basedOn w:val="950"/>
    <w:next w:val="962"/>
    <w:link w:val="1006"/>
    <w:uiPriority w:val="0"/>
    <w:qFormat/>
    <w:pPr>
      <w:keepNext/>
      <w:outlineLvl w:val="4"/>
    </w:pPr>
    <w:rPr>
      <w:rFonts w:ascii="宋体"/>
      <w:color w:val="000000"/>
      <w:sz w:val="28"/>
      <w:szCs w:val="28"/>
    </w:rPr>
  </w:style>
  <w:style w:type="paragraph" w:styleId="956">
    <w:name w:val="Heading 6"/>
    <w:basedOn w:val="950"/>
    <w:next w:val="950"/>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7">
    <w:name w:val="Heading 7"/>
    <w:basedOn w:val="950"/>
    <w:next w:val="950"/>
    <w:link w:val="1008"/>
    <w:uiPriority w:val="0"/>
    <w:qFormat/>
    <w:pPr>
      <w:numPr>
        <w:ilvl w:val="6"/>
        <w:numId w:val="1"/>
      </w:numPr>
      <w:keepLines/>
      <w:keepNext/>
      <w:spacing w:before="240" w:after="64" w:line="320" w:lineRule="auto"/>
      <w:outlineLvl w:val="6"/>
    </w:pPr>
    <w:rPr>
      <w:b/>
      <w:bCs/>
      <w:sz w:val="24"/>
      <w:szCs w:val="24"/>
    </w:rPr>
  </w:style>
  <w:style w:type="paragraph" w:styleId="958">
    <w:name w:val="Heading 8"/>
    <w:basedOn w:val="950"/>
    <w:next w:val="950"/>
    <w:link w:val="10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9">
    <w:name w:val="Heading 9"/>
    <w:basedOn w:val="950"/>
    <w:next w:val="950"/>
    <w:link w:val="1010"/>
    <w:uiPriority w:val="0"/>
    <w:qFormat/>
    <w:pPr>
      <w:numPr>
        <w:ilvl w:val="8"/>
        <w:numId w:val="1"/>
      </w:numPr>
      <w:keepLines/>
      <w:keepNext/>
      <w:spacing w:before="240" w:after="64" w:line="320" w:lineRule="auto"/>
      <w:outlineLvl w:val="8"/>
    </w:pPr>
    <w:rPr>
      <w:rFonts w:ascii="Arial" w:hAnsi="Arial" w:eastAsia="黑体"/>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Layout w:type="fixed"/>
      <w:tblCellMar>
        <w:left w:w="108" w:type="dxa"/>
        <w:top w:w="0" w:type="dxa"/>
        <w:right w:w="108" w:type="dxa"/>
        <w:bottom w:w="0" w:type="dxa"/>
      </w:tblCellMar>
    </w:tblPr>
  </w:style>
  <w:style w:type="paragraph" w:styleId="962">
    <w:name w:val="Normal Indent"/>
    <w:basedOn w:val="950"/>
    <w:link w:val="1003"/>
    <w:uiPriority w:val="99"/>
    <w:qFormat/>
    <w:pPr>
      <w:ind w:firstLine="420"/>
    </w:pPr>
  </w:style>
  <w:style w:type="paragraph" w:styleId="963">
    <w:name w:val="List 3"/>
    <w:basedOn w:val="950"/>
    <w:uiPriority w:val="0"/>
    <w:qFormat/>
    <w:pPr>
      <w:ind w:left="100" w:hanging="200"/>
    </w:pPr>
  </w:style>
  <w:style w:type="paragraph" w:styleId="964">
    <w:name w:val="annotation subject"/>
    <w:basedOn w:val="965"/>
    <w:next w:val="965"/>
    <w:link w:val="1025"/>
    <w:uiPriority w:val="0"/>
    <w:semiHidden/>
    <w:qFormat/>
    <w:rPr>
      <w:b/>
      <w:bCs/>
    </w:rPr>
  </w:style>
  <w:style w:type="paragraph" w:styleId="965">
    <w:name w:val="annotation text"/>
    <w:basedOn w:val="950"/>
    <w:link w:val="1012"/>
    <w:uiPriority w:val="0"/>
    <w:qFormat/>
    <w:pPr>
      <w:jc w:val="left"/>
    </w:pPr>
  </w:style>
  <w:style w:type="paragraph" w:styleId="966">
    <w:name w:val="toc 7"/>
    <w:basedOn w:val="950"/>
    <w:next w:val="950"/>
    <w:uiPriority w:val="0"/>
    <w:semiHidden/>
    <w:qFormat/>
    <w:pPr>
      <w:ind w:left="1260"/>
      <w:jc w:val="left"/>
    </w:pPr>
  </w:style>
  <w:style w:type="paragraph" w:styleId="967">
    <w:name w:val="Body Text First Indent"/>
    <w:basedOn w:val="950"/>
    <w:link w:val="1026"/>
    <w:uiPriority w:val="0"/>
    <w:qFormat/>
    <w:pPr>
      <w:ind w:firstLine="200"/>
      <w:spacing w:line="360" w:lineRule="auto"/>
    </w:pPr>
    <w:rPr>
      <w:rFonts w:ascii="仿宋_GB2312" w:eastAsia="仿宋_GB2312"/>
      <w:sz w:val="30"/>
      <w:szCs w:val="30"/>
    </w:rPr>
  </w:style>
  <w:style w:type="paragraph" w:styleId="968">
    <w:name w:val="Document Map"/>
    <w:basedOn w:val="950"/>
    <w:link w:val="1011"/>
    <w:uiPriority w:val="0"/>
    <w:semiHidden/>
    <w:qFormat/>
    <w:pPr>
      <w:shd w:val="clear" w:color="auto" w:fill="000080"/>
    </w:pPr>
  </w:style>
  <w:style w:type="paragraph" w:styleId="969">
    <w:name w:val="Body Text 3"/>
    <w:basedOn w:val="950"/>
    <w:link w:val="1013"/>
    <w:uiPriority w:val="0"/>
    <w:qFormat/>
    <w:rPr>
      <w:rFonts w:ascii="仿宋_GB2312" w:hAnsi="Arial" w:eastAsia="仿宋_GB2312"/>
      <w:sz w:val="32"/>
      <w:szCs w:val="32"/>
    </w:rPr>
  </w:style>
  <w:style w:type="paragraph" w:styleId="970">
    <w:name w:val="Body Text"/>
    <w:basedOn w:val="950"/>
    <w:link w:val="1014"/>
    <w:uiPriority w:val="0"/>
    <w:qFormat/>
    <w:rPr>
      <w:rFonts w:ascii="楷体_GB2312" w:hAnsi="Arial" w:eastAsia="楷体_GB2312"/>
      <w:sz w:val="28"/>
      <w:szCs w:val="28"/>
    </w:rPr>
  </w:style>
  <w:style w:type="paragraph" w:styleId="971">
    <w:name w:val="Body Text Indent"/>
    <w:basedOn w:val="950"/>
    <w:link w:val="1015"/>
    <w:uiPriority w:val="0"/>
    <w:qFormat/>
    <w:pPr>
      <w:ind w:firstLine="645"/>
    </w:pPr>
    <w:rPr>
      <w:rFonts w:ascii="楷体_GB2312" w:eastAsia="楷体_GB2312"/>
      <w:sz w:val="32"/>
      <w:szCs w:val="32"/>
    </w:rPr>
  </w:style>
  <w:style w:type="paragraph" w:styleId="972">
    <w:name w:val="List 2"/>
    <w:basedOn w:val="950"/>
    <w:uiPriority w:val="0"/>
    <w:qFormat/>
    <w:pPr>
      <w:ind w:left="100" w:hanging="200"/>
    </w:pPr>
  </w:style>
  <w:style w:type="paragraph" w:styleId="973">
    <w:name w:val="toc 5"/>
    <w:basedOn w:val="950"/>
    <w:next w:val="950"/>
    <w:uiPriority w:val="0"/>
    <w:semiHidden/>
    <w:qFormat/>
    <w:pPr>
      <w:ind w:left="840"/>
      <w:jc w:val="left"/>
    </w:pPr>
  </w:style>
  <w:style w:type="paragraph" w:styleId="974">
    <w:name w:val="toc 3"/>
    <w:basedOn w:val="950"/>
    <w:next w:val="950"/>
    <w:uiPriority w:val="0"/>
    <w:semiHidden/>
    <w:qFormat/>
    <w:pPr>
      <w:ind w:left="420"/>
      <w:jc w:val="left"/>
    </w:pPr>
    <w:rPr>
      <w:i/>
      <w:iCs/>
      <w:szCs w:val="24"/>
    </w:rPr>
  </w:style>
  <w:style w:type="paragraph" w:styleId="975">
    <w:name w:val="Plain Text"/>
    <w:basedOn w:val="950"/>
    <w:link w:val="1016"/>
    <w:uiPriority w:val="0"/>
    <w:qFormat/>
    <w:rPr>
      <w:rFonts w:ascii="宋体" w:hAnsi="Courier New" w:cs="Courier New"/>
    </w:rPr>
  </w:style>
  <w:style w:type="paragraph" w:styleId="976">
    <w:name w:val="toc 8"/>
    <w:basedOn w:val="950"/>
    <w:next w:val="950"/>
    <w:uiPriority w:val="0"/>
    <w:semiHidden/>
    <w:qFormat/>
    <w:pPr>
      <w:ind w:left="1470"/>
      <w:jc w:val="left"/>
    </w:pPr>
  </w:style>
  <w:style w:type="paragraph" w:styleId="977">
    <w:name w:val="Date"/>
    <w:basedOn w:val="950"/>
    <w:next w:val="950"/>
    <w:link w:val="1017"/>
    <w:uiPriority w:val="0"/>
    <w:qFormat/>
    <w:rPr>
      <w:sz w:val="24"/>
      <w:szCs w:val="24"/>
    </w:rPr>
  </w:style>
  <w:style w:type="paragraph" w:styleId="978">
    <w:name w:val="Body Text Indent 2"/>
    <w:basedOn w:val="950"/>
    <w:link w:val="1018"/>
    <w:uiPriority w:val="0"/>
    <w:qFormat/>
    <w:pPr>
      <w:ind w:left="630" w:firstLine="645"/>
    </w:pPr>
    <w:rPr>
      <w:rFonts w:ascii="Arial" w:hAnsi="Arial" w:eastAsia="仿宋_GB2312" w:cs="Arial"/>
      <w:sz w:val="32"/>
      <w:szCs w:val="32"/>
    </w:rPr>
  </w:style>
  <w:style w:type="paragraph" w:styleId="979">
    <w:name w:val="Balloon Text"/>
    <w:basedOn w:val="950"/>
    <w:link w:val="1019"/>
    <w:uiPriority w:val="0"/>
    <w:semiHidden/>
    <w:qFormat/>
    <w:rPr>
      <w:sz w:val="18"/>
      <w:szCs w:val="18"/>
    </w:rPr>
  </w:style>
  <w:style w:type="paragraph" w:styleId="980">
    <w:name w:val="Footer"/>
    <w:basedOn w:val="950"/>
    <w:link w:val="1020"/>
    <w:uiPriority w:val="99"/>
    <w:qFormat/>
    <w:pPr>
      <w:jc w:val="left"/>
      <w:tabs>
        <w:tab w:val="center" w:pos="4153" w:leader="none"/>
        <w:tab w:val="right" w:pos="8306" w:leader="none"/>
      </w:tabs>
    </w:pPr>
    <w:rPr>
      <w:sz w:val="18"/>
      <w:szCs w:val="18"/>
    </w:rPr>
  </w:style>
  <w:style w:type="paragraph" w:styleId="981">
    <w:name w:val="Body Text First Indent 2"/>
    <w:basedOn w:val="971"/>
    <w:link w:val="1027"/>
    <w:uiPriority w:val="0"/>
    <w:qFormat/>
    <w:pPr>
      <w:ind w:firstLine="420"/>
      <w:spacing w:line="360" w:lineRule="auto"/>
    </w:pPr>
    <w:rPr>
      <w:rFonts w:ascii="宋体" w:hAnsi="宋体" w:eastAsia="宋体"/>
      <w:sz w:val="21"/>
      <w:szCs w:val="20"/>
    </w:rPr>
  </w:style>
  <w:style w:type="paragraph" w:styleId="982">
    <w:name w:val="Header"/>
    <w:basedOn w:val="950"/>
    <w:link w:val="1021"/>
    <w:uiPriority w:val="0"/>
    <w:qFormat/>
    <w:pPr>
      <w:jc w:val="center"/>
      <w:tabs>
        <w:tab w:val="center" w:pos="4153" w:leader="none"/>
        <w:tab w:val="right" w:pos="8306" w:leader="none"/>
      </w:tabs>
      <w:pBdr>
        <w:bottom w:val="single" w:color="auto" w:sz="6" w:space="1"/>
      </w:pBdr>
    </w:pPr>
    <w:rPr>
      <w:sz w:val="18"/>
      <w:szCs w:val="18"/>
    </w:rPr>
  </w:style>
  <w:style w:type="paragraph" w:styleId="983">
    <w:name w:val="toc 1"/>
    <w:basedOn w:val="950"/>
    <w:next w:val="950"/>
    <w:uiPriority w:val="39"/>
    <w:qFormat/>
    <w:pPr>
      <w:jc w:val="left"/>
      <w:spacing w:before="120" w:after="120" w:line="400" w:lineRule="exact"/>
      <w:tabs>
        <w:tab w:val="right" w:pos="8720" w:leader="dot"/>
      </w:tabs>
    </w:pPr>
    <w:rPr>
      <w:rFonts w:ascii="宋体" w:hAnsi="宋体"/>
      <w:caps/>
      <w:sz w:val="24"/>
      <w:szCs w:val="24"/>
    </w:rPr>
  </w:style>
  <w:style w:type="paragraph" w:styleId="984">
    <w:name w:val="toc 4"/>
    <w:basedOn w:val="950"/>
    <w:next w:val="950"/>
    <w:uiPriority w:val="0"/>
    <w:semiHidden/>
    <w:qFormat/>
    <w:pPr>
      <w:ind w:left="630"/>
      <w:jc w:val="left"/>
    </w:pPr>
  </w:style>
  <w:style w:type="paragraph" w:styleId="985">
    <w:name w:val="List"/>
    <w:basedOn w:val="950"/>
    <w:uiPriority w:val="0"/>
    <w:pPr>
      <w:ind w:left="200" w:hanging="200"/>
    </w:pPr>
  </w:style>
  <w:style w:type="paragraph" w:styleId="986">
    <w:name w:val="toc 6"/>
    <w:basedOn w:val="950"/>
    <w:next w:val="950"/>
    <w:uiPriority w:val="0"/>
    <w:semiHidden/>
    <w:pPr>
      <w:ind w:left="1050"/>
      <w:jc w:val="left"/>
    </w:pPr>
  </w:style>
  <w:style w:type="paragraph" w:styleId="987">
    <w:name w:val="Body Text Indent 3"/>
    <w:basedOn w:val="950"/>
    <w:link w:val="1022"/>
    <w:uiPriority w:val="0"/>
    <w:qFormat/>
    <w:pPr>
      <w:ind w:left="645" w:firstLine="645"/>
    </w:pPr>
    <w:rPr>
      <w:rFonts w:ascii="Arial" w:hAnsi="Arial" w:eastAsia="仿宋_GB2312" w:cs="Arial"/>
      <w:color w:val="ffff00"/>
      <w:sz w:val="32"/>
      <w:szCs w:val="32"/>
    </w:rPr>
  </w:style>
  <w:style w:type="paragraph" w:styleId="988">
    <w:name w:val="table of figures"/>
    <w:basedOn w:val="950"/>
    <w:next w:val="950"/>
    <w:uiPriority w:val="0"/>
    <w:semiHidden/>
    <w:qFormat/>
    <w:pPr>
      <w:ind w:left="840" w:hanging="420"/>
    </w:pPr>
  </w:style>
  <w:style w:type="paragraph" w:styleId="989">
    <w:name w:val="toc 2"/>
    <w:basedOn w:val="950"/>
    <w:next w:val="950"/>
    <w:uiPriority w:val="0"/>
    <w:semiHidden/>
    <w:qFormat/>
    <w:pPr>
      <w:ind w:left="210"/>
      <w:jc w:val="left"/>
    </w:pPr>
    <w:rPr>
      <w:smallCaps/>
      <w:szCs w:val="24"/>
    </w:rPr>
  </w:style>
  <w:style w:type="paragraph" w:styleId="990">
    <w:name w:val="toc 9"/>
    <w:basedOn w:val="950"/>
    <w:next w:val="950"/>
    <w:uiPriority w:val="0"/>
    <w:semiHidden/>
    <w:pPr>
      <w:ind w:left="1680"/>
      <w:jc w:val="left"/>
    </w:pPr>
  </w:style>
  <w:style w:type="paragraph" w:styleId="991">
    <w:name w:val="Body Text 2"/>
    <w:basedOn w:val="950"/>
    <w:link w:val="1023"/>
    <w:uiPriority w:val="0"/>
    <w:qFormat/>
    <w:pPr>
      <w:jc w:val="center"/>
      <w:widowControl/>
    </w:pPr>
    <w:rPr>
      <w:rFonts w:ascii="楷体_GB2312" w:eastAsia="楷体_GB2312"/>
      <w:sz w:val="28"/>
      <w:szCs w:val="28"/>
    </w:rPr>
  </w:style>
  <w:style w:type="paragraph" w:styleId="992">
    <w:name w:val="Normal (Web)"/>
    <w:basedOn w:val="950"/>
    <w:uiPriority w:val="99"/>
    <w:pPr>
      <w:jc w:val="left"/>
      <w:spacing w:before="100" w:beforeAutospacing="1" w:after="100" w:afterAutospacing="1"/>
      <w:widowControl/>
    </w:pPr>
    <w:rPr>
      <w:rFonts w:ascii="宋体" w:hAnsi="宋体" w:cs="宋体"/>
      <w:sz w:val="24"/>
      <w:szCs w:val="24"/>
    </w:rPr>
  </w:style>
  <w:style w:type="paragraph" w:styleId="993">
    <w:name w:val="index 1"/>
    <w:basedOn w:val="950"/>
    <w:next w:val="950"/>
    <w:uiPriority w:val="0"/>
    <w:semiHidden/>
    <w:qFormat/>
    <w:pPr>
      <w:spacing w:line="240" w:lineRule="atLeast"/>
    </w:pPr>
    <w:rPr>
      <w:b/>
      <w:bCs/>
    </w:rPr>
  </w:style>
  <w:style w:type="paragraph" w:styleId="994">
    <w:name w:val="Title"/>
    <w:basedOn w:val="950"/>
    <w:next w:val="950"/>
    <w:link w:val="1024"/>
    <w:uiPriority w:val="10"/>
    <w:qFormat/>
    <w:pPr>
      <w:jc w:val="center"/>
      <w:spacing w:before="240" w:after="60"/>
      <w:outlineLvl w:val="0"/>
    </w:pPr>
    <w:rPr>
      <w:rFonts w:ascii="Cambria" w:hAnsi="Cambria"/>
      <w:b/>
      <w:bCs/>
      <w:sz w:val="32"/>
      <w:szCs w:val="32"/>
    </w:rPr>
  </w:style>
  <w:style w:type="character" w:styleId="995">
    <w:name w:val="Strong"/>
    <w:uiPriority w:val="0"/>
    <w:qFormat/>
    <w:rPr>
      <w:b/>
      <w:bCs/>
    </w:rPr>
  </w:style>
  <w:style w:type="character" w:styleId="996">
    <w:name w:val="page number"/>
    <w:uiPriority w:val="0"/>
    <w:qFormat/>
  </w:style>
  <w:style w:type="character" w:styleId="997">
    <w:name w:val="FollowedHyperlink"/>
    <w:uiPriority w:val="0"/>
    <w:qFormat/>
    <w:rPr>
      <w:color w:val="800080"/>
      <w:u w:val="single"/>
    </w:rPr>
  </w:style>
  <w:style w:type="character" w:styleId="998">
    <w:name w:val="Hyperlink"/>
    <w:uiPriority w:val="99"/>
    <w:rPr>
      <w:color w:val="0000ff"/>
      <w:u w:val="single"/>
    </w:rPr>
  </w:style>
  <w:style w:type="character" w:styleId="999">
    <w:name w:val="annotation reference"/>
    <w:uiPriority w:val="0"/>
    <w:qFormat/>
    <w:rPr>
      <w:sz w:val="21"/>
      <w:szCs w:val="21"/>
    </w:rPr>
  </w:style>
  <w:style w:type="table" w:styleId="1000">
    <w:name w:val="Table Grid"/>
    <w:basedOn w:val="9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1001" w:customStyle="1">
    <w:name w:val="标题 1 Char"/>
    <w:link w:val="951"/>
    <w:uiPriority w:val="0"/>
    <w:qFormat/>
    <w:rPr>
      <w:rFonts w:ascii="楷体_GB2312" w:hAnsi="Times New Roman" w:eastAsia="楷体_GB2312" w:cs="Times New Roman"/>
      <w:sz w:val="28"/>
      <w:szCs w:val="28"/>
    </w:rPr>
  </w:style>
  <w:style w:type="character" w:styleId="1002" w:customStyle="1">
    <w:name w:val="标题 2 Char"/>
    <w:link w:val="952"/>
    <w:uiPriority w:val="0"/>
    <w:qFormat/>
    <w:rPr>
      <w:rFonts w:ascii="Arial" w:hAnsi="Arial" w:eastAsia="幼圆" w:cs="Arial"/>
      <w:b/>
      <w:bCs/>
      <w:sz w:val="44"/>
      <w:szCs w:val="44"/>
    </w:rPr>
  </w:style>
  <w:style w:type="character" w:styleId="1003" w:customStyle="1">
    <w:name w:val="正文缩进 Char"/>
    <w:link w:val="962"/>
    <w:uiPriority w:val="0"/>
    <w:qFormat/>
    <w:rPr>
      <w:rFonts w:ascii="Times New Roman" w:hAnsi="Times New Roman" w:eastAsia="宋体" w:cs="Times New Roman"/>
      <w:szCs w:val="21"/>
    </w:rPr>
  </w:style>
  <w:style w:type="character" w:styleId="1004" w:customStyle="1">
    <w:name w:val="标题 3 Char"/>
    <w:link w:val="953"/>
    <w:uiPriority w:val="0"/>
    <w:qFormat/>
    <w:rPr>
      <w:rFonts w:ascii="Times New Roman" w:hAnsi="Times New Roman" w:eastAsia="宋体" w:cs="Times New Roman"/>
      <w:b/>
      <w:bCs/>
      <w:sz w:val="32"/>
      <w:szCs w:val="32"/>
    </w:rPr>
  </w:style>
  <w:style w:type="character" w:styleId="1005" w:customStyle="1">
    <w:name w:val="标题 4 Char"/>
    <w:link w:val="954"/>
    <w:uiPriority w:val="0"/>
    <w:qFormat/>
    <w:rPr>
      <w:rFonts w:ascii="Arial" w:hAnsi="Arial" w:eastAsia="黑体" w:cs="Arial"/>
      <w:b/>
      <w:bCs/>
      <w:sz w:val="28"/>
      <w:szCs w:val="28"/>
    </w:rPr>
  </w:style>
  <w:style w:type="character" w:styleId="1006" w:customStyle="1">
    <w:name w:val="标题 5 Char"/>
    <w:link w:val="955"/>
    <w:uiPriority w:val="0"/>
    <w:qFormat/>
    <w:rPr>
      <w:rFonts w:ascii="宋体" w:hAnsi="Times New Roman" w:eastAsia="宋体" w:cs="Times New Roman"/>
      <w:color w:val="000000"/>
      <w:sz w:val="28"/>
      <w:szCs w:val="28"/>
    </w:rPr>
  </w:style>
  <w:style w:type="character" w:styleId="1007" w:customStyle="1">
    <w:name w:val="标题 6 Char"/>
    <w:link w:val="956"/>
    <w:uiPriority w:val="0"/>
    <w:qFormat/>
    <w:rPr>
      <w:rFonts w:ascii="Arial" w:hAnsi="Arial" w:eastAsia="黑体" w:cs="Times New Roman"/>
      <w:b/>
      <w:bCs/>
      <w:sz w:val="24"/>
      <w:szCs w:val="24"/>
    </w:rPr>
  </w:style>
  <w:style w:type="character" w:styleId="1008" w:customStyle="1">
    <w:name w:val="标题 7 Char"/>
    <w:link w:val="957"/>
    <w:uiPriority w:val="0"/>
    <w:qFormat/>
    <w:rPr>
      <w:rFonts w:ascii="Times New Roman" w:hAnsi="Times New Roman" w:eastAsia="宋体" w:cs="Times New Roman"/>
      <w:b/>
      <w:bCs/>
      <w:sz w:val="24"/>
      <w:szCs w:val="24"/>
    </w:rPr>
  </w:style>
  <w:style w:type="character" w:styleId="1009" w:customStyle="1">
    <w:name w:val="标题 8 Char"/>
    <w:link w:val="958"/>
    <w:uiPriority w:val="0"/>
    <w:rPr>
      <w:rFonts w:ascii="Arial" w:hAnsi="Arial" w:eastAsia="黑体" w:cs="Times New Roman"/>
      <w:sz w:val="24"/>
      <w:szCs w:val="24"/>
    </w:rPr>
  </w:style>
  <w:style w:type="character" w:styleId="1010" w:customStyle="1">
    <w:name w:val="标题 9 Char"/>
    <w:link w:val="959"/>
    <w:uiPriority w:val="0"/>
    <w:qFormat/>
    <w:rPr>
      <w:rFonts w:ascii="Arial" w:hAnsi="Arial" w:eastAsia="黑体" w:cs="Times New Roman"/>
      <w:szCs w:val="21"/>
    </w:rPr>
  </w:style>
  <w:style w:type="character" w:styleId="1011" w:customStyle="1">
    <w:name w:val="文档结构图 Char"/>
    <w:link w:val="968"/>
    <w:uiPriority w:val="0"/>
    <w:semiHidden/>
    <w:qFormat/>
    <w:rPr>
      <w:rFonts w:ascii="Times New Roman" w:hAnsi="Times New Roman" w:eastAsia="宋体" w:cs="Times New Roman"/>
      <w:szCs w:val="21"/>
      <w:shd w:val="clear" w:color="auto" w:fill="000080"/>
    </w:rPr>
  </w:style>
  <w:style w:type="character" w:styleId="1012" w:customStyle="1">
    <w:name w:val="批注文字 Char"/>
    <w:link w:val="965"/>
    <w:uiPriority w:val="0"/>
    <w:qFormat/>
    <w:rPr>
      <w:rFonts w:ascii="Times New Roman" w:hAnsi="Times New Roman" w:eastAsia="宋体" w:cs="Times New Roman"/>
      <w:szCs w:val="21"/>
    </w:rPr>
  </w:style>
  <w:style w:type="character" w:styleId="1013" w:customStyle="1">
    <w:name w:val="正文文本 3 Char"/>
    <w:link w:val="969"/>
    <w:uiPriority w:val="0"/>
    <w:qFormat/>
    <w:rPr>
      <w:rFonts w:ascii="仿宋_GB2312" w:hAnsi="Arial" w:eastAsia="仿宋_GB2312" w:cs="Times New Roman"/>
      <w:sz w:val="32"/>
      <w:szCs w:val="32"/>
    </w:rPr>
  </w:style>
  <w:style w:type="character" w:styleId="1014" w:customStyle="1">
    <w:name w:val="正文文本 Char"/>
    <w:link w:val="970"/>
    <w:uiPriority w:val="0"/>
    <w:qFormat/>
    <w:rPr>
      <w:rFonts w:ascii="楷体_GB2312" w:hAnsi="Arial" w:eastAsia="楷体_GB2312" w:cs="Times New Roman"/>
      <w:sz w:val="28"/>
      <w:szCs w:val="28"/>
    </w:rPr>
  </w:style>
  <w:style w:type="character" w:styleId="1015" w:customStyle="1">
    <w:name w:val="正文文本缩进 Char"/>
    <w:link w:val="971"/>
    <w:uiPriority w:val="0"/>
    <w:qFormat/>
    <w:rPr>
      <w:rFonts w:ascii="楷体_GB2312" w:hAnsi="Times New Roman" w:eastAsia="楷体_GB2312" w:cs="Times New Roman"/>
      <w:sz w:val="32"/>
      <w:szCs w:val="32"/>
    </w:rPr>
  </w:style>
  <w:style w:type="character" w:styleId="1016" w:customStyle="1">
    <w:name w:val="纯文本 Char"/>
    <w:link w:val="975"/>
    <w:uiPriority w:val="0"/>
    <w:rPr>
      <w:rFonts w:ascii="宋体" w:hAnsi="Courier New" w:eastAsia="宋体" w:cs="Courier New"/>
      <w:szCs w:val="21"/>
    </w:rPr>
  </w:style>
  <w:style w:type="character" w:styleId="1017" w:customStyle="1">
    <w:name w:val="日期 Char"/>
    <w:link w:val="977"/>
    <w:uiPriority w:val="0"/>
    <w:qFormat/>
    <w:rPr>
      <w:rFonts w:ascii="Times New Roman" w:hAnsi="Times New Roman" w:eastAsia="宋体" w:cs="Times New Roman"/>
      <w:sz w:val="24"/>
      <w:szCs w:val="24"/>
    </w:rPr>
  </w:style>
  <w:style w:type="character" w:styleId="1018" w:customStyle="1">
    <w:name w:val="正文文本缩进 2 Char"/>
    <w:link w:val="978"/>
    <w:uiPriority w:val="0"/>
    <w:qFormat/>
    <w:rPr>
      <w:rFonts w:ascii="Arial" w:hAnsi="Arial" w:eastAsia="仿宋_GB2312" w:cs="Arial"/>
      <w:sz w:val="32"/>
      <w:szCs w:val="32"/>
    </w:rPr>
  </w:style>
  <w:style w:type="character" w:styleId="1019" w:customStyle="1">
    <w:name w:val="批注框文本 Char"/>
    <w:link w:val="979"/>
    <w:uiPriority w:val="0"/>
    <w:semiHidden/>
    <w:rPr>
      <w:rFonts w:ascii="Times New Roman" w:hAnsi="Times New Roman" w:eastAsia="宋体" w:cs="Times New Roman"/>
      <w:sz w:val="18"/>
      <w:szCs w:val="18"/>
    </w:rPr>
  </w:style>
  <w:style w:type="character" w:styleId="1020" w:customStyle="1">
    <w:name w:val="页脚 Char"/>
    <w:link w:val="980"/>
    <w:uiPriority w:val="99"/>
    <w:qFormat/>
    <w:rPr>
      <w:rFonts w:ascii="Times New Roman" w:hAnsi="Times New Roman" w:eastAsia="宋体" w:cs="Times New Roman"/>
      <w:sz w:val="18"/>
      <w:szCs w:val="18"/>
    </w:rPr>
  </w:style>
  <w:style w:type="character" w:styleId="1021" w:customStyle="1">
    <w:name w:val="页眉 Char"/>
    <w:link w:val="982"/>
    <w:uiPriority w:val="0"/>
    <w:qFormat/>
    <w:rPr>
      <w:rFonts w:ascii="Times New Roman" w:hAnsi="Times New Roman" w:eastAsia="宋体" w:cs="Times New Roman"/>
      <w:sz w:val="18"/>
      <w:szCs w:val="18"/>
    </w:rPr>
  </w:style>
  <w:style w:type="character" w:styleId="1022" w:customStyle="1">
    <w:name w:val="正文文本缩进 3 Char"/>
    <w:link w:val="987"/>
    <w:uiPriority w:val="0"/>
    <w:qFormat/>
    <w:rPr>
      <w:rFonts w:ascii="Arial" w:hAnsi="Arial" w:eastAsia="仿宋_GB2312" w:cs="Arial"/>
      <w:color w:val="ffff00"/>
      <w:sz w:val="32"/>
      <w:szCs w:val="32"/>
    </w:rPr>
  </w:style>
  <w:style w:type="character" w:styleId="1023" w:customStyle="1">
    <w:name w:val="正文文本 2 Char"/>
    <w:link w:val="991"/>
    <w:uiPriority w:val="0"/>
    <w:rPr>
      <w:rFonts w:ascii="楷体_GB2312" w:hAnsi="Times New Roman" w:eastAsia="楷体_GB2312" w:cs="Times New Roman"/>
      <w:sz w:val="28"/>
      <w:szCs w:val="28"/>
    </w:rPr>
  </w:style>
  <w:style w:type="character" w:styleId="1024" w:customStyle="1">
    <w:name w:val="标题 Char"/>
    <w:link w:val="994"/>
    <w:uiPriority w:val="10"/>
    <w:qFormat/>
    <w:rPr>
      <w:rFonts w:ascii="Cambria" w:hAnsi="Cambria" w:cs="Times New Roman"/>
      <w:b/>
      <w:bCs/>
      <w:sz w:val="32"/>
      <w:szCs w:val="32"/>
    </w:rPr>
  </w:style>
  <w:style w:type="character" w:styleId="1025" w:customStyle="1">
    <w:name w:val="批注主题 Char"/>
    <w:link w:val="964"/>
    <w:uiPriority w:val="0"/>
    <w:semiHidden/>
    <w:rPr>
      <w:rFonts w:ascii="Times New Roman" w:hAnsi="Times New Roman" w:eastAsia="宋体" w:cs="Times New Roman"/>
      <w:b/>
      <w:bCs/>
      <w:szCs w:val="21"/>
    </w:rPr>
  </w:style>
  <w:style w:type="character" w:styleId="1026" w:customStyle="1">
    <w:name w:val="正文首行缩进 Char"/>
    <w:link w:val="967"/>
    <w:uiPriority w:val="0"/>
    <w:qFormat/>
    <w:rPr>
      <w:rFonts w:ascii="仿宋_GB2312" w:hAnsi="Times New Roman" w:eastAsia="仿宋_GB2312" w:cs="Times New Roman"/>
      <w:sz w:val="30"/>
      <w:szCs w:val="30"/>
    </w:rPr>
  </w:style>
  <w:style w:type="character" w:styleId="1027" w:customStyle="1">
    <w:name w:val="正文首行缩进 2 Char"/>
    <w:link w:val="981"/>
    <w:uiPriority w:val="0"/>
    <w:qFormat/>
    <w:rPr>
      <w:rFonts w:ascii="宋体" w:hAnsi="宋体" w:eastAsia="宋体" w:cs="Times New Roman"/>
      <w:sz w:val="32"/>
      <w:szCs w:val="20"/>
    </w:rPr>
  </w:style>
  <w:style w:type="character" w:styleId="1028" w:customStyle="1">
    <w:name w:val="font5 Char"/>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rFonts w:ascii="Calibri" w:hAnsi="Calibri"/>
      <w:b/>
      <w:sz w:val="30"/>
      <w:szCs w:val="28"/>
    </w:rPr>
  </w:style>
  <w:style w:type="paragraph" w:styleId="1030" w:customStyle="1">
    <w:name w:val="二级目录"/>
    <w:next w:val="950"/>
    <w:link w:val="102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950"/>
    <w:link w:val="1031"/>
    <w:uiPriority w:val="0"/>
    <w:qFormat/>
    <w:pPr>
      <w:contextualSpacing/>
      <w:ind w:left="720"/>
      <w:jc w:val="left"/>
      <w:widowControl/>
    </w:pPr>
    <w:rPr>
      <w:rFonts w:ascii="Calibri" w:hAnsi="Calibri"/>
      <w:sz w:val="24"/>
      <w:szCs w:val="24"/>
      <w:lang w:eastAsia="en-US" w:bidi="en-US"/>
    </w:rPr>
  </w:style>
  <w:style w:type="paragraph" w:styleId="1033" w:customStyle="1">
    <w:name w:val="Body Text(ch)"/>
    <w:basedOn w:val="950"/>
    <w:next w:val="970"/>
    <w:uiPriority w:val="0"/>
    <w:qFormat/>
    <w:pPr>
      <w:spacing w:after="120"/>
    </w:pPr>
    <w:rPr>
      <w:rFonts w:ascii="宋体" w:hAnsi="Arial"/>
      <w:bCs/>
      <w:iCs/>
      <w:szCs w:val="24"/>
    </w:rPr>
  </w:style>
  <w:style w:type="paragraph" w:styleId="1034" w:customStyle="1">
    <w:name w:val="xl27"/>
    <w:basedOn w:val="9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5" w:customStyle="1">
    <w:name w:val="xl26"/>
    <w:basedOn w:val="9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6" w:customStyle="1">
    <w:name w:val="Char"/>
    <w:basedOn w:val="950"/>
    <w:uiPriority w:val="0"/>
    <w:pPr>
      <w:ind w:firstLine="200"/>
      <w:tabs>
        <w:tab w:val="left" w:pos="360" w:leader="none"/>
      </w:tabs>
    </w:pPr>
    <w:rPr>
      <w:sz w:val="28"/>
      <w:szCs w:val="30"/>
    </w:rPr>
  </w:style>
  <w:style w:type="paragraph" w:styleId="1037" w:customStyle="1">
    <w:name w:val="Char1"/>
    <w:basedOn w:val="968"/>
    <w:uiPriority w:val="0"/>
    <w:qFormat/>
    <w:rPr>
      <w:rFonts w:ascii="Tahoma" w:hAnsi="Tahoma"/>
      <w:sz w:val="24"/>
      <w:szCs w:val="24"/>
    </w:rPr>
  </w:style>
  <w:style w:type="paragraph" w:styleId="1038" w:customStyle="1">
    <w:name w:val="普通正文"/>
    <w:basedOn w:val="950"/>
    <w:uiPriority w:val="0"/>
    <w:pPr>
      <w:ind w:firstLine="480"/>
      <w:jc w:val="left"/>
      <w:spacing w:before="120" w:after="120" w:line="360" w:lineRule="auto"/>
    </w:pPr>
    <w:rPr>
      <w:rFonts w:ascii="Arial" w:hAnsi="Arial"/>
      <w:sz w:val="24"/>
      <w:szCs w:val="24"/>
    </w:rPr>
  </w:style>
  <w:style w:type="paragraph" w:styleId="1039" w:customStyle="1">
    <w:name w:val="table_lines"/>
    <w:basedOn w:val="950"/>
    <w:uiPriority w:val="0"/>
    <w:qFormat/>
    <w:pPr>
      <w:jc w:val="left"/>
      <w:widowControl/>
    </w:pPr>
    <w:rPr>
      <w:sz w:val="20"/>
      <w:szCs w:val="20"/>
      <w:lang w:val="de-DE" w:eastAsia="de-DE"/>
    </w:rPr>
  </w:style>
  <w:style w:type="paragraph" w:styleId="1040"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1" w:customStyle="1">
    <w:name w:val="font7"/>
    <w:basedOn w:val="950"/>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Char Char Char Char"/>
    <w:basedOn w:val="968"/>
    <w:uiPriority w:val="0"/>
    <w:qFormat/>
    <w:pPr>
      <w:spacing w:line="360" w:lineRule="auto"/>
    </w:pPr>
    <w:rPr>
      <w:rFonts w:ascii="Tahoma" w:hAnsi="Tahoma"/>
      <w:sz w:val="24"/>
      <w:szCs w:val="24"/>
    </w:rPr>
  </w:style>
  <w:style w:type="paragraph" w:styleId="1043">
    <w:name w:val="List Paragraph"/>
    <w:basedOn w:val="950"/>
    <w:link w:val="1044"/>
    <w:uiPriority w:val="34"/>
    <w:qFormat/>
    <w:pPr>
      <w:contextualSpacing/>
      <w:ind w:left="720"/>
      <w:jc w:val="left"/>
      <w:widowControl/>
    </w:pPr>
    <w:rPr>
      <w:rFonts w:ascii="Calibri" w:hAnsi="Calibri"/>
      <w:sz w:val="24"/>
      <w:szCs w:val="24"/>
      <w:lang w:eastAsia="en-US" w:bidi="en-US"/>
    </w:rPr>
  </w:style>
  <w:style w:type="character" w:styleId="1044" w:customStyle="1">
    <w:name w:val="列出段落 Char2"/>
    <w:link w:val="1043"/>
    <w:uiPriority w:val="34"/>
    <w:qFormat/>
    <w:rPr>
      <w:sz w:val="24"/>
      <w:szCs w:val="24"/>
      <w:lang w:eastAsia="en-US" w:bidi="en-US"/>
    </w:rPr>
  </w:style>
  <w:style w:type="paragraph" w:styleId="1045" w:customStyle="1">
    <w:name w:val="4"/>
    <w:basedOn w:val="950"/>
    <w:next w:val="987"/>
    <w:uiPriority w:val="0"/>
    <w:qFormat/>
    <w:pPr>
      <w:ind w:firstLine="420"/>
      <w:spacing w:line="360" w:lineRule="auto"/>
    </w:pPr>
    <w:rPr>
      <w:color w:val="ff0000"/>
      <w:sz w:val="24"/>
      <w:szCs w:val="24"/>
    </w:rPr>
  </w:style>
  <w:style w:type="paragraph" w:styleId="1046" w:customStyle="1">
    <w:name w:val="普通 (Web)"/>
    <w:basedOn w:val="950"/>
    <w:uiPriority w:val="0"/>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950"/>
    <w:uiPriority w:val="0"/>
    <w:qFormat/>
    <w:pPr>
      <w:spacing w:line="360" w:lineRule="auto"/>
    </w:pPr>
    <w:rPr>
      <w:sz w:val="24"/>
      <w:szCs w:val="20"/>
    </w:rPr>
  </w:style>
  <w:style w:type="paragraph" w:styleId="1048" w:customStyle="1">
    <w:name w:val="样式1"/>
    <w:basedOn w:val="950"/>
    <w:uiPriority w:val="0"/>
    <w:qFormat/>
    <w:pPr>
      <w:numPr>
        <w:ilvl w:val="0"/>
        <w:numId w:val="3"/>
      </w:numPr>
    </w:pPr>
    <w:rPr>
      <w:rFonts w:ascii="宋体" w:hAnsi="宋体"/>
    </w:rPr>
  </w:style>
  <w:style w:type="paragraph" w:styleId="1049" w:customStyle="1">
    <w:name w:val="font6"/>
    <w:basedOn w:val="950"/>
    <w:uiPriority w:val="0"/>
    <w:pPr>
      <w:jc w:val="left"/>
      <w:spacing w:before="100" w:beforeAutospacing="1" w:after="100" w:afterAutospacing="1"/>
      <w:widowControl/>
    </w:pPr>
    <w:rPr>
      <w:rFonts w:hint="eastAsia" w:ascii="宋体" w:hAnsi="宋体"/>
      <w:sz w:val="28"/>
      <w:szCs w:val="28"/>
      <w:u w:val="single"/>
    </w:rPr>
  </w:style>
  <w:style w:type="paragraph" w:styleId="1050" w:customStyle="1">
    <w:name w:val="xl25"/>
    <w:basedOn w:val="95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图标"/>
    <w:basedOn w:val="950"/>
    <w:next w:val="95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标题3"/>
    <w:basedOn w:val="950"/>
    <w:next w:val="950"/>
    <w:uiPriority w:val="0"/>
    <w:pPr>
      <w:ind w:firstLine="624"/>
      <w:spacing w:line="590" w:lineRule="atLeast"/>
    </w:pPr>
    <w:rPr>
      <w:rFonts w:ascii="方正黑体_GBK" w:eastAsia="方正黑体_GBK"/>
      <w:sz w:val="32"/>
      <w:szCs w:val="32"/>
    </w:rPr>
  </w:style>
  <w:style w:type="paragraph" w:styleId="1053" w:customStyle="1">
    <w:name w:val="xl24"/>
    <w:basedOn w:val="9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4" w:customStyle="1">
    <w:name w:val="xl29"/>
    <w:basedOn w:val="95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5" w:customStyle="1">
    <w:name w:val="Char Char Char Char Char Char Char Char"/>
    <w:basedOn w:val="950"/>
    <w:uiPriority w:val="0"/>
    <w:pPr>
      <w:jc w:val="left"/>
      <w:spacing w:after="160" w:line="240" w:lineRule="exact"/>
      <w:widowControl/>
    </w:pPr>
    <w:rPr>
      <w:rFonts w:ascii="Verdana" w:hAnsi="Verdana"/>
      <w:sz w:val="20"/>
      <w:szCs w:val="20"/>
      <w:lang w:eastAsia="en-US"/>
    </w:rPr>
  </w:style>
  <w:style w:type="paragraph" w:styleId="1056" w:customStyle="1">
    <w:name w:val="xl28"/>
    <w:basedOn w:val="9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7" w:customStyle="1">
    <w:name w:val="Char Char Char Char Char Char Char Char1"/>
    <w:basedOn w:val="950"/>
    <w:uiPriority w:val="0"/>
    <w:qFormat/>
    <w:pPr>
      <w:jc w:val="left"/>
      <w:spacing w:after="160" w:line="240" w:lineRule="exact"/>
      <w:widowControl/>
    </w:pPr>
    <w:rPr>
      <w:rFonts w:ascii="Verdana" w:hAnsi="Verdana"/>
      <w:sz w:val="20"/>
      <w:szCs w:val="20"/>
      <w:lang w:eastAsia="en-US"/>
    </w:rPr>
  </w:style>
  <w:style w:type="paragraph" w:styleId="1058" w:customStyle="1">
    <w:name w:val="xl30"/>
    <w:basedOn w:val="950"/>
    <w:uiPriority w:val="0"/>
    <w:qFormat/>
    <w:pPr>
      <w:jc w:val="center"/>
      <w:spacing w:before="100" w:beforeAutospacing="1" w:after="100" w:afterAutospacing="1"/>
      <w:widowControl/>
    </w:pPr>
    <w:rPr>
      <w:rFonts w:ascii="宋体" w:hAnsi="宋体"/>
      <w:b/>
      <w:bCs/>
      <w:sz w:val="36"/>
      <w:szCs w:val="36"/>
    </w:rPr>
  </w:style>
  <w:style w:type="paragraph" w:styleId="1059" w:customStyle="1">
    <w:name w:val="Char Char Char Char1"/>
    <w:basedOn w:val="968"/>
    <w:uiPriority w:val="0"/>
    <w:qFormat/>
    <w:pPr>
      <w:spacing w:line="360" w:lineRule="auto"/>
    </w:pPr>
    <w:rPr>
      <w:rFonts w:ascii="Tahoma" w:hAnsi="Tahoma"/>
      <w:sz w:val="24"/>
      <w:szCs w:val="24"/>
    </w:rPr>
  </w:style>
  <w:style w:type="paragraph" w:styleId="1060" w:customStyle="1">
    <w:name w:val="table_1stline"/>
    <w:basedOn w:val="950"/>
    <w:uiPriority w:val="0"/>
    <w:qFormat/>
    <w:pPr>
      <w:jc w:val="left"/>
      <w:spacing w:before="120"/>
      <w:widowControl/>
    </w:pPr>
    <w:rPr>
      <w:bCs/>
      <w:sz w:val="20"/>
      <w:szCs w:val="20"/>
      <w:lang w:val="de-DE" w:eastAsia="de-DE"/>
    </w:rPr>
  </w:style>
  <w:style w:type="paragraph" w:styleId="1061" w:customStyle="1">
    <w:name w:val="font5"/>
    <w:basedOn w:val="950"/>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标题1"/>
    <w:basedOn w:val="950"/>
    <w:next w:val="9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customStyle="1">
    <w:name w:val="修订1"/>
    <w:uiPriority w:val="99"/>
    <w:semiHidden/>
    <w:qFormat/>
    <w:rPr>
      <w:rFonts w:ascii="Times New Roman" w:hAnsi="Times New Roman" w:eastAsia="宋体" w:cs="Times New Roman"/>
      <w:sz w:val="21"/>
      <w:szCs w:val="21"/>
      <w:lang w:val="en-US" w:eastAsia="zh-CN" w:bidi="ar-SA"/>
    </w:rPr>
  </w:style>
  <w:style w:type="paragraph" w:styleId="106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65" w:customStyle="1">
    <w:name w:val="一、"/>
    <w:basedOn w:val="950"/>
    <w:uiPriority w:val="0"/>
    <w:qFormat/>
    <w:pPr>
      <w:ind w:firstLine="640"/>
    </w:pPr>
    <w:rPr>
      <w:rFonts w:ascii="Calibri" w:hAnsi="Calibri" w:eastAsia="黑体"/>
      <w:szCs w:val="32"/>
    </w:rPr>
  </w:style>
  <w:style w:type="paragraph" w:styleId="1066" w:customStyle="1">
    <w:name w:val="列出段落2"/>
    <w:basedOn w:val="950"/>
    <w:link w:val="1067"/>
    <w:uiPriority w:val="34"/>
    <w:qFormat/>
    <w:pPr>
      <w:contextualSpacing/>
      <w:ind w:left="720"/>
      <w:jc w:val="left"/>
      <w:widowControl/>
    </w:pPr>
    <w:rPr>
      <w:rFonts w:ascii="Calibri" w:hAnsi="Calibri"/>
      <w:sz w:val="24"/>
      <w:szCs w:val="24"/>
      <w:lang w:eastAsia="en-US" w:bidi="en-US"/>
    </w:rPr>
  </w:style>
  <w:style w:type="character" w:styleId="1067" w:customStyle="1">
    <w:name w:val="列出段落 Char1"/>
    <w:link w:val="1066"/>
    <w:uiPriority w:val="34"/>
    <w:qFormat/>
    <w:rPr>
      <w:sz w:val="24"/>
      <w:szCs w:val="24"/>
      <w:lang w:eastAsia="en-US" w:bidi="en-US"/>
    </w:rPr>
  </w:style>
  <w:style w:type="character" w:styleId="1068" w:customStyle="1">
    <w:name w:val="font51"/>
    <w:uiPriority w:val="0"/>
    <w:qFormat/>
    <w:rPr>
      <w:rFonts w:ascii="Times New Roman" w:hAnsi="Times New Roman" w:cs="Times New Roman"/>
      <w:b/>
      <w:bCs/>
      <w:color w:val="000000"/>
      <w:sz w:val="21"/>
      <w:szCs w:val="21"/>
      <w:u w:val="none"/>
    </w:rPr>
  </w:style>
  <w:style w:type="paragraph" w:styleId="1069" w:customStyle="1">
    <w:name w:val="正文11"/>
    <w:uiPriority w:val="99"/>
    <w:qFormat/>
    <w:pPr>
      <w:spacing w:line="240" w:lineRule="atLeast"/>
      <w:widowControl w:val="off"/>
    </w:pPr>
    <w:rPr>
      <w:rFonts w:ascii="宋体" w:hAnsi="Times New Roman" w:eastAsia="宋体" w:cs="宋体"/>
      <w:sz w:val="34"/>
      <w:szCs w:val="34"/>
      <w:lang w:val="en-US" w:eastAsia="zh-CN" w:bidi="ar-SA"/>
    </w:rPr>
  </w:style>
  <w:style w:type="character" w:styleId="1070" w:customStyle="1">
    <w:name w:val="font61"/>
    <w:uiPriority w:val="0"/>
    <w:qFormat/>
    <w:rPr>
      <w:rFonts w:ascii="Times New Roman" w:hAnsi="Times New Roman" w:cs="Times New Roman"/>
      <w:color w:val="000000"/>
      <w:sz w:val="28"/>
      <w:szCs w:val="28"/>
      <w:u w:val="none"/>
    </w:rPr>
  </w:style>
  <w:style w:type="character" w:styleId="1071" w:customStyle="1">
    <w:name w:val="font81"/>
    <w:uiPriority w:val="0"/>
    <w:qFormat/>
    <w:rPr>
      <w:rFonts w:hint="eastAsia" w:ascii="宋体" w:hAnsi="宋体" w:eastAsia="宋体" w:cs="宋体"/>
      <w:color w:val="000000"/>
      <w:sz w:val="28"/>
      <w:szCs w:val="28"/>
      <w:u w:val="none"/>
    </w:rPr>
  </w:style>
  <w:style w:type="paragraph" w:styleId="1072"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2051"/>
    <customShpInfo spid="_x0000_s1027"/>
    <customShpInfo spid="_x0000_s1026"/>
  </customShpExts>
</s:customData>
</file>

<file path=customXml/itemProps1.xml><?xml version="1.0" encoding="utf-8"?>
<ds:datastoreItem xmlns:ds="http://schemas.openxmlformats.org/officeDocument/2006/customXml" ds:itemID="{C1EAE861-86EB-4044-94B9-DF76879B45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14</cp:revision>
  <dcterms:created xsi:type="dcterms:W3CDTF">2026-10-21T11:03:00Z</dcterms:created>
  <dcterms:modified xsi:type="dcterms:W3CDTF">2026-10-28T07:28:25Z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5B13641AEB32497BACD0EE469B0F4083_12</vt:lpwstr>
  </property>
  <property fmtid="{D5CDD505-2E9C-101B-9397-08002B2CF9AE}" pid="4" name="KSOTemplateDocerSaveRecord">
    <vt:lpwstr>eyJoZGlkIjoiZTdlMGY1NjBlMDE2MGU5YTdiYjI4MmRiNDRlMGNhNDEiLCJ1c2VySWQiOiI2MDQ3NDUzOTMifQ==</vt:lpwstr>
  </property>
</Properties>
</file>