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97"/>
        <w:rPr>
          <w:rFonts w:hint="eastAsia"/>
        </w:rPr>
      </w:pPr>
      <w:r>
        <w:rPr>
          <w:rFonts w:hint="eastAsia"/>
        </w:rPr>
      </w:r>
      <w:r/>
    </w:p>
    <w:p>
      <w:pPr>
        <w:pStyle w:val="931"/>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31"/>
        <w:ind w:firstLine="2249"/>
        <w:jc w:val="left"/>
        <w:spacing w:before="120" w:after="120" w:line="360" w:lineRule="auto"/>
        <w:rPr>
          <w:rFonts w:hint="eastAsia" w:ascii="Arial" w:hAnsi="Arial" w:eastAsia="宋体" w:cs="Times New Roman"/>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江苏省南通市中级人民法院知产法庭暨“两个中心”装修改造智能化设备采购项目（重新采购）</w:t>
      </w:r>
      <w:r>
        <w:rPr>
          <w:rFonts w:hint="eastAsia" w:ascii="Arial" w:hAnsi="Arial" w:eastAsia="宋体" w:cs="Times New Roman"/>
          <w:b/>
          <w:bCs/>
          <w:color w:val="000000"/>
          <w:sz w:val="32"/>
          <w:szCs w:val="24"/>
        </w:rPr>
      </w:r>
      <w:r/>
    </w:p>
    <w:p>
      <w:pPr>
        <w:pStyle w:val="931"/>
        <w:ind w:firstLine="2249"/>
        <w:jc w:val="left"/>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项目编号：JSZC-320600-JZCG-G2026-0160</w:t>
      </w:r>
      <w:r>
        <w:rPr>
          <w:rFonts w:hint="eastAsia" w:ascii="Arial" w:hAnsi="Arial" w:eastAsia="宋体" w:cs="Times New Roman"/>
          <w:b/>
          <w:bCs/>
          <w:color w:val="000000"/>
          <w:sz w:val="32"/>
          <w:szCs w:val="24"/>
        </w:rPr>
      </w:r>
      <w:r/>
    </w:p>
    <w:p>
      <w:pPr>
        <w:pStyle w:val="931"/>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lang w:val="en-US" w:eastAsia="zh-CN"/>
        </w:rPr>
        <w:t xml:space="preserve">  </w:t>
      </w:r>
      <w:r>
        <w:rPr>
          <w:rFonts w:hint="eastAsia" w:ascii="Times New Roman" w:hAnsi="Times New Roman"/>
          <w:b/>
          <w:color w:val="000000"/>
          <w:sz w:val="30"/>
          <w:szCs w:val="30"/>
        </w:rPr>
        <w:t xml:space="preserve"> （全流程电子化-货物类项目）</w:t>
      </w:r>
      <w:r>
        <w:rPr>
          <w:rFonts w:hint="eastAsia" w:ascii="Times New Roman" w:hAnsi="Times New Roman"/>
          <w:b/>
          <w:color w:val="000000"/>
          <w:sz w:val="30"/>
          <w:szCs w:val="30"/>
        </w:rPr>
      </w:r>
      <w:r/>
    </w:p>
    <w:p>
      <w:pPr>
        <w:pStyle w:val="9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1"/>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931"/>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93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0</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3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3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3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31"/>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1</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3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5</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3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19</w:t>
      </w:r>
      <w:r>
        <w:rPr>
          <w:rFonts w:hint="eastAsia" w:ascii="黑体" w:hAnsi="Showcard Gothic" w:eastAsia="黑体"/>
          <w:color w:val="000000"/>
          <w:sz w:val="36"/>
          <w:szCs w:val="21"/>
        </w:rPr>
      </w:r>
      <w:r/>
    </w:p>
    <w:p>
      <w:pPr>
        <w:pStyle w:val="93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32</w:t>
      </w:r>
      <w:r>
        <w:rPr>
          <w:rFonts w:hint="eastAsia" w:ascii="黑体" w:hAnsi="Showcard Gothic" w:eastAsia="黑体"/>
          <w:color w:val="000000"/>
          <w:sz w:val="36"/>
          <w:szCs w:val="21"/>
        </w:rPr>
      </w:r>
      <w:r/>
    </w:p>
    <w:p>
      <w:pPr>
        <w:pStyle w:val="93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197</w:t>
      </w:r>
      <w:r>
        <w:rPr>
          <w:rFonts w:hint="eastAsia" w:ascii="黑体" w:hAnsi="Showcard Gothic" w:eastAsia="黑体"/>
          <w:color w:val="000000"/>
          <w:sz w:val="36"/>
          <w:szCs w:val="21"/>
        </w:rPr>
      </w:r>
      <w:r/>
    </w:p>
    <w:p>
      <w:pPr>
        <w:pStyle w:val="93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 204</w:t>
      </w:r>
      <w:r>
        <w:rPr>
          <w:rFonts w:hint="eastAsia" w:ascii="黑体" w:hAnsi="Showcard Gothic" w:eastAsia="黑体"/>
          <w:color w:val="000000"/>
          <w:sz w:val="36"/>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pPr>
      <w:r>
        <w:rPr>
          <w:rFonts w:hint="eastAsia" w:ascii="Times New Roman" w:hAnsi="Times New Roman"/>
          <w:color w:val="000000"/>
          <w:szCs w:val="21"/>
        </w:rPr>
      </w:r>
      <w:r/>
    </w:p>
    <w:p>
      <w:pPr>
        <w:pStyle w:val="931"/>
        <w:rPr>
          <w:rFonts w:hint="eastAsia" w:ascii="Times New Roman" w:hAnsi="Times New Roman"/>
          <w:color w:val="000000"/>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color w:val="000000"/>
          <w:szCs w:val="21"/>
        </w:rPr>
      </w:r>
      <w:r/>
    </w:p>
    <w:p>
      <w:pPr>
        <w:pStyle w:val="1008"/>
        <w:rPr>
          <w:rFonts w:hint="eastAsia"/>
        </w:rPr>
      </w:pPr>
      <w:r>
        <w:rPr>
          <w:rFonts w:hint="eastAsia"/>
        </w:rPr>
      </w:r>
      <w:r/>
    </w:p>
    <w:p>
      <w:pPr>
        <w:pStyle w:val="931"/>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3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w:t>
      </w:r>
      <w:r>
        <w:rPr>
          <w:rFonts w:ascii="Times New Roman" w:hAnsi="Times New Roman" w:eastAsia="方正仿宋_GBK" w:cs="Times New Roman"/>
          <w:i w:val="0"/>
          <w:iCs/>
          <w:color w:val="000000"/>
          <w:sz w:val="28"/>
          <w:szCs w:val="28"/>
        </w:rPr>
        <w:t xml:space="preserve">[江苏省南通市中级人民法院]的委托，南通市</w:t>
      </w:r>
      <w:r>
        <w:rPr>
          <w:rFonts w:ascii="Times New Roman" w:hAnsi="Times New Roman" w:eastAsia="方正仿宋_GBK" w:cs="Times New Roman"/>
          <w:i w:val="0"/>
          <w:iCs/>
          <w:color w:val="000000"/>
          <w:sz w:val="28"/>
          <w:szCs w:val="28"/>
          <w:lang w:val="en-US" w:eastAsia="zh-CN"/>
        </w:rPr>
        <w:t xml:space="preserve">公共资源交易中心</w:t>
      </w:r>
      <w:r>
        <w:rPr>
          <w:rFonts w:ascii="Times New Roman" w:hAnsi="Times New Roman" w:eastAsia="方正仿宋_GBK" w:cs="Times New Roman"/>
          <w:i w:val="0"/>
          <w:iCs/>
          <w:color w:val="000000"/>
          <w:sz w:val="28"/>
          <w:szCs w:val="28"/>
        </w:rPr>
        <w:t xml:space="preserve">就</w:t>
      </w:r>
      <w:r>
        <w:rPr>
          <w:rFonts w:ascii="Times New Roman" w:hAnsi="Times New Roman" w:eastAsia="方正仿宋_GBK" w:cs="Times New Roman"/>
          <w:i w:val="0"/>
          <w:iCs/>
          <w:color w:val="000000"/>
          <w:sz w:val="28"/>
          <w:szCs w:val="28"/>
        </w:rPr>
        <w:t xml:space="preserve">[江苏省南通市中级人民法院知产法庭暨“两个中心”装修改造智能化设备采购项目（重新采购）]</w:t>
      </w:r>
      <w:r>
        <w:rPr>
          <w:rFonts w:ascii="Times New Roman" w:hAnsi="Times New Roman" w:eastAsia="方正仿宋_GBK" w:cs="Times New Roman"/>
          <w:i w:val="0"/>
          <w:iCs/>
          <w:color w:val="000000"/>
          <w:sz w:val="28"/>
          <w:szCs w:val="28"/>
        </w:rPr>
        <w:t xml:space="preserve">([JSZC-320600-JZCG-G2026-0160])</w:t>
      </w:r>
      <w:r>
        <w:rPr>
          <w:rFonts w:ascii="Times New Roman" w:hAnsi="Times New Roman" w:eastAsia="方正仿宋_GBK" w:cs="Times New Roman"/>
          <w:color w:val="000000"/>
          <w:sz w:val="28"/>
          <w:szCs w:val="28"/>
        </w:rPr>
        <w:t xml:space="preserve">项目进行公开招标采购，欢迎符合条件的供应商投标。</w:t>
      </w:r>
      <w:r>
        <w:rPr>
          <w:rFonts w:ascii="Times New Roman" w:hAnsi="Times New Roman" w:eastAsia="方正仿宋_GBK" w:cs="Times New Roman"/>
          <w:color w:val="000000"/>
          <w:sz w:val="28"/>
          <w:szCs w:val="28"/>
        </w:rPr>
      </w:r>
      <w:r/>
    </w:p>
    <w:p>
      <w:pPr>
        <w:pStyle w:val="93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color w:val="000000"/>
          <w:sz w:val="28"/>
          <w:szCs w:val="28"/>
        </w:rPr>
        <w:t xml:space="preserve">项目概况</w:t>
      </w:r>
      <w:r>
        <w:rPr>
          <w:rFonts w:ascii="Times New Roman" w:hAnsi="Times New Roman" w:eastAsia="方正仿宋_GBK" w:cs="Times New Roman"/>
          <w:color w:val="000000"/>
          <w:sz w:val="28"/>
          <w:szCs w:val="28"/>
        </w:rPr>
      </w:r>
      <w:r/>
    </w:p>
    <w:p>
      <w:pPr>
        <w:pStyle w:val="93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color w:val="000000"/>
          <w:sz w:val="28"/>
          <w:szCs w:val="28"/>
        </w:rPr>
        <w:t xml:space="preserve">江苏省南通市中级人民法院知产法庭暨“两个中心”装修改造智能化设备采购项目（重新采购）</w:t>
      </w:r>
      <w:r>
        <w:rPr>
          <w:rFonts w:ascii="Times New Roman" w:hAnsi="Times New Roman" w:eastAsia="方正仿宋_GBK" w:cs="Times New Roman"/>
          <w:color w:val="000000"/>
          <w:sz w:val="28"/>
          <w:szCs w:val="28"/>
        </w:rPr>
        <w:t xml:space="preserve">招标项目的潜在投标人可在</w:t>
      </w:r>
      <w:r>
        <w:rPr>
          <w:rFonts w:ascii="Times New Roman" w:hAnsi="Times New Roman" w:eastAsia="方正仿宋_GBK" w:cs="Times New Roman"/>
          <w:color w:val="000000"/>
          <w:sz w:val="28"/>
          <w:szCs w:val="28"/>
          <w:u w:val="single"/>
        </w:rPr>
        <w:t xml:space="preserve">“江苏政府采购网”自行免费下载</w:t>
      </w:r>
      <w:r>
        <w:rPr>
          <w:rFonts w:ascii="Times New Roman" w:hAnsi="Times New Roman" w:eastAsia="方正仿宋_GBK" w:cs="Times New Roman"/>
          <w:color w:val="000000"/>
          <w:sz w:val="28"/>
          <w:szCs w:val="28"/>
        </w:rPr>
        <w:t xml:space="preserve">招标文件，并于</w:t>
      </w:r>
      <w:r>
        <w:rPr>
          <w:rFonts w:hint="eastAsia" w:ascii="Times New Roman" w:hAnsi="Times New Roman" w:eastAsia="方正仿宋_GBK" w:cs="Times New Roman"/>
          <w:color w:val="000000"/>
          <w:sz w:val="28"/>
          <w:szCs w:val="28"/>
          <w:u w:val="single"/>
          <w:lang w:val="en-US" w:eastAsia="zh-CN"/>
        </w:rPr>
        <w:t xml:space="preserve">2026</w:t>
      </w:r>
      <w:r>
        <w:rPr>
          <w:rFonts w:ascii="Times New Roman" w:hAnsi="Times New Roman" w:eastAsia="方正仿宋_GBK" w:cs="Times New Roman"/>
          <w:bCs/>
          <w:color w:val="000000"/>
          <w:sz w:val="28"/>
          <w:szCs w:val="28"/>
          <w:u w:val="single"/>
        </w:rPr>
        <w:t xml:space="preserve">年</w:t>
      </w:r>
      <w:r>
        <w:rPr>
          <w:rFonts w:hint="eastAsia" w:ascii="Times New Roman" w:hAnsi="Times New Roman" w:eastAsia="方正仿宋_GBK" w:cs="Times New Roman"/>
          <w:bCs/>
          <w:color w:val="000000" w:themeColor="text1"/>
          <w:sz w:val="28"/>
          <w:szCs w:val="28"/>
          <w:u w:val="single"/>
          <w:lang w:val="en-US" w:eastAsia="zh-CN"/>
        </w:rPr>
        <w:t xml:space="preserve">1</w:t>
      </w:r>
      <w:r>
        <w:rPr>
          <w:rFonts w:hint="eastAsia" w:ascii="Times New Roman" w:hAnsi="Times New Roman" w:eastAsia="方正仿宋_GBK" w:cs="Times New Roman"/>
          <w:bCs/>
          <w:color w:val="000000" w:themeColor="text1"/>
          <w:sz w:val="28"/>
          <w:szCs w:val="28"/>
          <w:u w:val="single"/>
          <w:lang w:val="en-US" w:eastAsia="zh-CN"/>
        </w:rPr>
        <w:t xml:space="preserve">1</w:t>
      </w:r>
      <w:r>
        <w:rPr>
          <w:rFonts w:ascii="Times New Roman" w:hAnsi="Times New Roman" w:eastAsia="方正仿宋_GBK" w:cs="Times New Roman"/>
          <w:bCs/>
          <w:color w:val="000000" w:themeColor="text1"/>
          <w:sz w:val="28"/>
          <w:szCs w:val="28"/>
          <w:u w:val="single"/>
        </w:rPr>
        <w:t xml:space="preserve">月13日</w:t>
      </w:r>
      <w:r>
        <w:rPr>
          <w:rFonts w:hint="eastAsia" w:ascii="Times New Roman" w:hAnsi="Times New Roman" w:eastAsia="方正仿宋_GBK" w:cs="Times New Roman"/>
          <w:bCs/>
          <w:color w:val="000000" w:themeColor="text1"/>
          <w:sz w:val="28"/>
          <w:szCs w:val="28"/>
          <w:u w:val="single"/>
          <w:lang w:val="en-US" w:eastAsia="zh-CN"/>
        </w:rPr>
        <w:t xml:space="preserve">9</w:t>
      </w:r>
      <w:r>
        <w:rPr>
          <w:rFonts w:ascii="Times New Roman" w:hAnsi="Times New Roman" w:eastAsia="方正仿宋_GBK" w:cs="Times New Roman"/>
          <w:bCs/>
          <w:color w:val="000000" w:themeColor="text1"/>
          <w:sz w:val="28"/>
          <w:szCs w:val="28"/>
          <w:u w:val="single"/>
        </w:rPr>
        <w:t xml:space="preserve">点</w:t>
      </w:r>
      <w:r>
        <w:rPr>
          <w:rFonts w:hint="eastAsia" w:ascii="Times New Roman" w:hAnsi="Times New Roman" w:eastAsia="方正仿宋_GBK" w:cs="Times New Roman"/>
          <w:bCs/>
          <w:color w:val="000000" w:themeColor="text1"/>
          <w:sz w:val="28"/>
          <w:szCs w:val="28"/>
          <w:u w:val="single"/>
          <w:lang w:val="en-US" w:eastAsia="zh-CN"/>
        </w:rPr>
        <w:t xml:space="preserve">3</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分</w:t>
      </w:r>
      <w:r>
        <w:rPr>
          <w:rFonts w:ascii="Times New Roman" w:hAnsi="Times New Roman" w:eastAsia="方正仿宋_GBK" w:cs="Times New Roman"/>
          <w:bCs/>
          <w:color w:val="000000"/>
          <w:sz w:val="28"/>
          <w:szCs w:val="28"/>
          <w:u w:val="single"/>
        </w:rPr>
        <w:t xml:space="preserve">（</w:t>
      </w:r>
      <w:r>
        <w:rPr>
          <w:rFonts w:ascii="Times New Roman" w:hAnsi="Times New Roman" w:eastAsia="方正仿宋_GBK" w:cs="Times New Roman"/>
          <w:bCs/>
          <w:color w:val="000000"/>
          <w:sz w:val="28"/>
          <w:szCs w:val="28"/>
        </w:rPr>
        <w:t xml:space="preserve">北京时间）前递交投标文件</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p>
      <w:pPr>
        <w:pStyle w:val="93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6" w:name="_Toc35393621"/>
      <w:r/>
      <w:bookmarkStart w:id="7" w:name="_Toc28359002"/>
      <w:r/>
      <w:bookmarkStart w:id="8" w:name="_Toc38985263"/>
      <w:r/>
      <w:bookmarkStart w:id="9" w:name="_Toc35393790"/>
      <w:r/>
      <w:bookmarkStart w:id="10" w:name="_Toc28359079"/>
      <w:r/>
      <w:bookmarkStart w:id="11" w:name="_Hlk24379207"/>
      <w:r>
        <w:rPr>
          <w:rFonts w:ascii="Times New Roman" w:hAnsi="Times New Roman" w:eastAsia="方正仿宋_GBK" w:cs="Times New Roman"/>
          <w:b/>
          <w:bCs/>
          <w:color w:val="000000"/>
          <w:sz w:val="28"/>
          <w:szCs w:val="28"/>
        </w:rPr>
        <w:t xml:space="preserve">一、项目基本情况</w:t>
      </w:r>
      <w:bookmarkEnd w:id="6"/>
      <w:r/>
      <w:bookmarkEnd w:id="7"/>
      <w:r/>
      <w:bookmarkEnd w:id="8"/>
      <w:r/>
      <w:bookmarkEnd w:id="9"/>
      <w:r/>
      <w:bookmarkEnd w:id="10"/>
      <w:r>
        <w:rPr>
          <w:rFonts w:ascii="Times New Roman" w:hAnsi="Times New Roman" w:eastAsia="方正仿宋_GBK" w:cs="Times New Roman"/>
          <w:b/>
          <w:bCs/>
          <w:color w:val="000000"/>
          <w:sz w:val="28"/>
          <w:szCs w:val="28"/>
        </w:rPr>
      </w:r>
      <w:r/>
    </w:p>
    <w:p>
      <w:pPr>
        <w:pStyle w:val="93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1.项目编号：JSZC-320600-JZCG-G2026-0160</w:t>
      </w:r>
      <w:r>
        <w:rPr>
          <w:rFonts w:ascii="Times New Roman" w:hAnsi="Times New Roman" w:eastAsia="方正仿宋_GBK" w:cs="Times New Roman"/>
          <w:color w:val="000000"/>
          <w:sz w:val="28"/>
          <w:szCs w:val="28"/>
        </w:rPr>
      </w:r>
      <w:r/>
    </w:p>
    <w:p>
      <w:pPr>
        <w:pStyle w:val="93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2.项目名称：</w:t>
      </w:r>
      <w:r>
        <w:rPr>
          <w:rFonts w:ascii="Times New Roman" w:hAnsi="Times New Roman" w:eastAsia="方正仿宋_GBK" w:cs="Times New Roman"/>
          <w:i w:val="0"/>
          <w:iCs/>
          <w:color w:val="000000"/>
          <w:sz w:val="28"/>
          <w:szCs w:val="28"/>
        </w:rPr>
        <w:t xml:space="preserve">江苏省南通市中级人民法院知产法庭暨“两个中心”装修改造智能化设备采购项目（重新采购）</w:t>
      </w:r>
      <w:r>
        <w:rPr>
          <w:rFonts w:ascii="Times New Roman" w:hAnsi="Times New Roman" w:eastAsia="方正仿宋_GBK" w:cs="Times New Roman"/>
          <w:color w:val="000000"/>
          <w:sz w:val="28"/>
          <w:szCs w:val="28"/>
        </w:rPr>
      </w:r>
      <w:r/>
    </w:p>
    <w:p>
      <w:pPr>
        <w:pStyle w:val="931"/>
        <w:ind w:firstLine="560"/>
        <w:spacing w:line="480" w:lineRule="exact"/>
        <w:rPr>
          <w:rFonts w:eastAsia="方正仿宋_GBK"/>
          <w:color w:val="000000"/>
          <w:sz w:val="28"/>
          <w:szCs w:val="28"/>
        </w:rPr>
      </w:pPr>
      <w:r/>
      <w:bookmarkEnd w:id="11"/>
      <w:r/>
      <w:bookmarkStart w:id="12" w:name="_Toc35393622"/>
      <w:r/>
      <w:bookmarkStart w:id="13" w:name="_Toc38985264"/>
      <w:r/>
      <w:bookmarkStart w:id="14" w:name="_Toc35393791"/>
      <w:r/>
      <w:bookmarkStart w:id="15" w:name="_Toc28359003"/>
      <w:r/>
      <w:bookmarkStart w:id="16" w:name="_Toc28359080"/>
      <w:r>
        <w:rPr>
          <w:rFonts w:eastAsia="方正仿宋_GBK"/>
          <w:color w:val="000000"/>
          <w:sz w:val="28"/>
          <w:szCs w:val="28"/>
        </w:rPr>
        <w:t xml:space="preserve">3.预算金额：</w:t>
      </w:r>
      <w:r>
        <w:rPr>
          <w:rFonts w:hint="eastAsia" w:eastAsia="方正仿宋_GBK"/>
          <w:color w:val="000000"/>
          <w:sz w:val="28"/>
          <w:szCs w:val="28"/>
        </w:rPr>
        <w:t xml:space="preserve">887.40407万元。</w:t>
      </w:r>
      <w:r>
        <w:rPr>
          <w:rFonts w:eastAsia="方正仿宋_GBK"/>
          <w:color w:val="000000"/>
          <w:sz w:val="28"/>
          <w:szCs w:val="28"/>
        </w:rPr>
      </w:r>
      <w:r/>
    </w:p>
    <w:p>
      <w:pPr>
        <w:pStyle w:val="931"/>
        <w:ind w:firstLine="560"/>
        <w:spacing w:line="480" w:lineRule="exact"/>
        <w:rPr>
          <w:rFonts w:eastAsia="方正仿宋_GBK"/>
          <w:color w:val="000000"/>
          <w:sz w:val="28"/>
          <w:szCs w:val="28"/>
        </w:rPr>
      </w:pPr>
      <w:r>
        <w:rPr>
          <w:rFonts w:eastAsia="方正仿宋_GBK"/>
          <w:color w:val="000000"/>
          <w:sz w:val="28"/>
          <w:szCs w:val="28"/>
        </w:rPr>
        <w:t xml:space="preserve">4.最高限价：</w:t>
      </w:r>
      <w:r>
        <w:rPr>
          <w:rFonts w:hint="eastAsia" w:eastAsia="方正仿宋_GBK"/>
          <w:color w:val="000000"/>
          <w:sz w:val="28"/>
          <w:szCs w:val="28"/>
        </w:rPr>
        <w:t xml:space="preserve">887万元。</w:t>
      </w:r>
      <w:r>
        <w:rPr>
          <w:rFonts w:eastAsia="方正仿宋_GBK"/>
          <w:color w:val="000000"/>
          <w:sz w:val="28"/>
          <w:szCs w:val="28"/>
        </w:rPr>
      </w:r>
      <w:r/>
    </w:p>
    <w:p>
      <w:pPr>
        <w:pStyle w:val="931"/>
        <w:ind w:firstLine="560"/>
        <w:spacing w:line="480" w:lineRule="exact"/>
        <w:rPr>
          <w:rFonts w:eastAsia="方正仿宋_GBK"/>
          <w:color w:val="000000"/>
          <w:sz w:val="28"/>
          <w:szCs w:val="28"/>
          <w:u w:val="single"/>
        </w:rPr>
      </w:pPr>
      <w:r>
        <w:rPr>
          <w:rFonts w:eastAsia="方正仿宋_GBK"/>
          <w:color w:val="000000"/>
          <w:sz w:val="28"/>
          <w:szCs w:val="28"/>
        </w:rPr>
        <w:t xml:space="preserve">5.采购需求：</w:t>
      </w:r>
      <w:r>
        <w:rPr>
          <w:rFonts w:eastAsia="方正仿宋_GBK"/>
          <w:color w:val="000000"/>
          <w:sz w:val="28"/>
          <w:szCs w:val="28"/>
        </w:rPr>
        <w:t xml:space="preserve">详细内容见本招标文件第四章</w:t>
      </w:r>
      <w:r>
        <w:rPr>
          <w:rFonts w:eastAsia="方正仿宋_GBK"/>
          <w:color w:val="000000"/>
          <w:sz w:val="28"/>
          <w:szCs w:val="28"/>
          <w:u w:val="single"/>
        </w:rPr>
      </w:r>
      <w:r/>
    </w:p>
    <w:p>
      <w:pPr>
        <w:pStyle w:val="931"/>
        <w:ind w:firstLine="560"/>
        <w:spacing w:line="480" w:lineRule="exact"/>
        <w:rPr>
          <w:rFonts w:eastAsia="方正仿宋_GBK"/>
          <w:color w:val="000000"/>
          <w:sz w:val="28"/>
          <w:szCs w:val="28"/>
          <w:u w:val="single"/>
        </w:rPr>
      </w:pPr>
      <w:r>
        <w:rPr>
          <w:rFonts w:eastAsia="方正仿宋_GBK"/>
          <w:color w:val="000000"/>
          <w:sz w:val="28"/>
          <w:szCs w:val="28"/>
        </w:rPr>
        <w:t xml:space="preserve">6.合同履行期限：</w:t>
      </w:r>
      <w:r>
        <w:rPr>
          <w:rFonts w:hint="eastAsia" w:ascii="仿宋" w:hAnsi="仿宋" w:eastAsia="仿宋" w:cs="仿宋"/>
          <w:color w:val="000000"/>
          <w:sz w:val="28"/>
          <w:szCs w:val="28"/>
        </w:rPr>
        <w:t xml:space="preserve">采购人开工令发出后180日内完成项目实施</w:t>
      </w:r>
      <w:r>
        <w:rPr>
          <w:rFonts w:hint="eastAsia" w:eastAsia="方正仿宋_GBK"/>
          <w:color w:val="000000"/>
          <w:sz w:val="28"/>
          <w:szCs w:val="28"/>
        </w:rPr>
        <w:t xml:space="preserve">。</w:t>
      </w:r>
      <w:r>
        <w:rPr>
          <w:rFonts w:eastAsia="方正仿宋_GBK"/>
          <w:color w:val="000000"/>
          <w:sz w:val="28"/>
          <w:szCs w:val="28"/>
          <w:u w:val="single"/>
        </w:rPr>
      </w:r>
      <w:r/>
    </w:p>
    <w:p>
      <w:pPr>
        <w:pStyle w:val="93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二、申请人的资格要求：</w:t>
      </w:r>
      <w:bookmarkEnd w:id="12"/>
      <w:r/>
      <w:bookmarkEnd w:id="13"/>
      <w:r/>
      <w:bookmarkEnd w:id="14"/>
      <w:r/>
      <w:bookmarkEnd w:id="15"/>
      <w:r/>
      <w:bookmarkEnd w:id="16"/>
      <w:r>
        <w:rPr>
          <w:rFonts w:ascii="Times New Roman" w:hAnsi="Times New Roman" w:eastAsia="方正仿宋_GBK" w:cs="Times New Roman"/>
          <w:b/>
          <w:bCs/>
          <w:color w:val="000000"/>
          <w:sz w:val="28"/>
          <w:szCs w:val="28"/>
        </w:rPr>
      </w:r>
      <w:r/>
    </w:p>
    <w:p>
      <w:pPr>
        <w:pStyle w:val="931"/>
        <w:ind w:firstLine="560"/>
        <w:spacing w:line="480" w:lineRule="exact"/>
        <w:rPr>
          <w:rFonts w:ascii="Times New Roman" w:hAnsi="Times New Roman" w:eastAsia="方正仿宋_GBK" w:cs="Times New Roman"/>
          <w:color w:val="000000"/>
          <w:sz w:val="28"/>
          <w:szCs w:val="28"/>
        </w:rPr>
      </w:pPr>
      <w:r/>
      <w:bookmarkStart w:id="17" w:name="_Toc35393623"/>
      <w:r/>
      <w:bookmarkStart w:id="18" w:name="_Toc35393792"/>
      <w:r/>
      <w:bookmarkStart w:id="19" w:name="_Toc28359081"/>
      <w:r/>
      <w:bookmarkStart w:id="20" w:name="_Toc28359004"/>
      <w:r/>
      <w:bookmarkStart w:id="21" w:name="_Toc38985265"/>
      <w:r>
        <w:rPr>
          <w:rFonts w:ascii="Times New Roman" w:hAnsi="Times New Roman" w:eastAsia="方正仿宋_GBK" w:cs="Times New Roman"/>
          <w:color w:val="000000"/>
          <w:sz w:val="28"/>
          <w:szCs w:val="28"/>
        </w:rPr>
        <w:t xml:space="preserve">（一）通用资格要求</w:t>
      </w:r>
      <w:r>
        <w:rPr>
          <w:rFonts w:ascii="Times New Roman" w:hAnsi="Times New Roman" w:eastAsia="方正仿宋_GBK" w:cs="Times New Roman"/>
          <w:color w:val="000000"/>
          <w:sz w:val="28"/>
          <w:szCs w:val="28"/>
        </w:rPr>
      </w:r>
      <w:r/>
    </w:p>
    <w:p>
      <w:pPr>
        <w:pStyle w:val="93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1.满足《中华人民共和国政府采购法》第二十二条规定。</w:t>
      </w:r>
      <w:r>
        <w:rPr>
          <w:rFonts w:ascii="Times New Roman" w:hAnsi="Times New Roman" w:eastAsia="方正仿宋_GBK" w:cs="Times New Roman"/>
          <w:color w:val="000000"/>
          <w:sz w:val="28"/>
          <w:szCs w:val="28"/>
        </w:rPr>
      </w:r>
      <w:r/>
    </w:p>
    <w:p>
      <w:pPr>
        <w:pStyle w:val="93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color w:val="000000"/>
          <w:sz w:val="28"/>
          <w:szCs w:val="28"/>
        </w:rPr>
      </w:r>
      <w:r/>
    </w:p>
    <w:p>
      <w:pPr>
        <w:pStyle w:val="931"/>
        <w:ind w:firstLine="560"/>
        <w:spacing w:line="480" w:lineRule="exact"/>
        <w:rPr>
          <w:rFonts w:hint="eastAsia" w:eastAsia="方正仿宋_GBK"/>
          <w:color w:val="000000"/>
          <w:sz w:val="28"/>
          <w:szCs w:val="28"/>
        </w:rPr>
      </w:pPr>
      <w:r>
        <w:rPr>
          <w:rFonts w:eastAsia="方正仿宋_GBK"/>
          <w:color w:val="000000"/>
          <w:sz w:val="28"/>
          <w:szCs w:val="28"/>
        </w:rPr>
        <w:t xml:space="preserve">3.落实政府采购政策需满足的资格要求：</w:t>
      </w:r>
      <w:r>
        <w:rPr>
          <w:rFonts w:hint="eastAsia" w:eastAsia="方正仿宋_GBK"/>
          <w:color w:val="000000"/>
          <w:sz w:val="28"/>
          <w:szCs w:val="28"/>
        </w:rPr>
        <w:t xml:space="preserve">无</w:t>
      </w:r>
      <w:r>
        <w:rPr>
          <w:rFonts w:hint="eastAsia" w:eastAsia="方正仿宋_GBK"/>
          <w:color w:val="000000"/>
          <w:sz w:val="28"/>
          <w:szCs w:val="28"/>
        </w:rPr>
      </w:r>
      <w:r/>
    </w:p>
    <w:p>
      <w:pPr>
        <w:pStyle w:val="931"/>
        <w:ind w:firstLine="560"/>
        <w:spacing w:line="480" w:lineRule="exact"/>
        <w:rPr>
          <w:rFonts w:eastAsia="方正仿宋_GBK"/>
          <w:i/>
          <w:color w:val="000000"/>
          <w:sz w:val="28"/>
          <w:szCs w:val="28"/>
        </w:rPr>
      </w:pPr>
      <w:r>
        <w:rPr>
          <w:rFonts w:eastAsia="方正仿宋_GBK"/>
          <w:color w:val="000000"/>
          <w:sz w:val="28"/>
          <w:szCs w:val="28"/>
        </w:rPr>
        <w:t xml:space="preserve">4.</w:t>
      </w:r>
      <w:r>
        <w:rPr>
          <w:rFonts w:hint="eastAsia" w:eastAsia="方正仿宋_GBK"/>
          <w:color w:val="000000"/>
          <w:sz w:val="28"/>
          <w:szCs w:val="28"/>
        </w:rPr>
        <w:t xml:space="preserve">本项目不接受</w:t>
      </w:r>
      <w:r>
        <w:rPr>
          <w:rFonts w:eastAsia="方正仿宋_GBK"/>
          <w:color w:val="000000"/>
          <w:sz w:val="28"/>
          <w:szCs w:val="28"/>
        </w:rPr>
        <w:t xml:space="preserve">联合体投标。</w:t>
      </w:r>
      <w:r>
        <w:rPr>
          <w:rFonts w:eastAsia="方正仿宋_GBK"/>
          <w:i/>
          <w:color w:val="000000"/>
          <w:sz w:val="28"/>
          <w:szCs w:val="28"/>
        </w:rPr>
      </w:r>
      <w:r/>
    </w:p>
    <w:p>
      <w:pPr>
        <w:pStyle w:val="931"/>
        <w:ind w:firstLine="560"/>
        <w:spacing w:line="480" w:lineRule="exact"/>
        <w:rPr>
          <w:rFonts w:eastAsia="方正仿宋_GBK"/>
          <w:color w:val="000000"/>
          <w:sz w:val="28"/>
          <w:szCs w:val="28"/>
          <w:highlight w:val="none"/>
        </w:rPr>
      </w:pPr>
      <w:r>
        <w:rPr>
          <w:rFonts w:eastAsia="方正仿宋_GBK"/>
          <w:color w:val="000000"/>
          <w:sz w:val="28"/>
          <w:szCs w:val="28"/>
          <w:highlight w:val="none"/>
        </w:rPr>
        <w:t xml:space="preserve">5.本项目</w:t>
      </w:r>
      <w:r>
        <w:rPr>
          <w:rFonts w:hint="eastAsia" w:eastAsia="方正仿宋_GBK"/>
          <w:color w:val="000000"/>
          <w:sz w:val="28"/>
          <w:szCs w:val="28"/>
          <w:highlight w:val="none"/>
          <w:lang w:val="en-US" w:eastAsia="zh-CN"/>
        </w:rPr>
        <w:t xml:space="preserve">不</w:t>
      </w:r>
      <w:r>
        <w:rPr>
          <w:rFonts w:eastAsia="方正仿宋_GBK"/>
          <w:color w:val="000000"/>
          <w:sz w:val="28"/>
          <w:szCs w:val="28"/>
          <w:highlight w:val="none"/>
        </w:rPr>
        <w:t xml:space="preserve">接受分包。</w:t>
      </w:r>
      <w:r>
        <w:rPr>
          <w:rFonts w:eastAsia="方正仿宋_GBK"/>
          <w:color w:val="000000"/>
          <w:sz w:val="28"/>
          <w:szCs w:val="28"/>
          <w:highlight w:val="none"/>
        </w:rPr>
      </w:r>
      <w:r/>
    </w:p>
    <w:p>
      <w:pPr>
        <w:pStyle w:val="93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（二）本项目的特定资格要求</w:t>
      </w:r>
      <w:r>
        <w:rPr>
          <w:rFonts w:ascii="Times New Roman" w:hAnsi="Times New Roman" w:eastAsia="方正仿宋_GBK" w:cs="Times New Roman"/>
          <w:color w:val="000000"/>
          <w:sz w:val="28"/>
          <w:szCs w:val="28"/>
        </w:rPr>
      </w:r>
      <w:r/>
    </w:p>
    <w:p>
      <w:pPr>
        <w:pStyle w:val="931"/>
        <w:ind w:firstLine="560"/>
        <w:spacing w:line="48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无</w:t>
      </w:r>
      <w:r>
        <w:rPr>
          <w:rFonts w:ascii="Times New Roman" w:hAnsi="Times New Roman" w:eastAsia="方正仿宋_GBK" w:cs="Times New Roman"/>
          <w:i/>
          <w:color w:val="000000"/>
          <w:sz w:val="28"/>
          <w:szCs w:val="28"/>
          <w:highlight w:val="none"/>
        </w:rPr>
        <w:t xml:space="preserve">。</w:t>
      </w:r>
      <w:r>
        <w:rPr>
          <w:rFonts w:ascii="Times New Roman" w:hAnsi="Times New Roman" w:eastAsia="方正仿宋_GBK" w:cs="Times New Roman"/>
          <w:color w:val="000000"/>
          <w:sz w:val="28"/>
          <w:szCs w:val="28"/>
          <w:highlight w:val="none"/>
        </w:rPr>
      </w:r>
      <w:r/>
    </w:p>
    <w:p>
      <w:pPr>
        <w:pStyle w:val="93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三、获取招标文件</w:t>
      </w:r>
      <w:bookmarkEnd w:id="17"/>
      <w:r/>
      <w:bookmarkEnd w:id="18"/>
      <w:r/>
      <w:bookmarkEnd w:id="19"/>
      <w:r/>
      <w:bookmarkEnd w:id="20"/>
      <w:r/>
      <w:bookmarkEnd w:id="21"/>
      <w:r>
        <w:rPr>
          <w:rFonts w:ascii="Times New Roman" w:hAnsi="Times New Roman" w:eastAsia="方正仿宋_GBK" w:cs="Times New Roman"/>
          <w:b/>
          <w:bCs/>
          <w:color w:val="000000"/>
          <w:sz w:val="28"/>
          <w:szCs w:val="28"/>
        </w:rPr>
      </w:r>
      <w:r/>
    </w:p>
    <w:p>
      <w:pPr>
        <w:pStyle w:val="931"/>
        <w:ind w:firstLine="540"/>
        <w:spacing w:line="480" w:lineRule="exact"/>
        <w:rPr>
          <w:rFonts w:ascii="Times New Roman" w:hAnsi="Times New Roman" w:eastAsia="方正仿宋_GBK" w:cs="Times New Roman"/>
          <w:color w:val="000000"/>
          <w:sz w:val="28"/>
          <w:szCs w:val="28"/>
        </w:rPr>
      </w:pPr>
      <w:r/>
      <w:bookmarkStart w:id="22" w:name="_Toc28359005"/>
      <w:r/>
      <w:bookmarkStart w:id="23" w:name="_Toc28359082"/>
      <w:r/>
      <w:bookmarkStart w:id="24" w:name="_Toc38985266"/>
      <w:r/>
      <w:bookmarkStart w:id="25" w:name="_Toc35393624"/>
      <w:r/>
      <w:bookmarkStart w:id="26" w:name="_Toc35393793"/>
      <w:r>
        <w:rPr>
          <w:rFonts w:ascii="Times New Roman" w:hAnsi="Times New Roman" w:eastAsia="方正仿宋_GBK" w:cs="Times New Roman"/>
          <w:color w:val="000000"/>
          <w:sz w:val="28"/>
          <w:szCs w:val="28"/>
        </w:rPr>
        <w:t xml:space="preserve">1.时间：自招标文件公告发布之日起5个工作日。</w:t>
      </w:r>
      <w:r>
        <w:rPr>
          <w:rFonts w:ascii="Times New Roman" w:hAnsi="Times New Roman" w:eastAsia="方正仿宋_GBK" w:cs="Times New Roman"/>
          <w:color w:val="000000"/>
          <w:sz w:val="28"/>
          <w:szCs w:val="28"/>
        </w:rPr>
      </w:r>
      <w:r/>
    </w:p>
    <w:p>
      <w:pPr>
        <w:pStyle w:val="931"/>
        <w:ind w:firstLine="54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2.方式</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color w:val="000000"/>
          <w:sz w:val="28"/>
          <w:szCs w:val="28"/>
          <w:u w:val="single"/>
        </w:rPr>
      </w:r>
      <w:r/>
    </w:p>
    <w:p>
      <w:pPr>
        <w:pStyle w:val="93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四、提交投标文件</w:t>
      </w:r>
      <w:bookmarkEnd w:id="22"/>
      <w:r/>
      <w:bookmarkEnd w:id="23"/>
      <w:r>
        <w:rPr>
          <w:rFonts w:ascii="Times New Roman" w:hAnsi="Times New Roman" w:eastAsia="方正仿宋_GBK" w:cs="Times New Roman"/>
          <w:b/>
          <w:bCs/>
          <w:color w:val="000000"/>
          <w:sz w:val="28"/>
          <w:szCs w:val="28"/>
        </w:rPr>
        <w:t xml:space="preserve">截止时间、开标时间和地点</w:t>
      </w:r>
      <w:bookmarkEnd w:id="24"/>
      <w:r/>
      <w:bookmarkEnd w:id="25"/>
      <w:r/>
      <w:bookmarkEnd w:id="26"/>
      <w:r>
        <w:rPr>
          <w:rFonts w:ascii="Times New Roman" w:hAnsi="Times New Roman" w:eastAsia="方正仿宋_GBK" w:cs="Times New Roman"/>
          <w:b/>
          <w:bCs/>
          <w:color w:val="000000"/>
          <w:sz w:val="28"/>
          <w:szCs w:val="28"/>
        </w:rPr>
      </w:r>
      <w:r/>
    </w:p>
    <w:p>
      <w:pPr>
        <w:pStyle w:val="931"/>
        <w:ind w:firstLine="560"/>
        <w:spacing w:line="480" w:lineRule="exact"/>
        <w:rPr>
          <w:rFonts w:ascii="Times New Roman" w:hAnsi="Times New Roman" w:eastAsia="方正仿宋_GBK" w:cs="Times New Roman"/>
          <w:bCs/>
          <w:color w:val="000000"/>
          <w:sz w:val="28"/>
          <w:szCs w:val="28"/>
        </w:rPr>
      </w:pPr>
      <w:r>
        <w:rPr>
          <w:rFonts w:ascii="Times New Roman" w:hAnsi="Times New Roman" w:eastAsia="方正仿宋_GBK" w:cs="Times New Roman"/>
          <w:bCs/>
          <w:color w:val="000000"/>
          <w:sz w:val="28"/>
          <w:szCs w:val="28"/>
          <w:u w:val="single"/>
        </w:rPr>
        <w:t xml:space="preserve">1.</w:t>
      </w:r>
      <w:r>
        <w:rPr>
          <w:rFonts w:hint="eastAsia" w:ascii="Times New Roman" w:hAnsi="Times New Roman" w:eastAsia="方正仿宋_GBK" w:cs="Times New Roman"/>
          <w:bCs/>
          <w:color w:val="000000"/>
          <w:sz w:val="28"/>
          <w:szCs w:val="28"/>
          <w:u w:val="single"/>
          <w:lang w:val="en-US" w:eastAsia="zh-CN"/>
        </w:rPr>
        <w:t xml:space="preserve">2</w:t>
      </w:r>
      <w:r>
        <w:rPr>
          <w:rFonts w:hint="eastAsia" w:ascii="Times New Roman" w:hAnsi="Times New Roman" w:eastAsia="方正仿宋_GBK" w:cs="Times New Roman"/>
          <w:bCs/>
          <w:color w:val="000000"/>
          <w:sz w:val="28"/>
          <w:szCs w:val="28"/>
          <w:u w:val="single"/>
          <w:lang w:val="en-US" w:eastAsia="zh-CN"/>
        </w:rPr>
        <w:t xml:space="preserve">026</w:t>
      </w:r>
      <w:r>
        <w:rPr>
          <w:rFonts w:ascii="Times New Roman" w:hAnsi="Times New Roman" w:eastAsia="方正仿宋_GBK" w:cs="Times New Roman"/>
          <w:bCs/>
          <w:color w:val="000000"/>
          <w:sz w:val="28"/>
          <w:szCs w:val="28"/>
          <w:u w:val="single"/>
        </w:rPr>
        <w:t xml:space="preserve">年</w:t>
      </w:r>
      <w:r>
        <w:rPr>
          <w:rFonts w:hint="eastAsia" w:ascii="Times New Roman" w:hAnsi="Times New Roman" w:eastAsia="方正仿宋_GBK" w:cs="Times New Roman"/>
          <w:bCs/>
          <w:color w:val="000000" w:themeColor="text1"/>
          <w:sz w:val="28"/>
          <w:szCs w:val="28"/>
          <w:u w:val="single"/>
          <w:lang w:val="en-US" w:eastAsia="zh-CN"/>
        </w:rPr>
        <w:t xml:space="preserve">1</w:t>
      </w:r>
      <w:r>
        <w:rPr>
          <w:rFonts w:hint="eastAsia" w:ascii="Times New Roman" w:hAnsi="Times New Roman" w:eastAsia="方正仿宋_GBK" w:cs="Times New Roman"/>
          <w:bCs/>
          <w:color w:val="000000" w:themeColor="text1"/>
          <w:sz w:val="28"/>
          <w:szCs w:val="28"/>
          <w:u w:val="single"/>
          <w:lang w:val="en-US" w:eastAsia="zh-CN"/>
        </w:rPr>
        <w:t xml:space="preserve">1</w:t>
      </w:r>
      <w:r>
        <w:rPr>
          <w:rFonts w:ascii="Times New Roman" w:hAnsi="Times New Roman" w:eastAsia="方正仿宋_GBK" w:cs="Times New Roman"/>
          <w:bCs/>
          <w:color w:val="000000" w:themeColor="text1"/>
          <w:sz w:val="28"/>
          <w:szCs w:val="28"/>
          <w:u w:val="single"/>
        </w:rPr>
        <w:t xml:space="preserve">月13日</w:t>
      </w:r>
      <w:r>
        <w:rPr>
          <w:rFonts w:hint="eastAsia" w:ascii="Times New Roman" w:hAnsi="Times New Roman" w:eastAsia="方正仿宋_GBK" w:cs="Times New Roman"/>
          <w:bCs/>
          <w:color w:val="000000" w:themeColor="text1"/>
          <w:sz w:val="28"/>
          <w:szCs w:val="28"/>
          <w:u w:val="single"/>
          <w:lang w:val="en-US" w:eastAsia="zh-CN"/>
        </w:rPr>
        <w:t xml:space="preserve">9</w:t>
      </w:r>
      <w:r>
        <w:rPr>
          <w:rFonts w:ascii="Times New Roman" w:hAnsi="Times New Roman" w:eastAsia="方正仿宋_GBK" w:cs="Times New Roman"/>
          <w:bCs/>
          <w:color w:val="000000" w:themeColor="text1"/>
          <w:sz w:val="28"/>
          <w:szCs w:val="28"/>
          <w:u w:val="single"/>
        </w:rPr>
        <w:t xml:space="preserve">点</w:t>
      </w:r>
      <w:r>
        <w:rPr>
          <w:rFonts w:hint="eastAsia" w:ascii="Times New Roman" w:hAnsi="Times New Roman" w:eastAsia="方正仿宋_GBK" w:cs="Times New Roman"/>
          <w:bCs/>
          <w:color w:val="000000" w:themeColor="text1"/>
          <w:sz w:val="28"/>
          <w:szCs w:val="28"/>
          <w:u w:val="single"/>
          <w:lang w:val="en-US" w:eastAsia="zh-CN"/>
        </w:rPr>
        <w:t xml:space="preserve">3</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分</w:t>
      </w:r>
      <w:r>
        <w:rPr>
          <w:rFonts w:ascii="Times New Roman" w:hAnsi="Times New Roman" w:eastAsia="方正仿宋_GBK" w:cs="Times New Roman"/>
          <w:bCs/>
          <w:color w:val="000000"/>
          <w:sz w:val="28"/>
          <w:szCs w:val="28"/>
        </w:rPr>
        <w:t xml:space="preserve">（北京时间）。</w:t>
      </w:r>
      <w:r>
        <w:rPr>
          <w:rFonts w:ascii="Times New Roman" w:hAnsi="Times New Roman" w:eastAsia="方正仿宋_GBK" w:cs="Times New Roman"/>
          <w:bCs/>
          <w:color w:val="000000"/>
          <w:sz w:val="28"/>
          <w:szCs w:val="28"/>
        </w:rPr>
      </w:r>
      <w:r/>
    </w:p>
    <w:p>
      <w:pPr>
        <w:pStyle w:val="931"/>
        <w:ind w:firstLine="560"/>
        <w:spacing w:line="480" w:lineRule="exact"/>
        <w:rPr>
          <w:rFonts w:ascii="Times New Roman" w:hAnsi="Times New Roman" w:eastAsia="方正仿宋_GBK" w:cs="Times New Roman"/>
          <w:bCs/>
          <w:sz w:val="28"/>
          <w:szCs w:val="28"/>
          <w:u w:val="single"/>
        </w:rPr>
      </w:pPr>
      <w:r>
        <w:rPr>
          <w:rFonts w:ascii="Times New Roman" w:hAnsi="Times New Roman" w:eastAsia="方正仿宋_GBK" w:cs="Times New Roman"/>
          <w:sz w:val="28"/>
          <w:szCs w:val="28"/>
        </w:rPr>
        <w:t xml:space="preserve">2.地点：“苏采云”政府采购交易系统网上开标大厅。</w:t>
      </w:r>
      <w:r>
        <w:rPr>
          <w:rFonts w:ascii="Times New Roman" w:hAnsi="Times New Roman" w:eastAsia="方正仿宋_GBK" w:cs="Times New Roman"/>
          <w:bCs/>
          <w:sz w:val="28"/>
          <w:szCs w:val="28"/>
          <w:u w:val="single"/>
        </w:rPr>
      </w:r>
      <w:r/>
    </w:p>
    <w:p>
      <w:pPr>
        <w:pStyle w:val="93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27" w:name="_Toc35393625"/>
      <w:r/>
      <w:bookmarkStart w:id="28" w:name="_Toc28359007"/>
      <w:r/>
      <w:bookmarkStart w:id="29" w:name="_Toc35393794"/>
      <w:r/>
      <w:bookmarkStart w:id="30" w:name="_Toc28359084"/>
      <w:r/>
      <w:bookmarkStart w:id="31" w:name="_Toc38985267"/>
      <w:r>
        <w:rPr>
          <w:rFonts w:ascii="Times New Roman" w:hAnsi="Times New Roman" w:eastAsia="方正仿宋_GBK" w:cs="Times New Roman"/>
          <w:b/>
          <w:bCs/>
          <w:color w:val="000000"/>
          <w:sz w:val="28"/>
          <w:szCs w:val="28"/>
        </w:rPr>
        <w:t xml:space="preserve">五、公告期限</w:t>
      </w:r>
      <w:bookmarkEnd w:id="27"/>
      <w:r/>
      <w:bookmarkEnd w:id="28"/>
      <w:r/>
      <w:bookmarkEnd w:id="29"/>
      <w:r/>
      <w:bookmarkEnd w:id="30"/>
      <w:r/>
      <w:bookmarkEnd w:id="31"/>
      <w:r>
        <w:rPr>
          <w:rFonts w:ascii="Times New Roman" w:hAnsi="Times New Roman" w:eastAsia="方正仿宋_GBK" w:cs="Times New Roman"/>
          <w:b/>
          <w:bCs/>
          <w:color w:val="000000"/>
          <w:sz w:val="28"/>
          <w:szCs w:val="28"/>
        </w:rPr>
      </w:r>
      <w:r/>
    </w:p>
    <w:p>
      <w:pPr>
        <w:pStyle w:val="931"/>
        <w:ind w:firstLine="560"/>
        <w:spacing w:line="480" w:lineRule="exact"/>
        <w:rPr>
          <w:rFonts w:ascii="Times New Roman" w:hAnsi="Times New Roman" w:eastAsia="方正仿宋_GBK" w:cs="Times New Roman"/>
          <w:color w:val="000000"/>
          <w:sz w:val="28"/>
          <w:szCs w:val="28"/>
        </w:rPr>
      </w:pPr>
      <w:r/>
      <w:bookmarkStart w:id="32" w:name="_Toc35393626"/>
      <w:r/>
      <w:bookmarkStart w:id="33" w:name="_Toc38985268"/>
      <w:r/>
      <w:bookmarkStart w:id="34" w:name="_Toc35393795"/>
      <w:r>
        <w:rPr>
          <w:rFonts w:ascii="Times New Roman" w:hAnsi="Times New Roman" w:eastAsia="方正仿宋_GBK" w:cs="Times New Roman"/>
          <w:sz w:val="28"/>
          <w:szCs w:val="28"/>
        </w:rPr>
        <w:t xml:space="preserve">招标公告及招标文件公告期限为自本公告发布之日起5个工作日。</w:t>
      </w:r>
      <w:r>
        <w:rPr>
          <w:rFonts w:ascii="Times New Roman" w:hAnsi="Times New Roman" w:eastAsia="方正仿宋_GBK" w:cs="Times New Roman"/>
          <w:color w:val="000000"/>
          <w:sz w:val="28"/>
          <w:szCs w:val="28"/>
        </w:rPr>
      </w:r>
      <w:r/>
    </w:p>
    <w:p>
      <w:pPr>
        <w:pStyle w:val="93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六、其他补充事宜</w:t>
      </w:r>
      <w:bookmarkEnd w:id="32"/>
      <w:r/>
      <w:bookmarkEnd w:id="33"/>
      <w:r/>
      <w:bookmarkEnd w:id="34"/>
      <w:r>
        <w:rPr>
          <w:rFonts w:ascii="Times New Roman" w:hAnsi="Times New Roman" w:eastAsia="方正仿宋_GBK" w:cs="Times New Roman"/>
          <w:b/>
          <w:bCs/>
          <w:color w:val="000000"/>
          <w:sz w:val="28"/>
          <w:szCs w:val="28"/>
        </w:rPr>
      </w:r>
      <w:r/>
    </w:p>
    <w:p>
      <w:pPr>
        <w:pStyle w:val="93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sz w:val="28"/>
          <w:szCs w:val="28"/>
        </w:rPr>
        <w:t xml:space="preserve"> 投标保证金：免收</w:t>
      </w:r>
      <w:r>
        <w:rPr>
          <w:rFonts w:ascii="Times New Roman" w:hAnsi="Times New Roman" w:eastAsia="方正仿宋_GBK" w:cs="Times New Roman"/>
          <w:sz w:val="28"/>
          <w:szCs w:val="28"/>
        </w:rPr>
      </w:r>
      <w:r/>
    </w:p>
    <w:p>
      <w:pPr>
        <w:pStyle w:val="931"/>
        <w:ind w:firstLine="560"/>
        <w:spacing w:line="480" w:lineRule="exact"/>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rPr>
        <w:t xml:space="preserve">2.</w:t>
      </w:r>
      <w:r>
        <w:rPr>
          <w:rFonts w:ascii="Times New Roman" w:hAnsi="Times New Roman" w:eastAsia="方正仿宋_GBK" w:cs="Times New Roman"/>
          <w:sz w:val="28"/>
          <w:szCs w:val="28"/>
          <w:highlight w:val="none"/>
        </w:rPr>
        <w:t xml:space="preserve"> 项目演示、样品、答辩等：</w:t>
      </w:r>
      <w:r>
        <w:rPr>
          <w:rFonts w:ascii="Times New Roman" w:hAnsi="Times New Roman" w:eastAsia="方正仿宋_GBK" w:cs="Times New Roman"/>
          <w:sz w:val="28"/>
          <w:szCs w:val="28"/>
          <w:highlight w:val="none"/>
          <w:lang w:val="en-US" w:eastAsia="zh-CN"/>
        </w:rPr>
        <w:t xml:space="preserve">无。</w:t>
      </w:r>
      <w:r>
        <w:rPr>
          <w:rFonts w:ascii="Times New Roman" w:hAnsi="Times New Roman" w:eastAsia="方正仿宋_GBK" w:cs="Times New Roman"/>
          <w:sz w:val="28"/>
          <w:szCs w:val="28"/>
          <w:highlight w:val="yellow"/>
          <w:lang w:val="en-US" w:eastAsia="zh-CN"/>
        </w:rPr>
      </w:r>
      <w:r/>
    </w:p>
    <w:p>
      <w:pPr>
        <w:pStyle w:val="931"/>
        <w:ind w:firstLine="560"/>
        <w:spacing w:line="480" w:lineRule="exact"/>
        <w:rPr>
          <w:rFonts w:ascii="Times New Roman" w:hAnsi="Times New Roman" w:eastAsia="方正仿宋_GBK" w:cs="Times New Roman"/>
          <w:b/>
          <w:color w:val="000000"/>
          <w:sz w:val="28"/>
          <w:szCs w:val="28"/>
          <w:highlight w:val="yellow"/>
        </w:rPr>
      </w:pPr>
      <w:r>
        <w:rPr>
          <w:rFonts w:ascii="Times New Roman" w:hAnsi="Times New Roman" w:eastAsia="方正仿宋_GBK" w:cs="Times New Roman"/>
          <w:color w:val="000000"/>
          <w:sz w:val="28"/>
          <w:szCs w:val="28"/>
          <w:highlight w:val="none"/>
        </w:rPr>
        <w:t xml:space="preserve">3.</w:t>
      </w:r>
      <w:r>
        <w:rPr>
          <w:rFonts w:ascii="Times New Roman" w:hAnsi="Times New Roman" w:eastAsia="方正仿宋_GBK" w:cs="Times New Roman"/>
          <w:sz w:val="28"/>
          <w:szCs w:val="28"/>
          <w:highlight w:val="none"/>
        </w:rPr>
        <w:t xml:space="preserve"> </w:t>
      </w:r>
      <w:r>
        <w:rPr>
          <w:rFonts w:ascii="Times New Roman" w:hAnsi="Times New Roman" w:eastAsia="方正仿宋_GBK" w:cs="Times New Roman"/>
          <w:color w:val="000000"/>
          <w:sz w:val="28"/>
          <w:szCs w:val="28"/>
          <w:highlight w:val="none"/>
        </w:rPr>
        <w:t xml:space="preserve">供应商（含潜在供应商）对与本项目有关的所有询问、质疑均请向采购人提出，由采购人负责答复。</w:t>
      </w:r>
      <w:r>
        <w:rPr>
          <w:rFonts w:ascii="Times New Roman" w:hAnsi="Times New Roman" w:eastAsia="方正仿宋_GBK" w:cs="Times New Roman"/>
          <w:b/>
          <w:color w:val="000000"/>
          <w:sz w:val="28"/>
          <w:szCs w:val="28"/>
          <w:highlight w:val="yellow"/>
        </w:rPr>
      </w:r>
      <w:r/>
    </w:p>
    <w:p>
      <w:pPr>
        <w:pStyle w:val="931"/>
        <w:ind w:firstLine="560"/>
        <w:spacing w:line="480" w:lineRule="exact"/>
        <w:rPr>
          <w:rFonts w:hint="eastAsia"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rPr>
        <w:t xml:space="preserve">系统操作过程中如遇问题，请致电“苏采云”客服0519-86722801</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highlight w:val="yellow"/>
          <w:lang w:val="en-US" w:eastAsia="zh-CN"/>
        </w:rPr>
      </w:r>
      <w:r/>
    </w:p>
    <w:p>
      <w:pPr>
        <w:pStyle w:val="931"/>
        <w:numPr>
          <w:ilvl w:val="0"/>
          <w:numId w:val="5"/>
        </w:numPr>
        <w:ind w:firstLine="560"/>
        <w:spacing w:line="48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有关本次招标的事项若存在变动或修改，</w:t>
      </w:r>
      <w:r>
        <w:rPr>
          <w:rFonts w:ascii="Times New Roman" w:hAnsi="Times New Roman" w:eastAsia="方正仿宋_GBK" w:cs="Times New Roman"/>
          <w:sz w:val="28"/>
          <w:szCs w:val="28"/>
        </w:rPr>
        <w:t xml:space="preserve">均以江苏政府采购网发布的更正或补充通知为准，</w:t>
      </w:r>
      <w:r>
        <w:rPr>
          <w:rFonts w:ascii="Times New Roman" w:hAnsi="Times New Roman" w:eastAsia="方正仿宋_GBK" w:cs="Times New Roman"/>
          <w:bCs/>
          <w:sz w:val="28"/>
          <w:szCs w:val="28"/>
        </w:rPr>
        <w:t xml:space="preserve">敬请及时关注。</w:t>
      </w:r>
      <w:r>
        <w:rPr>
          <w:rFonts w:ascii="Times New Roman" w:hAnsi="Times New Roman" w:eastAsia="方正仿宋_GBK" w:cs="Times New Roman"/>
          <w:bCs/>
          <w:sz w:val="28"/>
          <w:szCs w:val="28"/>
        </w:rPr>
      </w:r>
      <w:r/>
    </w:p>
    <w:p>
      <w:pPr>
        <w:pStyle w:val="931"/>
        <w:numPr>
          <w:ilvl w:val="0"/>
          <w:numId w:val="5"/>
        </w:numPr>
        <w:ind w:firstLine="560"/>
        <w:spacing w:line="480" w:lineRule="exact"/>
        <w:rPr>
          <w:rFonts w:ascii="Times New Roman" w:hAnsi="Times New Roman" w:eastAsia="方正仿宋_GBK" w:cs="Times New Roman"/>
          <w:bCs/>
          <w:sz w:val="28"/>
          <w:szCs w:val="28"/>
          <w:highlight w:val="none"/>
        </w:rPr>
      </w:pPr>
      <w:r>
        <w:rPr>
          <w:rFonts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8"/>
          <w:szCs w:val="28"/>
          <w:highlight w:val="none"/>
        </w:rPr>
      </w:r>
      <w:r/>
    </w:p>
    <w:p>
      <w:pPr>
        <w:pStyle w:val="93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 “苏采云”系统使用相关提醒</w:t>
      </w:r>
      <w:r>
        <w:rPr>
          <w:rFonts w:ascii="Times New Roman" w:hAnsi="Times New Roman" w:eastAsia="方正仿宋_GBK" w:cs="Times New Roman"/>
          <w:sz w:val="28"/>
          <w:szCs w:val="28"/>
        </w:rPr>
      </w:r>
      <w:r/>
    </w:p>
    <w:p>
      <w:pPr>
        <w:pStyle w:val="931"/>
        <w:ind w:firstLine="560"/>
        <w:spacing w:line="48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的CA数字证书、电子签章已更换为江苏省电子政务证书认证中心CA和方正国际软件（北京）有限公司电子签章。如果投标人通过</w:t>
      </w:r>
      <w:r>
        <w:rPr>
          <w:rFonts w:ascii="Times New Roman" w:hAnsi="Times New Roman" w:eastAsia="方正仿宋_GBK" w:cs="Times New Roman"/>
          <w:sz w:val="28"/>
          <w:szCs w:val="28"/>
        </w:rPr>
        <w:t xml:space="preserve">苏采云系统</w:t>
      </w:r>
      <w:r>
        <w:rPr>
          <w:rFonts w:ascii="Times New Roman" w:hAnsi="Times New Roman" w:eastAsia="方正仿宋_GBK" w:cs="Times New Roman"/>
          <w:bCs/>
          <w:sz w:val="28"/>
          <w:szCs w:val="28"/>
        </w:rPr>
        <w:t xml:space="preserve">参与政府采购项目，需要更换CA数字证书和电子签章。</w:t>
      </w:r>
      <w:r>
        <w:rPr>
          <w:rFonts w:ascii="Times New Roman" w:hAnsi="Times New Roman" w:eastAsia="方正仿宋_GBK" w:cs="Times New Roman"/>
          <w:b/>
          <w:bCs/>
          <w:sz w:val="28"/>
          <w:szCs w:val="28"/>
        </w:rPr>
        <w:t xml:space="preserve">具体办理指南和操作手册见链接：http://www.ccgp-jiangsu.gov.cn/jiangsu/zlxz/ee/ee3a4bc5a3454aa2b0d9312230633ce9.html。</w:t>
      </w:r>
      <w:r>
        <w:rPr>
          <w:rFonts w:ascii="Times New Roman" w:hAnsi="Times New Roman" w:eastAsia="方正仿宋_GBK" w:cs="Times New Roman"/>
          <w:bCs/>
          <w:sz w:val="28"/>
          <w:szCs w:val="28"/>
        </w:rPr>
      </w:r>
      <w:r/>
    </w:p>
    <w:p>
      <w:pPr>
        <w:pStyle w:val="931"/>
        <w:ind w:firstLine="560"/>
        <w:spacing w:after="120" w:line="48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lang w:val="en-US" w:eastAsia="zh-CN"/>
        </w:rPr>
        <w:t xml:space="preserve">6</w:t>
      </w:r>
      <w:r>
        <w:rPr>
          <w:rFonts w:ascii="Times New Roman" w:hAnsi="Times New Roman" w:eastAsia="方正仿宋_GBK" w:cs="Times New Roman"/>
          <w:bCs/>
          <w:sz w:val="28"/>
          <w:szCs w:val="28"/>
        </w:rPr>
        <w:t xml:space="preserve">.2领取CA和办理电子签章请至南通市政务服务中心裙楼四楼（南通市公共资源交</w:t>
      </w:r>
      <w:r>
        <w:rPr>
          <w:rFonts w:ascii="Times New Roman" w:hAnsi="Times New Roman" w:eastAsia="方正仿宋_GBK" w:cs="Times New Roman"/>
          <w:bCs/>
          <w:sz w:val="28"/>
          <w:szCs w:val="28"/>
          <w:lang w:eastAsia="zh-CN"/>
        </w:rPr>
        <w:t xml:space="preserve">易</w:t>
      </w:r>
      <w:r>
        <w:rPr>
          <w:rFonts w:ascii="Times New Roman" w:hAnsi="Times New Roman" w:eastAsia="方正仿宋_GBK" w:cs="Times New Roman"/>
          <w:bCs/>
          <w:sz w:val="28"/>
          <w:szCs w:val="28"/>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sz w:val="28"/>
          <w:szCs w:val="28"/>
        </w:rPr>
      </w:r>
      <w:r/>
    </w:p>
    <w:p>
      <w:pPr>
        <w:pStyle w:val="931"/>
        <w:ind w:right="120" w:firstLine="562"/>
        <w:spacing w:after="120" w:line="480" w:lineRule="exact"/>
        <w:rPr>
          <w:rFonts w:ascii="Times New Roman" w:hAnsi="Times New Roman" w:eastAsia="方正仿宋_GBK" w:cs="Times New Roman"/>
          <w:b/>
          <w:sz w:val="28"/>
          <w:szCs w:val="28"/>
        </w:rPr>
      </w:pPr>
      <w:r>
        <w:rPr>
          <w:rFonts w:ascii="Times New Roman" w:hAnsi="Times New Roman" w:eastAsia="方正仿宋_GBK" w:cs="Times New Roman"/>
          <w:b/>
          <w:bCs/>
          <w:sz w:val="28"/>
          <w:szCs w:val="28"/>
          <w:lang w:val="en-US" w:eastAsia="zh-CN"/>
        </w:rPr>
        <w:t xml:space="preserve">6</w:t>
      </w:r>
      <w:r>
        <w:rPr>
          <w:rFonts w:ascii="Times New Roman" w:hAnsi="Times New Roman" w:eastAsia="方正仿宋_GBK" w:cs="Times New Roman"/>
          <w:b/>
          <w:bCs/>
          <w:sz w:val="28"/>
          <w:szCs w:val="28"/>
        </w:rPr>
        <w:t xml:space="preserve">.3</w:t>
      </w:r>
      <w:r>
        <w:rPr>
          <w:rFonts w:ascii="Times New Roman" w:hAnsi="Times New Roman" w:eastAsia="方正仿宋_GBK" w:cs="Times New Roman"/>
          <w:sz w:val="28"/>
          <w:szCs w:val="28"/>
        </w:rPr>
        <w:t xml:space="preserve">开标当天投标供应商应及时登录</w:t>
      </w:r>
      <w:r>
        <w:rPr>
          <w:rFonts w:ascii="Times New Roman" w:hAnsi="Times New Roman" w:eastAsia="方正仿宋_GBK" w:cs="Times New Roman"/>
          <w:sz w:val="28"/>
          <w:szCs w:val="28"/>
        </w:rPr>
        <w:t xml:space="preserve">“苏采云”</w:t>
      </w:r>
      <w:r>
        <w:rPr>
          <w:rFonts w:ascii="Times New Roman" w:hAnsi="Times New Roman" w:eastAsia="方正仿宋_GBK" w:cs="Times New Roman"/>
          <w:sz w:val="28"/>
          <w:szCs w:val="28"/>
        </w:rPr>
        <w:t xml:space="preserve">不见面开标大厅，并在规定时间内自行实施远程解密。</w:t>
      </w:r>
      <w:r>
        <w:rPr>
          <w:rFonts w:ascii="Times New Roman" w:hAnsi="Times New Roman" w:eastAsia="方正仿宋_GBK" w:cs="Times New Roman"/>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Times New Roman" w:hAnsi="Times New Roman" w:eastAsia="方正仿宋_GBK" w:cs="Times New Roman"/>
          <w:sz w:val="28"/>
          <w:szCs w:val="28"/>
        </w:rPr>
        <w:t xml:space="preserve">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
          <w:sz w:val="28"/>
          <w:szCs w:val="28"/>
        </w:rPr>
      </w:r>
      <w:r/>
    </w:p>
    <w:p>
      <w:pPr>
        <w:pStyle w:val="93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35" w:name="_Toc35393627"/>
      <w:r/>
      <w:bookmarkStart w:id="36" w:name="_Toc28359008"/>
      <w:r/>
      <w:bookmarkStart w:id="37" w:name="_Toc35393796"/>
      <w:r/>
      <w:bookmarkStart w:id="38" w:name="_Toc38985269"/>
      <w:r/>
      <w:bookmarkStart w:id="39" w:name="_Toc28359085"/>
      <w:r>
        <w:rPr>
          <w:rFonts w:ascii="Times New Roman" w:hAnsi="Times New Roman" w:eastAsia="方正仿宋_GBK" w:cs="Times New Roman"/>
          <w:b/>
          <w:bCs/>
          <w:color w:val="000000"/>
          <w:sz w:val="28"/>
          <w:szCs w:val="28"/>
        </w:rPr>
        <w:t xml:space="preserve">七、本次招标联系方式</w:t>
      </w:r>
      <w:bookmarkEnd w:id="35"/>
      <w:r/>
      <w:bookmarkEnd w:id="36"/>
      <w:r/>
      <w:bookmarkEnd w:id="37"/>
      <w:r/>
      <w:bookmarkEnd w:id="38"/>
      <w:r/>
      <w:bookmarkEnd w:id="39"/>
      <w:r>
        <w:rPr>
          <w:rFonts w:ascii="Times New Roman" w:hAnsi="Times New Roman" w:eastAsia="方正仿宋_GBK" w:cs="Times New Roman"/>
          <w:b/>
          <w:bCs/>
          <w:color w:val="000000"/>
          <w:sz w:val="28"/>
          <w:szCs w:val="28"/>
        </w:rPr>
      </w:r>
      <w:r/>
    </w:p>
    <w:p>
      <w:pPr>
        <w:pStyle w:val="931"/>
        <w:jc w:val="left"/>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1.采购人信息</w:t>
      </w:r>
      <w:r>
        <w:rPr>
          <w:rFonts w:ascii="Times New Roman" w:hAnsi="Times New Roman" w:eastAsia="方正仿宋_GBK" w:cs="Times New Roman"/>
          <w:color w:val="000000"/>
          <w:sz w:val="28"/>
          <w:szCs w:val="28"/>
        </w:rPr>
      </w:r>
      <w:r/>
    </w:p>
    <w:p>
      <w:pPr>
        <w:pStyle w:val="931"/>
        <w:ind w:left="1129" w:hanging="350"/>
        <w:jc w:val="left"/>
        <w:spacing w:line="480" w:lineRule="exact"/>
        <w:rPr>
          <w:rFonts w:eastAsia="方正仿宋_GBK"/>
          <w:color w:val="000000"/>
          <w:sz w:val="28"/>
          <w:szCs w:val="28"/>
        </w:rPr>
      </w:pPr>
      <w:r>
        <w:rPr>
          <w:rFonts w:eastAsia="方正仿宋_GBK"/>
          <w:color w:val="000000"/>
          <w:sz w:val="28"/>
          <w:szCs w:val="28"/>
        </w:rPr>
        <w:t xml:space="preserve">名 </w:t>
      </w:r>
      <w:r>
        <w:rPr>
          <w:rFonts w:hint="eastAsia" w:eastAsia="方正仿宋_GBK"/>
          <w:color w:val="000000"/>
          <w:sz w:val="28"/>
          <w:szCs w:val="28"/>
        </w:rPr>
        <w:t xml:space="preserve">   </w:t>
      </w:r>
      <w:r>
        <w:rPr>
          <w:rFonts w:eastAsia="方正仿宋_GBK"/>
          <w:color w:val="000000"/>
          <w:sz w:val="28"/>
          <w:szCs w:val="28"/>
        </w:rPr>
        <w:t xml:space="preserve">称：</w:t>
      </w:r>
      <w:r>
        <w:rPr>
          <w:rFonts w:eastAsia="方正仿宋_GBK"/>
          <w:color w:val="000000"/>
          <w:sz w:val="28"/>
          <w:szCs w:val="28"/>
          <w:u w:val="single"/>
        </w:rPr>
        <w:t xml:space="preserve">　江苏省南通市中级人民法院　</w:t>
      </w:r>
      <w:r>
        <w:rPr>
          <w:rFonts w:eastAsia="方正仿宋_GBK"/>
          <w:color w:val="000000"/>
          <w:sz w:val="28"/>
          <w:szCs w:val="28"/>
        </w:rPr>
      </w:r>
      <w:r/>
    </w:p>
    <w:p>
      <w:pPr>
        <w:pStyle w:val="931"/>
        <w:ind w:left="1129" w:hanging="350"/>
        <w:jc w:val="left"/>
        <w:spacing w:line="480" w:lineRule="exact"/>
        <w:rPr>
          <w:rFonts w:eastAsia="方正仿宋_GBK"/>
          <w:color w:val="000000"/>
          <w:sz w:val="28"/>
          <w:szCs w:val="28"/>
        </w:rPr>
      </w:pPr>
      <w:r>
        <w:rPr>
          <w:rFonts w:eastAsia="方正仿宋_GBK"/>
          <w:color w:val="000000"/>
          <w:sz w:val="28"/>
          <w:szCs w:val="28"/>
        </w:rPr>
        <w:t xml:space="preserve">地</w:t>
      </w:r>
      <w:r>
        <w:rPr>
          <w:rFonts w:hint="eastAsia" w:eastAsia="方正仿宋_GBK"/>
          <w:color w:val="000000"/>
          <w:sz w:val="28"/>
          <w:szCs w:val="28"/>
        </w:rPr>
        <w:t xml:space="preserve">    </w:t>
      </w:r>
      <w:r>
        <w:rPr>
          <w:rFonts w:eastAsia="方正仿宋_GBK"/>
          <w:color w:val="000000"/>
          <w:sz w:val="28"/>
          <w:szCs w:val="28"/>
        </w:rPr>
        <w:t xml:space="preserve">址：</w:t>
      </w:r>
      <w:r>
        <w:rPr>
          <w:rFonts w:eastAsia="方正仿宋_GBK"/>
          <w:color w:val="000000"/>
          <w:sz w:val="28"/>
          <w:szCs w:val="28"/>
          <w:u w:val="single"/>
        </w:rPr>
        <w:t xml:space="preserve">　南通市崇川区工农路 246 号　</w:t>
      </w:r>
      <w:r>
        <w:rPr>
          <w:rFonts w:eastAsia="方正仿宋_GBK"/>
          <w:color w:val="000000"/>
          <w:sz w:val="28"/>
          <w:szCs w:val="28"/>
        </w:rPr>
      </w:r>
      <w:r/>
    </w:p>
    <w:p>
      <w:pPr>
        <w:pStyle w:val="931"/>
        <w:ind w:left="1129" w:hanging="350"/>
        <w:jc w:val="left"/>
        <w:spacing w:line="480" w:lineRule="exact"/>
        <w:rPr>
          <w:rFonts w:eastAsia="方正仿宋_GBK"/>
          <w:color w:val="000000"/>
          <w:sz w:val="28"/>
          <w:szCs w:val="28"/>
          <w:highlight w:val="none"/>
        </w:rPr>
      </w:pPr>
      <w:r>
        <w:rPr>
          <w:rFonts w:eastAsia="方正仿宋_GBK"/>
          <w:color w:val="000000"/>
          <w:sz w:val="28"/>
          <w:szCs w:val="28"/>
          <w:highlight w:val="none"/>
        </w:rPr>
        <w:t xml:space="preserve">联</w:t>
      </w:r>
      <w:r>
        <w:rPr>
          <w:rFonts w:hint="eastAsia" w:eastAsia="方正仿宋_GBK"/>
          <w:color w:val="000000"/>
          <w:sz w:val="28"/>
          <w:szCs w:val="28"/>
          <w:highlight w:val="none"/>
        </w:rPr>
        <w:t xml:space="preserve"> </w:t>
      </w:r>
      <w:r>
        <w:rPr>
          <w:rFonts w:eastAsia="方正仿宋_GBK"/>
          <w:color w:val="000000"/>
          <w:sz w:val="28"/>
          <w:szCs w:val="28"/>
          <w:highlight w:val="none"/>
        </w:rPr>
        <w:t xml:space="preserve">系</w:t>
      </w:r>
      <w:r>
        <w:rPr>
          <w:rFonts w:hint="eastAsia" w:eastAsia="方正仿宋_GBK"/>
          <w:color w:val="000000"/>
          <w:sz w:val="28"/>
          <w:szCs w:val="28"/>
          <w:highlight w:val="none"/>
        </w:rPr>
        <w:t xml:space="preserve"> </w:t>
      </w:r>
      <w:r>
        <w:rPr>
          <w:rFonts w:eastAsia="方正仿宋_GBK"/>
          <w:color w:val="000000"/>
          <w:sz w:val="28"/>
          <w:szCs w:val="28"/>
          <w:highlight w:val="none"/>
        </w:rPr>
        <w:t xml:space="preserve">人：</w:t>
      </w:r>
      <w:r>
        <w:rPr>
          <w:rFonts w:eastAsia="方正仿宋_GBK"/>
          <w:color w:val="000000"/>
          <w:sz w:val="28"/>
          <w:szCs w:val="28"/>
          <w:highlight w:val="none"/>
          <w:u w:val="single"/>
        </w:rPr>
        <w:t xml:space="preserve">   </w:t>
      </w:r>
      <w:r>
        <w:rPr>
          <w:rFonts w:hint="eastAsia" w:eastAsia="方正仿宋_GBK"/>
          <w:color w:val="000000"/>
          <w:sz w:val="28"/>
          <w:szCs w:val="28"/>
          <w:highlight w:val="none"/>
          <w:u w:val="single"/>
        </w:rPr>
        <w:t xml:space="preserve">  </w:t>
      </w:r>
      <w:r>
        <w:rPr>
          <w:rFonts w:eastAsia="方正仿宋_GBK"/>
          <w:color w:val="000000"/>
          <w:sz w:val="28"/>
          <w:szCs w:val="28"/>
          <w:highlight w:val="none"/>
          <w:u w:val="single"/>
        </w:rPr>
        <w:t xml:space="preserve">  </w:t>
      </w:r>
      <w:r>
        <w:rPr>
          <w:rFonts w:hint="eastAsia" w:eastAsia="方正仿宋_GBK"/>
          <w:color w:val="000000"/>
          <w:sz w:val="28"/>
          <w:szCs w:val="28"/>
          <w:highlight w:val="none"/>
          <w:u w:val="single"/>
        </w:rPr>
        <w:t xml:space="preserve">黄先生</w:t>
      </w:r>
      <w:r>
        <w:rPr>
          <w:rFonts w:eastAsia="方正仿宋_GBK"/>
          <w:color w:val="000000"/>
          <w:sz w:val="28"/>
          <w:szCs w:val="28"/>
          <w:highlight w:val="none"/>
          <w:u w:val="single"/>
        </w:rPr>
        <w:t xml:space="preserve">     </w:t>
      </w:r>
      <w:r>
        <w:rPr>
          <w:rFonts w:hint="eastAsia" w:eastAsia="方正仿宋_GBK"/>
          <w:color w:val="000000"/>
          <w:sz w:val="28"/>
          <w:szCs w:val="28"/>
          <w:highlight w:val="none"/>
          <w:u w:val="single"/>
        </w:rPr>
        <w:t xml:space="preserve">  </w:t>
      </w:r>
      <w:r>
        <w:rPr>
          <w:rFonts w:eastAsia="方正仿宋_GBK"/>
          <w:color w:val="000000"/>
          <w:sz w:val="28"/>
          <w:szCs w:val="28"/>
          <w:highlight w:val="none"/>
          <w:u w:val="single"/>
        </w:rPr>
        <w:t xml:space="preserve">      </w:t>
      </w:r>
      <w:r>
        <w:rPr>
          <w:rFonts w:eastAsia="方正仿宋_GBK"/>
          <w:color w:val="000000"/>
          <w:sz w:val="28"/>
          <w:szCs w:val="28"/>
          <w:highlight w:val="none"/>
        </w:rPr>
      </w:r>
      <w:r/>
    </w:p>
    <w:p>
      <w:pPr>
        <w:pStyle w:val="931"/>
        <w:ind w:left="1129" w:hanging="350"/>
        <w:jc w:val="left"/>
        <w:spacing w:line="480" w:lineRule="exact"/>
        <w:rPr>
          <w:rFonts w:eastAsia="方正仿宋_GBK"/>
          <w:color w:val="000000"/>
          <w:sz w:val="28"/>
          <w:szCs w:val="28"/>
          <w:highlight w:val="none"/>
          <w:u w:val="single"/>
        </w:rPr>
      </w:pPr>
      <w:r>
        <w:rPr>
          <w:rFonts w:eastAsia="方正仿宋_GBK"/>
          <w:color w:val="000000"/>
          <w:sz w:val="28"/>
          <w:szCs w:val="28"/>
          <w:highlight w:val="none"/>
        </w:rPr>
        <w:t xml:space="preserve">联系方式：</w:t>
      </w:r>
      <w:r>
        <w:rPr>
          <w:rFonts w:eastAsia="方正仿宋_GBK"/>
          <w:color w:val="000000"/>
          <w:sz w:val="28"/>
          <w:szCs w:val="28"/>
          <w:highlight w:val="none"/>
          <w:u w:val="single"/>
        </w:rPr>
        <w:t xml:space="preserve">　　　</w:t>
      </w:r>
      <w:r>
        <w:rPr>
          <w:rFonts w:hint="eastAsia" w:eastAsia="方正仿宋_GBK"/>
          <w:color w:val="000000"/>
          <w:sz w:val="28"/>
          <w:szCs w:val="28"/>
          <w:highlight w:val="none"/>
          <w:u w:val="single"/>
        </w:rPr>
        <w:t xml:space="preserve">  0513-68506341</w:t>
      </w:r>
      <w:r>
        <w:rPr>
          <w:rFonts w:eastAsia="方正仿宋_GBK"/>
          <w:color w:val="000000"/>
          <w:sz w:val="28"/>
          <w:szCs w:val="28"/>
          <w:highlight w:val="none"/>
          <w:u w:val="single"/>
        </w:rPr>
        <w:t xml:space="preserve">　　 </w:t>
      </w:r>
      <w:bookmarkStart w:id="40" w:name="_Toc28359009"/>
      <w:r/>
      <w:bookmarkStart w:id="41" w:name="_Toc28359086"/>
      <w:r>
        <w:rPr>
          <w:rFonts w:eastAsia="方正仿宋_GBK"/>
          <w:color w:val="000000"/>
          <w:sz w:val="28"/>
          <w:szCs w:val="28"/>
          <w:highlight w:val="none"/>
          <w:u w:val="single"/>
        </w:rPr>
      </w:r>
      <w:r/>
    </w:p>
    <w:p>
      <w:pPr>
        <w:pStyle w:val="93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bookmarkEnd w:id="40"/>
      <w:r/>
      <w:bookmarkEnd w:id="41"/>
      <w:r>
        <w:rPr>
          <w:rFonts w:ascii="Times New Roman" w:hAnsi="Times New Roman" w:eastAsia="方正仿宋_GBK" w:cs="Times New Roman"/>
          <w:color w:val="000000"/>
          <w:sz w:val="28"/>
          <w:szCs w:val="28"/>
        </w:rPr>
        <w:t xml:space="preserve">2.采购代理机构信息</w:t>
      </w:r>
      <w:r>
        <w:rPr>
          <w:rFonts w:ascii="Times New Roman" w:hAnsi="Times New Roman" w:eastAsia="方正仿宋_GBK" w:cs="Times New Roman"/>
          <w:color w:val="000000"/>
          <w:sz w:val="28"/>
          <w:szCs w:val="28"/>
        </w:rPr>
      </w:r>
      <w:r/>
    </w:p>
    <w:p>
      <w:pPr>
        <w:pStyle w:val="93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名    称：南通市公共资源交易中心</w:t>
      </w:r>
      <w:r>
        <w:rPr>
          <w:rFonts w:ascii="Times New Roman" w:hAnsi="Times New Roman" w:eastAsia="方正仿宋_GBK" w:cs="Times New Roman"/>
          <w:color w:val="000000"/>
          <w:sz w:val="28"/>
          <w:szCs w:val="28"/>
        </w:rPr>
      </w:r>
      <w:r/>
    </w:p>
    <w:p>
      <w:pPr>
        <w:pStyle w:val="93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　  址：南通市崇川区工农南路150号</w:t>
      </w:r>
      <w:r>
        <w:rPr>
          <w:rFonts w:ascii="Times New Roman" w:hAnsi="Times New Roman" w:eastAsia="方正仿宋_GBK" w:cs="Times New Roman"/>
          <w:color w:val="000000"/>
          <w:sz w:val="28"/>
          <w:szCs w:val="28"/>
        </w:rPr>
      </w:r>
      <w:r/>
    </w:p>
    <w:p>
      <w:pPr>
        <w:pStyle w:val="93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 系 人：</w:t>
      </w:r>
      <w:r>
        <w:rPr>
          <w:rFonts w:hint="eastAsia" w:ascii="Times New Roman" w:hAnsi="Times New Roman" w:eastAsia="方正仿宋_GBK" w:cs="Times New Roman"/>
          <w:color w:val="000000"/>
          <w:sz w:val="28"/>
          <w:szCs w:val="28"/>
          <w:u w:val="single"/>
          <w:lang w:val="en-US" w:eastAsia="zh-CN"/>
        </w:rPr>
        <w:t xml:space="preserve">         陈露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93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联系方式：</w:t>
      </w:r>
      <w:r>
        <w:rPr>
          <w:rFonts w:hint="eastAsia" w:ascii="Times New Roman" w:hAnsi="Times New Roman" w:eastAsia="方正仿宋_GBK" w:cs="Times New Roman"/>
          <w:color w:val="000000"/>
          <w:sz w:val="28"/>
          <w:szCs w:val="28"/>
          <w:u w:val="single"/>
          <w:lang w:val="en-US" w:eastAsia="zh-CN"/>
        </w:rPr>
        <w:t xml:space="preserve">         0513-59001986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93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3.软件技术支持：运维客服：0519-86722801、0519-86722806 </w:t>
      </w:r>
      <w:r>
        <w:rPr>
          <w:rFonts w:ascii="Times New Roman" w:hAnsi="Times New Roman" w:eastAsia="方正仿宋_GBK" w:cs="Times New Roman"/>
          <w:color w:val="000000"/>
          <w:sz w:val="28"/>
          <w:szCs w:val="28"/>
        </w:rPr>
      </w:r>
      <w:r/>
    </w:p>
    <w:p>
      <w:pPr>
        <w:pStyle w:val="931"/>
        <w:ind w:firstLine="56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那工：0513-59001950</w:t>
      </w:r>
      <w:r>
        <w:rPr>
          <w:rFonts w:ascii="Times New Roman" w:hAnsi="Times New Roman" w:eastAsia="方正仿宋_GBK" w:cs="Times New Roman"/>
          <w:color w:val="000000"/>
          <w:sz w:val="28"/>
          <w:szCs w:val="28"/>
        </w:rPr>
      </w:r>
      <w:r/>
    </w:p>
    <w:p>
      <w:pPr>
        <w:pStyle w:val="931"/>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31"/>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31"/>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931"/>
        <w:keepLines/>
        <w:keepNext/>
        <w:spacing w:line="480" w:lineRule="exact"/>
        <w:rPr>
          <w:rFonts w:ascii="仿宋" w:hAnsi="仿宋" w:eastAsia="仿宋"/>
          <w:b/>
          <w:bCs/>
          <w:sz w:val="28"/>
          <w:szCs w:val="28"/>
        </w:rPr>
        <w:outlineLvl w:val="2"/>
      </w:pPr>
      <w:r/>
      <w:bookmarkStart w:id="47" w:name="_Toc120614214"/>
      <w:r/>
      <w:bookmarkStart w:id="48" w:name="_Toc16938519"/>
      <w:r/>
      <w:bookmarkStart w:id="49" w:name="_Toc20823275"/>
      <w:r/>
      <w:bookmarkStart w:id="50" w:name="_Toc513029203"/>
      <w:r>
        <w:rPr>
          <w:rFonts w:ascii="仿宋" w:hAnsi="仿宋" w:eastAsia="仿宋"/>
          <w:b/>
          <w:bCs/>
          <w:sz w:val="28"/>
          <w:szCs w:val="28"/>
        </w:rPr>
        <w:t xml:space="preserve">（一）总则</w:t>
      </w:r>
      <w:bookmarkEnd w:id="47"/>
      <w:r/>
      <w:bookmarkEnd w:id="48"/>
      <w:r/>
      <w:bookmarkEnd w:id="49"/>
      <w:r/>
      <w:bookmarkEnd w:id="50"/>
      <w:r>
        <w:rPr>
          <w:rFonts w:ascii="仿宋" w:hAnsi="仿宋" w:eastAsia="仿宋"/>
          <w:b/>
          <w:bCs/>
          <w:sz w:val="28"/>
          <w:szCs w:val="28"/>
        </w:rPr>
      </w:r>
      <w:r/>
    </w:p>
    <w:p>
      <w:pPr>
        <w:pStyle w:val="931"/>
        <w:keepNext/>
        <w:spacing w:line="480" w:lineRule="exact"/>
        <w:rPr>
          <w:rFonts w:ascii="仿宋" w:hAnsi="仿宋" w:eastAsia="仿宋"/>
          <w:b/>
          <w:bCs/>
          <w:sz w:val="28"/>
          <w:szCs w:val="28"/>
        </w:rPr>
        <w:outlineLvl w:val="3"/>
      </w:pPr>
      <w:r/>
      <w:bookmarkStart w:id="51" w:name="_Hlt16619475"/>
      <w:r/>
      <w:bookmarkEnd w:id="51"/>
      <w:r/>
      <w:bookmarkStart w:id="52" w:name="_Toc458694821"/>
      <w:r/>
      <w:bookmarkStart w:id="53" w:name="_Toc20823276"/>
      <w:r/>
      <w:bookmarkStart w:id="54" w:name="_Toc513029204"/>
      <w:r/>
      <w:bookmarkStart w:id="55" w:name="_Toc16938520"/>
      <w:r>
        <w:rPr>
          <w:rFonts w:ascii="仿宋" w:hAnsi="仿宋" w:eastAsia="仿宋"/>
          <w:b/>
          <w:bCs/>
          <w:sz w:val="28"/>
          <w:szCs w:val="28"/>
        </w:rPr>
        <w:t xml:space="preserve">1</w:t>
      </w:r>
      <w:bookmarkEnd w:id="52"/>
      <w:r>
        <w:rPr>
          <w:rFonts w:ascii="仿宋" w:hAnsi="仿宋" w:eastAsia="仿宋"/>
          <w:b/>
          <w:bCs/>
          <w:sz w:val="28"/>
          <w:szCs w:val="28"/>
        </w:rPr>
        <w:t xml:space="preserve">.招标方式</w:t>
      </w:r>
      <w:bookmarkEnd w:id="53"/>
      <w:r/>
      <w:bookmarkEnd w:id="54"/>
      <w:r/>
      <w:bookmarkEnd w:id="55"/>
      <w:r>
        <w:rPr>
          <w:rFonts w:ascii="仿宋" w:hAnsi="仿宋" w:eastAsia="仿宋"/>
          <w:b/>
          <w:bCs/>
          <w:sz w:val="28"/>
          <w:szCs w:val="28"/>
        </w:rPr>
      </w:r>
      <w:r/>
    </w:p>
    <w:p>
      <w:pPr>
        <w:pStyle w:val="931"/>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931"/>
        <w:keepNext/>
        <w:spacing w:line="480" w:lineRule="exact"/>
        <w:rPr>
          <w:rFonts w:ascii="仿宋" w:hAnsi="仿宋" w:eastAsia="仿宋"/>
          <w:b/>
          <w:bCs/>
          <w:sz w:val="28"/>
          <w:szCs w:val="28"/>
        </w:rPr>
        <w:outlineLvl w:val="3"/>
      </w:pPr>
      <w:r/>
      <w:bookmarkStart w:id="56" w:name="_Toc16938521"/>
      <w:r/>
      <w:bookmarkStart w:id="57" w:name="_Toc20823277"/>
      <w:r/>
      <w:bookmarkStart w:id="58" w:name="_Toc513029205"/>
      <w:r>
        <w:rPr>
          <w:rFonts w:ascii="仿宋" w:hAnsi="仿宋" w:eastAsia="仿宋"/>
          <w:b/>
          <w:bCs/>
          <w:sz w:val="28"/>
          <w:szCs w:val="28"/>
        </w:rPr>
        <w:t xml:space="preserve">2.合格的投标人</w:t>
      </w:r>
      <w:bookmarkEnd w:id="56"/>
      <w:r/>
      <w:bookmarkEnd w:id="57"/>
      <w:r/>
      <w:bookmarkEnd w:id="58"/>
      <w:r>
        <w:rPr>
          <w:rFonts w:ascii="仿宋" w:hAnsi="仿宋" w:eastAsia="仿宋"/>
          <w:b/>
          <w:bCs/>
          <w:sz w:val="28"/>
          <w:szCs w:val="28"/>
        </w:rPr>
      </w:r>
      <w:r/>
    </w:p>
    <w:p>
      <w:pPr>
        <w:pStyle w:val="931"/>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rPr>
          <w:rFonts w:ascii="仿宋" w:hAnsi="仿宋" w:eastAsia="仿宋"/>
          <w:sz w:val="28"/>
          <w:szCs w:val="28"/>
        </w:rPr>
      </w:r>
      <w:r/>
    </w:p>
    <w:p>
      <w:pPr>
        <w:pStyle w:val="931"/>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931"/>
        <w:keepNext/>
        <w:spacing w:line="480" w:lineRule="exact"/>
        <w:rPr>
          <w:rFonts w:ascii="仿宋" w:hAnsi="仿宋" w:eastAsia="仿宋"/>
          <w:b/>
          <w:bCs/>
          <w:i w:val="0"/>
          <w:iCs w:val="0"/>
          <w:sz w:val="28"/>
          <w:szCs w:val="28"/>
          <w:highlight w:val="none"/>
          <w:u w:val="none"/>
          <w:lang w:val="en-US" w:eastAsia="zh-CN"/>
        </w:rPr>
        <w:outlineLvl w:val="3"/>
      </w:pPr>
      <w:r/>
      <w:bookmarkStart w:id="59" w:name="_Toc16938522"/>
      <w:r/>
      <w:bookmarkStart w:id="60" w:name="_Toc20823278"/>
      <w:r/>
      <w:bookmarkStart w:id="61" w:name="_Toc513029206"/>
      <w:r/>
      <w:bookmarkStart w:id="62" w:name="_Toc462564067"/>
      <w:r/>
      <w:bookmarkStart w:id="63" w:name="_Toc16938523"/>
      <w:r/>
      <w:bookmarkStart w:id="64" w:name="_Toc513029207"/>
      <w:r/>
      <w:bookmarkStart w:id="65" w:name="_Toc20823279"/>
      <w:r>
        <w:rPr>
          <w:rFonts w:ascii="仿宋" w:hAnsi="仿宋" w:eastAsia="仿宋"/>
          <w:b/>
          <w:bCs/>
          <w:i w:val="0"/>
          <w:iCs w:val="0"/>
          <w:sz w:val="28"/>
          <w:szCs w:val="28"/>
          <w:highlight w:val="none"/>
          <w:u w:val="none"/>
        </w:rPr>
        <w:t xml:space="preserve">3.适用法律</w:t>
      </w:r>
      <w:bookmarkEnd w:id="59"/>
      <w:r/>
      <w:bookmarkEnd w:id="60"/>
      <w:r/>
      <w:bookmarkEnd w:id="61"/>
      <w:r>
        <w:rPr>
          <w:rFonts w:hint="eastAsia" w:ascii="仿宋" w:hAnsi="仿宋" w:eastAsia="仿宋"/>
          <w:b/>
          <w:bCs/>
          <w:i w:val="0"/>
          <w:iCs w:val="0"/>
          <w:sz w:val="28"/>
          <w:szCs w:val="28"/>
          <w:highlight w:val="none"/>
          <w:u w:val="none"/>
          <w:lang w:val="en-US" w:eastAsia="zh-CN"/>
        </w:rPr>
        <w:t xml:space="preserve">和标准</w:t>
      </w:r>
      <w:r>
        <w:rPr>
          <w:rFonts w:ascii="仿宋" w:hAnsi="仿宋" w:eastAsia="仿宋"/>
          <w:b/>
          <w:bCs/>
          <w:i w:val="0"/>
          <w:iCs w:val="0"/>
          <w:sz w:val="28"/>
          <w:szCs w:val="28"/>
          <w:highlight w:val="none"/>
          <w:u w:val="none"/>
          <w:lang w:val="en-US" w:eastAsia="zh-CN"/>
        </w:rPr>
      </w:r>
      <w:r/>
    </w:p>
    <w:p>
      <w:pPr>
        <w:pStyle w:val="931"/>
        <w:ind w:firstLine="490"/>
        <w:spacing w:line="480" w:lineRule="exact"/>
        <w:rPr>
          <w:rFonts w:ascii="仿宋" w:hAnsi="仿宋" w:eastAsia="仿宋"/>
          <w:i w:val="0"/>
          <w:iCs w:val="0"/>
          <w:sz w:val="28"/>
          <w:szCs w:val="28"/>
          <w:highlight w:val="none"/>
        </w:rPr>
      </w:pPr>
      <w:r>
        <w:rPr>
          <w:rFonts w:ascii="仿宋" w:hAnsi="仿宋" w:eastAsia="仿宋"/>
          <w:i w:val="0"/>
          <w:iCs w:val="0"/>
          <w:sz w:val="28"/>
          <w:szCs w:val="28"/>
          <w:highlight w:val="none"/>
        </w:rPr>
        <w:t xml:space="preserve">3.1 本次招标及由此产生的合同受中华人民共和国有关的法律法规制约和保护。</w:t>
      </w:r>
      <w:r>
        <w:rPr>
          <w:rFonts w:ascii="仿宋" w:hAnsi="仿宋" w:eastAsia="仿宋"/>
          <w:i w:val="0"/>
          <w:iCs w:val="0"/>
          <w:sz w:val="28"/>
          <w:szCs w:val="28"/>
          <w:highlight w:val="none"/>
        </w:rPr>
      </w:r>
      <w:r/>
    </w:p>
    <w:p>
      <w:pPr>
        <w:pStyle w:val="931"/>
        <w:ind w:firstLine="492"/>
        <w:spacing w:line="480" w:lineRule="exact"/>
        <w:rPr>
          <w:rFonts w:ascii="仿宋" w:hAnsi="仿宋" w:eastAsia="仿宋"/>
          <w:b/>
          <w:bCs/>
          <w:i w:val="0"/>
          <w:iCs w:val="0"/>
          <w:sz w:val="28"/>
          <w:szCs w:val="28"/>
          <w:highlight w:val="none"/>
          <w:u w:val="none"/>
          <w:lang w:val="en-US" w:eastAsia="zh-CN"/>
        </w:rPr>
      </w:pPr>
      <w:r>
        <w:rPr>
          <w:rFonts w:hint="eastAsia" w:ascii="仿宋" w:hAnsi="仿宋" w:eastAsia="仿宋"/>
          <w:b/>
          <w:bCs/>
          <w:i w:val="0"/>
          <w:iCs w:val="0"/>
          <w:sz w:val="28"/>
          <w:szCs w:val="28"/>
          <w:highlight w:val="none"/>
          <w:u w:val="none"/>
          <w:lang w:val="en-US" w:eastAsia="zh-CN"/>
        </w:rPr>
        <w:t xml:space="preserve">3.2 在本项目政府采购活动过程中，如果所执行的标准有更新的，按照最新标准执行。</w:t>
      </w:r>
      <w:r>
        <w:rPr>
          <w:rFonts w:ascii="仿宋" w:hAnsi="仿宋" w:eastAsia="仿宋"/>
          <w:b/>
          <w:bCs/>
          <w:i w:val="0"/>
          <w:iCs w:val="0"/>
          <w:sz w:val="28"/>
          <w:szCs w:val="28"/>
          <w:highlight w:val="none"/>
          <w:u w:val="none"/>
          <w:lang w:val="en-US" w:eastAsia="zh-CN"/>
        </w:rPr>
      </w:r>
      <w:r/>
    </w:p>
    <w:p>
      <w:pPr>
        <w:pStyle w:val="931"/>
        <w:keepNext/>
        <w:spacing w:line="480" w:lineRule="exact"/>
        <w:rPr>
          <w:rFonts w:ascii="仿宋" w:hAnsi="仿宋" w:eastAsia="仿宋"/>
          <w:b/>
          <w:bCs/>
          <w:sz w:val="28"/>
          <w:szCs w:val="28"/>
        </w:rPr>
        <w:outlineLvl w:val="3"/>
      </w:pPr>
      <w:r>
        <w:rPr>
          <w:rFonts w:ascii="仿宋" w:hAnsi="仿宋" w:eastAsia="仿宋"/>
          <w:b/>
          <w:bCs/>
          <w:sz w:val="28"/>
          <w:szCs w:val="28"/>
        </w:rPr>
        <w:t xml:space="preserve">4.投标费用</w:t>
      </w:r>
      <w:bookmarkEnd w:id="62"/>
      <w:r/>
      <w:bookmarkEnd w:id="63"/>
      <w:r/>
      <w:bookmarkEnd w:id="64"/>
      <w:r/>
      <w:bookmarkEnd w:id="65"/>
      <w:r>
        <w:rPr>
          <w:rFonts w:ascii="仿宋" w:hAnsi="仿宋" w:eastAsia="仿宋"/>
          <w:b/>
          <w:bCs/>
          <w:sz w:val="28"/>
          <w:szCs w:val="28"/>
        </w:rPr>
      </w:r>
      <w:r/>
    </w:p>
    <w:p>
      <w:pPr>
        <w:pStyle w:val="931"/>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lang w:val="en-US" w:eastAsia="zh-CN"/>
        </w:rPr>
        <w:t xml:space="preserve">公共资源交易中心</w:t>
      </w:r>
      <w:r>
        <w:rPr>
          <w:rFonts w:ascii="仿宋" w:hAnsi="仿宋" w:eastAsia="仿宋"/>
          <w:sz w:val="28"/>
          <w:szCs w:val="28"/>
        </w:rPr>
        <w:t xml:space="preserve">（以下简称</w:t>
      </w:r>
      <w:r>
        <w:rPr>
          <w:rFonts w:hint="eastAsia" w:ascii="仿宋" w:hAnsi="仿宋" w:eastAsia="仿宋"/>
          <w:sz w:val="28"/>
          <w:szCs w:val="28"/>
          <w:lang w:val="en-US" w:eastAsia="zh-CN"/>
        </w:rPr>
        <w:t xml:space="preserve">交易中心</w:t>
      </w:r>
      <w:r>
        <w:rPr>
          <w:rFonts w:ascii="仿宋" w:hAnsi="仿宋" w:eastAsia="仿宋"/>
          <w:sz w:val="28"/>
          <w:szCs w:val="28"/>
        </w:rPr>
        <w:t xml:space="preserve">）在任何情况下均无义务和责任承担</w:t>
      </w:r>
      <w:r>
        <w:rPr>
          <w:rFonts w:hint="eastAsia" w:ascii="仿宋" w:hAnsi="仿宋" w:eastAsia="仿宋"/>
          <w:sz w:val="28"/>
          <w:szCs w:val="28"/>
          <w:lang w:val="en-US" w:eastAsia="zh-CN"/>
        </w:rPr>
        <w:t xml:space="preserve">上述</w:t>
      </w:r>
      <w:r>
        <w:rPr>
          <w:rFonts w:ascii="仿宋" w:hAnsi="仿宋" w:eastAsia="仿宋"/>
          <w:sz w:val="28"/>
          <w:szCs w:val="28"/>
        </w:rPr>
        <w:t xml:space="preserve">费用。</w:t>
      </w:r>
      <w:r>
        <w:rPr>
          <w:rFonts w:ascii="仿宋" w:hAnsi="仿宋" w:eastAsia="仿宋"/>
          <w:sz w:val="28"/>
          <w:szCs w:val="28"/>
        </w:rPr>
      </w:r>
      <w:r/>
    </w:p>
    <w:p>
      <w:pPr>
        <w:pStyle w:val="931"/>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lang w:val="en-US" w:eastAsia="zh-CN"/>
        </w:rPr>
        <w:t xml:space="preserve">交易</w:t>
      </w:r>
      <w:r>
        <w:rPr>
          <w:rFonts w:ascii="仿宋" w:hAnsi="仿宋" w:eastAsia="仿宋"/>
          <w:sz w:val="28"/>
          <w:szCs w:val="28"/>
        </w:rPr>
        <w:t xml:space="preserve">中心和采购人不收取标书工本费与中标服务费。</w:t>
      </w:r>
      <w:r>
        <w:rPr>
          <w:rFonts w:ascii="仿宋" w:hAnsi="仿宋" w:eastAsia="仿宋"/>
          <w:sz w:val="28"/>
          <w:szCs w:val="28"/>
        </w:rPr>
      </w:r>
      <w:r/>
    </w:p>
    <w:p>
      <w:pPr>
        <w:pStyle w:val="931"/>
        <w:keepNext/>
        <w:spacing w:line="480" w:lineRule="exact"/>
        <w:rPr>
          <w:rFonts w:ascii="仿宋" w:hAnsi="仿宋" w:eastAsia="仿宋"/>
          <w:b/>
          <w:bCs/>
          <w:sz w:val="28"/>
          <w:szCs w:val="28"/>
        </w:rPr>
        <w:outlineLvl w:val="3"/>
      </w:pPr>
      <w:r>
        <w:rPr>
          <w:rFonts w:ascii="仿宋" w:hAnsi="仿宋" w:eastAsia="仿宋"/>
          <w:b/>
          <w:bCs/>
          <w:sz w:val="28"/>
          <w:szCs w:val="28"/>
        </w:rPr>
        <w:t xml:space="preserve">5.招标文件的约束力</w:t>
      </w:r>
      <w:r>
        <w:rPr>
          <w:rFonts w:ascii="仿宋" w:hAnsi="仿宋" w:eastAsia="仿宋"/>
          <w:b/>
          <w:bCs/>
          <w:sz w:val="28"/>
          <w:szCs w:val="28"/>
        </w:rPr>
      </w:r>
      <w:r/>
    </w:p>
    <w:p>
      <w:pPr>
        <w:pStyle w:val="931"/>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931"/>
        <w:ind w:firstLine="281"/>
        <w:keepLines/>
        <w:keepNext/>
        <w:spacing w:before="145" w:after="145" w:line="480" w:lineRule="exact"/>
        <w:rPr>
          <w:rFonts w:hint="eastAsia" w:ascii="仿宋" w:hAnsi="仿宋" w:eastAsia="仿宋"/>
          <w:b/>
          <w:bCs/>
          <w:color w:val="000000"/>
          <w:sz w:val="28"/>
          <w:szCs w:val="28"/>
        </w:rPr>
        <w:outlineLvl w:val="2"/>
      </w:pPr>
      <w:r/>
      <w:bookmarkStart w:id="66" w:name="_Toc20823281"/>
      <w:r/>
      <w:bookmarkStart w:id="67" w:name="_Toc16938525"/>
      <w:r/>
      <w:bookmarkStart w:id="68" w:name="_Toc513029209"/>
      <w:r/>
      <w:bookmarkStart w:id="69" w:name="_Toc120614215"/>
      <w:r>
        <w:rPr>
          <w:rFonts w:hint="eastAsia" w:ascii="仿宋" w:hAnsi="仿宋" w:eastAsia="仿宋"/>
          <w:b/>
          <w:bCs/>
          <w:color w:val="000000"/>
          <w:sz w:val="28"/>
          <w:szCs w:val="28"/>
        </w:rPr>
        <w:t xml:space="preserve">二、招标文件</w:t>
      </w:r>
      <w:bookmarkEnd w:id="66"/>
      <w:r/>
      <w:bookmarkEnd w:id="67"/>
      <w:r/>
      <w:bookmarkEnd w:id="68"/>
      <w:r/>
      <w:bookmarkEnd w:id="69"/>
      <w:r>
        <w:rPr>
          <w:rFonts w:hint="eastAsia" w:ascii="仿宋" w:hAnsi="仿宋" w:eastAsia="仿宋"/>
          <w:b/>
          <w:bCs/>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bookmarkStart w:id="70" w:name="_Toc20823282"/>
      <w:r/>
      <w:bookmarkStart w:id="71" w:name="_Toc513029210"/>
      <w:r/>
      <w:bookmarkStart w:id="72" w:name="_Toc16938526"/>
      <w:r>
        <w:rPr>
          <w:rFonts w:hint="eastAsia" w:ascii="仿宋" w:hAnsi="仿宋" w:eastAsia="仿宋" w:cs="Arial"/>
          <w:b/>
          <w:bCs/>
          <w:color w:val="000000"/>
          <w:sz w:val="28"/>
          <w:szCs w:val="28"/>
        </w:rPr>
        <w:t xml:space="preserve">6、招标文件构成</w:t>
      </w:r>
      <w:bookmarkEnd w:id="70"/>
      <w:r/>
      <w:bookmarkEnd w:id="71"/>
      <w:r/>
      <w:bookmarkEnd w:id="72"/>
      <w:r>
        <w:rPr>
          <w:rFonts w:hint="eastAsia" w:ascii="仿宋" w:hAnsi="仿宋" w:eastAsia="仿宋" w:cs="Arial"/>
          <w:b/>
          <w:bCs/>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93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93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93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93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93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93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中心联系解决。</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bookmarkStart w:id="73" w:name="_Toc462564070"/>
      <w:r/>
      <w:bookmarkStart w:id="74" w:name="_Toc20823283"/>
      <w:r/>
      <w:bookmarkStart w:id="75" w:name="_Toc513029211"/>
      <w:r/>
      <w:bookmarkStart w:id="76" w:name="_Toc16938527"/>
      <w:r>
        <w:rPr>
          <w:rFonts w:hint="eastAsia" w:ascii="仿宋" w:hAnsi="仿宋" w:eastAsia="仿宋" w:cs="Arial"/>
          <w:b/>
          <w:bCs/>
          <w:color w:val="000000"/>
          <w:sz w:val="28"/>
          <w:szCs w:val="28"/>
        </w:rPr>
        <w:t xml:space="preserve">7、招标文件的澄清</w:t>
      </w:r>
      <w:bookmarkEnd w:id="73"/>
      <w:r/>
      <w:bookmarkEnd w:id="74"/>
      <w:r/>
      <w:bookmarkEnd w:id="75"/>
      <w:r/>
      <w:bookmarkEnd w:id="76"/>
      <w:r>
        <w:rPr>
          <w:rFonts w:hint="eastAsia" w:ascii="仿宋" w:hAnsi="仿宋" w:eastAsia="仿宋" w:cs="Arial"/>
          <w:b/>
          <w:bCs/>
          <w:color w:val="000000"/>
          <w:sz w:val="28"/>
          <w:szCs w:val="28"/>
        </w:rPr>
      </w:r>
      <w:r/>
    </w:p>
    <w:p>
      <w:pPr>
        <w:pStyle w:val="93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931"/>
        <w:keepLines/>
        <w:keepNext/>
        <w:spacing w:line="480" w:lineRule="exact"/>
        <w:rPr>
          <w:rFonts w:hint="eastAsia" w:ascii="仿宋" w:hAnsi="仿宋" w:eastAsia="仿宋" w:cs="Arial"/>
          <w:b/>
          <w:bCs/>
          <w:color w:val="000000"/>
          <w:sz w:val="28"/>
          <w:szCs w:val="28"/>
        </w:rPr>
        <w:outlineLvl w:val="3"/>
      </w:pPr>
      <w:r/>
      <w:bookmarkStart w:id="77" w:name="_Toc513029212"/>
      <w:r/>
      <w:bookmarkStart w:id="78" w:name="_Toc16938528"/>
      <w:r/>
      <w:bookmarkStart w:id="79" w:name="_Toc462564071"/>
      <w:r/>
      <w:bookmarkStart w:id="80" w:name="_Toc20823284"/>
      <w:r>
        <w:rPr>
          <w:rFonts w:hint="eastAsia" w:ascii="仿宋" w:hAnsi="仿宋" w:eastAsia="仿宋" w:cs="Arial"/>
          <w:b/>
          <w:bCs/>
          <w:color w:val="000000"/>
          <w:sz w:val="28"/>
          <w:szCs w:val="28"/>
        </w:rPr>
        <w:t xml:space="preserve">8、招标文件的修改</w:t>
      </w:r>
      <w:bookmarkEnd w:id="77"/>
      <w:r/>
      <w:bookmarkEnd w:id="78"/>
      <w:r/>
      <w:bookmarkEnd w:id="79"/>
      <w:r/>
      <w:bookmarkEnd w:id="80"/>
      <w:r>
        <w:rPr>
          <w:rFonts w:hint="eastAsia" w:ascii="仿宋" w:hAnsi="仿宋" w:eastAsia="仿宋" w:cs="Arial"/>
          <w:b/>
          <w:bCs/>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中心可以对招标文件进行修改。</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中心有权按照法定的要求推迟投标截止日期和开标日期。</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931"/>
        <w:ind w:firstLine="422"/>
        <w:keepLines/>
        <w:keepNext/>
        <w:spacing w:before="145" w:after="145" w:line="480" w:lineRule="exact"/>
        <w:rPr>
          <w:rFonts w:hint="eastAsia" w:ascii="仿宋" w:hAnsi="仿宋" w:eastAsia="仿宋"/>
          <w:b/>
          <w:bCs/>
          <w:color w:val="000000"/>
          <w:sz w:val="28"/>
          <w:szCs w:val="28"/>
        </w:rPr>
        <w:outlineLvl w:val="2"/>
      </w:pPr>
      <w:r/>
      <w:bookmarkStart w:id="81" w:name="_Toc462564072"/>
      <w:r/>
      <w:bookmarkStart w:id="82" w:name="_Toc120614216"/>
      <w:r/>
      <w:bookmarkStart w:id="83" w:name="_Toc513029213"/>
      <w:r/>
      <w:bookmarkStart w:id="84" w:name="_Toc20823285"/>
      <w:r/>
      <w:bookmarkStart w:id="85" w:name="_Toc16938529"/>
      <w:r>
        <w:rPr>
          <w:rFonts w:hint="eastAsia" w:ascii="仿宋" w:hAnsi="仿宋" w:eastAsia="仿宋"/>
          <w:b/>
          <w:bCs/>
          <w:color w:val="000000"/>
          <w:sz w:val="28"/>
          <w:szCs w:val="28"/>
        </w:rPr>
        <w:t xml:space="preserve">三、投标文件的编制</w:t>
      </w:r>
      <w:bookmarkEnd w:id="81"/>
      <w:r/>
      <w:bookmarkEnd w:id="82"/>
      <w:r/>
      <w:bookmarkEnd w:id="83"/>
      <w:r/>
      <w:bookmarkEnd w:id="84"/>
      <w:r/>
      <w:bookmarkEnd w:id="85"/>
      <w:r>
        <w:rPr>
          <w:rFonts w:hint="eastAsia" w:ascii="仿宋" w:hAnsi="仿宋" w:eastAsia="仿宋"/>
          <w:b/>
          <w:bCs/>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bookmarkStart w:id="86" w:name="_Toc513029214"/>
      <w:r/>
      <w:bookmarkStart w:id="87" w:name="_Toc462564073"/>
      <w:r/>
      <w:bookmarkStart w:id="88" w:name="_Toc16938530"/>
      <w:r/>
      <w:bookmarkStart w:id="89" w:name="_Toc20823286"/>
      <w:r>
        <w:rPr>
          <w:rFonts w:hint="eastAsia" w:ascii="仿宋" w:hAnsi="仿宋" w:eastAsia="仿宋" w:cs="Arial"/>
          <w:b/>
          <w:bCs/>
          <w:color w:val="000000"/>
          <w:sz w:val="28"/>
          <w:szCs w:val="28"/>
        </w:rPr>
        <w:t xml:space="preserve">9、投标文件的语言及度量衡单位</w:t>
      </w:r>
      <w:bookmarkEnd w:id="86"/>
      <w:r/>
      <w:bookmarkEnd w:id="87"/>
      <w:r/>
      <w:bookmarkEnd w:id="88"/>
      <w:r/>
      <w:bookmarkEnd w:id="89"/>
      <w:r>
        <w:rPr>
          <w:rFonts w:hint="eastAsia" w:ascii="仿宋" w:hAnsi="仿宋" w:eastAsia="仿宋" w:cs="Arial"/>
          <w:b/>
          <w:bCs/>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中心就有关投标的所有来往通知、函件和文件均应使用简体中文。</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bookmarkStart w:id="90" w:name="_Toc513029215"/>
      <w:r/>
      <w:bookmarkStart w:id="91" w:name="_Toc462564074"/>
      <w:r/>
      <w:bookmarkStart w:id="92" w:name="_Toc20823287"/>
      <w:r/>
      <w:bookmarkStart w:id="93" w:name="_Toc16938531"/>
      <w:r>
        <w:rPr>
          <w:rFonts w:hint="eastAsia" w:ascii="仿宋" w:hAnsi="仿宋" w:eastAsia="仿宋" w:cs="Arial"/>
          <w:b/>
          <w:bCs/>
          <w:color w:val="000000"/>
          <w:sz w:val="28"/>
          <w:szCs w:val="28"/>
        </w:rPr>
        <w:t xml:space="preserve">10、投标文件构成</w:t>
      </w:r>
      <w:bookmarkEnd w:id="90"/>
      <w:r/>
      <w:bookmarkEnd w:id="91"/>
      <w:r/>
      <w:bookmarkEnd w:id="92"/>
      <w:r/>
      <w:bookmarkEnd w:id="93"/>
      <w:r>
        <w:rPr>
          <w:rFonts w:hint="eastAsia" w:ascii="仿宋" w:hAnsi="仿宋" w:eastAsia="仿宋" w:cs="Arial"/>
          <w:b/>
          <w:bCs/>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bookmarkStart w:id="94" w:name="_Hlt26670360"/>
      <w:r/>
      <w:bookmarkEnd w:id="94"/>
      <w:r/>
      <w:bookmarkStart w:id="95" w:name="_Hlt26668975"/>
      <w:r/>
      <w:bookmarkEnd w:id="95"/>
      <w:r/>
      <w:bookmarkStart w:id="96" w:name="_Hlt26954838"/>
      <w:r/>
      <w:bookmarkEnd w:id="96"/>
      <w:r/>
      <w:bookmarkStart w:id="97" w:name="_Toc49090509"/>
      <w:r/>
      <w:bookmarkStart w:id="98" w:name="_Toc513029219"/>
      <w:r/>
      <w:bookmarkStart w:id="99" w:name="_Toc14577357"/>
      <w:r/>
      <w:bookmarkStart w:id="100" w:name="_Toc14577354"/>
      <w:r/>
      <w:bookmarkStart w:id="101" w:name="_Toc49090507"/>
      <w:r/>
      <w:bookmarkStart w:id="102" w:name="_Toc513029216"/>
      <w:r/>
      <w:bookmarkStart w:id="103" w:name="_Toc14577355"/>
      <w:r/>
      <w:bookmarkStart w:id="104" w:name="_Toc49090508"/>
      <w:r>
        <w:rPr>
          <w:rFonts w:hint="eastAsia" w:ascii="仿宋" w:hAnsi="仿宋" w:eastAsia="仿宋" w:cs="Arial"/>
          <w:b/>
          <w:bCs/>
          <w:color w:val="000000"/>
          <w:sz w:val="28"/>
          <w:szCs w:val="28"/>
        </w:rPr>
        <w:t xml:space="preserve">11、证明投标人及投标标的符合招标文件规定的文件</w:t>
      </w:r>
      <w:bookmarkEnd w:id="97"/>
      <w:r/>
      <w:bookmarkEnd w:id="98"/>
      <w:r/>
      <w:bookmarkEnd w:id="99"/>
      <w:r>
        <w:rPr>
          <w:rFonts w:hint="eastAsia" w:ascii="仿宋" w:hAnsi="仿宋" w:eastAsia="仿宋" w:cs="Arial"/>
          <w:b/>
          <w:bCs/>
          <w:color w:val="000000"/>
          <w:sz w:val="28"/>
          <w:szCs w:val="28"/>
        </w:rPr>
      </w:r>
      <w:r/>
    </w:p>
    <w:p>
      <w:pPr>
        <w:pStyle w:val="931"/>
        <w:spacing w:line="480" w:lineRule="exact"/>
        <w:rPr>
          <w:rFonts w:hint="eastAsia" w:ascii="仿宋" w:hAnsi="仿宋" w:eastAsia="仿宋"/>
          <w:color w:val="000000"/>
          <w:sz w:val="28"/>
          <w:szCs w:val="28"/>
        </w:rPr>
      </w:pPr>
      <w:r/>
      <w:bookmarkEnd w:id="100"/>
      <w:r/>
      <w:bookmarkEnd w:id="101"/>
      <w:r/>
      <w:bookmarkEnd w:id="102"/>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bookmarkEnd w:id="103"/>
      <w:r/>
      <w:bookmarkEnd w:id="104"/>
      <w:r>
        <w:rPr>
          <w:rFonts w:hint="eastAsia" w:ascii="仿宋" w:hAnsi="仿宋" w:eastAsia="仿宋" w:cs="Arial"/>
          <w:b/>
          <w:bCs/>
          <w:color w:val="000000"/>
          <w:sz w:val="28"/>
          <w:szCs w:val="28"/>
        </w:rPr>
        <w:t xml:space="preserve">12、投标分项报价表</w:t>
      </w:r>
      <w:r>
        <w:rPr>
          <w:rFonts w:hint="eastAsia" w:ascii="仿宋" w:hAnsi="仿宋" w:eastAsia="仿宋" w:cs="Arial"/>
          <w:b/>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bookmarkStart w:id="105" w:name="_Hlt26954848"/>
      <w:r/>
      <w:bookmarkEnd w:id="105"/>
      <w:r/>
      <w:bookmarkStart w:id="106" w:name="_Hlt26670482"/>
      <w:r/>
      <w:bookmarkEnd w:id="106"/>
      <w:r/>
      <w:bookmarkStart w:id="107" w:name="_Hlt26670486"/>
      <w:r/>
      <w:bookmarkEnd w:id="107"/>
      <w:r/>
      <w:bookmarkStart w:id="108" w:name="_Hlt26954731"/>
      <w:r/>
      <w:bookmarkEnd w:id="108"/>
      <w:r/>
      <w:bookmarkStart w:id="109" w:name="_Hlt26954846"/>
      <w:r/>
      <w:bookmarkEnd w:id="109"/>
      <w:r>
        <w:rPr>
          <w:rFonts w:hint="eastAsia" w:ascii="仿宋" w:hAnsi="仿宋" w:eastAsia="仿宋" w:cs="Arial"/>
          <w:b/>
          <w:bCs/>
          <w:color w:val="000000"/>
          <w:sz w:val="28"/>
          <w:szCs w:val="28"/>
        </w:rPr>
        <w:t xml:space="preserve">13、技术要求响应及偏离表、商务要求响应及偏离表</w:t>
      </w:r>
      <w:r>
        <w:rPr>
          <w:rFonts w:hint="eastAsia" w:ascii="仿宋" w:hAnsi="仿宋" w:eastAsia="仿宋" w:cs="Arial"/>
          <w:b/>
          <w:bCs/>
          <w:color w:val="000000"/>
          <w:sz w:val="28"/>
          <w:szCs w:val="28"/>
        </w:rPr>
      </w:r>
      <w:r/>
    </w:p>
    <w:p>
      <w:pPr>
        <w:pStyle w:val="931"/>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931"/>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93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14、服务承诺、培训计划、人员安排及其他</w:t>
      </w:r>
      <w:r>
        <w:rPr>
          <w:rFonts w:hint="eastAsia" w:ascii="仿宋" w:hAnsi="仿宋" w:eastAsia="仿宋" w:cs="Arial"/>
          <w:b/>
          <w:bCs/>
          <w:color w:val="000000"/>
          <w:sz w:val="28"/>
          <w:szCs w:val="28"/>
        </w:rPr>
      </w:r>
      <w:r/>
    </w:p>
    <w:p>
      <w:pPr>
        <w:pStyle w:val="931"/>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93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93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bookmarkStart w:id="110" w:name="_Toc14577359"/>
      <w:r/>
      <w:bookmarkStart w:id="111" w:name="_Toc49090510"/>
      <w:r>
        <w:rPr>
          <w:rFonts w:hint="eastAsia" w:ascii="仿宋" w:hAnsi="仿宋" w:eastAsia="仿宋" w:cs="Arial"/>
          <w:b/>
          <w:bCs/>
          <w:color w:val="000000"/>
          <w:sz w:val="28"/>
          <w:szCs w:val="28"/>
        </w:rPr>
        <w:t xml:space="preserve">15、投标函和开标一览表</w:t>
      </w:r>
      <w:r>
        <w:rPr>
          <w:rFonts w:hint="eastAsia" w:ascii="仿宋" w:hAnsi="仿宋" w:eastAsia="仿宋" w:cs="Arial"/>
          <w:b/>
          <w:bCs/>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bookmarkEnd w:id="110"/>
      <w:r/>
      <w:bookmarkEnd w:id="111"/>
      <w:r/>
      <w:bookmarkStart w:id="112" w:name="_Toc14577360"/>
      <w:r/>
      <w:bookmarkStart w:id="113" w:name="_Toc49090511"/>
      <w:r>
        <w:rPr>
          <w:rFonts w:hint="eastAsia" w:ascii="仿宋" w:hAnsi="仿宋" w:eastAsia="仿宋" w:cs="Arial"/>
          <w:b/>
          <w:bCs/>
          <w:color w:val="000000"/>
          <w:sz w:val="28"/>
          <w:szCs w:val="28"/>
        </w:rPr>
        <w:t xml:space="preserve">16、投标有效期</w:t>
      </w:r>
      <w:bookmarkEnd w:id="112"/>
      <w:r/>
      <w:bookmarkEnd w:id="113"/>
      <w:r>
        <w:rPr>
          <w:rFonts w:hint="eastAsia" w:ascii="仿宋" w:hAnsi="仿宋" w:eastAsia="仿宋" w:cs="Arial"/>
          <w:b/>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rPr>
          <w:rFonts w:hint="eastAsia" w:ascii="仿宋" w:hAnsi="仿宋" w:eastAsia="仿宋" w:cs="Arial"/>
          <w:b/>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931"/>
        <w:keepLines/>
        <w:keepNext/>
        <w:spacing w:before="145" w:after="145" w:line="480" w:lineRule="exact"/>
        <w:rPr>
          <w:rFonts w:hint="eastAsia" w:ascii="仿宋" w:hAnsi="仿宋" w:eastAsia="仿宋"/>
          <w:b/>
          <w:bCs/>
          <w:color w:val="000000"/>
          <w:sz w:val="28"/>
          <w:szCs w:val="28"/>
        </w:rPr>
        <w:outlineLvl w:val="2"/>
      </w:pPr>
      <w:r/>
      <w:bookmarkStart w:id="114" w:name="_Hlt26954852"/>
      <w:r/>
      <w:bookmarkEnd w:id="114"/>
      <w:r/>
      <w:bookmarkStart w:id="115" w:name="_Hlt26954739"/>
      <w:r/>
      <w:bookmarkEnd w:id="115"/>
      <w:r/>
      <w:bookmarkStart w:id="116" w:name="_Toc120614217"/>
      <w:r/>
      <w:bookmarkStart w:id="117" w:name="_Toc16938540"/>
      <w:r/>
      <w:bookmarkStart w:id="118" w:name="_Toc20823296"/>
      <w:r/>
      <w:bookmarkStart w:id="119" w:name="_Toc513029224"/>
      <w:r>
        <w:rPr>
          <w:rFonts w:hint="eastAsia" w:ascii="仿宋" w:hAnsi="仿宋" w:eastAsia="仿宋"/>
          <w:b/>
          <w:bCs/>
          <w:color w:val="000000"/>
          <w:sz w:val="28"/>
          <w:szCs w:val="28"/>
        </w:rPr>
        <w:t xml:space="preserve">四、投标文件的递交</w:t>
      </w:r>
      <w:bookmarkEnd w:id="116"/>
      <w:r/>
      <w:bookmarkEnd w:id="117"/>
      <w:r/>
      <w:bookmarkEnd w:id="118"/>
      <w:r/>
      <w:bookmarkEnd w:id="119"/>
      <w:r>
        <w:rPr>
          <w:rFonts w:hint="eastAsia" w:ascii="仿宋" w:hAnsi="仿宋" w:eastAsia="仿宋"/>
          <w:b/>
          <w:bCs/>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bookmarkStart w:id="120" w:name="_Toc462564084"/>
      <w:r/>
      <w:bookmarkStart w:id="121" w:name="_Toc16938541"/>
      <w:r/>
      <w:bookmarkStart w:id="122" w:name="_Toc20823297"/>
      <w:r/>
      <w:bookmarkStart w:id="123" w:name="_Toc513029225"/>
      <w:r>
        <w:rPr>
          <w:rFonts w:hint="eastAsia" w:ascii="仿宋" w:hAnsi="仿宋" w:eastAsia="仿宋" w:cs="Arial"/>
          <w:b/>
          <w:bCs/>
          <w:color w:val="000000"/>
          <w:sz w:val="28"/>
          <w:szCs w:val="28"/>
        </w:rPr>
        <w:t xml:space="preserve">18、电子投标文件</w:t>
      </w:r>
      <w:bookmarkEnd w:id="120"/>
      <w:r/>
      <w:bookmarkEnd w:id="121"/>
      <w:r/>
      <w:bookmarkEnd w:id="122"/>
      <w:r/>
      <w:bookmarkEnd w:id="123"/>
      <w:r>
        <w:rPr>
          <w:rFonts w:hint="eastAsia" w:ascii="仿宋" w:hAnsi="仿宋" w:eastAsia="仿宋" w:cs="Arial"/>
          <w:b/>
          <w:bCs/>
          <w:color w:val="000000"/>
          <w:sz w:val="28"/>
          <w:szCs w:val="28"/>
        </w:rPr>
        <w:t xml:space="preserve">的递交</w:t>
      </w:r>
      <w:r>
        <w:rPr>
          <w:rFonts w:hint="eastAsia" w:ascii="仿宋" w:hAnsi="仿宋" w:eastAsia="仿宋" w:cs="Arial"/>
          <w:b/>
          <w:bCs/>
          <w:color w:val="000000"/>
          <w:sz w:val="28"/>
          <w:szCs w:val="28"/>
        </w:rPr>
      </w:r>
      <w:r/>
    </w:p>
    <w:p>
      <w:pPr>
        <w:pStyle w:val="931"/>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24" w:name="_Toc20823298"/>
      <w:r/>
      <w:bookmarkStart w:id="125" w:name="_Toc513029226"/>
      <w:r/>
      <w:bookmarkStart w:id="126" w:name="_Toc16938542"/>
      <w:r>
        <w:rPr>
          <w:rFonts w:hint="eastAsia" w:ascii="仿宋" w:hAnsi="仿宋" w:eastAsia="仿宋" w:cs="Arial"/>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24"/>
      <w:r/>
      <w:bookmarkEnd w:id="125"/>
      <w:r/>
      <w:bookmarkEnd w:id="126"/>
      <w:r>
        <w:rPr>
          <w:rFonts w:hint="eastAsia" w:ascii="仿宋" w:hAnsi="仿宋" w:eastAsia="仿宋" w:cs="Arial"/>
          <w:b/>
          <w:bCs/>
          <w:color w:val="000000"/>
          <w:sz w:val="28"/>
          <w:szCs w:val="28"/>
        </w:rPr>
      </w:r>
      <w:r/>
    </w:p>
    <w:p>
      <w:pPr>
        <w:pStyle w:val="931"/>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.1.2条规定</w:t>
      </w:r>
      <w:r>
        <w:rPr>
          <w:rFonts w:hint="eastAsia" w:ascii="仿宋" w:hAnsi="仿宋" w:eastAsia="仿宋"/>
          <w:bCs/>
          <w:color w:val="000000"/>
          <w:sz w:val="28"/>
          <w:szCs w:val="28"/>
          <w:lang w:val="en-US" w:eastAsia="zh-CN"/>
        </w:rPr>
        <w:t xml:space="preserve">作</w:t>
      </w:r>
      <w:r>
        <w:rPr>
          <w:rFonts w:hint="eastAsia" w:ascii="仿宋" w:hAnsi="仿宋" w:eastAsia="仿宋"/>
          <w:bCs/>
          <w:color w:val="000000"/>
          <w:sz w:val="28"/>
          <w:szCs w:val="28"/>
        </w:rPr>
        <w:t xml:space="preserve">无效投标处理。</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bookmarkStart w:id="127" w:name="_Toc513029227"/>
      <w:r/>
      <w:bookmarkStart w:id="128" w:name="_Toc20823299"/>
      <w:r/>
      <w:bookmarkStart w:id="129" w:name="_Toc16938543"/>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27"/>
      <w:r/>
      <w:bookmarkEnd w:id="128"/>
      <w:r/>
      <w:bookmarkEnd w:id="129"/>
      <w:r>
        <w:rPr>
          <w:rFonts w:hint="eastAsia" w:ascii="仿宋" w:hAnsi="仿宋" w:eastAsia="仿宋" w:cs="Arial"/>
          <w:b/>
          <w:bCs/>
          <w:color w:val="000000"/>
          <w:sz w:val="28"/>
          <w:szCs w:val="28"/>
        </w:rPr>
        <w:t xml:space="preserve">的拒收</w:t>
      </w:r>
      <w:r>
        <w:rPr>
          <w:rFonts w:hint="eastAsia" w:ascii="仿宋" w:hAnsi="仿宋" w:eastAsia="仿宋" w:cs="Arial"/>
          <w:b/>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中心拒绝接收在其规定的投标截止时间后上传的任何投标文件。</w:t>
      </w:r>
      <w:r>
        <w:rPr>
          <w:rFonts w:hint="eastAsia" w:ascii="仿宋" w:hAnsi="仿宋" w:eastAsia="仿宋"/>
          <w:bCs/>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bookmarkStart w:id="130" w:name="_Toc16938544"/>
      <w:r/>
      <w:bookmarkStart w:id="131" w:name="_Toc20823300"/>
      <w:r/>
      <w:bookmarkStart w:id="132" w:name="_Toc513029228"/>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0"/>
      <w:r/>
      <w:bookmarkEnd w:id="131"/>
      <w:r/>
      <w:bookmarkEnd w:id="132"/>
      <w:r>
        <w:rPr>
          <w:rFonts w:hint="eastAsia" w:ascii="仿宋" w:hAnsi="仿宋" w:eastAsia="仿宋" w:cs="Arial"/>
          <w:b/>
          <w:bCs/>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931"/>
        <w:ind w:firstLine="422"/>
        <w:keepLines/>
        <w:keepNext/>
        <w:spacing w:before="145" w:after="145" w:line="480" w:lineRule="exact"/>
        <w:rPr>
          <w:rFonts w:hint="eastAsia" w:ascii="仿宋" w:hAnsi="仿宋" w:eastAsia="仿宋"/>
          <w:b/>
          <w:bCs/>
          <w:color w:val="000000"/>
          <w:sz w:val="28"/>
          <w:szCs w:val="28"/>
        </w:rPr>
        <w:outlineLvl w:val="2"/>
      </w:pPr>
      <w:r/>
      <w:bookmarkStart w:id="133" w:name="_Toc16938545"/>
      <w:r/>
      <w:bookmarkStart w:id="134" w:name="_Toc20823301"/>
      <w:r/>
      <w:bookmarkStart w:id="135" w:name="_Toc120614218"/>
      <w:r/>
      <w:bookmarkStart w:id="136" w:name="_Toc513029229"/>
      <w:r>
        <w:rPr>
          <w:rFonts w:hint="eastAsia" w:ascii="仿宋" w:hAnsi="仿宋" w:eastAsia="仿宋"/>
          <w:b/>
          <w:bCs/>
          <w:color w:val="000000"/>
          <w:sz w:val="28"/>
          <w:szCs w:val="28"/>
        </w:rPr>
        <w:t xml:space="preserve">五、开标与评标</w:t>
      </w:r>
      <w:bookmarkEnd w:id="133"/>
      <w:r/>
      <w:bookmarkEnd w:id="134"/>
      <w:r/>
      <w:bookmarkEnd w:id="135"/>
      <w:r/>
      <w:bookmarkEnd w:id="136"/>
      <w:r>
        <w:rPr>
          <w:rFonts w:hint="eastAsia" w:ascii="仿宋" w:hAnsi="仿宋" w:eastAsia="仿宋"/>
          <w:b/>
          <w:bCs/>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bookmarkStart w:id="137" w:name="_Toc16938546"/>
      <w:r/>
      <w:bookmarkStart w:id="138" w:name="_Toc513029230"/>
      <w:r/>
      <w:bookmarkStart w:id="139" w:name="_Toc20823302"/>
      <w:r>
        <w:rPr>
          <w:rFonts w:hint="eastAsia" w:ascii="仿宋" w:hAnsi="仿宋" w:eastAsia="仿宋" w:cs="Arial"/>
          <w:b/>
          <w:bCs/>
          <w:color w:val="000000"/>
          <w:sz w:val="28"/>
          <w:szCs w:val="28"/>
        </w:rPr>
        <w:t xml:space="preserve">22、开标</w:t>
      </w:r>
      <w:bookmarkEnd w:id="137"/>
      <w:r/>
      <w:bookmarkEnd w:id="138"/>
      <w:r/>
      <w:bookmarkEnd w:id="139"/>
      <w:r>
        <w:rPr>
          <w:rFonts w:hint="eastAsia" w:ascii="仿宋" w:hAnsi="仿宋" w:eastAsia="仿宋" w:cs="Arial"/>
          <w:b/>
          <w:bCs/>
          <w:color w:val="000000"/>
          <w:sz w:val="28"/>
          <w:szCs w:val="28"/>
        </w:rPr>
      </w:r>
      <w:r/>
    </w:p>
    <w:p>
      <w:pPr>
        <w:pStyle w:val="93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交易</w:t>
      </w:r>
      <w:r>
        <w:rPr>
          <w:rFonts w:hint="eastAsia" w:ascii="仿宋" w:hAnsi="仿宋" w:eastAsia="仿宋"/>
          <w:bCs/>
          <w:sz w:val="28"/>
          <w:szCs w:val="28"/>
        </w:rPr>
        <w:t xml:space="preserve">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931"/>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931"/>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931"/>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31"/>
        <w:keepLines/>
        <w:keepNext/>
        <w:spacing w:line="480" w:lineRule="exact"/>
        <w:rPr>
          <w:rFonts w:hint="eastAsia" w:ascii="仿宋" w:hAnsi="仿宋" w:eastAsia="仿宋" w:cs="Arial"/>
          <w:b/>
          <w:bCs/>
          <w:color w:val="000000"/>
          <w:sz w:val="28"/>
          <w:szCs w:val="28"/>
        </w:rPr>
        <w:outlineLvl w:val="3"/>
      </w:pPr>
      <w:r/>
      <w:bookmarkStart w:id="140" w:name="_Toc513029231"/>
      <w:r/>
      <w:bookmarkStart w:id="141" w:name="_Toc16938547"/>
      <w:r/>
      <w:bookmarkStart w:id="142" w:name="_Toc20823303"/>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rPr>
          <w:rFonts w:hint="eastAsia" w:ascii="仿宋" w:hAnsi="仿宋" w:eastAsia="仿宋" w:cs="Arial"/>
          <w:b/>
          <w:bCs/>
          <w:color w:val="000000"/>
          <w:sz w:val="28"/>
          <w:szCs w:val="28"/>
        </w:rPr>
      </w:r>
      <w:r/>
    </w:p>
    <w:p>
      <w:pPr>
        <w:pStyle w:val="93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中心将立即组织评标委员会（以下简称评委会）进行评标。</w:t>
      </w:r>
      <w:r>
        <w:rPr>
          <w:rFonts w:hint="eastAsia" w:ascii="仿宋" w:hAnsi="仿宋" w:eastAsia="仿宋"/>
          <w:b/>
          <w:color w:val="000000"/>
          <w:sz w:val="28"/>
          <w:szCs w:val="28"/>
        </w:rPr>
      </w:r>
      <w:r/>
    </w:p>
    <w:p>
      <w:pPr>
        <w:pStyle w:val="93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93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w:t>
      </w:r>
      <w:r>
        <w:rPr>
          <w:rFonts w:hint="eastAsia" w:ascii="仿宋" w:hAnsi="仿宋" w:eastAsia="仿宋"/>
          <w:color w:val="000000"/>
          <w:sz w:val="28"/>
          <w:szCs w:val="28"/>
          <w:lang w:eastAsia="zh-CN"/>
        </w:rPr>
        <w:t xml:space="preserve">候</w:t>
      </w:r>
      <w:r>
        <w:rPr>
          <w:rFonts w:hint="eastAsia" w:ascii="仿宋" w:hAnsi="仿宋" w:eastAsia="仿宋"/>
          <w:color w:val="000000"/>
          <w:sz w:val="28"/>
          <w:szCs w:val="28"/>
        </w:rPr>
        <w:t xml:space="preserve">选人。</w:t>
      </w:r>
      <w:r>
        <w:rPr>
          <w:rFonts w:hint="eastAsia" w:ascii="仿宋" w:hAnsi="仿宋" w:eastAsia="仿宋"/>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r>
        <w:rPr>
          <w:rFonts w:hint="eastAsia" w:ascii="仿宋" w:hAnsi="仿宋" w:eastAsia="仿宋" w:cs="Arial"/>
          <w:b/>
          <w:bCs/>
          <w:color w:val="000000"/>
          <w:sz w:val="28"/>
          <w:szCs w:val="28"/>
        </w:rPr>
      </w:r>
      <w:r/>
    </w:p>
    <w:p>
      <w:pPr>
        <w:pStyle w:val="931"/>
        <w:ind w:firstLine="560"/>
        <w:spacing w:line="480" w:lineRule="exact"/>
        <w:rPr>
          <w:rFonts w:hint="eastAsia" w:ascii="仿宋" w:hAnsi="仿宋" w:eastAsia="仿宋"/>
          <w:bCs/>
          <w:color w:val="000000"/>
          <w:sz w:val="28"/>
          <w:szCs w:val="28"/>
        </w:rPr>
      </w:pPr>
      <w:r/>
      <w:bookmarkEnd w:id="140"/>
      <w:r/>
      <w:bookmarkEnd w:id="141"/>
      <w:r/>
      <w:bookmarkEnd w:id="142"/>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中心均不得向投标人或与评标无关的其他人员透露。</w:t>
      </w:r>
      <w:r>
        <w:rPr>
          <w:rFonts w:hint="eastAsia" w:ascii="仿宋" w:hAnsi="仿宋" w:eastAsia="仿宋"/>
          <w:bCs/>
          <w:color w:val="000000"/>
          <w:sz w:val="28"/>
          <w:szCs w:val="28"/>
        </w:rPr>
      </w:r>
      <w:r/>
    </w:p>
    <w:p>
      <w:pPr>
        <w:pStyle w:val="931"/>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931"/>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交易</w:t>
      </w:r>
      <w:r>
        <w:rPr>
          <w:rFonts w:hint="eastAsia" w:ascii="仿宋" w:hAnsi="仿宋" w:eastAsia="仿宋"/>
          <w:b/>
          <w:color w:val="000000"/>
          <w:sz w:val="28"/>
          <w:szCs w:val="28"/>
        </w:rPr>
        <w:t xml:space="preserve">中心和评标委员会不向未中标的投标人解释未中标原因，也不公布评标过程中的相关细节。</w:t>
      </w:r>
      <w:r>
        <w:rPr>
          <w:rFonts w:hint="eastAsia" w:ascii="仿宋" w:hAnsi="仿宋" w:eastAsia="仿宋"/>
          <w:b/>
          <w:color w:val="000000"/>
          <w:sz w:val="28"/>
          <w:szCs w:val="28"/>
        </w:rPr>
      </w:r>
      <w:r/>
    </w:p>
    <w:p>
      <w:pPr>
        <w:pStyle w:val="931"/>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931"/>
        <w:keepLines/>
        <w:keepNext/>
        <w:spacing w:line="480" w:lineRule="exact"/>
        <w:rPr>
          <w:rFonts w:hint="eastAsia" w:ascii="仿宋" w:hAnsi="仿宋" w:eastAsia="仿宋" w:cs="Arial"/>
          <w:b/>
          <w:bCs/>
          <w:color w:val="000000"/>
          <w:sz w:val="28"/>
          <w:szCs w:val="28"/>
        </w:rPr>
        <w:outlineLvl w:val="3"/>
      </w:pPr>
      <w:r/>
      <w:bookmarkStart w:id="143" w:name="_Toc20823304"/>
      <w:r/>
      <w:bookmarkStart w:id="144" w:name="_Toc16938548"/>
      <w:r/>
      <w:bookmarkStart w:id="145" w:name="_Toc513029232"/>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43"/>
      <w:r/>
      <w:bookmarkEnd w:id="144"/>
      <w:r/>
      <w:bookmarkEnd w:id="145"/>
      <w:r>
        <w:rPr>
          <w:rFonts w:hint="eastAsia" w:ascii="仿宋" w:hAnsi="仿宋" w:eastAsia="仿宋" w:cs="Arial"/>
          <w:b/>
          <w:bCs/>
          <w:color w:val="000000"/>
          <w:sz w:val="28"/>
          <w:szCs w:val="28"/>
        </w:rPr>
      </w:r>
      <w:r/>
    </w:p>
    <w:p>
      <w:pPr>
        <w:pStyle w:val="931"/>
        <w:ind w:firstLine="560"/>
        <w:spacing w:line="480" w:lineRule="exact"/>
        <w:rPr>
          <w:rFonts w:ascii="仿宋" w:hAnsi="仿宋" w:eastAsia="仿宋"/>
          <w:color w:val="000000"/>
          <w:sz w:val="28"/>
          <w:szCs w:val="28"/>
        </w:rPr>
      </w:pPr>
      <w:r/>
      <w:bookmarkStart w:id="146" w:name="_Toc20823305"/>
      <w:r/>
      <w:bookmarkStart w:id="147" w:name="_Toc16938549"/>
      <w:r/>
      <w:bookmarkStart w:id="148" w:name="_Toc513029233"/>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31"/>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3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93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46"/>
      <w:r/>
      <w:bookmarkEnd w:id="147"/>
      <w:r/>
      <w:bookmarkEnd w:id="148"/>
      <w:r>
        <w:rPr>
          <w:rFonts w:hint="eastAsia" w:ascii="仿宋" w:hAnsi="仿宋" w:eastAsia="仿宋" w:cs="Arial"/>
          <w:b/>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93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93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color w:val="000000"/>
          <w:sz w:val="28"/>
          <w:szCs w:val="28"/>
          <w:lang w:val="en-US" w:eastAsia="zh-CN"/>
        </w:rPr>
        <w:t xml:space="preserve">信用</w:t>
      </w:r>
      <w:r>
        <w:rPr>
          <w:rFonts w:hint="eastAsia" w:ascii="仿宋" w:hAnsi="仿宋" w:eastAsia="仿宋"/>
          <w:bCs/>
          <w:color w:val="000000"/>
          <w:sz w:val="28"/>
          <w:szCs w:val="28"/>
        </w:rPr>
        <w:t xml:space="preserve">记录。</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931"/>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中心将不再告知未通过资格审查或符合性审查的原因。</w:t>
      </w:r>
      <w:r>
        <w:rPr>
          <w:rFonts w:hint="eastAsia" w:ascii="仿宋" w:hAnsi="仿宋" w:eastAsia="仿宋"/>
          <w:b/>
          <w:bCs/>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93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93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93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931"/>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931"/>
        <w:ind w:firstLine="560"/>
        <w:spacing w:line="480" w:lineRule="exact"/>
        <w:rPr>
          <w:rFonts w:ascii="仿宋" w:hAnsi="仿宋" w:eastAsia="仿宋"/>
          <w:color w:val="000000"/>
          <w:sz w:val="28"/>
          <w:szCs w:val="28"/>
        </w:rPr>
      </w:pPr>
      <w:r/>
      <w:bookmarkStart w:id="149" w:name="_Toc20823306"/>
      <w:r/>
      <w:bookmarkStart w:id="150" w:name="_Toc16938550"/>
      <w:r/>
      <w:bookmarkStart w:id="151" w:name="_Toc513029234"/>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931"/>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93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中心及评标委员会联系。</w:t>
      </w:r>
      <w:r>
        <w:rPr>
          <w:rFonts w:hint="eastAsia" w:ascii="仿宋" w:hAnsi="仿宋" w:eastAsia="仿宋"/>
          <w:sz w:val="28"/>
          <w:szCs w:val="28"/>
        </w:rPr>
      </w:r>
      <w:r/>
    </w:p>
    <w:p>
      <w:pPr>
        <w:pStyle w:val="997"/>
        <w:numPr>
          <w:ilvl w:val="0"/>
          <w:numId w:val="0"/>
        </w:numPr>
        <w:rPr>
          <w:rFonts w:hint="eastAsia" w:ascii="仿宋" w:hAnsi="仿宋" w:eastAsia="仿宋"/>
          <w:b/>
          <w:bCs/>
          <w:color w:val="000000"/>
          <w:sz w:val="28"/>
          <w:szCs w:val="28"/>
          <w:highlight w:val="none"/>
          <w:lang w:val="en-US" w:eastAsia="zh-CN"/>
        </w:rPr>
      </w:pPr>
      <w:r>
        <w:rPr>
          <w:rFonts w:hint="eastAsia" w:ascii="仿宋" w:hAnsi="仿宋" w:eastAsia="仿宋"/>
          <w:b/>
          <w:bCs/>
          <w:color w:val="000000"/>
          <w:sz w:val="28"/>
          <w:szCs w:val="28"/>
          <w:highlight w:val="none"/>
          <w:lang w:val="en-US" w:eastAsia="zh-CN"/>
        </w:rPr>
        <w:t xml:space="preserve">27、异常低价审查</w:t>
      </w:r>
      <w:r>
        <w:rPr>
          <w:rFonts w:hint="eastAsia" w:ascii="仿宋" w:hAnsi="仿宋" w:eastAsia="仿宋"/>
          <w:b/>
          <w:bCs/>
          <w:color w:val="000000"/>
          <w:sz w:val="28"/>
          <w:szCs w:val="28"/>
          <w:highlight w:val="none"/>
          <w:lang w:val="en-US" w:eastAsia="zh-CN"/>
        </w:rPr>
      </w:r>
      <w:r/>
    </w:p>
    <w:p>
      <w:pPr>
        <w:pStyle w:val="93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27.1 评标过程中出现下列情形之一的，评标委员会应当启动异常低价投标审查程序：</w:t>
      </w:r>
      <w:r>
        <w:rPr>
          <w:rFonts w:hint="eastAsia" w:ascii="仿宋" w:hAnsi="仿宋" w:eastAsia="仿宋" w:cs="Times New Roman"/>
          <w:color w:val="000000"/>
          <w:sz w:val="28"/>
          <w:szCs w:val="28"/>
          <w:lang w:val="en-US" w:eastAsia="zh-CN"/>
        </w:rPr>
      </w:r>
      <w:r/>
    </w:p>
    <w:p>
      <w:pPr>
        <w:pStyle w:val="93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（1）投标报价低于全部通过符合性审查供应商投标报价平均值50%的，即投标报价&lt;全部通过符合性审查供应商投标报价平均值×50%；</w:t>
      </w:r>
      <w:r>
        <w:rPr>
          <w:rFonts w:hint="eastAsia" w:ascii="仿宋" w:hAnsi="仿宋" w:eastAsia="仿宋" w:cs="Times New Roman"/>
          <w:color w:val="000000"/>
          <w:sz w:val="28"/>
          <w:szCs w:val="28"/>
          <w:lang w:val="en-US" w:eastAsia="zh-CN"/>
        </w:rPr>
      </w:r>
      <w:r/>
    </w:p>
    <w:p>
      <w:pPr>
        <w:pStyle w:val="93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（2）投标报价低于通过符合性审查的次低报价供应商投标报价50%的，即投标报价&lt;通过符合性审查的次低报价供应商投标报价×50%；</w:t>
      </w:r>
      <w:r>
        <w:rPr>
          <w:rFonts w:hint="eastAsia" w:ascii="仿宋" w:hAnsi="仿宋" w:eastAsia="仿宋" w:cs="Times New Roman"/>
          <w:color w:val="000000"/>
          <w:sz w:val="28"/>
          <w:szCs w:val="28"/>
          <w:lang w:val="en-US" w:eastAsia="zh-CN"/>
        </w:rPr>
      </w:r>
      <w:r/>
    </w:p>
    <w:p>
      <w:pPr>
        <w:pStyle w:val="93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（3）投标报价低于采购项目最高限价45%的，即投标报价&lt;采购项目最高限价×45%；</w:t>
      </w:r>
      <w:r>
        <w:rPr>
          <w:rFonts w:hint="eastAsia" w:ascii="仿宋" w:hAnsi="仿宋" w:eastAsia="仿宋" w:cs="Times New Roman"/>
          <w:color w:val="000000"/>
          <w:sz w:val="28"/>
          <w:szCs w:val="28"/>
          <w:lang w:val="en-US" w:eastAsia="zh-CN"/>
        </w:rPr>
      </w:r>
      <w:r/>
    </w:p>
    <w:p>
      <w:pPr>
        <w:pStyle w:val="93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（4）评标委员会基于专业判断，认为供应商报价过低，有可能影响产品质量或者不能诚信履约的其他情形。</w:t>
      </w:r>
      <w:r>
        <w:rPr>
          <w:rFonts w:hint="eastAsia" w:ascii="仿宋" w:hAnsi="仿宋" w:eastAsia="仿宋" w:cs="Times New Roman"/>
          <w:color w:val="000000"/>
          <w:sz w:val="28"/>
          <w:szCs w:val="28"/>
          <w:lang w:val="en-US" w:eastAsia="zh-CN"/>
        </w:rPr>
      </w:r>
      <w:r/>
    </w:p>
    <w:p>
      <w:pPr>
        <w:pStyle w:val="93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仿宋" w:hAnsi="仿宋" w:eastAsia="仿宋" w:cs="Times New Roman"/>
          <w:color w:val="000000"/>
          <w:sz w:val="28"/>
          <w:szCs w:val="28"/>
          <w:lang w:val="en-US" w:eastAsia="zh-CN"/>
        </w:rPr>
      </w:r>
      <w:r/>
    </w:p>
    <w:p>
      <w:pPr>
        <w:pStyle w:val="93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仿宋" w:hAnsi="仿宋" w:eastAsia="仿宋" w:cs="Times New Roman"/>
          <w:color w:val="000000"/>
          <w:sz w:val="28"/>
          <w:szCs w:val="28"/>
          <w:lang w:val="en-US" w:eastAsia="zh-CN"/>
        </w:rPr>
      </w:r>
      <w:r/>
    </w:p>
    <w:p>
      <w:pPr>
        <w:pStyle w:val="93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27.3异常低价投标（响应）审查的启动原因、审查意见和审查结果应当在评审报告中记录。</w:t>
      </w:r>
      <w:r>
        <w:rPr>
          <w:rFonts w:hint="eastAsia" w:ascii="仿宋" w:hAnsi="仿宋" w:eastAsia="仿宋" w:cs="Times New Roman"/>
          <w:color w:val="000000"/>
          <w:sz w:val="28"/>
          <w:szCs w:val="28"/>
          <w:lang w:val="en-US" w:eastAsia="zh-CN"/>
        </w:rPr>
      </w:r>
      <w:r/>
    </w:p>
    <w:p>
      <w:pPr>
        <w:pStyle w:val="93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hint="eastAsia" w:ascii="仿宋" w:hAnsi="仿宋" w:eastAsia="仿宋" w:cs="Arial"/>
          <w:b/>
          <w:bCs/>
          <w:color w:val="000000"/>
          <w:sz w:val="28"/>
          <w:szCs w:val="28"/>
          <w:lang w:val="en-US" w:eastAsia="zh-CN"/>
        </w:rPr>
        <w:t xml:space="preserve">8</w:t>
      </w:r>
      <w:r>
        <w:rPr>
          <w:rFonts w:hint="eastAsia" w:ascii="仿宋" w:hAnsi="仿宋" w:eastAsia="仿宋" w:cs="Arial"/>
          <w:b/>
          <w:bCs/>
          <w:color w:val="000000"/>
          <w:sz w:val="28"/>
          <w:szCs w:val="28"/>
        </w:rPr>
        <w:t xml:space="preserve">、</w:t>
      </w:r>
      <w:bookmarkEnd w:id="149"/>
      <w:r/>
      <w:bookmarkEnd w:id="150"/>
      <w:r/>
      <w:bookmarkEnd w:id="151"/>
      <w:r>
        <w:rPr>
          <w:rFonts w:hint="eastAsia" w:ascii="仿宋" w:hAnsi="仿宋" w:eastAsia="仿宋" w:cs="Arial"/>
          <w:b/>
          <w:bCs/>
          <w:color w:val="000000"/>
          <w:sz w:val="28"/>
          <w:szCs w:val="28"/>
        </w:rPr>
        <w:t xml:space="preserve">无效投标条款和废标条款</w:t>
      </w:r>
      <w:r>
        <w:rPr>
          <w:rFonts w:hint="eastAsia" w:ascii="仿宋" w:hAnsi="仿宋" w:eastAsia="仿宋" w:cs="Arial"/>
          <w:b/>
          <w:bCs/>
          <w:color w:val="000000"/>
          <w:sz w:val="28"/>
          <w:szCs w:val="28"/>
        </w:rPr>
      </w:r>
      <w:r/>
    </w:p>
    <w:p>
      <w:pPr>
        <w:pStyle w:val="931"/>
        <w:ind w:firstLine="560"/>
        <w:spacing w:line="480" w:lineRule="exact"/>
        <w:rPr>
          <w:rFonts w:hint="eastAsia" w:ascii="仿宋" w:hAnsi="仿宋" w:eastAsia="仿宋"/>
          <w:bCs/>
          <w:color w:val="000000"/>
          <w:sz w:val="28"/>
          <w:szCs w:val="28"/>
        </w:rPr>
      </w:pPr>
      <w:r/>
      <w:bookmarkStart w:id="152" w:name="_Toc16938551"/>
      <w:r/>
      <w:bookmarkStart w:id="153" w:name="_Toc20823307"/>
      <w:r/>
      <w:bookmarkStart w:id="154" w:name="_Toc513029235"/>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931"/>
        <w:ind w:firstLine="560"/>
        <w:spacing w:line="480" w:lineRule="exact"/>
        <w:rPr>
          <w:rFonts w:hint="eastAsia"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lang w:val="en-US" w:eastAsia="zh-CN"/>
        </w:rPr>
        <w:t xml:space="preserve">28.1.11 </w:t>
      </w:r>
      <w:r>
        <w:rPr>
          <w:rFonts w:hint="eastAsia" w:ascii="Times New Roman" w:hAnsi="Times New Roman" w:eastAsia="方正仿宋_GBK" w:cs="Times New Roman"/>
          <w:bCs/>
          <w:color w:val="000000"/>
          <w:sz w:val="28"/>
          <w:szCs w:val="28"/>
          <w:highlight w:val="none"/>
          <w:lang w:val="en-US" w:eastAsia="zh-CN"/>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Times New Roman" w:hAnsi="Times New Roman" w:eastAsia="方正仿宋_GBK" w:cs="Times New Roman"/>
          <w:bCs/>
          <w:color w:val="000000"/>
          <w:sz w:val="28"/>
          <w:szCs w:val="28"/>
          <w:highlight w:val="none"/>
          <w:lang w:val="en-US" w:eastAsia="zh-CN"/>
        </w:rPr>
      </w:r>
      <w:r/>
    </w:p>
    <w:p>
      <w:pPr>
        <w:pStyle w:val="931"/>
        <w:ind w:firstLine="560"/>
        <w:spacing w:line="480" w:lineRule="exact"/>
        <w:rPr>
          <w:rFonts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lang w:val="en-US" w:eastAsia="zh-CN"/>
        </w:rPr>
        <w:t xml:space="preserve">28.1.12 </w:t>
      </w:r>
      <w:r>
        <w:rPr>
          <w:rFonts w:hint="eastAsia" w:ascii="仿宋" w:hAnsi="仿宋" w:eastAsia="仿宋"/>
          <w:bCs/>
          <w:color w:val="000000"/>
          <w:sz w:val="28"/>
          <w:szCs w:val="28"/>
        </w:rPr>
        <w:t xml:space="preserve">投标文件未按照招标文件要求加盖CA电子公章的。</w:t>
      </w:r>
      <w:r>
        <w:rPr>
          <w:rFonts w:ascii="Times New Roman" w:hAnsi="Times New Roman" w:eastAsia="方正仿宋_GBK" w:cs="Times New Roman"/>
          <w:bCs/>
          <w:color w:val="000000"/>
          <w:sz w:val="28"/>
          <w:szCs w:val="28"/>
          <w:highlight w:val="none"/>
          <w:lang w:val="en-US" w:eastAsia="zh-CN"/>
        </w:rPr>
      </w:r>
      <w:r/>
    </w:p>
    <w:p>
      <w:pPr>
        <w:pStyle w:val="931"/>
        <w:ind w:firstLine="560"/>
        <w:spacing w:line="480" w:lineRule="exact"/>
        <w:rPr>
          <w:rFonts w:hint="eastAsia" w:ascii="仿宋" w:hAnsi="仿宋" w:eastAsia="仿宋"/>
          <w:bCs/>
          <w:color w:val="000000"/>
          <w:sz w:val="28"/>
          <w:szCs w:val="28"/>
          <w:lang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rPr>
        <w:t xml:space="preserve"> 投标人所投标产品不符合招标文件中所列国家强制性标准的</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lang w:eastAsia="zh-CN"/>
        </w:rPr>
      </w:r>
      <w:r/>
    </w:p>
    <w:p>
      <w:pPr>
        <w:pStyle w:val="931"/>
        <w:ind w:firstLine="560"/>
        <w:spacing w:line="480" w:lineRule="exact"/>
        <w:rPr>
          <w:rFonts w:hint="eastAsia"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28.1.14</w:t>
      </w:r>
      <w:r>
        <w:rPr>
          <w:rFonts w:hint="eastAsia" w:ascii="Times New Roman" w:hAnsi="Times New Roman" w:eastAsia="方正仿宋_GBK" w:cs="Times New Roman"/>
          <w:bCs/>
          <w:color w:val="000000"/>
          <w:sz w:val="28"/>
          <w:szCs w:val="28"/>
          <w:highlight w:val="none"/>
          <w:lang w:val="en-US" w:eastAsia="zh-CN"/>
        </w:rPr>
        <w:t xml:space="preserve">启动异常低价投标审查后,投标人不提供书面说明、证明材料，或者提供的书面说明、证明材料不能证明其报价合理性的。</w:t>
      </w:r>
      <w:r>
        <w:rPr>
          <w:rFonts w:hint="eastAsia" w:ascii="Times New Roman" w:hAnsi="Times New Roman" w:eastAsia="方正仿宋_GBK" w:cs="Times New Roman"/>
          <w:bCs/>
          <w:color w:val="000000"/>
          <w:sz w:val="28"/>
          <w:szCs w:val="28"/>
          <w:highlight w:val="none"/>
          <w:lang w:val="en-US" w:eastAsia="zh-CN"/>
        </w:rPr>
      </w:r>
      <w:r/>
    </w:p>
    <w:p>
      <w:pPr>
        <w:pStyle w:val="931"/>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其他法律、法规及本招标文件规定的属无效投标的情形。</w:t>
      </w:r>
      <w:r>
        <w:rPr>
          <w:rFonts w:hint="eastAsia" w:ascii="仿宋" w:hAnsi="仿宋" w:eastAsia="仿宋"/>
          <w:bCs/>
          <w:color w:val="000000"/>
          <w:sz w:val="28"/>
          <w:szCs w:val="28"/>
          <w:highlight w:val="yellow"/>
          <w:lang w:val="en-US" w:eastAsia="zh-CN"/>
        </w:rPr>
      </w:r>
      <w:r/>
    </w:p>
    <w:p>
      <w:pPr>
        <w:pStyle w:val="931"/>
        <w:ind w:firstLine="560"/>
        <w:spacing w:line="480" w:lineRule="exact"/>
        <w:rPr>
          <w:rFonts w:hint="eastAsia" w:ascii="Times New Roman" w:hAnsi="Times New Roman" w:eastAsia="方正仿宋_GBK" w:cs="Times New Roman"/>
          <w:bCs/>
          <w:color w:val="0000ff"/>
          <w:sz w:val="28"/>
          <w:szCs w:val="28"/>
          <w:highlight w:val="yellow"/>
          <w:lang w:val="en-US" w:eastAsia="zh-CN"/>
        </w:rPr>
      </w:pPr>
      <w:r>
        <w:rPr>
          <w:rFonts w:hint="eastAsia" w:ascii="Times New Roman" w:hAnsi="Times New Roman" w:eastAsia="方正仿宋_GBK" w:cs="Times New Roman"/>
          <w:bCs/>
          <w:color w:val="0000ff"/>
          <w:sz w:val="28"/>
          <w:szCs w:val="28"/>
          <w:highlight w:val="yellow"/>
          <w:lang w:val="en-US" w:eastAsia="zh-CN"/>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93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931"/>
        <w:ind w:firstLine="422"/>
        <w:keepLines/>
        <w:keepNext/>
        <w:spacing w:before="145" w:after="145" w:line="480" w:lineRule="exact"/>
        <w:rPr>
          <w:rFonts w:hint="eastAsia" w:ascii="仿宋" w:hAnsi="仿宋" w:eastAsia="仿宋"/>
          <w:b/>
          <w:bCs/>
          <w:color w:val="000000"/>
          <w:sz w:val="28"/>
          <w:szCs w:val="28"/>
        </w:rPr>
        <w:outlineLvl w:val="2"/>
      </w:pPr>
      <w:r/>
      <w:bookmarkStart w:id="155" w:name="_Toc120614219"/>
      <w:r>
        <w:rPr>
          <w:rFonts w:hint="eastAsia" w:ascii="仿宋" w:hAnsi="仿宋" w:eastAsia="仿宋"/>
          <w:b/>
          <w:bCs/>
          <w:color w:val="000000"/>
          <w:sz w:val="28"/>
          <w:szCs w:val="28"/>
        </w:rPr>
        <w:t xml:space="preserve">六、</w:t>
      </w:r>
      <w:bookmarkEnd w:id="152"/>
      <w:r/>
      <w:bookmarkEnd w:id="153"/>
      <w:r/>
      <w:bookmarkEnd w:id="154"/>
      <w:r>
        <w:rPr>
          <w:rFonts w:hint="eastAsia" w:ascii="仿宋" w:hAnsi="仿宋" w:eastAsia="仿宋"/>
          <w:b/>
          <w:bCs/>
          <w:color w:val="000000"/>
          <w:sz w:val="28"/>
          <w:szCs w:val="28"/>
        </w:rPr>
        <w:t xml:space="preserve">定标</w:t>
      </w:r>
      <w:bookmarkEnd w:id="155"/>
      <w:r>
        <w:rPr>
          <w:rFonts w:hint="eastAsia" w:ascii="仿宋" w:hAnsi="仿宋" w:eastAsia="仿宋"/>
          <w:b/>
          <w:bCs/>
          <w:color w:val="000000"/>
          <w:sz w:val="28"/>
          <w:szCs w:val="28"/>
        </w:rPr>
      </w:r>
      <w:r/>
    </w:p>
    <w:p>
      <w:pPr>
        <w:pStyle w:val="931"/>
        <w:keepLines/>
        <w:keepNext/>
        <w:spacing w:line="480" w:lineRule="exact"/>
        <w:rPr>
          <w:rFonts w:hint="eastAsia" w:ascii="仿宋" w:hAnsi="仿宋" w:eastAsia="仿宋"/>
          <w:b/>
          <w:bCs w:val="0"/>
          <w:color w:val="000000"/>
          <w:sz w:val="28"/>
          <w:szCs w:val="28"/>
        </w:rPr>
        <w:outlineLvl w:val="3"/>
      </w:pPr>
      <w:r/>
      <w:bookmarkStart w:id="156" w:name="_Toc513029238"/>
      <w:r/>
      <w:bookmarkStart w:id="157" w:name="_Toc16938554"/>
      <w:r/>
      <w:bookmarkStart w:id="158" w:name="_Toc20823310"/>
      <w:r>
        <w:rPr>
          <w:rFonts w:hint="eastAsia" w:ascii="仿宋" w:hAnsi="仿宋" w:eastAsia="仿宋"/>
          <w:b/>
          <w:bCs w:val="0"/>
          <w:color w:val="000000"/>
          <w:sz w:val="28"/>
          <w:szCs w:val="28"/>
        </w:rPr>
        <w:t xml:space="preserve">2</w:t>
      </w:r>
      <w:r>
        <w:rPr>
          <w:rFonts w:hint="eastAsia" w:ascii="仿宋" w:hAnsi="仿宋" w:eastAsia="仿宋"/>
          <w:b/>
          <w:bCs w:val="0"/>
          <w:color w:val="000000"/>
          <w:sz w:val="28"/>
          <w:szCs w:val="28"/>
          <w:lang w:val="en-US" w:eastAsia="zh-CN"/>
        </w:rPr>
        <w:t xml:space="preserve">9</w:t>
      </w:r>
      <w:r>
        <w:rPr>
          <w:rFonts w:hint="eastAsia" w:ascii="仿宋" w:hAnsi="仿宋" w:eastAsia="仿宋"/>
          <w:b/>
          <w:bCs w:val="0"/>
          <w:color w:val="000000"/>
          <w:sz w:val="28"/>
          <w:szCs w:val="28"/>
        </w:rPr>
        <w:t xml:space="preserve">、</w:t>
      </w:r>
      <w:bookmarkEnd w:id="156"/>
      <w:r>
        <w:rPr>
          <w:rFonts w:hint="eastAsia" w:ascii="仿宋" w:hAnsi="仿宋" w:eastAsia="仿宋"/>
          <w:b/>
          <w:bCs w:val="0"/>
          <w:color w:val="000000"/>
          <w:sz w:val="28"/>
          <w:szCs w:val="28"/>
        </w:rPr>
        <w:t xml:space="preserve">确定</w:t>
      </w:r>
      <w:bookmarkEnd w:id="157"/>
      <w:r/>
      <w:bookmarkEnd w:id="158"/>
      <w:r>
        <w:rPr>
          <w:rFonts w:hint="eastAsia" w:ascii="仿宋" w:hAnsi="仿宋" w:eastAsia="仿宋"/>
          <w:b/>
          <w:bCs w:val="0"/>
          <w:color w:val="000000"/>
          <w:sz w:val="28"/>
          <w:szCs w:val="28"/>
        </w:rPr>
        <w:t xml:space="preserve">中标单位</w:t>
      </w:r>
      <w:r>
        <w:rPr>
          <w:rFonts w:hint="eastAsia" w:ascii="仿宋" w:hAnsi="仿宋" w:eastAsia="仿宋"/>
          <w:b/>
          <w:bCs w:val="0"/>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.3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中心将在“江苏政府采购网”发布中标公告，公告期限为1个工作日。</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.4.2向采购人、</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中心行贿或者提供其他不正当利益的。</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bookmarkStart w:id="159"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931"/>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bCs/>
          <w:color w:val="000000"/>
          <w:sz w:val="28"/>
          <w:szCs w:val="28"/>
        </w:rPr>
        <w:t xml:space="preserve">、质疑处理</w:t>
      </w:r>
      <w:bookmarkEnd w:id="159"/>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中心或采购人提出质疑。上述应知其权益受到损害之日，是指：</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931"/>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sz w:val="28"/>
          <w:szCs w:val="28"/>
          <w:lang w:val="en-US" w:eastAsia="zh-CN"/>
        </w:rPr>
        <w:t xml:space="preserve">交易</w:t>
      </w:r>
      <w:r>
        <w:rPr>
          <w:rFonts w:hint="eastAsia" w:ascii="仿宋" w:hAnsi="仿宋" w:eastAsia="仿宋" w:cs="宋体"/>
          <w:color w:val="000000"/>
          <w:sz w:val="28"/>
          <w:szCs w:val="28"/>
        </w:rPr>
        <w:t xml:space="preserve">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b/>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.4 </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供应商（含潜在</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）对与</w:t>
      </w:r>
      <w:r>
        <w:rPr>
          <w:rFonts w:ascii="仿宋" w:hAnsi="仿宋" w:eastAsia="仿宋"/>
          <w:color w:val="000000"/>
          <w:sz w:val="28"/>
          <w:szCs w:val="28"/>
        </w:rPr>
        <w:t xml:space="preserve">本项目</w:t>
      </w:r>
      <w:r>
        <w:rPr>
          <w:rFonts w:hint="eastAsia" w:ascii="仿宋" w:hAnsi="仿宋" w:eastAsia="仿宋"/>
          <w:color w:val="000000"/>
          <w:sz w:val="28"/>
          <w:szCs w:val="28"/>
        </w:rPr>
        <w:t xml:space="preserve">有关的</w:t>
      </w:r>
      <w:r>
        <w:rPr>
          <w:rFonts w:ascii="仿宋" w:hAnsi="仿宋" w:eastAsia="仿宋"/>
          <w:color w:val="000000"/>
          <w:sz w:val="28"/>
          <w:szCs w:val="28"/>
        </w:rPr>
        <w:t xml:space="preserve">所有询问、质疑</w:t>
      </w:r>
      <w:r>
        <w:rPr>
          <w:rFonts w:hint="eastAsia" w:ascii="仿宋" w:hAnsi="仿宋" w:eastAsia="仿宋"/>
          <w:color w:val="000000"/>
          <w:sz w:val="28"/>
          <w:szCs w:val="28"/>
        </w:rPr>
        <w:t xml:space="preserve">均</w:t>
      </w:r>
      <w:r>
        <w:rPr>
          <w:rFonts w:ascii="仿宋" w:hAnsi="仿宋" w:eastAsia="仿宋"/>
          <w:color w:val="000000"/>
          <w:sz w:val="28"/>
          <w:szCs w:val="28"/>
        </w:rPr>
        <w:t xml:space="preserve">请向采购人提出，由采购人负责答复。</w:t>
      </w:r>
      <w:r>
        <w:rPr>
          <w:rFonts w:hint="eastAsia" w:ascii="仿宋" w:hAnsi="仿宋" w:eastAsia="仿宋"/>
          <w:b/>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采购人及</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中心只接收以纸质原件形式送达的质疑,建议供应商尽量通过邮寄方式提交质疑（采购人和</w:t>
      </w:r>
      <w:r>
        <w:rPr>
          <w:rFonts w:hint="eastAsia" w:ascii="仿宋" w:hAnsi="仿宋" w:eastAsia="仿宋"/>
          <w:color w:val="000000"/>
          <w:sz w:val="28"/>
          <w:szCs w:val="28"/>
          <w:lang w:val="en-US" w:eastAsia="zh-CN"/>
        </w:rPr>
        <w:t xml:space="preserve">交易中心</w:t>
      </w:r>
      <w:r>
        <w:rPr>
          <w:rFonts w:hint="eastAsia" w:ascii="仿宋" w:hAnsi="仿宋" w:eastAsia="仿宋"/>
          <w:color w:val="000000"/>
          <w:sz w:val="28"/>
          <w:szCs w:val="28"/>
        </w:rPr>
        <w:t xml:space="preserve">不接受无快递运</w:t>
      </w:r>
      <w:r>
        <w:rPr>
          <w:rFonts w:ascii="仿宋" w:hAnsi="仿宋" w:eastAsia="仿宋"/>
          <w:color w:val="000000"/>
          <w:sz w:val="28"/>
          <w:szCs w:val="28"/>
        </w:rPr>
        <w:t xml:space="preserve">单号</w:t>
      </w:r>
      <w:r>
        <w:rPr>
          <w:rFonts w:hint="eastAsia" w:ascii="仿宋" w:hAnsi="仿宋" w:eastAsia="仿宋"/>
          <w:color w:val="000000"/>
          <w:sz w:val="28"/>
          <w:szCs w:val="28"/>
        </w:rPr>
        <w:t xml:space="preserve">的快递）。</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中心质疑接收部门为政策法规科（快递运单上的收件人填写“政策法规科”即可），联系地址：南通市崇川区工农路150号南通市政务中心裙楼415室，联系电话：0513-59001850。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931"/>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93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1</w:t>
      </w:r>
      <w:r>
        <w:rPr>
          <w:rFonts w:hint="eastAsia" w:ascii="仿宋" w:hAnsi="仿宋" w:eastAsia="仿宋"/>
          <w:b/>
          <w:bCs w:val="0"/>
          <w:color w:val="000000"/>
          <w:sz w:val="28"/>
          <w:szCs w:val="28"/>
        </w:rPr>
        <w:t xml:space="preserve">、中标通知书</w:t>
      </w:r>
      <w:r>
        <w:rPr>
          <w:rFonts w:hint="eastAsia" w:ascii="仿宋" w:hAnsi="仿宋" w:eastAsia="仿宋"/>
          <w:b/>
          <w:bCs w:val="0"/>
          <w:color w:val="000000"/>
          <w:sz w:val="28"/>
          <w:szCs w:val="28"/>
        </w:rPr>
      </w:r>
      <w:r/>
    </w:p>
    <w:p>
      <w:pPr>
        <w:pStyle w:val="931"/>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93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931"/>
        <w:keepLines/>
        <w:keepNext/>
        <w:spacing w:before="145" w:after="145" w:line="480" w:lineRule="exact"/>
        <w:rPr>
          <w:rFonts w:hint="eastAsia" w:ascii="仿宋" w:hAnsi="仿宋" w:eastAsia="仿宋"/>
          <w:b/>
          <w:bCs/>
          <w:color w:val="000000"/>
          <w:sz w:val="28"/>
          <w:szCs w:val="28"/>
        </w:rPr>
        <w:outlineLvl w:val="2"/>
      </w:pPr>
      <w:r/>
      <w:bookmarkStart w:id="160" w:name="_Toc120614220"/>
      <w:r/>
      <w:bookmarkStart w:id="161" w:name="_Toc20823308"/>
      <w:r/>
      <w:bookmarkStart w:id="162" w:name="_Toc513029236"/>
      <w:r/>
      <w:bookmarkStart w:id="163" w:name="_Toc16938552"/>
      <w:r>
        <w:rPr>
          <w:rFonts w:hint="eastAsia" w:ascii="仿宋" w:hAnsi="仿宋" w:eastAsia="仿宋"/>
          <w:b/>
          <w:bCs/>
          <w:color w:val="000000"/>
          <w:sz w:val="28"/>
          <w:szCs w:val="28"/>
        </w:rPr>
        <w:t xml:space="preserve">七、授予合同</w:t>
      </w:r>
      <w:bookmarkEnd w:id="160"/>
      <w:r>
        <w:rPr>
          <w:rFonts w:hint="eastAsia" w:ascii="仿宋" w:hAnsi="仿宋" w:eastAsia="仿宋"/>
          <w:b/>
          <w:bCs/>
          <w:color w:val="000000"/>
          <w:sz w:val="28"/>
          <w:szCs w:val="28"/>
        </w:rPr>
      </w:r>
      <w:r/>
    </w:p>
    <w:p>
      <w:pPr>
        <w:pStyle w:val="931"/>
        <w:keepLines/>
        <w:keepNext/>
        <w:spacing w:line="480" w:lineRule="exact"/>
        <w:rPr>
          <w:rFonts w:hint="eastAsia" w:ascii="仿宋" w:hAnsi="仿宋" w:eastAsia="仿宋"/>
          <w:b/>
          <w:bCs w:val="0"/>
          <w:color w:val="000000"/>
          <w:sz w:val="28"/>
          <w:szCs w:val="28"/>
        </w:rPr>
        <w:outlineLvl w:val="3"/>
      </w:pPr>
      <w:r/>
      <w:bookmarkEnd w:id="161"/>
      <w:r/>
      <w:bookmarkEnd w:id="162"/>
      <w:r/>
      <w:bookmarkEnd w:id="163"/>
      <w:r/>
      <w:bookmarkStart w:id="164" w:name="_Toc20823309"/>
      <w:r/>
      <w:bookmarkStart w:id="165" w:name="_Toc513029237"/>
      <w:r/>
      <w:bookmarkStart w:id="166" w:name="_Toc16938553"/>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2</w:t>
      </w:r>
      <w:r>
        <w:rPr>
          <w:rFonts w:hint="eastAsia" w:ascii="仿宋" w:hAnsi="仿宋" w:eastAsia="仿宋"/>
          <w:b/>
          <w:bCs w:val="0"/>
          <w:color w:val="000000"/>
          <w:sz w:val="28"/>
          <w:szCs w:val="28"/>
        </w:rPr>
        <w:t xml:space="preserve">. 签订合同</w:t>
      </w:r>
      <w:r>
        <w:rPr>
          <w:rFonts w:hint="eastAsia" w:ascii="仿宋" w:hAnsi="仿宋" w:eastAsia="仿宋"/>
          <w:b/>
          <w:bCs w:val="0"/>
          <w:color w:val="000000"/>
          <w:sz w:val="28"/>
          <w:szCs w:val="28"/>
        </w:rPr>
      </w:r>
      <w:r/>
    </w:p>
    <w:p>
      <w:pPr>
        <w:pStyle w:val="931"/>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93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93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93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3</w:t>
      </w:r>
      <w:r>
        <w:rPr>
          <w:rFonts w:hint="eastAsia" w:ascii="仿宋" w:hAnsi="仿宋" w:eastAsia="仿宋"/>
          <w:b/>
          <w:bCs w:val="0"/>
          <w:color w:val="000000"/>
          <w:sz w:val="28"/>
          <w:szCs w:val="28"/>
        </w:rPr>
        <w:t xml:space="preserve">、货物（包含与货物相关的服务）的追加</w:t>
      </w:r>
      <w:r>
        <w:rPr>
          <w:rFonts w:hint="eastAsia" w:ascii="仿宋" w:hAnsi="仿宋" w:eastAsia="仿宋"/>
          <w:b/>
          <w:bCs w:val="0"/>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931"/>
        <w:keepLines/>
        <w:keepNext/>
        <w:spacing w:line="480" w:lineRule="exact"/>
        <w:rPr>
          <w:rFonts w:ascii="仿宋" w:hAnsi="仿宋" w:eastAsia="仿宋"/>
          <w:b/>
          <w:bCs w:val="0"/>
          <w:color w:val="000000"/>
          <w:sz w:val="28"/>
          <w:szCs w:val="28"/>
        </w:rPr>
        <w:outlineLvl w:val="3"/>
      </w:pPr>
      <w:r/>
      <w:bookmarkEnd w:id="164"/>
      <w:r/>
      <w:bookmarkEnd w:id="165"/>
      <w:r/>
      <w:bookmarkEnd w:id="166"/>
      <w:r/>
      <w:bookmarkStart w:id="167" w:name="_Toc16938558"/>
      <w:r/>
      <w:bookmarkStart w:id="168" w:name="_Toc479757207"/>
      <w:r/>
      <w:bookmarkStart w:id="169" w:name="_Toc513029242"/>
      <w:r/>
      <w:bookmarkStart w:id="170" w:name="_Toc120614221"/>
      <w:r/>
      <w:bookmarkStart w:id="171" w:name="_Toc20823314"/>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4</w:t>
      </w:r>
      <w:r>
        <w:rPr>
          <w:rFonts w:hint="eastAsia" w:ascii="仿宋" w:hAnsi="仿宋" w:eastAsia="仿宋"/>
          <w:b/>
          <w:bCs w:val="0"/>
          <w:color w:val="000000"/>
          <w:sz w:val="28"/>
          <w:szCs w:val="28"/>
        </w:rPr>
        <w:t xml:space="preserve">、政府采购履约资金扶持政策</w:t>
      </w:r>
      <w:r>
        <w:rPr>
          <w:rFonts w:ascii="仿宋" w:hAnsi="仿宋" w:eastAsia="仿宋"/>
          <w:b/>
          <w:bCs w:val="0"/>
          <w:color w:val="000000"/>
          <w:sz w:val="28"/>
          <w:szCs w:val="28"/>
        </w:rPr>
      </w:r>
      <w:r/>
    </w:p>
    <w:p>
      <w:pPr>
        <w:pStyle w:val="931"/>
        <w:ind w:firstLine="560"/>
        <w:spacing w:line="48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34.1</w:t>
      </w:r>
      <w:r>
        <w:rPr>
          <w:rFonts w:hint="eastAsia" w:ascii="仿宋" w:hAnsi="仿宋" w:eastAsia="仿宋" w:cs="Times New Roman"/>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eastAsia="zh-CN"/>
        </w:rPr>
      </w:r>
      <w:r/>
    </w:p>
    <w:p>
      <w:pPr>
        <w:pStyle w:val="93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仿宋" w:hAnsi="仿宋" w:eastAsia="仿宋" w:cs="Times New Roman"/>
          <w:color w:val="000000"/>
          <w:sz w:val="28"/>
          <w:szCs w:val="28"/>
          <w:lang w:val="en-US" w:eastAsia="zh-CN"/>
        </w:rPr>
      </w:r>
      <w:r/>
    </w:p>
    <w:p>
      <w:pPr>
        <w:pStyle w:val="997"/>
        <w:rPr>
          <w:lang w:val="en-US" w:eastAsia="zh-CN"/>
        </w:rPr>
      </w:pPr>
      <w:r>
        <w:rPr>
          <w:lang w:val="en-US" w:eastAsia="zh-CN"/>
        </w:rPr>
      </w:r>
      <w:r/>
    </w:p>
    <w:p>
      <w:pPr>
        <w:pStyle w:val="931"/>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1"/>
        <w:jc w:val="center"/>
        <w:keepNext/>
        <w:pageBreakBefore/>
        <w:rPr>
          <w:rFonts w:hint="eastAsia" w:ascii="黑体" w:eastAsia="黑体"/>
          <w:bCs/>
          <w:color w:val="000000"/>
          <w:sz w:val="44"/>
          <w:szCs w:val="28"/>
        </w:rPr>
        <w:outlineLvl w:val="0"/>
      </w:pPr>
      <w:r/>
      <w:bookmarkEnd w:id="167"/>
      <w:r/>
      <w:bookmarkEnd w:id="168"/>
      <w:r/>
      <w:bookmarkEnd w:id="169"/>
      <w:r/>
      <w:bookmarkEnd w:id="170"/>
      <w:r/>
      <w:bookmarkEnd w:id="171"/>
      <w:r/>
      <w:bookmarkStart w:id="172" w:name="_Hlt16619350"/>
      <w:r/>
      <w:bookmarkStart w:id="173" w:name="_Toc16938590"/>
      <w:r/>
      <w:bookmarkStart w:id="174" w:name="_Toc120614244"/>
      <w:r/>
      <w:bookmarkStart w:id="175" w:name="_Toc20823346"/>
      <w:r/>
      <w:bookmarkStart w:id="176" w:name="_Toc462564139"/>
      <w:r/>
      <w:bookmarkStart w:id="177" w:name="_Toc479757211"/>
      <w:r>
        <w:rPr>
          <w:rFonts w:hint="eastAsia" w:ascii="黑体" w:eastAsia="黑体"/>
          <w:bCs/>
          <w:color w:val="000000"/>
          <w:sz w:val="44"/>
          <w:szCs w:val="28"/>
        </w:rPr>
        <w:t xml:space="preserve">第三章  合同文本</w:t>
      </w:r>
      <w:r>
        <w:rPr>
          <w:rFonts w:hint="eastAsia" w:ascii="黑体" w:eastAsia="黑体"/>
          <w:bCs/>
          <w:color w:val="000000"/>
          <w:sz w:val="44"/>
          <w:szCs w:val="28"/>
        </w:rPr>
      </w:r>
      <w:r/>
    </w:p>
    <w:p>
      <w:pPr>
        <w:pStyle w:val="931"/>
        <w:ind w:firstLine="560"/>
        <w:spacing w:line="480" w:lineRule="exact"/>
        <w:rPr>
          <w:rFonts w:hint="eastAsia" w:ascii="仿宋" w:hAnsi="仿宋" w:eastAsia="仿宋"/>
          <w:bCs/>
          <w:color w:val="000000"/>
          <w:sz w:val="28"/>
          <w:szCs w:val="28"/>
        </w:rPr>
      </w:pPr>
      <w:r/>
      <w:bookmarkStart w:id="178" w:name="_Toc20823315"/>
      <w:r/>
      <w:bookmarkStart w:id="179" w:name="_Toc16938559"/>
      <w:r/>
      <w:bookmarkStart w:id="180" w:name="_Toc513029243"/>
      <w:r>
        <w:rPr>
          <w:rFonts w:hint="eastAsia" w:ascii="仿宋" w:hAnsi="仿宋" w:eastAsia="仿宋"/>
          <w:bCs/>
          <w:color w:val="000000"/>
          <w:sz w:val="28"/>
          <w:szCs w:val="28"/>
        </w:rPr>
        <w:t xml:space="preserve">以下为中标后签订本项目合同的通用条款，中标人不得提出实质性的修改。</w:t>
      </w:r>
      <w:r>
        <w:rPr>
          <w:rFonts w:hint="eastAsia" w:ascii="仿宋" w:hAnsi="仿宋" w:eastAsia="仿宋"/>
          <w:bCs/>
          <w:color w:val="000000"/>
          <w:sz w:val="28"/>
          <w:szCs w:val="28"/>
        </w:rPr>
      </w:r>
      <w:r/>
    </w:p>
    <w:p>
      <w:pPr>
        <w:pStyle w:val="931"/>
        <w:jc w:val="center"/>
        <w:spacing w:line="480" w:lineRule="exact"/>
        <w:rPr>
          <w:rFonts w:hint="eastAsia" w:ascii="宋体" w:hAnsi="宋体" w:cs="宋体"/>
          <w:b/>
          <w:bCs/>
          <w:spacing w:val="-20"/>
          <w:sz w:val="48"/>
          <w:szCs w:val="48"/>
        </w:rPr>
      </w:pPr>
      <w:r/>
      <w:bookmarkEnd w:id="178"/>
      <w:r/>
      <w:bookmarkEnd w:id="179"/>
      <w:r/>
      <w:bookmarkEnd w:id="180"/>
      <w:r>
        <w:rPr>
          <w:rFonts w:hint="eastAsia" w:ascii="宋体" w:hAnsi="宋体" w:cs="宋体"/>
          <w:b/>
          <w:bCs/>
          <w:spacing w:val="-20"/>
          <w:sz w:val="48"/>
          <w:szCs w:val="48"/>
        </w:rPr>
      </w:r>
      <w:r/>
    </w:p>
    <w:p>
      <w:pPr>
        <w:pStyle w:val="931"/>
        <w:jc w:val="center"/>
        <w:spacing w:line="480" w:lineRule="exact"/>
        <w:rPr>
          <w:rFonts w:hint="eastAsia" w:ascii="宋体" w:hAnsi="宋体" w:cs="宋体"/>
          <w:b/>
          <w:bCs/>
          <w:spacing w:val="-20"/>
          <w:sz w:val="48"/>
          <w:szCs w:val="48"/>
        </w:rPr>
      </w:pPr>
      <w:r>
        <w:rPr>
          <w:rFonts w:hint="eastAsia" w:ascii="宋体" w:hAnsi="宋体" w:cs="宋体"/>
          <w:b/>
          <w:bCs/>
          <w:spacing w:val="-20"/>
          <w:sz w:val="48"/>
          <w:szCs w:val="48"/>
        </w:rPr>
      </w:r>
      <w:r/>
    </w:p>
    <w:p>
      <w:pPr>
        <w:pStyle w:val="931"/>
        <w:jc w:val="center"/>
        <w:spacing w:line="480" w:lineRule="exact"/>
        <w:rPr>
          <w:rFonts w:hint="eastAsia" w:ascii="宋体" w:hAnsi="宋体" w:cs="宋体"/>
          <w:b/>
          <w:bCs/>
          <w:spacing w:val="-20"/>
          <w:sz w:val="48"/>
          <w:szCs w:val="48"/>
        </w:rPr>
      </w:pPr>
      <w:r>
        <w:rPr>
          <w:rFonts w:hint="eastAsia" w:ascii="宋体" w:hAnsi="宋体" w:cs="宋体"/>
          <w:b/>
          <w:bCs/>
          <w:spacing w:val="-20"/>
          <w:sz w:val="48"/>
          <w:szCs w:val="48"/>
        </w:rPr>
      </w:r>
      <w:r/>
    </w:p>
    <w:p>
      <w:pPr>
        <w:pStyle w:val="931"/>
        <w:jc w:val="center"/>
        <w:spacing w:line="480" w:lineRule="exact"/>
        <w:rPr>
          <w:rFonts w:hint="eastAsia" w:ascii="仿宋" w:hAnsi="仿宋" w:eastAsia="仿宋"/>
          <w:bCs/>
          <w:color w:val="000000"/>
          <w:sz w:val="28"/>
          <w:szCs w:val="28"/>
        </w:rPr>
      </w:pPr>
      <w:r>
        <w:rPr>
          <w:rFonts w:hint="eastAsia" w:ascii="宋体" w:hAnsi="宋体" w:cs="宋体"/>
          <w:b/>
          <w:bCs/>
          <w:spacing w:val="-20"/>
          <w:sz w:val="48"/>
          <w:szCs w:val="48"/>
        </w:rPr>
        <w:t xml:space="preserve">政府采购货物买卖合同</w:t>
      </w:r>
      <w:r>
        <w:rPr>
          <w:rFonts w:hint="eastAsia" w:ascii="仿宋" w:hAnsi="仿宋" w:eastAsia="仿宋"/>
          <w:bCs/>
          <w:color w:val="000000"/>
          <w:sz w:val="28"/>
          <w:szCs w:val="28"/>
        </w:rPr>
      </w:r>
      <w:r/>
    </w:p>
    <w:p>
      <w:pPr>
        <w:pStyle w:val="1049"/>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31"/>
        <w:spacing w:line="400" w:lineRule="exact"/>
        <w:rPr>
          <w:rFonts w:ascii="仿宋" w:hAnsi="仿宋" w:eastAsia="仿宋"/>
          <w:sz w:val="24"/>
        </w:rPr>
      </w:pPr>
      <w:r>
        <w:rPr>
          <w:rFonts w:ascii="仿宋" w:hAnsi="仿宋" w:eastAsia="仿宋"/>
          <w:sz w:val="24"/>
        </w:rPr>
      </w:r>
      <w:r/>
    </w:p>
    <w:p>
      <w:pPr>
        <w:pStyle w:val="931"/>
        <w:spacing w:line="400" w:lineRule="exact"/>
        <w:rPr>
          <w:rFonts w:ascii="仿宋" w:hAnsi="仿宋" w:eastAsia="仿宋"/>
          <w:sz w:val="24"/>
        </w:rPr>
      </w:pPr>
      <w:r>
        <w:rPr>
          <w:rFonts w:ascii="仿宋" w:hAnsi="仿宋" w:eastAsia="仿宋"/>
          <w:sz w:val="24"/>
        </w:rPr>
      </w:r>
      <w:r/>
    </w:p>
    <w:p>
      <w:pPr>
        <w:pStyle w:val="931"/>
        <w:spacing w:line="400" w:lineRule="exact"/>
        <w:rPr>
          <w:rFonts w:ascii="仿宋" w:hAnsi="仿宋" w:eastAsia="仿宋"/>
          <w:sz w:val="24"/>
        </w:rPr>
      </w:pPr>
      <w:r>
        <w:rPr>
          <w:rFonts w:ascii="仿宋" w:hAnsi="仿宋" w:eastAsia="仿宋"/>
          <w:sz w:val="24"/>
        </w:rPr>
      </w:r>
      <w:r/>
    </w:p>
    <w:p>
      <w:pPr>
        <w:pStyle w:val="931"/>
        <w:spacing w:line="400" w:lineRule="exact"/>
        <w:rPr>
          <w:rFonts w:ascii="仿宋" w:hAnsi="仿宋" w:eastAsia="仿宋"/>
          <w:sz w:val="24"/>
        </w:rPr>
      </w:pPr>
      <w:r>
        <w:rPr>
          <w:rFonts w:ascii="仿宋" w:hAnsi="仿宋" w:eastAsia="仿宋"/>
          <w:sz w:val="24"/>
        </w:rPr>
      </w:r>
      <w:r/>
    </w:p>
    <w:p>
      <w:pPr>
        <w:pStyle w:val="931"/>
        <w:spacing w:line="400" w:lineRule="exact"/>
        <w:rPr>
          <w:rFonts w:ascii="仿宋" w:hAnsi="仿宋" w:eastAsia="仿宋"/>
          <w:sz w:val="24"/>
        </w:rPr>
      </w:pPr>
      <w:r>
        <w:rPr>
          <w:rFonts w:ascii="仿宋" w:hAnsi="仿宋" w:eastAsia="仿宋"/>
          <w:sz w:val="24"/>
        </w:rPr>
      </w:r>
      <w:r/>
    </w:p>
    <w:p>
      <w:pPr>
        <w:pStyle w:val="931"/>
        <w:spacing w:line="400" w:lineRule="exact"/>
        <w:rPr>
          <w:rFonts w:ascii="仿宋" w:hAnsi="仿宋" w:eastAsia="仿宋"/>
          <w:sz w:val="24"/>
        </w:rPr>
      </w:pPr>
      <w:r>
        <w:rPr>
          <w:rFonts w:ascii="仿宋" w:hAnsi="仿宋" w:eastAsia="仿宋"/>
          <w:sz w:val="24"/>
        </w:rPr>
      </w:r>
      <w:r/>
    </w:p>
    <w:p>
      <w:pPr>
        <w:pStyle w:val="931"/>
        <w:spacing w:line="400" w:lineRule="exact"/>
        <w:rPr>
          <w:rFonts w:ascii="仿宋" w:hAnsi="仿宋" w:eastAsia="仿宋"/>
          <w:sz w:val="24"/>
        </w:rPr>
      </w:pPr>
      <w:r>
        <w:rPr>
          <w:rFonts w:ascii="仿宋" w:hAnsi="仿宋" w:eastAsia="仿宋"/>
          <w:sz w:val="24"/>
        </w:rPr>
      </w:r>
      <w:r/>
    </w:p>
    <w:p>
      <w:pPr>
        <w:pStyle w:val="931"/>
        <w:spacing w:line="400" w:lineRule="exact"/>
        <w:rPr>
          <w:rFonts w:ascii="仿宋" w:hAnsi="仿宋" w:eastAsia="仿宋"/>
          <w:sz w:val="24"/>
        </w:rPr>
      </w:pPr>
      <w:r>
        <w:rPr>
          <w:rFonts w:ascii="仿宋" w:hAnsi="仿宋" w:eastAsia="仿宋"/>
          <w:sz w:val="24"/>
        </w:rPr>
      </w:r>
      <w:r/>
    </w:p>
    <w:p>
      <w:pPr>
        <w:pStyle w:val="931"/>
        <w:spacing w:line="400" w:lineRule="exact"/>
        <w:rPr>
          <w:rFonts w:ascii="仿宋" w:hAnsi="仿宋" w:eastAsia="仿宋"/>
          <w:sz w:val="24"/>
        </w:rPr>
      </w:pPr>
      <w:r>
        <w:rPr>
          <w:rFonts w:ascii="仿宋" w:hAnsi="仿宋" w:eastAsia="仿宋"/>
          <w:sz w:val="24"/>
        </w:rPr>
      </w:r>
      <w:r/>
    </w:p>
    <w:p>
      <w:pPr>
        <w:pStyle w:val="931"/>
        <w:spacing w:line="400" w:lineRule="exact"/>
        <w:rPr>
          <w:rFonts w:ascii="仿宋" w:hAnsi="仿宋" w:eastAsia="仿宋"/>
          <w:sz w:val="24"/>
        </w:rPr>
      </w:pPr>
      <w:r>
        <w:rPr>
          <w:rFonts w:ascii="仿宋" w:hAnsi="仿宋" w:eastAsia="仿宋"/>
          <w:sz w:val="24"/>
        </w:rPr>
      </w:r>
      <w:r/>
    </w:p>
    <w:p>
      <w:pPr>
        <w:pStyle w:val="931"/>
        <w:spacing w:line="400" w:lineRule="exact"/>
        <w:rPr>
          <w:rFonts w:ascii="仿宋" w:hAnsi="仿宋" w:eastAsia="仿宋"/>
          <w:sz w:val="24"/>
        </w:rPr>
      </w:pPr>
      <w:r>
        <w:rPr>
          <w:rFonts w:ascii="仿宋" w:hAnsi="仿宋" w:eastAsia="仿宋"/>
          <w:sz w:val="24"/>
        </w:rPr>
      </w:r>
      <w:r/>
    </w:p>
    <w:p>
      <w:pPr>
        <w:pStyle w:val="931"/>
        <w:spacing w:line="400" w:lineRule="exact"/>
        <w:rPr>
          <w:rFonts w:ascii="仿宋" w:hAnsi="仿宋" w:eastAsia="仿宋"/>
          <w:sz w:val="24"/>
        </w:rPr>
      </w:pPr>
      <w:r>
        <w:rPr>
          <w:rFonts w:ascii="仿宋" w:hAnsi="仿宋" w:eastAsia="仿宋"/>
          <w:sz w:val="24"/>
        </w:rPr>
      </w:r>
      <w:r/>
    </w:p>
    <w:p>
      <w:pPr>
        <w:pStyle w:val="931"/>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rFonts w:hint="eastAsia"/>
          <w:sz w:val="32"/>
          <w:szCs w:val="32"/>
          <w:u w:val="single"/>
          <w:lang w:eastAsia="zh-CN"/>
        </w:rPr>
        <w:t xml:space="preserve">南通知产法庭暨“两个中心”装修改造智能化设备采购项目</w:t>
      </w:r>
      <w:r>
        <w:rPr>
          <w:rFonts w:hint="eastAsia"/>
          <w:sz w:val="32"/>
          <w:szCs w:val="32"/>
          <w:u w:val="single"/>
        </w:rPr>
        <w:t xml:space="preserve">  </w:t>
      </w:r>
      <w:r>
        <w:rPr>
          <w:sz w:val="32"/>
          <w:szCs w:val="32"/>
        </w:rPr>
      </w:r>
      <w:r/>
    </w:p>
    <w:p>
      <w:pPr>
        <w:pStyle w:val="931"/>
        <w:ind w:left="420"/>
        <w:spacing w:line="360" w:lineRule="auto"/>
        <w:rPr>
          <w:sz w:val="32"/>
          <w:szCs w:val="32"/>
        </w:rPr>
      </w:pPr>
      <w:r>
        <w:rPr>
          <w:rFonts w:hint="eastAsia"/>
          <w:sz w:val="32"/>
          <w:szCs w:val="32"/>
        </w:rPr>
        <w:t xml:space="preserve">甲    方：</w:t>
      </w:r>
      <w:r>
        <w:rPr>
          <w:rFonts w:hint="eastAsia"/>
          <w:sz w:val="32"/>
          <w:szCs w:val="32"/>
          <w:u w:val="single"/>
        </w:rPr>
        <w:t xml:space="preserve">  江苏省南通市中级人民法院   </w:t>
      </w:r>
      <w:r>
        <w:rPr>
          <w:sz w:val="32"/>
          <w:szCs w:val="32"/>
        </w:rPr>
      </w:r>
      <w:r/>
    </w:p>
    <w:p>
      <w:pPr>
        <w:pStyle w:val="931"/>
        <w:ind w:left="420"/>
        <w:spacing w:line="360" w:lineRule="auto"/>
        <w:rPr>
          <w:rFonts w:hint="eastAsia"/>
          <w:sz w:val="32"/>
          <w:szCs w:val="32"/>
          <w:u w:val="single"/>
        </w:rPr>
      </w:pPr>
      <w:r>
        <w:rPr>
          <w:rFonts w:hint="eastAsia"/>
          <w:sz w:val="32"/>
          <w:szCs w:val="32"/>
        </w:rPr>
        <w:t xml:space="preserve">乙    方：</w:t>
      </w:r>
      <w:r>
        <w:rPr>
          <w:rFonts w:hint="eastAsia"/>
          <w:sz w:val="32"/>
          <w:szCs w:val="32"/>
          <w:u w:val="single"/>
        </w:rPr>
        <w:t xml:space="preserve">                             </w:t>
      </w:r>
      <w:r>
        <w:rPr>
          <w:rFonts w:hint="eastAsia"/>
          <w:sz w:val="32"/>
          <w:szCs w:val="32"/>
          <w:u w:val="single"/>
        </w:rPr>
      </w:r>
      <w:r/>
    </w:p>
    <w:p>
      <w:pPr>
        <w:pStyle w:val="931"/>
        <w:ind w:left="420"/>
        <w:spacing w:line="360" w:lineRule="auto"/>
        <w:rPr>
          <w:rFonts w:hint="eastAsia"/>
          <w:sz w:val="32"/>
          <w:szCs w:val="32"/>
          <w:u w:val="single"/>
        </w:rPr>
      </w:pPr>
      <w:r>
        <w:rPr>
          <w:rFonts w:hint="eastAsia"/>
          <w:sz w:val="32"/>
          <w:szCs w:val="32"/>
        </w:rPr>
        <w:t xml:space="preserve">签订地点：</w:t>
      </w:r>
      <w:r>
        <w:rPr>
          <w:rFonts w:hint="eastAsia"/>
          <w:sz w:val="32"/>
          <w:szCs w:val="32"/>
          <w:u w:val="single"/>
        </w:rPr>
        <w:t xml:space="preserve">         江苏南通            </w:t>
      </w:r>
      <w:r>
        <w:rPr>
          <w:rFonts w:hint="eastAsia"/>
          <w:sz w:val="32"/>
          <w:szCs w:val="32"/>
          <w:u w:val="single"/>
        </w:rPr>
      </w:r>
      <w:r/>
    </w:p>
    <w:p>
      <w:pPr>
        <w:pStyle w:val="931"/>
        <w:ind w:left="420"/>
        <w:spacing w:line="360" w:lineRule="auto"/>
        <w:rPr>
          <w:b/>
          <w:bCs/>
          <w:sz w:val="28"/>
          <w:szCs w:val="28"/>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b/>
          <w:bCs/>
          <w:sz w:val="28"/>
          <w:szCs w:val="28"/>
        </w:rPr>
        <w:t xml:space="preserve"> </w:t>
      </w:r>
      <w:r>
        <w:rPr>
          <w:b/>
          <w:bCs/>
          <w:sz w:val="28"/>
          <w:szCs w:val="28"/>
        </w:rPr>
      </w:r>
      <w:r/>
    </w:p>
    <w:p>
      <w:pPr>
        <w:pStyle w:val="931"/>
        <w:jc w:val="center"/>
        <w:keepLines/>
        <w:keepNext/>
        <w:spacing w:before="145" w:after="145" w:line="480" w:lineRule="exact"/>
        <w:rPr>
          <w:rFonts w:hint="eastAsia" w:ascii="仿宋" w:hAnsi="仿宋" w:eastAsia="仿宋"/>
          <w:b/>
          <w:bCs/>
          <w:sz w:val="36"/>
          <w:szCs w:val="36"/>
        </w:rPr>
        <w:outlineLvl w:val="2"/>
      </w:pPr>
      <w:r/>
      <w:bookmarkStart w:id="181" w:name="_Toc21012"/>
      <w:r/>
      <w:bookmarkStart w:id="182" w:name="_Toc71632271"/>
      <w:r/>
      <w:bookmarkStart w:id="183" w:name="_Toc49590161"/>
      <w:r>
        <w:rPr>
          <w:rFonts w:hint="eastAsia" w:ascii="仿宋" w:hAnsi="仿宋" w:eastAsia="仿宋"/>
          <w:b/>
          <w:bCs/>
          <w:sz w:val="36"/>
          <w:szCs w:val="36"/>
        </w:rPr>
      </w:r>
      <w:r/>
    </w:p>
    <w:p>
      <w:pPr>
        <w:pStyle w:val="931"/>
        <w:jc w:val="center"/>
        <w:keepLines/>
        <w:keepNext/>
        <w:spacing w:before="145" w:after="145" w:line="480" w:lineRule="exact"/>
        <w:rPr>
          <w:rFonts w:ascii="仿宋" w:hAnsi="仿宋" w:eastAsia="仿宋"/>
          <w:b/>
          <w:bCs/>
          <w:sz w:val="36"/>
          <w:szCs w:val="36"/>
        </w:rPr>
        <w:outlineLvl w:val="2"/>
      </w:pPr>
      <w:r>
        <w:rPr>
          <w:rFonts w:hint="eastAsia" w:ascii="仿宋" w:hAnsi="仿宋" w:eastAsia="仿宋"/>
          <w:b/>
          <w:bCs/>
          <w:sz w:val="36"/>
          <w:szCs w:val="36"/>
        </w:rPr>
        <w:t xml:space="preserve">第一部分 合同书</w:t>
      </w:r>
      <w:bookmarkEnd w:id="181"/>
      <w:r/>
      <w:bookmarkEnd w:id="182"/>
      <w:r/>
      <w:bookmarkEnd w:id="183"/>
      <w:r>
        <w:rPr>
          <w:rFonts w:ascii="仿宋" w:hAnsi="仿宋" w:eastAsia="仿宋"/>
          <w:b/>
          <w:bCs/>
          <w:sz w:val="36"/>
          <w:szCs w:val="36"/>
        </w:rPr>
      </w:r>
      <w:r/>
    </w:p>
    <w:p>
      <w:pPr>
        <w:pStyle w:val="931"/>
        <w:spacing w:line="500" w:lineRule="exact"/>
        <w:rPr>
          <w:b/>
          <w:bCs/>
          <w:sz w:val="28"/>
          <w:szCs w:val="28"/>
        </w:rPr>
      </w:pPr>
      <w:r>
        <w:rPr>
          <w:b/>
          <w:bCs/>
          <w:sz w:val="28"/>
          <w:szCs w:val="28"/>
        </w:rPr>
      </w:r>
      <w:r/>
    </w:p>
    <w:p>
      <w:pPr>
        <w:pStyle w:val="931"/>
        <w:spacing w:line="500" w:lineRule="exact"/>
        <w:rPr>
          <w:rFonts w:ascii="方正仿宋_GB2312" w:hAnsi="仿宋" w:eastAsia="方正仿宋_GB2312"/>
          <w:sz w:val="28"/>
          <w:szCs w:val="28"/>
        </w:rPr>
      </w:pPr>
      <w:r>
        <w:rPr>
          <w:b/>
          <w:bCs/>
          <w:sz w:val="28"/>
          <w:szCs w:val="28"/>
        </w:rPr>
        <w:t xml:space="preserve">    </w:t>
      </w:r>
      <w:r>
        <w:rPr>
          <w:rFonts w:hint="eastAsia" w:ascii="方正仿宋_GB2312" w:hAnsi="仿宋" w:eastAsia="方正仿宋_GB2312"/>
          <w:sz w:val="28"/>
          <w:szCs w:val="28"/>
        </w:rPr>
        <w:t xml:space="preserve">根据《中华人民共和国民法典》《中华人民共和国政府采购法》等相关法律法规之规定，按照平等、自愿、公平和诚实信用的原则，经</w:t>
      </w:r>
      <w:r>
        <w:rPr>
          <w:rFonts w:hint="eastAsia" w:ascii="方正仿宋_GB2312" w:hAnsi="仿宋" w:eastAsia="方正仿宋_GB2312"/>
          <w:sz w:val="28"/>
          <w:szCs w:val="28"/>
          <w:u w:val="single"/>
        </w:rPr>
        <w:t xml:space="preserve">江苏省南通市中级人民法院（采购人名称）（</w:t>
      </w:r>
      <w:r>
        <w:rPr>
          <w:rFonts w:hint="eastAsia" w:ascii="方正仿宋_GB2312" w:hAnsi="仿宋" w:eastAsia="方正仿宋_GB2312"/>
          <w:sz w:val="28"/>
          <w:szCs w:val="28"/>
        </w:rPr>
        <w:t xml:space="preserve">以下简称：甲方）和</w:t>
      </w:r>
      <w:r>
        <w:rPr>
          <w:rFonts w:hint="eastAsia" w:ascii="方正仿宋_GB2312" w:hAnsi="仿宋" w:eastAsia="方正仿宋_GB2312"/>
          <w:sz w:val="28"/>
          <w:szCs w:val="28"/>
          <w:u w:val="single"/>
        </w:rPr>
        <w:t xml:space="preserve">（中标供应商名称）</w:t>
      </w:r>
      <w:r>
        <w:rPr>
          <w:rFonts w:hint="eastAsia" w:ascii="方正仿宋_GB2312" w:hAnsi="仿宋" w:eastAsia="方正仿宋_GB2312"/>
          <w:sz w:val="28"/>
          <w:szCs w:val="28"/>
        </w:rPr>
        <w:t xml:space="preserve"> （以下简称：乙方）协商一致，约定以下合同条款，以兹共同遵守、全面履行。</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1.1 合同组成部分</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1.1.1 本合同及其补充合同、变更协议；</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1.1.2 中标通知书；</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1.1.3 投标文件（含澄清或者说明文件）；</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1.1.4 招标文件（含澄清或者修改文件）；</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1.1.5 其他相关采购文件。</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1.2 货物</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1.2.1 货物名称、数量：见本合同第四部分设备清单；</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1.2.2 货物质量：。</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1.3 价款</w:t>
      </w:r>
      <w:r>
        <w:rPr>
          <w:rFonts w:ascii="方正仿宋_GB2312" w:hAnsi="仿宋" w:eastAsia="方正仿宋_GB2312"/>
          <w:b/>
          <w:bCs/>
          <w:sz w:val="28"/>
          <w:szCs w:val="28"/>
        </w:rPr>
      </w:r>
      <w:r/>
    </w:p>
    <w:p>
      <w:pPr>
        <w:pStyle w:val="931"/>
        <w:ind w:firstLine="560"/>
        <w:spacing w:line="500" w:lineRule="exact"/>
      </w:pPr>
      <w:r>
        <w:rPr>
          <w:rFonts w:hint="eastAsia" w:ascii="方正仿宋_GB2312" w:hAnsi="仿宋" w:eastAsia="方正仿宋_GB2312"/>
          <w:sz w:val="28"/>
          <w:szCs w:val="28"/>
        </w:rPr>
        <w:t xml:space="preserve">本合同总价为：￥        元（大写：      元人民币）。</w:t>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1.4 付款方式和发票开具方式</w:t>
      </w:r>
      <w:r>
        <w:rPr>
          <w:rFonts w:ascii="方正仿宋_GB2312" w:hAnsi="仿宋" w:eastAsia="方正仿宋_GB2312"/>
          <w:b/>
          <w:bCs/>
          <w:sz w:val="28"/>
          <w:szCs w:val="28"/>
        </w:rPr>
      </w:r>
      <w:r/>
    </w:p>
    <w:p>
      <w:pPr>
        <w:pStyle w:val="931"/>
        <w:ind w:firstLine="560"/>
        <w:spacing w:line="500" w:lineRule="exact"/>
        <w:rPr>
          <w:rFonts w:hint="eastAsia" w:ascii="方正仿宋_GB2312" w:hAnsi="仿宋" w:eastAsia="方正仿宋_GB2312"/>
          <w:sz w:val="28"/>
          <w:szCs w:val="28"/>
        </w:rPr>
      </w:pPr>
      <w:r>
        <w:rPr>
          <w:rFonts w:hint="eastAsia" w:ascii="方正仿宋_GB2312" w:hAnsi="仿宋" w:eastAsia="方正仿宋_GB2312"/>
          <w:sz w:val="28"/>
          <w:szCs w:val="28"/>
        </w:rPr>
        <w:t xml:space="preserve">1.4.1 付款方式：</w:t>
      </w:r>
      <w:r>
        <w:rPr>
          <w:rFonts w:hint="eastAsia" w:ascii="方正仿宋_GB2312" w:hAnsi="仿宋" w:eastAsia="方正仿宋_GB2312"/>
          <w:sz w:val="28"/>
          <w:szCs w:val="28"/>
        </w:rPr>
      </w:r>
      <w:r/>
    </w:p>
    <w:p>
      <w:pPr>
        <w:pStyle w:val="931"/>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（1）合同签订之日起30日内，支付合同价款的30%；</w:t>
      </w:r>
      <w:r>
        <w:rPr>
          <w:rFonts w:hint="eastAsia" w:ascii="仿宋" w:hAnsi="仿宋" w:eastAsia="仿宋" w:cs="仿宋"/>
          <w:color w:val="000000"/>
          <w:sz w:val="28"/>
          <w:szCs w:val="28"/>
          <w:highlight w:val="none"/>
        </w:rPr>
      </w:r>
      <w:r/>
    </w:p>
    <w:p>
      <w:pPr>
        <w:pStyle w:val="931"/>
        <w:ind w:firstLine="560"/>
        <w:spacing w:line="5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）项目</w:t>
      </w:r>
      <w:r>
        <w:rPr>
          <w:rFonts w:hint="eastAsia" w:ascii="仿宋" w:hAnsi="仿宋" w:eastAsia="仿宋" w:cs="仿宋"/>
          <w:color w:val="000000"/>
          <w:sz w:val="28"/>
          <w:szCs w:val="28"/>
          <w:highlight w:val="none"/>
          <w:lang w:val="en-US" w:eastAsia="zh-CN"/>
        </w:rPr>
        <w:t xml:space="preserve">通过验收</w:t>
      </w:r>
      <w:r>
        <w:rPr>
          <w:rFonts w:hint="eastAsia" w:ascii="仿宋" w:hAnsi="仿宋" w:eastAsia="仿宋" w:cs="仿宋"/>
          <w:color w:val="000000"/>
          <w:sz w:val="28"/>
          <w:szCs w:val="28"/>
          <w:highlight w:val="none"/>
        </w:rPr>
        <w:t xml:space="preserve">之日起30日内，</w:t>
      </w:r>
      <w:r>
        <w:rPr>
          <w:rFonts w:hint="eastAsia" w:ascii="仿宋" w:hAnsi="仿宋" w:eastAsia="仿宋" w:cs="仿宋"/>
          <w:color w:val="000000"/>
          <w:sz w:val="28"/>
          <w:szCs w:val="28"/>
          <w:highlight w:val="none"/>
          <w:lang w:val="en-US" w:eastAsia="zh-CN"/>
        </w:rPr>
        <w:t xml:space="preserve">支付合同价款的70%。</w:t>
      </w:r>
      <w:r>
        <w:rPr>
          <w:rFonts w:hint="eastAsia" w:ascii="仿宋" w:hAnsi="仿宋" w:eastAsia="仿宋" w:cs="仿宋"/>
          <w:color w:val="000000"/>
          <w:sz w:val="28"/>
          <w:szCs w:val="28"/>
          <w:highlight w:val="none"/>
          <w:lang w:val="en-US" w:eastAsia="zh-CN"/>
        </w:rPr>
      </w:r>
      <w:r/>
    </w:p>
    <w:p>
      <w:pPr>
        <w:pStyle w:val="931"/>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1.4.2 发票开具方式：在满足合同约定的付款条件后，乙方应开具符合国家有关财税规定的发票给甲方，甲方在收到乙方正式发票之日起10个工作日内完成支付。</w:t>
      </w:r>
      <w:r>
        <w:rPr>
          <w:rFonts w:hint="eastAsia" w:ascii="仿宋" w:hAnsi="仿宋" w:eastAsia="仿宋" w:cs="仿宋"/>
          <w:sz w:val="28"/>
          <w:szCs w:val="28"/>
          <w:highlight w:val="none"/>
        </w:rPr>
      </w:r>
      <w:r/>
    </w:p>
    <w:p>
      <w:pPr>
        <w:pStyle w:val="931"/>
        <w:ind w:firstLine="560"/>
        <w:spacing w:line="5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1.4.3审计条款：采购人有权按有关规定对本项目资金使用开展审计监督，最终审计金额与合同价款不符的，据实调整</w:t>
      </w:r>
      <w:r>
        <w:rPr>
          <w:rFonts w:hint="eastAsia" w:ascii="仿宋" w:hAnsi="仿宋" w:eastAsia="仿宋" w:cs="仿宋"/>
          <w:color w:val="000000"/>
          <w:sz w:val="28"/>
          <w:szCs w:val="28"/>
          <w:highlight w:val="none"/>
        </w:rPr>
        <w:t xml:space="preserve">。</w:t>
      </w:r>
      <w:r>
        <w:rPr>
          <w:rFonts w:hint="eastAsia" w:ascii="仿宋" w:hAnsi="仿宋" w:eastAsia="仿宋" w:cs="仿宋"/>
          <w:sz w:val="28"/>
          <w:szCs w:val="28"/>
          <w:highlight w:val="none"/>
          <w:lang w:val="en-US" w:eastAsia="zh-CN"/>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1.5 货物交付期限、地点和方式</w:t>
      </w:r>
      <w:r>
        <w:rPr>
          <w:rFonts w:ascii="方正仿宋_GB2312" w:hAnsi="仿宋" w:eastAsia="方正仿宋_GB2312"/>
          <w:b/>
          <w:bCs/>
          <w:sz w:val="28"/>
          <w:szCs w:val="28"/>
        </w:rPr>
      </w:r>
      <w:r/>
    </w:p>
    <w:p>
      <w:pPr>
        <w:pStyle w:val="931"/>
        <w:ind w:firstLine="560"/>
        <w:spacing w:line="500" w:lineRule="exact"/>
        <w:rPr>
          <w:rFonts w:hint="eastAsia" w:ascii="方正仿宋_GB2312" w:hAnsi="仿宋" w:eastAsia="方正仿宋_GB2312"/>
          <w:sz w:val="28"/>
          <w:szCs w:val="28"/>
        </w:rPr>
      </w:pPr>
      <w:r>
        <w:rPr>
          <w:rFonts w:hint="eastAsia" w:ascii="方正仿宋_GB2312" w:hAnsi="仿宋" w:eastAsia="方正仿宋_GB2312"/>
          <w:sz w:val="28"/>
          <w:szCs w:val="28"/>
        </w:rPr>
        <w:t xml:space="preserve">1.5.1交付期限</w:t>
      </w:r>
      <w:r>
        <w:rPr>
          <w:rFonts w:hint="eastAsia" w:ascii="方正仿宋_GB2312" w:hAnsi="仿宋" w:eastAsia="方正仿宋_GB2312"/>
          <w:sz w:val="28"/>
          <w:szCs w:val="28"/>
        </w:rPr>
      </w:r>
      <w:r/>
    </w:p>
    <w:p>
      <w:pPr>
        <w:pStyle w:val="931"/>
        <w:ind w:firstLine="560"/>
        <w:spacing w:line="500" w:lineRule="exact"/>
        <w:rPr>
          <w:rFonts w:hint="eastAsia" w:ascii="方正仿宋_GB2312" w:hAnsi="仿宋" w:eastAsia="方正仿宋_GB2312"/>
          <w:sz w:val="28"/>
          <w:szCs w:val="28"/>
        </w:rPr>
      </w:pPr>
      <w:r>
        <w:rPr>
          <w:rFonts w:hint="eastAsia" w:ascii="仿宋" w:hAnsi="仿宋" w:eastAsia="仿宋" w:cs="仿宋"/>
          <w:color w:val="000000"/>
          <w:sz w:val="28"/>
          <w:szCs w:val="28"/>
        </w:rPr>
        <w:t xml:space="preserve">采购人开工令发出后180日内完成项目实施。</w:t>
      </w:r>
      <w:r>
        <w:rPr>
          <w:rFonts w:hint="eastAsia"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1.5.2 交付地点：</w:t>
      </w:r>
      <w:r>
        <w:rPr>
          <w:rFonts w:hint="eastAsia" w:ascii="仿宋" w:hAnsi="仿宋" w:eastAsia="仿宋" w:cs="仿宋"/>
          <w:color w:val="000000"/>
          <w:sz w:val="28"/>
          <w:szCs w:val="28"/>
        </w:rPr>
        <w:t xml:space="preserve">崇川区工农路247号（原市税务局第三税务分局及第一稽查局），具体以甲方要求为准</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1.5.3交付方式：甲方指定方式</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1.6 违约责任</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方正仿宋_GB2312" w:hAnsi="仿宋" w:eastAsia="方正仿宋_GB2312"/>
          <w:sz w:val="28"/>
          <w:szCs w:val="28"/>
          <w:u w:val="single"/>
        </w:rPr>
        <w:t xml:space="preserve"> </w:t>
      </w:r>
      <w:r>
        <w:rPr>
          <w:rFonts w:ascii="方正仿宋_GB2312" w:hAnsi="仿宋" w:eastAsia="方正仿宋_GB2312"/>
          <w:sz w:val="28"/>
          <w:szCs w:val="28"/>
          <w:u w:val="single"/>
        </w:rPr>
        <w:t xml:space="preserve">0.05</w:t>
      </w:r>
      <w:r>
        <w:rPr>
          <w:rFonts w:hint="eastAsia" w:ascii="方正仿宋_GB2312" w:hAnsi="仿宋" w:eastAsia="方正仿宋_GB2312"/>
          <w:sz w:val="28"/>
          <w:szCs w:val="28"/>
          <w:u w:val="single"/>
        </w:rPr>
        <w:t xml:space="preserve"> </w:t>
      </w:r>
      <w:r>
        <w:rPr>
          <w:rFonts w:hint="eastAsia" w:ascii="方正仿宋_GB2312" w:hAnsi="仿宋" w:eastAsia="方正仿宋_GB2312"/>
          <w:sz w:val="28"/>
          <w:szCs w:val="28"/>
        </w:rPr>
        <w:t xml:space="preserve">%计算，最高限额为本合同总价的20%；迟延交付货物的违约金计算数额达到前述最高限额之日起，甲方有权在要求乙方支付违约金的同时，书面通知乙方解除本合同；</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2</w:t>
      </w:r>
      <w:r>
        <w:rPr>
          <w:rFonts w:hint="eastAsia" w:ascii="方正仿宋_GB2312" w:hAnsi="仿宋" w:eastAsia="方正仿宋_GB2312"/>
          <w:sz w:val="28"/>
          <w:szCs w:val="28"/>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3</w:t>
      </w:r>
      <w:r>
        <w:rPr>
          <w:rFonts w:hint="eastAsia" w:ascii="方正仿宋_GB2312" w:hAnsi="仿宋" w:eastAsia="方正仿宋_GB2312"/>
          <w:sz w:val="28"/>
          <w:szCs w:val="28"/>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4</w:t>
      </w:r>
      <w:r>
        <w:rPr>
          <w:rFonts w:hint="eastAsia" w:ascii="方正仿宋_GB2312" w:hAnsi="仿宋" w:eastAsia="方正仿宋_GB2312"/>
          <w:sz w:val="28"/>
          <w:szCs w:val="28"/>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1.6.</w:t>
      </w:r>
      <w:r>
        <w:rPr>
          <w:rFonts w:ascii="方正仿宋_GB2312" w:hAnsi="仿宋" w:eastAsia="方正仿宋_GB2312"/>
          <w:sz w:val="28"/>
          <w:szCs w:val="28"/>
        </w:rPr>
        <w:t xml:space="preserve">5</w:t>
      </w:r>
      <w:r>
        <w:rPr>
          <w:rFonts w:hint="eastAsia" w:ascii="方正仿宋_GB2312" w:hAnsi="仿宋" w:eastAsia="方正仿宋_GB2312"/>
          <w:sz w:val="28"/>
          <w:szCs w:val="28"/>
        </w:rPr>
        <w:t xml:space="preserve">如果出现政府采购监督管理部门在处理投诉事项期间，书面通知甲方暂停采购活动的情形，或者询问或质疑事项可能影响中标结果的，导致甲方中止履行合同的情形，均不视为甲方违约；</w:t>
      </w:r>
      <w:r>
        <w:rPr>
          <w:rFonts w:ascii="方正仿宋_GB2312" w:hAnsi="仿宋" w:eastAsia="方正仿宋_GB2312"/>
          <w:sz w:val="28"/>
          <w:szCs w:val="28"/>
        </w:rPr>
      </w:r>
      <w:r/>
    </w:p>
    <w:p>
      <w:pPr>
        <w:pStyle w:val="1050"/>
        <w:ind w:firstLine="562"/>
        <w:rPr>
          <w:rFonts w:hAnsi="仿宋"/>
          <w:b/>
          <w:bCs/>
          <w:sz w:val="28"/>
          <w:szCs w:val="28"/>
        </w:rPr>
      </w:pPr>
      <w:r>
        <w:rPr>
          <w:rFonts w:hint="eastAsia" w:hAnsi="仿宋"/>
          <w:b/>
          <w:bCs/>
          <w:sz w:val="28"/>
          <w:szCs w:val="28"/>
        </w:rPr>
        <w:t xml:space="preserve">1.6.</w:t>
      </w:r>
      <w:r>
        <w:rPr>
          <w:rFonts w:hAnsi="仿宋"/>
          <w:b/>
          <w:bCs/>
          <w:sz w:val="28"/>
          <w:szCs w:val="28"/>
        </w:rPr>
        <w:t xml:space="preserve">7 </w:t>
      </w:r>
      <w:r>
        <w:rPr>
          <w:rFonts w:hint="eastAsia" w:hAnsi="仿宋"/>
          <w:b/>
          <w:bCs/>
          <w:sz w:val="28"/>
          <w:szCs w:val="28"/>
        </w:rPr>
        <w:t xml:space="preserve">乙方将项目违法转包的，甲方有权解除合同，并可要求乙方支付不超过项目本合同总价20 %的赔偿金；</w:t>
      </w:r>
      <w:r>
        <w:rPr>
          <w:rFonts w:hAnsi="仿宋"/>
          <w:b/>
          <w:bCs/>
          <w:sz w:val="28"/>
          <w:szCs w:val="28"/>
        </w:rPr>
      </w:r>
      <w:r/>
    </w:p>
    <w:p>
      <w:pPr>
        <w:pStyle w:val="1050"/>
        <w:ind w:firstLine="562"/>
        <w:rPr>
          <w:rFonts w:hAnsi="仿宋"/>
          <w:b/>
          <w:bCs/>
          <w:sz w:val="28"/>
          <w:szCs w:val="28"/>
        </w:rPr>
      </w:pPr>
      <w:r>
        <w:rPr>
          <w:rFonts w:hint="eastAsia" w:hAnsi="仿宋"/>
          <w:b/>
          <w:bCs/>
          <w:sz w:val="28"/>
          <w:szCs w:val="28"/>
        </w:rPr>
        <w:t xml:space="preserve">1</w:t>
      </w:r>
      <w:r>
        <w:rPr>
          <w:rFonts w:hAnsi="仿宋"/>
          <w:b/>
          <w:bCs/>
          <w:sz w:val="28"/>
          <w:szCs w:val="28"/>
        </w:rPr>
        <w:t xml:space="preserve">.6.8 </w:t>
      </w:r>
      <w:r>
        <w:rPr>
          <w:rFonts w:hint="eastAsia" w:hAnsi="仿宋"/>
          <w:b/>
          <w:bCs/>
          <w:sz w:val="28"/>
          <w:szCs w:val="28"/>
        </w:rPr>
        <w:t xml:space="preserve">乙方未经甲方同意，擅自将项目分包履行或分包方式不合法的，甲方有权解除合同，并可要求乙方支付不超过项目本合同总价20 %的赔偿金；</w:t>
      </w:r>
      <w:r>
        <w:rPr>
          <w:rFonts w:hAnsi="仿宋"/>
          <w:b/>
          <w:bCs/>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1.7 合同争议的解决</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本合同履行过程中发生的任何争议，双方当事人均可通过和解或者调解解决；不愿和解、调解或者和解、调解不成的，可以选择向甲方人民法院起诉。</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1.8 合同生效</w:t>
      </w:r>
      <w:r>
        <w:rPr>
          <w:rFonts w:ascii="方正仿宋_GB2312" w:hAnsi="仿宋" w:eastAsia="方正仿宋_GB2312"/>
          <w:b/>
          <w:bCs/>
          <w:sz w:val="28"/>
          <w:szCs w:val="28"/>
        </w:rPr>
      </w:r>
      <w:r/>
    </w:p>
    <w:p>
      <w:pPr>
        <w:pStyle w:val="931"/>
        <w:ind w:firstLine="560"/>
        <w:spacing w:line="500" w:lineRule="exact"/>
      </w:pPr>
      <w:r>
        <w:rPr>
          <w:rFonts w:hint="eastAsia" w:ascii="方正仿宋_GB2312" w:hAnsi="仿宋" w:eastAsia="方正仿宋_GB2312"/>
          <w:sz w:val="28"/>
          <w:szCs w:val="28"/>
        </w:rPr>
        <w:t xml:space="preserve">本合同自双方当事人盖章或者签字时生效。</w:t>
      </w:r>
      <w:r/>
    </w:p>
    <w:p>
      <w:pPr>
        <w:pStyle w:val="931"/>
      </w:pPr>
      <w:r/>
      <w:r/>
    </w:p>
    <w:tbl>
      <w:tblPr>
        <w:tblpPr w:horzAnchor="page" w:tblpX="1945" w:vertAnchor="text" w:tblpY="170" w:leftFromText="180" w:topFromText="0" w:rightFromText="180" w:bottomFromText="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2"/>
        <w:gridCol w:w="4253"/>
      </w:tblGrid>
      <w:tr>
        <w:trPr>
          <w:cantSplit/>
          <w:trHeight w:val="927"/>
        </w:trPr>
        <w:tc>
          <w:tcPr>
            <w:tcW w:w="4250" w:type="dxa"/>
            <w:vAlign w:val="center"/>
            <w:textDirection w:val="lrTb"/>
            <w:noWrap w:val="false"/>
          </w:tcPr>
          <w:p>
            <w:pPr>
              <w:pStyle w:val="931"/>
              <w:ind w:firstLine="560"/>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甲方</w:t>
            </w:r>
            <w:r>
              <w:rPr>
                <w:rFonts w:ascii="方正仿宋_GB2312" w:hAnsi="仿宋" w:eastAsia="方正仿宋_GB2312"/>
                <w:sz w:val="28"/>
                <w:szCs w:val="28"/>
              </w:rPr>
            </w:r>
            <w:r/>
          </w:p>
        </w:tc>
        <w:tc>
          <w:tcPr>
            <w:tcW w:w="4250" w:type="dxa"/>
            <w:vAlign w:val="center"/>
            <w:textDirection w:val="lrTb"/>
            <w:noWrap w:val="false"/>
          </w:tcPr>
          <w:p>
            <w:pPr>
              <w:pStyle w:val="931"/>
              <w:ind w:firstLine="560"/>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乙方</w:t>
            </w:r>
            <w:r>
              <w:rPr>
                <w:rFonts w:ascii="方正仿宋_GB2312" w:hAnsi="仿宋" w:eastAsia="方正仿宋_GB2312"/>
                <w:sz w:val="28"/>
                <w:szCs w:val="28"/>
              </w:rPr>
            </w:r>
            <w:r/>
          </w:p>
        </w:tc>
      </w:tr>
      <w:tr>
        <w:trPr>
          <w:cantSplit/>
          <w:trHeight w:val="3641"/>
        </w:trPr>
        <w:tc>
          <w:tcPr>
            <w:tcW w:w="4250" w:type="dxa"/>
            <w:vAlign w:val="top"/>
            <w:textDirection w:val="lrTb"/>
            <w:noWrap w:val="false"/>
          </w:tcPr>
          <w:p>
            <w:pPr>
              <w:pStyle w:val="93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93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法定代表人或授权人： </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93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单位名称（章）：</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93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       年    月    日</w:t>
            </w:r>
            <w:r>
              <w:rPr>
                <w:rFonts w:ascii="方正仿宋_GB2312" w:hAnsi="仿宋" w:eastAsia="方正仿宋_GB2312"/>
                <w:sz w:val="28"/>
                <w:szCs w:val="28"/>
              </w:rPr>
            </w:r>
            <w:r/>
          </w:p>
        </w:tc>
        <w:tc>
          <w:tcPr>
            <w:tcW w:w="4250" w:type="dxa"/>
            <w:vAlign w:val="top"/>
            <w:textDirection w:val="lrTb"/>
            <w:noWrap w:val="false"/>
          </w:tcPr>
          <w:p>
            <w:pPr>
              <w:pStyle w:val="931"/>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93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法定代表人或授权人： </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framePr w:vAnchor="text" w:hAnchor="page" w:x="1945" w:y="170"/>
            </w:pPr>
            <w:r>
              <w:rPr>
                <w:rFonts w:ascii="方正仿宋_GB2312" w:hAnsi="仿宋" w:eastAsia="方正仿宋_GB2312"/>
                <w:sz w:val="28"/>
                <w:szCs w:val="28"/>
              </w:rPr>
            </w:r>
            <w:r/>
          </w:p>
          <w:p>
            <w:pPr>
              <w:pStyle w:val="931"/>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单位名称（章）：</w:t>
            </w:r>
            <w:r>
              <w:rPr>
                <w:rFonts w:ascii="方正仿宋_GB2312" w:hAnsi="仿宋" w:eastAsia="方正仿宋_GB2312"/>
                <w:sz w:val="28"/>
                <w:szCs w:val="28"/>
              </w:rPr>
            </w:r>
            <w:r/>
          </w:p>
          <w:p>
            <w:pPr>
              <w:pStyle w:val="1052"/>
              <w:jc w:val="both"/>
              <w:spacing w:line="500" w:lineRule="exact"/>
              <w:rPr>
                <w:rFonts w:ascii="方正仿宋_GB2312" w:eastAsia="方正仿宋_GB2312"/>
                <w:color w:val="000000"/>
              </w:rPr>
              <w:framePr w:vAnchor="text" w:hAnchor="page" w:x="1945" w:y="170"/>
            </w:pPr>
            <w:r>
              <w:rPr>
                <w:rFonts w:ascii="方正仿宋_GB2312" w:eastAsia="方正仿宋_GB2312"/>
                <w:color w:val="000000"/>
              </w:rPr>
            </w:r>
            <w:r/>
          </w:p>
          <w:p>
            <w:pPr>
              <w:pStyle w:val="931"/>
              <w:ind w:firstLine="1960"/>
              <w:spacing w:line="500" w:lineRule="exact"/>
              <w:rPr>
                <w:rFonts w:ascii="方正仿宋_GB2312" w:hAnsi="仿宋" w:eastAsia="方正仿宋_GB2312"/>
                <w:sz w:val="28"/>
                <w:szCs w:val="28"/>
              </w:rPr>
              <w:framePr w:vAnchor="text" w:hAnchor="page" w:x="1945" w:y="170"/>
            </w:pPr>
            <w:r>
              <w:rPr>
                <w:rFonts w:hint="eastAsia" w:ascii="方正仿宋_GB2312" w:hAnsi="仿宋" w:eastAsia="方正仿宋_GB2312"/>
                <w:sz w:val="28"/>
                <w:szCs w:val="28"/>
              </w:rPr>
              <w:t xml:space="preserve">年    月    日</w:t>
            </w:r>
            <w:r>
              <w:rPr>
                <w:rFonts w:ascii="方正仿宋_GB2312" w:hAnsi="仿宋" w:eastAsia="方正仿宋_GB2312"/>
                <w:sz w:val="28"/>
                <w:szCs w:val="28"/>
              </w:rPr>
            </w:r>
            <w:r/>
          </w:p>
        </w:tc>
      </w:tr>
    </w:tbl>
    <w:p>
      <w:pPr>
        <w:pStyle w:val="931"/>
        <w:ind w:firstLine="560"/>
        <w:spacing w:line="500" w:lineRule="exact"/>
        <w:rPr>
          <w:rFonts w:ascii="方正仿宋_GB2312" w:hAnsi="仿宋" w:eastAsia="方正仿宋_GB2312"/>
          <w:sz w:val="28"/>
          <w:szCs w:val="28"/>
        </w:rPr>
      </w:pPr>
      <w:r>
        <w:rPr>
          <w:rFonts w:ascii="方正仿宋_GB2312" w:hAnsi="仿宋" w:eastAsia="方正仿宋_GB2312"/>
          <w:sz w:val="28"/>
          <w:szCs w:val="28"/>
        </w:rPr>
      </w:r>
      <w:r/>
    </w:p>
    <w:p>
      <w:pPr>
        <w:pStyle w:val="931"/>
        <w:spacing w:line="500" w:lineRule="exact"/>
        <w:rPr>
          <w:rFonts w:ascii="方正仿宋_GB2312" w:hAnsi="仿宋" w:eastAsia="方正仿宋_GB2312"/>
          <w:sz w:val="28"/>
          <w:szCs w:val="28"/>
        </w:rPr>
      </w:pPr>
      <w:r>
        <w:rPr>
          <w:rFonts w:ascii="方正仿宋_GB2312" w:hAnsi="仿宋" w:eastAsia="方正仿宋_GB2312"/>
          <w:sz w:val="28"/>
          <w:szCs w:val="28"/>
        </w:rPr>
      </w:r>
      <w:r/>
    </w:p>
    <w:p>
      <w:pPr>
        <w:pStyle w:val="931"/>
        <w:spacing w:line="500" w:lineRule="exact"/>
        <w:widowControl/>
        <w:rPr>
          <w:rFonts w:ascii="方正仿宋_GB2312" w:hAnsi="仿宋" w:eastAsia="方正仿宋_GB2312"/>
          <w:sz w:val="28"/>
          <w:szCs w:val="28"/>
        </w:rPr>
      </w:pPr>
      <w:r>
        <w:rPr>
          <w:rFonts w:hint="eastAsia" w:ascii="方正仿宋_GB2312" w:hAnsi="仿宋" w:eastAsia="方正仿宋_GB2312"/>
          <w:sz w:val="28"/>
          <w:szCs w:val="28"/>
        </w:rPr>
        <w:br w:type="page" w:clear="all"/>
      </w:r>
      <w:r>
        <w:rPr>
          <w:rFonts w:ascii="方正仿宋_GB2312" w:hAnsi="仿宋" w:eastAsia="方正仿宋_GB2312"/>
          <w:sz w:val="28"/>
          <w:szCs w:val="28"/>
        </w:rPr>
      </w:r>
      <w:r/>
    </w:p>
    <w:p>
      <w:pPr>
        <w:pStyle w:val="931"/>
        <w:jc w:val="center"/>
        <w:keepLines/>
        <w:keepNext/>
        <w:spacing w:before="145" w:after="145" w:line="480" w:lineRule="exact"/>
        <w:rPr>
          <w:rFonts w:ascii="仿宋" w:hAnsi="仿宋" w:eastAsia="仿宋"/>
          <w:b/>
          <w:bCs/>
          <w:sz w:val="36"/>
          <w:szCs w:val="36"/>
        </w:rPr>
        <w:outlineLvl w:val="2"/>
      </w:pPr>
      <w:r/>
      <w:bookmarkStart w:id="184" w:name="_Toc71632272"/>
      <w:r/>
      <w:bookmarkStart w:id="185" w:name="_Toc49590162"/>
      <w:r/>
      <w:bookmarkStart w:id="186" w:name="_Toc16692"/>
      <w:r>
        <w:rPr>
          <w:rFonts w:hint="eastAsia" w:ascii="仿宋" w:hAnsi="仿宋" w:eastAsia="仿宋"/>
          <w:b/>
          <w:bCs/>
          <w:sz w:val="36"/>
          <w:szCs w:val="36"/>
        </w:rPr>
        <w:t xml:space="preserve">第二部分</w:t>
      </w:r>
      <w:r>
        <w:rPr>
          <w:rFonts w:ascii="仿宋" w:hAnsi="仿宋" w:eastAsia="仿宋"/>
          <w:b/>
          <w:bCs/>
          <w:sz w:val="36"/>
          <w:szCs w:val="36"/>
        </w:rPr>
        <w:t xml:space="preserve"> </w:t>
      </w:r>
      <w:r>
        <w:rPr>
          <w:rFonts w:hint="eastAsia" w:ascii="仿宋" w:hAnsi="仿宋" w:eastAsia="仿宋"/>
          <w:b/>
          <w:bCs/>
          <w:sz w:val="36"/>
          <w:szCs w:val="36"/>
        </w:rPr>
        <w:t xml:space="preserve">合同一般条款</w:t>
      </w:r>
      <w:bookmarkEnd w:id="184"/>
      <w:r/>
      <w:bookmarkEnd w:id="185"/>
      <w:r/>
      <w:bookmarkEnd w:id="186"/>
      <w:r>
        <w:rPr>
          <w:rFonts w:ascii="仿宋" w:hAnsi="仿宋" w:eastAsia="仿宋"/>
          <w:b/>
          <w:bCs/>
          <w:sz w:val="36"/>
          <w:szCs w:val="36"/>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 定义</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本合同中的下列词语应按以下内容进行解释：</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2.1.1 “合同”系指采购人和中标供应商签订的载明双方当事人所达成的协议，并包括所有的附件、附录和构成合同的其他文件。</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2.1.2 “合同价”系指根据合同约定，中标供应商在完全履行合同义务后，采购人应支付给中标供应商的价格。</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 “货物”系指中标供应商根据合同约定应向采购人交付的一切各种形态和种类的物品，包括原材料、燃料、设备、机械、仪表、备件、计算机软件、产品等，并包括工具、手册等其他相关资料。</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2.1.4 “甲方”系指与中标供应商签署合同的采购人；采购人委托采购代理机构代表其与乙方签订合同的，采购人的授权委托书作为合同附件。</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2.1.5 “乙方”系指根据合同约定交付货物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2.1.6 “现场”系指合同约定货物将要运至或者安装的地点。</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 技术规范</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2.3 知识产权</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2.3.2具有知识产权的计算机软件等货物的知识产权归属，详见合同专用条款。</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2.4 包装和装运</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2.4.1除合同专用条款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2.4.2 装运货物的要求和通知，详见合同专用条款。</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2.5 履约检查和问题反馈</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2.5.1甲方有权在其认为必要时，对乙方是否能够按照合同约定交付货物进行履约检查，以确保乙方所交付的货物能够依约满足甲方之项目需求，但不得因履约检查妨碍乙方的正常工作，乙方应予积极配合；</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2.5.2 合同履行期间，甲方有权将履行过程中出现的问题反馈给乙方，双方当事人应以书面形式约定需要完善和改进的内容。</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2.6 结算方式和付款条件</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详见合同专用条款。</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2.7 技术资料和保密义务</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2.7.1 乙方有权依据合同约定和项目需要，向甲方了解有关情况，调阅有关资料等，甲方应予积极配合；</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2.7.2 乙方有义务妥善保管和保护由甲方提供的前款信息和资料等；</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2.8 质量保证</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2.8.1 乙方应建立和完善履行合同的内部质量保证体系，并提供相关内部规章制度给甲方，以便甲方进行监督检查；</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2.8.2 乙方应保证履行合同的人员数量和素质、软件和硬件设备的配置、场地、环境和设施等满足全面履行合同的要求，并应接受甲方的监督检查。</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2.9 货物的风险负担</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货物或者在途货物或者交付给第一承运人后的货物毁损、灭失的风险负担详见合同专用条款。</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2.10 延迟交货</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2.11 合同变更</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2.11.1双方当事人协商一致，可以签订书面补充合同的形式变更合同，但不得违背采购文件确定的事项，且如果系追加与合同标的相同的货物的，那么所有补充合同的采购金额不得超过原合同价的10%；</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2.11.2 合同继续履行将损害国家利益和社会公共利益的，双方当事人应当以书面形式变更合同。有过错的一方应当承担赔偿责任，双方当事人都有过错的，各自承担相应的责任。</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2.12 合同转让和分包</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2.13 不可抗力</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2.13.1如果任何一方遭遇法律规定的不可抗力，致使合同履行受阻时，履行合同的期限应予延长，延长的期限应相当于不可抗力所影响的时间；</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2.13.2 因不可抗力致使不能实现合同目的的，当事人可以解除合同；</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2.13.3 因不可抗力致使合同有变更必要的，双方当事人应在合同专用条款约定时间内以书面形式变更合同；</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2.13.4受不可抗力影响的一方在不可抗力发生后，应在合同专用条款约定时间内以书面形式通知对方当事人，并在合同专用条款约定时间内，将有关部门出具的证明文件送达对方当事人。</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2.14 税费</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与合同有关的一切税费，均由乙方承担。</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2.15 乙方破产</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2.16 合同中止、终止</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2.16.1 双方当事人不得擅自中止或者终止合同；</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2.16.2合同继续履行将损害国家利益和社会公共利益的，双方当事人应当中止或者终止合同。有过错的一方应当承担赔偿责任，双方当事人都有过错的，各自承担相应的责任。</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2.17 检验和验收</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2.17.1货物交付前，乙方应对货物的质量、数量等方面进行详细、全面的检验，并向甲方出具证明货物符合合同约定的文件；货物交付时，乙方在合同专用条款约定时间内组织验收，并可依法邀请相关方参加，验收应出具验收书。</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2.17.3 检验和验收标准、程序等具体内容以及前述验收书的效力详见合同专用条款。</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2.18 通知和送达</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2.18.1 任何一方因履行合同而以合同第一部分尾部所列明的          发出的所有通知、文件、材料，均视为已向对方当事人送达；任何一方变更上述送达方式或者地址的，应于   个工作日内书面通知对方当事人，在对方当事人收到有关变更通知之前，变更前的约定送达方式或者地址仍视为有效。</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2.19 计量单位</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除技术规范中另有规定外，合同的计量单位均使用国家法定计量单位。</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2.20 合同使用的文字和适用的法律</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2.20.1 合同使用汉语书就、变更和解释；</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2.20.2 合同适用中华人民共和国法律。</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2.21 履约保证金</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2.21.1乙方应按合同专用条款约定的方式，以支票、汇票、本票或者金融机构、担保机构出具的保函等非现金形式，提交合同价</w:t>
      </w:r>
      <w:r>
        <w:rPr>
          <w:rFonts w:ascii="方正仿宋_GB2312" w:hAnsi="仿宋" w:eastAsia="方正仿宋_GB2312"/>
          <w:sz w:val="28"/>
          <w:szCs w:val="28"/>
          <w:u w:val="single"/>
        </w:rPr>
        <w:t xml:space="preserve">5</w:t>
      </w:r>
      <w:r>
        <w:rPr>
          <w:rFonts w:hint="eastAsia" w:ascii="方正仿宋_GB2312" w:hAnsi="仿宋" w:eastAsia="方正仿宋_GB2312"/>
          <w:sz w:val="28"/>
          <w:szCs w:val="28"/>
        </w:rPr>
        <w:t xml:space="preserve">%的履约保证金；</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2.21.2 项目终验通过后甲方将全部履约保证金退还乙方；</w:t>
      </w:r>
      <w:r>
        <w:rPr>
          <w:rFonts w:ascii="方正仿宋_GB2312" w:hAnsi="仿宋" w:eastAsia="方正仿宋_GB2312"/>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2.21.3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方正仿宋_GB2312" w:hAnsi="仿宋" w:eastAsia="方正仿宋_GB2312"/>
          <w:sz w:val="28"/>
          <w:szCs w:val="28"/>
        </w:rPr>
      </w:r>
      <w:r/>
    </w:p>
    <w:p>
      <w:pPr>
        <w:pStyle w:val="931"/>
        <w:ind w:firstLine="562"/>
        <w:spacing w:line="500" w:lineRule="exact"/>
        <w:rPr>
          <w:rFonts w:ascii="方正仿宋_GB2312" w:hAnsi="仿宋" w:eastAsia="方正仿宋_GB2312"/>
          <w:b/>
          <w:bCs/>
          <w:sz w:val="28"/>
          <w:szCs w:val="28"/>
        </w:rPr>
      </w:pPr>
      <w:r>
        <w:rPr>
          <w:rFonts w:hint="eastAsia" w:ascii="方正仿宋_GB2312" w:hAnsi="仿宋" w:eastAsia="方正仿宋_GB2312"/>
          <w:b/>
          <w:bCs/>
          <w:sz w:val="28"/>
          <w:szCs w:val="28"/>
        </w:rPr>
        <w:t xml:space="preserve">2.22 合同份数</w:t>
      </w:r>
      <w:r>
        <w:rPr>
          <w:rFonts w:ascii="方正仿宋_GB2312" w:hAnsi="仿宋" w:eastAsia="方正仿宋_GB2312"/>
          <w:b/>
          <w:bCs/>
          <w:sz w:val="28"/>
          <w:szCs w:val="28"/>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合同一式肆份，每份均具有同等法律效力。</w:t>
      </w:r>
      <w:r>
        <w:rPr>
          <w:rFonts w:ascii="方正仿宋_GB2312" w:hAnsi="仿宋" w:eastAsia="方正仿宋_GB2312"/>
          <w:sz w:val="28"/>
          <w:szCs w:val="28"/>
        </w:rPr>
      </w:r>
      <w:r/>
    </w:p>
    <w:p>
      <w:pPr>
        <w:pStyle w:val="931"/>
        <w:jc w:val="center"/>
        <w:spacing w:line="500" w:lineRule="exact"/>
        <w:widowControl/>
        <w:rPr>
          <w:rFonts w:ascii="仿宋" w:hAnsi="仿宋" w:eastAsia="仿宋"/>
          <w:b/>
          <w:bCs/>
          <w:sz w:val="36"/>
          <w:szCs w:val="36"/>
        </w:rPr>
      </w:pPr>
      <w:r>
        <w:rPr>
          <w:rFonts w:hint="eastAsia" w:ascii="方正仿宋_GB2312" w:hAnsi="仿宋" w:eastAsia="方正仿宋_GB2312"/>
          <w:sz w:val="28"/>
          <w:szCs w:val="28"/>
        </w:rPr>
        <w:br w:type="page" w:clear="all"/>
      </w:r>
      <w:bookmarkStart w:id="187" w:name="_Toc49590163"/>
      <w:r/>
      <w:bookmarkStart w:id="188" w:name="_Toc71632273"/>
      <w:r/>
      <w:bookmarkStart w:id="189" w:name="_Toc16487"/>
      <w:r>
        <w:rPr>
          <w:rFonts w:hint="eastAsia" w:ascii="仿宋" w:hAnsi="仿宋" w:eastAsia="仿宋"/>
          <w:b/>
          <w:bCs/>
          <w:sz w:val="36"/>
          <w:szCs w:val="36"/>
        </w:rPr>
        <w:t xml:space="preserve">第三部分</w:t>
      </w:r>
      <w:r>
        <w:rPr>
          <w:rFonts w:ascii="仿宋" w:hAnsi="仿宋" w:eastAsia="仿宋"/>
          <w:b/>
          <w:bCs/>
          <w:sz w:val="36"/>
          <w:szCs w:val="36"/>
        </w:rPr>
        <w:t xml:space="preserve"> </w:t>
      </w:r>
      <w:r>
        <w:rPr>
          <w:rFonts w:hint="eastAsia" w:ascii="仿宋" w:hAnsi="仿宋" w:eastAsia="仿宋"/>
          <w:b/>
          <w:bCs/>
          <w:sz w:val="36"/>
          <w:szCs w:val="36"/>
        </w:rPr>
        <w:t xml:space="preserve">合同专用条款</w:t>
      </w:r>
      <w:bookmarkEnd w:id="187"/>
      <w:r/>
      <w:bookmarkEnd w:id="188"/>
      <w:r/>
      <w:bookmarkEnd w:id="189"/>
      <w:r>
        <w:rPr>
          <w:rFonts w:ascii="仿宋" w:hAnsi="仿宋" w:eastAsia="仿宋"/>
          <w:b/>
          <w:bCs/>
          <w:sz w:val="36"/>
          <w:szCs w:val="36"/>
        </w:rPr>
      </w:r>
      <w:r/>
    </w:p>
    <w:p>
      <w:pPr>
        <w:pStyle w:val="931"/>
        <w:ind w:firstLine="560"/>
        <w:spacing w:line="500" w:lineRule="exact"/>
        <w:rPr>
          <w:rFonts w:ascii="方正仿宋_GB2312" w:hAnsi="仿宋" w:eastAsia="方正仿宋_GB2312"/>
          <w:sz w:val="28"/>
          <w:szCs w:val="28"/>
        </w:rPr>
      </w:pPr>
      <w:r>
        <w:rPr>
          <w:rFonts w:hint="eastAsia" w:ascii="方正仿宋_GB2312" w:hAnsi="仿宋" w:eastAsia="方正仿宋_GB2312"/>
          <w:sz w:val="28"/>
          <w:szCs w:val="28"/>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ascii="方正仿宋_GB2312" w:hAnsi="仿宋" w:eastAsia="方正仿宋_GB2312"/>
          <w:sz w:val="28"/>
          <w:szCs w:val="28"/>
        </w:rPr>
      </w:r>
      <w:r/>
    </w:p>
    <w:tbl>
      <w:tblPr>
        <w:tblW w:w="8434"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7272"/>
      </w:tblGrid>
      <w:tr>
        <w:trPr>
          <w:trHeight w:val="391"/>
        </w:trPr>
        <w:tc>
          <w:tcPr>
            <w:tcW w:w="1162" w:type="dxa"/>
            <w:vAlign w:val="center"/>
            <w:textDirection w:val="lrTb"/>
            <w:noWrap w:val="false"/>
          </w:tcPr>
          <w:p>
            <w:pPr>
              <w:pStyle w:val="931"/>
              <w:jc w:val="center"/>
              <w:spacing w:line="500" w:lineRule="exact"/>
              <w:rPr>
                <w:rFonts w:ascii="方正仿宋_GB2312" w:hAnsi="仿宋" w:eastAsia="方正仿宋_GB2312"/>
                <w:b/>
                <w:bCs/>
                <w:sz w:val="24"/>
                <w:szCs w:val="24"/>
              </w:rPr>
            </w:pPr>
            <w:r>
              <w:rPr>
                <w:rFonts w:hint="eastAsia" w:ascii="方正仿宋_GB2312" w:hAnsi="仿宋" w:eastAsia="方正仿宋_GB2312"/>
                <w:b/>
                <w:bCs/>
                <w:sz w:val="24"/>
                <w:szCs w:val="24"/>
              </w:rPr>
              <w:t xml:space="preserve">条款号</w:t>
            </w:r>
            <w:r>
              <w:rPr>
                <w:rFonts w:ascii="方正仿宋_GB2312" w:hAnsi="仿宋" w:eastAsia="方正仿宋_GB2312"/>
                <w:b/>
                <w:bCs/>
                <w:sz w:val="24"/>
                <w:szCs w:val="24"/>
              </w:rPr>
            </w:r>
            <w:r/>
          </w:p>
        </w:tc>
        <w:tc>
          <w:tcPr>
            <w:tcW w:w="7272" w:type="dxa"/>
            <w:vAlign w:val="center"/>
            <w:textDirection w:val="lrTb"/>
            <w:noWrap w:val="false"/>
          </w:tcPr>
          <w:p>
            <w:pPr>
              <w:pStyle w:val="931"/>
              <w:jc w:val="center"/>
              <w:spacing w:line="500" w:lineRule="exact"/>
              <w:rPr>
                <w:rFonts w:ascii="方正仿宋_GB2312" w:hAnsi="仿宋" w:eastAsia="方正仿宋_GB2312"/>
                <w:b/>
                <w:bCs/>
                <w:sz w:val="24"/>
                <w:szCs w:val="24"/>
              </w:rPr>
            </w:pPr>
            <w:r>
              <w:rPr>
                <w:rFonts w:hint="eastAsia" w:ascii="方正仿宋_GB2312" w:hAnsi="仿宋" w:eastAsia="方正仿宋_GB2312"/>
                <w:b/>
                <w:bCs/>
                <w:sz w:val="24"/>
                <w:szCs w:val="24"/>
              </w:rPr>
              <w:t xml:space="preserve">约定内容</w:t>
            </w:r>
            <w:r>
              <w:rPr>
                <w:rFonts w:ascii="方正仿宋_GB2312" w:hAnsi="仿宋" w:eastAsia="方正仿宋_GB2312"/>
                <w:b/>
                <w:bCs/>
                <w:sz w:val="24"/>
                <w:szCs w:val="24"/>
              </w:rPr>
            </w:r>
            <w:r/>
          </w:p>
        </w:tc>
      </w:tr>
      <w:tr>
        <w:trPr>
          <w:trHeight w:val="88"/>
        </w:trPr>
        <w:tc>
          <w:tcPr>
            <w:tcW w:w="1162" w:type="dxa"/>
            <w:vAlign w:val="center"/>
            <w:textDirection w:val="lrTb"/>
            <w:noWrap w:val="false"/>
          </w:tcPr>
          <w:p>
            <w:pPr>
              <w:pStyle w:val="931"/>
              <w:jc w:val="center"/>
              <w:spacing w:line="500" w:lineRule="exact"/>
              <w:rPr>
                <w:rFonts w:ascii="方正仿宋_GB2312" w:hAnsi="仿宋" w:eastAsia="方正仿宋_GB2312"/>
                <w:sz w:val="24"/>
                <w:szCs w:val="24"/>
              </w:rPr>
            </w:pPr>
            <w:r>
              <w:rPr>
                <w:rFonts w:hint="eastAsia" w:ascii="方正仿宋_GB2312" w:hAnsi="仿宋" w:eastAsia="方正仿宋_GB2312"/>
                <w:sz w:val="24"/>
                <w:szCs w:val="24"/>
              </w:rPr>
              <w:t xml:space="preserve">1</w:t>
            </w:r>
            <w:r>
              <w:rPr>
                <w:rFonts w:ascii="方正仿宋_GB2312" w:hAnsi="仿宋" w:eastAsia="方正仿宋_GB2312"/>
                <w:sz w:val="24"/>
                <w:szCs w:val="24"/>
              </w:rPr>
            </w:r>
            <w:r/>
          </w:p>
        </w:tc>
        <w:tc>
          <w:tcPr>
            <w:tcW w:w="7272" w:type="dxa"/>
            <w:vAlign w:val="center"/>
            <w:textDirection w:val="lrTb"/>
            <w:noWrap w:val="false"/>
          </w:tcPr>
          <w:p>
            <w:pPr>
              <w:pStyle w:val="931"/>
              <w:spacing w:line="500" w:lineRule="exact"/>
              <w:rPr>
                <w:rFonts w:ascii="方正仿宋_GB2312" w:hAnsi="仿宋" w:eastAsia="方正仿宋_GB2312"/>
                <w:sz w:val="24"/>
                <w:szCs w:val="24"/>
              </w:rPr>
            </w:pPr>
            <w:r>
              <w:rPr>
                <w:rFonts w:hint="eastAsia" w:ascii="方正仿宋_GB2312" w:hAnsi="仿宋" w:eastAsia="方正仿宋_GB2312"/>
                <w:sz w:val="24"/>
                <w:szCs w:val="24"/>
              </w:rPr>
              <w:t xml:space="preserve">所有产品设备供货时，如甲方要求提供产品质量检验合格证明，乙方均需按要求提供，属于国家强制性产品认证目录范围的，必须经国家指定的认证机构认证合格，取得相关证书并加施认证标志。</w:t>
            </w:r>
            <w:r>
              <w:rPr>
                <w:rFonts w:ascii="方正仿宋_GB2312" w:hAnsi="仿宋" w:eastAsia="方正仿宋_GB2312"/>
                <w:sz w:val="24"/>
                <w:szCs w:val="24"/>
              </w:rPr>
            </w:r>
            <w:r/>
          </w:p>
        </w:tc>
      </w:tr>
      <w:tr>
        <w:trPr>
          <w:trHeight w:val="352"/>
        </w:trPr>
        <w:tc>
          <w:tcPr>
            <w:tcW w:w="1162" w:type="dxa"/>
            <w:vAlign w:val="center"/>
            <w:textDirection w:val="lrTb"/>
            <w:noWrap w:val="false"/>
          </w:tcPr>
          <w:p>
            <w:pPr>
              <w:pStyle w:val="931"/>
              <w:jc w:val="center"/>
              <w:spacing w:line="500" w:lineRule="exact"/>
              <w:rPr>
                <w:rFonts w:ascii="方正仿宋_GB2312" w:hAnsi="仿宋" w:eastAsia="方正仿宋_GB2312"/>
                <w:sz w:val="24"/>
                <w:szCs w:val="24"/>
              </w:rPr>
            </w:pPr>
            <w:r>
              <w:rPr>
                <w:rFonts w:hint="eastAsia" w:ascii="方正仿宋_GB2312" w:hAnsi="仿宋" w:eastAsia="方正仿宋_GB2312"/>
                <w:sz w:val="24"/>
                <w:szCs w:val="24"/>
              </w:rPr>
              <w:t xml:space="preserve">2</w:t>
            </w:r>
            <w:r>
              <w:rPr>
                <w:rFonts w:ascii="方正仿宋_GB2312" w:hAnsi="仿宋" w:eastAsia="方正仿宋_GB2312"/>
                <w:sz w:val="24"/>
                <w:szCs w:val="24"/>
              </w:rPr>
            </w:r>
            <w:r/>
          </w:p>
        </w:tc>
        <w:tc>
          <w:tcPr>
            <w:tcW w:w="7272" w:type="dxa"/>
            <w:vAlign w:val="center"/>
            <w:textDirection w:val="lrTb"/>
            <w:noWrap w:val="false"/>
          </w:tcPr>
          <w:p>
            <w:pPr>
              <w:pStyle w:val="931"/>
              <w:spacing w:line="500" w:lineRule="exact"/>
              <w:rPr>
                <w:rFonts w:hAnsi="仿宋"/>
                <w:b/>
                <w:bCs/>
                <w:sz w:val="24"/>
                <w:szCs w:val="24"/>
              </w:rPr>
            </w:pPr>
            <w:r>
              <w:rPr>
                <w:rFonts w:hint="eastAsia" w:ascii="方正仿宋_GB2312" w:hAnsi="仿宋" w:eastAsia="方正仿宋_GB2312"/>
                <w:sz w:val="24"/>
                <w:szCs w:val="24"/>
              </w:rPr>
              <w:t xml:space="preserve">本项目要求整体质保3年，质保期自本项目终验合格之日起计算。</w:t>
            </w:r>
            <w:r>
              <w:rPr>
                <w:rFonts w:hAnsi="仿宋"/>
                <w:b/>
                <w:bCs/>
                <w:sz w:val="24"/>
                <w:szCs w:val="24"/>
              </w:rPr>
            </w:r>
            <w:r/>
          </w:p>
        </w:tc>
      </w:tr>
      <w:tr>
        <w:trPr>
          <w:trHeight w:val="352"/>
        </w:trPr>
        <w:tc>
          <w:tcPr>
            <w:tcW w:w="1162" w:type="dxa"/>
            <w:vAlign w:val="center"/>
            <w:textDirection w:val="lrTb"/>
            <w:noWrap w:val="false"/>
          </w:tcPr>
          <w:p>
            <w:pPr>
              <w:pStyle w:val="931"/>
              <w:jc w:val="center"/>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3</w:t>
            </w:r>
            <w:r>
              <w:rPr>
                <w:rFonts w:hint="eastAsia" w:ascii="方正仿宋_GB2312" w:hAnsi="仿宋" w:eastAsia="方正仿宋_GB2312"/>
                <w:sz w:val="24"/>
                <w:szCs w:val="24"/>
              </w:rPr>
            </w:r>
            <w:r/>
          </w:p>
        </w:tc>
        <w:tc>
          <w:tcPr>
            <w:tcW w:w="7272" w:type="dxa"/>
            <w:vAlign w:val="center"/>
            <w:textDirection w:val="lrTb"/>
            <w:noWrap w:val="false"/>
          </w:tcPr>
          <w:p>
            <w:pPr>
              <w:pStyle w:val="931"/>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乙方应采取必要的安全措施保证货物的运输及安装的安全，且须考虑到可能会发生的野蛮装卸、长途运输及多次装卸之需要。如因乙方包装不当以及其它原因造成损坏或丢失，应由乙方负一切责任。乙方发货到甲方指定地点前应先告知甲方。产品交货时，应提供到货产品、材料的清单等。</w:t>
            </w:r>
            <w:r>
              <w:rPr>
                <w:rFonts w:hint="eastAsia" w:ascii="方正仿宋_GB2312" w:hAnsi="仿宋" w:eastAsia="方正仿宋_GB2312"/>
                <w:sz w:val="24"/>
                <w:szCs w:val="24"/>
              </w:rPr>
            </w:r>
            <w:r/>
          </w:p>
        </w:tc>
      </w:tr>
      <w:tr>
        <w:trPr>
          <w:trHeight w:val="352"/>
        </w:trPr>
        <w:tc>
          <w:tcPr>
            <w:tcW w:w="1162" w:type="dxa"/>
            <w:vAlign w:val="center"/>
            <w:textDirection w:val="lrTb"/>
            <w:noWrap w:val="false"/>
          </w:tcPr>
          <w:p>
            <w:pPr>
              <w:pStyle w:val="931"/>
              <w:jc w:val="center"/>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4</w:t>
            </w:r>
            <w:r>
              <w:rPr>
                <w:rFonts w:hint="eastAsia" w:ascii="方正仿宋_GB2312" w:hAnsi="仿宋" w:eastAsia="方正仿宋_GB2312"/>
                <w:sz w:val="24"/>
                <w:szCs w:val="24"/>
              </w:rPr>
            </w:r>
            <w:r/>
          </w:p>
        </w:tc>
        <w:tc>
          <w:tcPr>
            <w:tcW w:w="7272" w:type="dxa"/>
            <w:vAlign w:val="center"/>
            <w:textDirection w:val="lrTb"/>
            <w:noWrap w:val="false"/>
          </w:tcPr>
          <w:p>
            <w:pPr>
              <w:pStyle w:val="931"/>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受不可抗力影响的一方在不可抗力发生后，应在2个工作日内以书面形式通知对方当事人，并在5个工作日内，将有关部门出具的证明文件送达对方当事人。</w:t>
            </w:r>
            <w:r>
              <w:rPr>
                <w:rFonts w:hint="eastAsia" w:ascii="方正仿宋_GB2312" w:hAnsi="仿宋" w:eastAsia="方正仿宋_GB2312"/>
                <w:sz w:val="24"/>
                <w:szCs w:val="24"/>
              </w:rPr>
            </w:r>
            <w:r/>
          </w:p>
        </w:tc>
      </w:tr>
      <w:tr>
        <w:trPr>
          <w:trHeight w:val="4314"/>
        </w:trPr>
        <w:tc>
          <w:tcPr>
            <w:tcW w:w="1162" w:type="dxa"/>
            <w:vAlign w:val="center"/>
            <w:textDirection w:val="lrTb"/>
            <w:noWrap w:val="false"/>
          </w:tcPr>
          <w:p>
            <w:pPr>
              <w:pStyle w:val="931"/>
              <w:jc w:val="center"/>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5</w:t>
            </w:r>
            <w:r>
              <w:rPr>
                <w:rFonts w:hint="eastAsia" w:ascii="方正仿宋_GB2312" w:hAnsi="仿宋" w:eastAsia="方正仿宋_GB2312"/>
                <w:sz w:val="24"/>
                <w:szCs w:val="24"/>
              </w:rPr>
            </w:r>
            <w:r/>
          </w:p>
        </w:tc>
        <w:tc>
          <w:tcPr>
            <w:tcW w:w="7272" w:type="dxa"/>
            <w:vAlign w:val="center"/>
            <w:textDirection w:val="lrTb"/>
            <w:noWrap w:val="false"/>
          </w:tcPr>
          <w:p>
            <w:pPr>
              <w:pStyle w:val="931"/>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乙方全部履约合同义务，经甲方验收合格无质量、进度等问题的，甲方在验收合格后一次性退还履约保证金；</w:t>
            </w:r>
            <w:r>
              <w:rPr>
                <w:rFonts w:hint="eastAsia" w:ascii="方正仿宋_GB2312" w:hAnsi="仿宋" w:eastAsia="方正仿宋_GB2312"/>
                <w:sz w:val="24"/>
                <w:szCs w:val="24"/>
              </w:rPr>
            </w:r>
            <w:r/>
          </w:p>
          <w:p>
            <w:pPr>
              <w:pStyle w:val="931"/>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发生以下情况的，履约保证金不予退还或部分退还：</w:t>
            </w:r>
            <w:r>
              <w:rPr>
                <w:rFonts w:hint="eastAsia" w:ascii="方正仿宋_GB2312" w:hAnsi="仿宋" w:eastAsia="方正仿宋_GB2312"/>
                <w:sz w:val="24"/>
                <w:szCs w:val="24"/>
              </w:rPr>
            </w:r>
            <w:r/>
          </w:p>
          <w:p>
            <w:pPr>
              <w:pStyle w:val="931"/>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a.签订合同后，乙方不履行合同义务的，甲方有权全额扣除履约保证金，全额不予退还，同时甲方亦有权终止合同，乙方还须承担相应的法律赔偿责任。</w:t>
            </w:r>
            <w:r>
              <w:rPr>
                <w:rFonts w:hint="eastAsia" w:ascii="方正仿宋_GB2312" w:hAnsi="仿宋" w:eastAsia="方正仿宋_GB2312"/>
                <w:sz w:val="24"/>
                <w:szCs w:val="24"/>
              </w:rPr>
            </w:r>
            <w:r/>
          </w:p>
          <w:p>
            <w:pPr>
              <w:pStyle w:val="931"/>
              <w:spacing w:line="500" w:lineRule="exact"/>
              <w:rPr>
                <w:rFonts w:hint="eastAsia" w:ascii="方正仿宋_GB2312" w:hAnsi="仿宋" w:eastAsia="方正仿宋_GB2312"/>
                <w:sz w:val="24"/>
                <w:szCs w:val="24"/>
              </w:rPr>
            </w:pPr>
            <w:r>
              <w:rPr>
                <w:rFonts w:hint="eastAsia" w:ascii="方正仿宋_GB2312" w:hAnsi="仿宋" w:eastAsia="方正仿宋_GB2312"/>
                <w:sz w:val="24"/>
                <w:szCs w:val="24"/>
              </w:rPr>
              <w:t xml:space="preserve">b.乙方在履约过程中发生违约行为，给甲方造成损失的，甲方有权在乙方缴纳的履约保证金中予以扣款，以弥补甲方经济损失，不足的部分乙方另外补齐。</w:t>
            </w:r>
            <w:r>
              <w:rPr>
                <w:rFonts w:hint="eastAsia" w:ascii="方正仿宋_GB2312" w:hAnsi="仿宋" w:eastAsia="方正仿宋_GB2312"/>
                <w:sz w:val="24"/>
                <w:szCs w:val="24"/>
              </w:rPr>
            </w:r>
            <w:r/>
          </w:p>
        </w:tc>
      </w:tr>
    </w:tbl>
    <w:p>
      <w:pPr>
        <w:pStyle w:val="931"/>
      </w:pPr>
      <w:r/>
      <w:r/>
    </w:p>
    <w:p>
      <w:pPr>
        <w:pStyle w:val="931"/>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1"/>
        <w:jc w:val="center"/>
        <w:spacing w:before="120" w:after="120" w:line="480" w:lineRule="exact"/>
        <w:rPr>
          <w:rFonts w:hint="eastAsia" w:ascii="黑体" w:hAnsi="Courier New" w:eastAsia="仿宋" w:cs="Courier New"/>
          <w:bCs/>
          <w:color w:val="000000"/>
          <w:sz w:val="44"/>
          <w:szCs w:val="21"/>
        </w:rPr>
        <w:outlineLvl w:val="0"/>
      </w:pPr>
      <w:r>
        <w:rPr>
          <w:rFonts w:hint="eastAsia" w:ascii="黑体" w:hAnsi="Courier New" w:eastAsia="黑体" w:cs="Courier New"/>
          <w:bCs/>
          <w:color w:val="000000"/>
          <w:sz w:val="44"/>
          <w:szCs w:val="21"/>
        </w:rPr>
        <w:br w:type="page" w:clear="all"/>
      </w:r>
      <w:r>
        <w:rPr>
          <w:rFonts w:hint="eastAsia" w:ascii="仿宋" w:hAnsi="仿宋" w:eastAsia="仿宋"/>
          <w:b/>
          <w:bCs/>
          <w:sz w:val="36"/>
          <w:szCs w:val="36"/>
        </w:rPr>
        <w:t xml:space="preserve">第四部分</w:t>
      </w:r>
      <w:r>
        <w:rPr>
          <w:rFonts w:ascii="仿宋" w:hAnsi="仿宋" w:eastAsia="仿宋"/>
          <w:b/>
          <w:bCs/>
          <w:sz w:val="36"/>
          <w:szCs w:val="36"/>
        </w:rPr>
        <w:t xml:space="preserve"> </w:t>
      </w:r>
      <w:r>
        <w:rPr>
          <w:rFonts w:hint="eastAsia" w:ascii="仿宋" w:hAnsi="仿宋" w:eastAsia="仿宋"/>
          <w:b/>
          <w:bCs/>
          <w:sz w:val="36"/>
          <w:szCs w:val="36"/>
        </w:rPr>
        <w:t xml:space="preserve">设备清单</w:t>
      </w:r>
      <w:r>
        <w:rPr>
          <w:rFonts w:hint="eastAsia" w:ascii="黑体" w:hAnsi="Courier New" w:eastAsia="仿宋" w:cs="Courier New"/>
          <w:bCs/>
          <w:color w:val="000000"/>
          <w:sz w:val="44"/>
          <w:szCs w:val="21"/>
        </w:rPr>
      </w:r>
      <w:r/>
    </w:p>
    <w:tbl>
      <w:tblPr>
        <w:tblW w:w="811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19"/>
        <w:gridCol w:w="1137"/>
        <w:gridCol w:w="1842"/>
        <w:gridCol w:w="993"/>
        <w:gridCol w:w="1134"/>
        <w:gridCol w:w="1590"/>
      </w:tblGrid>
      <w:tr>
        <w:trPr>
          <w:trHeight w:val="2"/>
        </w:trPr>
        <w:tc>
          <w:tcPr>
            <w:tcW w:w="1419" w:type="dxa"/>
            <w:vAlign w:val="top"/>
            <w:textDirection w:val="lrTb"/>
            <w:noWrap w:val="false"/>
          </w:tcPr>
          <w:p>
            <w:pPr>
              <w:pStyle w:val="93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产品名称</w:t>
            </w:r>
            <w:r>
              <w:rPr>
                <w:rFonts w:ascii="方正仿宋_GB2312" w:hAnsi="仿宋" w:eastAsia="方正仿宋_GB2312"/>
                <w:sz w:val="28"/>
                <w:szCs w:val="28"/>
              </w:rPr>
            </w:r>
            <w:r/>
          </w:p>
        </w:tc>
        <w:tc>
          <w:tcPr>
            <w:tcW w:w="1134" w:type="dxa"/>
            <w:vAlign w:val="top"/>
            <w:textDirection w:val="lrTb"/>
            <w:noWrap w:val="false"/>
          </w:tcPr>
          <w:p>
            <w:pPr>
              <w:pStyle w:val="93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品牌</w:t>
            </w:r>
            <w:r>
              <w:rPr>
                <w:rFonts w:ascii="方正仿宋_GB2312" w:hAnsi="仿宋" w:eastAsia="方正仿宋_GB2312"/>
                <w:sz w:val="28"/>
                <w:szCs w:val="28"/>
              </w:rPr>
            </w:r>
            <w:r/>
          </w:p>
        </w:tc>
        <w:tc>
          <w:tcPr>
            <w:tcW w:w="1842" w:type="dxa"/>
            <w:vAlign w:val="top"/>
            <w:textDirection w:val="lrTb"/>
            <w:noWrap w:val="false"/>
          </w:tcPr>
          <w:p>
            <w:pPr>
              <w:pStyle w:val="93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技术规格或型号</w:t>
            </w:r>
            <w:r>
              <w:rPr>
                <w:rFonts w:ascii="方正仿宋_GB2312" w:hAnsi="仿宋" w:eastAsia="方正仿宋_GB2312"/>
                <w:sz w:val="28"/>
                <w:szCs w:val="28"/>
              </w:rPr>
            </w:r>
            <w:r/>
          </w:p>
        </w:tc>
        <w:tc>
          <w:tcPr>
            <w:tcW w:w="993" w:type="dxa"/>
            <w:vAlign w:val="top"/>
            <w:textDirection w:val="lrTb"/>
            <w:noWrap w:val="false"/>
          </w:tcPr>
          <w:p>
            <w:pPr>
              <w:pStyle w:val="93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数量</w:t>
            </w:r>
            <w:r>
              <w:rPr>
                <w:rFonts w:ascii="方正仿宋_GB2312" w:hAnsi="仿宋" w:eastAsia="方正仿宋_GB2312"/>
                <w:sz w:val="28"/>
                <w:szCs w:val="28"/>
              </w:rPr>
            </w:r>
            <w:r/>
          </w:p>
        </w:tc>
        <w:tc>
          <w:tcPr>
            <w:tcW w:w="1134" w:type="dxa"/>
            <w:vAlign w:val="top"/>
            <w:textDirection w:val="lrTb"/>
            <w:noWrap w:val="false"/>
          </w:tcPr>
          <w:p>
            <w:pPr>
              <w:pStyle w:val="931"/>
              <w:jc w:val="center"/>
              <w:spacing w:before="151"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单价</w:t>
            </w:r>
            <w:r>
              <w:rPr>
                <w:rFonts w:ascii="方正仿宋_GB2312" w:hAnsi="仿宋" w:eastAsia="方正仿宋_GB2312"/>
                <w:sz w:val="28"/>
                <w:szCs w:val="28"/>
              </w:rPr>
            </w:r>
            <w:r/>
          </w:p>
        </w:tc>
        <w:tc>
          <w:tcPr>
            <w:tcW w:w="1587" w:type="dxa"/>
            <w:vAlign w:val="top"/>
            <w:textDirection w:val="lrTb"/>
            <w:noWrap w:val="false"/>
          </w:tcPr>
          <w:p>
            <w:pPr>
              <w:pStyle w:val="931"/>
              <w:jc w:val="center"/>
              <w:spacing w:before="150"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金额</w:t>
            </w:r>
            <w:r>
              <w:rPr>
                <w:rFonts w:ascii="方正仿宋_GB2312" w:hAnsi="仿宋" w:eastAsia="方正仿宋_GB2312"/>
                <w:sz w:val="28"/>
                <w:szCs w:val="28"/>
              </w:rPr>
            </w:r>
            <w:r/>
          </w:p>
        </w:tc>
      </w:tr>
      <w:tr>
        <w:trPr>
          <w:trHeight w:val="2"/>
        </w:trPr>
        <w:tc>
          <w:tcPr>
            <w:tcW w:w="1419"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tcW w:w="1419"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tcW w:w="1419"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tcW w:w="1419"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842"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993"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134"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c>
          <w:tcPr>
            <w:tcW w:w="1587" w:type="dxa"/>
            <w:vAlign w:val="top"/>
            <w:textDirection w:val="lrTb"/>
            <w:noWrap w:val="false"/>
          </w:tcPr>
          <w:p>
            <w:pPr>
              <w:pStyle w:val="931"/>
              <w:spacing w:line="480" w:lineRule="exact"/>
              <w:rPr>
                <w:rFonts w:ascii="方正仿宋_GB2312" w:hAnsi="仿宋" w:eastAsia="方正仿宋_GB2312"/>
                <w:sz w:val="28"/>
                <w:szCs w:val="28"/>
              </w:rPr>
            </w:pPr>
            <w:r>
              <w:rPr>
                <w:rFonts w:ascii="方正仿宋_GB2312" w:hAnsi="仿宋" w:eastAsia="方正仿宋_GB2312"/>
                <w:sz w:val="28"/>
                <w:szCs w:val="28"/>
              </w:rPr>
            </w:r>
            <w:r/>
          </w:p>
        </w:tc>
      </w:tr>
      <w:tr>
        <w:trPr>
          <w:trHeight w:val="2"/>
        </w:trPr>
        <w:tc>
          <w:tcPr>
            <w:gridSpan w:val="2"/>
            <w:tcW w:w="2556" w:type="dxa"/>
            <w:vAlign w:val="top"/>
            <w:textDirection w:val="lrTb"/>
            <w:noWrap w:val="false"/>
          </w:tcPr>
          <w:p>
            <w:pPr>
              <w:pStyle w:val="931"/>
              <w:jc w:val="left"/>
              <w:spacing w:before="148"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合同总金额</w:t>
            </w:r>
            <w:r>
              <w:rPr>
                <w:rFonts w:ascii="方正仿宋_GB2312" w:hAnsi="仿宋" w:eastAsia="方正仿宋_GB2312"/>
                <w:sz w:val="28"/>
                <w:szCs w:val="28"/>
              </w:rPr>
            </w:r>
            <w:r/>
          </w:p>
        </w:tc>
        <w:tc>
          <w:tcPr>
            <w:tcW w:w="1842" w:type="dxa"/>
            <w:vAlign w:val="top"/>
            <w:textDirection w:val="lrTb"/>
            <w:noWrap w:val="false"/>
          </w:tcPr>
          <w:p>
            <w:pPr>
              <w:pStyle w:val="931"/>
              <w:ind w:left="119"/>
              <w:jc w:val="left"/>
              <w:spacing w:before="149"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大写：</w:t>
            </w:r>
            <w:r>
              <w:rPr>
                <w:rFonts w:ascii="方正仿宋_GB2312" w:hAnsi="仿宋" w:eastAsia="方正仿宋_GB2312"/>
                <w:sz w:val="28"/>
                <w:szCs w:val="28"/>
              </w:rPr>
            </w:r>
            <w:r/>
          </w:p>
        </w:tc>
        <w:tc>
          <w:tcPr>
            <w:gridSpan w:val="3"/>
            <w:tcW w:w="3717" w:type="dxa"/>
            <w:vAlign w:val="top"/>
            <w:textDirection w:val="lrTb"/>
            <w:noWrap w:val="false"/>
          </w:tcPr>
          <w:p>
            <w:pPr>
              <w:pStyle w:val="931"/>
              <w:ind w:left="1369"/>
              <w:spacing w:before="148" w:line="480" w:lineRule="exact"/>
              <w:rPr>
                <w:rFonts w:ascii="方正仿宋_GB2312" w:hAnsi="仿宋" w:eastAsia="方正仿宋_GB2312"/>
                <w:sz w:val="28"/>
                <w:szCs w:val="28"/>
              </w:rPr>
            </w:pPr>
            <w:r>
              <w:rPr>
                <w:rFonts w:hint="eastAsia" w:ascii="方正仿宋_GB2312" w:hAnsi="仿宋" w:eastAsia="方正仿宋_GB2312"/>
                <w:sz w:val="28"/>
                <w:szCs w:val="28"/>
              </w:rPr>
              <w:t xml:space="preserve">小写（￥）：</w:t>
            </w:r>
            <w:r>
              <w:rPr>
                <w:rFonts w:ascii="方正仿宋_GB2312" w:hAnsi="仿宋" w:eastAsia="方正仿宋_GB2312"/>
                <w:sz w:val="28"/>
                <w:szCs w:val="28"/>
              </w:rPr>
            </w:r>
            <w:r/>
          </w:p>
        </w:tc>
      </w:tr>
    </w:tbl>
    <w:p>
      <w:pPr>
        <w:pStyle w:val="931"/>
        <w:ind w:firstLine="562"/>
        <w:spacing w:line="460" w:lineRule="exact"/>
        <w:rPr>
          <w:rFonts w:ascii="方正仿宋_GB2312" w:hAnsi="仿宋" w:eastAsia="方正仿宋_GB2312"/>
          <w:sz w:val="28"/>
          <w:szCs w:val="28"/>
        </w:rPr>
      </w:pPr>
      <w:r>
        <w:rPr>
          <w:rFonts w:hint="eastAsia" w:ascii="方正仿宋_GB2312" w:hAnsi="仿宋" w:eastAsia="方正仿宋_GB2312"/>
          <w:b/>
          <w:bCs/>
          <w:sz w:val="28"/>
          <w:szCs w:val="28"/>
        </w:rPr>
        <w:t xml:space="preserve">上述合同总金额中包括产品的产品价、包装费、运输费、安装费、调试费、集成费、验收费、培训费、技术服务费（包括技术资料、图纸提供等）以及完成项目建设所必要的设备、材料、工具等，并包含伴随服务及因产品本身及供货相关的各种税金等全部费用。乙方确认，除非双方另有书面认可导致本合同总金额发生变化，否则甲方无须再为实现本合同目的另行支付任何费用。</w:t>
      </w:r>
      <w:r>
        <w:rPr>
          <w:rFonts w:ascii="方正仿宋_GB2312" w:hAnsi="仿宋" w:eastAsia="方正仿宋_GB2312"/>
          <w:sz w:val="28"/>
          <w:szCs w:val="28"/>
        </w:rPr>
      </w:r>
      <w:r/>
    </w:p>
    <w:p>
      <w:pPr>
        <w:pStyle w:val="93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1"/>
        <w:jc w:val="center"/>
        <w:spacing w:before="120" w:after="120" w:line="480" w:lineRule="exact"/>
        <w:rPr>
          <w:rFonts w:hint="eastAsia" w:ascii="宋体" w:hAnsi="宋体" w:cs="Courier New"/>
          <w:color w:val="000000"/>
          <w:sz w:val="24"/>
          <w:szCs w:val="24"/>
        </w:rPr>
        <w:outlineLvl w:val="0"/>
      </w:pPr>
      <w:r/>
      <w:bookmarkEnd w:id="172"/>
      <w:r/>
      <w:bookmarkEnd w:id="173"/>
      <w:r/>
      <w:bookmarkEnd w:id="174"/>
      <w:r/>
      <w:bookmarkEnd w:id="175"/>
      <w:r/>
      <w:bookmarkStart w:id="190" w:name="_Toc26554093"/>
      <w:r/>
      <w:bookmarkStart w:id="191" w:name="_Toc49090575"/>
      <w:r>
        <w:rPr>
          <w:rFonts w:hint="eastAsia" w:ascii="黑体" w:hAnsi="Courier New" w:eastAsia="黑体" w:cs="Courier New"/>
          <w:bCs/>
          <w:color w:val="000000"/>
          <w:sz w:val="44"/>
          <w:szCs w:val="21"/>
        </w:rPr>
        <w:t xml:space="preserve">第四章 采购需求</w:t>
      </w:r>
      <w:r>
        <w:rPr>
          <w:rFonts w:hint="eastAsia" w:ascii="宋体" w:hAnsi="宋体" w:cs="Courier New"/>
          <w:color w:val="000000"/>
          <w:sz w:val="24"/>
          <w:szCs w:val="24"/>
        </w:rPr>
      </w:r>
      <w:r/>
    </w:p>
    <w:p>
      <w:pPr>
        <w:pStyle w:val="931"/>
        <w:jc w:val="center"/>
        <w:spacing w:before="120" w:after="120" w:line="480" w:lineRule="exact"/>
        <w:rPr>
          <w:rFonts w:hint="eastAsia" w:ascii="宋体" w:hAnsi="宋体" w:cs="Courier New"/>
          <w:color w:val="000000"/>
          <w:sz w:val="24"/>
          <w:szCs w:val="24"/>
        </w:rPr>
        <w:outlineLvl w:val="0"/>
      </w:pPr>
      <w:r>
        <w:rPr>
          <w:rFonts w:hint="eastAsia" w:ascii="黑体" w:hAnsi="Courier New" w:eastAsia="黑体" w:cs="Courier New"/>
          <w:bCs/>
          <w:color w:val="000000"/>
          <w:sz w:val="44"/>
          <w:szCs w:val="21"/>
        </w:rPr>
        <w:t xml:space="preserve">第四章 采购需求</w:t>
      </w:r>
      <w:r>
        <w:rPr>
          <w:rFonts w:hint="eastAsia" w:ascii="宋体" w:hAnsi="宋体" w:cs="Courier New"/>
          <w:color w:val="000000"/>
          <w:sz w:val="24"/>
          <w:szCs w:val="24"/>
        </w:rPr>
      </w:r>
      <w:r/>
    </w:p>
    <w:p>
      <w:pPr>
        <w:pStyle w:val="93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项目属性:货物类项目。</w:t>
      </w:r>
      <w:r>
        <w:rPr>
          <w:rFonts w:hint="eastAsia" w:ascii="仿宋" w:hAnsi="仿宋" w:eastAsia="仿宋"/>
          <w:color w:val="000000"/>
          <w:sz w:val="28"/>
          <w:szCs w:val="28"/>
        </w:rPr>
      </w:r>
      <w:r/>
    </w:p>
    <w:p>
      <w:pPr>
        <w:pStyle w:val="931"/>
        <w:spacing w:line="480" w:lineRule="exact"/>
        <w:rPr>
          <w:rFonts w:ascii="仿宋" w:hAnsi="仿宋" w:eastAsia="仿宋"/>
          <w:b/>
          <w:color w:val="000000"/>
          <w:sz w:val="28"/>
          <w:szCs w:val="28"/>
        </w:rPr>
        <w:outlineLvl w:val="1"/>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rPr>
          <w:rFonts w:ascii="仿宋" w:hAnsi="仿宋" w:eastAsia="仿宋"/>
          <w:b/>
          <w:color w:val="000000"/>
          <w:sz w:val="28"/>
          <w:szCs w:val="28"/>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364"/>
        <w:gridCol w:w="2603"/>
        <w:gridCol w:w="436"/>
        <w:gridCol w:w="583"/>
        <w:gridCol w:w="1685"/>
        <w:gridCol w:w="1248"/>
        <w:gridCol w:w="1012"/>
        <w:gridCol w:w="1238"/>
      </w:tblGrid>
      <w:tr>
        <w:trPr>
          <w:trHeight w:val="45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序号</w:t>
            </w:r>
            <w:r>
              <w:rPr>
                <w:rFonts w:ascii="仿宋" w:hAnsi="仿宋" w:eastAsia="仿宋" w:cs="仿宋"/>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采购标的</w:t>
            </w:r>
            <w:r>
              <w:rPr>
                <w:rFonts w:hint="eastAsia" w:ascii="仿宋" w:hAnsi="仿宋" w:eastAsia="仿宋" w:cs="仿宋"/>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单位</w:t>
            </w:r>
            <w:r>
              <w:rPr>
                <w:rFonts w:hint="eastAsia" w:ascii="仿宋" w:hAnsi="仿宋" w:eastAsia="仿宋" w:cs="仿宋"/>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val="false"/>
          </w:tcPr>
          <w:p>
            <w:pPr>
              <w:pStyle w:val="93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数量</w:t>
            </w:r>
            <w:r>
              <w:rPr>
                <w:rFonts w:hint="eastAsia" w:ascii="仿宋" w:hAnsi="仿宋" w:eastAsia="仿宋" w:cs="仿宋"/>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3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对应中小企业划分标准所属行业</w:t>
            </w:r>
            <w:r>
              <w:rPr>
                <w:rFonts w:hint="eastAsia" w:ascii="仿宋" w:hAnsi="仿宋" w:eastAsia="仿宋" w:cs="仿宋"/>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93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是否为主要标的</w:t>
            </w:r>
            <w:r>
              <w:rPr>
                <w:rFonts w:hint="eastAsia" w:ascii="仿宋" w:hAnsi="仿宋" w:eastAsia="仿宋" w:cs="仿宋"/>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93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是否为政府强制采购节能产品</w:t>
            </w:r>
            <w:r>
              <w:rPr>
                <w:rFonts w:hint="eastAsia" w:ascii="仿宋" w:hAnsi="仿宋" w:eastAsia="仿宋" w:cs="仿宋"/>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93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备注</w:t>
            </w:r>
            <w:r>
              <w:rPr>
                <w:rFonts w:hint="eastAsia" w:ascii="仿宋" w:hAnsi="仿宋" w:eastAsia="仿宋" w:cs="仿宋"/>
                <w:b/>
                <w:bCs/>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综合布线</w:t>
            </w:r>
            <w:r>
              <w:rPr>
                <w:rFonts w:hint="eastAsia" w:ascii="仿宋" w:hAnsi="仿宋" w:eastAsia="仿宋" w:cs="仿宋"/>
                <w:b/>
                <w:bCs/>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一、前端部分（办公区域、会议室及公共区域，内网、外网、政务网）</w:t>
            </w:r>
            <w:r>
              <w:rPr>
                <w:rFonts w:hint="eastAsia" w:ascii="宋体" w:hAnsi="宋体" w:cs="宋体"/>
                <w:b/>
                <w:bCs/>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单孔网络面板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153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双孔网络面板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六类非屏蔽模块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662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六类非屏蔽跳线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662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单口信息地插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双口信息地插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电话机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二、楼层弱电间机柜到信息点、信息点到中心机房线路（内网、设备网、外网、政务网）</w:t>
            </w:r>
            <w:r>
              <w:rPr>
                <w:rFonts w:hint="eastAsia" w:ascii="宋体" w:hAnsi="宋体" w:cs="宋体"/>
                <w:b/>
                <w:bCs/>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24口六类非屏蔽配线架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六类非屏蔽跳线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1344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24口光纤配线架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LC-LC单模双芯光纤跳线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140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金属理线架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光纤熔接</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施工服务</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110/RJ45语音跳线（语音）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机架式100对110型跳线架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4口光纤盒（监控）</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机柜PDU</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三、机房部分（内网、设备网、外网、政务网）</w:t>
            </w:r>
            <w:r>
              <w:rPr>
                <w:rFonts w:hint="eastAsia" w:ascii="宋体" w:hAnsi="宋体" w:cs="宋体"/>
                <w:b/>
                <w:bCs/>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24口光纤配线架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LC-LC单模双芯光纤跳线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136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机架式100对110型跳线架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金属理线架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光纤熔接</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408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施工服务</w:t>
            </w: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四、法庭设备到中心机房线路（内网、设备网）</w:t>
            </w:r>
            <w:r>
              <w:rPr>
                <w:rFonts w:hint="eastAsia" w:ascii="宋体" w:hAnsi="宋体" w:cs="宋体"/>
                <w:b/>
                <w:bCs/>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六类低烟无卤非屏蔽网线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m</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7380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24口六类非屏蔽配线架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六类非屏蔽跳线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384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4口光纤盒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光纤熔接</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施工服务</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金属理线架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五、消控室机柜到中心机房线路（设备网）</w:t>
            </w:r>
            <w:r>
              <w:rPr>
                <w:rFonts w:hint="eastAsia" w:ascii="宋体" w:hAnsi="宋体" w:cs="宋体"/>
                <w:b/>
                <w:bCs/>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机柜PDU</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24口光纤配线架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光纤熔接</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施工服务</w:t>
            </w: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jc w:val="center"/>
              <w:widowControl/>
              <w:rPr>
                <w:rFonts w:hint="eastAsia" w:ascii="仿宋" w:hAnsi="仿宋" w:eastAsia="仿宋" w:cs="仿宋"/>
                <w:b/>
                <w:bCs/>
                <w:color w:val="000000"/>
                <w:sz w:val="18"/>
                <w:szCs w:val="18"/>
              </w:rPr>
            </w:pPr>
            <w:r>
              <w:rPr>
                <w:rFonts w:hint="eastAsia" w:ascii="仿宋" w:hAnsi="仿宋" w:eastAsia="仿宋" w:cs="仿宋"/>
                <w:b/>
                <w:bCs/>
                <w:color w:val="000000"/>
                <w:sz w:val="18"/>
                <w:szCs w:val="18"/>
                <w:lang w:bidi="ar"/>
              </w:rPr>
              <w:t xml:space="preserve">计算机网络</w:t>
            </w:r>
            <w:r>
              <w:rPr>
                <w:rFonts w:hint="eastAsia" w:ascii="仿宋" w:hAnsi="仿宋" w:eastAsia="仿宋" w:cs="仿宋"/>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一、内网</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48口接入以太网交换机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12口接入以太网交换机（法庭）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24口接入以太网交换机（法庭）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汇聚交换机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万兆单模光模块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二、设备网</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8口POE接入以太网交换机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48口接入以太网交换机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8口POE接入以太网交换机（法庭）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12口POE接入以太网交换机（法庭）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汇聚交换机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万兆单模光模块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144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三、外网</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24口接入以太网交换机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 台 </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48口接入以太网交换机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 台 </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外网汇聚交换机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 台 </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千兆单模光模块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 台 </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四、政务网</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12口接入以太网交换机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 台 </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政务网汇聚交换机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 台 </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千兆单模光模块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 台 </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五、专线服务</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专线服务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年</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视频监控</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一、前端设备（摄像头及相关安装用辅材）</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半球摄像机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室内筒型网络摄像机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筒机支架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室外筒型网络摄像机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室外监控立杆</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室外手孔井</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室外防水箱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插排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室外4芯光纤终端盒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屋顶制高点球机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球机支架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大模型周界网络摄像机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人脸半球摄像机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人脸枪机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枪机支架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电梯摄像机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法庭安防监控摄像机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监控集中供电电源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壁挂机柜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无线网桥</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电梯轿厢开关电源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全向抗回声拾音器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音频适配器（拾音器专用滤波电源）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三眼插头</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强电插座</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监控授权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282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二、后端设备（存储及相关智能化分析设备）</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人脸分析服务器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文搜型存储服务器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智能文搜应用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路</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云存储服务器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硬盘录像机（法庭录像备份用）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解码器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操作台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监视器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安防平台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三、基础供电线路及施工</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监控电源线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23790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室外及地库监控电源线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路面开挖及恢复</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130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施工服务</w:t>
            </w: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电子巡更</w:t>
            </w:r>
            <w:r>
              <w:rPr>
                <w:rFonts w:hint="eastAsia" w:ascii="宋体" w:hAnsi="宋体" w:cs="宋体"/>
                <w:b/>
                <w:bCs/>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巡更棒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巡更点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人员钮</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巡更底座</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巡更管理模块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出入口控制</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一、门禁设备</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人脸门禁一体机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门禁电源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国密读卡器（消控室、中心机房各1个）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出门按钮（31个人脸门禁点，3个国密读卡器门禁点）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双门磁力锁</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把</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双门磁力锁支架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把</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单门磁力锁</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把</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单门磁力锁支架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把</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国密门禁控制器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国密卡片</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张</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智能密码锁</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把</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发卡器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二、基础供电及授权</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2145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开门按钮线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门锁线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门禁授权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三、梯控设备及配套供电线路</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人脸门禁一体机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门禁电源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梯控主机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梯控联动模块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梯控管理授权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梯控联动线1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梯控联动线2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停车场管理</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一、一进一出出入口</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抓拍显示一体机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道闸</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出入口控制终端</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雷达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出入口车辆放行管理车道授权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车道</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安全岛</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安装调试</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施工服务</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二、混进混出出入口</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抓拍显示一体机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道闸</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出入口控制终端</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雷达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出入口车辆放行管理车道授权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车道</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安全岛</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安装调试</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施工服务</w:t>
            </w: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多媒体会议</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285750</wp:posOffset>
                      </wp:positionH>
                      <wp:positionV relativeFrom="paragraph">
                        <wp:posOffset>0</wp:posOffset>
                      </wp:positionV>
                      <wp:extent cx="1410970" cy="190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55;o:allowoverlap:true;o:allowincell:true;mso-position-horizontal-relative:text;margin-left:22.5pt;mso-position-horizontal:absolute;mso-position-vertical-relative:text;margin-top:0.0pt;mso-position-vertical:absolute;width:111.1pt;height:0.1pt;mso-wrap-distance-left:9.0pt;mso-wrap-distance-top:0.0pt;mso-wrap-distance-right:9.0pt;mso-wrap-distance-bottom:0.0pt;" stroked="f">
                      <v:path textboxrect="0,0,0,0"/>
                      <v:imagedata r:id="rId12" o:title=""/>
                    </v:shape>
                  </w:pict>
                </mc:Fallback>
              </mc:AlternateContent>
            </w: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285750</wp:posOffset>
                      </wp:positionH>
                      <wp:positionV relativeFrom="paragraph">
                        <wp:posOffset>0</wp:posOffset>
                      </wp:positionV>
                      <wp:extent cx="1021080" cy="254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56;o:allowoverlap:true;o:allowincell:true;mso-position-horizontal-relative:text;margin-left:22.5pt;mso-position-horizontal:absolute;mso-position-vertical-relative:text;margin-top:0.0pt;mso-position-vertical:absolute;width:80.4pt;height:0.2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000000"/>
                <w:sz w:val="20"/>
                <w:szCs w:val="20"/>
                <w:lang w:bidi="ar"/>
              </w:rPr>
              <w:t xml:space="preserve">一、一层大厅</w:t>
            </w:r>
            <w:r>
              <w:rPr>
                <w:rFonts w:hint="eastAsia" w:ascii="宋体" w:hAnsi="宋体" w:cs="宋体"/>
                <w:b/>
                <w:bCs/>
                <w:color w:val="000000"/>
                <w:sz w:val="20"/>
                <w:szCs w:val="20"/>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1、专业扩声系统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真分集无线一拖二手持话筒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16路天线放大器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天线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中继放大器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延长线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音柱支架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音柱功放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吸顶扬声器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吸顶扬声器功放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数字音频处理器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8路智能电源时序器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285750</wp:posOffset>
                      </wp:positionH>
                      <wp:positionV relativeFrom="paragraph">
                        <wp:posOffset>0</wp:posOffset>
                      </wp:positionV>
                      <wp:extent cx="1021080" cy="254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57;o:allowoverlap:true;o:allowincell:true;mso-position-horizontal-relative:text;margin-left:22.5pt;mso-position-horizontal:absolute;mso-position-vertical-relative:text;margin-top:0.0pt;mso-position-vertical:absolute;width:80.4pt;height:0.2pt;mso-wrap-distance-left:9.0pt;mso-wrap-distance-top:0.0pt;mso-wrap-distance-right:9.0pt;mso-wrap-distance-bottom:0.0pt;" stroked="f">
                      <v:path textboxrect="0,0,0,0"/>
                      <v:imagedata r:id="rId14" o:title=""/>
                    </v:shape>
                  </w:pict>
                </mc:Fallback>
              </mc:AlternateContent>
            </w: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285750</wp:posOffset>
                      </wp:positionH>
                      <wp:positionV relativeFrom="paragraph">
                        <wp:posOffset>0</wp:posOffset>
                      </wp:positionV>
                      <wp:extent cx="1410970" cy="190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8;o:allowoverlap:true;o:allowincell:true;mso-position-horizontal-relative:text;margin-left:22.5pt;mso-position-horizontal:absolute;mso-position-vertical-relative:text;margin-top:0.0pt;mso-position-vertical:absolute;width:111.1pt;height:0.1pt;mso-wrap-distance-left:9.0pt;mso-wrap-distance-top:0.0pt;mso-wrap-distance-right:9.0pt;mso-wrap-distance-bottom:0.0pt;" stroked="f">
                      <v:path textboxrect="0,0,0,0"/>
                      <v:imagedata r:id="rId15" o:title=""/>
                    </v:shape>
                  </w:pict>
                </mc:Fallback>
              </mc:AlternateContent>
            </w:r>
            <w:r>
              <w:rPr>
                <w:rFonts w:hint="eastAsia" w:ascii="宋体" w:hAnsi="宋体" w:cs="宋体"/>
                <w:b/>
                <w:bCs/>
                <w:color w:val="000000"/>
                <w:sz w:val="20"/>
                <w:szCs w:val="20"/>
                <w:lang w:bidi="ar"/>
              </w:rPr>
              <w:t xml:space="preserve">2、会议设备专用线缆</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音箱线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285750</wp:posOffset>
                      </wp:positionH>
                      <wp:positionV relativeFrom="paragraph">
                        <wp:posOffset>0</wp:posOffset>
                      </wp:positionV>
                      <wp:extent cx="1410970" cy="190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9;o:allowoverlap:true;o:allowincell:true;mso-position-horizontal-relative:text;margin-left:22.5pt;mso-position-horizontal:absolute;mso-position-vertical-relative:text;margin-top:0.0pt;mso-position-vertical:absolute;width:111.1pt;height:0.1pt;mso-wrap-distance-left:9.0pt;mso-wrap-distance-top:0.0pt;mso-wrap-distance-right:9.0pt;mso-wrap-distance-bottom:0.0pt;" stroked="f">
                      <v:path textboxrect="0,0,0,0"/>
                      <v:imagedata r:id="rId16" o:title=""/>
                    </v:shape>
                  </w:pict>
                </mc:Fallback>
              </mc:AlternateContent>
            </w: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285750</wp:posOffset>
                      </wp:positionH>
                      <wp:positionV relativeFrom="paragraph">
                        <wp:posOffset>0</wp:posOffset>
                      </wp:positionV>
                      <wp:extent cx="1021080" cy="254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60;o:allowoverlap:true;o:allowincell:true;mso-position-horizontal-relative:text;margin-left:22.5pt;mso-position-horizontal:absolute;mso-position-vertical-relative:text;margin-top:0.0pt;mso-position-vertical:absolute;width:80.4pt;height:0.2pt;mso-wrap-distance-left:9.0pt;mso-wrap-distance-top:0.0pt;mso-wrap-distance-right:9.0pt;mso-wrap-distance-bottom:0.0pt;" stroked="f">
                      <v:path textboxrect="0,0,0,0"/>
                      <v:imagedata r:id="rId17" o:title=""/>
                    </v:shape>
                  </w:pict>
                </mc:Fallback>
              </mc:AlternateContent>
            </w:r>
            <w:r>
              <w:rPr>
                <w:rFonts w:hint="eastAsia" w:ascii="宋体" w:hAnsi="宋体" w:cs="宋体"/>
                <w:b/>
                <w:bCs/>
                <w:color w:val="000000"/>
                <w:sz w:val="20"/>
                <w:szCs w:val="20"/>
                <w:lang w:bidi="ar"/>
              </w:rPr>
              <w:t xml:space="preserve">二、1F1间洽谈室+2F企业并购与重组专家室/企业重组协调工作室+3F党建阵地+3F/4F/5F14间合议室，共18间</w:t>
            </w:r>
            <w:r>
              <w:rPr>
                <w:rFonts w:hint="eastAsia" w:ascii="宋体" w:hAnsi="宋体" w:cs="宋体"/>
                <w:b/>
                <w:bCs/>
                <w:color w:val="000000"/>
                <w:sz w:val="20"/>
                <w:szCs w:val="20"/>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1、显示系统</w:t>
            </w:r>
            <w:r>
              <w:rPr>
                <w:rFonts w:hint="eastAsia" w:ascii="宋体" w:hAnsi="宋体" w:cs="宋体"/>
                <w:b/>
                <w:bCs/>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会议一体机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落地移动支架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0</wp:posOffset>
                      </wp:positionH>
                      <wp:positionV relativeFrom="paragraph">
                        <wp:posOffset>0</wp:posOffset>
                      </wp:positionV>
                      <wp:extent cx="2905760" cy="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90576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61;o:allowoverlap:true;o:allowincell:true;mso-position-horizontal-relative:text;margin-left:0.0pt;mso-position-horizontal:absolute;mso-position-vertical-relative:text;margin-top:0.0pt;mso-position-vertical:absolute;width:228.8pt;height:0.0pt;mso-wrap-distance-left:9.0pt;mso-wrap-distance-top:0.0pt;mso-wrap-distance-right:9.0pt;mso-wrap-distance-bottom:0.0pt;" stroked="f">
                      <v:path textboxrect="0,0,0,0"/>
                      <v:imagedata r:id="rId18" o:title=""/>
                    </v:shape>
                  </w:pict>
                </mc:Fallback>
              </mc:AlternateContent>
            </w: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投屏器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285750</wp:posOffset>
                      </wp:positionH>
                      <wp:positionV relativeFrom="paragraph">
                        <wp:posOffset>0</wp:posOffset>
                      </wp:positionV>
                      <wp:extent cx="1021080" cy="254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62;o:allowoverlap:true;o:allowincell:true;mso-position-horizontal-relative:text;margin-left:22.5pt;mso-position-horizontal:absolute;mso-position-vertical-relative:text;margin-top:0.0pt;mso-position-vertical:absolute;width:80.4pt;height:0.2pt;mso-wrap-distance-left:9.0pt;mso-wrap-distance-top:0.0pt;mso-wrap-distance-right:9.0pt;mso-wrap-distance-bottom:0.0pt;" stroked="f">
                      <v:path textboxrect="0,0,0,0"/>
                      <v:imagedata r:id="rId19" o:title=""/>
                    </v:shape>
                  </w:pict>
                </mc:Fallback>
              </mc:AlternateContent>
            </w: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285750</wp:posOffset>
                      </wp:positionH>
                      <wp:positionV relativeFrom="paragraph">
                        <wp:posOffset>0</wp:posOffset>
                      </wp:positionV>
                      <wp:extent cx="1379855" cy="190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63;o:allowoverlap:true;o:allowincell:true;mso-position-horizontal-relative:text;margin-left:22.5pt;mso-position-horizontal:absolute;mso-position-vertical-relative:text;margin-top:0.0pt;mso-position-vertical:absolute;width:108.6pt;height:0.1pt;mso-wrap-distance-left:9.0pt;mso-wrap-distance-top:0.0pt;mso-wrap-distance-right:9.0pt;mso-wrap-distance-bottom:0.0pt;" stroked="f">
                      <v:path textboxrect="0,0,0,0"/>
                      <v:imagedata r:id="rId20" o:title=""/>
                    </v:shape>
                  </w:pict>
                </mc:Fallback>
              </mc:AlternateContent>
            </w:r>
            <w:r>
              <w:rPr>
                <w:rFonts w:hint="eastAsia" w:ascii="宋体" w:hAnsi="宋体" w:cs="宋体"/>
                <w:b/>
                <w:bCs/>
                <w:color w:val="000000"/>
                <w:sz w:val="20"/>
                <w:szCs w:val="20"/>
                <w:lang w:bidi="ar"/>
              </w:rPr>
              <w:t xml:space="preserve">三、1F信息中心</w:t>
            </w:r>
            <w:r>
              <w:rPr>
                <w:rFonts w:hint="eastAsia" w:ascii="宋体" w:hAnsi="宋体" w:cs="宋体"/>
                <w:b/>
                <w:bCs/>
                <w:color w:val="000000"/>
                <w:sz w:val="20"/>
                <w:szCs w:val="20"/>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1、发言系统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会议系统主机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高保真带显示短杆主席单元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高保真短杆代表单元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会议系统地插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真分集无线一拖二手持话筒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天线放大器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2、扩声系统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全频主扩音箱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全频辅助音箱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壁挂架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全频主扩音箱功放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全频辅助音箱功放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调音台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数字音频处理器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AI反馈抑制增益器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智能时序电源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3、集中控制系统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网络中控主机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网络中控系统逻辑处理内嵌软件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0</wp:posOffset>
                      </wp:positionH>
                      <wp:positionV relativeFrom="paragraph">
                        <wp:posOffset>0</wp:posOffset>
                      </wp:positionV>
                      <wp:extent cx="1021080" cy="254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64;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21" o:title=""/>
                    </v:shape>
                  </w:pict>
                </mc:Fallback>
              </mc:AlternateContent>
            </w: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0</wp:posOffset>
                      </wp:positionH>
                      <wp:positionV relativeFrom="paragraph">
                        <wp:posOffset>0</wp:posOffset>
                      </wp:positionV>
                      <wp:extent cx="1379855" cy="190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65;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22" o:title=""/>
                    </v:shape>
                  </w:pict>
                </mc:Fallback>
              </mc:AlternateContent>
            </w:r>
            <w:r>
              <w:rPr>
                <w:rFonts w:hint="eastAsia" w:ascii="仿宋" w:hAnsi="仿宋" w:eastAsia="仿宋" w:cs="仿宋"/>
                <w:color w:val="000000"/>
                <w:sz w:val="18"/>
                <w:szCs w:val="18"/>
                <w:lang w:bidi="ar"/>
              </w:rPr>
              <w:t xml:space="preserve">无线触摸控制屏</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可视化编程软件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0</wp:posOffset>
                      </wp:positionH>
                      <wp:positionV relativeFrom="paragraph">
                        <wp:posOffset>0</wp:posOffset>
                      </wp:positionV>
                      <wp:extent cx="1021080" cy="254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66;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23" o:title=""/>
                    </v:shape>
                  </w:pict>
                </mc:Fallback>
              </mc:AlternateContent>
            </w: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0</wp:posOffset>
                      </wp:positionH>
                      <wp:positionV relativeFrom="paragraph">
                        <wp:posOffset>0</wp:posOffset>
                      </wp:positionV>
                      <wp:extent cx="1379855" cy="190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67;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24" o:title=""/>
                    </v:shape>
                  </w:pict>
                </mc:Fallback>
              </mc:AlternateContent>
            </w:r>
            <w:r>
              <w:rPr>
                <w:rFonts w:hint="eastAsia" w:ascii="仿宋" w:hAnsi="仿宋" w:eastAsia="仿宋" w:cs="仿宋"/>
                <w:color w:val="000000"/>
                <w:sz w:val="18"/>
                <w:szCs w:val="18"/>
                <w:lang w:bidi="ar"/>
              </w:rPr>
              <w:t xml:space="preserve">无线路由器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控制器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4、会议设备专用线缆</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多媒体插座</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音箱线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8芯手拉手会议话筒线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285750</wp:posOffset>
                      </wp:positionH>
                      <wp:positionV relativeFrom="paragraph">
                        <wp:posOffset>0</wp:posOffset>
                      </wp:positionV>
                      <wp:extent cx="1021080" cy="254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68;o:allowoverlap:true;o:allowincell:true;mso-position-horizontal-relative:text;margin-left:22.5pt;mso-position-horizontal:absolute;mso-position-vertical-relative:text;margin-top:0.0pt;mso-position-vertical:absolute;width:80.4pt;height:0.2pt;mso-wrap-distance-left:9.0pt;mso-wrap-distance-top:0.0pt;mso-wrap-distance-right:9.0pt;mso-wrap-distance-bottom:0.0pt;" stroked="f">
                      <v:path textboxrect="0,0,0,0"/>
                      <v:imagedata r:id="rId25" o:title=""/>
                    </v:shape>
                  </w:pict>
                </mc:Fallback>
              </mc:AlternateContent>
            </w: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285750</wp:posOffset>
                      </wp:positionH>
                      <wp:positionV relativeFrom="paragraph">
                        <wp:posOffset>0</wp:posOffset>
                      </wp:positionV>
                      <wp:extent cx="1379855" cy="190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69;o:allowoverlap:true;o:allowincell:true;mso-position-horizontal-relative:text;margin-left:22.5pt;mso-position-horizontal:absolute;mso-position-vertical-relative:text;margin-top:0.0pt;mso-position-vertical:absolute;width:108.6pt;height:0.1pt;mso-wrap-distance-left:9.0pt;mso-wrap-distance-top:0.0pt;mso-wrap-distance-right:9.0pt;mso-wrap-distance-bottom:0.0pt;" stroked="f">
                      <v:path textboxrect="0,0,0,0"/>
                      <v:imagedata r:id="rId26" o:title=""/>
                    </v:shape>
                  </w:pict>
                </mc:Fallback>
              </mc:AlternateContent>
            </w:r>
            <w:r>
              <w:rPr>
                <w:rFonts w:hint="eastAsia" w:ascii="宋体" w:hAnsi="宋体" w:cs="宋体"/>
                <w:b/>
                <w:bCs/>
                <w:color w:val="000000"/>
                <w:sz w:val="20"/>
                <w:szCs w:val="20"/>
                <w:lang w:bidi="ar"/>
              </w:rPr>
              <w:t xml:space="preserve">四、2F视频会议室</w:t>
            </w:r>
            <w:r>
              <w:rPr>
                <w:rFonts w:hint="eastAsia" w:ascii="宋体" w:hAnsi="宋体" w:cs="宋体"/>
                <w:b/>
                <w:bCs/>
                <w:color w:val="000000"/>
                <w:sz w:val="20"/>
                <w:szCs w:val="20"/>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1、发言系统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会议系统主机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高保真带显示短杆主席单元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高保真短杆代表单元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会议系统地插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真分集无线一拖二手持话筒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天线放大器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2、扩声系统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全频主扩音箱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全频辅助音箱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壁挂架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全频主扩音箱功放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全频辅助音箱功放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调音台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数字音频处理器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AI反馈抑制增益器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智能时序电源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3、集中控制系统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网络中控主机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网络中控系统逻辑处理内嵌软件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0</wp:posOffset>
                      </wp:positionH>
                      <wp:positionV relativeFrom="paragraph">
                        <wp:posOffset>0</wp:posOffset>
                      </wp:positionV>
                      <wp:extent cx="1379855" cy="190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70;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27" o:title=""/>
                    </v:shape>
                  </w:pict>
                </mc:Fallback>
              </mc:AlternateContent>
            </w: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0</wp:posOffset>
                      </wp:positionH>
                      <wp:positionV relativeFrom="paragraph">
                        <wp:posOffset>0</wp:posOffset>
                      </wp:positionV>
                      <wp:extent cx="1021080" cy="254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71;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28" o:title=""/>
                    </v:shape>
                  </w:pict>
                </mc:Fallback>
              </mc:AlternateContent>
            </w:r>
            <w:r>
              <w:rPr>
                <w:rFonts w:hint="eastAsia" w:ascii="仿宋" w:hAnsi="仿宋" w:eastAsia="仿宋" w:cs="仿宋"/>
                <w:color w:val="000000"/>
                <w:sz w:val="18"/>
                <w:szCs w:val="18"/>
                <w:lang w:bidi="ar"/>
              </w:rPr>
              <w:t xml:space="preserve">无线触摸控制屏</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可视化编程软件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0</wp:posOffset>
                      </wp:positionH>
                      <wp:positionV relativeFrom="paragraph">
                        <wp:posOffset>0</wp:posOffset>
                      </wp:positionV>
                      <wp:extent cx="1021080" cy="254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72;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29" o:title=""/>
                    </v:shape>
                  </w:pict>
                </mc:Fallback>
              </mc:AlternateContent>
            </w: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0</wp:posOffset>
                      </wp:positionH>
                      <wp:positionV relativeFrom="paragraph">
                        <wp:posOffset>0</wp:posOffset>
                      </wp:positionV>
                      <wp:extent cx="1379855" cy="190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73;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30" o:title=""/>
                    </v:shape>
                  </w:pict>
                </mc:Fallback>
              </mc:AlternateContent>
            </w:r>
            <w:r>
              <w:rPr>
                <w:rFonts w:hint="eastAsia" w:ascii="仿宋" w:hAnsi="仿宋" w:eastAsia="仿宋" w:cs="仿宋"/>
                <w:color w:val="000000"/>
                <w:sz w:val="18"/>
                <w:szCs w:val="18"/>
                <w:lang w:bidi="ar"/>
              </w:rPr>
              <w:t xml:space="preserve">无线路由器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控制器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4、会议设备专用线缆</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多媒体插座</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音箱线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8芯手拉手会议话筒线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285750</wp:posOffset>
                      </wp:positionH>
                      <wp:positionV relativeFrom="paragraph">
                        <wp:posOffset>0</wp:posOffset>
                      </wp:positionV>
                      <wp:extent cx="1410970" cy="190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74;o:allowoverlap:true;o:allowincell:true;mso-position-horizontal-relative:text;margin-left:22.5pt;mso-position-horizontal:absolute;mso-position-vertical-relative:text;margin-top:0.0pt;mso-position-vertical:absolute;width:111.1pt;height:0.1pt;mso-wrap-distance-left:9.0pt;mso-wrap-distance-top:0.0pt;mso-wrap-distance-right:9.0pt;mso-wrap-distance-bottom:0.0pt;" stroked="f">
                      <v:path textboxrect="0,0,0,0"/>
                      <v:imagedata r:id="rId31" o:title=""/>
                    </v:shape>
                  </w:pict>
                </mc:Fallback>
              </mc:AlternateContent>
            </w: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285750</wp:posOffset>
                      </wp:positionH>
                      <wp:positionV relativeFrom="paragraph">
                        <wp:posOffset>0</wp:posOffset>
                      </wp:positionV>
                      <wp:extent cx="1379855" cy="190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75;o:allowoverlap:true;o:allowincell:true;mso-position-horizontal-relative:text;margin-left:22.5pt;mso-position-horizontal:absolute;mso-position-vertical-relative:text;margin-top:0.0pt;mso-position-vertical:absolute;width:108.6pt;height:0.1pt;mso-wrap-distance-left:9.0pt;mso-wrap-distance-top:0.0pt;mso-wrap-distance-right:9.0pt;mso-wrap-distance-bottom:0.0pt;" stroked="f">
                      <v:path textboxrect="0,0,0,0"/>
                      <v:imagedata r:id="rId32" o:title=""/>
                    </v:shape>
                  </w:pict>
                </mc:Fallback>
              </mc:AlternateContent>
            </w:r>
            <w:r>
              <w:rPr>
                <w:rFonts w:hint="eastAsia" w:ascii="宋体" w:hAnsi="宋体" w:cs="宋体"/>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285750</wp:posOffset>
                      </wp:positionH>
                      <wp:positionV relativeFrom="paragraph">
                        <wp:posOffset>0</wp:posOffset>
                      </wp:positionV>
                      <wp:extent cx="1021080" cy="254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76;o:allowoverlap:true;o:allowincell:true;mso-position-horizontal-relative:text;margin-left:22.5pt;mso-position-horizontal:absolute;mso-position-vertical-relative:text;margin-top:0.0pt;mso-position-vertical:absolute;width:80.4pt;height:0.2pt;mso-wrap-distance-left:9.0pt;mso-wrap-distance-top:0.0pt;mso-wrap-distance-right:9.0pt;mso-wrap-distance-bottom:0.0pt;" stroked="f">
                      <v:path textboxrect="0,0,0,0"/>
                      <v:imagedata r:id="rId33" o:title=""/>
                    </v:shape>
                  </w:pict>
                </mc:Fallback>
              </mc:AlternateContent>
            </w:r>
            <w:r>
              <w:rPr>
                <w:rFonts w:hint="eastAsia" w:ascii="宋体" w:hAnsi="宋体" w:cs="宋体"/>
                <w:b/>
                <w:bCs/>
                <w:color w:val="000000"/>
                <w:sz w:val="20"/>
                <w:szCs w:val="20"/>
                <w:lang w:bidi="ar"/>
              </w:rPr>
              <w:t xml:space="preserve">五、视频会议系统（二楼会议室）</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视频会议终端</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视频会议高清摄像机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视频会议电视墙</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视频超高清解码单元</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信息发布</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一、一层展示显示系统（知识产权司法保护中心服务大厅）</w:t>
            </w:r>
            <w:r>
              <w:rPr>
                <w:rFonts w:hint="eastAsia" w:ascii="宋体" w:hAnsi="宋体" w:cs="宋体"/>
                <w:b/>
                <w:bCs/>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电视机信息发布盒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二、一层企业全周期司法服务中心</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信息发布管理服务器软件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壁挂信息发布屏（含多媒体播放终端软件）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三、一层业务自助办理台</w:t>
            </w:r>
            <w:r>
              <w:rPr>
                <w:rFonts w:hint="eastAsia" w:ascii="宋体" w:hAnsi="宋体" w:cs="宋体"/>
                <w:b/>
                <w:bCs/>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壁挂触摸一体机（电容）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gridSpan w:val="8"/>
            <w:tcBorders>
              <w:top w:val="none" w:color="000000" w:sz="4" w:space="0"/>
              <w:left w:val="none" w:color="000000" w:sz="4" w:space="0"/>
              <w:bottom w:val="none" w:color="000000" w:sz="4" w:space="0"/>
              <w:right w:val="none" w:color="000000" w:sz="4" w:space="0"/>
            </w:tcBorders>
            <w:tcW w:w="9169" w:type="dxa"/>
            <w:vAlign w:val="center"/>
            <w:textDirection w:val="lrTb"/>
            <w:noWrap/>
          </w:tcPr>
          <w:p>
            <w:pPr>
              <w:pStyle w:val="93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出入口安检</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一、访客通道</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智能X射线检查系统</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智能金属探测门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手持金属探测器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鞋底金属探测仪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二、门厅到服务大厅闸机</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人行闸机（2通道）</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三、门厅入口闸机</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人行闸机（2通道）</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律师一码通扫码头</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律师一码通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四、智能储物柜</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智能储物柜（存包柜）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智能储物柜（手机存放柜）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数字法庭</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一、支云庭审系统（为全部法庭提供画面融合能力）</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画面融合服务器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二、2层大法庭1间（7台一体机、其中法官席位5台（五人制法官席位）、原被告席位各1台）</w:t>
            </w:r>
            <w:r>
              <w:rPr>
                <w:rFonts w:hint="eastAsia" w:ascii="宋体" w:hAnsi="宋体" w:cs="宋体"/>
                <w:b/>
                <w:bCs/>
                <w:color w:val="000000"/>
                <w:sz w:val="20"/>
                <w:szCs w:val="20"/>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（一）、语音转写系统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语音转写声卡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语音转写服务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（二）、电子质证显示</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电子质证应用系统</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庭审公告终端</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多功能打印机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庭审触摸一体机（电动翻转）</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书记员显示器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定制化电视机电动折叠支架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壁挂伸缩架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无线键鼠</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智能签字板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（三）、庭审话筒系统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高保真网络心型嵌入话筒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高保真网络桌面话筒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AI网络音频处理器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吸顶喇叭功放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吸顶喇叭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8路智能电源时序器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庭审高清图像无缝切换矩阵</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（四）、庭审录像系统及其他</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全景备份摄像机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全向数字降噪拾音器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音频适配器（拾音器专用滤波电源）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拾音器专用混音器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（五）、中控系统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中控控制主机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有线控制面板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灯光控制模块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（六）、法庭内设备线缆</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音箱线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音频线（话筒用）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音频线（拾音器用）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音频线（拾音器用）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电源线A</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电源线B</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多媒体信息地插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拖线板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三、3层大法庭1间中小法庭4间（1间大法庭使用7台一体机，其中法官席位5台（五人制法官席位）、原被告席位各1台；4间中小法庭共使用20台一体机，其中法官席位各3台、原被告席位各1台；）</w:t>
            </w:r>
            <w:r>
              <w:rPr>
                <w:rFonts w:hint="eastAsia" w:ascii="宋体" w:hAnsi="宋体" w:cs="宋体"/>
                <w:b/>
                <w:bCs/>
                <w:color w:val="000000"/>
                <w:sz w:val="20"/>
                <w:szCs w:val="20"/>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（一）、语音转写系统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语音转写声卡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语音转写服务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（二）、电子质证显示</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电子质证应用系统</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庭审公告终端</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多功能打印机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庭审触摸一体机（电动翻转）</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书记员显示器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定制化电视机电动折叠支架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无线键鼠</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智能签字板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（三）、庭审话筒系统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高保真网络心型嵌入话筒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高保真网络桌面话筒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AI网络音频处理器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吸顶喇叭功放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吸顶喇叭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8路智能电源时序器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庭审高清图像无缝切换矩阵</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（四）、庭审录像系统及其他</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全景备份摄像机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全向数字降噪拾音器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音频适配器（拾音器专用滤波电源）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拾音器专用混音器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信号屏蔽仪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（五）、中控系统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中控控制主机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有线控制面板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灯光控制模块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（六）、录音信号屏蔽设备</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吸顶嵌入式录音干扰设备</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墙面隐藏式录音干扰设备</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侧面式录音干扰设备</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预备嵌入式录音干扰设备</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预留信号屏蔽设备</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信号屏蔽器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开关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（七）、法庭内设备线缆</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音箱线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音频线（话筒用）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音频线（拾音器用）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音频线（拾音器用）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电源线A</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电源线B</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250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多媒体信息地插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拖线板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四、4、5层大法庭2间中小法庭8间（2间大法庭（五人制席位），各用5台庭审显示器；8间中小法庭（三人制席位），各用3台庭审显示器；各法庭原被告席位各用2台庭审显示器）</w:t>
            </w:r>
            <w:r>
              <w:rPr>
                <w:rFonts w:hint="eastAsia" w:ascii="宋体" w:hAnsi="宋体" w:cs="宋体"/>
                <w:b/>
                <w:bCs/>
                <w:color w:val="000000"/>
                <w:sz w:val="20"/>
                <w:szCs w:val="20"/>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（一）、语音转写系统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语音转写声卡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语音转写服务</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（二）、电子质证显示</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电子质证应用系统</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庭审公告终端</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多功能打印机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法官（当事人）席位显示器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书记员显示器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shd w:val="clear" w:color="ffff00" w:fill="ffff00"/>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宋体" w:hAnsi="宋体" w:cs="宋体"/>
                <w:b/>
                <w:bCs/>
                <w:color w:val="ff0000"/>
                <w:sz w:val="22"/>
              </w:rPr>
            </w:pPr>
            <w:r>
              <w:rPr>
                <w:rFonts w:hint="eastAsia" w:ascii="宋体" w:hAnsi="宋体" w:cs="宋体"/>
                <w:b/>
                <w:bCs/>
                <w:color w:val="ff0000"/>
                <w:sz w:val="22"/>
                <w:lang w:bidi="ar"/>
              </w:rPr>
              <w:t xml:space="preserve">是</w:t>
            </w:r>
            <w:r>
              <w:rPr>
                <w:rFonts w:hint="eastAsia" w:ascii="宋体" w:hAnsi="宋体" w:cs="宋体"/>
                <w:b/>
                <w:bCs/>
                <w:color w:val="ff0000"/>
                <w:sz w:val="22"/>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电视机支架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无线键鼠</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分屏器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分屏器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智能签字板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（三）、庭审话筒系统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高保真网络心型嵌入话筒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高保真网络桌面话筒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AI网络音频处理器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吸顶喇叭功放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吸顶喇叭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8路智能电源时序器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庭审高清图像无缝切换矩阵</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（四）、庭审录像系统及其他</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庭审摄像机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全景备份摄像机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全向数字降噪拾音器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音频适配器（拾音器专用滤波电源）</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配件</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拾音器专用混音器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（五）、中控系统</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中控控制主机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有线控制面板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灯光控制模块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（六）、法庭内设备线缆</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音箱线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1500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音频线（话筒用）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音频线（拾音器用）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音频线（拾音器用）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电源线A</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电源线B</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HDMI高清线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根</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多媒体信息地插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拖线板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机柜</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五、管网</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桥架200*100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480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配管JDG20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840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配管JDG25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配管JDG32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米</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200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辅材（建材）</w:t>
            </w: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六、法庭可视化运维</w:t>
            </w:r>
            <w:r>
              <w:rPr>
                <w:rFonts w:hint="eastAsia" w:ascii="宋体" w:hAnsi="宋体" w:cs="宋体"/>
                <w:b/>
                <w:bCs/>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可视化运维服务器（含运维软件）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shd w:val="clear" w:color="auto" w:fill="ffff00"/>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b/>
                <w:bCs/>
                <w:color w:val="ff0000"/>
                <w:sz w:val="22"/>
              </w:rPr>
            </w:pPr>
            <w:r>
              <w:rPr>
                <w:rFonts w:hint="eastAsia" w:ascii="仿宋" w:hAnsi="仿宋" w:eastAsia="仿宋" w:cs="仿宋"/>
                <w:b/>
                <w:bCs/>
                <w:color w:val="ff0000"/>
                <w:sz w:val="22"/>
                <w:lang w:bidi="ar"/>
              </w:rPr>
              <w:t xml:space="preserve">是</w:t>
            </w:r>
            <w:r>
              <w:rPr>
                <w:rFonts w:hint="eastAsia" w:ascii="仿宋" w:hAnsi="仿宋" w:eastAsia="仿宋" w:cs="仿宋"/>
                <w:b/>
                <w:bCs/>
                <w:color w:val="ff0000"/>
                <w:sz w:val="22"/>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公共广播</w:t>
            </w:r>
            <w:r>
              <w:rPr>
                <w:rFonts w:hint="eastAsia" w:ascii="宋体" w:hAnsi="宋体" w:cs="宋体"/>
                <w:b/>
                <w:bCs/>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一、设备</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IP网络广播控制主机</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IP网络广播系统软件</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套</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软件和信息技术服务业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3</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CD播放器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数字调谐器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IP网络消防报警矩阵</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6</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IP网络音频采集器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网络寻呼话筒</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监听音箱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9</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电源时序器</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0</wp:posOffset>
                      </wp:positionH>
                      <wp:positionV relativeFrom="paragraph">
                        <wp:posOffset>0</wp:posOffset>
                      </wp:positionV>
                      <wp:extent cx="2905760" cy="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290576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77;o:allowoverlap:true;o:allowincell:true;mso-position-horizontal-relative:text;margin-left:0.0pt;mso-position-horizontal:absolute;mso-position-vertical-relative:text;margin-top:0.0pt;mso-position-vertical:absolute;width:228.8pt;height:0.0pt;mso-wrap-distance-left:9.0pt;mso-wrap-distance-top:0.0pt;mso-wrap-distance-right:9.0pt;mso-wrap-distance-bottom:0.0pt;" stroked="f">
                      <v:path textboxrect="0,0,0,0"/>
                      <v:imagedata r:id="rId34" o:title=""/>
                    </v:shape>
                  </w:pict>
                </mc:Fallback>
              </mc:AlternateContent>
            </w:r>
            <w:r>
              <w:rPr>
                <w:rFonts w:hint="eastAsia" w:ascii="仿宋" w:hAnsi="仿宋" w:eastAsia="仿宋" w:cs="仿宋"/>
                <w:color w:val="000000"/>
                <w:sz w:val="18"/>
                <w:szCs w:val="18"/>
                <w:lang w:bidi="ar"/>
              </w:rPr>
              <w:t xml:space="preserve">10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IP网络功放</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台</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7</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0</wp:posOffset>
                      </wp:positionH>
                      <wp:positionV relativeFrom="paragraph">
                        <wp:posOffset>0</wp:posOffset>
                      </wp:positionV>
                      <wp:extent cx="2905760" cy="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290576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78;o:allowoverlap:true;o:allowincell:true;mso-position-horizontal-relative:text;margin-left:0.0pt;mso-position-horizontal:absolute;mso-position-vertical-relative:text;margin-top:0.0pt;mso-position-vertical:absolute;width:228.8pt;height:0.0pt;mso-wrap-distance-left:9.0pt;mso-wrap-distance-top:0.0pt;mso-wrap-distance-right:9.0pt;mso-wrap-distance-bottom:0.0pt;" stroked="f">
                      <v:path textboxrect="0,0,0,0"/>
                      <v:imagedata r:id="rId35" o:title=""/>
                    </v:shape>
                  </w:pict>
                </mc:Fallback>
              </mc:AlternateContent>
            </w:r>
            <w:r>
              <w:rPr>
                <w:rFonts w:hint="eastAsia" w:ascii="仿宋" w:hAnsi="仿宋" w:eastAsia="仿宋" w:cs="仿宋"/>
                <w:color w:val="000000"/>
                <w:sz w:val="18"/>
                <w:szCs w:val="18"/>
                <w:lang w:bidi="ar"/>
              </w:rPr>
              <w:t xml:space="preserve">11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吸顶喇叭</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48</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12</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壁挂音箱</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只</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4</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rPr>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255"/>
        </w:trPr>
        <w:tc>
          <w:tcPr>
            <w:gridSpan w:val="8"/>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31"/>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二、广播专用线</w:t>
            </w:r>
            <w:r>
              <w:rPr>
                <w:rFonts w:hint="eastAsia" w:ascii="宋体" w:hAnsi="宋体" w:cs="宋体"/>
                <w:b/>
                <w:bCs/>
                <w:color w:val="000000"/>
                <w:sz w:val="20"/>
                <w:szCs w:val="20"/>
              </w:rPr>
            </w:r>
            <w:r/>
          </w:p>
        </w:tc>
      </w:tr>
      <w:tr>
        <w:trPr>
          <w:trHeight w:val="225"/>
        </w:trPr>
        <w:tc>
          <w:tcPr>
            <w:tcBorders>
              <w:top w:val="single" w:color="000000" w:sz="4" w:space="0"/>
              <w:left w:val="single" w:color="000000" w:sz="4" w:space="0"/>
              <w:bottom w:val="single" w:color="000000" w:sz="4" w:space="0"/>
              <w:right w:val="single" w:color="000000" w:sz="4" w:space="0"/>
            </w:tcBorders>
            <w:tcW w:w="17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1</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广播线</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01"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m</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259"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520</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工业</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否</w:t>
            </w: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931"/>
              <w:jc w:val="center"/>
              <w:widowControl/>
              <w:rPr>
                <w:rFonts w:hint="eastAsia" w:ascii="仿宋" w:hAnsi="仿宋" w:eastAsia="仿宋" w:cs="仿宋"/>
                <w:color w:val="000000"/>
                <w:sz w:val="18"/>
                <w:szCs w:val="18"/>
              </w:rPr>
            </w:pPr>
            <w:r>
              <w:rPr>
                <w:rFonts w:hint="eastAsia" w:ascii="仿宋" w:hAnsi="仿宋" w:eastAsia="仿宋" w:cs="仿宋"/>
                <w:color w:val="000000"/>
                <w:sz w:val="18"/>
                <w:szCs w:val="18"/>
                <w:lang w:bidi="ar"/>
              </w:rPr>
              <w:t xml:space="preserve">辅材（线缆）</w:t>
            </w:r>
            <w:r>
              <w:rPr>
                <w:rFonts w:hint="eastAsia" w:ascii="仿宋" w:hAnsi="仿宋" w:eastAsia="仿宋" w:cs="仿宋"/>
                <w:color w:val="000000"/>
                <w:sz w:val="18"/>
                <w:szCs w:val="18"/>
              </w:rPr>
            </w:r>
            <w:r/>
          </w:p>
        </w:tc>
      </w:tr>
    </w:tbl>
    <w:p>
      <w:pPr>
        <w:pStyle w:val="93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二、政府采购中实施本国产品标准及相关政策</w:t>
      </w:r>
      <w:r>
        <w:rPr>
          <w:rFonts w:hint="eastAsia" w:ascii="仿宋" w:hAnsi="仿宋" w:eastAsia="仿宋"/>
          <w:b/>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1.本项目对采购本国产品给予政策支持，具体内容见招标文件“第五章 评标方法与评标标准”。</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bCs/>
          <w:color w:val="000000"/>
          <w:sz w:val="28"/>
          <w:szCs w:val="28"/>
        </w:rPr>
      </w:r>
      <w:r/>
    </w:p>
    <w:p>
      <w:pPr>
        <w:pStyle w:val="93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、技术要求</w:t>
      </w:r>
      <w:r>
        <w:rPr>
          <w:rFonts w:ascii="仿宋" w:hAnsi="仿宋" w:eastAsia="仿宋"/>
          <w:b/>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rPr>
          <w:rFonts w:hint="eastAsia" w:ascii="仿宋" w:hAnsi="仿宋" w:eastAsia="仿宋"/>
          <w:bCs/>
          <w:color w:val="000000"/>
          <w:sz w:val="28"/>
          <w:szCs w:val="28"/>
        </w:rPr>
      </w:r>
      <w:r/>
    </w:p>
    <w:p>
      <w:pPr>
        <w:pStyle w:val="931"/>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品目清单见《关于印发环境标志产品政府采购品目清单的通知》（财库〔2019〕18号）、《关于印发节能产品政府采购品目清单的通知》（财库〔2019〕19号）。</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需求标准见《商品包装政府采购需求标准（试行）》《快递包装政府采购需求标准（试行）》（财办库〔2020〕123号）、《绿色数据中心政府采购需求标准（试行）》（财库〔2023〕7号）。</w:t>
      </w:r>
      <w:r>
        <w:rPr>
          <w:rFonts w:hint="eastAsia" w:ascii="仿宋" w:hAnsi="仿宋" w:eastAsia="仿宋"/>
          <w:bCs/>
          <w:color w:val="000000"/>
          <w:sz w:val="28"/>
          <w:szCs w:val="28"/>
        </w:rPr>
      </w:r>
      <w:r/>
    </w:p>
    <w:p>
      <w:pPr>
        <w:pStyle w:val="932"/>
        <w:numPr>
          <w:ilvl w:val="0"/>
          <w:numId w:val="0"/>
        </w:numPr>
        <w:jc w:val="both"/>
        <w:rPr>
          <w:rFonts w:hint="eastAsia"/>
          <w:b/>
          <w:bCs/>
        </w:rPr>
      </w:pPr>
      <w:r/>
      <w:bookmarkStart w:id="192" w:name="_Toc25540"/>
      <w:r>
        <w:rPr>
          <w:rFonts w:hint="eastAsia"/>
          <w:b/>
          <w:bCs/>
        </w:rPr>
        <w:t xml:space="preserve">技术参数要求</w:t>
      </w:r>
      <w:bookmarkEnd w:id="192"/>
      <w:r>
        <w:rPr>
          <w:rFonts w:hint="eastAsia"/>
          <w:b/>
          <w:bCs/>
        </w:rPr>
      </w:r>
      <w:r/>
    </w:p>
    <w:p>
      <w:pPr>
        <w:pStyle w:val="933"/>
        <w:rPr>
          <w:rFonts w:hint="eastAsia"/>
        </w:rPr>
      </w:pPr>
      <w:r/>
      <w:bookmarkStart w:id="193" w:name="_Toc6186"/>
      <w:r>
        <w:rPr>
          <w:rFonts w:hint="eastAsia"/>
        </w:rPr>
        <w:t xml:space="preserve">综合布线</w:t>
      </w:r>
      <w:bookmarkEnd w:id="193"/>
      <w:r>
        <w:rPr>
          <w:rFonts w:hint="eastAsia"/>
        </w:rPr>
      </w:r>
      <w:r/>
    </w:p>
    <w:tbl>
      <w:tblPr>
        <w:tblW w:w="4996" w:type="pct"/>
        <w:tblInd w:w="-108" w:type="dxa"/>
        <w:tblLayout w:type="fixed"/>
        <w:tblCellMar>
          <w:left w:w="108" w:type="dxa"/>
          <w:top w:w="0" w:type="dxa"/>
          <w:right w:w="108" w:type="dxa"/>
          <w:bottom w:w="0" w:type="dxa"/>
        </w:tblCellMar>
        <w:tblLook w:val="04A0" w:firstRow="1" w:lastRow="0" w:firstColumn="1" w:lastColumn="0" w:noHBand="0" w:noVBand="1"/>
      </w:tblPr>
      <w:tblGrid>
        <w:gridCol w:w="830"/>
        <w:gridCol w:w="1426"/>
        <w:gridCol w:w="5156"/>
        <w:gridCol w:w="876"/>
        <w:gridCol w:w="874"/>
      </w:tblGrid>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464"/>
        </w:trPr>
        <w:tc>
          <w:tcPr>
            <w:gridSpan w:val="4"/>
            <w:tcBorders>
              <w:top w:val="single" w:color="000000" w:sz="4" w:space="0"/>
              <w:left w:val="single" w:color="000000" w:sz="4" w:space="0"/>
              <w:bottom w:val="single" w:color="000000" w:sz="4" w:space="0"/>
              <w:right w:val="single" w:color="000000" w:sz="4" w:space="0"/>
            </w:tcBorders>
            <w:tcW w:w="8288"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一、前端部分（办公区域、会议室及公共区域，内网、外网、政务网）</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2295"/>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单孔网络面板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1、使用ABS材料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2、材料：PC或ABS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3、颜色：瓷白色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4、面板与模块的插合次数≥1000次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5、储存温度：-40℃～80℃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6、工作温度：-30℃～70℃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7、工作湿度：&lt;95%相对湿度</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153</w:t>
            </w:r>
            <w:r>
              <w:rPr>
                <w:rFonts w:hint="eastAsia" w:ascii="方正仿宋_GBK" w:hAnsi="方正仿宋_GBK" w:eastAsia="方正仿宋_GBK" w:cs="方正仿宋_GBK"/>
                <w:color w:val="000000"/>
                <w:sz w:val="20"/>
                <w:szCs w:val="20"/>
              </w:rPr>
            </w:r>
            <w:r/>
          </w:p>
        </w:tc>
      </w:tr>
      <w:tr>
        <w:trPr>
          <w:trHeight w:val="350"/>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双孔网络面板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1、使用ABS材料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2、材料：PC或ABS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3、颜色：瓷白色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4、面板与模块的插合次数≥1000次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5、储存温度：-40℃～80℃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6、工作温度：-30℃～70℃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7、工作湿度：&lt;95%相对湿度</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207</w:t>
            </w:r>
            <w:r>
              <w:rPr>
                <w:rFonts w:hint="eastAsia" w:ascii="方正仿宋_GBK" w:hAnsi="方正仿宋_GBK" w:eastAsia="方正仿宋_GBK" w:cs="方正仿宋_GBK"/>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六类非屏蔽模块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1、传输带宽：250MHz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2、支持速率：1000Mbps 千兆，兼容 2.5G；短距离可支持 10G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3、执行标准：TIA568.2-D、ISO/IEC11801、YD/T926.3；</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4、线序：支持 T568A / T568B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5、适配网线：22～24AWG（0.5～0.6mm）六类双绞线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6、端接形式：180° 打线款 / 免工具款（地插常用 180°）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662</w:t>
            </w:r>
            <w:r>
              <w:rPr>
                <w:rFonts w:hint="eastAsia" w:ascii="方正仿宋_GBK" w:hAnsi="方正仿宋_GBK" w:eastAsia="方正仿宋_GBK" w:cs="方正仿宋_GBK"/>
                <w:color w:val="000000"/>
                <w:sz w:val="20"/>
                <w:szCs w:val="20"/>
              </w:rPr>
            </w:r>
            <w:r/>
          </w:p>
        </w:tc>
      </w:tr>
      <w:tr>
        <w:trPr>
          <w:trHeight w:val="1120"/>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六类非屏蔽跳线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1、标准RJ45至RJ45跳线；长度2米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2、符合T568A和T568B线序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3、采用六类多股屏蔽阻燃线缆和六类RJ45水晶头制作而成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4、工厂化端接工艺采用自动剥线设备和专用气动端接设备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5、六类水晶头应采用物理线缆隔离技术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662</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单口信息地插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1、面板：材质铜合金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2、内部基座：阻燃 PC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3、导电弹片：锡磷青铜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4、开启方式：普通弹起式 / 阻尼缓起式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5、闭合状态防护：IP44（防溅水、防尘）</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6、开启状态：IP30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7、抗压：常规≥3000N，可供行人正常踩踏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8、配置：带橡胶密封圈、儿童防触电保护门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双口信息地插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1、面板：材质铜合金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2、内部基座：阻燃 PC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3、导电弹片：锡磷青铜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4、开启方式：普通弹起式 / 阻尼缓起式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5、闭合状态防护：IP44（防溅水、防尘）</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6、开启状态：IP30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7、抗压：常规≥3000N，可供行人正常踩踏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8、配置：带橡胶密封圈、儿童防触电保护门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42</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电话机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1、清晰通话</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2、免提通话，音量可调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3、来电显示，亮度调节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4、来去电查询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5、大按键拨号</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w:t>
            </w:r>
            <w:r>
              <w:rPr>
                <w:rFonts w:hint="eastAsia" w:ascii="方正仿宋_GBK" w:hAnsi="方正仿宋_GBK" w:eastAsia="方正仿宋_GBK" w:cs="方正仿宋_GBK"/>
                <w:color w:val="000000"/>
                <w:sz w:val="20"/>
                <w:szCs w:val="20"/>
              </w:rPr>
            </w:r>
            <w:r/>
          </w:p>
        </w:tc>
      </w:tr>
      <w:tr>
        <w:trPr>
          <w:trHeight w:val="464"/>
        </w:trPr>
        <w:tc>
          <w:tcPr>
            <w:gridSpan w:val="4"/>
            <w:tcBorders>
              <w:top w:val="single" w:color="000000" w:sz="4" w:space="0"/>
              <w:left w:val="single" w:color="000000" w:sz="4" w:space="0"/>
              <w:bottom w:val="single" w:color="000000" w:sz="4" w:space="0"/>
              <w:right w:val="none" w:color="000000" w:sz="4" w:space="0"/>
            </w:tcBorders>
            <w:tcW w:w="8288"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二、楼层弱电间机柜到信息点、信息点到中心机房线路（内网、设备网、外网、政务网）</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24口六类非屏蔽配线架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1、24口RJ45配线架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2、六类非屏蔽配线架采用模块化设计，每个模块能够单独拆卸，配合六类非屏蔽铜缆和六类屏蔽模块可以组成高性价比的六类非屏蔽水平信道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56</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六类非屏蔽跳线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1、标准RJ45至RJ45跳线；长度2米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2、符合T568A和T568B线序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3、采用六类多股屏蔽阻燃线缆和六类RJ45水晶头制作而成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4、工厂化端接工艺采用自动剥线设备和专用气动端接设备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5、六类水晶头应采用物理线缆隔离技术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1344</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24口光纤配线架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1、24口光纤配线架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2、符合标准：YD/T 778-2011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3、墙挂式终端盒，冷轧板材料，静电喷涂，全密封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4、集光缆、尾纤接续、尾纤、跳线收容等功能为一体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LC-LC单模双芯光纤跳线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1、LC-LC单模双芯光纤跳线；3米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2、符合标准：、YD/T 1272 系列现行有效版本</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3、接头材料：氧化锆陶瓷插芯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4、插入损耗（含重复性）：≤0.2dB；回波损耗：≥50dB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5、重复性：≤0.1dB；互换性：≤0.2dB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6、插拔次数：≥1000 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140</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金属理线架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1、金属理线架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2、采用冷轧钢板钢板部分采用静电粉末喷涂，表面可脱卸的安装面板设计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3、1U标准</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74</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312</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110/RJ45语音跳线（语音）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1、110/RJ45语音跳线，长度2m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2、采用六类屏蔽阻燃线缆和六类RJ45水晶头制做而成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3、工厂化端接工艺采用自动剥线设备和专用气动端接设备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4、六类水晶头应采用物理线缆隔离技术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163</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机架式100对110型跳线架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一、容量：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1、100 对线（语音电话专用）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2、机架标准：19 英寸标准机柜，1U 高度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二、适配线缆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1、适用线规：22~26AWG（0.4~0.64mm）语音大对数电缆高岘</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2、配套：4 对、5 对 110 连接块</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三、材质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1、底座框架：加厚冷轧钢板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2、打线 IDC 端子：磷青铜镀金（抗氧化、接触稳定）</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3、塑料基座：阻燃 PC（UL94-V0）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四、机械性能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1、插拔 / 打线耐久：≥250 次无接触不良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4口光纤盒（监控）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1、4口光纤盒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2、采用冷轧钢板钢板部分采用静电粉末喷涂，避免划伤，表面可脱卸的安装面板设计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规格：600*600*2000mm，42U</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机柜PDU</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16位 10A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r>
      <w:tr>
        <w:trPr>
          <w:trHeight w:val="464"/>
        </w:trPr>
        <w:tc>
          <w:tcPr>
            <w:gridSpan w:val="4"/>
            <w:tcBorders>
              <w:top w:val="single" w:color="000000" w:sz="4" w:space="0"/>
              <w:left w:val="single" w:color="000000" w:sz="4" w:space="0"/>
              <w:bottom w:val="single" w:color="000000" w:sz="4" w:space="0"/>
              <w:right w:val="none" w:color="000000" w:sz="4" w:space="0"/>
            </w:tcBorders>
            <w:tcW w:w="8288"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三、机房部分（内网、设备网、外网、政务网）</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24口光纤配线架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1、24口光纤配线架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2、符合标准：YD/T 778-2011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3、墙挂式终端盒，冷轧板材料，静电喷涂，全密封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4、集光缆、尾纤接续、尾纤、跳线收容等功能为一体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17</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LC-LC单模双芯光纤跳线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1、LC-LC单模双芯光纤跳线；3米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2、符合标准：YD/T 1272 系列现行有效版本</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3、接头材料：氧化锆陶瓷插芯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4、插入损耗（含重复性）：≤0.2dB；回波损耗：≥50dB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5、重复性：≤0.1dB；互换性：≤0.2dB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6、插拔次数：≥1000 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136</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机架式100对110型跳线架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一、容量：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1、100 对线（语音电话专用）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2、机架标准：19 英寸标准机柜，1U 高度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二、适配线缆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1、适用线规：22~26AWG（0.4~0.64mm）语音大对数电缆高岘</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2、配套：4 对、5 对 110 连接块</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三、材质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1、底座框架：加厚冷轧钢板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2、打线 IDC 端子：磷青铜镀金（抗氧化、接触稳定）</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3、塑料基座：阻燃 PC（UL94-V0）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四、机械性能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1、插拔 / 打线耐久：≥250 次无接触不良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金属理线架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1、金属理线架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2、采用冷轧钢板钢板部分采用静电粉末喷涂，表面可脱卸的安装面板设计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3、1U标准</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19</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408</w:t>
            </w:r>
            <w:r>
              <w:rPr>
                <w:rFonts w:hint="eastAsia" w:ascii="方正仿宋_GBK" w:hAnsi="方正仿宋_GBK" w:eastAsia="方正仿宋_GBK" w:cs="方正仿宋_GBK"/>
                <w:color w:val="000000"/>
                <w:sz w:val="20"/>
                <w:szCs w:val="20"/>
              </w:rPr>
            </w:r>
            <w:r/>
          </w:p>
        </w:tc>
      </w:tr>
      <w:tr>
        <w:trPr>
          <w:trHeight w:val="464"/>
        </w:trPr>
        <w:tc>
          <w:tcPr>
            <w:gridSpan w:val="4"/>
            <w:tcBorders>
              <w:top w:val="single" w:color="000000" w:sz="4" w:space="0"/>
              <w:left w:val="single" w:color="000000" w:sz="4" w:space="0"/>
              <w:bottom w:val="single" w:color="000000" w:sz="4" w:space="0"/>
              <w:right w:val="none" w:color="000000" w:sz="4" w:space="0"/>
            </w:tcBorders>
            <w:tcW w:w="8288"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四、法庭设备到中心机房线路（内网、设备网）</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六类低烟无卤非屏蔽网线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1、HSYZ-6六类4 对非屏蔽电缆，导体材料：无氧圆铜，纯度99.99%</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2、导体0.57±0.05mm，绝缘材料HDPE</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3、护套采用低烟无卤阻燃环保材质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4、线缆采用高密度双绞结构，十字骨架隔离提高线缆的平衡性，线对之间串扰小，保证四对双绞线的相对位置稳定，并增强信号的稳定性，支持千兆以太网信号传输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7380</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24口六类非屏蔽配线架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1、24口RJ45配线架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2、六类非屏蔽配线架采用模块化设计，每个模块能够单独拆卸，配合六类非屏蔽铜缆和六类屏蔽模块可以组成高性价比的六类非屏蔽水平信道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六类非屏蔽跳线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1、标准RJ45至RJ45跳线；长度2米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2、符合T568A和T568B线序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3、采用六类多股屏蔽阻燃线缆和六类RJ45水晶头制做而成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4、工厂化端接工艺采用自动剥线设备和专用气动端接设备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5、六类水晶头应采用物理线缆隔离技术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384</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4口光纤盒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1、4口光纤盒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2、采用冷轧钢板钢板部分采用静电粉末喷涂，表面可脱卸的安装面板设计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64</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金属理线架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1、金属理线架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2、采用冷轧钢板钢板部分采用静电粉末喷涂，表面可脱卸的安装面板设计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3、1U标准</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r>
      <w:tr>
        <w:trPr>
          <w:trHeight w:val="464"/>
        </w:trPr>
        <w:tc>
          <w:tcPr>
            <w:gridSpan w:val="4"/>
            <w:tcBorders>
              <w:top w:val="single" w:color="000000" w:sz="4" w:space="0"/>
              <w:left w:val="single" w:color="000000" w:sz="4" w:space="0"/>
              <w:bottom w:val="single" w:color="000000" w:sz="4" w:space="0"/>
              <w:right w:val="none" w:color="000000" w:sz="4" w:space="0"/>
            </w:tcBorders>
            <w:tcW w:w="8288"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五、消控室机柜到中心机房线路（设备网）</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规格:600*600*2000mm，42U</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机柜PDU</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16位 10A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24口光纤配线架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1、24口光纤配线架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2、符合标准：YD/T 778-2011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3、墙挂式终端盒，冷轧板材料，静电喷涂，全密封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4、集光缆、尾纤接续、尾纤、跳线收容等功能为一体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光纤熔接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w:t>
            </w:r>
            <w:r>
              <w:rPr>
                <w:rFonts w:hint="eastAsia" w:ascii="方正仿宋_GBK" w:hAnsi="方正仿宋_GBK" w:eastAsia="方正仿宋_GBK" w:cs="方正仿宋_GBK"/>
                <w:color w:val="000000"/>
                <w:sz w:val="20"/>
                <w:szCs w:val="20"/>
              </w:rPr>
            </w:r>
            <w:r/>
          </w:p>
        </w:tc>
      </w:tr>
    </w:tbl>
    <w:p>
      <w:pPr>
        <w:pStyle w:val="931"/>
        <w:rPr>
          <w:rFonts w:hint="eastAsia"/>
        </w:rPr>
      </w:pPr>
      <w:r>
        <w:rPr>
          <w:rFonts w:hint="eastAsia"/>
        </w:rPr>
      </w:r>
      <w:r/>
    </w:p>
    <w:p>
      <w:pPr>
        <w:pStyle w:val="933"/>
        <w:rPr>
          <w:rFonts w:hint="eastAsia"/>
        </w:rPr>
      </w:pPr>
      <w:r/>
      <w:bookmarkStart w:id="194" w:name="_Toc21541"/>
      <w:r>
        <w:rPr>
          <w:rFonts w:hint="eastAsia"/>
        </w:rPr>
        <w:t xml:space="preserve">计算机网络</w:t>
      </w:r>
      <w:bookmarkEnd w:id="194"/>
      <w:r>
        <w:rPr>
          <w:rFonts w:hint="eastAsi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487"/>
        <w:gridCol w:w="5446"/>
        <w:gridCol w:w="704"/>
        <w:gridCol w:w="741"/>
      </w:tblGrid>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W w:w="811"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W w:w="2969"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464"/>
        </w:trPr>
        <w:tc>
          <w:tcPr>
            <w:gridSpan w:val="4"/>
            <w:tcW w:w="8428"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一、内网</w:t>
            </w:r>
            <w:r>
              <w:rPr>
                <w:rFonts w:hint="eastAsia" w:ascii="方正仿宋_GBK" w:hAnsi="方正仿宋_GBK" w:eastAsia="方正仿宋_GBK" w:cs="方正仿宋_GBK"/>
                <w:b/>
                <w:bCs/>
                <w:color w:val="000000"/>
                <w:sz w:val="20"/>
                <w:szCs w:val="20"/>
              </w:rPr>
            </w:r>
            <w:r/>
          </w:p>
        </w:tc>
        <w:tc>
          <w:tcPr>
            <w:tcW w:w="404"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1、交换容量≥336Gbps，包转发率≥108Mpps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2、24个10/100/1000Mbps自适应电口交换机，固化4个SFP+万兆光口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48口接入以太网交换机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1、交换容量≥432Gbps，包转发率≥144Mpps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2、48个10/100/1000Mbps自适应电口交换机，固化4个SFP+万兆光口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12口接入以太网交换机（法庭）</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1、交换容量≥168Gbps，包转发率≥54Mpps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2、12个10/100/1000Mbps自适应电口交换机；固化2个SFP+万兆光口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24口接入以太网交换机（法庭）</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1、交换容量≥336Gbps，包转发率≥108Mpps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2、24个10/100/1000Mbps自适应电口交换机，固化4个SFP+万兆光口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4、支持APP统一管理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汇聚交换机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1、交换容量≥2.56Tbps，包转发率≥720Mpps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2、8个10/100/1000/2500Mbps自适应电口，24个SFP+万兆光口，2个40G QSFP+光口，2个模块化电源插槽.配单电源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万兆单模光模块</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万兆单模光模块，最大传输距离10KM，双纤口，适用LC型接头跳线</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96</w:t>
            </w:r>
            <w:r>
              <w:rPr>
                <w:rFonts w:hint="eastAsia" w:ascii="方正仿宋_GBK" w:hAnsi="方正仿宋_GBK" w:eastAsia="方正仿宋_GBK" w:cs="方正仿宋_GBK"/>
                <w:color w:val="000000"/>
                <w:sz w:val="20"/>
                <w:szCs w:val="20"/>
              </w:rPr>
            </w:r>
            <w:r/>
          </w:p>
        </w:tc>
      </w:tr>
      <w:tr>
        <w:trPr>
          <w:trHeight w:val="464"/>
        </w:trPr>
        <w:tc>
          <w:tcPr>
            <w:gridSpan w:val="4"/>
            <w:tcW w:w="8428"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二、设备网</w:t>
            </w:r>
            <w:r>
              <w:rPr>
                <w:rFonts w:hint="eastAsia" w:ascii="方正仿宋_GBK" w:hAnsi="方正仿宋_GBK" w:eastAsia="方正仿宋_GBK" w:cs="方正仿宋_GBK"/>
                <w:b/>
                <w:bCs/>
                <w:color w:val="000000"/>
                <w:sz w:val="20"/>
                <w:szCs w:val="20"/>
              </w:rPr>
            </w:r>
            <w:r/>
          </w:p>
        </w:tc>
        <w:tc>
          <w:tcPr>
            <w:tcW w:w="404"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8口POE接入以太网交换机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1、交换容量≥112Gbps，包转发率≥36Mpps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2、8个10/100/1000Mbps自适应电口交换机，固化2个SFP+万兆光口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3、支持POE</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1、交换容量≥336Gbps，包转发率≥108Mpps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2、24个10/100/1000Mbps自适应电口交换机，固化4个SFP+万兆光口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48口接入以太网交换机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1、交换容量≥432Gbps，包转发率≥144Mpps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2、48个10/100/1000Mbps自适应电口交换机，固化4个SFP+万兆光口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8口POE接入以太网交换机（法庭）</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1、交换容量≥112Gbps，包转发率≥36Mpps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2、8个10/100/1000Mbps自适应电口交换机，固化2个SFP+万兆光口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3、支持POE</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12口POE接入以太网交换机（法庭）</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1、交换容量≥168Gbps，包转发率≥54Mpps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2、12个10/100/1000Mbps自适应电口交换机；固化2个SFP+万兆光口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3、支持POE</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汇聚交换机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1、交换容量≥2.56Tbps，包转发率≥720Mpps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2、8个10/100/1000/2500Mbps自适应电口，24个SFP+万兆光口，2个40G QSFP+光口，2个模块化电源插槽.配单电源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万兆单模光模块</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万兆单模光模块，最大传输距离10KM，双纤口，适用LC型接头跳线</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144</w:t>
            </w:r>
            <w:r>
              <w:rPr>
                <w:rFonts w:hint="eastAsia" w:ascii="方正仿宋_GBK" w:hAnsi="方正仿宋_GBK" w:eastAsia="方正仿宋_GBK" w:cs="方正仿宋_GBK"/>
                <w:color w:val="000000"/>
                <w:sz w:val="20"/>
                <w:szCs w:val="20"/>
              </w:rPr>
            </w:r>
            <w:r/>
          </w:p>
        </w:tc>
      </w:tr>
      <w:tr>
        <w:trPr>
          <w:trHeight w:val="464"/>
        </w:trPr>
        <w:tc>
          <w:tcPr>
            <w:gridSpan w:val="4"/>
            <w:tcW w:w="8428"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三、外网</w:t>
            </w:r>
            <w:r>
              <w:rPr>
                <w:rFonts w:hint="eastAsia" w:ascii="方正仿宋_GBK" w:hAnsi="方正仿宋_GBK" w:eastAsia="方正仿宋_GBK" w:cs="方正仿宋_GBK"/>
                <w:b/>
                <w:bCs/>
                <w:color w:val="000000"/>
                <w:sz w:val="20"/>
                <w:szCs w:val="20"/>
              </w:rPr>
            </w:r>
            <w:r/>
          </w:p>
        </w:tc>
        <w:tc>
          <w:tcPr>
            <w:tcW w:w="404"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24口接入以太网交换机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1、交换容量≥336Gbps，包转发率≥78Mpps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2、24口10/100/1000Mbps自适应电口交换机，固化4个SFP千兆光口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 台 </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48口接入以太网交换机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1、交换容量≥432Gbps，包转发率≥108Mpps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2、48口10/100/1000Mbps自适应电口交换机，固化4个SFP千兆光口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 台 </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外网汇聚交换机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1、交换容量≥598Gbps，包转发率≥148Mpps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2、24个千兆光口，8个10/100/1000Mbps自适应复用电口，固化4个SFP+万兆光口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3、支持静态路由、三层聚合口、ACL、端口镜像等功能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 台 </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千兆单模光模块</w:t>
            </w:r>
            <w:r>
              <w:rPr>
                <w:rFonts w:hint="eastAsia" w:ascii="方正仿宋_GBK" w:hAnsi="方正仿宋_GBK" w:eastAsia="方正仿宋_GBK" w:cs="方正仿宋_GBK"/>
                <w:color w:val="000000"/>
                <w:sz w:val="20"/>
                <w:szCs w:val="20"/>
              </w:rPr>
            </w:r>
            <w:r/>
          </w:p>
        </w:tc>
        <w:tc>
          <w:tcPr>
            <w:tcW w:w="2969" w:type="dxa"/>
            <w:vAlign w:val="center"/>
            <w:textDirection w:val="lrTb"/>
            <w:noWrap/>
          </w:tcPr>
          <w:p>
            <w:pPr>
              <w:pStyle w:val="931"/>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千兆单模光模块，最大传输距离10KM，双纤口，适用LC型接头跳线 </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 台 </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w:t>
            </w:r>
            <w:r>
              <w:rPr>
                <w:rFonts w:hint="eastAsia" w:ascii="方正仿宋_GBK" w:hAnsi="方正仿宋_GBK" w:eastAsia="方正仿宋_GBK" w:cs="方正仿宋_GBK"/>
                <w:color w:val="000000"/>
                <w:sz w:val="20"/>
                <w:szCs w:val="20"/>
              </w:rPr>
            </w:r>
            <w:r/>
          </w:p>
        </w:tc>
      </w:tr>
      <w:tr>
        <w:trPr>
          <w:trHeight w:val="464"/>
        </w:trPr>
        <w:tc>
          <w:tcPr>
            <w:gridSpan w:val="4"/>
            <w:tcW w:w="8428"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四、政务网</w:t>
            </w:r>
            <w:r>
              <w:rPr>
                <w:rFonts w:hint="eastAsia" w:ascii="方正仿宋_GBK" w:hAnsi="方正仿宋_GBK" w:eastAsia="方正仿宋_GBK" w:cs="方正仿宋_GBK"/>
                <w:b/>
                <w:bCs/>
                <w:color w:val="000000"/>
                <w:sz w:val="20"/>
                <w:szCs w:val="20"/>
              </w:rPr>
            </w:r>
            <w:r/>
          </w:p>
        </w:tc>
        <w:tc>
          <w:tcPr>
            <w:tcW w:w="404"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12口接入以太网交换机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1、交换容量≥168Gbps，包转发率≥54Mpps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2、12个10/100/1000Mbps自适应电口交换机；固化2个SFP+万兆光口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3、支持VLAN、ACL、端口镜像、端口聚合等功能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 台 </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政务网汇聚交换机</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1、交换容量≥598Gbps，包转发率≥148Mpps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2、24个千兆光口，8个10/100/1000Mbps自适应复用电口，固化4个SFP+万兆光口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3、支持静态路由、三层聚合口、ACL、端口镜像等功能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4、支持链路聚合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5、支持端口镜像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6、支持DHCP功能</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 台 </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811"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千兆单模光模块</w:t>
            </w:r>
            <w:r>
              <w:rPr>
                <w:rFonts w:hint="eastAsia" w:ascii="方正仿宋_GBK" w:hAnsi="方正仿宋_GBK" w:eastAsia="方正仿宋_GBK" w:cs="方正仿宋_GBK"/>
                <w:color w:val="000000"/>
                <w:sz w:val="20"/>
                <w:szCs w:val="20"/>
              </w:rPr>
            </w:r>
            <w:r/>
          </w:p>
        </w:tc>
        <w:tc>
          <w:tcPr>
            <w:tcW w:w="296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千兆单模光模块，最大传输距离10KM，双纤口，适用LC型接头跳线</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 台 </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w:t>
            </w:r>
            <w:r>
              <w:rPr>
                <w:rFonts w:hint="eastAsia" w:ascii="方正仿宋_GBK" w:hAnsi="方正仿宋_GBK" w:eastAsia="方正仿宋_GBK" w:cs="方正仿宋_GBK"/>
                <w:color w:val="000000"/>
                <w:sz w:val="20"/>
                <w:szCs w:val="20"/>
              </w:rPr>
            </w:r>
            <w:r/>
          </w:p>
        </w:tc>
      </w:tr>
      <w:tr>
        <w:trPr>
          <w:trHeight w:val="464"/>
        </w:trPr>
        <w:tc>
          <w:tcPr>
            <w:gridSpan w:val="4"/>
            <w:tcW w:w="8428"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五、专线服务</w:t>
            </w:r>
            <w:r>
              <w:rPr>
                <w:rFonts w:hint="eastAsia" w:ascii="方正仿宋_GBK" w:hAnsi="方正仿宋_GBK" w:eastAsia="方正仿宋_GBK" w:cs="方正仿宋_GBK"/>
                <w:b/>
                <w:bCs/>
                <w:color w:val="000000"/>
                <w:sz w:val="20"/>
                <w:szCs w:val="20"/>
              </w:rPr>
            </w:r>
            <w:r/>
          </w:p>
        </w:tc>
        <w:tc>
          <w:tcPr>
            <w:tcW w:w="404"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1530"/>
        </w:trPr>
        <w:tc>
          <w:tcPr>
            <w:tcW w:w="43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81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专线服务</w:t>
            </w:r>
            <w:r>
              <w:rPr>
                <w:rFonts w:hint="eastAsia" w:ascii="方正仿宋_GBK" w:hAnsi="方正仿宋_GBK" w:eastAsia="方正仿宋_GBK" w:cs="方正仿宋_GBK"/>
                <w:color w:val="000000"/>
                <w:sz w:val="20"/>
                <w:szCs w:val="20"/>
              </w:rPr>
            </w:r>
            <w:r/>
          </w:p>
        </w:tc>
        <w:tc>
          <w:tcPr>
            <w:tcW w:w="296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4层机房到中院本部主机房和容灾机房布放专线光缆，采用裸光纤方式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1、内网千兆，双线路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2、设备网千兆，双线路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3、外网两百兆，单线路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4、政务网百兆，单线路</w:t>
            </w:r>
            <w:r>
              <w:rPr>
                <w:rFonts w:hint="eastAsia" w:ascii="方正仿宋_GBK" w:hAnsi="方正仿宋_GBK" w:eastAsia="方正仿宋_GBK" w:cs="方正仿宋_GBK"/>
                <w:color w:val="000000"/>
                <w:sz w:val="20"/>
                <w:szCs w:val="20"/>
              </w:rPr>
            </w:r>
            <w:r/>
          </w:p>
        </w:tc>
        <w:tc>
          <w:tcPr>
            <w:tcW w:w="38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年</w:t>
            </w:r>
            <w:r>
              <w:rPr>
                <w:rFonts w:hint="eastAsia" w:ascii="方正仿宋_GBK" w:hAnsi="方正仿宋_GBK" w:eastAsia="方正仿宋_GBK" w:cs="方正仿宋_GBK"/>
                <w:color w:val="000000"/>
                <w:sz w:val="20"/>
                <w:szCs w:val="20"/>
              </w:rPr>
            </w:r>
            <w:r/>
          </w:p>
        </w:tc>
        <w:tc>
          <w:tcPr>
            <w:tcW w:w="40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bl>
    <w:p>
      <w:pPr>
        <w:pStyle w:val="931"/>
        <w:rPr>
          <w:rFonts w:hint="eastAsia"/>
        </w:rPr>
      </w:pPr>
      <w:r>
        <w:rPr>
          <w:rFonts w:hint="eastAsia"/>
        </w:rPr>
      </w:r>
      <w:r/>
    </w:p>
    <w:p>
      <w:pPr>
        <w:pStyle w:val="933"/>
        <w:rPr>
          <w:rFonts w:hint="eastAsia"/>
        </w:rPr>
      </w:pPr>
      <w:r/>
      <w:bookmarkStart w:id="195" w:name="_Toc24286"/>
      <w:r>
        <w:rPr>
          <w:rFonts w:hint="eastAsia"/>
        </w:rPr>
        <w:t xml:space="preserve">视频监控</w:t>
      </w:r>
      <w:bookmarkEnd w:id="195"/>
      <w:r>
        <w:rPr>
          <w:rFonts w:hint="eastAsia"/>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18"/>
        <w:gridCol w:w="1065"/>
        <w:gridCol w:w="6155"/>
        <w:gridCol w:w="618"/>
        <w:gridCol w:w="709"/>
      </w:tblGrid>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8456"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一、前端设备（摄像头及相关安装用辅材）</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半球摄像机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3、支持红外补光，红外作用距离不低于30m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4、内置电动变焦镜头变焦范围不低于2.7-13.5mm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5、内置1个麦克风，具有1个RJ45网络接口，1个音频输入接口、1个音频输出接口、1个报警输入接口、1个报警输出接口。支持DC12V供电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6、支持IK10机械碰撞防护等级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7、具备区域入侵、越界、进入区域、离开区域、人员聚集、快速移动、徘徊、物品移除、物品遗留、停车智能分析功能，当以上智能分析行为达到设定的阈值时，可通过客户端软件或浏览器给出报警提示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8、同一场景相同图像质量下设备在H.264或H265编码方式时，开启智能编码功能和不开启智能编码相比，码率节约50%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98</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室内筒型网络摄像机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3、支持白光/红外双补光，支持分区补光，红外光作用距离不低于50 m；白光作用距离不低于30 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4、内置电动变焦镜头变焦范围不低于2.7-13.5mm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5、支持越界侦测，区域入侵侦测，进入区域侦测和离开区域侦测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6、IP67防护等级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7、设备内置1个GPU、不少于1个麦克风、报警输入输出，音频输入输出、RJ45网络接口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8、支持智能分析抗干扰功能，当篮球、小狗、树叶等非人或车辆目标经过检测区域时，不会触发报警</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35</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筒机支架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白色鸭嘴支架，工程塑料材质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35</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室外筒型网络摄像机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3、支持白光/红外双补光，支持分区补光，红外光作用距离不低于50 m；白光作用距离不低于30 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4、内置电动变焦镜头变焦范围不低于2.7-13.5mm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5、支持越界侦测，区域入侵侦测，进入区域侦测和离开区域侦测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6、IP67防护等级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7、设备内置1个GPU、不少于1个麦克风、报警输入输出，音频输入输出、RJ45网络接口</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19</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室外监控立杆</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立杆高度可在2-3米内定制，镀锌钢管材质，包含配件地垄、螺丝、垫片等</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室外手孔井</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室外600mm*600mm手孔井，手孔盖可以根据现场要求选择工程塑料盖或者铸铁盖，手孔深不小于400mm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室外防水箱</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室外监控防水箱，304不锈钢金属材质，尺寸不小于400*300*180mm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插排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8孔位国标插排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室外4芯光纤终端盒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1、光纤熔接箱，采用高性能橡胶密封条密封，防水等级不低于IP53</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2、所有塑料材料采用ABS材质耐腐塑料，UL 94V-0 防火等级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3、颜色为乳白色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4、采用翻转结构，可合理配置配线熔接区域空间，便于安装与维护；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5、产品符合RoHS环保要求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6、安装特点：可安装LC耦合器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7、光纤芯数4芯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8、路由标识清晰；可挂墙安装</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屋顶制高点球机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2、最低照度：红外灯关闭：彩色≤0.005Lux，黑白模式≤0.001Lux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3、球机水平手控速度不小于160°/S，垂直速度不小于120°/S，云台定位精度≤0.1°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4、水平旋转范围为360°连续旋转，垂直旋转范围为-15°~90°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5、支持32倍光学变焦，16倍数字变倍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6、动态范围不小于106dB，照度适应范围不小于138dB，宽动态能力综合得分不小于140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7、具有1路音频输入、1路音频输出、2路报警输入、1路报警输出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8、内置1颗GPU芯片，支持同时检测监控场景内出现的不少于5张人脸图片，并可进行抓拍和人脸追踪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9、应具有300个预置位，可按照所设置的预置位完成不小于8条巡航路径，可按照所设置轨迹完成4条模式路径</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球机支架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金属材质，挑出长度0.5-1.2米可定制，杆高0.5-1.2米可定制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大模型周界网络摄像机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 Lux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3、支持越界侦测，区域入侵侦测，进入区域侦测和离开区域侦测，支持联动声光报警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4、内置GPU芯片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5、支持对运动人脸抓拍和属性分析，支持快速抓拍和优选抓拍两种模式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6、1个内置麦克风，1个内置扬声器，支持双向语音对讲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7、同一静止场景相同图像质量下，设备在H.264、H.265编码方式时，开启智能编码功能和不开启智能编码相比，码率节约50%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8、支持智能报警防干扰功能，智能分析行为类型为区域入侵、越界、进入区域、离开区域时，报警检测目标设置为人体或车辆时，光线明暗变化，篮球滚动，狗行走，树摇晃，不触发报警</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人脸半球摄像机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1、主码流视频分辨率不小于2560×1440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 Lux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3、支持红外补光，作用距离不低于30m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4、内置电动变焦镜头变焦范围不低于2.7-13.5mm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5、内置2个麦克风、1个扬声器，1路报警输入、1路报警输出、1路音频输入、1路音频输出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6、支持单场景同时检出不少于30张人脸图片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7、支持检出两眼瞳距40像素点以上的人脸图片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8、外壳防护能力不低于IP67</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9、具有图像质量提升功能，在低照度环境下，可自动调节预览场景视频画面中人脸、人体、车辆等目标及预览场景视频画面的区域曝光、亮度、色彩饱和度、对比度、锐度等</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68</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人脸枪机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top"/>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1、主码流视频分辨率不小于2688×1520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 Lux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3、支持双光补光，红外作用距离不低于50m，暖白作用距离不低于30m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4、当进入区域、离开区域、越界侦测或区域入侵报警产生时，可在报警布防时间内联动声音报警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5、内置电动变焦镜头变焦范围不低于2.7-13.5mm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6、内置2个麦克风、1个扬声器，具有1路报警输入、1路报警输出、1个音频输入接口、1个音频输出接口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7、内置GPU芯片，支持检出两眼瞳距40像素点以上的人脸图片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8、内置鳞镜式补光灯，灯珠朝向与设备照射方向不同，补光灯开启后正面不可见补光灯灯珠</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枪机支架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白色鸭嘴支架，工程塑料材质。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电梯摄像机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 Lux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3、支持越界侦测，区域入侵侦测，进入区域侦测和离开区域侦测，支持联动声光报警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4、内置不少于1个内置麦克风，1个内置扬声器，支持双向语音对讲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5、内置不少于1路报警输入，1路报警输出，1路音频输入，1路音频输出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6、支持红外补光，红外作用距离不低于10m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7、支持DC12VE或者PoE供电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8、碰撞防护等级IK08</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9、同一静止场景，相同图像质量下开启智能编码功能和不开启智能编码相比，码率节约50%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法庭安防监控摄像机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1、支持输出图像分辨率不低于1920x1080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2、内置1个麦克风，1个RJ45网络接口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3、具有1个音频输入接口，1个音频输出接口，具有1个报警输入接口，1个报警输出接口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4、夜间开启红外补光灯可识别距摄像机30m处人体轮廓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5、具备区域入侵、越界入侵、进入区域、离开区域、人员聚集、快速移动、徘徊、物品移除、物品遗留、停车智能分析功能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6、支持IP66防尘防水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7、支持IK10碰撞防护等级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8、夜间开启红外补光灯可识别距摄像机30m处人体轮廓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9、同一静止场景相同图像质量下，设备在H.264或H.265编码方式时，开启智能编码功能和不开启智能编码相比，码率节约50%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监控集中供电电源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DC12V30A，不少于8路摄像机供电，带箱子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25</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壁挂机柜</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600mm*440mm*368mm，6U机柜</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无线网桥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1、≥1个百兆电口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2、无线传输距离≥100m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3、支持APP、客户端统一管理 拓扑可视化、智能运维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4、无线抗干扰 故障可自愈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5、水平天线角度≥50°，垂直天线角度≥50°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6、浪涌防护：共模2 kV，差模1 kV</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电梯轿厢开关电源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DC12V30A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全向抗回声拾音器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1、拾音范围：10～70平方米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2、音频传输距离：3000米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3、灵敏度： -46dB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5、指向特性：全方向性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6、信噪比：70dB ( 1米40 dB音源） 35dB (10米40 dB音源） 1KHz at 1 Pa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7、动态范围：50dB(1KHz at Max dB SPL)</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8、最大承受音压： 120dB SPL（1KHz，THD 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9、输出阻抗：最大600欧姆非平衡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10、输出信号幅度：2.5Vpp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11、麦克风：两只高灵敏度电容咪头，内置DSP芯片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12、保护电路：雷击保护、电源极性反接保护</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音频适配器（拾音器专用滤波电源）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1、拾音器接口：1个三芯（V,A,G）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2、音频输出端子：二个线性输出（1个两芯端子，1个3.5插孔）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3、音量调节：-10dB ～ +10dB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 ～ 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5、输出电压：12VDC±5%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6、输出电流：≤200mA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7、纹波：≤20mvrms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8、输出信号幅度：2.5Vpp/-25db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9、防水特性：户内防潮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10、保护电路：雷击保护、电源极性反转保护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11、拾音器连接方式：电源线V（红色）、音频A（黄色）、公共地G（黑色）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12、拾音器线缆：3芯0.5mm2 RVVP屏蔽电缆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13、音频输出线缆：2芯0.5mm2 RVVP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14、电源输入电压：直流电DC12V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15、工作环境温度：-25℃ ～ 75℃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RVVP2*0.5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RVVP3*0.5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三眼插头</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国标三眼插头</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强电插座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五孔插座，面板材质为工程塑料</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监控授权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1、支持视频实时预览能力，实现预览窗口布局切换、预览画面自适应及全屏切换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2、支持云台控制、实时抓图、紧急录像、即时回放、主子码流切换、声音开启\关闭、辅屏预览（1个辅屏）、对讲、广播、报警输出控制的能力</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3、支持智能规则展示的能力（如：针对热成像设备温度信息实时展示）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4、支持资源视图管理能力，以视图形式管理监控点、视频预览轮巡等自定义资源组，其中视图类型包含公有视图和私有视图</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5、支持全景视频监控预览能力，支持球型鹰眼、全景摄像机的全景模式</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282</w:t>
            </w:r>
            <w:r>
              <w:rPr>
                <w:rFonts w:hint="eastAsia" w:ascii="方正仿宋_GBK" w:hAnsi="方正仿宋_GBK" w:eastAsia="方正仿宋_GBK" w:cs="方正仿宋_GBK"/>
                <w:color w:val="000000"/>
                <w:sz w:val="20"/>
                <w:szCs w:val="20"/>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8456"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二、后端设备（存储及相关智能化分析设备）</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人脸分析服务器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top"/>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 xml:space="preserve">1、24盘位边缘计算主机</w:t>
            </w:r>
            <w:r>
              <w:rPr>
                <w:rFonts w:hint="eastAsia" w:ascii="方正仿宋_GBK" w:hAnsi="方正仿宋_GBK" w:eastAsia="方正仿宋_GBK" w:cs="方正仿宋_GBK"/>
                <w:color w:val="000000"/>
                <w:sz w:val="20"/>
                <w:szCs w:val="20"/>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 xml:space="preserve">2、支持</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rPr>
              <w:t xml:space="preserve">144路视频流人脸识别，支持</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rPr>
              <w:t xml:space="preserve">256路图片流人脸识别，并支持联动录像、抓图、报警和日志记录等功能</w:t>
            </w:r>
            <w:r>
              <w:rPr>
                <w:rFonts w:hint="eastAsia" w:ascii="方正仿宋_GBK" w:hAnsi="方正仿宋_GBK" w:eastAsia="方正仿宋_GBK" w:cs="方正仿宋_GBK"/>
                <w:color w:val="000000"/>
                <w:sz w:val="20"/>
                <w:szCs w:val="20"/>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 xml:space="preserve">3、支持</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rPr>
              <w:t xml:space="preserve">64个人脸库，库容</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rPr>
              <w:t xml:space="preserve">50万张人脸图片；支持路人库，库容</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rPr>
              <w:t xml:space="preserve">30万张人脸抓拍图片</w:t>
            </w:r>
            <w:r>
              <w:rPr>
                <w:rFonts w:hint="eastAsia" w:ascii="方正仿宋_GBK" w:hAnsi="方正仿宋_GBK" w:eastAsia="方正仿宋_GBK" w:cs="方正仿宋_GBK"/>
                <w:color w:val="000000"/>
                <w:sz w:val="20"/>
                <w:szCs w:val="20"/>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 xml:space="preserve">4、</w:t>
            </w:r>
            <w:r>
              <w:rPr>
                <w:rFonts w:hint="eastAsia" w:ascii="方正仿宋_GBK" w:hAnsi="方正仿宋_GBK" w:eastAsia="方正仿宋_GBK" w:cs="方正仿宋_GBK"/>
                <w:color w:val="000000"/>
                <w:sz w:val="20"/>
                <w:szCs w:val="20"/>
                <w:lang w:bidi="ar"/>
              </w:rPr>
              <w:t xml:space="preserve">设备支持以文搜图功能，可通过文字语义描述，快速检索目标对象或内容；并可基于以文搜图快速检索的结果，对目标进行图搜的二次精准检索定位</w:t>
            </w:r>
            <w:r>
              <w:rPr>
                <w:rFonts w:hint="eastAsia" w:ascii="方正仿宋_GBK" w:hAnsi="方正仿宋_GBK" w:eastAsia="方正仿宋_GBK" w:cs="方正仿宋_GBK"/>
                <w:color w:val="000000"/>
                <w:sz w:val="20"/>
                <w:szCs w:val="20"/>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 xml:space="preserve">5、支持对智能IPC上报的人体，车辆等目标进行多模态大模型的建模并生成特征模型，也可接入普通IPC分析建模</w:t>
            </w:r>
            <w:r>
              <w:rPr>
                <w:rFonts w:hint="eastAsia" w:ascii="方正仿宋_GBK" w:hAnsi="方正仿宋_GBK" w:eastAsia="方正仿宋_GBK" w:cs="方正仿宋_GBK"/>
                <w:color w:val="000000"/>
                <w:sz w:val="20"/>
                <w:szCs w:val="20"/>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 xml:space="preserve">6、配置不低于24块8T硬盘</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文搜型存储服务器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51" w:type="dxa"/>
            <w:vAlign w:val="center"/>
            <w:textDirection w:val="lrTb"/>
            <w:noWrap w:val="false"/>
          </w:tcPr>
          <w:p>
            <w:pPr>
              <w:pStyle w:val="931"/>
              <w:jc w:val="left"/>
              <w:widowControl/>
              <w:rPr>
                <w:rStyle w:val="1053"/>
                <w:rFonts w:ascii="方正仿宋_GBK" w:hAnsi="方正仿宋_GBK" w:eastAsia="方正仿宋_GBK" w:cs="方正仿宋_GBK"/>
                <w:highlight w:val="yellow"/>
                <w:lang w:bidi="ar"/>
              </w:rPr>
            </w:pPr>
            <w:r>
              <w:rPr>
                <w:rStyle w:val="1053"/>
                <w:rFonts w:ascii="方正仿宋_GBK" w:hAnsi="方正仿宋_GBK" w:eastAsia="方正仿宋_GBK" w:cs="方正仿宋_GBK"/>
                <w:lang w:bidi="ar"/>
              </w:rPr>
              <w:t xml:space="preserve">1、36盘位网络存储</w:t>
            </w:r>
            <w:r>
              <w:rPr>
                <w:rStyle w:val="1053"/>
                <w:rFonts w:ascii="方正仿宋_GBK" w:hAnsi="方正仿宋_GBK" w:eastAsia="方正仿宋_GBK" w:cs="方正仿宋_GBK"/>
                <w:lang w:bidi="ar"/>
              </w:rPr>
              <w:br w:type="textWrapping" w:clear="all"/>
            </w:r>
            <w:r>
              <w:rPr>
                <w:rStyle w:val="1053"/>
                <w:rFonts w:ascii="方正仿宋_GBK" w:hAnsi="方正仿宋_GBK" w:eastAsia="方正仿宋_GBK" w:cs="方正仿宋_GBK"/>
                <w:lang w:bidi="ar"/>
              </w:rPr>
              <w:t xml:space="preserve">2、处理器≥1颗64位多核处理器，系统内存≥24GB，系统盘≥1×240GB SSD，数据盘≥1×960GB SSD</w:t>
            </w:r>
            <w:r>
              <w:rPr>
                <w:rStyle w:val="1053"/>
                <w:rFonts w:ascii="方正仿宋_GBK" w:hAnsi="方正仿宋_GBK" w:eastAsia="方正仿宋_GBK" w:cs="方正仿宋_GBK"/>
                <w:lang w:bidi="ar"/>
              </w:rPr>
              <w:br w:type="textWrapping" w:clear="all"/>
            </w:r>
            <w:r>
              <w:rPr>
                <w:rStyle w:val="1053"/>
                <w:rFonts w:ascii="方正仿宋_GBK" w:hAnsi="方正仿宋_GBK" w:eastAsia="方正仿宋_GBK" w:cs="方正仿宋_GBK"/>
                <w:lang w:bidi="ar"/>
              </w:rPr>
              <w:t xml:space="preserve">3、支持硬盘热插拔</w:t>
            </w:r>
            <w:r>
              <w:rPr>
                <w:rStyle w:val="1053"/>
                <w:rFonts w:ascii="方正仿宋_GBK" w:hAnsi="方正仿宋_GBK" w:eastAsia="方正仿宋_GBK" w:cs="方正仿宋_GBK"/>
                <w:highlight w:val="yellow"/>
                <w:lang w:bidi="ar"/>
              </w:rPr>
            </w:r>
            <w:r/>
          </w:p>
          <w:p>
            <w:pPr>
              <w:pStyle w:val="931"/>
              <w:numPr>
                <w:ilvl w:val="0"/>
                <w:numId w:val="6"/>
              </w:numPr>
              <w:jc w:val="left"/>
              <w:widowControl/>
              <w:rPr>
                <w:rStyle w:val="1053"/>
                <w:rFonts w:ascii="方正仿宋_GBK" w:hAnsi="方正仿宋_GBK" w:eastAsia="方正仿宋_GBK" w:cs="方正仿宋_GBK"/>
                <w:lang w:bidi="ar"/>
              </w:rPr>
            </w:pPr>
            <w:r>
              <w:rPr>
                <w:rStyle w:val="1053"/>
                <w:rFonts w:ascii="方正仿宋_GBK" w:hAnsi="方正仿宋_GBK" w:eastAsia="方正仿宋_GBK" w:cs="方正仿宋_GBK"/>
                <w:lang w:bidi="ar"/>
              </w:rPr>
              <w:t xml:space="preserve">网络接口≥4个2.5G数据网口，1个千兆管理口，其他接口≥1×COM，2×USB2.0，2×USB3.0，1×VGA，1×HDMI</w:t>
            </w:r>
            <w:r>
              <w:rPr>
                <w:rStyle w:val="1053"/>
                <w:rFonts w:ascii="方正仿宋_GBK" w:hAnsi="方正仿宋_GBK" w:eastAsia="方正仿宋_GBK" w:cs="方正仿宋_GBK"/>
                <w:lang w:bidi="ar"/>
              </w:rPr>
              <w:br w:type="textWrapping" w:clear="all"/>
            </w:r>
            <w:r>
              <w:rPr>
                <w:rStyle w:val="1053"/>
                <w:rFonts w:ascii="方正仿宋_GBK" w:hAnsi="方正仿宋_GBK" w:eastAsia="方正仿宋_GBK" w:cs="方正仿宋_GBK"/>
                <w:lang w:bidi="ar"/>
              </w:rPr>
              <w:t xml:space="preserve">5、整机电源≥800W，1+1冗余电源</w:t>
            </w:r>
            <w:r>
              <w:rPr>
                <w:rFonts w:hint="eastAsia" w:ascii="方正仿宋_GBK" w:hAnsi="方正仿宋_GBK" w:eastAsia="方正仿宋_GBK" w:cs="方正仿宋_GBK"/>
                <w:color w:val="ff0000"/>
                <w:sz w:val="20"/>
                <w:szCs w:val="20"/>
                <w:lang w:bidi="ar"/>
              </w:rPr>
              <w:br w:type="textWrapping" w:clear="all"/>
            </w:r>
            <w:r>
              <w:rPr>
                <w:rFonts w:hint="eastAsia" w:ascii="方正仿宋_GBK" w:hAnsi="方正仿宋_GBK" w:eastAsia="方正仿宋_GBK" w:cs="方正仿宋_GBK"/>
                <w:sz w:val="20"/>
                <w:szCs w:val="20"/>
                <w:lang w:bidi="ar"/>
              </w:rPr>
              <w:t xml:space="preserve">6、</w:t>
            </w:r>
            <w:r>
              <w:rPr>
                <w:rStyle w:val="1053"/>
                <w:rFonts w:ascii="方正仿宋_GBK" w:hAnsi="方正仿宋_GBK" w:eastAsia="方正仿宋_GBK" w:cs="方正仿宋_GBK"/>
                <w:color w:val="000000"/>
                <w:lang w:bidi="ar"/>
              </w:rPr>
              <w:t xml:space="preserve">以文搜图≥550路（文搜IPC），检索数量</w:t>
            </w:r>
            <w:r>
              <w:rPr>
                <w:rStyle w:val="1053"/>
                <w:rFonts w:ascii="方正仿宋_GBK" w:hAnsi="方正仿宋_GBK" w:eastAsia="方正仿宋_GBK" w:cs="方正仿宋_GBK"/>
                <w:lang w:bidi="ar"/>
              </w:rPr>
              <w:t xml:space="preserve">≥</w:t>
            </w:r>
            <w:r>
              <w:rPr>
                <w:rStyle w:val="1053"/>
                <w:rFonts w:ascii="方正仿宋_GBK" w:hAnsi="方正仿宋_GBK" w:eastAsia="方正仿宋_GBK" w:cs="方正仿宋_GBK"/>
                <w:color w:val="000000"/>
                <w:lang w:bidi="ar"/>
              </w:rPr>
              <w:t xml:space="preserve">350万/天，视频性能</w:t>
            </w:r>
            <w:r>
              <w:rPr>
                <w:rStyle w:val="1053"/>
                <w:rFonts w:ascii="方正仿宋_GBK" w:hAnsi="方正仿宋_GBK" w:eastAsia="方正仿宋_GBK" w:cs="方正仿宋_GBK"/>
                <w:lang w:bidi="ar"/>
              </w:rPr>
              <w:t xml:space="preserve">≥550路（最大接入带宽1375Mbps），图片性能≥50张/S（单张图片500KB），回放性能≥55路2Mbps，事件录像≥200路2Mbps</w:t>
            </w:r>
            <w:r>
              <w:rPr>
                <w:rStyle w:val="1053"/>
                <w:rFonts w:ascii="方正仿宋_GBK" w:hAnsi="方正仿宋_GBK" w:eastAsia="方正仿宋_GBK" w:cs="方正仿宋_GBK"/>
                <w:lang w:bidi="ar"/>
              </w:rPr>
              <w:br w:type="textWrapping" w:clear="all"/>
            </w:r>
            <w:r>
              <w:rPr>
                <w:rStyle w:val="1053"/>
                <w:rFonts w:ascii="方正仿宋_GBK" w:hAnsi="方正仿宋_GBK" w:eastAsia="方正仿宋_GBK" w:cs="方正仿宋_GBK"/>
                <w:lang w:bidi="ar"/>
              </w:rPr>
              <w:t xml:space="preserve">7、大模型图文建模：内置大模型算法引擎，支持对目标图像和自然语言的多模态大模型建模，建立目标图像和自然语言的对应关系，目标包括人、车、非机动车及其附属物品</w:t>
            </w:r>
            <w:r>
              <w:rPr>
                <w:rStyle w:val="1053"/>
                <w:rFonts w:ascii="方正仿宋_GBK" w:hAnsi="方正仿宋_GBK" w:eastAsia="方正仿宋_GBK" w:cs="方正仿宋_GBK"/>
                <w:lang w:bidi="ar"/>
              </w:rPr>
              <w:br w:type="textWrapping" w:clear="all"/>
            </w:r>
            <w:r>
              <w:rPr>
                <w:rStyle w:val="1053"/>
                <w:rFonts w:ascii="方正仿宋_GBK" w:hAnsi="方正仿宋_GBK" w:eastAsia="方正仿宋_GBK" w:cs="方正仿宋_GBK"/>
                <w:lang w:bidi="ar"/>
              </w:rPr>
              <w:t xml:space="preserve">8、以文搜图应用展示：支持全通道录像检索，且通道和时间范围可设；支持搜索结果相似度自定义设置展示；支持自定义选择时间范围</w:t>
            </w:r>
            <w:r>
              <w:rPr>
                <w:rStyle w:val="1053"/>
                <w:rFonts w:ascii="方正仿宋_GBK" w:hAnsi="方正仿宋_GBK" w:eastAsia="方正仿宋_GBK" w:cs="方正仿宋_GBK"/>
                <w:lang w:bidi="ar"/>
              </w:rPr>
              <w:br w:type="textWrapping" w:clear="all"/>
            </w:r>
            <w:r>
              <w:rPr>
                <w:rStyle w:val="1053"/>
                <w:rFonts w:ascii="方正仿宋_GBK" w:hAnsi="方正仿宋_GBK" w:eastAsia="方正仿宋_GBK" w:cs="方正仿宋_GBK"/>
                <w:lang w:bidi="ar"/>
              </w:rPr>
              <w:t xml:space="preserve">搜索结果精准定位：支持搜索结果按相似度排序展示，根据搜索结果，可一键关联录像片段及以图搜图，对目标进行二次精准检索定位，还原目标的跨通道行动轨迹</w:t>
            </w:r>
            <w:r>
              <w:rPr>
                <w:rStyle w:val="1053"/>
                <w:rFonts w:ascii="方正仿宋_GBK" w:hAnsi="方正仿宋_GBK" w:eastAsia="方正仿宋_GBK" w:cs="方正仿宋_GBK"/>
                <w:lang w:bidi="ar"/>
              </w:rPr>
              <w:br w:type="textWrapping" w:clear="all"/>
            </w:r>
            <w:r>
              <w:rPr>
                <w:rStyle w:val="1053"/>
                <w:rFonts w:ascii="方正仿宋_GBK" w:hAnsi="方正仿宋_GBK" w:eastAsia="方正仿宋_GBK" w:cs="方正仿宋_GBK"/>
                <w:lang w:bidi="ar"/>
              </w:rPr>
              <w:t xml:space="preserve">9、搜索结果快速筛选：以文搜图检索结果支持以相似度、时间、通道等条件对检出录像/图片进行排序或筛选</w:t>
            </w:r>
            <w:r>
              <w:rPr>
                <w:rStyle w:val="1053"/>
                <w:rFonts w:ascii="方正仿宋_GBK" w:hAnsi="方正仿宋_GBK" w:eastAsia="方正仿宋_GBK" w:cs="方正仿宋_GBK"/>
                <w:lang w:bidi="ar"/>
              </w:rPr>
            </w:r>
            <w:r/>
          </w:p>
          <w:p>
            <w:pPr>
              <w:pStyle w:val="931"/>
              <w:jc w:val="left"/>
              <w:widowControl/>
              <w:rPr>
                <w:rStyle w:val="1053"/>
                <w:rFonts w:ascii="方正仿宋_GBK" w:hAnsi="方正仿宋_GBK" w:eastAsia="方正仿宋_GBK" w:cs="方正仿宋_GBK"/>
                <w:lang w:bidi="ar"/>
              </w:rPr>
            </w:pPr>
            <w:r>
              <w:rPr>
                <w:rStyle w:val="1053"/>
                <w:rFonts w:ascii="方正仿宋_GBK" w:hAnsi="方正仿宋_GBK" w:eastAsia="方正仿宋_GBK" w:cs="方正仿宋_GBK"/>
                <w:lang w:bidi="ar"/>
              </w:rPr>
              <w:t xml:space="preserve">10、</w:t>
            </w:r>
            <w:r>
              <w:rPr>
                <w:rFonts w:hint="eastAsia" w:ascii="方正仿宋_GBK" w:hAnsi="方正仿宋_GBK" w:eastAsia="方正仿宋_GBK" w:cs="方正仿宋_GBK"/>
                <w:color w:val="000000"/>
                <w:sz w:val="20"/>
                <w:szCs w:val="20"/>
                <w:lang w:bidi="ar"/>
              </w:rPr>
              <w:t xml:space="preserve">配置不低于36块12T硬盘</w:t>
            </w:r>
            <w:r>
              <w:rPr>
                <w:rStyle w:val="1053"/>
                <w:rFonts w:ascii="方正仿宋_GBK" w:hAnsi="方正仿宋_GBK" w:eastAsia="方正仿宋_GBK" w:cs="方正仿宋_GBK"/>
                <w:lang w:bidi="ar"/>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智能文搜应用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1、支持根据文本、时间范围、监控点、相似度查询文搜结果（CVR\超脑\NVR\主机）；支持按相似度或时间排序；搜索的目标大类包括找人、找车、找单车、找物品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2、支持跨设备智能文搜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3、支持从历史录像中检索目标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4、针对敏感词检索支持提示并阻拦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5、提供人、职业、行为、交通工具、车、单车、物品等标签，方便文搜文本快捷生成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6、支持展示历史词、热词；支持词语联想功能；支持对常见文本进行收藏，方便下次检索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7、文搜结果支持导出，需进行二次认证；支持单个下载，批量下载，全部下载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8、支持查看文搜结果详情，包括背景图及录像、点位上图</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9、支持对文搜结果进行以图搜图，并查看目标轨迹；支持对文搜结果目标进行身份确认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10、文搜检索后，支持选择正确样本和错误样本并进行模型微调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支持对搜索结果进行快速标定和在线微调训练，持续提升以文搜图和文本预警效果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11、支持在以文搜图界面即时开启模型训练。支持选择多个正确样本和错误样本，并发起训练；可针对每条搜索结果设置为正确或错误样本</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550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云存储服务器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51" w:type="dxa"/>
            <w:vAlign w:val="center"/>
            <w:textDirection w:val="lrTb"/>
            <w:noWrap w:val="false"/>
          </w:tcPr>
          <w:p>
            <w:pPr>
              <w:pStyle w:val="931"/>
              <w:numPr>
                <w:ilvl w:val="0"/>
                <w:numId w:val="7"/>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处理器</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1颗64位多核处理器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2、系统内存</w:t>
            </w:r>
            <w:r>
              <w:rPr>
                <w:rStyle w:val="1053"/>
                <w:rFonts w:ascii="方正仿宋_GBK" w:hAnsi="方正仿宋_GBK" w:eastAsia="方正仿宋_GBK" w:cs="方正仿宋_GBK"/>
                <w:lang w:bidi="ar"/>
              </w:rPr>
              <w:t xml:space="preserve">≥16</w:t>
            </w:r>
            <w:r>
              <w:rPr>
                <w:rFonts w:hint="eastAsia" w:ascii="方正仿宋_GBK" w:hAnsi="方正仿宋_GBK" w:eastAsia="方正仿宋_GBK" w:cs="方正仿宋_GBK"/>
                <w:color w:val="000000"/>
                <w:sz w:val="20"/>
                <w:szCs w:val="20"/>
                <w:lang w:bidi="ar"/>
              </w:rPr>
              <w:t xml:space="preserve">GB</w:t>
            </w:r>
            <w:r>
              <w:rPr>
                <w:rFonts w:hint="eastAsia" w:ascii="方正仿宋_GBK" w:hAnsi="方正仿宋_GBK" w:eastAsia="方正仿宋_GBK" w:cs="方正仿宋_GBK"/>
                <w:color w:val="000000"/>
                <w:sz w:val="20"/>
                <w:szCs w:val="20"/>
                <w:lang w:bidi="ar"/>
              </w:rPr>
            </w:r>
            <w:r/>
          </w:p>
          <w:p>
            <w:pPr>
              <w:pStyle w:val="931"/>
              <w:numPr>
                <w:ilvl w:val="0"/>
                <w:numId w:val="7"/>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存储设备配置2个 USB3.0 接口、2个 USB2.0 接口、标配4个千兆网口、1个千兆管理网口、1个IPMI管理口、1个VGA接口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w:t>
            </w:r>
            <w:r>
              <w:rPr>
                <w:rStyle w:val="1053"/>
                <w:rFonts w:ascii="方正仿宋_GBK" w:hAnsi="方正仿宋_GBK" w:eastAsia="方正仿宋_GBK" w:cs="方正仿宋_GBK"/>
                <w:lang w:bidi="ar"/>
              </w:rPr>
              <w:t xml:space="preserve">磁盘接口：SATA接口，支持硬盘热插拔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5、统一命名空间，将所有物理存储资源虚拟化成统一的存储空间，以唯一业务IP地址对外提供存储服务，实现存储资源的统一管理与分配；支持1台存储设备即可构建存储系统虚拟化空间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6、支持集群管理功能，包括集群单元弹性扩容、负载均衡、故障迁移等；支持集群节点生命周期管理，支持集群节点服务启动/停止，集群节点服务组建、扩展、删除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7、云存储系统支持集群部署，集群内节点不需要独立的集群管理服务器，当任意一个节点故障，业务负载分担到其他节点</w:t>
            </w:r>
            <w:r>
              <w:rPr>
                <w:rFonts w:hint="eastAsia" w:ascii="方正仿宋_GBK" w:hAnsi="方正仿宋_GBK" w:eastAsia="方正仿宋_GBK" w:cs="方正仿宋_GBK"/>
                <w:color w:val="000000"/>
                <w:sz w:val="20"/>
                <w:szCs w:val="20"/>
                <w:lang w:bidi="ar"/>
              </w:rPr>
            </w:r>
            <w:r/>
          </w:p>
          <w:p>
            <w:pPr>
              <w:pStyle w:val="931"/>
              <w:jc w:val="left"/>
              <w:widowControl/>
              <w:rPr>
                <w:rFonts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8、配置不低于24块16T硬盘</w:t>
            </w:r>
            <w:r>
              <w:rPr>
                <w:rFonts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硬盘录像机（法庭录像备份用）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51" w:type="dxa"/>
            <w:vAlign w:val="center"/>
            <w:textDirection w:val="lrTb"/>
            <w:noWrap w:val="false"/>
          </w:tcPr>
          <w:p>
            <w:pPr>
              <w:pStyle w:val="931"/>
              <w:numPr>
                <w:ilvl w:val="0"/>
                <w:numId w:val="8"/>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机架式9盘位嵌入式网络硬盘录像机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2、接入路数</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64路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3、支持4路视频流人脸识别，支持16路图片流人脸识别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4、接入带宽</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512Mbps，存储带宽</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512Mbps，转发带宽</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256Mbps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设备支持文搜功能，可通过文字语义描述，快速检索目标对象或内容；支持对人体、车辆、非机动车、物品、动物、基础事件等类型的检索；并可基于文搜快速检索的结果，对目标进行图搜的二次精准检索定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6、设备支持独立的智能文搜应用模块，应用内置文搜高频热词，如：人的上衣颜色、下装颜色、随身物品、性别；车的颜色、类型、品牌；其他的保安、抽烟、打电话、玩手机等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7、最大支持32×1080P同时解码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8、HDMI1、HDMI2和HDMI3组合支持最大单路8K、4K和4K三异源输出</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9、配置不低于5块12T硬盘</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解码器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1、支持4路3200W、或4路2400W、或8路1200W、或16路800W、或20路600W、或32路400W、或64路200W、或128路100W 像素的视频图像同时解码上墙，支持对主/子码流区分取流和解码显示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2、支持接入MPEG4、MPEG2、H.264、MJPEG、H.265、SVAC等编码格式视频，并解码输出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3、支持跨屏同步显示功能，所有跨屏信号源可同时发送至各个屏幕显示，时差小于1ms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4、单个HDMI输出接口可实现40个画面分割显示，每个视频流的分辨率为1920×1080、帧率为30fps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5、支持通过客户端，实现设备与摄像机之间的双向语音对讲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6、每个输出口支持任意开窗、漫游；任意1路信号显示画面可进行任意漫游、缩放；可在单屏或多屏的任意位置上叠加显示，图层最大不少于64层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7、支持1、2、4、6、8、9、10、12、16、25、36、64画面分割显示，支持M×N≤64的任意分割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8、支持通过键盘控制画面上墙、点位切换、画面分割、场景切换的功能（需搭配键盘使用）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操作台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3联操作台，根据采购人提供的图纸（</w:t>
            </w:r>
            <w:r>
              <w:rPr>
                <w:rFonts w:hint="eastAsia" w:ascii="方正仿宋_GBK" w:hAnsi="方正仿宋_GBK" w:eastAsia="方正仿宋_GBK" w:cs="方正仿宋_GBK"/>
                <w:color w:val="000000"/>
                <w:sz w:val="20"/>
                <w:szCs w:val="20"/>
                <w:highlight w:val="yellow"/>
                <w:lang w:bidi="ar"/>
              </w:rPr>
              <w:t xml:space="preserve">投标人如需在投标前获取图纸，请联系鲁先生（电话：0513-68506398</w:t>
            </w:r>
            <w:r>
              <w:rPr>
                <w:rFonts w:hint="eastAsia" w:ascii="方正仿宋_GBK" w:hAnsi="方正仿宋_GBK" w:eastAsia="方正仿宋_GBK" w:cs="方正仿宋_GBK"/>
                <w:color w:val="000000"/>
                <w:sz w:val="20"/>
                <w:szCs w:val="20"/>
                <w:lang w:bidi="ar"/>
              </w:rPr>
              <w:t xml:space="preserve">），现场勘验定制，桌面材质为人造板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监视器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55寸监视器，支持3840*2160@60Hz超高清显示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2、支持对设备账号进行管理，包括新建用户、用户密码修改、删除用户和用户权限修改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3、最大支持20路1080P、25fps、2Mbps 码流的取流和解码显示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4、解码支持封装格式 PS、ES、RTP、HIK、TS、DHAV；解码支持视频编码格式 H.265、H.264及Smart系列H264、 H265码流、HIK264、场编码、MJPEG码流；音频支持格式G711-A、G711-U、G722.1、G726-16/U/A、MPEG、AAC-LC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5、支持向智能前端取流，并分析码流中智能规则，分析的智能规则可以叠加在输出画面上</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6、显示单元支持4 比 3、16 比 9、点对点等比例显示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7、图像显示完整性，无噪点、无花屏、无闪屏、无漏光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8、支持屏幕背光亮度控制，亮度（背光）调节范围为0-100，亮度值在0时仍可看见屏幕菜单进行操作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9、支持信源自动切换，接入新信源时，自动切换到相应通道显示；当前信源断开，自动转到下一优先级有信号的信源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10、支持底座便携安装，同时拥有标准 VESA安装孔位供壁挂、吊装等其他安装方式使用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11、支持手动和NTP校时模式，NTP 模式可配置服务器地址、NTP 端口和校时间隔</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安防平台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numPr>
                <w:ilvl w:val="0"/>
                <w:numId w:val="9"/>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提供统一的认证、鉴权管理、应用管理、菜单管理、用户管理、角色管理、组织管理、资源管理等能力</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2、提供用户权限管理能力，包括菜单权限、组织权限、区域权限、资源权限、功能控制权限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3、提供系统运行状态监测能力，包括运行服务监控、运行服务统计、运行数据报告和运行服务解析概览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4、支持事件联动规则配置管理，包括规则增删改查，支持自定义联动规则模板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5、支持多种报警事件配置联动，包括：视频事件、入侵报警事件、IO事件、门禁事件、停车场事件、梯控事件、紧急报警事件、等事件联动动作配置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6、提供各类资源图上展示及控制操作，在地图上可展示各类资源点的地理位置，通过接收资源点报警事件，实现报警信息可视化展示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7、支持设置门禁点作为考勤点，进行统一管理；支持抓拍机点位、停车场出入口作为考勤点进行人脸智能考勤、车辆进出智能考勤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8、支持设置某一地点作为移动端考勤点，结合移动端APP获取人员实时定位实现移动考勤；支持班组管理，为相同考勤规则的人员或组织设置考勤班组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9、支持报警子系统管理能力，包含布防、撤防、消警控制操作；支持防区管理能力，包含旁路、旁路恢复操作；支持实时入侵报警能力；支持历史入侵报警事件查询及导出能力</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10、提供视频点位联网服务能力，用于平台域间视频联网，基于视频通用标准协议（</w:t>
            </w:r>
            <w:r>
              <w:rPr>
                <w:rFonts w:hint="eastAsia" w:ascii="方正仿宋_GBK" w:hAnsi="方正仿宋_GBK" w:eastAsia="方正仿宋_GBK" w:cs="方正仿宋_GBK"/>
                <w:color w:val="000000"/>
                <w:sz w:val="20"/>
                <w:szCs w:val="20"/>
                <w:highlight w:val="yellow"/>
                <w:lang w:bidi="ar"/>
              </w:rPr>
              <w:t xml:space="preserve">GB/T28181-2022</w:t>
            </w:r>
            <w:r>
              <w:rPr>
                <w:rFonts w:hint="eastAsia" w:ascii="方正仿宋_GBK" w:hAnsi="方正仿宋_GBK" w:eastAsia="方正仿宋_GBK" w:cs="方正仿宋_GBK"/>
                <w:color w:val="000000"/>
                <w:sz w:val="20"/>
                <w:szCs w:val="20"/>
                <w:lang w:bidi="ar"/>
              </w:rPr>
              <w:t xml:space="preserve">）与外域平台互联互通，实现平台视频资源点位推送等操作控制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11、部门人员信息支持标签身份选择</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12、支持自选统计时间段，可生成全部门考勤统计柱状图，可导出指定标签人员的独立考勤报表</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8456"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三、基础供电线路及施工</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监控电源线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RVV2*1.0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23790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室外及地库监控电源线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RVV3*2.5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1000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路面开挖及恢复</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室外路面开挖及恢复</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130</w:t>
            </w:r>
            <w:r>
              <w:rPr>
                <w:rFonts w:hint="eastAsia" w:ascii="方正仿宋_GBK" w:hAnsi="方正仿宋_GBK" w:eastAsia="方正仿宋_GBK" w:cs="方正仿宋_GBK"/>
                <w:color w:val="000000"/>
                <w:sz w:val="20"/>
                <w:szCs w:val="20"/>
              </w:rPr>
            </w:r>
            <w:r/>
          </w:p>
        </w:tc>
      </w:tr>
    </w:tbl>
    <w:p>
      <w:pPr>
        <w:pStyle w:val="931"/>
        <w:rPr>
          <w:rFonts w:hint="eastAsia"/>
        </w:rPr>
      </w:pPr>
      <w:r>
        <w:rPr>
          <w:rFonts w:hint="eastAsia"/>
        </w:rPr>
      </w:r>
      <w:r/>
    </w:p>
    <w:p>
      <w:pPr>
        <w:pStyle w:val="933"/>
        <w:rPr>
          <w:rFonts w:hint="eastAsia"/>
        </w:rPr>
      </w:pPr>
      <w:r/>
      <w:bookmarkStart w:id="196" w:name="_Toc25639"/>
      <w:r>
        <w:rPr>
          <w:rFonts w:hint="eastAsia"/>
        </w:rPr>
        <w:t xml:space="preserve">电子巡更</w:t>
      </w:r>
      <w:bookmarkEnd w:id="196"/>
      <w:r>
        <w:rPr>
          <w:rFonts w:hint="eastAsia"/>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1134"/>
        <w:gridCol w:w="1135"/>
        <w:gridCol w:w="4624"/>
        <w:gridCol w:w="1135"/>
        <w:gridCol w:w="1135"/>
      </w:tblGrid>
      <w:tr>
        <w:trPr>
          <w:trHeight w:val="600"/>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巡更棒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1、产品材质：采用铝合金材质，防水抗摔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2、灯光功能：支持</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3种不同灯光模式，可通过灯光按键切换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3、读卡技术：使用非接触125KHz读卡方案，读卡距离3cm-5cm，读卡速度&lt;0.1秒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4、读卡提示：读卡成功后有灯光和蜂鸣提醒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5、存储容量：支持存储</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60000条巡检记录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6、通讯方式：使用USB数据线传输通讯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7、重复识别时间间隔：相同点位1分钟1次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8、巡更功能：可单机搭配巡更客户端使用，也可搭配联网版应用服务组件使用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巡更点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1、巡更功能：搭配感应式巡更棒使用，用作在标记地点位置巡更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2、读卡技术：感应式射频读卡，内置唯一ID卡号，防止作弊</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3、产品材质：工程塑料封装，内置芯片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4、外观特点：自带夜光功能，提示标贴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5、安装方式：可埋入墙体，隐蔽式安装</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人员钮</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1、产品材质：工程塑料封装，内置芯片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2、读卡技术：感应式读卡，感应距离3cm-5cm无需接触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3、区分方式：内置不可修改的ID码，ID卡序列号具有唯一性，区分巡逻人员。方便查阅巡检考核数据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4、巡更功能：与感应式巡更器配合使用，识别巡逻人员信息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巡更底座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1、功能：通过USB与计算机通讯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2、材料：金属合金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3、物理接口：USB2.0 * 2</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4、操作温度：-40-85℃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巡更管理模块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52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巡更管理应用，利用门禁点、报警器等设备作为巡更点，完成区域内的巡更任务。主要提供巡更点管理、巡更计划、单兵巡更、巡更信息查询和统计分析等应用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bl>
    <w:p>
      <w:pPr>
        <w:pStyle w:val="931"/>
        <w:rPr>
          <w:rFonts w:hint="eastAsia"/>
        </w:rPr>
      </w:pPr>
      <w:r>
        <w:rPr>
          <w:rFonts w:hint="eastAsia"/>
        </w:rPr>
      </w:r>
      <w:r/>
    </w:p>
    <w:p>
      <w:pPr>
        <w:pStyle w:val="933"/>
        <w:rPr>
          <w:rFonts w:hint="eastAsia"/>
        </w:rPr>
      </w:pPr>
      <w:r/>
      <w:bookmarkStart w:id="197" w:name="_Toc32673"/>
      <w:r>
        <w:rPr>
          <w:rFonts w:hint="eastAsia"/>
        </w:rPr>
        <w:t xml:space="preserve">出入口控制</w:t>
      </w:r>
      <w:bookmarkEnd w:id="197"/>
      <w:r>
        <w:rPr>
          <w:rFonts w:hint="eastAsia"/>
        </w:rPr>
      </w:r>
      <w:r/>
    </w:p>
    <w:tbl>
      <w:tblPr>
        <w:tblW w:w="9288" w:type="dxa"/>
        <w:tblInd w:w="-15" w:type="dxa"/>
        <w:tblLayout w:type="fixed"/>
        <w:tblCellMar>
          <w:left w:w="108" w:type="dxa"/>
          <w:top w:w="0" w:type="dxa"/>
          <w:right w:w="108" w:type="dxa"/>
          <w:bottom w:w="0" w:type="dxa"/>
        </w:tblCellMar>
        <w:tblLook w:val="04A0" w:firstRow="1" w:lastRow="0" w:firstColumn="1" w:lastColumn="0" w:noHBand="0" w:noVBand="1"/>
      </w:tblPr>
      <w:tblGrid>
        <w:gridCol w:w="1103"/>
        <w:gridCol w:w="1389"/>
        <w:gridCol w:w="4590"/>
        <w:gridCol w:w="1103"/>
        <w:gridCol w:w="1103"/>
      </w:tblGrid>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8185"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一、门禁设备</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人脸门禁一体机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7英寸触摸屏；屏幕流明度</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250cd/m2；屏幕分辨率</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1024*600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2、设备应支持以下认证方式：人脸识别，屏下卡片识读，密码；设备应支持人脸、卡片、密码独立凭证、任意2种或3种凭证的复合识读</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3、设备离线应能储存</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6000个用户（用户权限应能配置为管理员）、</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10000张卡片信息、</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50000条事件记录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4、支持防假体攻击功能，对视频、电子照片、打印照片、3D 面具应能防伪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5、支持人脸识别功能，现场抓拍人脸照片与本地人脸库照片进行比对，进行人员身份核验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6、支持在0.001lux低照度无补光环境下正常实现人脸识别，适应强光、逆光、暗光等条件的人脸识别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7、设备结构后壳的防破坏能力应满足IK07的要求；屏幕防破坏能力应满足IK04的要求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设备应支持本地加密存储比对结果、身份信息及抓拍人脸照片；应支持实时加密上传比对结果、身份信息及抓拍人脸照片等至管理中心；应支持断网续传离线加密记录功能；设备USB导出数据（事件记录及人脸等）应采用加密处理；用户数据及比对记录应采用加密处理</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门禁电源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1、输入电压：100-240VAC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2、输出电压：12VDC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3、输出电流：3.33A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4、输出功率：40W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5、工作温度：-10℃-+50℃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6、工作湿度：＜95%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国密读卡器（消控室、中心机房各1个）</w:t>
            </w:r>
            <w:r>
              <w:rPr>
                <w:rFonts w:hint="eastAsia" w:ascii="方正仿宋_GBK" w:hAnsi="方正仿宋_GBK" w:eastAsia="方正仿宋_GBK" w:cs="方正仿宋_GBK"/>
                <w:color w:val="000000"/>
                <w:sz w:val="20"/>
                <w:szCs w:val="20"/>
              </w:rPr>
            </w:r>
            <w:r/>
          </w:p>
        </w:tc>
        <w:tc>
          <w:tcPr>
            <w:tcBorders>
              <w:top w:val="none" w:color="000000" w:sz="4" w:space="0"/>
              <w:left w:val="none" w:color="000000" w:sz="4" w:space="0"/>
              <w:bottom w:val="none" w:color="000000" w:sz="4" w:space="0"/>
              <w:right w:val="non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1、支持国密CPU卡片读卡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2、支持RS485通讯接口；RS485采用国密算法加密处理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3、支持防拆报警功能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4、内建声响提示功能，供读卡状态辨识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5、内置国密安全加密芯片，支持SM4加密处理，满足商用密码检测认证中心</w:t>
            </w:r>
            <w:r>
              <w:rPr>
                <w:rFonts w:hint="eastAsia" w:ascii="方正仿宋_GBK" w:hAnsi="方正仿宋_GBK" w:eastAsia="方正仿宋_GBK" w:cs="方正仿宋_GBK"/>
                <w:color w:val="000000"/>
                <w:sz w:val="20"/>
                <w:szCs w:val="20"/>
                <w:highlight w:val="none"/>
                <w:lang w:bidi="ar"/>
              </w:rPr>
              <w:t xml:space="preserve">GM/T0028-2024《密码模块安全要求》</w:t>
            </w:r>
            <w:r>
              <w:rPr>
                <w:rFonts w:hint="eastAsia" w:ascii="方正仿宋_GBK" w:hAnsi="方正仿宋_GBK" w:eastAsia="方正仿宋_GBK" w:cs="方正仿宋_GBK"/>
                <w:color w:val="000000"/>
                <w:sz w:val="20"/>
                <w:szCs w:val="20"/>
                <w:lang w:bidi="ar"/>
              </w:rPr>
              <w:t xml:space="preserve">第二级要求</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出门按钮（31个人脸门禁点，3个国密读卡器门禁点）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1、结构：工程塑料面板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2、性能：最大耐电流1.25A，电压250V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3、输出：常开</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4、类型：适合埋入式电器盒使用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34</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双门磁力锁</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1、最大静态直线拉力：280kg ± 5% * 2</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2、配备状态指示灯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3、锁状态侦测信号（门磁）输出：NO/NC/COM接点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4、工作电压：12V/430mA x 2(±10%）或24V/215mA x 2(±10%)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5、使用环境：室内，适用门型：木门、玻璃门、金属门、防火门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6、电源：可自行设定12VDC 或24VDC</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把</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双门磁力锁支架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1、选用材料：高强度铝合金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2、适用门类型：木门/金属门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把</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单门磁力锁</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1、最大静态直线拉力：280kg ± 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2、配备状态指示灯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3、锁状态侦测信号（门磁）输出：NO/NC/COM接点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4、工作电压：12V/430mA(±10%) 或24V/215mA(±10%)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5、使用环境：室内，适用门型：木门、玻璃门、金属门、防火门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6、电源：可自行设定12VDC 或24VDC</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把</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单门磁力锁支架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1、开门角度：90°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2、选用材料：高强度铝合金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3、适用门类型：木门/金属门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把</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国密门禁控制器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1、主机可直接管控4门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2、搭配读卡器可以实现刷卡、指纹、密码等认证方式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3、搭配读卡器可实现刷卡+密码、刷卡+指纹、刷卡+指纹+密码等组合认证方式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4、支持多个人员认证（刷卡、密码、指纹等）通过后才开门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5、设备前后壳应采用金属材质，防爆等级IK06，支持壁挂和平放。设备应具有电源、运行、通信、门指示灯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6、接口：LAN接口1个；RS485通讯接口7个；韦根通讯接口2个；I/O输入接口2个；I/O输出接口2个；门磁I/O输入接口1个；开门I/O按钮接口1个；门锁I/O输出接口1个；消防接口1个；防拆接口1个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7、支持≥200000张卡片容量，100000个密码，10000枚指纹和600000笔记录存储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304"/>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国密卡片</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1、国密CPU卡/IC卡加密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2、复合卡，国密CPU卡+IC卡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3、支持国密SM4算法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4、符合ISO14443TypeA标准，工作频率为13.56MHz，容量为80K</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5、＞10万次的擦写测试，10年数据保存期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6、出厂时已经完成国密密钥和IC卡密钥的灌装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7、卡片频率：13.56MHz</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张</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智能密码锁</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1、适用门厚：40-70mm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2、锁芯等级：C级锁芯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3、面板材质：铝合金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4、锁体电源类型：干电池</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5、开锁方式：密码、临时密码、指纹、钥匙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6、锁体类型：半自动锁体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把</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86</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发卡器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1、支持发卡类型：ID卡、IC卡、身份证物料卡号（序列号）、普通CPU卡、国密CPU卡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2、USB2.0接口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3、具有2个Sim卡尺寸的PSAM卡座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4、工作电压：DC 5V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5、工作电流：0.2A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8185"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二、基础供电及授权</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RVV2*1.5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2145</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开门按钮线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RVV4*1.0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550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门锁线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RVV6*1.0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650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电源箱</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集中供电电源，12V30A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门禁授权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门禁点位授权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34</w:t>
            </w:r>
            <w:r>
              <w:rPr>
                <w:rFonts w:hint="eastAsia" w:ascii="方正仿宋_GBK" w:hAnsi="方正仿宋_GBK" w:eastAsia="方正仿宋_GBK" w:cs="方正仿宋_GBK"/>
                <w:color w:val="000000"/>
                <w:sz w:val="20"/>
                <w:szCs w:val="20"/>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8185"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三、梯控设备及配套供电线路</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331"/>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人脸门禁一体机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7英寸触摸屏；屏幕流明度</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250cd/m2；屏幕分辨率</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1024*600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2、设备应支持以下认证方式：人脸识别，屏下卡片识读，密码；设备应支持人脸、卡片、密码独立凭证、任意2种或3种凭证的复合识读</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3、设备离线应能储存</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6000个用户（用户权限应能配置为管理员）、</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10000张卡片信息、</w:t>
            </w:r>
            <w:r>
              <w:rPr>
                <w:rStyle w:val="1053"/>
                <w:rFonts w:ascii="方正仿宋_GBK" w:hAnsi="方正仿宋_GBK" w:eastAsia="方正仿宋_GBK" w:cs="方正仿宋_GBK"/>
                <w:lang w:bidi="ar"/>
              </w:rPr>
              <w:t xml:space="preserve">≥</w:t>
            </w:r>
            <w:r>
              <w:rPr>
                <w:rFonts w:hint="eastAsia" w:ascii="方正仿宋_GBK" w:hAnsi="方正仿宋_GBK" w:eastAsia="方正仿宋_GBK" w:cs="方正仿宋_GBK"/>
                <w:color w:val="000000"/>
                <w:sz w:val="20"/>
                <w:szCs w:val="20"/>
                <w:lang w:bidi="ar"/>
              </w:rPr>
              <w:t xml:space="preserve">50000条事件记录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4、支持防假体攻击功能，对视频、电子照片、打印照片、3D 面具应能防伪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5、支持人脸识别功能，现场抓拍人脸照片与本地人脸库照片进行比对，进行人员身份核验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6、支持在0.001lux低照度无补光环境下正常实现人脸识别，适应强光、逆光、暗光等条件的人脸识别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7、设备结构后壳的防破坏能力应满足IK07的要求；屏幕防破坏能力应满足IK04的要求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设备应支持本地加密存储比对结果、身份信息及抓拍人脸照片；应支持实时加密上传比对结果、身份信息及抓拍人脸照片等至管理中心；应支持断网续传离线加密记录功能；设备USB导出数据（事件记录及人脸等）应采用加密处理；用户数据及比对记录应采用加密处理</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门禁电源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1、输入电压：100-240VAC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2、输出电压：12VDC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3、输出电流：3.33A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4、输出功率：40W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5、工作温度：-10℃-+50℃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6、工作湿度：＜95%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梯控主机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1、系统应能对电梯的楼层进行权限控制，对电梯的权限进行组合设置，实现不同场景的权限管理： 刷卡、指纹、密码、刷卡+指纹、刷卡+密码等认证方式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2、主机支持2万张卡片管理，5万条事件存储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3、主机支持时段管理功能，支持256个周计划和1024个假日计划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4、主机支持Web接入，实现权限操作、楼层配置、参数配置、远程操作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5、主机应具有以下接口类型及相应数量：上行TCP/IP接口1个、下行RS485通信接口2个、下行Wiegand通信接口2个、可接入读卡器数量2个、紧急输入接口1个、消防输入接口1个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梯控联动模块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1、联动模块应具有以下接口类型及相应数量：上行RS485接口2个、报警输入接口2个、继电器输出16个、蜂鸣器接口1个、防拆接口1个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2、联动模块具有看门狗检测功能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3、联动模块支持在线升级功能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梯控管理授权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1、支持按组织、人员维度配置梯控权限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2、支持梯控权限的增量下发和初始化下发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3、支持按周计划设置楼层常开常闭工作状态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4、支持按楼层、人员、组织、区域等多维度，综合查询权限配置、下发状态等信息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5、支持配置平台接收到事件类型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6、支持配置事件保存时长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7、支持查询人员出入事件和设备事件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梯控联动线1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RVV4*0.5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300</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梯控联动线2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RVV2*0.75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300</w:t>
            </w:r>
            <w:r>
              <w:rPr>
                <w:rFonts w:hint="eastAsia" w:ascii="方正仿宋_GBK" w:hAnsi="方正仿宋_GBK" w:eastAsia="方正仿宋_GBK" w:cs="方正仿宋_GBK"/>
                <w:color w:val="000000"/>
                <w:sz w:val="20"/>
                <w:szCs w:val="20"/>
              </w:rPr>
            </w:r>
            <w:r/>
          </w:p>
        </w:tc>
      </w:tr>
    </w:tbl>
    <w:p>
      <w:pPr>
        <w:pStyle w:val="933"/>
        <w:rPr>
          <w:rFonts w:hint="eastAsia"/>
        </w:rPr>
      </w:pPr>
      <w:r/>
      <w:bookmarkStart w:id="198" w:name="_Toc6176"/>
      <w:r>
        <w:rPr>
          <w:rFonts w:hint="eastAsia"/>
        </w:rPr>
        <w:t xml:space="preserve">停车场管理</w:t>
      </w:r>
      <w:bookmarkEnd w:id="198"/>
      <w:r>
        <w:rPr>
          <w:rFonts w:hint="eastAsia"/>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844"/>
        <w:gridCol w:w="1529"/>
        <w:gridCol w:w="5098"/>
        <w:gridCol w:w="847"/>
        <w:gridCol w:w="845"/>
      </w:tblGrid>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8318"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一、一进一出出入口</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抓拍显示一体机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1、≥400万像素，分辨率≥2688*1520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2、内置高亮LED灯，白光/红外二合一</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3、支持LCD显示屏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4、支持电动变焦镜头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5、支持识别符合GA 36《中华人民共和国机动车号牌》标准的车牌类型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6、支持授权名单的导入及对比，可直接联动道闸开闸，支持脱机运行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7、车身颜色识别功能检查：支持车身识别的颜色种类至少包括：白、灰、黄、粉、紫、蓝、红、棕、黑10种颜色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8、机动车捕获率：在天气晴朗无雾条件下进行测试，日间环境光照度≥2001x，夜间辅助光照度≤301x。日间机动车捕获率≥99.9%；夜间地动车捕获率≥99.9%</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9、显示屏功能检查：支持滚动或静止显示过车时间、车牌号、停车时长、收费金额、自定义内容等信息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补光灯控制功能检查：内置补光灯，可通过IE浏览器或客户端开启/关闭。支持在低照度环境下，自动开启补光灯，并调节补光灯亮度。支持按预先设置时间段开启补光灯，控制补光灯亮度。支持手动调节补光灯亮度，补光灯亮度1~100可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道闸</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1、无线摇控功能，采用学习码遥控技术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2、多种控制方式，具备升优先功能，支持通过开关量、遥控器、软件命令三种方式控制闸机升降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3、支持遥控一键进入车队模式（常开模式）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4、停电或故障时，旋转电机离合，实现手动开启/关闭闸杆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5、标配防砸胶条、压力波感应器、具有良好的防砸保护功能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6、延时自动关门，配合地感或红外等外接保护装置，实现无人值守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7、闸机防护等级≥IP54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出入口控制终端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1、远程访问运维功能：设备上电后，无需连接外部网络，可依靠设备自带无线通讯模块，进行远程运维、远程配置、远程操作、远程控制停车场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2、双屏显示功能检查：设备支持 VGA 和HDMI同时输出画面，一个屏幕展示最多12分屏的实时预览界面；另一个屏幕可展示出入口控制界面，支持实时查看过车图片、视频，支持控制出入口进出、缴费，最多支持12分屏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3、防车辆假出场逃费功能检查：当接入的出口摄像机识别到车辆倒退行为时，可联动设备对车辆进行入场处理，防止车辆假出场逃费行为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4、BS/CS 客户端功能检查：设备支持BS架构，可通过浏览器登录BS客户端，支持功能包括：登录设备、控制出入口管控、录入名单、查询过车记录；设备支持 CS架构，可通过鼠标、键盘、显示器登录设备CS客户端，支持功能包括：登录设备，控制出入口管控、录入名单、查询过车记录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5、终端备份功能检查：一台终端管理停车场，可额外设置另外一台备机，当前设备故障时，另外一台可以切换成正式管理设备，保持停车场正常运行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6、特殊车牌管理功能：支持特殊车牌管理，可分别设置放行规则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7、录像功能检查：可按时间设置定时录像和报警录像，并能根据时间、通道进行查询与回放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雷达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1、支持宽电压范围为：DC9V~16V，一般采用DC12V供电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2、功耗≤3W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3、设备具有电源和状态指示灯。一个红色电源指示灯，一个绿色状态指示灯；实时反映是否有车或有人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4、在触发雷达作用区域内，车速30km/h以内，触发捕获率≥99%</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5、具有人车区分功能。可对行人和车辆进行区分，控制触发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6、触发模式具有区分方向功能，方向区分成功率≥95%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7、检测距离：最远6米；检测宽度：最宽2米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8、可通过WIFI和串口线进行数据通信，对设备进行升级和调试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9、1组RS485接口；1组报警信号输出；1组固件升级接口。支持WIFI</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10、外壳防护等级：IP67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出入口车辆放行管理车道授权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1、支持停车场出入口设备的管理，包含出入口抓拍机、道闸、显示屏等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2、支持对停车场的管理，配置停车库的名称、车位数、车道信息、车库管理人员电话</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3、支持对车道的管理，支持管理车道方向、识别模式（车牌识别、卡号识别）和启用时段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4、支持固定车、临时车、预约车、黑名单车辆的管理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5、支持黑名单车辆管控，黑名单车辆进出报警提醒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6、支持预约车管理，按次预约和按时段预约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7、支持嵌套停车场场景下的车辆进出管理和余位统计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8、支持自动放行、手动放行和单进单出等多种放行模式；支持车位满时固定车辆、临时车辆自动放行</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车道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安全岛</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尺寸≥1500*400*150mm，浇筑混凝土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安装调试</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包括道闸施工布线，设备安装，系统调试等</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8318"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二、混进混出出入口</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抓拍显示一体机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509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1、≥400万像素，分辨率≥2688*1520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2、内置高亮LED灯，白光/红外二合一</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3、支持LCD显示屏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4、支持电动变焦镜头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5、支持识别符合GA 36《中华人民共和国机动车号牌》标准的车牌类型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6、支持授权名单的导入及对比，可直接联动道闸开闸，支持脱机运行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7、车身颜色识别功能检查：支持车身识别的颜色种类至少包括：白、灰、黄、粉、紫、蓝、红、棕、黑10种颜色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8、机动车捕获率：在天气晴朗无雾条件下进行测试，日间环境光照度≥2001x，夜间辅助光照度≤301x。日间机动车捕获率≥99.9%；夜间地动车捕获率≥99.9%</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9、显示屏功能检查：支持滚动或静止显示过车时间、车牌号、停车时长、收费金额、自定义内容等信息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补光灯控制功能检查：内置补光灯，可通过IE浏览器或客户端开启/关闭。支持在低照度环境下，自动开启补光灯，并调节补光灯亮度。支持按预先设置时间段开启补光灯，控制补光灯亮度。支持手动调节补光灯亮度，补光灯亮度1~100可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道闸</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509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1、无线摇控功能，采用学习码遥控技术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2、多种控制方式，具备升优先功能，支持通过开关量、遥控器、软件命令三种方式控制闸机升降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3、支持遥控一键进入车队模式（常开模式）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4、停电或故障时，旋转电机离合，实现手动开启/关闭闸杆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5、标配防砸胶条、压力波感应器、具有良好的防砸保护功能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6、延时自动关门，配合地感或红外等外接保护装置，实现无人值守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7、闸机防护等级≥IP54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出入口控制终端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509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1、远程访问运维功能：设备上电后，无需连接外部网络，可依靠设备自带无线通讯模块，进行远程运维、远程配置、远程操作、远程控制停车场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2、双屏显示功能检查：设备支持 VGA 和HDMI同时输出画面，一个屏幕展示最多12分屏的实时预览界面；另一个屏幕可展示出入口控制界面，支持实时查看过车图片、视频，支持控制出入口进出、缴费，最多支持12分屏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3、防车辆假出场逃费功能检查：当接入的出口摄像机识别到车辆倒退行为时，可联动设备对车辆进行入场处理，防止车辆假出场逃费行为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4、BS/CS 客户端功能检查：设备支持BS架构，可通过浏览器登录BS客户端，支持功能包括：登录设备、控制出入口管控、录入名单、查询过车记录；设备支持 CS架构，可通过鼠标、键盘、显示器登录设备CS客户端，支特功能包括：登录设备，控制出入口管控、录入名单、查询过车记录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5、终端备份功能检查：一台终端管理停车场，可额外设置另外一台备机，当前设备故障时，另外一台可以切换成正式管理设备，保持停车场正常运行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6、特殊车牌管理功能：支持特殊车牌管理，可分别设置放行规则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7、录像功能检查：可按时间设置定时录像和报警录像，并能根据时间、通道进行查询与回放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雷达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509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1、支持宽电压范围为：DC9V~16V，一般采用DC12V供电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2、功耗≤3W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3、设备具有电源和状态指示灯。一个红色电源指示灯，一个绿色状态指示灯；实时反映是否有车或有人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4、在触发雷达作用区域内，车速30km/h以内，触发捕获率≥99%</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5、具有人车区分功能。可对行人和车辆进行区分，控制触发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6、触发模式具有区分方向功能，方向区分成功率≥95%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7、检测距离：最远6米；检测宽度：最宽2米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8、可通过WIFI和串口线进行数据通信，对设备进行升级和调试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9、1组RS485接口；1组报警信号输出；1组固件升级接口。支持WIFI</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10、外壳防护等级：IP67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出入口车辆放行管理车道授权</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509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1、支持停车场出入口设备的管理，包含出入口抓拍机、道闸、显示屏等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2、支持对停车场的管理，配置停车库的名称、车位数、车道信息、车库管理人员电话</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3、支持对车道的管理，支持管理车道方向、识别模式（车牌识别、卡号识别）和启用时段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4、支持固定车、临时车、预约车、黑名单车辆的管理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5、支持黑名单车辆管控，黑名单车辆进出报警提醒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6、支持预约车管理，按次预约和按时段预约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7、支持嵌套停车场场景下的车辆进出管理和余位统计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8、支持自动放行、手动放行和单进单出等多种放行模式；支持车位满时固定车辆、临时车辆自动放行</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车道</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安全岛</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尺寸≥1500*400*150mm，浇筑混凝土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安装调试</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278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包括道闸施工布线，设备安装，系统调试等</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bl>
    <w:p>
      <w:pPr>
        <w:pStyle w:val="931"/>
        <w:rPr>
          <w:rFonts w:hint="eastAsia"/>
        </w:rPr>
      </w:pPr>
      <w:r>
        <w:rPr>
          <w:rFonts w:hint="eastAsia"/>
        </w:rPr>
      </w:r>
      <w:r/>
    </w:p>
    <w:p>
      <w:pPr>
        <w:pStyle w:val="933"/>
        <w:rPr>
          <w:rFonts w:hint="eastAsia"/>
        </w:rPr>
      </w:pPr>
      <w:r/>
      <w:bookmarkStart w:id="199" w:name="_Toc1805"/>
      <w:r>
        <w:rPr>
          <w:rFonts w:hint="eastAsia"/>
        </w:rPr>
        <w:t xml:space="preserve">多媒体会议</w:t>
      </w:r>
      <w:bookmarkEnd w:id="199"/>
      <w:r>
        <w:rPr>
          <w:rFonts w:hint="eastAsi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168"/>
        <w:gridCol w:w="5487"/>
        <w:gridCol w:w="831"/>
        <w:gridCol w:w="965"/>
      </w:tblGrid>
      <w:tr>
        <w:trPr>
          <w:trHeight w:val="420"/>
        </w:trPr>
        <w:tc>
          <w:tcPr>
            <w:tcW w:w="392"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W w:w="637"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W w:w="2991"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W w:w="451"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420"/>
        </w:trPr>
        <w:tc>
          <w:tcPr>
            <w:gridSpan w:val="4"/>
            <w:tcW w:w="8204"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699770</wp:posOffset>
                      </wp:positionH>
                      <wp:positionV relativeFrom="paragraph">
                        <wp:posOffset>0</wp:posOffset>
                      </wp:positionV>
                      <wp:extent cx="1410970" cy="190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79;o:allowoverlap:true;o:allowincell:true;mso-position-horizontal-relative:text;margin-left:55.1pt;mso-position-horizontal:absolute;mso-position-vertical-relative:text;margin-top:0.0pt;mso-position-vertical:absolute;width:111.1pt;height:0.1pt;mso-wrap-distance-left:9.0pt;mso-wrap-distance-top:0.0pt;mso-wrap-distance-right:9.0pt;mso-wrap-distance-bottom:0.0pt;" stroked="f">
                      <v:path textboxrect="0,0,0,0"/>
                      <v:imagedata r:id="rId36" o:title=""/>
                    </v:shape>
                  </w:pict>
                </mc:Fallback>
              </mc:AlternateContent>
            </w: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699770</wp:posOffset>
                      </wp:positionH>
                      <wp:positionV relativeFrom="paragraph">
                        <wp:posOffset>0</wp:posOffset>
                      </wp:positionV>
                      <wp:extent cx="1021080" cy="254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80;o:allowoverlap:true;o:allowincell:true;mso-position-horizontal-relative:text;margin-left:55.1pt;mso-position-horizontal:absolute;mso-position-vertical-relative:text;margin-top:0.0pt;mso-position-vertical:absolute;width:80.4pt;height:0.2pt;mso-wrap-distance-left:9.0pt;mso-wrap-distance-top:0.0pt;mso-wrap-distance-right:9.0pt;mso-wrap-distance-bottom:0.0pt;" stroked="f">
                      <v:path textboxrect="0,0,0,0"/>
                      <v:imagedata r:id="rId37" o:title=""/>
                    </v:shape>
                  </w:pict>
                </mc:Fallback>
              </mc:AlternateContent>
            </w:r>
            <w:r>
              <w:rPr>
                <w:rFonts w:hint="eastAsia" w:ascii="方正仿宋_GBK" w:hAnsi="方正仿宋_GBK" w:eastAsia="方正仿宋_GBK" w:cs="方正仿宋_GBK"/>
                <w:b/>
                <w:bCs/>
                <w:color w:val="000000"/>
                <w:sz w:val="20"/>
                <w:szCs w:val="20"/>
                <w:lang w:bidi="ar"/>
              </w:rPr>
              <w:t xml:space="preserve">一、一层大厅</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1、专业扩声系统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真分集无线一拖二手持话筒</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numPr>
                <w:ilvl w:val="0"/>
                <w:numId w:val="10"/>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具备超强抗干扰能力和宽频稳定信号收发能力，六段LED指示灯组显示，真分集双通道RFA/RFB射频信号自动切换显示，6级接收LED灯信号显示，6级AF音频LED灯信号显示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2、使用UHF560-680MHz频段，应用PLL频率合成锁相环技术，频率可调，发射功率可调，避免干扰频率，防手机干扰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3、面板≥1个2.4英寸TFT彩色液晶界面显示，A与B通道按键选择，≥2个一键对频独立按键功能，≥1个飞梭旋钮，≥1个快捷键（FBX/EQ/ECHO选择），≥1个电源开关轻触按键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4、可设置音频增益、≥10种EQ均衡设置、≥9种混响模式设置、≥9啸叫抑制模式等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5、支持自动锁屏，可开启与关闭锁屏模式，支持面板一键锁屏功能，开启锁屏模式后，不操作时15秒自动锁屏，防止误触修改参数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6、内置3W腔体喇叭，支持语音控制关闭与开启，内置Ai语音控制功能，通过手持话筒讲话语音可以控制电源时序器，灯光、LED屏控制，音频处理器、视频矩阵等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7、双通道31级音量，每通道有单独电子音量调节大小</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8、后面板≥4个BNC天线、≥2个XRL平衡输出、≥1个6.35混音输出、≥1个USB插口</w:t>
            </w:r>
            <w:r>
              <w:rPr>
                <w:rFonts w:hint="eastAsia" w:ascii="方正仿宋_GBK" w:hAnsi="方正仿宋_GBK" w:eastAsia="方正仿宋_GBK" w:cs="方正仿宋_GBK"/>
                <w:color w:val="000000"/>
                <w:sz w:val="20"/>
                <w:szCs w:val="20"/>
                <w:lang w:bidi="ar"/>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16路天线放大器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1、频率范围：≥450～970MHZ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2、阻抗：50Ω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3、输入电压：DC 12V 5A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4、输出直流电压：12V四组DC输出端子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5、天线增幅电压：12V 150mA</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天线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numPr>
                <w:ilvl w:val="0"/>
                <w:numId w:val="11"/>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频率范围：500-950MHz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2、输入截断点：+22dBm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3、噪声比：4.0dB </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4、输出阻抗：50欧姆（SWR&lt;=1:1.5）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5、频宽：450MHz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6、调控开关：轻触开关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7、接口：B型母座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8、输出阻抗：50欧姆（SWR&lt;=1:1.5）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9、增益（最大）：12dB（典型）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10、整合数控可调范围：-6-12dB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11、阶互调截取点：+45dBm（典型）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12、增益平坦度：+1dB，全频段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13、电源：+9V至12V（典型），150mA</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中继放大器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1、频率范围：≥450～970MHZ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2、增益：3dB/12dB 二级可调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3、输入接口：BNC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4、输出接口：BNC</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5、阻抗：50Ω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6、输入电压：DC 9-12V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7、天线增幅电压：9-12V 100mA</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延长线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200米 50Ω同轴线缆</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音柱</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1.≥4×4.5寸两分频高性能线阵列音柱</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2.频率响应≥80Hz-20KHz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3.灵敏度≥96dB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4.标称抗阻：4Ω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5.额定功率≥300W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6.低音单元≥4×4.5英寸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7.高音单元≥1×1英寸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8.扩散角度: 100°×30°(H×V）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9.最大声压级≥129dB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音柱支架</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1、最大承重≥40 Kg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2、水平角度：-90°~+90°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3、垂直下倾角度：40°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4、材质：冷轧钢板</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音柱功放</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numPr>
                <w:ilvl w:val="0"/>
                <w:numId w:val="12"/>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标准机柜式设计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2.内置中文点阵屏</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3.内置高品质蓝牙解码芯片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4.内置高品质MP3解码芯片USB接口，兼容MP3/WAV等多种音频格式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5.内置高灵敏度收音解码芯片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6.内置警报提示音输出，有强切入优先，并具备默音调节功能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7.内置高品质铃声提示音，有强切入优先，并具备默音调节功能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8.≥2路线路输入，AUX1，AUX2，1路辅助输出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9.≥2路话筒输入，话筒MIC1具强切默音功能，具有最高优先权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10.具有高音、低音音调控制，各输入通道独立音量控制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11.具前进、后退、播放、暂停、音量增加、音量减小等按键（带遥控器）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12.额定输出功率≥800W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13.≥2种功率输出方式：定压输出70V、100V和定阻输出4～16Ω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14.内置智能温度检测驱动风冷，采用低噪声风扇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15.具有短路、过载、过热、饱和失真、直流输出等保护功能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16.内置自激、过热、开关机防冲击保护及LED警示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17.独立的静噪音线路处理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18.额定输出功率≥：800W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19.输出方式：70V、100V、4-16Ω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20.辅助输出：600Ω1V(0dB)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21.信噪比：话筒&gt;68dB   线路&gt;82dB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22.频率响应：60Hz-18KHz/±3Db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23.总谐波失真&lt;0.1% at 1KHz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24.线路失真度＜0.1%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25.话筒失真度＜0.3%</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吸顶扬声器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1、额定功率（定阻）8Ω≥40W，峰值功率≥160W；额定功率（定压）≥70V*10W/100V*20W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2、灵敏度（1W@1m）≥101dB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3、频率响应≥55-18KHz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4、喇叭单元≥1 x 6.5英寸</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吸顶扬声器功放</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1、功率输出≥2x300W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2、负载阻抗≥4-8Ω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3、输入灵敏度≥0.70/50KΩ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4、话筒输入≤20mv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5、信噪比：-103dB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6、总谐波失真&lt;0.01%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7、频率响应≥5Hz-50KHz（±3dB）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8、串音衰减≥45dB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数字音频处理器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numPr>
                <w:ilvl w:val="0"/>
                <w:numId w:val="13"/>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自带≥1.8英寸彩色LCD显示屏，可显示设备名称、IP地址、输入/输出电平和静音状态等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2.≥8路平衡式话筒／线路输入，具有48V幻象供电软开关，具有不少于八级增益可调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3.≥8路平衡式线路输出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4.≥8路GPIO可编程控制接口，可自由定义输入或输出通道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5.内置Web服务器，可通过浏览器管理设备，可控制管理设备、获取操作手册、控制协议等相关资料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6.支持跨平台运行设备管理页面，包括银河麒麟桌面操作系统（兆芯版）、银河麒麟桌面操作系统（飞腾版）等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7.内置语音跟踪功能，结合话筒、摄像机可实现视像跟踪功能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8.输入通道处理功能不少于：幻象供电、输入增益、扩展器、压缩器、≥10段PEQ、自动增益控制等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9.输出通道处理功能不少于：可选10/15/31段参量均衡器、延时器、高低通滤波器、分频器、限幅器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10.≥2组独立的自适应回声消除AEC，采用软件共享型架构，每组内可设置所有通道AEC，包含模拟通道、网络通道、混音通道等，回声消除尾长最大不小于512ms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11.≥2组独立自适应噪声消除，每组内可设置所有通道噪声消除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12.具备矩阵混音及交叉点电平调节功能，可设定电平控制范围，即设定推子的最大值和最小值</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13.支持断电自动保护记忆功能，可保存≥50组场景，具有删除、调用、编辑功能，支持场景信息导入、场景信息导出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14.内置环控功能，具有脚本编辑能力，可作为集中控制系统，通过RS-232、RS-485、网络、I/0管理第三方设备;环控控制界面，支持定义风格、自由排列组合、管理元素，支持不少于20个页面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15.支持1+1冗余热备份功能，实时镜像同步，心跳+服务进程检测（更全面的检测机制），智能切换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16.采用ARM架构芯片，设备检测符合GB4943.1-2022标准要求</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17.≥2个USB音频接口，支持接U盘录制和播放，具有USB-B声卡接口，支持≥2x2，可连接Android/ HarmonyOS等系统设备，与软件类视频会议无缝对接，网络音频通道：≥16通道发送，≥16通道接收</w:t>
            </w:r>
            <w:r>
              <w:rPr>
                <w:rFonts w:hint="eastAsia" w:ascii="方正仿宋_GBK" w:hAnsi="方正仿宋_GBK" w:eastAsia="方正仿宋_GBK" w:cs="方正仿宋_GBK"/>
                <w:color w:val="000000"/>
                <w:sz w:val="20"/>
                <w:szCs w:val="20"/>
                <w:lang w:bidi="ar"/>
              </w:rPr>
            </w:r>
            <w:r/>
          </w:p>
          <w:p>
            <w:pPr>
              <w:pStyle w:val="931"/>
              <w:numPr>
                <w:ilvl w:val="0"/>
                <w:numId w:val="14"/>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支持AI去噪算法：可去除稳态噪声和非稳态噪声；支持AI自动增益：采用AI识别技术，可根据设定的目标值自动将声音大小调整到合适的范围</w:t>
            </w:r>
            <w:r>
              <w:rPr>
                <w:rFonts w:hint="eastAsia" w:ascii="方正仿宋_GBK" w:hAnsi="方正仿宋_GBK" w:eastAsia="方正仿宋_GBK" w:cs="方正仿宋_GBK"/>
                <w:color w:val="000000"/>
                <w:sz w:val="20"/>
                <w:szCs w:val="20"/>
                <w:lang w:bidi="ar"/>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8路智能电源时序器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1.具有触摸屏，≥8路万能插座，具有≥2路RS-485 具有≥1路RS232，具有≥1路USB，具有≥2路RJ45，具有≥1路Wi-Fi天线口，具有≥1路32A空气开关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2.输入电流≥30A ，总功率≥6600W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3.通道控制：1-8路单独触摸开关，支持记忆启动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4.定时任务：4组任务定时设置，支持每日定时开关机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5.延时控制：每路单独设置延时开关（0.1~999秒），默认1秒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6.输入电源：AC 110-240V，50/60Hz，30A，6600W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7.时间管理：支持时区设置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8.支持2.4/5GHz频段，外接天线，手机APP远程控制，级联功能，通过RJ-45方式级联6台设备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9.支持密码功能1-6位数字密码锁定</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699770</wp:posOffset>
                      </wp:positionH>
                      <wp:positionV relativeFrom="paragraph">
                        <wp:posOffset>0</wp:posOffset>
                      </wp:positionV>
                      <wp:extent cx="1021080" cy="254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81;o:allowoverlap:true;o:allowincell:true;mso-position-horizontal-relative:text;margin-left:55.1pt;mso-position-horizontal:absolute;mso-position-vertical-relative:text;margin-top:0.0pt;mso-position-vertical:absolute;width:80.4pt;height:0.2pt;mso-wrap-distance-left:9.0pt;mso-wrap-distance-top:0.0pt;mso-wrap-distance-right:9.0pt;mso-wrap-distance-bottom:0.0pt;" stroked="f">
                      <v:path textboxrect="0,0,0,0"/>
                      <v:imagedata r:id="rId38" o:title=""/>
                    </v:shape>
                  </w:pict>
                </mc:Fallback>
              </mc:AlternateContent>
            </w: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699770</wp:posOffset>
                      </wp:positionH>
                      <wp:positionV relativeFrom="paragraph">
                        <wp:posOffset>0</wp:posOffset>
                      </wp:positionV>
                      <wp:extent cx="1410970" cy="190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82;o:allowoverlap:true;o:allowincell:true;mso-position-horizontal-relative:text;margin-left:55.1pt;mso-position-horizontal:absolute;mso-position-vertical-relative:text;margin-top:0.0pt;mso-position-vertical:absolute;width:111.1pt;height:0.1pt;mso-wrap-distance-left:9.0pt;mso-wrap-distance-top:0.0pt;mso-wrap-distance-right:9.0pt;mso-wrap-distance-bottom:0.0pt;" stroked="f">
                      <v:path textboxrect="0,0,0,0"/>
                      <v:imagedata r:id="rId39" o:title=""/>
                    </v:shape>
                  </w:pict>
                </mc:Fallback>
              </mc:AlternateContent>
            </w:r>
            <w:r>
              <w:rPr>
                <w:rFonts w:hint="eastAsia" w:ascii="方正仿宋_GBK" w:hAnsi="方正仿宋_GBK" w:eastAsia="方正仿宋_GBK" w:cs="方正仿宋_GBK"/>
                <w:b/>
                <w:bCs/>
                <w:color w:val="000000"/>
                <w:sz w:val="20"/>
                <w:szCs w:val="20"/>
                <w:lang w:bidi="ar"/>
              </w:rPr>
              <w:t xml:space="preserve">2、会议设备专用线缆</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1、600*590*600mm，带PDU</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2、前钢化玻璃、后钣金</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音箱线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1、300芯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2、采用铝箔屏蔽或者PVC加银色线镀锡铜屏蔽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3、抗电磁干扰</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300</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RVV3*2.5</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699770</wp:posOffset>
                      </wp:positionH>
                      <wp:positionV relativeFrom="paragraph">
                        <wp:posOffset>0</wp:posOffset>
                      </wp:positionV>
                      <wp:extent cx="1410970" cy="190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83;o:allowoverlap:true;o:allowincell:true;mso-position-horizontal-relative:text;margin-left:55.1pt;mso-position-horizontal:absolute;mso-position-vertical-relative:text;margin-top:0.0pt;mso-position-vertical:absolute;width:111.1pt;height:0.1pt;mso-wrap-distance-left:9.0pt;mso-wrap-distance-top:0.0pt;mso-wrap-distance-right:9.0pt;mso-wrap-distance-bottom:0.0pt;" stroked="f">
                      <v:path textboxrect="0,0,0,0"/>
                      <v:imagedata r:id="rId40" o:title=""/>
                    </v:shape>
                  </w:pict>
                </mc:Fallback>
              </mc:AlternateContent>
            </w: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699770</wp:posOffset>
                      </wp:positionH>
                      <wp:positionV relativeFrom="paragraph">
                        <wp:posOffset>0</wp:posOffset>
                      </wp:positionV>
                      <wp:extent cx="1021080" cy="254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84;o:allowoverlap:true;o:allowincell:true;mso-position-horizontal-relative:text;margin-left:55.1pt;mso-position-horizontal:absolute;mso-position-vertical-relative:text;margin-top:0.0pt;mso-position-vertical:absolute;width:80.4pt;height:0.2pt;mso-wrap-distance-left:9.0pt;mso-wrap-distance-top:0.0pt;mso-wrap-distance-right:9.0pt;mso-wrap-distance-bottom:0.0pt;" stroked="f">
                      <v:path textboxrect="0,0,0,0"/>
                      <v:imagedata r:id="rId41" o:title=""/>
                    </v:shape>
                  </w:pict>
                </mc:Fallback>
              </mc:AlternateContent>
            </w:r>
            <w:r>
              <w:rPr>
                <w:rFonts w:hint="eastAsia" w:ascii="方正仿宋_GBK" w:hAnsi="方正仿宋_GBK" w:eastAsia="方正仿宋_GBK" w:cs="方正仿宋_GBK"/>
                <w:b/>
                <w:bCs/>
                <w:color w:val="000000"/>
                <w:sz w:val="20"/>
                <w:szCs w:val="20"/>
                <w:lang w:bidi="ar"/>
              </w:rPr>
              <w:t xml:space="preserve">二、1F1间洽谈室+2F企业并购与重组专家室/企业重组协调工作室+3F党建阵地+3F/4F/5F14间合议室，共18间</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1、显示系统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会议一体机</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1、整机屏幕≥86英寸液晶显示器，采用超高清LED液晶显示屏，显示比例16:9，屏幕分辨率最大支持3840×2160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2、整机屏幕显示灰度分辨等级达到256及以上灰阶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3、整机屏幕采用≥3.2mm防眩钢化玻璃保护，硬度≥9H</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4、整机在0℃- 40℃环境下可正常工作，在-20℃—60℃的环境下可正常贮存且贮存后功能无损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5、支持自定义图像设置，可对对比度、屏幕色温、图像亮度、亮度范围调节设置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6、整机CPU，可编程逻辑芯片、时钟芯片、采用自主芯片</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落地移动支架</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1、全金属</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2、自带托盘，支持前后安装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3、静音万向轮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4、适合会议一体机</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r>
            <w:r/>
          </w:p>
          <w:p>
            <w:pPr>
              <w:pStyle w:val="93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r>
            <w:r/>
          </w:p>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0</wp:posOffset>
                      </wp:positionH>
                      <wp:positionV relativeFrom="paragraph">
                        <wp:posOffset>0</wp:posOffset>
                      </wp:positionV>
                      <wp:extent cx="4692650" cy="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46926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85;o:allowoverlap:true;o:allowincell:true;mso-position-horizontal-relative:text;margin-left:0.0pt;mso-position-horizontal:absolute;mso-position-vertical-relative:text;margin-top:0.0pt;mso-position-vertical:absolute;width:369.5pt;height:0.0pt;mso-wrap-distance-left:9.0pt;mso-wrap-distance-top:0.0pt;mso-wrap-distance-right:9.0pt;mso-wrap-distance-bottom:0.0pt;" stroked="f">
                      <v:path textboxrect="0,0,0,0"/>
                      <v:imagedata r:id="rId42" o:title=""/>
                    </v:shape>
                  </w:pict>
                </mc:Fallback>
              </mc:AlternateContent>
            </w: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投屏器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1、发射器*1，接收器*1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2、发射端接口：USBA+C双接口，接收端接口：HDMI</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3、单按键设计，一按即可传屏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4、分辨率/刷新率4K/30Hz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5、2.4G+5.8G频段，传输稳定可靠</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6、无需单独供电，传输距离30米</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1、≥86英寸，miniLED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2、分辨率≥4K，屏幕亮度≥800尼特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3、运行内存≥4G，存储内存≥64G</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699770</wp:posOffset>
                      </wp:positionH>
                      <wp:positionV relativeFrom="paragraph">
                        <wp:posOffset>0</wp:posOffset>
                      </wp:positionV>
                      <wp:extent cx="1021080" cy="254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86;o:allowoverlap:true;o:allowincell:true;mso-position-horizontal-relative:text;margin-left:55.1pt;mso-position-horizontal:absolute;mso-position-vertical-relative:text;margin-top:0.0pt;mso-position-vertical:absolute;width:80.4pt;height:0.2pt;mso-wrap-distance-left:9.0pt;mso-wrap-distance-top:0.0pt;mso-wrap-distance-right:9.0pt;mso-wrap-distance-bottom:0.0pt;" stroked="f">
                      <v:path textboxrect="0,0,0,0"/>
                      <v:imagedata r:id="rId43" o:title=""/>
                    </v:shape>
                  </w:pict>
                </mc:Fallback>
              </mc:AlternateContent>
            </w: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699770</wp:posOffset>
                      </wp:positionH>
                      <wp:positionV relativeFrom="paragraph">
                        <wp:posOffset>0</wp:posOffset>
                      </wp:positionV>
                      <wp:extent cx="1379855" cy="190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87;o:allowoverlap:true;o:allowincell:true;mso-position-horizontal-relative:text;margin-left:55.1pt;mso-position-horizontal:absolute;mso-position-vertical-relative:text;margin-top:0.0pt;mso-position-vertical:absolute;width:108.6pt;height:0.1pt;mso-wrap-distance-left:9.0pt;mso-wrap-distance-top:0.0pt;mso-wrap-distance-right:9.0pt;mso-wrap-distance-bottom:0.0pt;" stroked="f">
                      <v:path textboxrect="0,0,0,0"/>
                      <v:imagedata r:id="rId44" o:title=""/>
                    </v:shape>
                  </w:pict>
                </mc:Fallback>
              </mc:AlternateContent>
            </w:r>
            <w:r>
              <w:rPr>
                <w:rFonts w:hint="eastAsia" w:ascii="方正仿宋_GBK" w:hAnsi="方正仿宋_GBK" w:eastAsia="方正仿宋_GBK" w:cs="方正仿宋_GBK"/>
                <w:b/>
                <w:bCs/>
                <w:color w:val="000000"/>
                <w:sz w:val="20"/>
                <w:szCs w:val="20"/>
                <w:lang w:bidi="ar"/>
              </w:rPr>
              <w:t xml:space="preserve">三、1F信息中心</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1、发言系统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会议系统主机</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1.主机内置嵌入式处理器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2.内置环境噪音消除器、数字均衡电路、自适应反馈抑器；具备“手拉手”连接和环路连接多种方式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3.具备≥4寸真彩触摸屏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4.支持自由模式、轮替模式、限制模式、申请模式、计时模式、声控模式、PTT模式、VIP模式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5.系统主机具有双机热备份模式功能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6.具有USB录音功能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7.内置≥4进1出视频矩阵，实现会议中视频自动跟踪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8.≥4路⽹络总线，每个接⼝可接驳≥15个会议发⾔单元</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高保真带显示短杆主席单元</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1.内置≥14mm高品质电容音头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2.内置≥4英寸高清触摸屏，可触摸控制话筒开关状态、ID 号、音量大小等信息；单元支持15级音量统一或独立调节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3.单元具有时钟显示，待机图片定制，支持倒计时发言和顺计时发言功能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4.单元具有申请发言灯环闪烁提示功能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5.单元灯环可通过主机统一开启或关闭功能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6.支持超6类双屏蔽网线手拉手和环形回路备份连接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7.系统具有自动修复功能，支持线路的“热插拔”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8.主席单元具有主席优先控制功能，当主席单元开启话筒后，可启动系统提示音提醒所有出席人员注意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9.话筒杆长度≤230mm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高保真短杆代表单元</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1.内置≥14mm高品质电容音头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2.内置≥4英寸高清触摸屏，可触摸控制话筒开关状态、ID 号、音量大小等信息；单元支持15级音量统一或独立调节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3.单元具有时钟显示，待机图片定制，支持倒计时发言和顺计时发言功能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4.单元具有申请发言灯环闪烁提示功能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5.单元灯环可通过主机统一开启或关闭功能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6.支持超6类双屏蔽网线手拉手和环形回路备份连接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7.系统具有自动修复功能，支持线路的“热插拔”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8.话筒杆长度≤230mm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会议系统地插</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8芯会议模块+网线模块</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真分集无线一拖二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手持话筒</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1.双通道UHF超高频真分集无线接收机，支持根据信号强度自动切换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2.支持混音输出，同时支持每通道一个平衡卡侬座独立输出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3.急速红外对频方式，对频距离远，锁定速度快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4.频率范围≥641-690MHz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5.可调信道数≥200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6.振荡方式：锁相环（PLL）频率合成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7.频率稳定度&lt;±3ppm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8.自动跟踪调谐技术，保证系统在任何频率工作时保持最佳稳定性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9.LED高清屏幕显示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10.接收灵敏度：-99~-69dBm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11.音频频响≥40~18000Hz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12.谐波失真&lt;0.5%(1kHz,25mVrms)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13.信噪比≥110dB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14.手持无线话筒频率范围≥641-690MHz，音频频响≥40~18000Hz，辐射功率≤10dBm，谐波失&lt;0.5%(1kHz,25mVrms)</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天线放大器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1.一拖四天线放大器，最远距离≥400米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2.≥12dB可调的射频信号电平，用于优化使用不同线缆的接收效率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3.可链接≥8台无线接收机组成大型系统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4.RF电平过载LED，及时监察射频信号质量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5.高清LCD显示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6.通道≥2*5(10路）输出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7.频率≥450-970MHz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8.输入/输出阻抗：50欧姆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9.增益≥+6dB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2、扩声系统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全频主扩音箱</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 频率范围：69Hz-20kHz（-10dB）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轴向灵敏度：94dB±2dB/1W/1m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 阻抗：8Ω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 最大声压级：连续：117dB±2dB；峰值：123dB±2dB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 功率：额定250W，峰值1000W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 覆盖角度：H90°×V60°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 低频单元：10英寸单元×1,2英寸音圈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 高频单元：1英寸喉口，1英寸音圈</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全频辅助音箱</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 频率范围：80-20kHz（-10dB）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轴向灵敏度：91dB±2dB/1W/1m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 阻抗：8Ω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 最大声压级：连续：113dB±2dB；峰值：119dB±2dB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 功率：额定150W，峰值600W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 覆盖角度：H90°×V60°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 低频单元：8英寸单元×1,2英寸音圈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 高频单元：1英寸喉口，1英寸音圈</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壁挂架</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壁挂架</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全频主扩音箱功放</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1.两通道D类数字专业功率放大器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2.1U结构设计，多输入灵敏度选择</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3.具有短路保护、直流保护，过温保护、无线电干扰保护等多种保护功能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4.额定功率：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立体声模式：2x600W@8Ω，2x900W@4Ω；桥接模式：1x1800W@8Ω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 15Hz-30kHz（士1dB）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6.总谐波失真 &lt;0.1%，20Hz-20kHz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7.阻尼系数 &gt;240(1KHZ，8Ω)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8.信噪比：105dB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9.输入灵敏度：35dB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全频辅助音箱功放</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1.两通道D类数字专业功率放大器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2.1U结构设计，多输入灵敏度选择</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3.具有短路保护、直流保护，过温保护、无线电干扰保护等多种保护功能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4.额定功率：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立体声模式：2x350W@8Ω，2x600W@4Ω；桥接模式：1x1200W@8Ω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 15Hz-30kHz（士1dB）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6.总谐波失真 &lt;0.1%，20Hz-20kHz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7.阻尼系数 &gt;240(1KHZ，8Ω)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8.信噪比 105dB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9.输入灵敏度：35dB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调音台</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1.≥12路输入：4路平衡式麦克风输入和平衡线路输入通道；4组立体声，2路立体声输入通道支持单声道，2路立体声输入通道支持RCA输入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2.≥14路输出：1组主输出，采用平衡式与非平衡式输出接口，4路AUX辅助，4路编组，1组监听及1组耳机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3.超低噪声离散式麦克风前置放大器和+48V幻象电源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4.每路单声道输入通道设有压缩器，≥3段参量均衡器，带中频扫频，低切，高低阻切换开关（部分通道支持），设有峰值LED指示灯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5.每路通道均支持PFL （衰减前监听）、静音功能，行程60mm衰减推子带有防尘网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6.内置24位DSP效果器，提供≥100种预设效果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7.具有USB-B接口，支持2x2UAC音频传输，可切换至立体声输入，接收主输出通道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8.具有LED电平指示灯，指示主输出、监听信号电平</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数字音频处理器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1.自带≥1.8英寸彩色LCD显示屏，可显示设备名称、IP地址、输入/输出电平和静音状态等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2.≥8路平衡式话筒／线路输入，具有48V幻象供电软开关，具有不少于八级增益可调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3.≥8路平衡式线路输出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4.≥8路GPIO可编程控制接口，可自由定义输入或输出通道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5.内置Web服务器，可通过浏览器管理设备，可控制管理设备、获取操作手册、控制协议等相关资料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6.支持跨平台运行设备管理页面，包括银河麒麟桌面操作系统（兆芯版）、银河麒麟桌面操作系统（飞腾版）等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7.内置语音跟踪功能，结合话筒、摄像机可实现视像跟踪功能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8.输入通道处理功能不少于：幻象供电、输入增益、扩展器、压缩器、≥10段PEQ、自动增益控制等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9.输出通道处理功能不少于：可选10/15/31段参量均衡器、延时器、高低通滤波器、分频器、限幅器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10.≥2组独立的自适应回声消除AEC，采用软件共享型架构，每组内可设置所有通道AEC，包含模拟通道、网络通道、混音通道等，回声消除尾长最大不小于512ms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11.≥2组独立自适应噪声消除，每组内可设置所有通道噪声消除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12.具备矩阵混音及交叉点电平调节功能，可设定电平控制范围，即设定推子的最大值和最小值</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13.支持断电自动保护记忆功能，可保存≥50组场景，具有删除、调用、编辑功能，支持场景信息导入、场景信息导出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14.内置环控功能，具有脚本编辑能力，可作为集中控制系统，通过RS-232、RS-485、网络、I/0管理第三方设备;环控控制界面，支持定义风格、自由排列组合、管理元素，支持不少于20个页面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15.支持1+1冗余热备份功能，实时镜像同步，心跳+服务进程检测（更全面的检测机制），智能切换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16.采用ARM架构芯片，设备检测符合GB4943.1-2022标准要求</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17.≥2个USB音频接口，支持接U盘录制和播放，具有USB-B声卡接口，支持≥2x2，可连接Android/ HarmonyOS等系统设备，与软件类视频会议无缝对接，网络音频通道：≥16通道发送，≥16通道接收</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18.支持AI去噪算法：可去除稳态噪声和非稳态噪声；支持AI自动增益：采用AI识别技术，可根据设定的目标值自动将声音大小调整到合适的范围</w:t>
            </w:r>
            <w:r>
              <w:rPr>
                <w:rFonts w:hint="eastAsia" w:ascii="方正仿宋_GBK" w:hAnsi="方正仿宋_GBK" w:eastAsia="方正仿宋_GBK" w:cs="方正仿宋_GBK"/>
                <w:color w:val="000000"/>
                <w:sz w:val="20"/>
                <w:szCs w:val="20"/>
                <w:lang w:bidi="ar"/>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AI反馈抑制增益器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1.DNN深度神经网络的AI动态自适应降噪技术，高保真度还原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2.提供Peak峰值电平表，监测当前音频信号幅度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3.支持多麦克风智能混音、具备话筒优选功能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4.具备信号处理模块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5.滤波功能模块，包括高通滤波器、低通滤波器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6.支持参量均衡调节功能/内置压缩器功能/支持音量调节功能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7.模拟输入通道（卡龙、6.35）≥2通道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8.模拟输出通道（平衡输出）≥2通道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9.USB（Type-A）接口≥1路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10.电平开关（支持3档输入增益调节）≥1路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11.音量调节(旋钮）≥1路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12.旁路开关≥1路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13.幻象电源：每路输入通道48V幻象供电，自带幻象供电按钮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14.频率响应≥ 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15.总谐波失真≥ THD &lt;0.01%@1KHz</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智能时序电源</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numPr>
                <w:ilvl w:val="0"/>
                <w:numId w:val="15"/>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顺序开启逆序关闭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2.彩屏显示电压，电流，功率，功率因数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3.内置功率计，电压，电流，功率，功率因数实时显示</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4.具备电压保护、电流保护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5.中控系统：支持RS232 接口，波特率可设置（4800-128000，默认9600）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6.掉电记忆：当设备自动断电，数据自动储存</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7.可循环定制开关（服务端控制）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8.面板或手机APP独立控制各通道</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3、集中控制系统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网络中控主机</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1.控制上采用神经网络图算法，支持自主绘制任意控制运行图</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2.人机界面采用符合HTML5标准的动态图形及矢量图形技术，支持编制动态人机交互界面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3.支持云端编程、远程控制、可视化操作，支持宏模块、用户自建模块、资源共享及多重界面，支持Tcp、Udp、Telnet等网络协议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4.≥8路低压继电器，≥8路数字I/O输入，≥8路红外或单向RS-232串行通讯口，≥8路双向RS-232/422/485串行通讯口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5.≥1个RST系统复位按钮，≥3个LED系统状态指示灯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6.≥1个RJ45 10M/100M以太网接口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7.前面板带液晶显示屏和红外学习窗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8.前面板≥4个可编程按键</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网络中控系统逻辑处理内嵌软件</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1.配合控制主机硬件使用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2.接受系统中心服务平台软件管理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3.可视化系统定制编程</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0</wp:posOffset>
                      </wp:positionH>
                      <wp:positionV relativeFrom="paragraph">
                        <wp:posOffset>0</wp:posOffset>
                      </wp:positionV>
                      <wp:extent cx="1021080" cy="254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88;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45" o:title=""/>
                    </v:shape>
                  </w:pict>
                </mc:Fallback>
              </mc:AlternateContent>
            </w: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0</wp:posOffset>
                      </wp:positionH>
                      <wp:positionV relativeFrom="paragraph">
                        <wp:posOffset>0</wp:posOffset>
                      </wp:positionV>
                      <wp:extent cx="1379855" cy="190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89;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46" o:title=""/>
                    </v:shape>
                  </w:pict>
                </mc:Fallback>
              </mc:AlternateContent>
            </w:r>
            <w:r>
              <w:rPr>
                <w:rFonts w:hint="eastAsia" w:ascii="方正仿宋_GBK" w:hAnsi="方正仿宋_GBK" w:eastAsia="方正仿宋_GBK" w:cs="方正仿宋_GBK"/>
                <w:color w:val="000000"/>
                <w:sz w:val="20"/>
                <w:szCs w:val="20"/>
                <w:lang w:bidi="ar"/>
              </w:rPr>
              <w:t xml:space="preserve">无线触摸控制屏</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屏幕尺寸≥11.5英寸，分辨率≥2.5K，峰值亮度≥600nits，电池容量≥10000mAh，运行内存≥8G，存储容量≥128G</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可视化编程软件</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定制可视化编程软件</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0</wp:posOffset>
                      </wp:positionH>
                      <wp:positionV relativeFrom="paragraph">
                        <wp:posOffset>0</wp:posOffset>
                      </wp:positionV>
                      <wp:extent cx="1021080" cy="254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90;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47" o:title=""/>
                    </v:shape>
                  </w:pict>
                </mc:Fallback>
              </mc:AlternateContent>
            </w: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0</wp:posOffset>
                      </wp:positionH>
                      <wp:positionV relativeFrom="paragraph">
                        <wp:posOffset>0</wp:posOffset>
                      </wp:positionV>
                      <wp:extent cx="1379855" cy="190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91;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48" o:title=""/>
                    </v:shape>
                  </w:pict>
                </mc:Fallback>
              </mc:AlternateContent>
            </w:r>
            <w:r>
              <w:rPr>
                <w:rFonts w:hint="eastAsia" w:ascii="方正仿宋_GBK" w:hAnsi="方正仿宋_GBK" w:eastAsia="方正仿宋_GBK" w:cs="方正仿宋_GBK"/>
                <w:color w:val="000000"/>
                <w:sz w:val="20"/>
                <w:szCs w:val="20"/>
                <w:lang w:bidi="ar"/>
              </w:rPr>
              <w:t xml:space="preserve">无线路由器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1、无线协议：WIFI6</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2、无线速率：7200M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3、支持外置天线、防火墙</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控制器</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1.支持通过RS232、RS485控制通道开关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2.支持通过网络TCP、UDP、HTTP、web控制通道开关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3.支持时序控制通道开启和关闭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4.支持每通道单独控制开启和关闭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5.支持锁定面板按键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6.支持通道与通道之间状态互锁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7.支持自定义设备名称和通道名称设备掉电，供电恢复后，端口状态自动恢复到断电前的状态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8.可对每个通道配置打开或关闭此功能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9.支持场景保存和调用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10.≥8路通道，每通道一个COM公共火线端，一个NC常闭端，一个NO常开端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11.单通道支持≥250V 15A</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4、会议设备专用线缆</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多媒体插座</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1、180度开启式地插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2、材质：铜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3、五孔插座，8芯手拉手，RJ45，HDMI</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1、600*600*2000mm，带PDU</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2、前钢化玻璃、后钣金</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音箱线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1、300芯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2、采用铝箔屏蔽或者PVC加银色线镀锡铜屏蔽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3、抗电磁干扰</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90</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1、128网双芯咪线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2、铝箔+裸铜编织屏蔽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3、PVC外被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4、线径OD6.0mm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70</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HDMI光纤高清线，长度20米</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HDMI光纤高清线，长度25米</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8芯手拉手会议话筒线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1、插口芯数：8芯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2、线材外被：PVC外被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3、接口材质：镀镍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4、线材规格：屏蔽线/26AWG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5、线材外径：6mm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6、线缆长度：20m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RVV3*2.5</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300</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699770</wp:posOffset>
                      </wp:positionH>
                      <wp:positionV relativeFrom="paragraph">
                        <wp:posOffset>0</wp:posOffset>
                      </wp:positionV>
                      <wp:extent cx="1379855" cy="190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92;o:allowoverlap:true;o:allowincell:true;mso-position-horizontal-relative:text;margin-left:55.1pt;mso-position-horizontal:absolute;mso-position-vertical-relative:text;margin-top:0.0pt;mso-position-vertical:absolute;width:108.6pt;height:0.1pt;mso-wrap-distance-left:9.0pt;mso-wrap-distance-top:0.0pt;mso-wrap-distance-right:9.0pt;mso-wrap-distance-bottom:0.0pt;" stroked="f">
                      <v:path textboxrect="0,0,0,0"/>
                      <v:imagedata r:id="rId49" o:title=""/>
                    </v:shape>
                  </w:pict>
                </mc:Fallback>
              </mc:AlternateContent>
            </w: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699770</wp:posOffset>
                      </wp:positionH>
                      <wp:positionV relativeFrom="paragraph">
                        <wp:posOffset>0</wp:posOffset>
                      </wp:positionV>
                      <wp:extent cx="1021080" cy="254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93;o:allowoverlap:true;o:allowincell:true;mso-position-horizontal-relative:text;margin-left:55.1pt;mso-position-horizontal:absolute;mso-position-vertical-relative:text;margin-top:0.0pt;mso-position-vertical:absolute;width:80.4pt;height:0.2pt;mso-wrap-distance-left:9.0pt;mso-wrap-distance-top:0.0pt;mso-wrap-distance-right:9.0pt;mso-wrap-distance-bottom:0.0pt;" stroked="f">
                      <v:path textboxrect="0,0,0,0"/>
                      <v:imagedata r:id="rId50" o:title=""/>
                    </v:shape>
                  </w:pict>
                </mc:Fallback>
              </mc:AlternateContent>
            </w:r>
            <w:r>
              <w:rPr>
                <w:rFonts w:hint="eastAsia" w:ascii="方正仿宋_GBK" w:hAnsi="方正仿宋_GBK" w:eastAsia="方正仿宋_GBK" w:cs="方正仿宋_GBK"/>
                <w:b/>
                <w:bCs/>
                <w:color w:val="000000"/>
                <w:sz w:val="20"/>
                <w:szCs w:val="20"/>
                <w:lang w:bidi="ar"/>
              </w:rPr>
              <w:t xml:space="preserve">四、2F视频会议室</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1、发言系统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会议系统主机</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1.主机内置嵌入式处理器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2.内置环境噪音消除器、数字均衡电路、自适应反馈抑器；具备“手拉手”连接和环路连接多种方式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3.具备≥4寸真彩触摸屏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4.支持自由模式、轮替模式、限制模式、申请模式、计时模式、声控模式、PTT模式、VIP模式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5.系统主机具有双机热备份模式功能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6.具有USB录音功能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7.内置≥4进1出视频矩阵，实现会议中视频自动跟踪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8.≥4路⽹络总线，每个接⼝可接驳≥15个会议发⾔单元</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高保真带显示短杆主席单元</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1.内置≥14mm高品质电容音头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2.内置≥4英寸高清触摸屏，可触摸控制话筒开关状态、ID 号、音量大小等信息；单元支持15级音量统一或独立调节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3.单元具有时钟显示，待机图片定制，支持倒计时发言和顺计时发言功能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4.单元具有申请发言灯环闪烁提示功能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5.单元灯环可通过主机统一开启或关闭功能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6.支持超6类双屏蔽网线手拉手和环形回路备份连接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7.系统具有自动修复功能，支持线路的“热插拔”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8.主席单元具有主席优先控制功能，当主席单元开启话筒后，可启动系统提示音提醒所有出席人员注意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9.话筒杆长度≤230mm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高保真短杆代表单元</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1.内置≥14mm高品质电容音头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2.内置≥4英寸高清触摸屏，可触摸控制话筒开关状态、ID 号、音量大小等信息；单元支持15级音量统一或独立调节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3.单元具有时钟显示，待机图片定制，支持倒计时发言和顺计时发言功能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4.单元具有申请发言灯环闪烁提示功能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5.单元灯环可通过主机统一开启或关闭功能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6.支持超6类双屏蔽网线手拉手和环形回路备份连接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7.系统具有自动修复功能，支持线路的“热插拔”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8.话筒杆长度≤230mm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会议系统地插</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8芯会议模块+网线模块</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真分集无线一拖二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手持话筒</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1.双通道UHF超高频真分集无线接收机，支持根据信号强度自动切换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2.支持混音输出，同时支持每通道一个平衡卡侬座独立输出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3.急速红外对频方式，对频距离远，锁定速度快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4.频率范围≥641-690MHz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5.可调信道数≥200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6.振荡方式：锁相环（PLL）频率合成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7.频率稳定度&lt;±3ppm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8.自动跟踪调谐技术，保证系统在任何频率工作时保持最佳稳定性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9.LED高清屏幕显示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10.接收灵敏度：-99~-69dBm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11.音频频响≥40~18000Hz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12.谐波失真&lt;0.5%(1kHz,25mVrms)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13.信噪比≥110dB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14.手持无线话筒频率范围≥641-690MHz，音频频响≥40~18000Hz，辐射功率≤10dBm，谐波失&lt;0.5%(1kHz,25mVrms)</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天线放大器</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1.一拖四天线放大器，最远距离≥400米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2.≥12dB可调的射频信号电平，用于优化使用不同线缆的接收效率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3.可链接≥8台无线接收机组成大型系统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4.RF电平过载LED，及时监察射频信号质量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5.高清LCD显示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6.通道≥2*5(10路）输出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7.频率≥450-970MHz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8.输入/输出阻抗：50欧姆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9.增益≥+6dB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2、扩声系统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全频主扩音箱</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 频率范围：69Hz-20kHz（-10dB）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轴向灵敏度：94dB±2dB/1W/1m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 阻抗：8Ω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 最大声压级：连续：117dB±2dB；峰值：123dB±2dB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 功率：额定250W，峰值1000W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 覆盖角度：H90°×V60°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 低频单元：10英寸单元×1,2英寸音圈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 高频单元：1英寸喉口，1英寸音圈</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全频辅助音箱</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 频率范围：80-20kHz（-10dB）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轴向灵敏度：91dB±2dB/1W/1m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 阻抗：8Ω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 最大声压级：连续：113dB±2dB；峰值：119dB±2dB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 功率：额定150W，峰值600W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 覆盖角度：H90°×V60°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 低频单元：8英寸单元×1,2英寸音圈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 高频单元：1英寸喉口，1英寸音圈</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壁挂架</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壁挂架</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全频主扩音箱功放</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1.两通道D类数字专业功率放大器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2.1U结构设计，多输入灵敏度选择</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3.具有短路保护、直流保护，过温保护、无线电干扰保护等多种保护功能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4.额定功率：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立体声模式：2x600W@8Ω，2x900W@4Ω；桥接模式：1x1800W@8Ω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 15Hz-30kHz（士1dB）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6.总谐波失真 &lt;0.1%，20Hz-20kHz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7.阻尼系数 &gt;240(1KHZ，8Ω)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8.信噪比：105dB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9.输入灵敏度：35dB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全频辅助音箱功放</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1.两通道D类数字专业功率放大器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2.1U结构设计，多输入灵敏度选择</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3.具有短路保护、直流保护，过温保护、无线电干扰保护等多种保护功能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4.额定功率：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立体声模式：2x350W@8Ω，2x600W@4Ω；桥接模式：1x1200W@8Ω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 15Hz-30kHz（士1dB）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6.总谐波失真 &lt;0.1%，20Hz-20kHz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7.阻尼系数 &gt;240(1KHZ，8Ω)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8.信噪比 105dB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9.输入灵敏度：35dB</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调音台</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1.≥12路输入：4路平衡式麦克风输入和平衡线路输入通道；4组立体声，2路立体声输入通道支持单声道，2路立体声输入通道支持RCA输入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2.≥14路输出：1组主输出，采用平衡式与非平衡式输出接口，4路AUX辅助，4路编组，1组监听及1组耳机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3.超低噪声离散式麦克风前置放大器和+48V幻象电源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4.每路单声道输入通道设有压缩器，≥3段参量均衡器，带中频扫频，低切，高低阻切换开关（部分通道支持），设有峰值LED指示灯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5.每路通道均支持PFL （衰减前监听）、静音功能，行程60mm衰减推子带有防尘网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6.内置24位DSP效果器，提供≥100种预设效果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7.具有USB-B接口，支持2x2UAC音频传输，可切换至立体声输入，接收主输出通道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8.具有LED电平指示灯，指示主输出、监听信号电平</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数字音频处理器</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1.自带≥1.8英寸彩色LCD显示屏，可显示设备名称、IP地址、输入/输出电平和静音状态等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2.≥8路平衡式话筒／线路输入，具有48V幻象供电软开关，具有不少于八级增益可调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3.≥8路平衡式线路输出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4.≥8路GPIO可编程控制接口，可自由定义输入或输出通道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5.内置Web服务器，可通过浏览器管理设备，可控制管理设备、获取操作手册、控制协议等相关资料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6.支持跨平台运行设备管理页面，包括银河麒麟桌面操作系统（兆芯版）、银河麒麟桌面操作系统（飞腾版）等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7.内置语音跟踪功能，结合话筒、摄像机可实现视像跟踪功能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8.输入通道处理功能不少于：幻象供电、输入增益、扩展器、压缩器、≥10段PEQ、自动增益控制等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9.输出通道处理功能不少于：可选10/15/31段参量均衡器、延时器、高低通滤波器、分频器、限幅器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10.≥2组独立的自适应回声消除AEC，采用软件共享型架构，每组内可设置所有通道AEC，包含模拟通道、网络通道、混音通道等，回声消除尾长最大不小于512ms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11.≥2组独立自适应噪声消除，每组内可设置所有通道噪声消除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12.具备矩阵混音及交叉点电平调节功能，可设定电平控制范围，即设定推子的最大值和最小值</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13.支持断电自动保护记忆功能，可保存≥50组场景，具有删除、调用、编辑功能，支持场景信息导入、场景信息导出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14.内置环控功能，具有脚本编辑能力，可作为集中控制系统，通过RS-232、RS-485、网络、I/0管理第三方设备;环控控制界面，支持定义风格、自由排列组合、管理元素，支持不少于20个页面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15.支持1+1冗余热备份功能，实时镜像同步，心跳+服务进程检测（更全面的检测机制），智能切换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16.采用ARM架构芯片，设备检测符合GB4943.1-2022标准要求</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17.≥2个USB音频接口，支持接U盘录制和播放，具有USB-B声卡接口，支持≥2x2，可连接Android/ HarmonyOS等系统设备，与软件类视频会议无缝对接，网络音频通道：≥16通道发送，≥16通道接收</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18.支持AI去噪算法：可去除稳态噪声和非稳态噪声；支持AI自动增益：采用AI识别技术，可根据设定的目标值自动将声音大小调整到合适的范围</w:t>
            </w:r>
            <w:r>
              <w:rPr>
                <w:rFonts w:hint="eastAsia" w:ascii="方正仿宋_GBK" w:hAnsi="方正仿宋_GBK" w:eastAsia="方正仿宋_GBK" w:cs="方正仿宋_GBK"/>
                <w:color w:val="000000"/>
                <w:sz w:val="20"/>
                <w:szCs w:val="20"/>
                <w:lang w:bidi="ar"/>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AI反馈抑制增益器</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1.DNN深度神经网络的AI动态自适应降噪技术，高保真度还原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2.提供Peak峰值电平表，监测当前音频信号幅度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3.支持多麦克风智能混音、具备话筒优选功能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4.具备信号处理模块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5.滤波功能模块，包括高通滤波器、低通滤波器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6.支持参量均衡调节功能/内置压缩器功能/支持音量调节功能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7.模拟输入通道（卡龙、6.35）≥2通道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8.模拟输出通道（平衡输出）≥2通道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9.USB（Type-A）接口≥1路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10.电平开关（支持3档输入增益调节）≥1路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11.音量调节(旋钮）≥1路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12.旁路开关≥1路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13.幻象电源：每路输入通道48V幻象供电，自带幻象供电按钮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14.频率响应≥ 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15.总谐波失真≥ THD &lt;0.01%@1KHz</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智能时序电源</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numPr>
                <w:ilvl w:val="0"/>
                <w:numId w:val="15"/>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顺序开启逆序关闭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2.彩屏显示电压，电流，功率，功率因数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3.内置功率计，电压，电流，功率，功率因数实时显示</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4.具备电压保护、电流保护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5.中控系统：支持RS232 接口，波特率可设置（4800-128000，默认9600）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6.掉电记忆：当设备自动断电，数据自动储存</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7.可循环定制开关（服务端控制）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8.面板或手机APP独立控制各通道</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3、集中控制系统</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网络中控主机</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1.控制上采用神经网络图算法，支持自主绘制任意控制运行图</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2.人机界面采用符合HTML5标准的动态图形及矢量图形技术，支持编制动态人机交互界面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3.支持云端编程、远程控制、可视化操作，支持宏模块、用户自建模块、资源共享及多重界面，支持Tcp、Udp、Telnet等网络协议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4.≥8路低压继电器，≥8路数字I/O输入，≥8路红外或单向RS-232串行通讯口，≥8路双向RS-232/422/485串行通讯口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5.≥1个RST系统复位按钮，≥3个LED系统状态指示灯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6.≥1个RJ45 10M/100M以太网接口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7.前面板带液晶显示屏和红外学习窗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8.前面板≥4个可编程按键</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网络中控系统逻辑处理内嵌软件</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1.配合控制主机硬件使用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2.接受系统中心服务平台软件管理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3.可视化系统定制编程</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0</wp:posOffset>
                      </wp:positionH>
                      <wp:positionV relativeFrom="paragraph">
                        <wp:posOffset>0</wp:posOffset>
                      </wp:positionV>
                      <wp:extent cx="1379855" cy="190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94;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51" o:title=""/>
                    </v:shape>
                  </w:pict>
                </mc:Fallback>
              </mc:AlternateContent>
            </w: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0</wp:posOffset>
                      </wp:positionH>
                      <wp:positionV relativeFrom="paragraph">
                        <wp:posOffset>0</wp:posOffset>
                      </wp:positionV>
                      <wp:extent cx="1021080" cy="254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95;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52" o:title=""/>
                    </v:shape>
                  </w:pict>
                </mc:Fallback>
              </mc:AlternateContent>
            </w:r>
            <w:r>
              <w:rPr>
                <w:rFonts w:hint="eastAsia" w:ascii="方正仿宋_GBK" w:hAnsi="方正仿宋_GBK" w:eastAsia="方正仿宋_GBK" w:cs="方正仿宋_GBK"/>
                <w:color w:val="000000"/>
                <w:sz w:val="20"/>
                <w:szCs w:val="20"/>
                <w:lang w:bidi="ar"/>
              </w:rPr>
              <w:t xml:space="preserve">无线触摸控制屏</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屏幕尺寸≥11.5英寸，分辨率≥2.5K，峰值亮度≥600nits，电池容量≥10000mAh，运行内存≥8G，存储容量≥128G</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可视化编程软件</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定制可视化编程软件</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0</wp:posOffset>
                      </wp:positionH>
                      <wp:positionV relativeFrom="paragraph">
                        <wp:posOffset>0</wp:posOffset>
                      </wp:positionV>
                      <wp:extent cx="1379855" cy="190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96;o:allowoverlap:true;o:allowincell:true;mso-position-horizontal-relative:text;margin-left:0.0pt;mso-position-horizontal:absolute;mso-position-vertical-relative:text;margin-top:0.0pt;mso-position-vertical:absolute;width:108.6pt;height:0.1pt;mso-wrap-distance-left:9.0pt;mso-wrap-distance-top:0.0pt;mso-wrap-distance-right:9.0pt;mso-wrap-distance-bottom:0.0pt;" stroked="f">
                      <v:path textboxrect="0,0,0,0"/>
                      <v:imagedata r:id="rId53" o:title=""/>
                    </v:shape>
                  </w:pict>
                </mc:Fallback>
              </mc:AlternateContent>
            </w: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0</wp:posOffset>
                      </wp:positionH>
                      <wp:positionV relativeFrom="paragraph">
                        <wp:posOffset>0</wp:posOffset>
                      </wp:positionV>
                      <wp:extent cx="1021080" cy="254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97;o:allowoverlap:true;o:allowincell:true;mso-position-horizontal-relative:text;margin-left:0.0pt;mso-position-horizontal:absolute;mso-position-vertical-relative:text;margin-top:0.0pt;mso-position-vertical:absolute;width:80.4pt;height:0.2pt;mso-wrap-distance-left:9.0pt;mso-wrap-distance-top:0.0pt;mso-wrap-distance-right:9.0pt;mso-wrap-distance-bottom:0.0pt;" stroked="f">
                      <v:path textboxrect="0,0,0,0"/>
                      <v:imagedata r:id="rId54" o:title=""/>
                    </v:shape>
                  </w:pict>
                </mc:Fallback>
              </mc:AlternateContent>
            </w:r>
            <w:r>
              <w:rPr>
                <w:rFonts w:hint="eastAsia" w:ascii="方正仿宋_GBK" w:hAnsi="方正仿宋_GBK" w:eastAsia="方正仿宋_GBK" w:cs="方正仿宋_GBK"/>
                <w:color w:val="000000"/>
                <w:sz w:val="20"/>
                <w:szCs w:val="20"/>
                <w:lang w:bidi="ar"/>
              </w:rPr>
              <w:t xml:space="preserve">无线路由器</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1、无线协议：WIFI6</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2、无线速率：7200M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3、支持外置天线、防火墙</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控制器</w:t>
            </w:r>
            <w:r>
              <w:rPr>
                <w:rFonts w:hint="eastAsia" w:ascii="方正仿宋_GBK" w:hAnsi="方正仿宋_GBK" w:eastAsia="方正仿宋_GBK" w:cs="方正仿宋_GBK"/>
                <w:color w:val="000000"/>
                <w:sz w:val="20"/>
                <w:szCs w:val="20"/>
              </w:rPr>
            </w:r>
            <w:r/>
          </w:p>
        </w:tc>
        <w:tc>
          <w:tcPr>
            <w:tcW w:w="5486"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1.支持通过RS232、RS485控制通道开关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2.支持通过网络TCP、UDP、HTTP、web控制通道开关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3.支持时序控制通道开启和关闭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4.支持每通道单独控制开启和关闭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5.支持锁定面板按键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6.支持通道与通道之间状态互锁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7.支持自定义设备名称和通道名称设备掉电，供电恢复后，端口状态自动恢复到断电前的状态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8.可对每个通道配置打开或关闭此功能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9.支持场景保存和调用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10.≥8路通道，每通道一个COM公共火线端，一个NC常闭端，一个NO常开端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11.单通道支持≥250V 15A</w:t>
            </w:r>
            <w:r>
              <w:rPr>
                <w:rFonts w:hint="eastAsia" w:ascii="方正仿宋_GBK" w:hAnsi="方正仿宋_GBK" w:eastAsia="方正仿宋_GBK" w:cs="方正仿宋_GBK"/>
                <w:color w:val="000000"/>
                <w:sz w:val="20"/>
                <w:szCs w:val="20"/>
              </w:rPr>
            </w:r>
            <w:r/>
          </w:p>
        </w:tc>
        <w:tc>
          <w:tcPr>
            <w:tcW w:w="45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4、会议设备专用线缆</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多媒体插座</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1、180度开启式地插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2、材质：铜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3、五孔插座，8芯手拉手，RJ45，HDMI</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1、600*600*2000mm，带PDU</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2、前钢化玻璃、后钣金</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音箱线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1、300芯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2、采用铝箔屏蔽或者PVC加银色线镀锡铜屏蔽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3、抗电磁干扰</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90</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1、128网双芯咪线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2、铝箔+裸铜编织屏蔽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3、PVC外被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4、线径OD6.0mm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70</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HDMI光纤高清线，长度20米</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HDMI光纤高清线，长度25米</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8芯手拉手会议话筒线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手拉手话筒线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1、插口芯数：8芯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2、线材外被：PVC外被</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3、接口材质：镀镍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4、线材规格：屏蔽线/26AWG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5、线材外径：6mm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6、线缆长度：20m</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RVV3*2.5</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300</w:t>
            </w:r>
            <w:r>
              <w:rPr>
                <w:rFonts w:hint="eastAsia" w:ascii="方正仿宋_GBK" w:hAnsi="方正仿宋_GBK" w:eastAsia="方正仿宋_GBK" w:cs="方正仿宋_GBK"/>
                <w:color w:val="000000"/>
                <w:sz w:val="20"/>
                <w:szCs w:val="20"/>
              </w:rPr>
            </w:r>
            <w:r/>
          </w:p>
        </w:tc>
      </w:tr>
      <w:tr>
        <w:trPr>
          <w:trHeight w:val="420"/>
        </w:trPr>
        <w:tc>
          <w:tcPr>
            <w:gridSpan w:val="4"/>
            <w:tcW w:w="8204"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699770</wp:posOffset>
                      </wp:positionH>
                      <wp:positionV relativeFrom="paragraph">
                        <wp:posOffset>0</wp:posOffset>
                      </wp:positionV>
                      <wp:extent cx="1379855" cy="190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379855"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98;o:allowoverlap:true;o:allowincell:true;mso-position-horizontal-relative:text;margin-left:55.1pt;mso-position-horizontal:absolute;mso-position-vertical-relative:text;margin-top:0.0pt;mso-position-vertical:absolute;width:108.6pt;height:0.1pt;mso-wrap-distance-left:9.0pt;mso-wrap-distance-top:0.0pt;mso-wrap-distance-right:9.0pt;mso-wrap-distance-bottom:0.0pt;" stroked="f">
                      <v:path textboxrect="0,0,0,0"/>
                      <v:imagedata r:id="rId55" o:title=""/>
                    </v:shape>
                  </w:pict>
                </mc:Fallback>
              </mc:AlternateContent>
            </w: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699770</wp:posOffset>
                      </wp:positionH>
                      <wp:positionV relativeFrom="paragraph">
                        <wp:posOffset>0</wp:posOffset>
                      </wp:positionV>
                      <wp:extent cx="1410970" cy="1905"/>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410970" cy="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99;o:allowoverlap:true;o:allowincell:true;mso-position-horizontal-relative:text;margin-left:55.1pt;mso-position-horizontal:absolute;mso-position-vertical-relative:text;margin-top:0.0pt;mso-position-vertical:absolute;width:111.1pt;height:0.1pt;mso-wrap-distance-left:9.0pt;mso-wrap-distance-top:0.0pt;mso-wrap-distance-right:9.0pt;mso-wrap-distance-bottom:0.0pt;" stroked="f">
                      <v:path textboxrect="0,0,0,0"/>
                      <v:imagedata r:id="rId56" o:title=""/>
                    </v:shape>
                  </w:pict>
                </mc:Fallback>
              </mc:AlternateContent>
            </w:r>
            <w:r>
              <w:rPr>
                <w:rFonts w:hint="eastAsia" w:ascii="方正仿宋_GBK" w:hAnsi="方正仿宋_GBK" w:eastAsia="方正仿宋_GBK" w:cs="方正仿宋_GBK"/>
                <w:b/>
                <w:bCs/>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699770</wp:posOffset>
                      </wp:positionH>
                      <wp:positionV relativeFrom="paragraph">
                        <wp:posOffset>0</wp:posOffset>
                      </wp:positionV>
                      <wp:extent cx="1021080" cy="254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021080"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300;o:allowoverlap:true;o:allowincell:true;mso-position-horizontal-relative:text;margin-left:55.1pt;mso-position-horizontal:absolute;mso-position-vertical-relative:text;margin-top:0.0pt;mso-position-vertical:absolute;width:80.4pt;height:0.2pt;mso-wrap-distance-left:9.0pt;mso-wrap-distance-top:0.0pt;mso-wrap-distance-right:9.0pt;mso-wrap-distance-bottom:0.0pt;" stroked="f">
                      <v:path textboxrect="0,0,0,0"/>
                      <v:imagedata r:id="rId57" o:title=""/>
                    </v:shape>
                  </w:pict>
                </mc:Fallback>
              </mc:AlternateContent>
            </w:r>
            <w:r>
              <w:rPr>
                <w:rFonts w:hint="eastAsia" w:ascii="方正仿宋_GBK" w:hAnsi="方正仿宋_GBK" w:eastAsia="方正仿宋_GBK" w:cs="方正仿宋_GBK"/>
                <w:b/>
                <w:bCs/>
                <w:color w:val="000000"/>
                <w:sz w:val="20"/>
                <w:szCs w:val="20"/>
                <w:lang w:bidi="ar"/>
              </w:rPr>
              <w:t xml:space="preserve">五、视频会议系统（二楼会议室）</w:t>
            </w:r>
            <w:r>
              <w:rPr>
                <w:rFonts w:hint="eastAsia" w:ascii="方正仿宋_GBK" w:hAnsi="方正仿宋_GBK" w:eastAsia="方正仿宋_GBK" w:cs="方正仿宋_GBK"/>
                <w:b/>
                <w:bCs/>
                <w:color w:val="000000"/>
                <w:sz w:val="20"/>
                <w:szCs w:val="20"/>
              </w:rPr>
            </w:r>
            <w:r/>
          </w:p>
        </w:tc>
        <w:tc>
          <w:tcPr>
            <w:tcW w:w="526"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88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视频会议终端</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1.采用硬件分体式结构，非PC架构、非工控机架构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2.终端采用嵌入式操作系统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3.终端核心芯片采用自研元器件，至少包括音视频编解码单元、CPU处理单元、视频输入输出芯片、音频输入输出芯片、可编程逻辑芯片、电源芯片、时钟芯片、专用安全芯片、内存存储芯片、闪存存储芯片等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4.支持ITU-T H.320、H.323和IETF SIP、RTC通信标准，会议速率支持128Kbps－8Mbps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8.支持1080p60、1080p30、720p60、720p30高清分辨率，并向下兼容4CIF、CIF标清分辨率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11.支持≥4路高清视频输入接口（至少含1个HDBaseT接口、2个HDMI输入口）、≥2路高清视频输出接口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12.支持标准的HDBaseT视频输入接口，支持视频、供电、控制三线合一，可通过网线作为传输介质，无需外接其他设备传输距离可达100米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13.支持≥6路音频输入接口，≥3路独立的音频输出接口</w:t>
            </w:r>
            <w:r>
              <w:rPr>
                <w:rFonts w:hint="eastAsia" w:ascii="方正仿宋_GBK" w:hAnsi="方正仿宋_GBK" w:eastAsia="方正仿宋_GBK" w:cs="方正仿宋_GBK"/>
                <w:color w:val="0000ff"/>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14.支持演讲者追踪，手动指定某区域，智能跟踪指定区域内的发言人，并居中显示</w:t>
            </w:r>
            <w:r>
              <w:rPr>
                <w:rFonts w:hint="eastAsia" w:ascii="方正仿宋_GBK" w:hAnsi="方正仿宋_GBK" w:eastAsia="方正仿宋_GBK" w:cs="方正仿宋_GBK"/>
                <w:color w:val="0000ff"/>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15.支持背景替换，通过人像检测技术，可将与会方与背景分离，可以虚化模糊背景或替换已有的背景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16.支持多人特写功能，支持把会议室中的与会方的人像裁剪出来拼接成一个多宫格画面，作为一路图像显示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17.支持多视功能，终端可将2路本地视频输入图像合成1路视频，在本地显示或发送到远端，画面合成风格可设置</w:t>
            </w:r>
            <w:r>
              <w:rPr>
                <w:rFonts w:hint="eastAsia" w:ascii="方正仿宋_GBK" w:hAnsi="方正仿宋_GBK" w:eastAsia="方正仿宋_GBK" w:cs="方正仿宋_GBK"/>
                <w:color w:val="0000ff"/>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18.终端支持设置横幅，支持文字或图片横幅，支持设置横幅位置，支持配置横幅时进行可视化预览，支持设置滚动速度和滚动方式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19.终端具备信息窗功能，支持首页显示信息窗，实现多幅画面进行循环播放，画面内容可自定义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20.终端支持国家密码局认定的国产密码算法，保证信息安全自主可控。支持SM4等国密加密算法</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视频会议高清摄像机</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1.摄像机需与视频终端同一品牌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2.支持壁装、三脚架安装或吊顶安装等多种安装方式，可按用户需求进行安装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3.图像传感器采用≥1/2.8"CMOS 图像传感器，支持1080p60、1080p50、1080p30、1080p25、720p60、720p50等高清信号输出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4.支持不小于12倍光学变倍，支持不小于16倍数字变焦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5.支持广角镜头，水平视角不小于80°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6.视频输出接口具备HDBaseT、HDMI、USB接口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7.支持一根网线实现供电、图像显示、摄像机控制多线合一，支持通过一根网线实现信号传输100米长距离传输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8.支持RS422控制接口，支持标准VISCA和PELCO协议，支持摄像机通过控制口实现菊花链控制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9.支持网口VISCA控制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10.水平转动范围≥±170°，垂直转动范围≥-30°～30°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11.支持自带显示屏，可方便显示视频输出分辨率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12.支持保存≥255个预置位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13.支持图像防抖功能，可实现图像防抖</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14.支持HDR高动态功能，支持图像抗闪烁功能</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视频会议电视墙</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1.采用19英寸标准机架式结构，嵌入式、模块化设计，可根据业务所需配置相应的解码模块，实现高密度视频解码输出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2.支持双电源、双网口冗余备份，支持设备长时间稳定运行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3.支持远程网络连接MCU方式实现电视墙解码输出，即MCU和电视墙解码器之间距离不受限制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4.支持H.264 BP、H.264 HP、H.265视频解码协议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5.支持G.711、G.722、G.728、G.722.1AnnexC、G.719、MPEG4-AAC LC/LD等音频协议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6.支持4K30fps、1080p60、1080p30、720p60、720p30高清图像格式，并向下兼容4CIF、CIF标清图像格式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7.单台电视墙解码器支持8个解码卡插槽，最大支持16路高清图像输出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8.电视墙解码卡支持HDBaseT/HDMI等多种视频接口可选。本次要求配置2路1080p60fps高清输出，视频输出接口为HDMI</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9.支持在MCU中进行电视墙集群化管理、 支持解码板卡向资源池进行注册并统一管理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10.支持电视墙通道画面合成，可以在无需占用MCU画面合成资源情况下支持4路高清图像合成输出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11.支持虚拟电视墙， 按照用户拼接大屏实际拼接模式进行设置， 保存多个电视墙预案， 同时可以针对电视墙通道设置自主多画面，可设置≥25种多画面风格，扩展电视墙画面显示的路数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12.支持电视墙通道叠加台标， 输出图像的同时， 在图像上叠加台标，用于标识输出图像的内容</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92"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637"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视频超高清解码单元</w:t>
            </w:r>
            <w:r>
              <w:rPr>
                <w:rFonts w:hint="eastAsia" w:ascii="方正仿宋_GBK" w:hAnsi="方正仿宋_GBK" w:eastAsia="方正仿宋_GBK" w:cs="方正仿宋_GBK"/>
                <w:color w:val="000000"/>
                <w:sz w:val="20"/>
                <w:szCs w:val="20"/>
              </w:rPr>
            </w:r>
            <w:r/>
          </w:p>
        </w:tc>
        <w:tc>
          <w:tcPr>
            <w:tcW w:w="299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超清解码单元，2路高清视频解码输出，2路音频输出，2个HDMI接口</w:t>
            </w:r>
            <w:r>
              <w:rPr>
                <w:rFonts w:hint="eastAsia" w:ascii="方正仿宋_GBK" w:hAnsi="方正仿宋_GBK" w:eastAsia="方正仿宋_GBK" w:cs="方正仿宋_GBK"/>
                <w:color w:val="000000"/>
                <w:sz w:val="20"/>
                <w:szCs w:val="20"/>
              </w:rPr>
            </w:r>
            <w:r/>
          </w:p>
        </w:tc>
        <w:tc>
          <w:tcPr>
            <w:tcW w:w="45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块</w:t>
            </w:r>
            <w:r>
              <w:rPr>
                <w:rFonts w:hint="eastAsia" w:ascii="方正仿宋_GBK" w:hAnsi="方正仿宋_GBK" w:eastAsia="方正仿宋_GBK" w:cs="方正仿宋_GBK"/>
                <w:color w:val="000000"/>
                <w:sz w:val="20"/>
                <w:szCs w:val="20"/>
              </w:rPr>
            </w:r>
            <w:r/>
          </w:p>
        </w:tc>
        <w:tc>
          <w:tcPr>
            <w:tcW w:w="5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bl>
    <w:p>
      <w:pPr>
        <w:pStyle w:val="931"/>
        <w:rPr>
          <w:rFonts w:hint="eastAsia"/>
        </w:rPr>
      </w:pPr>
      <w:r>
        <w:rPr>
          <w:rFonts w:hint="eastAsia"/>
        </w:rPr>
      </w:r>
      <w:r/>
    </w:p>
    <w:p>
      <w:pPr>
        <w:pStyle w:val="933"/>
        <w:rPr>
          <w:rFonts w:hint="eastAsia"/>
        </w:rPr>
      </w:pPr>
      <w:r/>
      <w:bookmarkStart w:id="200" w:name="_Toc25974"/>
      <w:r>
        <w:rPr>
          <w:rFonts w:hint="eastAsia"/>
        </w:rPr>
        <w:t xml:space="preserve">信息发布</w:t>
      </w:r>
      <w:bookmarkEnd w:id="200"/>
      <w:r>
        <w:rPr>
          <w:rFonts w:hint="eastAsia"/>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2077"/>
        <w:gridCol w:w="4487"/>
        <w:gridCol w:w="667"/>
        <w:gridCol w:w="1235"/>
      </w:tblGrid>
      <w:tr>
        <w:trPr>
          <w:trHeight w:val="420"/>
        </w:trPr>
        <w:tc>
          <w:tcPr>
            <w:tcW w:w="380"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W w:w="1133"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W w:w="2448"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W w:w="364"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W w:w="674"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420"/>
        </w:trPr>
        <w:tc>
          <w:tcPr>
            <w:gridSpan w:val="4"/>
            <w:tcW w:w="7928"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一、一层展示显示系统（知识产权司法保护中心服务大厅）</w:t>
            </w:r>
            <w:r>
              <w:rPr>
                <w:rFonts w:hint="eastAsia" w:ascii="方正仿宋_GBK" w:hAnsi="方正仿宋_GBK" w:eastAsia="方正仿宋_GBK" w:cs="方正仿宋_GBK"/>
                <w:b/>
                <w:bCs/>
                <w:color w:val="000000"/>
                <w:sz w:val="20"/>
                <w:szCs w:val="20"/>
              </w:rPr>
            </w:r>
            <w:r/>
          </w:p>
        </w:tc>
        <w:tc>
          <w:tcPr>
            <w:tcW w:w="674"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8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113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w:t>
            </w:r>
            <w:r>
              <w:rPr>
                <w:rFonts w:hint="eastAsia" w:ascii="方正仿宋_GBK" w:hAnsi="方正仿宋_GBK" w:eastAsia="方正仿宋_GBK" w:cs="方正仿宋_GBK"/>
                <w:color w:val="000000"/>
                <w:sz w:val="20"/>
                <w:szCs w:val="20"/>
              </w:rPr>
            </w:r>
            <w:r/>
          </w:p>
        </w:tc>
        <w:tc>
          <w:tcPr>
            <w:tcW w:w="2448" w:type="dxa"/>
            <w:vAlign w:val="center"/>
            <w:textDirection w:val="lrTb"/>
            <w:noWrap w:val="false"/>
          </w:tcPr>
          <w:p>
            <w:pPr>
              <w:pStyle w:val="931"/>
              <w:numPr>
                <w:ilvl w:val="0"/>
                <w:numId w:val="16"/>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屏幕尺寸≥100寸，分辨率≥4K，MiniLED</w:t>
            </w:r>
            <w:r>
              <w:rPr>
                <w:rFonts w:hint="eastAsia" w:ascii="方正仿宋_GBK" w:hAnsi="方正仿宋_GBK" w:eastAsia="方正仿宋_GBK" w:cs="方正仿宋_GBK"/>
                <w:color w:val="000000"/>
                <w:sz w:val="20"/>
                <w:szCs w:val="20"/>
                <w:lang w:bidi="ar"/>
              </w:rPr>
            </w:r>
            <w:r/>
          </w:p>
          <w:p>
            <w:pPr>
              <w:pStyle w:val="931"/>
              <w:numPr>
                <w:ilvl w:val="0"/>
                <w:numId w:val="16"/>
              </w:numPr>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运行内存≥4G，存储空间≥64G</w:t>
            </w:r>
            <w:r>
              <w:rPr>
                <w:rFonts w:hint="eastAsia" w:ascii="方正仿宋_GBK" w:hAnsi="方正仿宋_GBK" w:eastAsia="方正仿宋_GBK" w:cs="方正仿宋_GBK"/>
                <w:color w:val="000000"/>
                <w:sz w:val="20"/>
                <w:szCs w:val="20"/>
              </w:rPr>
            </w:r>
            <w:r/>
          </w:p>
          <w:p>
            <w:pPr>
              <w:pStyle w:val="931"/>
              <w:numPr>
                <w:ilvl w:val="0"/>
                <w:numId w:val="16"/>
              </w:numPr>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亮度≥600尼特</w:t>
            </w:r>
            <w:r>
              <w:rPr>
                <w:rFonts w:hint="eastAsia" w:ascii="方正仿宋_GBK" w:hAnsi="方正仿宋_GBK" w:eastAsia="方正仿宋_GBK" w:cs="方正仿宋_GBK"/>
                <w:color w:val="000000"/>
                <w:sz w:val="20"/>
                <w:szCs w:val="20"/>
              </w:rPr>
            </w:r>
            <w:r/>
          </w:p>
          <w:p>
            <w:pPr>
              <w:pStyle w:val="931"/>
              <w:numPr>
                <w:ilvl w:val="0"/>
                <w:numId w:val="16"/>
              </w:numPr>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含支架</w:t>
            </w:r>
            <w:r>
              <w:rPr>
                <w:rFonts w:hint="eastAsia" w:ascii="方正仿宋_GBK" w:hAnsi="方正仿宋_GBK" w:eastAsia="方正仿宋_GBK" w:cs="方正仿宋_GBK"/>
                <w:color w:val="000000"/>
                <w:sz w:val="20"/>
                <w:szCs w:val="20"/>
              </w:rPr>
            </w:r>
            <w:r/>
          </w:p>
        </w:tc>
        <w:tc>
          <w:tcPr>
            <w:tcW w:w="364"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67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W w:w="38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113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电视机信息发布盒</w:t>
            </w:r>
            <w:r>
              <w:rPr>
                <w:rFonts w:hint="eastAsia" w:ascii="方正仿宋_GBK" w:hAnsi="方正仿宋_GBK" w:eastAsia="方正仿宋_GBK" w:cs="方正仿宋_GBK"/>
                <w:color w:val="000000"/>
                <w:sz w:val="20"/>
                <w:szCs w:val="20"/>
              </w:rPr>
            </w:r>
            <w:r/>
          </w:p>
        </w:tc>
        <w:tc>
          <w:tcPr>
            <w:tcW w:w="244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1、支持图片、视频、文档、流媒体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2、AV接口 HDMI 2.1 DP1.4</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3、4K分辨率输出</w:t>
            </w:r>
            <w:r>
              <w:rPr>
                <w:rFonts w:hint="eastAsia" w:ascii="方正仿宋_GBK" w:hAnsi="方正仿宋_GBK" w:eastAsia="方正仿宋_GBK" w:cs="方正仿宋_GBK"/>
                <w:color w:val="000000"/>
                <w:sz w:val="20"/>
                <w:szCs w:val="20"/>
              </w:rPr>
            </w:r>
            <w:r/>
          </w:p>
        </w:tc>
        <w:tc>
          <w:tcPr>
            <w:tcW w:w="364"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67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gridSpan w:val="4"/>
            <w:tcW w:w="7928"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二、一层企业全周期司法服务中心</w:t>
            </w:r>
            <w:r>
              <w:rPr>
                <w:rFonts w:hint="eastAsia" w:ascii="方正仿宋_GBK" w:hAnsi="方正仿宋_GBK" w:eastAsia="方正仿宋_GBK" w:cs="方正仿宋_GBK"/>
                <w:b/>
                <w:bCs/>
                <w:color w:val="000000"/>
                <w:sz w:val="20"/>
                <w:szCs w:val="20"/>
              </w:rPr>
            </w:r>
            <w:r/>
          </w:p>
        </w:tc>
        <w:tc>
          <w:tcPr>
            <w:tcW w:w="674"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8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113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信息发布管理服务器软件</w:t>
            </w:r>
            <w:r>
              <w:rPr>
                <w:rFonts w:hint="eastAsia" w:ascii="方正仿宋_GBK" w:hAnsi="方正仿宋_GBK" w:eastAsia="方正仿宋_GBK" w:cs="方正仿宋_GBK"/>
                <w:color w:val="000000"/>
                <w:sz w:val="20"/>
                <w:szCs w:val="20"/>
              </w:rPr>
            </w:r>
            <w:r/>
          </w:p>
        </w:tc>
        <w:tc>
          <w:tcPr>
            <w:tcW w:w="2448" w:type="dxa"/>
            <w:vAlign w:val="center"/>
            <w:textDirection w:val="lrTb"/>
            <w:noWrap w:val="false"/>
          </w:tcPr>
          <w:p>
            <w:pPr>
              <w:pStyle w:val="931"/>
              <w:numPr>
                <w:ilvl w:val="0"/>
                <w:numId w:val="17"/>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资源管理：实现发布系统发布各种媒体格式文件的传输，对媒体资源实现统一存储、共享使用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节目资源：视频、音乐、图片、文字、PPT、Word、Excel等Office文档以及PDF资源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 节目接口：支持外部接口资源，如天气、股票、世界时间、汇率、网站等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 节目类型：实现常规、轮播、插播节目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 终端管理：支持终端运行监控主要是监控终端的运行状态的监控，可以看到终端是否在线，当前播放的节目清单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 终端分组：把网络上所有的终端根据管理模式的需要按区域或者级别分成多个组，以组的方式实现对终端的管理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 远程升级：实现终端软件的远程更新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 节目模板：模板的制作只需要规划节目的内容布局，不需要选择具体播放资源，使节目的风格、样式、布局更加统一，更加规范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 模板节目制作：可快速根据模板的控件要求进行节目制作，制作时选择播放的媒体素材即可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 新建节目制作：通过鼠标拖拽左侧工具栏的媒体控件实现节目制作，布局灵活、内容丰富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 系统管理对使用系统的公司部门、角色权限、用户进行管理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 节目审批：可对制作好的节目，统一审批管理，不符合要求的节目，在审批不通过时，可自由添加提示或建议，确保节目内容符合要求，内容不涉及违规信息等</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13.适配统信、银河麒麟等主流操作系统</w:t>
            </w:r>
            <w:r>
              <w:rPr>
                <w:rFonts w:hint="eastAsia" w:ascii="方正仿宋_GBK" w:hAnsi="方正仿宋_GBK" w:eastAsia="方正仿宋_GBK" w:cs="方正仿宋_GBK"/>
                <w:color w:val="000000"/>
                <w:sz w:val="20"/>
                <w:szCs w:val="20"/>
                <w:lang w:bidi="ar"/>
              </w:rPr>
            </w:r>
            <w:r/>
          </w:p>
        </w:tc>
        <w:tc>
          <w:tcPr>
            <w:tcW w:w="364"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67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720"/>
        </w:trPr>
        <w:tc>
          <w:tcPr>
            <w:tcW w:w="38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113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壁挂信息发布屏</w:t>
            </w:r>
            <w:r>
              <w:rPr>
                <w:rFonts w:hint="eastAsia" w:ascii="方正仿宋_GBK" w:hAnsi="方正仿宋_GBK" w:eastAsia="方正仿宋_GBK" w:cs="方正仿宋_GBK"/>
                <w:color w:val="000000"/>
                <w:sz w:val="20"/>
                <w:szCs w:val="20"/>
              </w:rPr>
            </w:r>
            <w:r/>
          </w:p>
        </w:tc>
        <w:tc>
          <w:tcPr>
            <w:tcW w:w="244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1.屏幕尺寸≥15.6、屏幕比例 16：9、物理分辨率最大支持1920*1080、屏幕亮度≥250cd/㎡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2.触摸参数：投射式电容触摸技术、触摸点数：10点，响应时间≤3ms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3.控制系统：内置专用显控主板，CPU≥四核64位，频率≥1.8GHz，内存≥DDR4-2G，存储≥EMMC-16G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4.外置接口：USB*1、RJ45*1网卡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5.功能模块：前置200W高清摄像头、门锁控制模块</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6.散热方式：无风扇整体机身散热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7.安装方式：86底盒壁挂安装，标配壁挂安装支架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8.POE供电</w:t>
            </w:r>
            <w:r>
              <w:rPr>
                <w:rFonts w:hint="eastAsia" w:ascii="方正仿宋_GBK" w:hAnsi="方正仿宋_GBK" w:eastAsia="方正仿宋_GBK" w:cs="方正仿宋_GBK"/>
                <w:color w:val="000000"/>
                <w:sz w:val="20"/>
                <w:szCs w:val="20"/>
              </w:rPr>
            </w:r>
            <w:r/>
          </w:p>
        </w:tc>
        <w:tc>
          <w:tcPr>
            <w:tcW w:w="364"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67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20"/>
        </w:trPr>
        <w:tc>
          <w:tcPr>
            <w:gridSpan w:val="4"/>
            <w:tcW w:w="7928"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三、一层业务自助办理台</w:t>
            </w:r>
            <w:r>
              <w:rPr>
                <w:rFonts w:hint="eastAsia" w:ascii="方正仿宋_GBK" w:hAnsi="方正仿宋_GBK" w:eastAsia="方正仿宋_GBK" w:cs="方正仿宋_GBK"/>
                <w:b/>
                <w:bCs/>
                <w:color w:val="000000"/>
                <w:sz w:val="20"/>
                <w:szCs w:val="20"/>
              </w:rPr>
            </w:r>
            <w:r/>
          </w:p>
        </w:tc>
        <w:tc>
          <w:tcPr>
            <w:tcW w:w="674"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W w:w="38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113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壁挂触摸一体机</w:t>
            </w:r>
            <w:r>
              <w:rPr>
                <w:rFonts w:hint="eastAsia" w:ascii="方正仿宋_GBK" w:hAnsi="方正仿宋_GBK" w:eastAsia="方正仿宋_GBK" w:cs="方正仿宋_GBK"/>
                <w:color w:val="000000"/>
                <w:sz w:val="20"/>
                <w:szCs w:val="20"/>
              </w:rPr>
            </w:r>
            <w:r/>
          </w:p>
        </w:tc>
        <w:tc>
          <w:tcPr>
            <w:tcW w:w="2448"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1、C86架构，≥8核16线程，运行内存≥8G，存储≥256G SSD，独立显卡≥4G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2、≥43寸，分辨率≥1920*1080P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3、USB*2+网口</w:t>
            </w:r>
            <w:r>
              <w:rPr>
                <w:rFonts w:hint="eastAsia" w:ascii="方正仿宋_GBK" w:hAnsi="方正仿宋_GBK" w:eastAsia="方正仿宋_GBK" w:cs="方正仿宋_GBK"/>
                <w:color w:val="000000"/>
                <w:sz w:val="20"/>
                <w:szCs w:val="20"/>
              </w:rPr>
            </w:r>
            <w:r/>
          </w:p>
        </w:tc>
        <w:tc>
          <w:tcPr>
            <w:tcW w:w="364"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674"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bl>
    <w:p>
      <w:pPr>
        <w:pStyle w:val="931"/>
        <w:rPr>
          <w:rFonts w:hint="eastAsia"/>
        </w:rPr>
      </w:pPr>
      <w:r>
        <w:rPr>
          <w:rFonts w:hint="eastAsia"/>
        </w:rPr>
      </w:r>
      <w:r/>
    </w:p>
    <w:p>
      <w:pPr>
        <w:pStyle w:val="933"/>
        <w:rPr>
          <w:rFonts w:hint="eastAsia"/>
        </w:rPr>
      </w:pPr>
      <w:r/>
      <w:bookmarkStart w:id="201" w:name="_Toc2905"/>
      <w:r>
        <w:rPr>
          <w:rFonts w:hint="eastAsia"/>
        </w:rPr>
        <w:t xml:space="preserve">出入口安检</w:t>
      </w:r>
      <w:bookmarkEnd w:id="201"/>
      <w:r>
        <w:rPr>
          <w:rFonts w:hint="eastAsia"/>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910"/>
        <w:gridCol w:w="4820"/>
        <w:gridCol w:w="781"/>
        <w:gridCol w:w="871"/>
      </w:tblGrid>
      <w:tr>
        <w:trPr>
          <w:trHeight w:val="464"/>
        </w:trPr>
        <w:tc>
          <w:tcPr>
            <w:tcW w:w="426"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W w:w="1042"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W w:w="2630"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W w:w="425"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W w:w="475"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464"/>
        </w:trPr>
        <w:tc>
          <w:tcPr>
            <w:gridSpan w:val="4"/>
            <w:tcW w:w="8291"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一、访客通道</w:t>
            </w:r>
            <w:r>
              <w:rPr>
                <w:rFonts w:hint="eastAsia" w:ascii="方正仿宋_GBK" w:hAnsi="方正仿宋_GBK" w:eastAsia="方正仿宋_GBK" w:cs="方正仿宋_GBK"/>
                <w:b/>
                <w:bCs/>
                <w:color w:val="000000"/>
                <w:sz w:val="20"/>
                <w:szCs w:val="20"/>
              </w:rPr>
            </w:r>
            <w:r/>
          </w:p>
        </w:tc>
        <w:tc>
          <w:tcPr>
            <w:tcW w:w="475"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智能X射线检查系统</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1、传送带高度：670mm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2、电源：220VAC(-15%~±10%)  50±3Hz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3、功耗：＜0.5kvA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4、工作温度/湿度：0℃~45℃；10%至90%（在不凝结水滴状态下）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5、设备由 X 射线源、X 射线探测器、控制部件、传送带、计算机等组成，采用双源多能量X射线检查技术，能够准确识别有机物（橙色显示）、无机物（蓝色显示）和混合物（绿色显示）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6、线分辨力：底视角Φ0.127mm和侧视角Φ0.127mm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7、穿透分辨力：底视角Φ0.254mm和侧视角Φ0.254mm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8、空间分辨力：设备在0.2m/s速度下正常工作时，能够分辨最小线对直径1mm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9、图像存储功能：设备应具有图像实时存储功能，并能支持扩展，保存图像应包含图像生成时间、操作员ID、设备ID、疑似危险品名称等信息，并可将疑似危险品报警信息同X光机过包图像同步保存</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10、语音播报和报警功能：当检测到违禁品、难穿透物品或可疑有机物时，设备应能通过外接音箱进行语音播报提示，设备外置报警灯应持续闪烁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11、设备内置智能识别算法，实现对违禁品的智能识别功能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12、同屏显示功能：设备通道出入口的摄像头拍摄的图像与过包X射线图像可以同屏显示，并支持一键切换至全屏X射线过包画面。X射线过包图像应支持以黑白/彩色形式同屏对照显示，并可支持分屏显示</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智能金属探测门</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1、应符合《GB 15210-2018 通过式金属探测门通用技术规范》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2、安检门应具有金属检测功能、抓拍等功能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3、门体显示：采用≥7寸液晶屏，用于客流和报警数据的展示，以及金属探测参数的设置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4、多区位报警功能：人体不同位置的多个金属通过安检门时会同时报警，并可以指示多个金属的位置，最多支持33区位。每个区域255级灵敏度等级调节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5、通行速度：≥0.2m/s～2.0m/s。当人在规定的通行速度范围内穿过时，应报警测试物正确响应并报警，总探测率应≥90%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6、报警响应时间：进入探测区后1s，金属门应能发出报警提示，且离开探测区后报警指示延续应小于等于1s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7、探测区内磁感应强度：在探测区左右边界各方内150mm形成的区域中，任意一点的磁感应强度都不应超过4.5μT</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8、探测灵敏度范围：可一键设置灵敏度，灵敏度等级为0-9999级</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手持金属探测器</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1、灵敏度高，能探测一枚大头针大小金属物品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2、探测面大、从上到下一次探测完毕</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3、具有三个指示灯显示，支持电量检测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4、有声光和振动报警双重提示方式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5、具有高低灵敏度调节按钮</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鞋底金属探测仪</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1、灵敏度等级：255级灵敏度范围左右脚单独可调，在无环境干扰情况下最高灵敏度可探测到一枚回形针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2、报警显示灯：左右两边各12个LED灯报警显示；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3、面板显示：采用≥2.8寸TFT彩色液晶屏显示， 显示报警次数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4、具有低电量提醒功能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5、语音提醒：具有≥5种报警音频及16级音量大小设置</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gridSpan w:val="4"/>
            <w:tcW w:w="8291"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二、门厅到服务大厅闸机</w:t>
            </w:r>
            <w:r>
              <w:rPr>
                <w:rFonts w:hint="eastAsia" w:ascii="方正仿宋_GBK" w:hAnsi="方正仿宋_GBK" w:eastAsia="方正仿宋_GBK" w:cs="方正仿宋_GBK"/>
                <w:b/>
                <w:bCs/>
                <w:color w:val="000000"/>
                <w:sz w:val="20"/>
                <w:szCs w:val="20"/>
              </w:rPr>
            </w:r>
            <w:r/>
          </w:p>
        </w:tc>
        <w:tc>
          <w:tcPr>
            <w:tcW w:w="475"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人行闸机（2通道）</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1、闸机通道应为摆闸箱体，采用直流无刷伺服电机，霍尔传感器及平行轴减速箱</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2、外壳采用不锈钢，箱体尺寸：长≥1200mm，宽≥170mm，高≥1000mm，门翼应支持选用不锈钢或亚克力材质，通道宽度尺寸应支持550mm~950mm配置，闸机通道采用厚度≥1.0mm的不锈钢板材；设备应采用不少于4对红外对射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3、闸机通道物理接口应满足：开门按钮接口2个，消防输入接口1个，报警输出接口2个，TCP/IP接口1个，RS-485通讯接口2个，对于RS-485接口，每个接口最多可接入读卡器4个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闸机设备应支持ID卡、M1卡、CPU卡、NFC等读卡器识读设备、二维码扫描仪、面部识别组件、身份证阅读器等设备集成，实现多种认证方式组合应用。应具中心远程开门、遥控器开门、支持手机开门、支持居民身份证开门、支持二维码/条码开门、支持面部识别开门、支持普通卡、来宾卡、巡更卡、黑名单卡等多种类型用户权限设置，闸机应有一个双向人脸刷卡装置和1个单向人脸刷卡装置和刷码装置，闸机应配置1个遥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5、闸机应具备防水浸功能，支持在底部积水情况下正常运行，最大水浸高度≥700mm（以产品底部为基准）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6、闸机通道功能应满足单通道反潜回、多通道跨主机反潜回的功能，当检测到任意一种反潜回报警时，除了联动语音播报、指示灯、IO信号联动输出等报警提示外，需同时上传对应的报警事件</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gridSpan w:val="4"/>
            <w:tcW w:w="8291"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三、门厅入口闸机</w:t>
            </w:r>
            <w:r>
              <w:rPr>
                <w:rFonts w:hint="eastAsia" w:ascii="方正仿宋_GBK" w:hAnsi="方正仿宋_GBK" w:eastAsia="方正仿宋_GBK" w:cs="方正仿宋_GBK"/>
                <w:b/>
                <w:bCs/>
                <w:color w:val="000000"/>
                <w:sz w:val="20"/>
                <w:szCs w:val="20"/>
              </w:rPr>
            </w:r>
            <w:r/>
          </w:p>
        </w:tc>
        <w:tc>
          <w:tcPr>
            <w:tcW w:w="475"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人行闸机（2通道）</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1、闸机通道应为摆闸箱体，采用直流无刷伺服电机，霍尔传感器及平行轴减速箱</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2、外壳采用不锈钢，箱体尺寸：长≥1200mm，宽≥170mm，高≥1000mm，门翼应支持选用不锈钢或亚克力材质，通道宽度尺寸应支持550mm~950mm配置，闸机通道采用厚度≥1.0mm的不锈钢板材；设备应采用不少于4对红外对射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3、闸机通道物理接口应满足：开门按钮接口2个，消防输入接口1个，报警输出接口2个，TCP/IP接口1个，RS-485通讯接口2个，对于RS-485接口，每个接口最多可接入读卡器4个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闸机设备应支持ID卡、M1卡、CPU卡、NFC等读卡器识读设备、二维码扫描仪、面部识别组件、身份证阅读器等设备集成，实现多种认证方式组合应用。应具中心远程开门、遥控器开门、支持手机开门、支持居民身份证开门、支持二维码/条码开门、支持面部识别开门、支持普通卡、来宾卡、巡更卡、黑名单卡等多种类型用户权限设置，闸机应有一个双向人脸刷卡装置和1个单向人脸刷卡装置和刷码装置，闸机应配置1个遥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5、闸机应具备防水浸功能，支持在底部积水情况下正常运行，最大水浸高度≥700mm（以产品底部为基准）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6、闸机通道功能应满足单通道反潜回、多通道跨主机反潜回的功能，当检测到任意一种反潜回报警时，除了联动语音播报、指示灯、IO信号联动输出等报警提示外，需同时上传对应的报警事件</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律师一码通扫码头</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支持律师二维码识别模块</w:t>
            </w:r>
            <w:r>
              <w:rPr>
                <w:rFonts w:hint="eastAsia" w:ascii="方正仿宋_GBK" w:hAnsi="方正仿宋_GBK" w:eastAsia="方正仿宋_GBK" w:cs="方正仿宋_GBK"/>
                <w:color w:val="000000"/>
                <w:sz w:val="20"/>
                <w:szCs w:val="20"/>
              </w:rPr>
            </w:r>
            <w:r/>
          </w:p>
        </w:tc>
        <w:tc>
          <w:tcPr>
            <w:tcW w:w="42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律师一码通</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1、支持和最高法全国法院办案办公平台标准接口的对接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2、支持法院门禁闸机扫描律师二维码并实时调用"律师一码通"接口进行身份信息核验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3、支持闸机根据平台验证结果自动控制通行，实现律师快速无感进出法院</w:t>
            </w:r>
            <w:r>
              <w:rPr>
                <w:rFonts w:hint="eastAsia" w:ascii="方正仿宋_GBK" w:hAnsi="方正仿宋_GBK" w:eastAsia="方正仿宋_GBK" w:cs="方正仿宋_GBK"/>
                <w:color w:val="000000"/>
                <w:sz w:val="20"/>
                <w:szCs w:val="20"/>
              </w:rPr>
            </w:r>
            <w:r/>
          </w:p>
        </w:tc>
        <w:tc>
          <w:tcPr>
            <w:tcW w:w="42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gridSpan w:val="4"/>
            <w:tcW w:w="8291"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四、智能储物柜</w:t>
            </w:r>
            <w:r>
              <w:rPr>
                <w:rFonts w:hint="eastAsia" w:ascii="方正仿宋_GBK" w:hAnsi="方正仿宋_GBK" w:eastAsia="方正仿宋_GBK" w:cs="方正仿宋_GBK"/>
                <w:b/>
                <w:bCs/>
                <w:color w:val="000000"/>
                <w:sz w:val="20"/>
                <w:szCs w:val="20"/>
              </w:rPr>
            </w:r>
            <w:r/>
          </w:p>
        </w:tc>
        <w:tc>
          <w:tcPr>
            <w:tcW w:w="475"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智能储物柜（存包柜）</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1、规格：24门存包柜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2、外部尺寸≥1700*460*1800mm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3、厚度含喷塑≥0.8mm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4、识别方式：人脸+密码识别</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4"/>
        </w:trPr>
        <w:tc>
          <w:tcPr>
            <w:tcW w:w="426"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W w:w="104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智能储物柜（手机存放柜）</w:t>
            </w:r>
            <w:r>
              <w:rPr>
                <w:rFonts w:hint="eastAsia" w:ascii="方正仿宋_GBK" w:hAnsi="方正仿宋_GBK" w:eastAsia="方正仿宋_GBK" w:cs="方正仿宋_GBK"/>
                <w:color w:val="000000"/>
                <w:sz w:val="20"/>
                <w:szCs w:val="20"/>
              </w:rPr>
            </w:r>
            <w:r/>
          </w:p>
        </w:tc>
        <w:tc>
          <w:tcPr>
            <w:tcW w:w="2630"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1、规格：50门手机存放柜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2、外部尺寸≥1260*300*1800mm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3、厚度含喷塑≥0.8mm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4、识别方式：人脸+密码识别</w:t>
            </w:r>
            <w:r>
              <w:rPr>
                <w:rFonts w:hint="eastAsia" w:ascii="方正仿宋_GBK" w:hAnsi="方正仿宋_GBK" w:eastAsia="方正仿宋_GBK" w:cs="方正仿宋_GBK"/>
                <w:color w:val="000000"/>
                <w:sz w:val="20"/>
                <w:szCs w:val="20"/>
              </w:rPr>
            </w:r>
            <w:r/>
          </w:p>
        </w:tc>
        <w:tc>
          <w:tcPr>
            <w:tcW w:w="42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W w:w="47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bl>
    <w:p>
      <w:pPr>
        <w:pStyle w:val="931"/>
        <w:rPr>
          <w:rFonts w:hint="eastAsia"/>
        </w:rPr>
      </w:pPr>
      <w:r>
        <w:rPr>
          <w:rFonts w:hint="eastAsia"/>
        </w:rPr>
      </w:r>
      <w:r/>
    </w:p>
    <w:p>
      <w:pPr>
        <w:pStyle w:val="933"/>
        <w:rPr>
          <w:rFonts w:hint="eastAsia"/>
        </w:rPr>
      </w:pPr>
      <w:r/>
      <w:bookmarkStart w:id="202" w:name="_Toc20041"/>
      <w:r>
        <w:rPr>
          <w:rFonts w:hint="eastAsia"/>
        </w:rPr>
        <w:t xml:space="preserve">数字法庭</w:t>
      </w:r>
      <w:bookmarkEnd w:id="202"/>
      <w:r>
        <w:rPr>
          <w:rFonts w:hint="eastAsia"/>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618"/>
        <w:gridCol w:w="1304"/>
        <w:gridCol w:w="5867"/>
        <w:gridCol w:w="680"/>
        <w:gridCol w:w="693"/>
      </w:tblGrid>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一、庭审系统（为“两个中心”法庭提供画面融合能力）</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画面融合服务器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numPr>
                <w:ilvl w:val="0"/>
                <w:numId w:val="18"/>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硬件参数：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1、CPU：核心数≥48核*2，主频≥2.6GHz，ARM构架CPU，制程≤7纳米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2、内存≥ 256GB DDR4</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3、硬盘≥480 SATA SSD*2</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4、RAID：RAID标卡-PCIE 4.0 X8，缓存容量≥4GB，支持RAID 0,1,5,6,10,50,60等模式，支持超级电容和边带管理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5、网卡：4*10/100/1000自适应网卡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6、企业级数据盘4块，单块≥10T</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二、画面融合应用：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1、动态应用组庭：支持动态混合模式开庭，远程席位的动态选择，满足线上线下融合开庭需求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2、音视频独立采编：支持庭审本地庭室中各采集点与远程视频信号的独立采编</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3、音视频合成：支持庭审本地庭室多采集点与远程视频信号的画面合成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4、布局管理：支持多布局配置（包含画面分隔方式，播放窗口和通道的关系）</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5、全高清采编：独立画面与合成画面全面支持1080P全高清采编。客户端支持每路图像单路放大，便于诉讼参与人查看</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二、2层大法庭1间（7台一体机、其中法官席位5台（五人制法官席位）、原被告席位各1台）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（一）、语音转写系统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语音转写声卡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1.CPU≥8核，主频≥2.4GHz，ARM处理器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2.安装方式：≤1U 机架式安装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3.内存/存储：RAM≥4G；ROM≥32G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4.控制面板：需具备液晶显示屏，支持显示名称、网络、固件版本等；具备功能控制按键；具备USB2.0≥1，支持固件离线本地升级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5.模拟音频输入参数不低于如下配置：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1）频响：20Hz-20kHz（±0.1/-0.4dB）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2）动态范围：114dB（A）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3）噪声级别：-125dBu（A）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4）通道数：16 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6.模拟音频输出参数不低于如下配置：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1）频响：20Hz-20kHz（±0.1dB）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2）动态范围：110dB（A）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3）噪声级别：-87dBu（A）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4）通道数：16 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7.网络接口：1000M 自适应以太网接口≥2，支持双网主备连接，零延迟无缝切换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8.电源：设备需支持双电源备份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语音转写服务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1.系统要求在采购人专网中进行安装部署，全部数据都要求保存在专网服务器上，与外网无任何数据交互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笔录模板管理：支持将庭审过程案件常用的模板导入到系统，并可将其设定为常用庭审模板，对于修改后的笔录，可以保存到模板库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3.个性化热词：针对庭审过程中转写经常出现且容易出错的词语，可直接添加到个性化词汇中，对个性化词汇进行感知、认知数据模型计算，生成热词模型，支持批量导入热词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4.麦克风角色管理：法庭麦克风支持配置角色信息，在整个庭审过程全局生效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5.笔录修改：按照正常文本操作习惯提供正常的增删改、复制、粘贴、字号、段落、页面，编辑等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7.同人智能合并：当上下文为同一个陈述人的识别文字，会自动合并成同一个人的文字记录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8.庭审录音标记、回听：可快速进行标记，标记后的内容在庭审结束后可进行回听</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9、智能模糊查找替换：系统支持在模糊搜索框输入关键字，实现摘要笔录页面将所有和关键字发音相似、文本相近、内容相同的结果高亮显示，并进行全文匹配的修改和替换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10.导出笔录、音频：支持导出笔录和音频，导出操作自动保存系统的样式，默认按照案件号进行命名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11.打印笔录：可从系统的客户端软件中将庭审生成的庭审记录连接打印机进行打印，并可支持打印预览 </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（二）、电子质证显示</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电子质证应用系统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1.笔录服务：支持法官实时查看书记员的笔录文本以及桌面操作，支持法官对笔录进行快捷批注，可推送给书记员，书记员可快速定位批注位置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2.随庭笔记：对案件重要信息进行记录，支持键盘输入、手写输入，具备自动保存功能，支持记录的内容绑定案件信息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3.庭审流程指引：基于庭审案件类型，支持庭审流程分阶段话术指引，并结合庭审笔录内容进行指引提醒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4.卷宗材料检索：系统支持对卷宗进行材料名称检索，搜索结果可准确定位至对应的页面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示证质证：支持法官查看当事人上传的视频、文字与图片类型证据材料（包括庭前从第三方审判同步的卷宗材料、庭中当事人在pc客户端上传证据）；支持多方快速查阅以及同步标绘证据材料；质证环节中，支持法官分享证据材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6.多份证据同屏标绘：可支持对多个证据材料的比对功能，快速比对出相似材料中的不同部分，针对比对后的结果可以直接共享推送给其他人员同步查阅，系统支持不低于三份材料同步展示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7.庭中法条随讲随查：支持通过语音唤醒的方式实现对法律条款随讲随查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庭审公告终端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numPr>
                <w:ilvl w:val="0"/>
                <w:numId w:val="19"/>
              </w:numPr>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屏幕尺寸≥21.5寸、屏幕规格：原装A+屏、屏幕比例 16：9、物理分辨率≥1920*1080、屏幕亮度≥250cd/㎡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2、控制系统：内置专用显控主板，CPU≥四核64位，主频≥1.8GHz，内存≥DDR4-2G，存储≥EMMC-32G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3、外置接口≥HDMI*1、USB*2、3.5音频输出*1、DC输入*1、RJ45*1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多功能打印机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1、打印幅面：A4</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2、需具有打印/复印/传真/扫描功能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3、接口类型：USB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庭审触摸一体机（电动翻转）</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1、屏幕尺寸≥29寸、带内嵌指纹仪，钢化玻璃+铝型材外框、屏幕比例 21：9、显示分辨率≥2560*1080、屏幕亮度≥350cd/㎡、2 ×8 Ω 5W喇叭、支持WIFI和G+G 多点触控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2、控制系统：C86架构，≥8核16线程，运行内存≥16G，存储≥512G SSD，独立显卡≥4G，预安装正版操作系统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3、外置接口≥HDMI*1、USB*2、RS485、DC输入*1、RJ45*1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4、支持多种控制方式实现电动翻转，包括无线遥控、按键开关、RS485中控控制等方式</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书记员显示器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1、尺寸≥23.8英寸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2、分辨率≥1920*1080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3、最大亮度≥250cd/m²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4、IPS技术广角硬屏</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1、尺寸≥65英寸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2、分辨率≥4K，屏幕亮度≥200尼特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3、运行内存≥2G，存储内存≥32G</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定制化电视机电动折叠支架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1、液晶电视机可隐藏到天花顶内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2、多种控制方式，无线遥控、按键开关、RS232/485中控控制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3、观看角度可调0-105°，可根据观看视角调整翻转角度大小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4、带有电子限位功能，遥控器完成吊架上下限位的设置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5、电机负载能力≥40kg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6、背后带遮线板，电视机下降时可隐藏背后线材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7、坦克链隐藏走线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壁挂伸缩架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电视机伸缩支架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无线键鼠</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1、无线2.4G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2、有效连接距离≥10米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智能签字板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1、≥4核CPU，主频≥1.8G，内存≥2G，存储≥16G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2、电磁电容双控屏：电子签名方式为电磁感应，压感2048级，支持10点触控，使用者在浏览文档可以直接采用手势滑动屏幕翻页。屏幕尺寸≥10 英寸，分辨率≥1280Ｘ800，显示屏亮度≥350cd/㎡，对比度≥800：1，水平可视角≥160°，垂直可视角≥160°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3、电签笔：无线无源电磁笔，笔尖可更换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4、公安指纹识别模块：半导体电容式传感器，有效图像尺寸≥12.8 *18.0 mm，图像大小≥256*360像素，图像分辨率≥500dpi，比对方式1:1 /1：N，认假率（FAR）&lt;0.001%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5、接口：USB口3个，支持USB HID免驱连接，RJ45口1个，TF卡座1个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6、语音模块：扬声器：2个，功率：2W ；麦克风*1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7、电源：9V/2.5A 外置电源，并支持自动开关机功能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8、可靠性：整机平均无故障时间≥10000小时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（三）、庭审话筒系统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高保真网络心型嵌入话筒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1.双鹅颈电容式话筒杆，自带嵌入式固定式话筒底座，轻触式开关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2.具有带状态反馈指示灯的轻触式开关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3.Dante网络音频输出，提供RJ45标准连接器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4.拾音头：电容式金膜音头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5.指向性：心形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6.频率响应≥38Hz-20KHz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7.灵敏度≤-41dB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8.最大声压级≥130dB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9.等效噪声≤23dB(A计权）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10.话筒杆长度≥380mm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高保真网络桌面话筒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1.采用≥14mm镀金电容拾音头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2.模/数双备实时输出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3.≥2.8寸高清显示屏，可显示话筒话筒状态、网络信息、屏保、升级提示等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4.内置音频处理功能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5.最佳拾音距离10-80cm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6.具备双备份发言按键设计，可同时支持实体按键及触控屏触摸按键控制开关发言静音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7.咪杆长度≥42cm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AI网络音频处理器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1.自带≥1.8英寸彩色LCD显示屏，可显示设备名称、IP地址、输入/输出电平和静音状态等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2.≥16路平衡式话筒／线路输入，具有48V幻象供电软开关，具有不少于八级增益可调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3.≥16路平衡式线路输出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4.≥8路GPIO可编程控制接口，可自由定义输入或输出通道；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5.内置Web服务器，可通过浏览器管理设备，可控制管理设备、获取操作手册、控制协议等相关资料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6.支持跨平台运行设备管理页面，包括银河麒麟桌面操作系统（兆芯版）、银河麒麟桌面操作系统（飞腾版）等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7.内置语音跟踪功能，结合话筒、摄像机可实现视像跟踪功能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8.输入通道处理功能不少于：幻象供电、输入增益、扩展器、压缩器、≥10段PEQ、自动增益控制等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9.输出通道处理功能不少于：可选10/15/31段参量均衡器、延时器、高低通滤波器、分频器、限幅器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10.≥2组独立的自适应回声消除AEC，采用软件共享型架构，每组内可设置所有通道AEC，包含模拟通道、网络通道、混音通道等，回声消除尾长最大不小于512ms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11.≥2组独立自适应噪声消除，每组内可设置所有通道噪声消除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12.具备矩阵混音及交叉点电平调节功能，可设定电平控制范围，即设定推子的最大值和最小值</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13.支持断电自动保护记忆功能，可保存≥50组场景，具有删除、调用、编辑功能，支持场景信息导入、场景信息导出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14.内置环控功能，具有脚本编辑能力，可作为集中控制系统，通过RS-232、RS-485、网络、I/0管理第三方设备;环控控制界面，支持定义风格、自由排列组合、管理元素，支持不少于20个页面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15.支持1+1冗余热备份功能，实时镜像同步，心跳+服务进程检测（更全面的检测机制），智能切换</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吸顶喇叭功放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1.采用Class D技术，转换效率≥90%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2.机身轻、方便携带和安装，高度≤1U</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3.自动限幅输出、短路、过载、过温、开机延时等保护功能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4.功放开关电源带有单独的冷却系统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5.额定功率不低于：2×350W/8Ω,2×550W/4Ω；桥接:1×1000W/8Ω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6.频率响应不低于：20Hz-20kHz（±3dB）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7.总谐波失真(THD)≤0.01%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8.信噪比≥80dB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吸顶喇叭</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1.低音单元≥6.5英寸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2.高音单元≥1英寸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3.功率≥持续60W，节目120W，峰值240W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4.阻抗：8Ω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5.频率响应≥100Hz- 19kHz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6.灵敏度≥86dB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7.声压级：持续≥105dB，峰值≥110dB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8.指向角度≥H100°×V100°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8路智能电源时序器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1.总功率≥6500W，前面板万能插头支持最大10A，后面板万能插支持≥13A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≥8个可控制插座电源，每个可单独控制:前面板有一路直通电源插座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3.RJ45 级联方式，最多可级联不少于15台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4.支持电子密码锁保护功能;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5.电源模式有默认模式，自定义模式，全开放模式和反向模式，在自定义电源通道开启模式时，每个电源插座可单独控制，关机后自动记忆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6.每通道开启或关闭时，可单独设置延时时间，最多可延时不小于999 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7.带 RS232 双向中控接口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8.支持免驱 USB 安全升级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庭审高清图像无缝切换矩阵</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1.≥8路HDMI信号输入，≥8路HDMI信号输出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2.支持≥8路模拟音频解嵌输出接口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3.带屏幕显示实时操作状态和设备IP地址</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4.支持断电记忆功能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5.支持HDMI接口连续热拔插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6.支持双向串口控制、RJ45控制；输入内置≥7种EDID，≥3840x2160@30Hz，双声道，支持自定义EDID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7.前面板实体按键、RS232串口控制、TCP/IP、上位机软件控制；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8.输⼊输出⽀持HDMI1.4，最⾼分辨3840x2160@30Hz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9.输⼊输出⾊彩空间⽀持RGB4:4:4、YCbCr4:4:4, YCbCr4:2:2等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10.支持高清无缝切换矩阵功能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11.输入兼容DVI/HDMI信号，支持HDMI内嵌音频输入输出切换；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12.≥9种输出分辨率可选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13.输出信号格式支持HDMI、DVI</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（四）、庭审录像系统及其他</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3、支持红外补光，红外作用距离不低于30m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4、内置电动变焦镜头变焦范围不低于2.7-8mm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5、1个内置麦克风，1个内置扬声器；1路报警输入，1路报警输出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6、支持IK10机械碰撞防护等级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7、支持区域入侵侦测，越界侦测，进入区域侦测，离开区域侦测，物品遗留侦测，物品拿取侦测，徘徊侦测等识别检测事件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8、同一场景相同图像质量下设备在H.264或H265编码方式时，开启智能编码功能和不开启智能编码相比，码率节约50%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全景备份摄像机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3、内置GPU芯片，麦克风，扬声器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4、支持不小于4倍光学变焦，变焦过程中不会完全虚焦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5、支持红外补光距离不小于30米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6、支持声音报警功能，报警声音类型不低于10种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7、支持1路报警输入，1路报警输出，1路音频输入，1路音频输出，1个DC12V电压输出接口，支持DC12V供电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8、同一静止场景相同图像质量下，设备在H.264或H.265编码方式时，开启智能编码功能和不开启智能编码相比，码率节约50%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9、支持智能报警防干扰功能，智能分析行为类型为区域入侵、越界入侵、进入区域、离开区域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全向数字降噪拾音器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1、拾音范围：10～70平方米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2、音频传输距离：3000米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3、灵敏度： -46dB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5、指向特性：全方向性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6、信噪比：70dB ( 1米40 dB音源） 35dB (10米40 dB音源） 1KHz at 1 Pa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7、动态范围：50dB(1KHz at Max dB SPL)</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8、最大承受音压： 120dB SPL（1KHz，THD 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9、输出阻抗：最大600欧姆非平衡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10、输出信号幅度：2.5Vpp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11、麦克风：两只高灵敏度电容咪头，内置DSP芯片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12、保护电路：雷击保护、电源极性反接保护</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音频适配器（拾音器专用滤波电源）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1、拾音器接口：1个三芯（V,A,G）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2、音频输出端子：二个线性输出（1个两芯端子，1个3.5插孔）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3、音量调节：-10dB ～ +10dB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 ～ 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5、输出电压：12VDC±5%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6、输出电流：≤200mA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7、纹波：≤20mvrms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8、输出信号幅度：2.5Vpp/-25db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9、防水特性：户内防潮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10、保护电路：雷击保护、电源极性反转保护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11、拾音器连接方式：电源线V（红色）、音频A（黄色）、公共地G（黑色）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12、拾音器线缆：3芯0.5mm2 RVVP屏蔽电缆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13、音频输出线缆：2芯0.5mm2 RVVP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14、电源输入电压：直流电DC12V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15、工作环境温度：-25℃ ～ 75℃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拾音器专用混音器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1.拾音器接口：2组三芯（电源正极V，音频A，公共地G）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2.音频输出端子：4个莲花头，3个两芯端子，3个3.5插孔（其中MIX为混音输出）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3.音量调节：-20dB ～ +20dB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 ～ 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5.输出电压：12VDC±5%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6.输出电流≤200mA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7.纹波≤20mvrms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8.输出信号幅度：2.5Vpp/-25db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9.防水特性：户内防潮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10.保护电路：雷击保护、电源极性反转保护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11.拾音器连接方式：电源线V、音频A、公共地G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12.拾音器线缆：3芯0.5mm2 RVVP屏蔽电缆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13.音频输出线缆：2芯0.5mm2 RVVP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14.电源输入电压：直流DC12V</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（五）、中控系统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中控控制主机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1.支持红外控制、RS-232、RS-422、RS-485、UDP、TCP、telnet、http、MQTT以及SNMP等多种协议，兼容性强，可对接第三方设备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2.≥8路低压继电器，≥8路数字I/O输入，≥8路红外或单向RS-232串行通讯口，≥8路双向RS-232/422/485串行通讯口；    ≥3个LED系统状态指示灯；≥1个RJ45 10M/100M以太网接口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3.支持双机热备份。当中控主机出现故障时，备用中控主机自动承担服务，从而保证系统在不需要人工干预的情况下能正常运行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4.支持互联网控制。中控主机在连接互联网的情况下，用户可操作手机或平板等移动端通过互联网实现对中控主机远程控制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5.支持视频矩阵可视化控制。用户可通过控制端实时预览、拖动并切换矩阵视频信号，支持设置触碰和投放触发切换方式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6.支持拼接矩阵可视化控制。用户可通过控制端实时预览、放大、缩小、拖动并切换拼接矩阵视频信号，可对输入信号源进行置底、置顶以及一键清屏等操作，支持设置触碰和投放触发切换方式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7.支持远程管理，无需连接外部网络或使用第三方软件，支持多用户远程协同控制，便于现场运维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产品具有≥2种编程方式，包括图形化编程方式及语句式编程方式供用户选择；图形化编程方式具有拖拽式操作界面，用户可通过图形化编程软件内的模块使用信号连接方式构建程序逻辑；语句式编程方式提供功能函数进行自定义编程，用户可以通过编程界面编写控制代码</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有线控制面板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1.ARM架构，≥1.8Ghz主频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2.内存≥2GB、存储≥8GB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3.屏幕尺寸≥10英寸，分辨率≥1280*800 (16:10），桌面屏设计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4.支持行业标准网络通信协议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5.支持1路千兆网络接口，速率≥1G/bps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6.支持POE供电或独立DC24V/1A电源供电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7.电容触摸屏，支持多点触控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灯光控制模块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1、全远程管控：双向通信/状态反馈/设备操控，调试/运维/巡检/异常报警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2、灯光智能控制：8通道独立控制（延时/顺序/逻辑编程），断电状态记忆 + 自动/手动切换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3、安全防护：过压/欠压/短路/过热保护，磁保持继电器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4、通信：RS485/网络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5、供电：DC12V双电源备份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（六）、法庭内设备线缆</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音箱线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1、300芯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2、采用铝箔屏蔽或者PVC加银色线镀锡铜屏蔽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3、抗电磁干扰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音频线（话筒用）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128编</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音频线（拾音器用）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RVVP2*0.5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音频线（拾音器用）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RVVP3*0.5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RVV3*2.5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长度: 15米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需支持2560 x 1080 @ 75 Hz</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长度: 30米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需支持2560 x 1080 @ 75 Hz</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多媒体信息地插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拖线板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插孔数量应不低于6孔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额定功率应不小于2500W</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600*600*1200mm，带8位PDU</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三、3层大法庭1间中小法庭4间（1间大法庭使用7台一体机，其中法官席位5台（五人制法官席位）、原被告席位各1台；4间中小法庭共使用20台一体机，其中法官席位各3台、原被告席位各1台；）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（一）、语音转写系统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语音转写声卡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1.CPU≥8核，主频≥2.4GHz，ARM处理器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2.安装方式：≤1U 机架式安装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3.内存/存储：RAM≥4G；ROM≥32G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4.控制面板：需具备液晶显示屏，支持显示名称、网络、固件版本等；具备功能控制按键；具备USB2.0≥1，支持固件离线本地升级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5.模拟音频输入参数不低于如下配置：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1）频响：20Hz-20kHz（±0.1/-0.4dB）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2）动态范围：114dB（A）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3）噪声级别：-125dBu（A）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4）通道数：16 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6.模拟音频输出参数不低于如下配置：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1）频响：20Hz-20kHz（±0.1dB）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2）动态范围：110dB（A）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3）噪声级别：-87dBu（A）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4）通道数：16 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7.网络接口：1000M 自适应以太网接口≥2，支持双网主备连接，零延迟无缝切换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8.电源：设备需支持双电源备份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语音转写服务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1.系统要求在采购人专网中进行安装部署，全部数据都要求保存在专网服务器上，与外网无任何数据交互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笔录模板管理：支持将庭审过程案件常用的模板导入到系统，并可将其设定为常用庭审模板，对于修改后的笔录，可以保存到模板库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3.个性化热词：针对庭审过程中转写经常出现且容易出错的词语，可直接添加到个性化词汇中，对个性化词汇进行感知、认知数据模型计算，生成热词模型，支持批量导入热词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4.麦克风角色管理：法庭麦克风支持配置角色信息，在整个庭审过程全局生效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5.笔录修改：按照正常文本操作习惯提供正常的增删改、复制、粘贴、字号、段落、页面，编辑等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7.同人智能合并：当上下文为同一个陈述人的识别文字，会自动合并成同一个人的文字记录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8.庭审录音标记、回听：可快速进行标记，标记后的内容在庭审结束后可进行回听</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9、智能模糊查找替换：系统支持在模糊搜索框输入关键字，实现摘要笔录页面将所有和关键字发音相似、文本相近、内容相同的结果高亮显示，并进行全文匹配的修改和替换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10.导出笔录、音频：支持导出笔录和音频，导出操作自动保存系统的样式，默认按照案件号进行命名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11.打印笔录：可从系统的客户端软件中将庭审生成的庭审记录连接打印机进行打印，并可支持打印预览 </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（二）、电子质证显示</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电子质证应用系统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1.笔录服务：支持法官实时查看书记员的笔录文本以及桌面操作，支持法官对笔录进行快捷批注，可推送给书记员，书记员可快速定位批注位置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2.随庭笔记：对案件重要信息进行记录，支持键盘输入、手写输入，具备自动保存功能，支持记录的内容绑定案件信息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3.庭审流程指引：基于庭审案件类型，支持庭审流程分阶段话术指引，并结合庭审笔录内容进行指引提醒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4.卷宗材料检索：系统支持对卷宗进行材料名称检索，搜索结果可准确定位至对应的页面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示证质证：支持法官查看当事人上传的视频、文字与图片类型证据材料（包括庭前从第三方审判同步的卷宗材料、庭中当事人在pc客户端上传证据）；支持多方快速查阅以及同步标绘证据材料；质证环节中，支持法官分享证据材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6.多份证据同屏标绘：可支持对多个证据材料的比对功能，快速比对出相似材料中的不同部分，针对比对后的结果可以直接共享推送给其他人员同步查阅，系统支持不低于三份材料同步展示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7.庭中法条随讲随查：支持通过语音唤醒的方式实现对法律条款随讲随查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庭审公告终端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1、屏幕尺寸≥21.5寸、屏幕规格：原装A+屏、屏幕比例 16：9、物理分辨率≥1920*1080、屏幕亮度≥250cd/㎡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2、控制系统：内置专用显控主板，CPU≥四核64位，主频≥1.8GHz，内存≥DDR4-2G，存储≥EMMC-32G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3、外置接口≥HDMI*1、USB*2、3.5音频输出*1、DC输入*1、RJ45*1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多功能打印机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1、打印幅面：A4</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2、需具有打印/复印/传真/扫描功能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3、接口类型：USB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庭审触摸一体机（电动翻转）</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1、屏幕尺寸≥29寸、带内嵌指纹仪，钢化玻璃+铝型材外框、屏幕比例 21：9、显示分辨率≥2560*1080、屏幕亮度≥350cd/㎡、2 ×8 Ω 5W喇叭、支持WIFI和G+G 多点触控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2、控制系统：C86架构，≥8核16线程，运行内存≥16G，存储≥512G SSD，独立显卡≥4G，预安装正版操作系统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3、外置接口≥HDMI*1、USB*2、RS485、DC输入*1、RJ45*1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4、支持多种控制方式实现电动翻转，包括无线遥控、按键开关、RS485中控控制等方式</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27</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书记员显示器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1、尺寸≥23.8英寸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2、分辨率≥1920*1080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3、最大亮度≥250cd/m²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4、IPS技术广角硬屏</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2、分辨率≥4K，屏幕亮度≥200尼特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3、运行内存≥2G，存储内存≥32G</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2、分辨率≥4K，屏幕亮度≥200尼特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3、运行内存≥2G，存储内存≥32G</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定制化电视机电动折叠支架（隐藏式）</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1、液晶电视机可隐藏到天花顶内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2、多种控制方式，无线遥控、按键开关、RS232/485中控控制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3、观看角度可调0-105°，可根据观看视角调整翻转角度大小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4、带有电子限位功能，遥控器完成吊架上下限位的设置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5、电机负载能力≥40kg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6、背后带遮线板，电视机下降时可隐藏背后线材</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7、坦克链隐藏走线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电视机配套支架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无线键鼠</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1、无线2.4G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2、有效连接距离≥10米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智能签字板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1、≥4核CPU，主频≥1.8G，内存≥2G，存储≥16G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2、电磁电容双控屏：电子签名方式为电磁感应，压感2048级，支持10点触控，使用者在浏览文档可以直接采用手势滑动屏幕翻页。屏幕尺寸≥10 英寸，分辨率≥1280Ｘ800，显示屏亮度≥350cd/㎡，对比度≥800：1，水平可视角≥160°，垂直可视角≥160°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3、电签笔：无线无源电磁笔，笔尖可更换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4、公安指纹识别模块：半导体电容式传感器，有效图像尺寸≥12.8 *18.0 mm，图像大小≥256*360像素，图像分辨率≥500dpi，比对方式1:1 /1：N，认假率（FAR）&lt;0.001%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5、接口：USB口3个，支持USB HID免驱连接，RJ45口1个，TF卡座1个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6、语音模块：扬声器：2个，功率：2W ；麦克风*1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7、电源：9V/2.5A 外置电源，并支持自动开关机功能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8、可靠性：整机平均无故障时间≥10000小时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（三）、庭审话筒系统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高保真网络心型嵌入话筒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1.双鹅颈电容式话筒杆，自带嵌入式固定式话筒底座，轻触式开关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2.具有带状态反馈指示灯的轻触式开关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3.Dante网络音频输出，提供RJ45标准连接器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4.拾音头：电容式金膜音头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5.指向性：心形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6.频率响应≥38Hz-20KHz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7.灵敏度≤-41dB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8.最大声压级≥130dB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9.等效噪声≤23dB(A计权）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10.话筒杆长度≥380mm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39</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高保真网络桌面话筒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1.采用≥14mm镀金电容拾音头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2.模/数双备实时输出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3.≥2.8寸高清显示屏，可显示话筒话筒状态、网络信息、屏保、升级提示等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4.内置音频处理功能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5.最佳拾音距离10-80cm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6.具备双备份发言按键设计，可同时支持实体按键及触控屏触摸按键控制开关发言静音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7.咪杆长度≥42cm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AI网络音频处理器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1.自带≥1.8英寸彩色LCD显示屏，可显示设备名称、IP地址、输入/输出电平和静音状态等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2.≥16路平衡式话筒／线路输入，具有48V幻象供电软开关，具有不少于八级增益可调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3.≥16路平衡式线路输出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4.≥8路GPIO可编程控制接口，可自由定义输入或输出通道；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5.内置Web服务器，可通过浏览器管理设备，可控制管理设备、获取操作手册、控制协议等相关资料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6.支持跨平台运行设备管理页面，包括银河麒麟桌面操作系统（兆芯版）、银河麒麟桌面操作系统（飞腾版）等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7.内置语音跟踪功能，结合话筒、摄像机可实现视像跟踪功能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8.输入通道处理功能不少于：幻象供电、输入增益、扩展器、压缩器、≥10段PEQ、自动增益控制等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9.输出通道处理功能不少于：可选10/15/31段参量均衡器、延时器、高低通滤波器、分频器、限幅器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10.≥2组独立的自适应回声消除AEC，采用软件共享型架构，每组内可设置所有通道AEC，包含模拟通道、网络通道、混音通道等，回声消除尾长最大不小于512ms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11.≥2组独立自适应噪声消除，每组内可设置所有通道噪声消除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12.具备矩阵混音及交叉点电平调节功能，可设定电平控制范围，即设定推子的最大值和最小值</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13.支持断电自动保护记忆功能，可保存≥50组场景，具有删除、调用、编辑功能，支持场景信息导入、场景信息导出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14.内置环控功能，具有脚本编辑能力，可作为集中控制系统，通过RS-232、RS-485、网络、I/0管理第三方设备;环控控制界面，支持定义风格、自由排列组合、管理元素，支持不少于20个页面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15.支持1+1冗余热备份功能，实时镜像同步，心跳+服务进程检测（更全面的检测机制），智能切换</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吸顶喇叭功放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1.采用Class D技术，转换效率≥90%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2.机身轻、方便携带和安装，高度≤1U</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3.自动限幅输出、短路、过载、过温、开机延时等保护功能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4.功放开关电源带有单独的冷却系统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5.额定功率不低于：2×350W/8Ω,2×550W/4Ω；桥接:1×1000W/8Ω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6.频率响应不低于：20Hz-20kHz（±3dB）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7.总谐波失真(THD)≤0.01%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8.信噪比≥80dB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吸顶喇叭</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1.低音单元≥6.5英寸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2.高音单元≥1英寸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3.功率≥持续60W，节目120W，峰值240W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4.阻抗：8Ω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5.频率响应≥100Hz- 19kHz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6.灵敏度≥86dB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7.声压级：持续≥105dB，峰值≥110dB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8.指向角度≥H100°×V100°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8路智能电源时序器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1.总功率≥6500W，前面板万能插头支持最大10A，后面板万能插支持≥13A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≥8个可控制插座电源，每个可单独控制:前面板有一路直通电源插座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3.RJ45 级联方式，最多可级联不少于15台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4.支持电子密码锁保护功能;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5.电源模式有默认模式，自定义模式，全开放模式和反向模式，在自定义电源通道开启模式时，每个电源插座可单独控制，关机后自动记忆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6.每通道开启或关闭时，可单独设置延时时间，最多可延时不小于999 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7.带 RS232 双向中控接口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8.支持免驱 USB 安全升级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庭审高清图像无缝切换矩阵</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1.≥8路HDMI信号输入，≥8路HDMI信号输出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2.支持≥8路模拟音频解嵌输出接口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3.带屏幕显示实时操作状态和设备IP地址</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4.支持断电记忆功能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5.支持HDMI接口连续热拔插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6.支持双向串口控制、RJ45控制；输入内置≥7种EDID，≥3840x2160@30Hz，双声道，支持自定义EDID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7.前面板实体按键、RS232串口控制、TCP/IP、上位机软件控制；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8.输⼊输出⽀持HDMI1.4，最⾼分辨3840x2160@30Hz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9.输⼊输出⾊彩空间⽀持RGB4:4:4、YCbCr4:4:4, YCbCr4:2:2等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10.支持高清无缝切换矩阵功能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11.输入兼容DVI/HDMI信号，支持HDMI内嵌音频输入输出切换；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12.≥9种输出分辨率可选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13.输出信号格式支持HDMI、DVI</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（四）、庭审录像系统及其他</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3、支持红外补光，红外作用距离不低于30m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4、内置电动变焦镜头变焦范围不低于2.7-8mm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5、1个内置麦克风，1个内置扬声器；1路报警输入，1路报警输出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6、支持IK10机械碰撞防护等级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7、支持区域入侵侦测，越界侦测，进入区域侦测，离开区域侦测，物品遗留侦测，物品拿取侦测，徘徊侦测等识别检测事件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8、同一场景相同图像质量下设备在H.264或H265编码方式时，开启智能编码功能和不开启智能编码相比，码率节约50%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全景备份摄像机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3、内置GPU芯片，麦克风，扬声器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4、支持不小于4倍光学变焦，变焦过程中不会完全虚焦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5、支持红外补光距离不小于30米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6、支持声音报警功能，报警声音类型不低于10种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7、支持1路报警输入，1路报警输出，1路音频输入，1路音频输出，1个DC12V电压输出接口，支持DC12V供电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8、同一静止场景相同图像质量下，设备在H.264或H.265编码方式时，开启智能编码功能和不开启智能编码相比，码率节约50%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9、支持智能报警防干扰功能，智能分析行为类型为区域入侵、越界入侵、进入区域、离开区域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全向数字降噪拾音器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1、拾音范围：10～70平方米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2、音频传输距离：3000米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3、灵敏度： -46dB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5、指向特性：全方向性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6、信噪比：70dB ( 1米40 dB音源） 35dB (10米40 dB音源） 1KHz at 1 Pa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7、动态范围：50dB(1KHz at Max dB SPL)</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8、最大承受音压： 120dB SPL（1KHz，THD 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9、输出阻抗：最大600欧姆非平衡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10、输出信号幅度：2.5Vpp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11、麦克风：两只高灵敏度电容咪头，内置DSP芯片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12、保护电路：雷击保护、电源极性反接保护</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音频适配器（拾音器专用滤波电源）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1、拾音器接口：1个三芯（V,A,G）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2、音频输出端子：二个线性输出（1个两芯端子，1个3.5插孔）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3、音量调节：-10dB ～ +10dB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 ～ 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5、输出电压：12VDC±5%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6、输出电流：≤200mA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7、纹波：≤20mvrms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8、输出信号幅度：2.5Vpp/-25db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9、防水特性：户内防潮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10、保护电路：雷击保护、电源极性反转保护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11、拾音器连接方式：电源线V（红色）、音频A（黄色）、公共地G（黑色）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12、拾音器线缆：3芯0.5mm2 RVVP屏蔽电缆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13、音频输出线缆：2芯0.5mm2 RVVP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14、电源输入电压：直流电DC12V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15、工作环境温度：-25℃ ～ 75℃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拾音器专用混音器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1.拾音器接口：2组三芯（电源正极V，音频A，公共地G）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2.音频输出端子：4个莲花头，3个两芯端子，3个3.5插孔（其中MIX为混音输出）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3.音量调节：-20dB ～ +20dB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 ～ 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5.输出电压：12VDC±5%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6.输出电流≤200mA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7.纹波≤20mvrms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8.输出信号幅度：2.5Vpp/-25db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9.防水特性：户内防潮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10.保护电路：雷击保护、电源极性反转保护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11.拾音器连接方式：电源线V、音频A、公共地G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12.拾音器线缆：3芯0.5mm2 RVVP屏蔽电缆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13.音频输出线缆：2芯0.5mm2 RVVP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14.电源输入电压：直流DC12V</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信号屏蔽仪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numPr>
                <w:ilvl w:val="0"/>
                <w:numId w:val="20"/>
              </w:numPr>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发射功率≥80W，屏蔽半径5-25m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2、工作频率包括：CDMA：869-884MHz、GSM:925-962MHz、3G1:2008-2026MHz、WIFI:2400-2485MHz、4G:1805-1995MHz、3G2:2110-2174MHz、4G1:2298-2404MHz、4G2:2515-2677MHz、5G1:3299-3603MHz、5G2:4798-4903MHz、5G3:703-801MHz、5.8G:5725-5850MHz等</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（五）、中控系统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中控控制主机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1.支持红外控制、RS-232、RS-422、RS-485、UDP、TCP、telnet、http、MQTT以及SNMP等多种协议，兼容性强，可对接第三方设备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2.≥8路低压继电器，≥8路数字I/O输入，≥8路红外或单向RS-232串行通讯口，≥8路双向RS-232/422/485串行通讯口；    ≥3个LED系统状态指示灯；≥1个RJ45 10M/100M以太网接口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3.支持双机热备份。当中控主机出现故障时，备用中控主机自动承担服务，从而保证系统在不需要人工干预的情况下能正常运行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4.支持互联网控制。中控主机在连接互联网的情况下，用户可操作手机或平板等移动端通过互联网实现对中控主机远程控制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5.支持视频矩阵可视化控制。用户可通过控制端实时预览、拖动并切换矩阵视频信号，支持设置触碰和投放触发切换方式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6.支持拼接矩阵可视化控制。用户可通过控制端实时预览、放大、缩小、拖动并切换拼接矩阵视频信号，可对输入信号源进行置底、置顶以及一键清屏等操作，支持设置触碰和投放触发切换方式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7.支持远程管理，无需连接外部网络或使用第三方软件，支持多用户远程协同控制，便于现场运维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产品具有≥2种编程方式，包括图形化编程方式及语句式编程方式供用户选择；图形化编程方式具有拖拽式操作界面，用户可通过图形化编程软件内的模块使用信号连接方式构建程序逻辑；语句式编程方式提供功能函数进行自定义编程，用户可以通过编程界面编写控制代码</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有线控制面板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1.ARM架构，≥1.8Ghz主频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2.内存≥2GB、存储≥8GB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3.屏幕尺寸≥10英寸，分辨率≥1280*800 (16:10），桌面屏设计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4.支持行业标准网络通信协议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5.支持1路千兆网络接口，速率≥1G/bps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6.支持POE供电或独立DC24V/1A电源供电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7.电容触摸屏，支持多点触控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灯光控制模块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1、全远程管控：双向通信/状态反馈/设备操控，调试/运维/巡检/异常报警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2、灯光智能控制：8通道独立控制（延时/顺序/逻辑编程），断电状态记忆 + 自动/手动切换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3、安全防护：过压/欠压/短路/过热保护，磁保持继电器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4、通信：RS485/网络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5、供电：DC12V双电源备份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（六）、录音信号屏蔽设备</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吸顶嵌入式录音干扰设备</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1.频段：20KHz-30KHz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2.距离设备：30cm处声强&gt;120dB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3.覆盖范围：90°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4.支持多档位调节功能，适应不同干扰强度需求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5.需支持功耗≤20W及作用半径&gt;2米，确保干扰效果；安装方式：隐藏、嵌入式安装，与室内装修风格协调一致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6.支持通过手机App无线遥控操作功能，每台设备独立可控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w:t>
            </w:r>
            <w:r>
              <w:rPr>
                <w:rFonts w:hint="eastAsia" w:ascii="方正仿宋_GBK" w:hAnsi="方正仿宋_GBK" w:eastAsia="方正仿宋_GBK" w:cs="方正仿宋_GBK"/>
                <w:color w:val="000000"/>
                <w:sz w:val="20"/>
                <w:szCs w:val="20"/>
              </w:rPr>
            </w:r>
            <w:r/>
          </w:p>
        </w:tc>
      </w:tr>
      <w:tr>
        <w:trPr>
          <w:trHeight w:val="1823"/>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墙面隐藏式录音干扰设备</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1.频段：20KHz-30KHz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2.距离设备：30cm处声强&gt;120dB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3.覆盖范围：90°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4.支持多档位调节功能，适应不同干扰强度需求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5.需支持功耗≤20W及作用半径&gt;2米，确保干扰效果；安装方式：隐藏、嵌入式安装，与室内装修风格协调一致</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侧面式录音干扰设备</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1.频段：20KHz-30KHz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2.距离设备：30cm处声强&gt;120dB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3.覆盖范围：90°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4.支持多档位调节功能，适应不同干扰强度需求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5.需支持功耗≤20W及作用半径&gt;2米，确保干扰效果；安装方式：隐藏、嵌入式安装，与室内装修风格协调一致</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预备嵌入式录音干扰设备</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1.频段：20KHz-30KHz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2.距离设备：30cm处声强&gt;120dB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3.覆盖范围：90°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4.支持多档位调节功能，适应不同干扰强度需求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5.需支持功耗≤20W及作用半径&gt;2米，确保干扰效果；安装方式：隐藏、嵌入式安装，与室内装修风格协调一致</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预留信号屏蔽设备</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产品尺寸：不大于440*300*150MM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1.屏蔽手机/WiFi信号范围：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2.通道CH1:广电5G/移动5G,758-803MHz，频段输出功率：40aBm，信道输出功 率：5dBm/30KHz(min);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3.通道CH2:CDMA/电信2G/4G,869-880MHz，频段输出功率：40dBm，信道输出功 率：5dBm/30KHz(min);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4.通道CH3:GSM/移动2G 4G联通4G,925-960MHz，频段输出功率：40dBm，信道输出功率：5dBm/30KHz(min);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5.通道CH4:DCS移动2G 4G联通4G电信4G,1805-1918MHz，频段输出功率：40dBm，信道输出功率：2dBm/30KHz(min);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6.通道CH5:PHS移动2G 4G联通4G电信4G,1805-1920MHz，频段输出功率：40dBm，信道输出功率：2dBm/30KHz(min);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7.通道CH6:3G移动联通电信3G 4G,2010-2170MHZ，频段输出功率：40dBm，信道输出功率：2dBm/30KHz(min);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8.通道CH7:3G联通电信3G 4G,2110-2170MHZ，频段输出功率：40dBm，信道输出功率：2dBm/30KHz(min);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9.通道CH8:4G1移动4G（室内覆盖）,2300-2390MHZ，频段输出功率：40dBm，信道输出功率：2dBm/30KHz(min);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10.通道CH9:WIFI2.4G 5.8G,2400-2483MHZ/5725-5850mhz，频段输出功率：37dBm，信道输出功率：2dBm/30KHz(min);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11.通道CH10:移动4G 5G,2515-2600MHZ，频段输出功率：39.5dBm，信道输出功  率：2dBm/30KHz(min)，移动4G 5G,2600-2675MHZ，频段输出功率：39.5dBm, 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12.通道CH11:5G1电信5G,3400-3500MHz，频段输出功率：39dBm，信道输出功率：2dBm/30KHz(min),5G2联通5G,3500-3600MHz，频段输出功率：39dBm，信道输出功率：2dBm/30KHz (min);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13.通道CH12:5G2移动5G（室内分布）WIFI5.2G,4800-4900MHz/5150-5350MHZ，频段输出功率：37dBm，信道输出功率：2dBm/30KHz(min);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14.屏蔽范围：8-50米（视手机运营商网络信号强弱）需支持信号屏蔽功率可调功能，满足不同场景需求。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15.需支持频段独立控制开关功能，可针对性屏蔽指定频段。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16.支持智能检测功能，实现检测到室内通信信号时自动开启屏蔽，无信号时长期关闭以节能。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17.安装方式：墙面膨胀螺丝+承重支架固定式安装（可调方向),与室内装修风格协调一致 ；</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信号屏蔽器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满足法庭使用需求，设备安装数量以现场查勘满足使用需求为准，单台设备的技术要求如下：</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产品尺寸：不大于440*300*150MM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1.屏蔽手机/WiFi信号范围：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2.通道CH1:广电5G/移动5G,758-803MHz，频段输出功率：40aBm，信道输出功 率：5dBm/30KHz(min);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3.通道CH2:CDMA/电信2G/4G,869-880MHz，频段输出功率：40dBm，信道输出功 率：5dBm/30KHz(min);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4.通道CH3:GSM/移动2G 4G联通4G,925-960MHz，频段输出功率：40dBm，信道输出功率：5dBm/30KHz(min);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5.通道CH4:DCS移动2G 4G联通4G电信4G,1805-1918MHz，频段输出功率：40dBm，信道输出功率：2dBm/30KHz(min);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6.通道CH5:PHS移动2G 4G联通4G电信4G,1805-1920MHz，频段输出功率：40dBm，信道输出功率：2dBm/30KHz(min);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7.通道CH6:3G移动联通电信3G 4G,2010-2170MHZ，频段输出功率：40dBm，信道输出功率：2dBm/30KHz(min);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8.通道CH7:3G联通电信3G 4G,2110-2170MHZ，频段输出功率：40dBm，信道输出功率：2dBm/30KHz(min);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9.通道CH8:4G1移动4G（室内覆盖）,2300-2390MHZ，频段输出功率：40dBm，信道输出功率：2dBm/30KHz(min);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10.通道CH9:WIFI2.4G 5.8G,2400-2483MHZ/5725-5850mhz，频段输出功率：37dBm，信道输出功率：2dBm/30KHz(min);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11.通道CH10:移动4G 5G,2515-2600MHZ，频段输出功率：39.5dBm，信道输出功  率：2dBm/30KHz(min)，移动4G 5G,2600-2675MHZ，频段输出功率：39.5dBm, 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12.通道CH11:5G1电信5G,3400-3500MHz，频段输出功率：39dBm，信道输出功率：2dBm/30KHz(min),5G2联通5G,3500-3600MHz，频段输出功率：39dBm，信道输出功率：2dBm/30KHz (min);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13.通道CH12:5G2移动5G（室内分布）WIFI5.2G,4800-4900MHz/5150-5350MHZ，频段输出功率：37dBm，信道输出功率：2dBm/30KHz(min);</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14.屏蔽范围：8-50米（视手机运营商网络信号强弱）需支持信号屏蔽功率可调功能，满足不同场景需求。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15.需支持频段独立控制开关功能，可针对性屏蔽指定频段。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16.支持智能检测功能，实现检测到室内通信信号时自动开启屏蔽，无信号时长期关闭以节能。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17.安装方式：墙面膨胀螺丝+承重支架固定式安装（可调方向),与室内装修风格协调一致 ；</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开关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（七）、法庭内设备线缆</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音箱线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300芯带屏蔽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音频线（话筒用）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128编</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音频线（拾音器用）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RVVP2*0.5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音频线（拾音器用）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RVVP3*0.5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RVV3*2.5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250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长度: 15米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需支持2560 x 1080 @ 75 Hz</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长度: 30米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需支持2560 x 1080 @ 75 Hz</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多媒体信息地插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拖线板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插孔数量应不低于6孔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额定功率应不小于2500W</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600*600*1200mm，带8位PDU。</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四、4、5层大法庭2间中小法庭8间（2间大法庭（五人制席位），各用5台庭审显示器；8间中小法庭（三人制席位），各用3台庭审显示器；各法庭原被告席位各用2台庭审显示器）</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（一）、语音转写系统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语音转写声卡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1.CPU≥8核，主频≥2.4GHz，ARM处理器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2.安装方式：≤1U 机架式安装</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3.内存/存储：RAM≥4G；ROM≥32G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4.控制面板：控制面板：需具备液晶显示屏，支持显示名称、网络、固件版本等；具备功能控制按键；具备USB2.0≥1，支持固件离线本地升级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5.模拟音频输入参数不低于如下配置：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1）频响：20Hz-20kHz（±0.1/-0.4dB）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2）动态范围：114dB（A）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3）噪声级别：-125dBu（A）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4）通道数：16 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6.模拟音频输出参数不低于如下配置：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1）频响：20Hz-20kHz（±0.1dB）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2）动态范围：110dB（A）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3）噪声级别：-87dBu（A）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4）通道数：16 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7.网络接口：1000M 自适应以太网接口≥2，支持双网主备连接，零延迟无缝切换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8.电源：设备需支持双电源备份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语音转写服务</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1.系统要求在采购人专网中进行安装部署，全部数据都要求保存在专网服务器上，与外网无任何数据交互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笔录模板管理：支持将庭审过程案件常用的模板导入到系统，并可将其设定为常用庭审模板，对于修改后的笔录，可以保存到模板库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3.个性化热词：针对庭审过程中转写经常出现且容易出错的词语，可直接添加到个性化词汇中，对个性化词汇进行感知、认知数据模型计算，生成热词模型，支持批量导入热词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4.麦克风角色管理：法庭麦克风支持配置角色信息，在整个庭审过程全局生效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5.笔录修改：按照正常文本操作习惯提供正常的增删改、复制、粘贴、字号、段落、页面，编辑等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7.同人智能合并：当上下文为同一个陈述人的识别文字，会自动合并成同一个人的文字记录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8.庭审录音标记、回听：可快速进行标记，标记后的内容在庭审结束后可进行回听</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9、智能模糊查找替换：系统支持在模糊搜索框输入关键字，实现摘要笔录页面将所有和关键字发音相似、文本相近、内容相同的结果高亮显示，并进行全文匹配的修改和替换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10.导出笔录、音频：支持导出笔录和音频，导出操作自动保存系统的样式，默认按照案件号进行命名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11.打印笔录：可从系统的客户端软件中将庭审生成的庭审记录连接打印机进行打印，并可支持打印预览 </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（二）、电子质证显示</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电子质证应用系统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1.笔录服务：支持法官实时查看书记员的笔录文本以及桌面操作，支持法官对笔录进行快捷批注，可推送给书记员，书记员可快速定位批注位置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2.随庭笔记：对案件重要信息进行记录，支持键盘输入、手写输入，具备自动保存功能，支持记录的内容绑定案件信息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3.庭审流程指引：基于庭审案件类型，支持庭审流程分阶段话术指引，并结合庭审笔录内容进行指引提醒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4.卷宗材料检索：系统支持对卷宗进行材料名称检索，搜索结果可准确定位至对应的页面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示证质证：支持法官查看当事人上传的视频、文字与图片类型证据材料（包括庭前从第三方审判同步的卷宗材料、庭中当事人在pc客户端上传证据）；支持多方快速查阅以及同步标绘证据材料；质证环节中，支持法官分享证据材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6.多份证据同屏标绘：可支持对多个证据材料的比对功能，快速比对出相似材料中的不同部分，针对比对后的结果可以直接共享推送给其他人员同步查阅，系统支持不低于三份材料同步展示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7.庭中法条随讲随查：支持通过语音唤醒的方式实现对法律条款随讲随查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庭审公告终端</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1、屏幕尺寸≥21.5寸、屏幕规格：原装A+屏、屏幕比例 16：9、物理分辨率≥1920*1080、屏幕亮度≥250cd/㎡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2、控制系统：内置专用显控主板，CPU≥四核64位，主频≥1.8GHz，内存≥DDR4-2G，存储≥EMMC-32G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3、外置接口≥HDMI*1、USB*2、3.5音频输出*1、DC输入*1、RJ45*1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多功能打印机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1、打印幅面：A4</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2、需具有打印/复印/传真/扫描功能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3、接口类型：USB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法官（当事人）席位显示器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1、屏幕尺寸≥34寸，屏幕比例 21：9、显示分辨率≥2560*1080、屏幕亮度≥300cd/㎡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2、支持HDMI、DP等多种接口</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书记员显示器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1、尺寸≥23.8英寸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2、分辨率≥1920*1080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3、最大亮度≥250cd/m²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4、IPS技术广角硬屏</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2、分辨率≥4K，屏幕亮度≥200尼特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3、运行内存≥2G，存储内存≥32G</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2、分辨率≥4K，屏幕亮度≥200尼特</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3、运行内存≥2G，存储内存≥32G</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16</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电视机配套支架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无线键鼠</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1、无线2.4G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2、有效连接距离≥10米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分屏器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HDMI分配器一分五</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分屏器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HDMI分配器一分二</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29</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智能签字板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1、≥4核CPU，主频≥1.8G，内存≥2G，存储≥16G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2、电磁电容双控屏：电子签名方式为电磁感应，压感2048级，支持10点触控，使用者在浏览文档可以直接采用手势滑动屏幕翻页。屏幕尺寸≥10 英寸，分辨率≥1280Ｘ800，显示屏亮度≥350cd/㎡，对比度≥800：1，水平可视角≥160°，垂直可视角≥160°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3、电签笔：无线无源电磁笔，笔尖可更换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4、公安指纹识别模块：半导体电容式传感器，有效图像尺寸≥12.8 *18.0 mm，图像大小≥256*360像素，图像分辨率≥500dpi，比对方式1:1 /1：N，认假率（FAR）&lt;0.001%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5、接口：USB口3个，支持USB HID免驱连接，RJ45口1个，TF卡座1个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6、语音模块：扬声器：2个，功率：2W ；麦克风*1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7、电源：9V/2.5A 外置电源，并支持自动开关机功能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8、可靠性：整机平均无故障时间≥10000小时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（三）、庭审话筒系统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高保真网络心型嵌入话筒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1.双鹅颈电容式话筒杆，自带嵌入式固定式话筒底座，轻触式开关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2.具有带状态反馈指示灯的轻触式开关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3.Dante网络音频输出，提供RJ45标准连接器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4.拾音头：电容式金膜音头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5.指向性：心形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6.频率响应≥38Hz-20KHz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7.灵敏度≤-41dB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8.最大声压级≥130dB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9.等效噪声≤23dB(A计权）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10.话筒杆长度≥380mm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78</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高保真网络桌面话筒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1.采用≥14mm镀金电容拾音头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2.模/数双备实时输出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3.≥2.8寸高清显示屏，可显示话筒话筒状态、网络信息、屏保、升级提示等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4.内置音频处理功能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5.最佳拾音距离10-80cm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6.具备双备份发言按键设计，可同时支持实体按键及触控屏触摸按键控制开关发言静音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7.咪杆长度≥42cm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AI网络音频处理器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1.自带≥1.8英寸彩色LCD显示屏，可显示设备名称、IP地址、输入/输出电平和静音状态等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2.≥16路平衡式话筒／线路输入，具有48V幻象供电软开关，具有不少于八级增益可调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3.≥16路平衡式线路输出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4.≥8路GPIO可编程控制接口，可自由定义输入或输出通道；</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5.内置Web服务器，可通过浏览器管理设备，可控制管理设备、获取操作手册、控制协议等相关资料</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6.支持跨平台运行设备管理页面，包括银河麒麟桌面操作系统（兆芯版）、银河麒麟桌面操作系统（飞腾版）等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7.内置语音跟踪功能，结合话筒、摄像机可实现视像跟踪功能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8.输入通道处理功能不少于：幻象供电、输入增益、扩展器、压缩器、≥10段PEQ、自动增益控制等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9.输出通道处理功能不少于：可选10/15/31段参量均衡器、延时器、高低通滤波器、分频器、限幅器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10.≥2组独立的自适应回声消除AEC，采用软件共享型架构，每组内可设置所有通道AEC，包含模拟通道、网络通道、混音通道等，回声消除尾长最大不小于512ms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11.≥2组独立自适应噪声消除，每组内可设置所有通道噪声消除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12.具备矩阵混音及交叉点电平调节功能，可设定电平控制范围，即设定推子的最大值和最小值</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13.支持断电自动保护记忆功能，可保存≥50组场景，具有删除、调用、编辑功能，支持场景信息导入、场景信息导出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14.内置环控功能，具有脚本编辑能力，可作为集中控制系统，通过RS-232、RS-485、网络、I/0管理第三方设备;环控控制界面，支持定义风格、自由排列组合、管理元素，支持不少于20个页面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15.支持1+1冗余热备份功能，实时镜像同步，心跳+服务进程检测（更全面的检测机制），智能切换</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吸顶喇叭功放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1.采用Class D技术，转换效率≥90%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2.机身轻、方便携带和安装，高度≤1U</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3.自动限幅输出、短路、过载、过温、开机延时等保护功能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4.功放开关电源带有单独的冷却系统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5.额定功率不低于：2×350W/8Ω,2×550W/4Ω；桥接:1×1000W/8Ω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6.频率响应不低于：20Hz-20kHz（±3dB）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7.总谐波失真(THD)≤0.01%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8.信噪比≥80dB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吸顶喇叭</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1.低音单元≥6.5英寸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2.高音单元≥1英寸</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3.功率≥持续60W，节目120W，峰值240W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4.阻抗：8Ω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5.频率响应≥100Hz- 19kHz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6.灵敏度≥86dB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7.声压级：持续≥105dB，峰值≥110dB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8.指向角度≥H100°×V100°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8路智能电源时序器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1.总功率≥6500W，前面板万能插头支持最大10A，后面板万能插支持≥13A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 ≥8个可控制插座电源，每个可单独控制:前面板有一路直通电源插座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3.RJ45 级联方式，最多可级联不少于15台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4.支持电子密码锁保护功能;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5.电源模式有默认模式，自定义模式，全开放模式和反向模式，在自定义电源通道开启模式时，每个电源插座可单独控制，关机后自动记忆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6.每通道开启或关闭时，可单独设置延时时间，最多可延时不小于999 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7.带 RS232 双向中控接口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8.支持免驱 USB 安全升级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庭审高清图像无缝切换矩阵</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1.≥8路HDMI信号输入，≥8路HDMI信号输出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2.支持≥8路模拟音频解嵌输出接口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3.带屏幕显示实时操作状态和设备IP地址</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4.支持断电记忆功能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5.支持HDMI接口连续热拔插</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6.支持双向串口控制、RJ45控制；输入内置≥7种EDID，≥3840x2160@30Hz，双声道，支持自定义EDID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7.前面板实体按键、RS232串口控制、TCP/IP、上位机软件控制；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8.输⼊输出⽀持HDMI1.4，最⾼分辨3840x2160@30Hz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9.输⼊输出⾊彩空间⽀持RGB4:4:4、YCbCr4:4:4, YCbCr4:2:2等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10.支持高清无缝切换矩阵功能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11.输入兼容DVI/HDMI信号，支持HDMI内嵌音频输入输出切换；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12.≥9种输出分辨率可选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13.输出信号格式支持HDMI、DVI</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（四）、庭审录像系统及其他</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庭审摄像机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3、支持红外补光，红外作用距离不低于30m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4、内置电动变焦镜头变焦范围不低于2.7-8mm</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5、1个内置麦克风，1个内置扬声器；1路报警输入，1路报警输出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6、支持IK10机械碰撞防护等级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7、支持区域入侵侦测，越界侦测，进入区域侦测，离开区域侦测，物品遗留侦测，物品拿取侦测，徘徊侦测等识别检测事件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8、同一场景相同图像质量下设备在H.264或H265编码方式时，开启智能编码功能和不开启智能编码相比，码率节约50%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全景备份摄像机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1、支持输出图像分辨率不低于2560 × 1440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2、最低照度彩色0.005lx</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3、内置GPU芯片，麦克风，扬声器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4、支持不小于4倍光学变焦，变焦过程中不会完全虚焦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5、支持红外补光距离不小于30米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6、支持声音报警功能，报警声音类型不低于10种</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7、支持1路报警输入，1路报警输出，1路音频输入，1路音频输出，1个DC12V电压输出接口，支持DC12V供电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8、同一静止场景相同图像质量下，设备在H.264或H.265编码方式时，开启智能编码功能和不开启智能编码相比，码率节约50%</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9、支持智能报警防干扰功能，智能分析行为类型为区域入侵、越界入侵、进入区域、离开区域</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全向数字降噪拾音器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1、拾音范围：10～70平方米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2、音频传输距离：3000米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3、灵敏度： -46dB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5、指向特性：全方向性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6、信噪比：70dB ( 1米40 dB音源） 35dB (10米40 dB音源） 1KHz at 1 Pa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7、动态范围：50dB(1KHz at Max dB SPL)</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8、最大承受音压： 120dB SPL（1KHz，THD 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9、输出阻抗：最大600欧姆非平衡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10、输出信号幅度：2.5Vpp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11、麦克风：两只高灵敏度电容咪头，内置DSP芯片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12、保护电路：雷击保护、电源极性反接保护</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音频适配器（拾音器专用滤波电源）</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1、拾音器接口：1个三芯（V,A,G）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2、音频输出端子：二个线性输出（1个两芯端子，1个3.5插孔）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3、音量调节：-10dB ～ +10dB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 ～ 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5、输出电压：12VDC±5%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6、输出电流：≤200mA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7、纹波：≤20mvrms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8、输出信号幅度：2.5Vpp/-25db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9、防水特性：户内防潮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10、保护电路：雷击保护、电源极性反转保护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11、拾音器连接方式：电源线V（红色）、音频A（黄色）、公共地G（黑色）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12、拾音器线缆：3芯0.5mm2 RVVP屏蔽电缆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13、音频输出线缆：2芯0.5mm2 RVVP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14、电源输入电压：直流电DC12V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15、工作环境温度：-25℃ ～ 75℃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拾音器专用混音器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1.拾音器接口：2组三芯（电源正极V，音频A，公共地G）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2.音频输出端子：4个莲花头，3个两芯端子，3个3.5插孔（其中MIX为混音输出）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3.音量调节：-20dB ～ +20dB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4.频率响应：20Hz ～ 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5.输出电压：12VDC±5%</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6.输出电流≤200mA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7.纹波≤20mvrms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8.输出信号幅度：2.5Vpp/-25db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9.防水特性：户内防潮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10.保护电路：雷击保护、电源极性反转保护</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11.拾音器连接方式：电源线V、音频A、公共地G</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12.拾音器线缆：3芯0.5mm2 RVVP屏蔽电缆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13.音频输出线缆：2芯0.5mm2 RVVP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14.电源输入电压：直流DC12V</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（五）、中控系统</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中控控制主机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1.支持红外控制、RS-232、RS-422、RS-485、UDP、TCP、telnet、http、MQTT以及SNMP等多种协议，兼容性强，可对接第三方设备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2.≥8路低压继电器，≥8路数字I/O输入，≥8路红外或单向RS-232串行通讯口，≥8路双向RS-232/422/485串行通讯口；    ≥3个LED系统状态指示灯；≥1个RJ45 10M/100M以太网接口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3.支持双机热备份。当中控主机出现故障时，备用中控主机自动承担服务，从而保证系统在不需要人工干预的情况下能正常运行</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4.支持互联网控制。中控主机在连接互联网的情况下，用户可操作手机或平板等移动端通过互联网实现对中控主机远程控制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5.支持视频矩阵可视化控制。用户可通过控制端实时预览、拖动并切换矩阵视频信号，支持设置触碰和投放触发切换方式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6.支持拼接矩阵可视化控制。用户可通过控制端实时预览、放大、缩小、拖动并切换拼接矩阵视频信号，可对输入信号源进行置底、置顶以及一键清屏等操作，支持设置触碰和投放触发切换方式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7.支持远程管理，无需连接外部网络或使用第三方软件，支持多用户远程协同控制，便于现场运维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产品具有≥2种编程方式，包括图形化编程方式及语句式编程方式供用户选择；图形化编程方式具有拖拽式操作界面，用户可通过图形化编程软件内的模块使用信号连接方式构建程序逻辑；语句式编程方式提供功能函数进行自定义编程，用户可以通过编程界面编写控制代码</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有线控制面板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1.ARM架构，≥1.8Ghz主频</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2.内存≥2GB、存储≥8GB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3.屏幕尺寸≥10英寸，分辨率≥1280*800 (16:10），桌面屏设计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4.支持行业标准网络通信协议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5.支持1路千兆网络接口，速率≥1G/bps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6.支持POE供电或独立DC24V/1A电源供电</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7.电容触摸屏，支持多点触控</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灯光控制模块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1、全远程管控：双向通信/状态反馈/设备操控，调试/运维/巡检/异常报警</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2、灯光智能控制：8通道独立控制（延时/顺序/逻辑编程），断电状态记忆 + 自动/手动切换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3、安全防护：过压/欠压/短路/过热保护，磁保持继电器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4、通信：RS485/网络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5、供电：DC12V双电源备份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（六）、法庭内设备线缆</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音箱线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300芯带屏蔽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1500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音频线（话筒用）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128编</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音频线（拾音器用）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RVVP2*0.5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音频线（拾音器用）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RVVP3*0.5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电源线A</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RVV3*2.5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电源线B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RVV3*4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500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长度: 15米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需支持2560 x 1080 @ 75 Hz</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34</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HDMI高清线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长度: 30米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需支持2560 x 1080 @ 75 Hz</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根</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多媒体信息地插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定制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拖线板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插孔数量应不低于6孔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额定功率应不小于2500W</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40</w:t>
            </w: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机柜</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600*600*1200mm，带8位PDU。</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r>
      <w:tr>
        <w:trPr>
          <w:trHeight w:val="289"/>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val="false"/>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五、管网</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255"/>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桥架200*100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镀锌桥架200*100，厚度1.5mm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480</w:t>
            </w:r>
            <w:r>
              <w:rPr>
                <w:rFonts w:hint="eastAsia" w:ascii="方正仿宋_GBK" w:hAnsi="方正仿宋_GBK" w:eastAsia="方正仿宋_GBK" w:cs="方正仿宋_GBK"/>
                <w:color w:val="000000"/>
                <w:sz w:val="20"/>
                <w:szCs w:val="20"/>
              </w:rPr>
            </w:r>
            <w:r/>
          </w:p>
        </w:tc>
      </w:tr>
      <w:tr>
        <w:trPr>
          <w:trHeight w:val="255"/>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配管JDG20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JDG20（镀锌）国标厚度 1.6mm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840</w:t>
            </w:r>
            <w:r>
              <w:rPr>
                <w:rFonts w:hint="eastAsia" w:ascii="方正仿宋_GBK" w:hAnsi="方正仿宋_GBK" w:eastAsia="方正仿宋_GBK" w:cs="方正仿宋_GBK"/>
                <w:color w:val="000000"/>
                <w:sz w:val="20"/>
                <w:szCs w:val="20"/>
              </w:rPr>
            </w:r>
            <w:r/>
          </w:p>
        </w:tc>
      </w:tr>
      <w:tr>
        <w:trPr>
          <w:trHeight w:val="255"/>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配管JDG25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JDG25（镀锌）国标厚度 1.6mm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1200</w:t>
            </w:r>
            <w:r>
              <w:rPr>
                <w:rFonts w:hint="eastAsia" w:ascii="方正仿宋_GBK" w:hAnsi="方正仿宋_GBK" w:eastAsia="方正仿宋_GBK" w:cs="方正仿宋_GBK"/>
                <w:color w:val="000000"/>
                <w:sz w:val="20"/>
                <w:szCs w:val="20"/>
              </w:rPr>
            </w:r>
            <w:r/>
          </w:p>
        </w:tc>
      </w:tr>
      <w:tr>
        <w:trPr>
          <w:trHeight w:val="255"/>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配管JDG32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JDG32（镀锌）国标厚度 1.6mm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米</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200</w:t>
            </w:r>
            <w:r>
              <w:rPr>
                <w:rFonts w:hint="eastAsia" w:ascii="方正仿宋_GBK" w:hAnsi="方正仿宋_GBK" w:eastAsia="方正仿宋_GBK" w:cs="方正仿宋_GBK"/>
                <w:color w:val="000000"/>
                <w:sz w:val="20"/>
                <w:szCs w:val="20"/>
              </w:rPr>
            </w:r>
            <w:r/>
          </w:p>
        </w:tc>
      </w:tr>
      <w:tr>
        <w:trPr>
          <w:trHeight w:val="460"/>
        </w:trPr>
        <w:tc>
          <w:tcPr>
            <w:gridSpan w:val="4"/>
            <w:tcBorders>
              <w:top w:val="single" w:color="000000" w:sz="4" w:space="0"/>
              <w:left w:val="single" w:color="000000" w:sz="4" w:space="0"/>
              <w:bottom w:val="single" w:color="000000" w:sz="4" w:space="0"/>
              <w:right w:val="none" w:color="000000" w:sz="4" w:space="0"/>
            </w:tcBorders>
            <w:tcW w:w="8469"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六、法庭可视化运维</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可视化运维服务器（含运维软件）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1.支持用户可以通过本地网络或直接远程连接到软件平台，实现跨地域的设备管理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2.支持全面管理接入系统的各类硬件设备，包括状态监控、配置调整、故障排查等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3.支持以直观的图表、报表等形式展示设备运行数据、用户行为分析等信息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4.支持远程操控和调试设备，减少现场维护成本</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统一管控可接入系统：视频显示系统、视频矩阵处理系统、数字有源音箱系统、调音台音频处理系统、功率放大器、数字会议系统、无纸化会议系统、电子桌牌系统、视频会议系统、录播系统、语音转录系统、环境控制系统、新风空调系统、照明系统等各种应用。实现设备的可视化监控、独立操控与调试功能、自动告警、故障处置和集中控制的全过程运维管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6.支持可视化监控：实时展示设备状态、会议室环境等关键信息，支持独立操控与集中控制模式切换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7.支持集成化界面，快速定位并解决设备故障，提升运维效率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8.支持4路或多路视频画面监测，实时预览会议室状态</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9.支持实时管控：用户可实时调整环境设备参数，如灯光亮度、空调温度等，满足会议需求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10.支持精细化管理：支持对单设备进行详细配置和精细控制，确保设备性能最优化</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11.支持对接入系统中所有类型设备的故障报警，包括离线报警、设备故障报警、温度过高报警和CPU故障报警等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12.支持运维监测：提供设备运维相关的图表数据，帮助管理员评估设备健康状况和运维效率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13.支持预设多种会议场景，支持一键切换</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14.支持设备分类管理和自由控制模块选择：允许用户自主选择显示或隐藏设备控制模块</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15.支持环境数据检测：实时监测会议室内的温度、湿度、空气质量等环境参数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16.支持能耗管理：分析设备总能耗，辅助制定节能减排策略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17.CPU≥4核8线程，主频≥2.4G，内存≥16GB，硬盘≥512GB SSD</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18.输出≥4×HDMI 4K @60Hz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19.接口≥2xUSB 3.0、2xUSB 2.0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bl>
    <w:p>
      <w:pPr>
        <w:pStyle w:val="931"/>
        <w:rPr>
          <w:rFonts w:hint="eastAsia"/>
        </w:rPr>
      </w:pPr>
      <w:r>
        <w:rPr>
          <w:rFonts w:hint="eastAsia"/>
        </w:rPr>
      </w:r>
      <w:r/>
    </w:p>
    <w:p>
      <w:pPr>
        <w:pStyle w:val="933"/>
        <w:rPr>
          <w:rFonts w:hint="eastAsia"/>
        </w:rPr>
      </w:pPr>
      <w:r/>
      <w:bookmarkStart w:id="203" w:name="_Toc16352"/>
      <w:r>
        <w:rPr>
          <w:rFonts w:hint="eastAsia"/>
        </w:rPr>
        <w:t xml:space="preserve">公共广播</w:t>
      </w:r>
      <w:bookmarkEnd w:id="203"/>
      <w:r>
        <w:rPr>
          <w:rFonts w:hint="eastAsia"/>
        </w:rPr>
      </w:r>
      <w:r/>
    </w:p>
    <w:tbl>
      <w:tblPr>
        <w:tblW w:w="9195" w:type="dxa"/>
        <w:tblInd w:w="-15" w:type="dxa"/>
        <w:tblLayout w:type="fixed"/>
        <w:tblCellMar>
          <w:left w:w="108" w:type="dxa"/>
          <w:top w:w="0" w:type="dxa"/>
          <w:right w:w="108" w:type="dxa"/>
          <w:bottom w:w="0" w:type="dxa"/>
        </w:tblCellMar>
        <w:tblLook w:val="04A0" w:firstRow="1" w:lastRow="0" w:firstColumn="1" w:lastColumn="0" w:noHBand="0" w:noVBand="1"/>
      </w:tblPr>
      <w:tblGrid>
        <w:gridCol w:w="701"/>
        <w:gridCol w:w="1129"/>
        <w:gridCol w:w="6043"/>
        <w:gridCol w:w="659"/>
        <w:gridCol w:w="663"/>
      </w:tblGrid>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主要技术规格</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单位</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数量</w:t>
            </w:r>
            <w:r>
              <w:rPr>
                <w:rFonts w:hint="eastAsia" w:ascii="方正仿宋_GBK" w:hAnsi="方正仿宋_GBK" w:eastAsia="方正仿宋_GBK" w:cs="方正仿宋_GBK"/>
                <w:b/>
                <w:bCs/>
                <w:color w:val="000000"/>
                <w:sz w:val="20"/>
                <w:szCs w:val="20"/>
              </w:rPr>
            </w:r>
            <w:r/>
          </w:p>
        </w:tc>
      </w:tr>
      <w:tr>
        <w:trPr>
          <w:trHeight w:val="420"/>
        </w:trPr>
        <w:tc>
          <w:tcPr>
            <w:gridSpan w:val="4"/>
            <w:tcBorders>
              <w:top w:val="single" w:color="000000" w:sz="4" w:space="0"/>
              <w:left w:val="single" w:color="000000" w:sz="4" w:space="0"/>
              <w:bottom w:val="single" w:color="000000" w:sz="4" w:space="0"/>
              <w:right w:val="none" w:color="000000" w:sz="4" w:space="0"/>
            </w:tcBorders>
            <w:tcW w:w="8532"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一、设备</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IP网络广播控制主机</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31"/>
              <w:numPr>
                <w:ilvl w:val="0"/>
                <w:numId w:val="21"/>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≥双核四线程CPU处理器，内存≥DDR3 8G，硬盘≥128G/SSD固态硬盘</w:t>
            </w:r>
            <w:r>
              <w:rPr>
                <w:rFonts w:hint="eastAsia" w:ascii="方正仿宋_GBK" w:hAnsi="方正仿宋_GBK" w:eastAsia="方正仿宋_GBK" w:cs="方正仿宋_GBK"/>
                <w:color w:val="000000"/>
                <w:sz w:val="20"/>
                <w:szCs w:val="20"/>
                <w:lang w:bidi="ar"/>
              </w:rPr>
            </w:r>
            <w:r/>
          </w:p>
          <w:p>
            <w:pPr>
              <w:pStyle w:val="931"/>
              <w:numPr>
                <w:ilvl w:val="0"/>
                <w:numId w:val="21"/>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屏幕尺寸≥17.3英寸，分辨率≥1920*1080，触摸式液晶屏</w:t>
            </w:r>
            <w:r>
              <w:rPr>
                <w:rFonts w:hint="eastAsia" w:ascii="方正仿宋_GBK" w:hAnsi="方正仿宋_GBK" w:eastAsia="方正仿宋_GBK" w:cs="方正仿宋_GBK"/>
                <w:color w:val="000000"/>
                <w:sz w:val="20"/>
                <w:szCs w:val="20"/>
                <w:lang w:bidi="ar"/>
              </w:rPr>
            </w:r>
            <w:r/>
          </w:p>
          <w:p>
            <w:pPr>
              <w:pStyle w:val="931"/>
              <w:numPr>
                <w:ilvl w:val="0"/>
                <w:numId w:val="21"/>
              </w:numPr>
              <w:jc w:val="left"/>
              <w:widowControl/>
              <w:tabs>
                <w:tab w:val="left" w:pos="312" w:leader="none"/>
              </w:tabs>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兼容TCP/IP、RTP、RTSP、UDP等多种流媒体网络协议，实施跨网关设备控制以及状态实时监控</w:t>
            </w:r>
            <w:r>
              <w:rPr>
                <w:rFonts w:hint="eastAsia" w:ascii="方正仿宋_GBK" w:hAnsi="方正仿宋_GBK" w:eastAsia="方正仿宋_GBK" w:cs="方正仿宋_GBK"/>
                <w:color w:val="000000"/>
                <w:sz w:val="20"/>
                <w:szCs w:val="20"/>
                <w:lang w:bidi="ar"/>
              </w:rPr>
            </w:r>
            <w:r/>
          </w:p>
          <w:p>
            <w:pPr>
              <w:pStyle w:val="93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面板带有超薄DVD光驱</w:t>
            </w:r>
            <w:r>
              <w:rPr>
                <w:rFonts w:hint="eastAsia" w:ascii="方正仿宋_GBK" w:hAnsi="方正仿宋_GBK" w:eastAsia="方正仿宋_GBK" w:cs="方正仿宋_GBK"/>
                <w:color w:val="000000"/>
                <w:sz w:val="20"/>
                <w:szCs w:val="20"/>
              </w:rPr>
            </w:r>
            <w:r/>
          </w:p>
          <w:p>
            <w:pPr>
              <w:pStyle w:val="93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支持网络唤醒，定时开关机，支持上电开机等</w:t>
            </w:r>
            <w:r>
              <w:rPr>
                <w:rFonts w:hint="eastAsia" w:ascii="方正仿宋_GBK" w:hAnsi="方正仿宋_GBK" w:eastAsia="方正仿宋_GBK" w:cs="方正仿宋_GBK"/>
                <w:color w:val="000000"/>
                <w:sz w:val="20"/>
                <w:szCs w:val="20"/>
              </w:rPr>
            </w:r>
            <w:r/>
          </w:p>
          <w:p>
            <w:pPr>
              <w:pStyle w:val="93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系统开机后可自动运行，服务器软件采用后台系统服务运行方式</w:t>
            </w:r>
            <w:r>
              <w:rPr>
                <w:rFonts w:hint="eastAsia" w:ascii="方正仿宋_GBK" w:hAnsi="方正仿宋_GBK" w:eastAsia="方正仿宋_GBK" w:cs="方正仿宋_GBK"/>
                <w:color w:val="000000"/>
                <w:sz w:val="20"/>
                <w:szCs w:val="20"/>
              </w:rPr>
            </w:r>
            <w:r/>
          </w:p>
          <w:p>
            <w:pPr>
              <w:pStyle w:val="93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该中央服务器可灵活配置各智能广播系统及IP网络广播的编程控制软件</w:t>
            </w:r>
            <w:r>
              <w:rPr>
                <w:rFonts w:hint="eastAsia" w:ascii="方正仿宋_GBK" w:hAnsi="方正仿宋_GBK" w:eastAsia="方正仿宋_GBK" w:cs="方正仿宋_GBK"/>
                <w:color w:val="000000"/>
                <w:sz w:val="20"/>
                <w:szCs w:val="20"/>
              </w:rPr>
            </w:r>
            <w:r/>
          </w:p>
          <w:p>
            <w:pPr>
              <w:pStyle w:val="93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IP网络广播控制系统具有手机WIFI点播，支持任意选择播放终端进行广播</w:t>
            </w:r>
            <w:r>
              <w:rPr>
                <w:rFonts w:hint="eastAsia" w:ascii="方正仿宋_GBK" w:hAnsi="方正仿宋_GBK" w:eastAsia="方正仿宋_GBK" w:cs="方正仿宋_GBK"/>
                <w:color w:val="000000"/>
                <w:sz w:val="20"/>
                <w:szCs w:val="20"/>
              </w:rPr>
            </w:r>
            <w:r/>
          </w:p>
          <w:p>
            <w:pPr>
              <w:pStyle w:val="93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实现实时采播、即时呼叫、定时、定点、定节目、定组、多音源自动播放</w:t>
            </w:r>
            <w:r>
              <w:rPr>
                <w:rFonts w:hint="eastAsia" w:ascii="方正仿宋_GBK" w:hAnsi="方正仿宋_GBK" w:eastAsia="方正仿宋_GBK" w:cs="方正仿宋_GBK"/>
                <w:color w:val="000000"/>
                <w:sz w:val="20"/>
                <w:szCs w:val="20"/>
              </w:rPr>
            </w:r>
            <w:r/>
          </w:p>
          <w:p>
            <w:pPr>
              <w:pStyle w:val="93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系统兼容路由器、交换机、网桥网关、Modem、Internet、2G、3G、4G、组播、单播等任意网络结构</w:t>
            </w:r>
            <w:r>
              <w:rPr>
                <w:rFonts w:hint="eastAsia" w:ascii="方正仿宋_GBK" w:hAnsi="方正仿宋_GBK" w:eastAsia="方正仿宋_GBK" w:cs="方正仿宋_GBK"/>
                <w:color w:val="000000"/>
                <w:sz w:val="20"/>
                <w:szCs w:val="20"/>
              </w:rPr>
            </w:r>
            <w:r/>
          </w:p>
          <w:p>
            <w:pPr>
              <w:pStyle w:val="93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标准接口≥6×串口/1×VGA/1*HDMI/2×RJ45/4×USB/4×RCA/1×6.5MIC/1*3.5MIC-in/1*3.5Line-out</w:t>
            </w:r>
            <w:r>
              <w:rPr>
                <w:rFonts w:hint="eastAsia" w:ascii="方正仿宋_GBK" w:hAnsi="方正仿宋_GBK" w:eastAsia="方正仿宋_GBK" w:cs="方正仿宋_GBK"/>
                <w:color w:val="000000"/>
                <w:sz w:val="20"/>
                <w:szCs w:val="20"/>
              </w:rPr>
            </w:r>
            <w:r/>
          </w:p>
          <w:p>
            <w:pPr>
              <w:pStyle w:val="93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音频信号信噪比Line：70dB;Mic：60dB</w:t>
            </w:r>
            <w:r>
              <w:rPr>
                <w:rFonts w:hint="eastAsia" w:ascii="方正仿宋_GBK" w:hAnsi="方正仿宋_GBK" w:eastAsia="方正仿宋_GBK" w:cs="方正仿宋_GBK"/>
                <w:color w:val="000000"/>
                <w:sz w:val="20"/>
                <w:szCs w:val="20"/>
              </w:rPr>
            </w:r>
            <w:r/>
          </w:p>
          <w:p>
            <w:pPr>
              <w:pStyle w:val="93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音频信号失真度：1KHz&lt;0.5%</w:t>
            </w:r>
            <w:r>
              <w:rPr>
                <w:rFonts w:hint="eastAsia" w:ascii="方正仿宋_GBK" w:hAnsi="方正仿宋_GBK" w:eastAsia="方正仿宋_GBK" w:cs="方正仿宋_GBK"/>
                <w:color w:val="000000"/>
                <w:sz w:val="20"/>
                <w:szCs w:val="20"/>
              </w:rPr>
            </w:r>
            <w:r/>
          </w:p>
          <w:p>
            <w:pPr>
              <w:pStyle w:val="93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音频信号标准输入电平：Line:300mV; Mic：5mV</w:t>
            </w:r>
            <w:r>
              <w:rPr>
                <w:rFonts w:hint="eastAsia" w:ascii="方正仿宋_GBK" w:hAnsi="方正仿宋_GBK" w:eastAsia="方正仿宋_GBK" w:cs="方正仿宋_GBK"/>
                <w:color w:val="000000"/>
                <w:sz w:val="20"/>
                <w:szCs w:val="20"/>
              </w:rPr>
            </w:r>
            <w:r/>
          </w:p>
          <w:p>
            <w:pPr>
              <w:pStyle w:val="931"/>
              <w:numPr>
                <w:ilvl w:val="0"/>
                <w:numId w:val="21"/>
              </w:numPr>
              <w:jc w:val="left"/>
              <w:widowControl/>
              <w:tabs>
                <w:tab w:val="left" w:pos="312" w:leader="none"/>
              </w:tabs>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音频信号标准输出电平：0.775dBV</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IP网络广播系统软件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1.具备终端管理功能：支持批量添加终端，终端匹配自动上线；支持列表视图和网格视图、地图模式三种管理模式；支持终端状态及任务状态显示及不同颜色提示；可视对讲终端有视频颜色特殊标识</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2.具备终端故障自动检测功能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提供全双工语音对讲及视频对讲，响应各对讲终端的呼叫和视频通话请求，支持一键呼叫、一键对讲、一键求助、一键报警等通话模式，支持自动接听、手动接听，支持无应答自动转接，转接时间可设置，支持可视对讲终端视频分辨率选择</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4.支持显示实时任务播放列表，支持一键启动和停止任务；支持MP3和WAV音频文件，支持播放歌曲列表显示，可以调整歌曲的播放顺序，支持文本转语音广播，可自定义播放时长，具备实时任务优先级调整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计划任务：支持编程多套定时方案，支持选择任意终端和设置任意时间；支持定时任务执行测试、设置重复周期。支持定时任务多种音源选择（音乐播放、语音合成、终端采集）；支持显示当天定时任务列表，支持任务的复制、粘贴、冻结，每条任务均有执行日志，方便查看及管理；支持自定义开启功放时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6.联动管理：支持消防报警信号接入、短路信号以及其他信号触发，可自定义触发区域，可自定义触发音源播放的时间，触发音源包括媒体库音频文件、终端采集、文本转语音广播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7.支持终端短路输入联动触发，支持多种联动预案，可任意设置联动触发方案和触发终端数量，触发方案包括短路输出、音乐播放、终端采集、语音合成、警报等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8.媒体库：广播系统软件自带音频文件码流转换功能，支持分类保存音频文件，支持音频文件试听及下载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9.历史记录：用户操作、广播、对讲以及终端的注册及离线的记录都可以保存，后期可以根据不同操作类型查看操作及广播记录</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10.录音录像；语音及可视对讲均可在服务器端同步录音录像；可自定义录音录像保存位置，可开启和关闭录音录像，录音录像可以进行下载播放</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11.用户管理：支持超级管理员、管理员、用户、操作员4种用户角色，可对每个用户角色功能及管理终端进行授权，分控端只需要通过浏览器登录即可操作，不需要安装任何插件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12.分区管理：支持批量对终端进行分区，每个分区前会显示分区号，方便用IP话筒进行分区广播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13.广播模式：支持单播、组播两种模式，支持互联网、局域网部署</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14.支持广播系统备份，通过备份广播系统指定文件夹，可以备份终端信息、实时任务列表、定时任务以及媒体库音频文件</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套</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CD播放器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1.标准机柜式设计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2.吸入式机芯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3.微电脑控制，轻触式按键操作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4.高亮度动态VFD荧光显示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5.支持系统+ESS解码方案</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6.兼容DVD、VCD、CD、MP3、SVCD、MPEG4等格式的碟片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7.≥1路音频信号左右声道（L/R）输出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8.具有高清视频输出接口</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数字调谐器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1.标准机柜式设计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2.高亮度动态VFD荧光显示，清晰醒目，微电脑控制，轻触式按键操作</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3.内置MP3播放器自带USB和TF卡接口，可读USB、MP3和TF内存卡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3.调频、调幅（AM/FM）立体声二波段接收可选，电台频率记忆存储可达99个</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4.电台频率自动搜索存储功能，且有断电记忆功能，数据终身记忆永不丢失</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5.内置专业级高保真立体声数码石英锁相环收音系统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6.≥两组接收天线输入：AM接收天线输入；FM接收天线75Ω输入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IP网络消防报警矩阵</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1.标准机架式设计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2.采用嵌入式ARM芯片，可通过WEB登录修改设备参数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3.不少于32路报警输入接口，支持短路触发和12V触发两种方式触发可选，从消防中心接入信号</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4.支持状态报警、开路报警、闭路报警三种模式选择</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5.报警任务可任意选择播放终端，具有报警任务断开停止任务、播放一整首、自定义播放时长三种模式选择</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6.报警任务具有媒体库、音频采集、文本转语音三种音源可选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7.内置不少于1路网络硬件音频解码模块，支持TCP/IP、UDP、IGMP（组播）协议，实现网络化传输16位立体声CD音质的音频信号</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8.支持DHCP，兼容路由器、交换机、网桥网关、Modem、Intelnet、2G、3G、4G、组播、单播等任意网络结构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9.网络通讯协议不劣于TCP/IP、UDP、IGMP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10.网络芯片速率≥10/100Mbps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11.接口≥1路RJ45网口，32路报警输入</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IP网络音频采集器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1.标准机柜式设计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2.设备采用嵌入式计算机和DSP音频处理技术设计，ARM芯片，启动时间小于1s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3.内置不少于1路网络硬件音频解码模块，支持TCP/IP、UDP、IGMP（组播），实现网络化传输16位CD音质的音频信号</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4.不小于2.4寸高亮LED点阵屏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5.可将外接音源播放到指定IP广播及可视对讲终端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6.支持U盘播放，可将U盘内容播放到指定IP终端及可视对讲终端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7.支持蓝牙连接，可将手机音源通过蓝牙播放到指定IP终端及可视对讲终端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8.MP3可实现多种播放模式，随机/单曲循环/全曲循环，自带屏幕可现实播放歌曲名称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9.MP3内置5种音效模式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10.≥10路输入通道，包括6路话筒，3路线路，1路紧急输入接口；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11.具有≥6路线路输出，可接6台纯后级广播功放</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12.话筒输入通道和线路输入通道均可独立调校音量</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13.设有高音和低音独立调节</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14.具有≥三级优先权设计：MIC1为最高优先级，紧急音频信号为第二级，MIC2、3、4、5和线路为第三级</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15.紧急音频信号输入无音量调节，自动默音至30dB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16.内置≥1路网络硬件音频解码模块，支持TCP/IP、UDP、IGMP（组播）协议，实现网络化传输16位立体声CD音质的音频信号</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17.支持DHCP，兼容路由器、交换机、网桥网关、Modem、Intelnet、2G、3G、4G、组播、单播等任意网络结构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18.网络接口：标准RJ45输入；支持协议：TCP/IP、UDP、IGMP、ARP</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19.音频格式：MP3/WAV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20.采样率≥8K-44.1KHz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21.传输速率≥10/100Mbps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22.音频位率≥16bit，32kbps-320kbps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23.音调调节：低音:±10dBat100Hz高音:±10dBat10KHz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24.紧急输入≥1路，10kΩ/0.775V，不平衡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25.话筒默音：MIC1输入强切其他输入，强切灵敏度可调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26.默音抑制能力：MIC1输入时:MIC2-MIC6、AUX1-AUX3、EMC1信号衰减0-30dB;EMC1紧急输入时:MIC2-MIC5,AUX1-AUX3信号衰减0-30dB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网络寻呼话筒</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1、采用ARM架构芯片，支持局域网及互联网接入</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2、采用桌面式话筒设计，支持屏幕可视角度调节，带有不小于10.1英寸电容触摸显示屏；支持通过触摸呼叫广播及发起对讲；支持呼叫终端及多个终端、呼叫分区及多个分区、呼叫全区广播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3、内置不少于1路网络硬件音频解码模块，具有不少于1路RJ45网络接口，不低于100Mbps传输速率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4.支持双向可视对讲功能，内置3W全频扬声器，实现双向通话</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5.支持不少于1路3.5mm音频线路输入，支持采集播放功能；具有不少于1路3.5mm音频线路输出，可外接功率放大器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6.支持直接操作呼叫或对讲任意终端，支持通过话筒广播呼叫功能，广播延时低于100毫秒，支持线路输入采集及U盘广播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7、支持多种呼叫策略，包括手动转移、无响应转移、占线转移、关机转移；自动接听、手动接听</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8、支持用户权限设置，可设置管理和显示指定分区及终端</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9、支持操作登录密码验证、操作登录密码验证支持开启和关闭</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10、支持广播提示音开启和关闭选择</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11、支持紧急广播、预警广播、自然灾害、地震广播四个快捷键，长按快捷键可以快速发起设置好的广播任务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12、具有不少于1路短路输出接口、1路短路输入接口</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13、支持WEB修改和配置话筒参数，包括本机IP、服务器IP、用户权限参数等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14、支持自定义寻呼话筒是否接收广播，可以手动开启和关闭</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监听音箱</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1.一体化壁挂式设计，符合声音共振原理设计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2.设备采用嵌入式计算机和DSP音频处理技术设计，ARM芯片，启动时间小于1s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3.内置≥1路网络硬件音频解码模块，支持TCP/IP、UDP、IGMP（组播），实现网络化传输16位CD音质的音频信号</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4.内置D类立体声不小于2×20W功率，1路接主音箱，1路外接副音箱</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5.采用不小于5.25寸中低音单元与1.5寸高音单元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6.不少于1路线路输入，1路话筒输入，具有独立的音量电位器控制，用于接入本地其他音源进行扩声</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7.内置WEB服务器、提供浏览器远程配置和网络升级功能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8.支持DHCP，兼容路由器、交换机、网桥网关、Modem、Internet、2G、3G、4G、组播、单播等任意网络结构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9.传输速率≥10/100Mbps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10.支持ARP、UDP、TCP/IP、ICMP、IGMP等协议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11.功率输出≥2*20W/8Ω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12.输入灵敏度不低于音频输入:550mV/600Ω </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13.音频位率≥32Kbps～320Kbps自适应</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14.频率响应≥40Hz～20KHz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15.信噪比：≥85dB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16.总谐波失真：≤0.1%(@1W)</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9</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电源时序器</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1、通道数量≥8路可控，1路直通。前一后八输出，采用万能插座适用各种插头</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2、电源输入接线方式≥3×6平方电缆线，≥1.3米</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3、时序控制输出通道数目≥8个兼容型电源插座（后机板）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4、无时序控制输出通道数目≥2个兼容型电源插座（前机板）</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5、每通道提供的最大输出电流：音频设备负载&lt;20A；线性纯阻负载&lt;13A</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6、时序控制方式：面板开关控制、线控或联机控制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7、具备时序直通功能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8、具备时序每通道独立开关功能</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0</wp:posOffset>
                      </wp:positionH>
                      <wp:positionV relativeFrom="paragraph">
                        <wp:posOffset>0</wp:posOffset>
                      </wp:positionV>
                      <wp:extent cx="4916805" cy="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491680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301;o:allowoverlap:true;o:allowincell:true;mso-position-horizontal-relative:text;margin-left:0.0pt;mso-position-horizontal:absolute;mso-position-vertical-relative:text;margin-top:0.0pt;mso-position-vertical:absolute;width:387.1pt;height:0.0pt;mso-wrap-distance-left:9.0pt;mso-wrap-distance-top:0.0pt;mso-wrap-distance-right:9.0pt;mso-wrap-distance-bottom:0.0pt;" stroked="f">
                      <v:path textboxrect="0,0,0,0"/>
                      <v:imagedata r:id="rId58" o:title=""/>
                    </v:shape>
                  </w:pict>
                </mc:Fallback>
              </mc:AlternateContent>
            </w:r>
            <w:r>
              <w:rPr>
                <w:rFonts w:hint="eastAsia" w:ascii="方正仿宋_GBK" w:hAnsi="方正仿宋_GBK" w:eastAsia="方正仿宋_GBK" w:cs="方正仿宋_GBK"/>
                <w:color w:val="000000"/>
                <w:sz w:val="20"/>
                <w:szCs w:val="20"/>
                <w:lang w:bidi="ar"/>
              </w:rPr>
              <w:t xml:space="preserve">10</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IP网络功放</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1.标准机架式设计</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2.设备采用嵌入式计算机和DSP音频处理技术设计，高速工业级ARM芯片，启动时间小于1s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3.内置不少于1路网络硬件音频解码模块，支持TCP/IP、UDP、IGMP（组播），实现网络化传输16位CD音质的音频信号</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4.不少于2路线路输入，AUX1，AUX2，1路辅助输出</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5.不少于2路话筒输入，话筒MIC1具强切默音功能，具有最高优先权</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6.各路输入具有独立音量调节，且总音量具有高音、低音调节及音量大小控制</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7.额定输出功率≥70W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8.不少于2种功率输出方式：定压输出70V、100V和定阻输出4～16Ω</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9.内置智能温度检测驱动风冷，采用低噪声风扇</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10.具有短路、过载、过热、饱和失真、直流输出等保护功能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11.内置WEB服务器、提供浏览器远程配置和网络升级功能</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12.支持DHCP，兼容路由器、交换机、网桥网关、Modem、Internet、2G、3G、4G、组播、单播等任意网络结构</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13.网络接口：标准RJ45，支持TCP/IP、UDP、ARP、ICMP、IGMP等网络通讯协议；</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14.传输速率≥10/100Mbps</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15.音频模式不低于16位立体声音质</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16.采样率≥8K-48KHz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17.信噪比：＞85dB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18.频率响应≥80Hz-16KHz/±3dB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19.线路失真度＜0.1%</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20.话筒失真度＜0.3%</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21.音调调节：低音:±10dBat100Hz高音:±10dBat10KHz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22.话筒默音：MIC1强切，强切灵敏度可调范围0-38dB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台</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7</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0</wp:posOffset>
                      </wp:positionH>
                      <wp:positionV relativeFrom="paragraph">
                        <wp:posOffset>0</wp:posOffset>
                      </wp:positionV>
                      <wp:extent cx="4916805" cy="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491680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302;o:allowoverlap:true;o:allowincell:true;mso-position-horizontal-relative:text;margin-left:0.0pt;mso-position-horizontal:absolute;mso-position-vertical-relative:text;margin-top:0.0pt;mso-position-vertical:absolute;width:387.1pt;height:0.0pt;mso-wrap-distance-left:9.0pt;mso-wrap-distance-top:0.0pt;mso-wrap-distance-right:9.0pt;mso-wrap-distance-bottom:0.0pt;" stroked="f">
                      <v:path textboxrect="0,0,0,0"/>
                      <v:imagedata r:id="rId59" o:title=""/>
                    </v:shape>
                  </w:pict>
                </mc:Fallback>
              </mc:AlternateContent>
            </w:r>
            <w:r>
              <w:rPr>
                <w:rFonts w:hint="eastAsia" w:ascii="方正仿宋_GBK" w:hAnsi="方正仿宋_GBK" w:eastAsia="方正仿宋_GBK" w:cs="方正仿宋_GBK"/>
                <w:color w:val="000000"/>
                <w:sz w:val="20"/>
                <w:szCs w:val="20"/>
                <w:lang w:bidi="ar"/>
              </w:rPr>
              <w:t xml:space="preserve">11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吸顶喇叭</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1.全频带单元喇叭，全频段范围覆盖</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2.特殊阻尼处理，降低失真</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3.额定功率不低于5W/8W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4.最大功率不低于8W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5.输入电压不低于70V/100V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6.灵敏度不低于91dB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7.频率响应不低于110Hz-15KHz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8.最大声压级不低于97dB</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48</w:t>
            </w: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壁挂音箱</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1.额定功率不低于5W/10W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2.最大功率不低于13W</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3.输入电压不低于70V/100V</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4.灵敏度不低于95dB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5.频率响应不低于110Hz-13KHz</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6.最大声压级不低于94dB</w:t>
            </w:r>
            <w:r>
              <w:rPr>
                <w:rFonts w:hint="eastAsia" w:ascii="方正仿宋_GBK" w:hAnsi="方正仿宋_GBK" w:eastAsia="方正仿宋_GBK" w:cs="方正仿宋_GBK"/>
                <w:color w:val="000000"/>
                <w:sz w:val="20"/>
                <w:szCs w:val="20"/>
                <w:lang w:bidi="ar"/>
              </w:rPr>
              <w:br w:type="textWrapping" w:clear="all"/>
            </w:r>
            <w:r>
              <w:rPr>
                <w:rFonts w:hint="eastAsia" w:ascii="方正仿宋_GBK" w:hAnsi="方正仿宋_GBK" w:eastAsia="方正仿宋_GBK" w:cs="方正仿宋_GBK"/>
                <w:color w:val="000000"/>
                <w:sz w:val="20"/>
                <w:szCs w:val="20"/>
                <w:lang w:bidi="ar"/>
              </w:rPr>
              <w:t xml:space="preserve">7.单元不低于5英寸全频×1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只</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r>
      <w:tr>
        <w:trPr>
          <w:trHeight w:val="420"/>
        </w:trPr>
        <w:tc>
          <w:tcPr>
            <w:gridSpan w:val="4"/>
            <w:tcBorders>
              <w:top w:val="single" w:color="000000" w:sz="4" w:space="0"/>
              <w:left w:val="single" w:color="000000" w:sz="4" w:space="0"/>
              <w:bottom w:val="single" w:color="000000" w:sz="4" w:space="0"/>
              <w:right w:val="none" w:color="000000" w:sz="4" w:space="0"/>
            </w:tcBorders>
            <w:tcW w:w="8532" w:type="dxa"/>
            <w:vAlign w:val="center"/>
            <w:textDirection w:val="lrTb"/>
            <w:noWrap/>
          </w:tcPr>
          <w:p>
            <w:pPr>
              <w:pStyle w:val="931"/>
              <w:jc w:val="left"/>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二、广播专用线</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广播线</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043"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ZR-RVS2*1.5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m</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520</w:t>
            </w:r>
            <w:r>
              <w:rPr>
                <w:rFonts w:hint="eastAsia" w:ascii="方正仿宋_GBK" w:hAnsi="方正仿宋_GBK" w:eastAsia="方正仿宋_GBK" w:cs="方正仿宋_GBK"/>
                <w:color w:val="000000"/>
                <w:sz w:val="20"/>
                <w:szCs w:val="20"/>
              </w:rPr>
            </w:r>
            <w:r/>
          </w:p>
        </w:tc>
      </w:tr>
    </w:tbl>
    <w:p>
      <w:pPr>
        <w:pStyle w:val="931"/>
        <w:rPr>
          <w:rFonts w:hint="eastAsia"/>
        </w:rPr>
      </w:pPr>
      <w:r>
        <w:rPr>
          <w:rFonts w:hint="eastAsia"/>
        </w:rPr>
      </w:r>
      <w:r/>
    </w:p>
    <w:p>
      <w:pPr>
        <w:pStyle w:val="933"/>
        <w:rPr>
          <w:rFonts w:hint="eastAsia"/>
        </w:rPr>
      </w:pPr>
      <w:r/>
      <w:bookmarkStart w:id="204" w:name="_Toc29524"/>
      <w:r>
        <w:rPr>
          <w:rFonts w:hint="eastAsia"/>
        </w:rPr>
        <w:t xml:space="preserve">标▲号指标</w:t>
      </w:r>
      <w:r>
        <w:rPr>
          <w:rFonts w:hint="eastAsia"/>
        </w:rPr>
      </w:r>
      <w:r/>
    </w:p>
    <w:tbl>
      <w:tblPr>
        <w:tblW w:w="9195" w:type="dxa"/>
        <w:tblInd w:w="-15" w:type="dxa"/>
        <w:tblLayout w:type="fixed"/>
        <w:tblCellMar>
          <w:left w:w="108" w:type="dxa"/>
          <w:top w:w="0" w:type="dxa"/>
          <w:right w:w="108" w:type="dxa"/>
          <w:bottom w:w="0" w:type="dxa"/>
        </w:tblCellMar>
        <w:tblLook w:val="04A0" w:firstRow="1" w:lastRow="0" w:firstColumn="1" w:lastColumn="0" w:noHBand="0" w:noVBand="1"/>
      </w:tblPr>
      <w:tblGrid>
        <w:gridCol w:w="655"/>
        <w:gridCol w:w="1575"/>
        <w:gridCol w:w="6965"/>
      </w:tblGrid>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序号</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设备名称</w:t>
            </w:r>
            <w:r>
              <w:rPr>
                <w:rFonts w:hint="eastAsia" w:ascii="方正仿宋_GBK" w:hAnsi="方正仿宋_GBK" w:eastAsia="方正仿宋_GBK" w:cs="方正仿宋_GBK"/>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rPr>
            </w:pPr>
            <w:r>
              <w:rPr>
                <w:rFonts w:hint="eastAsia" w:ascii="方正仿宋_GBK" w:hAnsi="方正仿宋_GBK" w:eastAsia="方正仿宋_GBK" w:cs="方正仿宋_GBK"/>
                <w:b/>
                <w:bCs/>
                <w:color w:val="000000"/>
                <w:sz w:val="20"/>
                <w:szCs w:val="20"/>
                <w:lang w:bidi="ar"/>
              </w:rPr>
              <w:t xml:space="preserve">证明材料</w:t>
            </w:r>
            <w:r>
              <w:rPr>
                <w:rFonts w:hint="eastAsia" w:ascii="方正仿宋_GBK" w:hAnsi="方正仿宋_GBK" w:eastAsia="方正仿宋_GBK" w:cs="方正仿宋_GBK"/>
                <w:b/>
                <w:bCs/>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室外筒型网络摄像机</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▲支持智能分析抗干扰功能，当篮球、小狗、树叶等非人或车辆目标经过检测区域时，不会触发报警。（需提供国家认可的第三方检验检测机构出具的检验检测报告复印件证明）</w:t>
            </w:r>
            <w:r>
              <w:rPr>
                <w:rFonts w:hint="eastAsia" w:ascii="方正仿宋_GBK" w:hAnsi="方正仿宋_GBK" w:eastAsia="方正仿宋_GBK" w:cs="方正仿宋_GBK"/>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大模型周界网络摄像机</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▲当报警产生时，可触发联动声音报警。报警声音类型不低于 10 种，报警音量和重复次数可设置。（需提供国家认可的第三方检验检测机构出具的检验检测报告复印件证明）</w:t>
            </w:r>
            <w:r>
              <w:rPr>
                <w:rFonts w:hint="eastAsia" w:ascii="方正仿宋_GBK" w:hAnsi="方正仿宋_GBK" w:eastAsia="方正仿宋_GBK" w:cs="方正仿宋_GBK"/>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人脸分析服务器</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top"/>
            <w:textDirection w:val="lrTb"/>
            <w:noWrap/>
          </w:tcPr>
          <w:p>
            <w:pPr>
              <w:pStyle w:val="93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w:t>
            </w:r>
            <w:r>
              <w:rPr>
                <w:rFonts w:hint="eastAsia" w:ascii="方正仿宋_GBK" w:hAnsi="方正仿宋_GBK" w:eastAsia="方正仿宋_GBK" w:cs="方正仿宋_GBK"/>
                <w:color w:val="000000"/>
                <w:sz w:val="20"/>
                <w:szCs w:val="20"/>
              </w:rPr>
              <w:t xml:space="preserve">支持人员档案聚合，一人一档功能，可将陌生人自动归入到档案库，并统计和展示每个陌生人出现的次数，多次出现的陌生人，设备自动选取一张评分最高的人脸图片作为人员档案封面</w:t>
            </w:r>
            <w:r>
              <w:rPr>
                <w:rFonts w:hint="eastAsia" w:ascii="方正仿宋_GBK" w:hAnsi="方正仿宋_GBK" w:eastAsia="方正仿宋_GBK" w:cs="方正仿宋_GBK"/>
                <w:color w:val="000000"/>
                <w:sz w:val="20"/>
                <w:szCs w:val="20"/>
                <w:lang w:bidi="ar"/>
              </w:rPr>
              <w:t xml:space="preserve">（需提供国家认可的第三方检验检测机构出具的检验检测报告复印件证明）</w:t>
            </w:r>
            <w:r>
              <w:rPr>
                <w:rFonts w:hint="eastAsia" w:ascii="方正仿宋_GBK" w:hAnsi="方正仿宋_GBK" w:eastAsia="方正仿宋_GBK" w:cs="方正仿宋_GBK"/>
                <w:color w:val="000000"/>
                <w:sz w:val="20"/>
                <w:szCs w:val="20"/>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文搜型存储服务器</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▲大模型以文搜图：内置图文搜索引擎，支持开放式语义检索，输入文字描述即可查找人、车、非机动车及附属物等目标（需提供国家认可的第三方检验检测机构出具的检验检测报告复印件证明）</w:t>
            </w:r>
            <w:r>
              <w:rPr>
                <w:rFonts w:hint="eastAsia" w:ascii="方正仿宋_GBK" w:hAnsi="方正仿宋_GBK" w:eastAsia="方正仿宋_GBK" w:cs="方正仿宋_GBK"/>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国密门禁控制器</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▲控制器支持GM/T0028-2024《密码模块安全要求》安全二级，并支持在商用密码检测中心官网查询证书有效性。</w:t>
            </w:r>
            <w:r>
              <w:rPr>
                <w:rFonts w:hint="eastAsia" w:ascii="方正仿宋_GBK" w:hAnsi="方正仿宋_GBK" w:eastAsia="方正仿宋_GBK" w:cs="方正仿宋_GBK"/>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sz w:val="20"/>
                <w:szCs w:val="20"/>
              </w:rPr>
            </w:pPr>
            <w:r>
              <w:rPr>
                <w:rFonts w:hint="eastAsia" w:ascii="方正仿宋_GBK" w:hAnsi="方正仿宋_GBK" w:eastAsia="方正仿宋_GBK" w:cs="方正仿宋_GBK"/>
                <w:sz w:val="20"/>
                <w:szCs w:val="20"/>
                <w:lang w:bidi="ar"/>
              </w:rPr>
              <w:t xml:space="preserve">6</w:t>
            </w:r>
            <w:r>
              <w:rPr>
                <w:rFonts w:hint="eastAsia" w:ascii="方正仿宋_GBK" w:hAnsi="方正仿宋_GBK" w:eastAsia="方正仿宋_GBK" w:cs="方正仿宋_GBK"/>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3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真分集无线一拖二手持话筒</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▲后面板≥1个type-c接口、≥1个网口、≥1路音频输入与1路反馈声输出 （证明材料：提供设备接口截图佐证）</w:t>
            </w:r>
            <w:r>
              <w:rPr>
                <w:rFonts w:hint="eastAsia" w:ascii="方正仿宋_GBK" w:hAnsi="方正仿宋_GBK" w:eastAsia="方正仿宋_GBK" w:cs="方正仿宋_GBK"/>
                <w:sz w:val="20"/>
                <w:szCs w:val="20"/>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sz w:val="20"/>
                <w:szCs w:val="20"/>
              </w:rPr>
            </w:pPr>
            <w:r>
              <w:rPr>
                <w:rFonts w:hint="eastAsia" w:ascii="方正仿宋_GBK" w:hAnsi="方正仿宋_GBK" w:eastAsia="方正仿宋_GBK" w:cs="方正仿宋_GBK"/>
                <w:sz w:val="20"/>
                <w:szCs w:val="20"/>
                <w:lang w:bidi="ar"/>
              </w:rPr>
              <w:t xml:space="preserve">7</w:t>
            </w:r>
            <w:r>
              <w:rPr>
                <w:rFonts w:hint="eastAsia" w:ascii="方正仿宋_GBK" w:hAnsi="方正仿宋_GBK" w:eastAsia="方正仿宋_GBK" w:cs="方正仿宋_GBK"/>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3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AI反馈抑制增益器</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▲DNN深度神经网络的AI自学习声反馈抑制功能，支持自动增益控制功能，能有效的提高话筒的拾音距离，不低于60cm（需提供国家认可的第三方检验检测机构出具的检验检测报告复印件证明）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bidi="ar"/>
              </w:rPr>
              <w:t xml:space="preserve">8</w:t>
            </w:r>
            <w:r>
              <w:rPr>
                <w:rFonts w:hint="eastAsia" w:ascii="方正仿宋_GBK" w:hAnsi="方正仿宋_GBK" w:eastAsia="方正仿宋_GBK" w:cs="方正仿宋_GBK"/>
                <w:color w:val="000000"/>
                <w:sz w:val="20"/>
                <w:szCs w:val="20"/>
              </w:rPr>
            </w:r>
            <w:r/>
          </w:p>
        </w:tc>
        <w:tc>
          <w:tcPr>
            <w:tcBorders>
              <w:top w:val="single" w:color="000000" w:sz="4" w:space="0"/>
              <w:left w:val="single" w:color="000000" w:sz="4" w:space="0"/>
              <w:bottom w:val="none" w:color="000000" w:sz="0" w:space="0"/>
              <w:right w:val="single" w:color="000000" w:sz="4" w:space="0"/>
            </w:tcBorders>
            <w:tcW w:w="1575" w:type="dxa"/>
            <w:vAlign w:val="center"/>
            <w:vMerge w:val="restart"/>
            <w:textDirection w:val="lrTb"/>
            <w:noWrap w:val="false"/>
          </w:tcPr>
          <w:p>
            <w:pPr>
              <w:pStyle w:val="93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视频会议终端</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▲支持≥4路高清视频输入接口（至少含1个HDBaseT接口、2个HDMI输入口）、≥2路高清视频输出接口。）（需提供国家认可的第三方检验检测机构出具的检验检测报告复印件证明）</w:t>
            </w:r>
            <w:r>
              <w:rPr>
                <w:rFonts w:hint="eastAsia" w:ascii="方正仿宋_GBK" w:hAnsi="方正仿宋_GBK" w:eastAsia="方正仿宋_GBK" w:cs="方正仿宋_GBK"/>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ascii="方正仿宋_GBK" w:hAnsi="方正仿宋_GBK" w:eastAsia="方正仿宋_GBK" w:cs="方正仿宋_GBK"/>
                <w:color w:val="000000"/>
                <w:sz w:val="20"/>
                <w:szCs w:val="20"/>
                <w:lang w:val="en-US" w:eastAsia="zh-CN" w:bidi="ar"/>
              </w:rPr>
            </w:pPr>
            <w:r>
              <w:rPr>
                <w:rFonts w:hint="eastAsia" w:ascii="方正仿宋_GBK" w:hAnsi="方正仿宋_GBK" w:eastAsia="方正仿宋_GBK" w:cs="方正仿宋_GBK"/>
                <w:color w:val="000000"/>
                <w:sz w:val="20"/>
                <w:szCs w:val="20"/>
                <w:lang w:val="en-US" w:eastAsia="zh-CN" w:bidi="ar"/>
              </w:rPr>
              <w:t xml:space="preserve">9</w:t>
            </w:r>
            <w:r>
              <w:rPr>
                <w:rFonts w:ascii="方正仿宋_GBK" w:hAnsi="方正仿宋_GBK" w:eastAsia="方正仿宋_GBK" w:cs="方正仿宋_GBK"/>
                <w:color w:val="000000"/>
                <w:sz w:val="20"/>
                <w:szCs w:val="20"/>
                <w:lang w:val="en-US" w:eastAsia="zh-CN" w:bidi="ar"/>
              </w:rPr>
            </w:r>
            <w:r/>
          </w:p>
        </w:tc>
        <w:tc>
          <w:tcPr>
            <w:tcBorders>
              <w:top w:val="none" w:color="000000" w:sz="0"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3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▲支持内置视频矩阵功能，可在终端控制系统上灵活配置任意视频输入和输出接口之间的对应关系。（需提供国家认可的第三方检验检测机构出具的检验检测报告复印件证明）</w:t>
            </w:r>
            <w:r>
              <w:rPr>
                <w:rFonts w:hint="eastAsia" w:ascii="方正仿宋_GBK" w:hAnsi="方正仿宋_GBK" w:eastAsia="方正仿宋_GBK" w:cs="方正仿宋_GBK"/>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ascii="方正仿宋_GBK" w:hAnsi="方正仿宋_GBK" w:eastAsia="方正仿宋_GBK" w:cs="方正仿宋_GBK"/>
                <w:color w:val="000000"/>
                <w:sz w:val="20"/>
                <w:szCs w:val="20"/>
                <w:lang w:val="en-US" w:eastAsia="zh-CN" w:bidi="ar"/>
              </w:rPr>
            </w:pPr>
            <w:r>
              <w:rPr>
                <w:rFonts w:hint="eastAsia" w:ascii="方正仿宋_GBK" w:hAnsi="方正仿宋_GBK" w:eastAsia="方正仿宋_GBK" w:cs="方正仿宋_GBK"/>
                <w:color w:val="000000"/>
                <w:sz w:val="20"/>
                <w:szCs w:val="20"/>
                <w:lang w:val="en-US" w:eastAsia="zh-CN" w:bidi="ar"/>
              </w:rPr>
              <w:t xml:space="preserve">10</w:t>
            </w:r>
            <w:r>
              <w:rPr>
                <w:rFonts w:ascii="方正仿宋_GBK" w:hAnsi="方正仿宋_GBK" w:eastAsia="方正仿宋_GBK" w:cs="方正仿宋_GBK"/>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931"/>
              <w:jc w:val="center"/>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画面融合服务器</w:t>
            </w:r>
            <w:r>
              <w:rPr>
                <w:rFonts w:hint="eastAsia" w:ascii="方正仿宋_GBK" w:hAnsi="方正仿宋_GBK" w:eastAsia="方正仿宋_GBK" w:cs="方正仿宋_GBK"/>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▲提供由国家版权局出具的画面合成系统相关软件著作权证书</w:t>
            </w:r>
            <w:r>
              <w:rPr>
                <w:rFonts w:hint="eastAsia" w:ascii="等线" w:hAnsi="等线" w:eastAsia="等线" w:cs="方正仿宋_GBK"/>
                <w:color w:val="000000"/>
                <w:sz w:val="20"/>
                <w:szCs w:val="20"/>
                <w:lang w:bidi="ar"/>
              </w:rPr>
              <w:t xml:space="preserve">，</w:t>
            </w:r>
            <w:r>
              <w:rPr>
                <w:rFonts w:hint="eastAsia" w:ascii="方正仿宋_GBK" w:hAnsi="方正仿宋_GBK" w:eastAsia="方正仿宋_GBK" w:cs="方正仿宋_GBK"/>
                <w:color w:val="000000"/>
                <w:sz w:val="20"/>
                <w:szCs w:val="20"/>
                <w:lang w:bidi="ar"/>
              </w:rPr>
              <w:t xml:space="preserve">（提供证书原件扫描件）</w:t>
            </w:r>
            <w:r>
              <w:rPr>
                <w:rFonts w:hint="eastAsia" w:ascii="方正仿宋_GBK" w:hAnsi="方正仿宋_GBK" w:eastAsia="方正仿宋_GBK" w:cs="方正仿宋_GBK"/>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等线" w:cs="方正仿宋_GBK"/>
                <w:sz w:val="20"/>
                <w:szCs w:val="20"/>
                <w:lang w:eastAsia="zh-CN"/>
              </w:rPr>
            </w:pPr>
            <w:r>
              <w:rPr>
                <w:rFonts w:hint="eastAsia" w:ascii="方正仿宋_GBK" w:hAnsi="方正仿宋_GBK" w:eastAsia="等线" w:cs="方正仿宋_GBK"/>
                <w:sz w:val="20"/>
                <w:szCs w:val="20"/>
              </w:rPr>
              <w:t xml:space="preserve">1</w:t>
            </w:r>
            <w:r>
              <w:rPr>
                <w:rFonts w:hint="eastAsia" w:ascii="方正仿宋_GBK" w:hAnsi="方正仿宋_GBK" w:eastAsia="等线" w:cs="方正仿宋_GBK"/>
                <w:sz w:val="20"/>
                <w:szCs w:val="20"/>
                <w:lang w:val="en-US" w:eastAsia="zh-CN"/>
              </w:rPr>
              <w:t xml:space="preserve">1</w:t>
            </w:r>
            <w:r>
              <w:rPr>
                <w:rFonts w:hint="eastAsia" w:ascii="方正仿宋_GBK" w:hAnsi="方正仿宋_GBK" w:eastAsia="等线"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pStyle w:val="93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语音转写声卡</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▲NPU：内置≥6TOPS（int8）NPU 加速器（需提供国家认可的第三方检验检测机构出具的检验检测报告复印件证明）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sz w:val="20"/>
                <w:szCs w:val="20"/>
                <w:lang w:eastAsia="zh-CN"/>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2</w:t>
            </w:r>
            <w:r>
              <w:rPr>
                <w:rFonts w:hint="eastAsia" w:ascii="方正仿宋_GBK" w:hAnsi="方正仿宋_GBK" w:eastAsia="方正仿宋_GBK"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3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▲音频算法：为保证庭审过程中语音采集的质量要求，需集成多维度智能音频处理算法套件，需至少包括AI精准防串音算法 （切麦准确率≥98%）、EQ、混音、反馈消除、回声消除、噪声抑制、自动增益控制（需提供国家认可的第三方检验检测机构出具的检验检测报告复印件证明）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sz w:val="20"/>
                <w:szCs w:val="20"/>
                <w:lang w:eastAsia="zh-CN"/>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3</w:t>
            </w:r>
            <w:r>
              <w:rPr>
                <w:rFonts w:hint="eastAsia" w:ascii="方正仿宋_GBK" w:hAnsi="方正仿宋_GBK" w:eastAsia="方正仿宋_GBK"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pStyle w:val="93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语音转写服务</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庭审信息语音播报：对于开庭需要宣读的法庭纪律、审判人员入庭和证人出庭等内容，系统能够通过客户端软件由系统进行自动语音播报，并且支持播报速度的人工调整。语音播报的中文语音合成技术自然度≥4.5分（按播音员播报标准为5分计算）。（需提供系统功能截图，并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sz w:val="20"/>
                <w:szCs w:val="20"/>
                <w:lang w:eastAsia="zh-CN"/>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4</w:t>
            </w:r>
            <w:r>
              <w:rPr>
                <w:rFonts w:hint="eastAsia" w:ascii="方正仿宋_GBK" w:hAnsi="方正仿宋_GBK" w:eastAsia="方正仿宋_GBK"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3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为保障庭审活动的高效开展与转写结果的可用度，系统支持多种方言口音的免切换语音识别转写。系统支持中文普通话的识别字正确率≥99.50%；（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sz w:val="20"/>
                <w:szCs w:val="20"/>
                <w:lang w:eastAsia="zh-CN"/>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5</w:t>
            </w:r>
            <w:r>
              <w:rPr>
                <w:rFonts w:hint="eastAsia" w:ascii="方正仿宋_GBK" w:hAnsi="方正仿宋_GBK" w:eastAsia="方正仿宋_GBK"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3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▲需基于语音内容及指令，庭审行为识别等技术完成融合应用，需实现场景目标要素定位准确率不低于85%（需提供国家认可的第三方检验检测机构出具的检验检测报告复印件证明）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sz w:val="20"/>
                <w:szCs w:val="20"/>
                <w:lang w:eastAsia="zh-CN"/>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6</w:t>
            </w:r>
            <w:r>
              <w:rPr>
                <w:rFonts w:hint="eastAsia" w:ascii="方正仿宋_GBK" w:hAnsi="方正仿宋_GBK" w:eastAsia="方正仿宋_GBK" w:cs="方正仿宋_GBK"/>
                <w:sz w:val="20"/>
                <w:szCs w:val="20"/>
                <w:lang w:eastAsia="zh-CN"/>
              </w:rPr>
            </w:r>
            <w:r/>
          </w:p>
        </w:tc>
        <w:tc>
          <w:tcPr>
            <w:tcBorders>
              <w:top w:val="single" w:color="000000" w:sz="4" w:space="0"/>
              <w:left w:val="single" w:color="000000" w:sz="4" w:space="0"/>
              <w:bottom w:val="none" w:color="000000" w:sz="0" w:space="0"/>
              <w:right w:val="single" w:color="000000" w:sz="4" w:space="0"/>
            </w:tcBorders>
            <w:tcW w:w="1575" w:type="dxa"/>
            <w:vAlign w:val="center"/>
            <w:vMerge w:val="restart"/>
            <w:textDirection w:val="lrTb"/>
            <w:noWrap w:val="false"/>
          </w:tcPr>
          <w:p>
            <w:pPr>
              <w:pStyle w:val="93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电子质证应用系统</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庭中证据随讲随翻：支持卷宗目录与语音转写智能匹配，庭审中，语音关键词识别到后电子证据联动随翻，辅助法官进行材料快速定位。（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sz w:val="20"/>
                <w:szCs w:val="20"/>
                <w:lang w:eastAsia="zh-CN" w:bidi="ar"/>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7</w:t>
            </w:r>
            <w:r>
              <w:rPr>
                <w:rFonts w:hint="eastAsia" w:ascii="方正仿宋_GBK" w:hAnsi="方正仿宋_GBK" w:eastAsia="方正仿宋_GBK" w:cs="方正仿宋_GBK"/>
                <w:sz w:val="20"/>
                <w:szCs w:val="20"/>
                <w:lang w:eastAsia="zh-CN" w:bidi="ar"/>
              </w:rPr>
            </w:r>
            <w:r/>
          </w:p>
        </w:tc>
        <w:tc>
          <w:tcPr>
            <w:tcBorders>
              <w:top w:val="none" w:color="000000" w:sz="0"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3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多份证据智能对比：支持证据材料的智能对比，一键点击即可高亮显示材料中的相同内容，且每部分展示不同颜色标明并用序号区分，提升相似材料的比对效率。（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sz w:val="20"/>
                <w:szCs w:val="20"/>
                <w:lang w:eastAsia="zh-CN"/>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8</w:t>
            </w:r>
            <w:r>
              <w:rPr>
                <w:rFonts w:hint="eastAsia" w:ascii="方正仿宋_GBK" w:hAnsi="方正仿宋_GBK" w:eastAsia="方正仿宋_GBK"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pStyle w:val="93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智能签字板</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▲安全性：内置独立国密加密芯片、支持国密算法；（提供商用密码产品认证书）</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方正仿宋_GBK" w:cs="方正仿宋_GBK"/>
                <w:sz w:val="20"/>
                <w:szCs w:val="20"/>
                <w:lang w:eastAsia="zh-CN"/>
              </w:rPr>
            </w:pPr>
            <w:r>
              <w:rPr>
                <w:rFonts w:hint="eastAsia" w:ascii="方正仿宋_GBK" w:hAnsi="方正仿宋_GBK" w:eastAsia="方正仿宋_GBK" w:cs="方正仿宋_GBK"/>
                <w:sz w:val="20"/>
                <w:szCs w:val="20"/>
                <w:lang w:bidi="ar"/>
              </w:rPr>
              <w:t xml:space="preserve">1</w:t>
            </w:r>
            <w:r>
              <w:rPr>
                <w:rFonts w:hint="eastAsia" w:ascii="方正仿宋_GBK" w:hAnsi="方正仿宋_GBK" w:eastAsia="等线" w:cs="方正仿宋_GBK"/>
                <w:sz w:val="20"/>
                <w:szCs w:val="20"/>
                <w:lang w:val="en-US" w:eastAsia="zh-CN" w:bidi="ar"/>
              </w:rPr>
              <w:t xml:space="preserve">9</w:t>
            </w:r>
            <w:r>
              <w:rPr>
                <w:rFonts w:hint="eastAsia" w:ascii="方正仿宋_GBK" w:hAnsi="方正仿宋_GBK" w:eastAsia="方正仿宋_GBK"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31"/>
              <w:jc w:val="center"/>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▲适配龙芯、兆芯等平台，适配UOS、麒麟等操作系统；（提供承诺函加盖供应商公章，格式自拟）</w:t>
            </w:r>
            <w:r>
              <w:rPr>
                <w:rFonts w:hint="eastAsia" w:ascii="方正仿宋_GBK" w:hAnsi="方正仿宋_GBK" w:eastAsia="方正仿宋_GBK" w:cs="方正仿宋_GBK"/>
                <w:sz w:val="20"/>
                <w:szCs w:val="20"/>
                <w:highlight w:val="none"/>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ascii="方正仿宋_GBK" w:hAnsi="方正仿宋_GBK" w:eastAsia="等线" w:cs="方正仿宋_GBK"/>
                <w:sz w:val="20"/>
                <w:szCs w:val="20"/>
                <w:lang w:val="en-US" w:eastAsia="zh-CN"/>
              </w:rPr>
            </w:pPr>
            <w:r>
              <w:rPr>
                <w:rFonts w:hint="eastAsia" w:ascii="方正仿宋_GBK" w:hAnsi="方正仿宋_GBK" w:eastAsia="方正仿宋_GBK" w:cs="方正仿宋_GBK"/>
                <w:sz w:val="20"/>
                <w:szCs w:val="20"/>
                <w:lang w:val="en-US" w:eastAsia="zh-CN" w:bidi="ar"/>
              </w:rPr>
              <w:t xml:space="preserve">20</w:t>
            </w:r>
            <w:r>
              <w:rPr>
                <w:rFonts w:ascii="方正仿宋_GBK" w:hAnsi="方正仿宋_GBK" w:eastAsia="等线" w:cs="方正仿宋_GBK"/>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pStyle w:val="93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AI网络音频处理器</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▲≥2个USB音频接口，支持接U盘录制和播放，具有USB-B声卡接口，支持≥2x2，可连接Android/ HarmonyOS等系统设备，与软件类视频会议无缝对接，网络音频通道：≥16通道发送，≥16通道接收（需提供国家认可的第三方检验检测机构出具的检验检测报告复印件证明）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等线" w:cs="方正仿宋_GBK"/>
                <w:sz w:val="20"/>
                <w:szCs w:val="20"/>
                <w:lang w:eastAsia="zh-CN"/>
              </w:rPr>
            </w:pPr>
            <w:r>
              <w:rPr>
                <w:rFonts w:hint="eastAsia" w:ascii="方正仿宋_GBK" w:hAnsi="方正仿宋_GBK" w:eastAsia="等线" w:cs="方正仿宋_GBK"/>
                <w:sz w:val="20"/>
                <w:szCs w:val="20"/>
                <w:lang w:bidi="ar"/>
              </w:rPr>
              <w:t xml:space="preserve">2</w:t>
            </w:r>
            <w:r>
              <w:rPr>
                <w:rFonts w:hint="eastAsia" w:ascii="方正仿宋_GBK" w:hAnsi="方正仿宋_GBK" w:eastAsia="等线" w:cs="方正仿宋_GBK"/>
                <w:sz w:val="20"/>
                <w:szCs w:val="20"/>
                <w:lang w:val="en-US" w:eastAsia="zh-CN" w:bidi="ar"/>
              </w:rPr>
              <w:t xml:space="preserve">1</w:t>
            </w:r>
            <w:r>
              <w:rPr>
                <w:rFonts w:hint="eastAsia" w:ascii="方正仿宋_GBK" w:hAnsi="方正仿宋_GBK" w:eastAsia="等线" w:cs="方正仿宋_GBK"/>
                <w:sz w:val="20"/>
                <w:szCs w:val="20"/>
                <w:lang w:eastAsia="zh-CN"/>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3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支持AI去噪算法：可去除稳态噪声和非稳态噪声，噪声抑制量＞30dB；支持AI自动增益：采用AI识别技术，可根据设定的目标值自动将声音大小调整到合适的范围；具有监听按钮，可通过运行软件调试界面的电脑声卡监听音频，远程监听音频处理的实时效果（需提供国家认可的第三方检验检测机构出具的检验检测报告复印件证明）</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等线" w:cs="方正仿宋_GBK"/>
                <w:sz w:val="20"/>
                <w:szCs w:val="20"/>
              </w:rPr>
            </w:pPr>
            <w:r>
              <w:rPr>
                <w:rFonts w:hint="eastAsia" w:ascii="方正仿宋_GBK" w:hAnsi="方正仿宋_GBK" w:eastAsia="方正仿宋_GBK" w:cs="方正仿宋_GBK"/>
                <w:sz w:val="20"/>
                <w:szCs w:val="20"/>
                <w:lang w:bidi="ar"/>
              </w:rPr>
              <w:t xml:space="preserve">2</w:t>
            </w:r>
            <w:r>
              <w:rPr>
                <w:rFonts w:hint="eastAsia" w:ascii="方正仿宋_GBK" w:hAnsi="方正仿宋_GBK" w:eastAsia="等线" w:cs="方正仿宋_GBK"/>
                <w:sz w:val="20"/>
                <w:szCs w:val="20"/>
                <w:lang w:bidi="ar"/>
              </w:rPr>
              <w:t xml:space="preserve">2</w:t>
            </w:r>
            <w:r>
              <w:rPr>
                <w:rFonts w:hint="eastAsia" w:ascii="方正仿宋_GBK" w:hAnsi="方正仿宋_GBK" w:eastAsia="等线" w:cs="方正仿宋_GBK"/>
                <w:sz w:val="20"/>
                <w:szCs w:val="20"/>
              </w:rPr>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pStyle w:val="931"/>
              <w:jc w:val="center"/>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吸顶嵌入式录音干扰设备</w:t>
            </w:r>
            <w:r>
              <w:rPr>
                <w:rFonts w:hint="eastAsia" w:ascii="方正仿宋_GBK" w:hAnsi="方正仿宋_GBK" w:eastAsia="方正仿宋_GBK" w:cs="方正仿宋_GBK"/>
                <w:sz w:val="20"/>
                <w:szCs w:val="20"/>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lang w:bidi="ar"/>
              </w:rPr>
            </w:pPr>
            <w:r>
              <w:rPr>
                <w:rFonts w:hint="eastAsia" w:ascii="方正仿宋_GBK" w:hAnsi="方正仿宋_GBK" w:eastAsia="方正仿宋_GBK" w:cs="方正仿宋_GBK"/>
                <w:sz w:val="20"/>
                <w:szCs w:val="20"/>
                <w:lang w:bidi="ar"/>
              </w:rPr>
              <w:t xml:space="preserve">▲提供公安部防录音设备装备名录编号；</w:t>
            </w:r>
            <w:r>
              <w:rPr>
                <w:rFonts w:hint="eastAsia" w:ascii="方正仿宋_GBK" w:hAnsi="方正仿宋_GBK" w:eastAsia="方正仿宋_GBK" w:cs="方正仿宋_GBK"/>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等线" w:cs="方正仿宋_GBK"/>
                <w:sz w:val="20"/>
                <w:szCs w:val="20"/>
                <w:highlight w:val="none"/>
              </w:rPr>
            </w:pPr>
            <w:r>
              <w:rPr>
                <w:rFonts w:hint="eastAsia" w:ascii="方正仿宋_GBK" w:hAnsi="方正仿宋_GBK" w:eastAsia="方正仿宋_GBK" w:cs="方正仿宋_GBK"/>
                <w:sz w:val="20"/>
                <w:szCs w:val="20"/>
                <w:highlight w:val="none"/>
                <w:lang w:bidi="ar"/>
              </w:rPr>
              <w:t xml:space="preserve">2</w:t>
            </w:r>
            <w:r>
              <w:rPr>
                <w:rFonts w:hint="eastAsia" w:ascii="方正仿宋_GBK" w:hAnsi="方正仿宋_GBK" w:eastAsia="等线" w:cs="方正仿宋_GBK"/>
                <w:sz w:val="20"/>
                <w:szCs w:val="20"/>
                <w:highlight w:val="none"/>
                <w:lang w:bidi="ar"/>
              </w:rPr>
              <w:t xml:space="preserve">3</w:t>
            </w:r>
            <w:r>
              <w:rPr>
                <w:rFonts w:hint="eastAsia" w:ascii="方正仿宋_GBK" w:hAnsi="方正仿宋_GBK" w:eastAsia="等线" w:cs="方正仿宋_GBK"/>
                <w:sz w:val="20"/>
                <w:szCs w:val="20"/>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31"/>
              <w:jc w:val="center"/>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▲提供防录音系统移动端管理 APP或小程序著作权证书；（提供证书原件扫描件）</w:t>
            </w:r>
            <w:r>
              <w:rPr>
                <w:rFonts w:hint="eastAsia" w:ascii="方正仿宋_GBK" w:hAnsi="方正仿宋_GBK" w:eastAsia="方正仿宋_GBK" w:cs="方正仿宋_GBK"/>
                <w:sz w:val="20"/>
                <w:szCs w:val="20"/>
                <w:highlight w:val="none"/>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等线" w:cs="方正仿宋_GBK"/>
                <w:sz w:val="20"/>
                <w:szCs w:val="20"/>
                <w:highlight w:val="none"/>
              </w:rPr>
            </w:pPr>
            <w:r>
              <w:rPr>
                <w:rFonts w:hint="eastAsia" w:ascii="方正仿宋_GBK" w:hAnsi="方正仿宋_GBK" w:eastAsia="方正仿宋_GBK" w:cs="方正仿宋_GBK"/>
                <w:sz w:val="20"/>
                <w:szCs w:val="20"/>
                <w:highlight w:val="none"/>
                <w:lang w:bidi="ar"/>
              </w:rPr>
              <w:t xml:space="preserve">2</w:t>
            </w:r>
            <w:r>
              <w:rPr>
                <w:rFonts w:hint="eastAsia" w:ascii="方正仿宋_GBK" w:hAnsi="方正仿宋_GBK" w:eastAsia="等线" w:cs="方正仿宋_GBK"/>
                <w:sz w:val="20"/>
                <w:szCs w:val="20"/>
                <w:highlight w:val="none"/>
                <w:lang w:bidi="ar"/>
              </w:rPr>
              <w:t xml:space="preserve">4</w:t>
            </w:r>
            <w:r>
              <w:rPr>
                <w:rFonts w:hint="eastAsia" w:ascii="方正仿宋_GBK" w:hAnsi="方正仿宋_GBK" w:eastAsia="等线" w:cs="方正仿宋_GBK"/>
                <w:sz w:val="20"/>
                <w:szCs w:val="20"/>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31"/>
              <w:jc w:val="center"/>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▲提供公安部装备与警用电子产品检测报告；（提供证书原件扫描件）</w:t>
            </w:r>
            <w:r>
              <w:rPr>
                <w:rFonts w:hint="eastAsia" w:ascii="方正仿宋_GBK" w:hAnsi="方正仿宋_GBK" w:eastAsia="方正仿宋_GBK" w:cs="方正仿宋_GBK"/>
                <w:sz w:val="20"/>
                <w:szCs w:val="20"/>
                <w:highlight w:val="none"/>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等线" w:cs="方正仿宋_GBK"/>
                <w:sz w:val="20"/>
                <w:szCs w:val="20"/>
                <w:highlight w:val="none"/>
              </w:rPr>
            </w:pPr>
            <w:r>
              <w:rPr>
                <w:rFonts w:hint="eastAsia" w:ascii="方正仿宋_GBK" w:hAnsi="方正仿宋_GBK" w:eastAsia="方正仿宋_GBK" w:cs="方正仿宋_GBK"/>
                <w:sz w:val="20"/>
                <w:szCs w:val="20"/>
                <w:highlight w:val="none"/>
                <w:lang w:bidi="ar"/>
              </w:rPr>
              <w:t xml:space="preserve">2</w:t>
            </w:r>
            <w:r>
              <w:rPr>
                <w:rFonts w:hint="eastAsia" w:ascii="方正仿宋_GBK" w:hAnsi="方正仿宋_GBK" w:eastAsia="等线" w:cs="方正仿宋_GBK"/>
                <w:sz w:val="20"/>
                <w:szCs w:val="20"/>
                <w:highlight w:val="none"/>
                <w:lang w:bidi="ar"/>
              </w:rPr>
              <w:t xml:space="preserve">5</w:t>
            </w:r>
            <w:r>
              <w:rPr>
                <w:rFonts w:hint="eastAsia" w:ascii="方正仿宋_GBK" w:hAnsi="方正仿宋_GBK" w:eastAsia="等线" w:cs="方正仿宋_GBK"/>
                <w:sz w:val="20"/>
                <w:szCs w:val="20"/>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pStyle w:val="931"/>
              <w:jc w:val="center"/>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可视化运维服务器（含运维软件）</w:t>
            </w:r>
            <w:r>
              <w:rPr>
                <w:rFonts w:hint="eastAsia" w:ascii="方正仿宋_GBK" w:hAnsi="方正仿宋_GBK" w:eastAsia="方正仿宋_GBK" w:cs="方正仿宋_GBK"/>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▲应支持以柱状图、雷达图、扇形图或2D动态图形等多种方式展示环境数据、设备使用次数、场景调用次数、服务器开关机次数、设备总能耗等动态数据。（提供设备功能截图）</w:t>
            </w:r>
            <w:r>
              <w:rPr>
                <w:rFonts w:hint="eastAsia" w:ascii="方正仿宋_GBK" w:hAnsi="方正仿宋_GBK" w:eastAsia="方正仿宋_GBK" w:cs="方正仿宋_GBK"/>
                <w:sz w:val="20"/>
                <w:szCs w:val="20"/>
                <w:highlight w:val="none"/>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等线" w:cs="方正仿宋_GBK"/>
                <w:sz w:val="20"/>
                <w:szCs w:val="20"/>
                <w:highlight w:val="none"/>
              </w:rPr>
            </w:pPr>
            <w:r>
              <w:rPr>
                <w:rFonts w:hint="eastAsia" w:ascii="方正仿宋_GBK" w:hAnsi="方正仿宋_GBK" w:eastAsia="方正仿宋_GBK" w:cs="方正仿宋_GBK"/>
                <w:sz w:val="20"/>
                <w:szCs w:val="20"/>
                <w:highlight w:val="none"/>
                <w:lang w:bidi="ar"/>
              </w:rPr>
              <w:t xml:space="preserve">2</w:t>
            </w:r>
            <w:r>
              <w:rPr>
                <w:rFonts w:hint="eastAsia" w:ascii="方正仿宋_GBK" w:hAnsi="方正仿宋_GBK" w:eastAsia="等线" w:cs="方正仿宋_GBK"/>
                <w:sz w:val="20"/>
                <w:szCs w:val="20"/>
                <w:highlight w:val="none"/>
                <w:lang w:bidi="ar"/>
              </w:rPr>
              <w:t xml:space="preserve">6</w:t>
            </w:r>
            <w:r>
              <w:rPr>
                <w:rFonts w:hint="eastAsia" w:ascii="方正仿宋_GBK" w:hAnsi="方正仿宋_GBK" w:eastAsia="等线" w:cs="方正仿宋_GBK"/>
                <w:sz w:val="20"/>
                <w:szCs w:val="20"/>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31"/>
              <w:jc w:val="center"/>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▲应支持多维度数据呈现：包括设备使用频率、在线状态、室内环境、空间能耗等，为决策提供数据支持。（提供设备功能截图）</w:t>
            </w:r>
            <w:r>
              <w:rPr>
                <w:rFonts w:hint="eastAsia" w:ascii="方正仿宋_GBK" w:hAnsi="方正仿宋_GBK" w:eastAsia="方正仿宋_GBK" w:cs="方正仿宋_GBK"/>
                <w:sz w:val="20"/>
                <w:szCs w:val="20"/>
                <w:highlight w:val="none"/>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等线" w:cs="方正仿宋_GBK"/>
                <w:sz w:val="20"/>
                <w:szCs w:val="20"/>
                <w:highlight w:val="none"/>
              </w:rPr>
            </w:pPr>
            <w:r>
              <w:rPr>
                <w:rFonts w:hint="eastAsia" w:ascii="方正仿宋_GBK" w:hAnsi="方正仿宋_GBK" w:eastAsia="方正仿宋_GBK" w:cs="方正仿宋_GBK"/>
                <w:sz w:val="20"/>
                <w:szCs w:val="20"/>
                <w:highlight w:val="none"/>
                <w:lang w:bidi="ar"/>
              </w:rPr>
              <w:t xml:space="preserve">2</w:t>
            </w:r>
            <w:r>
              <w:rPr>
                <w:rFonts w:hint="eastAsia" w:ascii="方正仿宋_GBK" w:hAnsi="方正仿宋_GBK" w:eastAsia="等线" w:cs="方正仿宋_GBK"/>
                <w:sz w:val="20"/>
                <w:szCs w:val="20"/>
                <w:highlight w:val="none"/>
                <w:lang w:bidi="ar"/>
              </w:rPr>
              <w:t xml:space="preserve">7</w:t>
            </w:r>
            <w:r>
              <w:rPr>
                <w:rFonts w:hint="eastAsia" w:ascii="方正仿宋_GBK" w:hAnsi="方正仿宋_GBK" w:eastAsia="等线" w:cs="方正仿宋_GBK"/>
                <w:sz w:val="20"/>
                <w:szCs w:val="20"/>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31"/>
              <w:jc w:val="center"/>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▲应支持使用统计：统计设备使用次数、场景调用次数等，评估资源利用率。（提供设备功能截图）</w:t>
            </w:r>
            <w:r>
              <w:rPr>
                <w:rFonts w:hint="eastAsia" w:ascii="方正仿宋_GBK" w:hAnsi="方正仿宋_GBK" w:eastAsia="方正仿宋_GBK" w:cs="方正仿宋_GBK"/>
                <w:sz w:val="20"/>
                <w:szCs w:val="20"/>
                <w:highlight w:val="none"/>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931"/>
              <w:jc w:val="center"/>
              <w:widowControl/>
              <w:rPr>
                <w:rFonts w:hint="eastAsia" w:ascii="方正仿宋_GBK" w:hAnsi="方正仿宋_GBK" w:eastAsia="等线" w:cs="方正仿宋_GBK"/>
                <w:sz w:val="20"/>
                <w:szCs w:val="20"/>
                <w:highlight w:val="none"/>
              </w:rPr>
            </w:pPr>
            <w:r>
              <w:rPr>
                <w:rFonts w:hint="eastAsia" w:ascii="方正仿宋_GBK" w:hAnsi="方正仿宋_GBK" w:eastAsia="方正仿宋_GBK" w:cs="方正仿宋_GBK"/>
                <w:sz w:val="20"/>
                <w:szCs w:val="20"/>
                <w:highlight w:val="none"/>
              </w:rPr>
              <w:t xml:space="preserve">2</w:t>
            </w:r>
            <w:r>
              <w:rPr>
                <w:rFonts w:hint="eastAsia" w:ascii="方正仿宋_GBK" w:hAnsi="方正仿宋_GBK" w:eastAsia="等线" w:cs="方正仿宋_GBK"/>
                <w:sz w:val="20"/>
                <w:szCs w:val="20"/>
                <w:highlight w:val="none"/>
              </w:rPr>
              <w:t xml:space="preserve">8</w:t>
            </w:r>
            <w:r>
              <w:rPr>
                <w:rFonts w:hint="eastAsia" w:ascii="方正仿宋_GBK" w:hAnsi="方正仿宋_GBK" w:eastAsia="等线" w:cs="方正仿宋_GBK"/>
                <w:sz w:val="20"/>
                <w:szCs w:val="20"/>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pStyle w:val="931"/>
              <w:jc w:val="center"/>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965" w:type="dxa"/>
            <w:vAlign w:val="center"/>
            <w:textDirection w:val="lrTb"/>
            <w:noWrap/>
          </w:tcPr>
          <w:p>
            <w:pPr>
              <w:pStyle w:val="931"/>
              <w:widowControl/>
              <w:rPr>
                <w:rFonts w:hint="eastAsia" w:ascii="方正仿宋_GBK" w:hAnsi="方正仿宋_GBK" w:eastAsia="方正仿宋_GBK" w:cs="方正仿宋_GBK"/>
                <w:sz w:val="20"/>
                <w:szCs w:val="20"/>
                <w:highlight w:val="none"/>
                <w:lang w:bidi="ar"/>
              </w:rPr>
            </w:pPr>
            <w:r>
              <w:rPr>
                <w:rFonts w:hint="eastAsia" w:ascii="方正仿宋_GBK" w:hAnsi="方正仿宋_GBK" w:eastAsia="方正仿宋_GBK" w:cs="方正仿宋_GBK"/>
                <w:sz w:val="20"/>
                <w:szCs w:val="20"/>
                <w:highlight w:val="none"/>
                <w:lang w:bidi="ar"/>
              </w:rPr>
              <w:t xml:space="preserve">▲应支持对空间内设备数据实时监测，进行一键自检，实时检测设备工作状态，设备在线率。（提供设备功能截图）</w:t>
            </w:r>
            <w:r>
              <w:rPr>
                <w:rFonts w:hint="eastAsia" w:ascii="方正仿宋_GBK" w:hAnsi="方正仿宋_GBK" w:eastAsia="方正仿宋_GBK" w:cs="方正仿宋_GBK"/>
                <w:sz w:val="20"/>
                <w:szCs w:val="20"/>
                <w:highlight w:val="none"/>
                <w:lang w:bidi="ar"/>
              </w:rPr>
            </w:r>
            <w:r/>
          </w:p>
        </w:tc>
      </w:tr>
    </w:tbl>
    <w:p>
      <w:pPr>
        <w:pStyle w:val="931"/>
        <w:ind w:firstLine="560"/>
        <w:spacing w:line="480" w:lineRule="exact"/>
        <w:rPr>
          <w:rFonts w:hint="eastAsia" w:ascii="仿宋" w:hAnsi="仿宋" w:eastAsia="仿宋" w:cs="Times New Roman"/>
          <w:bCs/>
          <w:color w:val="000000"/>
          <w:sz w:val="28"/>
          <w:szCs w:val="28"/>
        </w:rPr>
      </w:pPr>
      <w:r/>
      <w:bookmarkEnd w:id="204"/>
      <w:r>
        <w:rPr>
          <w:rFonts w:hint="eastAsia" w:ascii="仿宋" w:hAnsi="仿宋" w:eastAsia="仿宋" w:cs="Times New Roman"/>
          <w:bCs/>
          <w:color w:val="000000"/>
          <w:sz w:val="28"/>
          <w:szCs w:val="28"/>
          <w:lang w:val="en-US" w:eastAsia="zh-CN"/>
        </w:rPr>
        <w:t xml:space="preserve">合同签订后履约施工前，</w:t>
      </w:r>
      <w:r>
        <w:rPr>
          <w:rFonts w:hint="eastAsia" w:ascii="仿宋" w:hAnsi="仿宋" w:eastAsia="仿宋" w:cs="Times New Roman"/>
          <w:bCs/>
          <w:color w:val="000000"/>
          <w:sz w:val="28"/>
          <w:szCs w:val="28"/>
        </w:rPr>
        <w:t xml:space="preserve">中标供应商须提供：①投标设备生产厂家盖章的技术偏离表原件；②投标设备生产厂家针对本项目的原厂质保售后服务承诺函原件。上述材料作为本项目履约保障资料。中标供应商</w:t>
      </w:r>
      <w:r>
        <w:rPr>
          <w:rFonts w:hint="eastAsia" w:ascii="仿宋" w:hAnsi="仿宋" w:eastAsia="仿宋" w:cs="Times New Roman"/>
          <w:bCs/>
          <w:color w:val="000000"/>
          <w:sz w:val="28"/>
          <w:szCs w:val="28"/>
          <w:lang w:val="en-US" w:eastAsia="zh-CN"/>
        </w:rPr>
        <w:t xml:space="preserve">在合同签订后15日内</w:t>
      </w:r>
      <w:r>
        <w:rPr>
          <w:rFonts w:hint="eastAsia" w:ascii="仿宋" w:hAnsi="仿宋" w:eastAsia="仿宋" w:cs="Times New Roman"/>
          <w:bCs/>
          <w:color w:val="000000"/>
          <w:sz w:val="28"/>
          <w:szCs w:val="28"/>
        </w:rPr>
        <w:t xml:space="preserve">无法提供的，视为中标供应商履约风险情形，采购人将依法报财政部门，由财政监管部门依法调查处理，由此产生的一切不利后果，由投标人自行承担。</w:t>
      </w:r>
      <w:r>
        <w:rPr>
          <w:rFonts w:hint="eastAsia" w:ascii="仿宋" w:hAnsi="仿宋" w:eastAsia="仿宋" w:cs="Times New Roman"/>
          <w:bCs/>
          <w:color w:val="000000"/>
          <w:sz w:val="28"/>
          <w:szCs w:val="28"/>
        </w:rPr>
      </w:r>
      <w:r/>
    </w:p>
    <w:p>
      <w:pPr>
        <w:pStyle w:val="931"/>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四</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93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其内容包含</w:t>
      </w:r>
      <w:r>
        <w:rPr>
          <w:rFonts w:ascii="仿宋" w:hAnsi="仿宋" w:eastAsia="仿宋"/>
          <w:bCs/>
          <w:color w:val="000000"/>
          <w:sz w:val="28"/>
          <w:szCs w:val="28"/>
        </w:rPr>
        <w:t xml:space="preserve">但不限于</w:t>
      </w:r>
      <w:r>
        <w:rPr>
          <w:rFonts w:hint="eastAsia" w:ascii="仿宋" w:hAnsi="仿宋" w:eastAsia="仿宋"/>
          <w:bCs/>
          <w:color w:val="000000"/>
          <w:sz w:val="28"/>
          <w:szCs w:val="28"/>
        </w:rPr>
        <w:t xml:space="preserve">以下</w:t>
      </w:r>
      <w:r>
        <w:rPr>
          <w:rFonts w:ascii="仿宋" w:hAnsi="仿宋" w:eastAsia="仿宋"/>
          <w:bCs/>
          <w:color w:val="000000"/>
          <w:sz w:val="28"/>
          <w:szCs w:val="28"/>
        </w:rPr>
        <w:t xml:space="preserve">内容：</w:t>
      </w:r>
      <w:r>
        <w:rPr>
          <w:rFonts w:hint="eastAsia" w:ascii="仿宋" w:hAnsi="仿宋" w:eastAsia="仿宋"/>
          <w:color w:val="000000"/>
          <w:sz w:val="28"/>
          <w:szCs w:val="28"/>
        </w:rPr>
      </w:r>
      <w:r/>
    </w:p>
    <w:p>
      <w:pPr>
        <w:pStyle w:val="931"/>
        <w:numPr>
          <w:ilvl w:val="0"/>
          <w:numId w:val="22"/>
        </w:numPr>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采购标的需实现的功能或者目标，以及为落实政府采购政策需满足的要求；</w:t>
      </w:r>
      <w:r>
        <w:rPr>
          <w:rFonts w:hint="eastAsia" w:ascii="仿宋" w:hAnsi="仿宋" w:eastAsia="仿宋"/>
          <w:b/>
          <w:bCs/>
          <w:color w:val="000000"/>
          <w:sz w:val="28"/>
          <w:szCs w:val="28"/>
        </w:rPr>
      </w:r>
      <w:r/>
    </w:p>
    <w:p>
      <w:pPr>
        <w:pStyle w:val="931"/>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拟对原市税务局第三税务分局及第一稽查局大楼实施改造，建设南通知识产权法庭、南通市企业司法服务中心及南通市知识产权司法保护中心。本项目为南通知识产权法庭暨“两个中心”装修改造项目智能化工程，共计11个子工程。</w:t>
      </w:r>
      <w:r>
        <w:rPr>
          <w:rFonts w:hint="eastAsia" w:ascii="仿宋" w:hAnsi="仿宋" w:eastAsia="仿宋" w:cs="仿宋"/>
          <w:color w:val="000000"/>
          <w:sz w:val="28"/>
          <w:szCs w:val="28"/>
        </w:rPr>
      </w:r>
      <w:r/>
    </w:p>
    <w:p>
      <w:pPr>
        <w:pStyle w:val="931"/>
        <w:spacing w:line="560" w:lineRule="exact"/>
        <w:rPr>
          <w:rFonts w:hint="eastAsia" w:ascii="仿宋" w:hAnsi="仿宋" w:eastAsia="仿宋" w:cs="仿宋"/>
          <w:b/>
          <w:bCs/>
          <w:color w:val="000000"/>
          <w:sz w:val="28"/>
          <w:szCs w:val="28"/>
        </w:rPr>
      </w:pPr>
      <w:r/>
      <w:bookmarkStart w:id="205" w:name="_Toc8411"/>
      <w:r>
        <w:rPr>
          <w:rFonts w:hint="eastAsia" w:ascii="仿宋" w:hAnsi="仿宋" w:eastAsia="仿宋" w:cs="仿宋"/>
          <w:b/>
          <w:bCs/>
          <w:color w:val="000000"/>
          <w:sz w:val="28"/>
          <w:szCs w:val="28"/>
        </w:rPr>
        <w:t xml:space="preserve">1、综合布线</w:t>
      </w:r>
      <w:bookmarkEnd w:id="205"/>
      <w:r>
        <w:rPr>
          <w:rFonts w:hint="eastAsia" w:ascii="仿宋" w:hAnsi="仿宋" w:eastAsia="仿宋" w:cs="仿宋"/>
          <w:b/>
          <w:bCs/>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垂直干线子系统和水平子系统的施工和线缆不在此次建设内容中，本次建设内容为1-5层办公区域、设备间和法庭的室内综合布线。</w:t>
      </w:r>
      <w:r>
        <w:rPr>
          <w:rFonts w:hint="eastAsia" w:ascii="仿宋" w:hAnsi="仿宋" w:eastAsia="仿宋" w:cs="仿宋"/>
          <w:color w:val="000000"/>
          <w:sz w:val="28"/>
          <w:szCs w:val="28"/>
        </w:rPr>
      </w:r>
      <w:r/>
    </w:p>
    <w:p>
      <w:pPr>
        <w:pStyle w:val="931"/>
        <w:spacing w:line="560" w:lineRule="exact"/>
        <w:rPr>
          <w:rFonts w:hint="eastAsia" w:ascii="仿宋" w:hAnsi="仿宋" w:eastAsia="仿宋" w:cs="仿宋"/>
          <w:b/>
          <w:bCs/>
          <w:color w:val="000000"/>
          <w:sz w:val="28"/>
          <w:szCs w:val="28"/>
        </w:rPr>
      </w:pPr>
      <w:r/>
      <w:bookmarkStart w:id="206" w:name="_Toc10872"/>
      <w:r>
        <w:rPr>
          <w:rFonts w:hint="eastAsia" w:ascii="仿宋" w:hAnsi="仿宋" w:eastAsia="仿宋" w:cs="仿宋"/>
          <w:b/>
          <w:bCs/>
          <w:color w:val="000000"/>
          <w:sz w:val="28"/>
          <w:szCs w:val="28"/>
        </w:rPr>
        <w:t xml:space="preserve">2、计算机网络</w:t>
      </w:r>
      <w:bookmarkEnd w:id="206"/>
      <w:r>
        <w:rPr>
          <w:rFonts w:hint="eastAsia" w:ascii="仿宋" w:hAnsi="仿宋" w:eastAsia="仿宋" w:cs="仿宋"/>
          <w:b/>
          <w:bCs/>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建设四套网络包含：内网、设备网、外网、政务网。本次建设内容为接入层和汇聚层，核心层利用中院本部现有设备。</w:t>
      </w:r>
      <w:r>
        <w:rPr>
          <w:rFonts w:hint="eastAsia" w:ascii="仿宋" w:hAnsi="仿宋" w:eastAsia="仿宋" w:cs="仿宋"/>
          <w:color w:val="000000"/>
          <w:sz w:val="28"/>
          <w:szCs w:val="28"/>
        </w:rPr>
      </w:r>
      <w:r/>
    </w:p>
    <w:p>
      <w:pPr>
        <w:pStyle w:val="931"/>
        <w:ind w:firstLine="42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四层机房到中院本部主机房和容灾机房布放专线光缆，采用裸光纤方式。</w:t>
      </w:r>
      <w:r>
        <w:rPr>
          <w:rFonts w:hint="eastAsia" w:ascii="仿宋" w:hAnsi="仿宋" w:eastAsia="仿宋" w:cs="仿宋"/>
          <w:color w:val="000000"/>
          <w:sz w:val="28"/>
          <w:szCs w:val="28"/>
        </w:rPr>
      </w:r>
      <w:r/>
    </w:p>
    <w:p>
      <w:pPr>
        <w:pStyle w:val="931"/>
        <w:spacing w:line="560" w:lineRule="exact"/>
        <w:rPr>
          <w:rFonts w:hint="eastAsia" w:ascii="仿宋" w:hAnsi="仿宋" w:eastAsia="仿宋" w:cs="仿宋"/>
          <w:b/>
          <w:bCs/>
          <w:color w:val="000000"/>
          <w:sz w:val="28"/>
          <w:szCs w:val="28"/>
        </w:rPr>
      </w:pPr>
      <w:r/>
      <w:bookmarkStart w:id="207" w:name="_Toc30962"/>
      <w:r>
        <w:rPr>
          <w:rFonts w:hint="eastAsia" w:ascii="仿宋" w:hAnsi="仿宋" w:eastAsia="仿宋" w:cs="仿宋"/>
          <w:b/>
          <w:bCs/>
          <w:color w:val="000000"/>
          <w:sz w:val="28"/>
          <w:szCs w:val="28"/>
        </w:rPr>
        <w:t xml:space="preserve">3、视频监控</w:t>
      </w:r>
      <w:bookmarkEnd w:id="207"/>
      <w:r>
        <w:rPr>
          <w:rFonts w:hint="eastAsia" w:ascii="仿宋" w:hAnsi="仿宋" w:eastAsia="仿宋" w:cs="仿宋"/>
          <w:b/>
          <w:bCs/>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摄像头在公共区域无死角覆盖，供电采用集中供电的方式，所有监控在弱电间通过集中电源来供电。</w:t>
      </w:r>
      <w:r>
        <w:rPr>
          <w:rFonts w:hint="eastAsia" w:ascii="仿宋" w:hAnsi="仿宋" w:eastAsia="仿宋" w:cs="仿宋"/>
          <w:color w:val="000000"/>
          <w:sz w:val="28"/>
          <w:szCs w:val="28"/>
        </w:rPr>
      </w:r>
      <w:r/>
    </w:p>
    <w:p>
      <w:pPr>
        <w:pStyle w:val="931"/>
        <w:spacing w:line="560" w:lineRule="exact"/>
        <w:rPr>
          <w:rFonts w:hint="eastAsia" w:ascii="仿宋" w:hAnsi="仿宋" w:eastAsia="仿宋" w:cs="仿宋"/>
          <w:b/>
          <w:bCs/>
          <w:color w:val="000000"/>
          <w:sz w:val="28"/>
          <w:szCs w:val="28"/>
        </w:rPr>
      </w:pPr>
      <w:r/>
      <w:bookmarkStart w:id="208" w:name="_Toc29702"/>
      <w:r>
        <w:rPr>
          <w:rFonts w:hint="eastAsia" w:ascii="仿宋" w:hAnsi="仿宋" w:eastAsia="仿宋" w:cs="仿宋"/>
          <w:b/>
          <w:bCs/>
          <w:color w:val="000000"/>
          <w:sz w:val="28"/>
          <w:szCs w:val="28"/>
        </w:rPr>
        <w:t xml:space="preserve">4、电子巡更</w:t>
      </w:r>
      <w:bookmarkEnd w:id="208"/>
      <w:r>
        <w:rPr>
          <w:rFonts w:hint="eastAsia" w:ascii="仿宋" w:hAnsi="仿宋" w:eastAsia="仿宋" w:cs="仿宋"/>
          <w:b/>
          <w:bCs/>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sz w:val="28"/>
          <w:szCs w:val="28"/>
        </w:rPr>
        <w:t xml:space="preserve">电子</w:t>
      </w:r>
      <w:r>
        <w:rPr>
          <w:rFonts w:hint="eastAsia" w:ascii="仿宋" w:hAnsi="仿宋" w:eastAsia="仿宋" w:cs="仿宋"/>
          <w:color w:val="000000"/>
          <w:sz w:val="28"/>
          <w:szCs w:val="28"/>
        </w:rPr>
        <w:t xml:space="preserve">巡更采用离线式方案，在楼梯口、走道、休闲区等设置巡更点，从而确保物业巡更动线更完整。</w:t>
      </w:r>
      <w:r>
        <w:rPr>
          <w:rFonts w:hint="eastAsia" w:ascii="仿宋" w:hAnsi="仿宋" w:eastAsia="仿宋" w:cs="仿宋"/>
          <w:color w:val="000000"/>
          <w:sz w:val="28"/>
          <w:szCs w:val="28"/>
        </w:rPr>
      </w:r>
      <w:r/>
    </w:p>
    <w:p>
      <w:pPr>
        <w:pStyle w:val="931"/>
        <w:spacing w:line="560" w:lineRule="exact"/>
        <w:rPr>
          <w:rFonts w:hint="eastAsia" w:ascii="仿宋" w:hAnsi="仿宋" w:eastAsia="仿宋" w:cs="仿宋"/>
          <w:b/>
          <w:bCs/>
          <w:color w:val="000000"/>
          <w:sz w:val="28"/>
          <w:szCs w:val="28"/>
        </w:rPr>
      </w:pPr>
      <w:r/>
      <w:bookmarkStart w:id="209" w:name="_Toc5620"/>
      <w:r>
        <w:rPr>
          <w:rFonts w:hint="eastAsia" w:ascii="仿宋" w:hAnsi="仿宋" w:eastAsia="仿宋" w:cs="仿宋"/>
          <w:b/>
          <w:bCs/>
          <w:color w:val="000000"/>
          <w:sz w:val="28"/>
          <w:szCs w:val="28"/>
        </w:rPr>
        <w:t xml:space="preserve">5、出入口控制</w:t>
      </w:r>
      <w:bookmarkEnd w:id="209"/>
      <w:r>
        <w:rPr>
          <w:rFonts w:hint="eastAsia" w:ascii="仿宋" w:hAnsi="仿宋" w:eastAsia="仿宋" w:cs="仿宋"/>
          <w:b/>
          <w:bCs/>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在各出入口、楼梯口、办公区与业务区的分界区设置门禁，从而实现区域管控，本项目在弱电机房与消控室设置国密门禁，通过读卡器加密的方式来实现对重点区域的管控。办公区的电梯设置梯控系统，法院内部的工作人员在负一层、一层电梯厅通过人脸识别的方式来乘坐电梯。</w:t>
      </w:r>
      <w:r>
        <w:rPr>
          <w:rFonts w:hint="eastAsia" w:ascii="仿宋" w:hAnsi="仿宋" w:eastAsia="仿宋" w:cs="仿宋"/>
          <w:color w:val="000000"/>
          <w:sz w:val="28"/>
          <w:szCs w:val="28"/>
        </w:rPr>
      </w:r>
      <w:r/>
    </w:p>
    <w:p>
      <w:pPr>
        <w:pStyle w:val="931"/>
        <w:spacing w:line="560" w:lineRule="exact"/>
        <w:rPr>
          <w:rFonts w:hint="eastAsia" w:ascii="仿宋" w:hAnsi="仿宋" w:eastAsia="仿宋" w:cs="仿宋"/>
          <w:b/>
          <w:bCs/>
          <w:color w:val="000000"/>
          <w:sz w:val="28"/>
          <w:szCs w:val="28"/>
        </w:rPr>
      </w:pPr>
      <w:r/>
      <w:bookmarkStart w:id="210" w:name="_Toc25242"/>
      <w:r>
        <w:rPr>
          <w:rFonts w:hint="eastAsia" w:ascii="仿宋" w:hAnsi="仿宋" w:eastAsia="仿宋" w:cs="仿宋"/>
          <w:b/>
          <w:bCs/>
          <w:color w:val="000000"/>
          <w:sz w:val="28"/>
          <w:szCs w:val="28"/>
        </w:rPr>
        <w:t xml:space="preserve">6、停车场管理</w:t>
      </w:r>
      <w:bookmarkEnd w:id="210"/>
      <w:r>
        <w:rPr>
          <w:rFonts w:hint="eastAsia" w:ascii="仿宋" w:hAnsi="仿宋" w:eastAsia="仿宋" w:cs="仿宋"/>
          <w:b/>
          <w:bCs/>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本项目在南大门设置一进一出停车场管理系统，在南门汽车坡道旁设置混进混出停车场道闸。每个停车场道闸由抓拍显示一体机、道闸、出入口控制终端、雷达、安全岛等设备组成。</w:t>
      </w:r>
      <w:r>
        <w:rPr>
          <w:rFonts w:hint="eastAsia" w:ascii="仿宋" w:hAnsi="仿宋" w:eastAsia="仿宋" w:cs="仿宋"/>
          <w:color w:val="000000"/>
          <w:sz w:val="28"/>
          <w:szCs w:val="28"/>
        </w:rPr>
      </w:r>
      <w:r/>
    </w:p>
    <w:p>
      <w:pPr>
        <w:pStyle w:val="931"/>
        <w:spacing w:line="560" w:lineRule="exact"/>
        <w:rPr>
          <w:rFonts w:hint="eastAsia" w:ascii="仿宋" w:hAnsi="仿宋" w:eastAsia="仿宋" w:cs="仿宋"/>
          <w:b/>
          <w:bCs/>
          <w:color w:val="000000"/>
          <w:sz w:val="28"/>
          <w:szCs w:val="28"/>
        </w:rPr>
      </w:pPr>
      <w:r/>
      <w:bookmarkStart w:id="211" w:name="_Toc24964"/>
      <w:r>
        <w:rPr>
          <w:rFonts w:hint="eastAsia" w:ascii="仿宋" w:hAnsi="仿宋" w:eastAsia="仿宋" w:cs="仿宋"/>
          <w:b/>
          <w:bCs/>
          <w:color w:val="000000"/>
          <w:sz w:val="28"/>
          <w:szCs w:val="28"/>
        </w:rPr>
        <w:t xml:space="preserve">7、多媒体会议</w:t>
      </w:r>
      <w:bookmarkEnd w:id="211"/>
      <w:r>
        <w:rPr>
          <w:rFonts w:hint="eastAsia" w:ascii="仿宋" w:hAnsi="仿宋" w:eastAsia="仿宋" w:cs="仿宋"/>
          <w:b/>
          <w:bCs/>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一层知识产权保护中心服务大厅：扩声；</w:t>
      </w:r>
      <w:r>
        <w:rPr>
          <w:rFonts w:hint="eastAsia" w:ascii="仿宋" w:hAnsi="仿宋" w:eastAsia="仿宋" w:cs="仿宋"/>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一层企业全周期司法服务中心服务大厅：扩声；</w:t>
      </w:r>
      <w:r>
        <w:rPr>
          <w:rFonts w:hint="eastAsia" w:ascii="仿宋" w:hAnsi="仿宋" w:eastAsia="仿宋" w:cs="仿宋"/>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一层洽谈室+二层企业并购与重组专家室+三层党建阵地+三层/四层/五层合议室：显示设备。</w:t>
      </w:r>
      <w:r>
        <w:rPr>
          <w:rFonts w:hint="eastAsia" w:ascii="仿宋" w:hAnsi="仿宋" w:eastAsia="仿宋" w:cs="仿宋"/>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一楼数据会商中心：发言、扩声，中控；</w:t>
      </w:r>
      <w:r>
        <w:rPr>
          <w:rFonts w:hint="eastAsia" w:ascii="仿宋" w:hAnsi="仿宋" w:eastAsia="仿宋" w:cs="仿宋"/>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二楼视频会议室：发言、扩声，中控；</w:t>
      </w:r>
      <w:r>
        <w:rPr>
          <w:rFonts w:hint="eastAsia" w:ascii="仿宋" w:hAnsi="仿宋" w:eastAsia="仿宋" w:cs="仿宋"/>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一套视频会议系统。</w:t>
      </w:r>
      <w:r>
        <w:rPr>
          <w:rFonts w:hint="eastAsia" w:ascii="仿宋" w:hAnsi="仿宋" w:eastAsia="仿宋" w:cs="仿宋"/>
          <w:color w:val="000000"/>
          <w:sz w:val="28"/>
          <w:szCs w:val="28"/>
        </w:rPr>
      </w:r>
      <w:r/>
    </w:p>
    <w:p>
      <w:pPr>
        <w:pStyle w:val="931"/>
        <w:spacing w:line="560" w:lineRule="exact"/>
        <w:rPr>
          <w:rFonts w:hint="eastAsia" w:ascii="仿宋" w:hAnsi="仿宋" w:eastAsia="仿宋" w:cs="仿宋"/>
          <w:b/>
          <w:bCs/>
          <w:color w:val="000000"/>
          <w:sz w:val="28"/>
          <w:szCs w:val="28"/>
        </w:rPr>
      </w:pPr>
      <w:r/>
      <w:bookmarkStart w:id="212" w:name="_Toc417"/>
      <w:r>
        <w:rPr>
          <w:rFonts w:hint="eastAsia" w:ascii="仿宋" w:hAnsi="仿宋" w:eastAsia="仿宋" w:cs="仿宋"/>
          <w:b/>
          <w:bCs/>
          <w:color w:val="000000"/>
          <w:sz w:val="28"/>
          <w:szCs w:val="28"/>
        </w:rPr>
        <w:t xml:space="preserve">8、信息发布</w:t>
      </w:r>
      <w:bookmarkEnd w:id="212"/>
      <w:r>
        <w:rPr>
          <w:rFonts w:hint="eastAsia" w:ascii="仿宋" w:hAnsi="仿宋" w:eastAsia="仿宋" w:cs="仿宋"/>
          <w:b/>
          <w:bCs/>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服务大厅服务台设壁挂信息发布屏幕；</w:t>
      </w:r>
      <w:r>
        <w:rPr>
          <w:rFonts w:hint="eastAsia" w:ascii="仿宋" w:hAnsi="仿宋" w:eastAsia="仿宋" w:cs="仿宋"/>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一层业务自助办理台设触摸一体机；</w:t>
      </w:r>
      <w:r>
        <w:rPr>
          <w:rFonts w:hint="eastAsia" w:ascii="仿宋" w:hAnsi="仿宋" w:eastAsia="仿宋" w:cs="仿宋"/>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一层展示显示系统（知识产权司法保护中心服务大厅）设显示设备。</w:t>
      </w:r>
      <w:r>
        <w:rPr>
          <w:rFonts w:hint="eastAsia" w:ascii="仿宋" w:hAnsi="仿宋" w:eastAsia="仿宋" w:cs="仿宋"/>
          <w:color w:val="000000"/>
          <w:sz w:val="28"/>
          <w:szCs w:val="28"/>
        </w:rPr>
      </w:r>
      <w:r/>
    </w:p>
    <w:p>
      <w:pPr>
        <w:pStyle w:val="931"/>
        <w:spacing w:line="560" w:lineRule="exact"/>
        <w:rPr>
          <w:rFonts w:hint="eastAsia" w:ascii="仿宋" w:hAnsi="仿宋" w:eastAsia="仿宋" w:cs="仿宋"/>
          <w:b/>
          <w:bCs/>
          <w:color w:val="000000"/>
          <w:sz w:val="28"/>
          <w:szCs w:val="28"/>
        </w:rPr>
      </w:pPr>
      <w:r/>
      <w:bookmarkStart w:id="213" w:name="_Toc10344"/>
      <w:r>
        <w:rPr>
          <w:rFonts w:hint="eastAsia" w:ascii="仿宋" w:hAnsi="仿宋" w:eastAsia="仿宋" w:cs="仿宋"/>
          <w:b/>
          <w:bCs/>
          <w:color w:val="000000"/>
          <w:sz w:val="28"/>
          <w:szCs w:val="28"/>
        </w:rPr>
        <w:t xml:space="preserve">9、出入口安检</w:t>
      </w:r>
      <w:bookmarkEnd w:id="213"/>
      <w:r>
        <w:rPr>
          <w:rFonts w:hint="eastAsia" w:ascii="仿宋" w:hAnsi="仿宋" w:eastAsia="仿宋" w:cs="仿宋"/>
          <w:b/>
          <w:bCs/>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入口处设置访客通道、内部人员通道含律师通道，门厅到服务大厅通道设置人行闸机。</w:t>
      </w:r>
      <w:r>
        <w:rPr>
          <w:rFonts w:hint="eastAsia" w:ascii="仿宋" w:hAnsi="仿宋" w:eastAsia="仿宋" w:cs="仿宋"/>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安检处设置存包柜和手机存放柜。</w:t>
      </w:r>
      <w:r>
        <w:rPr>
          <w:rFonts w:hint="eastAsia" w:ascii="仿宋" w:hAnsi="仿宋" w:eastAsia="仿宋" w:cs="仿宋"/>
          <w:color w:val="000000"/>
          <w:sz w:val="28"/>
          <w:szCs w:val="28"/>
        </w:rPr>
      </w:r>
      <w:r/>
    </w:p>
    <w:p>
      <w:pPr>
        <w:pStyle w:val="931"/>
        <w:spacing w:line="560" w:lineRule="exact"/>
        <w:rPr>
          <w:rFonts w:hint="eastAsia" w:ascii="仿宋" w:hAnsi="仿宋" w:eastAsia="仿宋" w:cs="仿宋"/>
          <w:b/>
          <w:bCs/>
          <w:color w:val="000000"/>
          <w:sz w:val="28"/>
          <w:szCs w:val="28"/>
        </w:rPr>
      </w:pPr>
      <w:r/>
      <w:bookmarkStart w:id="214" w:name="_Toc17837"/>
      <w:r>
        <w:rPr>
          <w:rFonts w:hint="eastAsia" w:ascii="仿宋" w:hAnsi="仿宋" w:eastAsia="仿宋" w:cs="仿宋"/>
          <w:b/>
          <w:bCs/>
          <w:color w:val="000000"/>
          <w:sz w:val="28"/>
          <w:szCs w:val="28"/>
        </w:rPr>
        <w:t xml:space="preserve">10、数字法庭</w:t>
      </w:r>
      <w:bookmarkEnd w:id="214"/>
      <w:r>
        <w:rPr>
          <w:rFonts w:hint="eastAsia" w:ascii="仿宋" w:hAnsi="仿宋" w:eastAsia="仿宋" w:cs="仿宋"/>
          <w:b/>
          <w:bCs/>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二层及三层大法庭审判席根据审判席位数量配备一体机，原被告席位各1台一体机。四层及五层法庭各席位采用电脑主机加显示器方式。</w:t>
      </w:r>
      <w:r>
        <w:rPr>
          <w:rFonts w:hint="eastAsia" w:ascii="仿宋" w:hAnsi="仿宋" w:eastAsia="仿宋" w:cs="仿宋"/>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法庭顶部安装吸顶喇叭进行扩声。</w:t>
      </w:r>
      <w:r>
        <w:rPr>
          <w:rFonts w:hint="eastAsia" w:ascii="仿宋" w:hAnsi="仿宋" w:eastAsia="仿宋" w:cs="仿宋"/>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法庭顶部中间吊挂电视机；左右两侧壁挂电视机；其中三层1间法庭加装录音信号屏蔽系统。</w:t>
      </w:r>
      <w:r>
        <w:rPr>
          <w:rFonts w:hint="eastAsia" w:ascii="仿宋" w:hAnsi="仿宋" w:eastAsia="仿宋" w:cs="仿宋"/>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所有法庭配备灯光、扩声、显示系统、电源等设备集中控制。</w:t>
      </w:r>
      <w:r>
        <w:rPr>
          <w:rFonts w:hint="eastAsia" w:ascii="仿宋" w:hAnsi="仿宋" w:eastAsia="仿宋" w:cs="仿宋"/>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所有法庭外壁挂公告屏。</w:t>
      </w:r>
      <w:r>
        <w:rPr>
          <w:rFonts w:hint="eastAsia" w:ascii="仿宋" w:hAnsi="仿宋" w:eastAsia="仿宋" w:cs="仿宋"/>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所有法庭配备庭审摄像机、全景备份摄像机、安防监控摄像机。         </w:t>
      </w:r>
      <w:r>
        <w:rPr>
          <w:rFonts w:hint="eastAsia" w:ascii="仿宋" w:hAnsi="仿宋" w:eastAsia="仿宋" w:cs="仿宋"/>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所有法庭依照席位配备话筒。</w:t>
      </w:r>
      <w:r>
        <w:rPr>
          <w:rFonts w:hint="eastAsia" w:ascii="仿宋" w:hAnsi="仿宋" w:eastAsia="仿宋" w:cs="仿宋"/>
          <w:color w:val="000000"/>
          <w:sz w:val="28"/>
          <w:szCs w:val="28"/>
        </w:rPr>
      </w:r>
      <w:r/>
    </w:p>
    <w:p>
      <w:pPr>
        <w:pStyle w:val="931"/>
        <w:spacing w:line="560" w:lineRule="exact"/>
        <w:rPr>
          <w:rFonts w:hint="eastAsia" w:ascii="仿宋" w:hAnsi="仿宋" w:eastAsia="仿宋" w:cs="仿宋"/>
          <w:b/>
          <w:bCs/>
          <w:color w:val="000000"/>
          <w:sz w:val="28"/>
          <w:szCs w:val="28"/>
        </w:rPr>
      </w:pPr>
      <w:r/>
      <w:bookmarkStart w:id="215" w:name="_Toc1090"/>
      <w:r>
        <w:rPr>
          <w:rFonts w:hint="eastAsia" w:ascii="仿宋" w:hAnsi="仿宋" w:eastAsia="仿宋" w:cs="仿宋"/>
          <w:b/>
          <w:bCs/>
          <w:color w:val="000000"/>
          <w:sz w:val="28"/>
          <w:szCs w:val="28"/>
        </w:rPr>
        <w:t xml:space="preserve">11、公共广播</w:t>
      </w:r>
      <w:bookmarkEnd w:id="215"/>
      <w:r>
        <w:rPr>
          <w:rFonts w:hint="eastAsia" w:ascii="仿宋" w:hAnsi="仿宋" w:eastAsia="仿宋" w:cs="仿宋"/>
          <w:b/>
          <w:bCs/>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公共广播设计安装用于办公大楼日常的背景音乐播放、信息传播、广播通知、找人、背景音乐等实用功能；在紧急情况下，公共广播可以配合消防广播，针对事故发生现场，快速播报紧急疏散语音，提示相关区域的人员迅速逃离现场。</w:t>
      </w:r>
      <w:r>
        <w:rPr>
          <w:rFonts w:hint="eastAsia" w:ascii="仿宋" w:hAnsi="仿宋" w:eastAsia="仿宋" w:cs="仿宋"/>
          <w:color w:val="000000"/>
          <w:sz w:val="28"/>
          <w:szCs w:val="28"/>
        </w:rPr>
      </w:r>
      <w:r/>
    </w:p>
    <w:p>
      <w:pPr>
        <w:pStyle w:val="931"/>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满足消防设计规范，走廊采用吸顶喇叭，地下车库采用壁挂音箱，后端设备放在一层消控室。</w:t>
      </w:r>
      <w:r>
        <w:rPr>
          <w:rFonts w:hint="eastAsia" w:ascii="仿宋" w:hAnsi="仿宋" w:eastAsia="仿宋" w:cs="仿宋"/>
          <w:color w:val="000000"/>
          <w:sz w:val="28"/>
          <w:szCs w:val="28"/>
        </w:rPr>
      </w:r>
      <w:r/>
    </w:p>
    <w:p>
      <w:pPr>
        <w:pStyle w:val="93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1"/>
        <w:numPr>
          <w:ilvl w:val="0"/>
          <w:numId w:val="22"/>
        </w:numPr>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采购标的需执行的国家相关标准、行业标准、地方标准或者其他标准、规范</w:t>
      </w:r>
      <w:r>
        <w:rPr>
          <w:rFonts w:hint="eastAsia" w:ascii="仿宋" w:hAnsi="仿宋" w:eastAsia="仿宋"/>
          <w:b/>
          <w:bCs/>
          <w:sz w:val="28"/>
          <w:szCs w:val="28"/>
        </w:rPr>
        <w:t xml:space="preserve">（包括但不限于）</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rPr>
      </w:r>
      <w:r/>
    </w:p>
    <w:p>
      <w:pPr>
        <w:pStyle w:val="93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《建筑电气与智能化通用规范》GB 55024-2022</w:t>
      </w:r>
      <w:r>
        <w:rPr>
          <w:rFonts w:hint="eastAsia" w:ascii="仿宋" w:hAnsi="仿宋" w:eastAsia="仿宋" w:cs="仿宋"/>
          <w:sz w:val="28"/>
          <w:szCs w:val="32"/>
          <w:highlight w:val="none"/>
        </w:rPr>
      </w:r>
      <w:r/>
    </w:p>
    <w:p>
      <w:pPr>
        <w:pStyle w:val="93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《综合布线系统工程设计规范》GB 50311-2016</w:t>
      </w:r>
      <w:r>
        <w:rPr>
          <w:rFonts w:hint="eastAsia" w:ascii="仿宋" w:hAnsi="仿宋" w:eastAsia="仿宋" w:cs="仿宋"/>
          <w:sz w:val="28"/>
          <w:szCs w:val="32"/>
          <w:highlight w:val="none"/>
        </w:rPr>
      </w:r>
      <w:r/>
    </w:p>
    <w:p>
      <w:pPr>
        <w:pStyle w:val="93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《综合布线系统工程验收规范》GB/T 50312-2016</w:t>
      </w:r>
      <w:r>
        <w:rPr>
          <w:rFonts w:hint="eastAsia" w:ascii="仿宋" w:hAnsi="仿宋" w:eastAsia="仿宋" w:cs="仿宋"/>
          <w:sz w:val="28"/>
          <w:szCs w:val="32"/>
          <w:highlight w:val="none"/>
        </w:rPr>
      </w:r>
      <w:r/>
    </w:p>
    <w:p>
      <w:pPr>
        <w:pStyle w:val="93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《智能建筑设计标准》GB 50314-2015</w:t>
      </w:r>
      <w:r>
        <w:rPr>
          <w:rFonts w:hint="eastAsia" w:ascii="仿宋" w:hAnsi="仿宋" w:eastAsia="仿宋" w:cs="仿宋"/>
          <w:sz w:val="28"/>
          <w:szCs w:val="32"/>
          <w:highlight w:val="none"/>
        </w:rPr>
      </w:r>
      <w:r/>
    </w:p>
    <w:p>
      <w:pPr>
        <w:pStyle w:val="93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《数据中心设计规范》GB 50174-2017</w:t>
      </w:r>
      <w:r>
        <w:rPr>
          <w:rFonts w:hint="eastAsia" w:ascii="仿宋" w:hAnsi="仿宋" w:eastAsia="仿宋" w:cs="仿宋"/>
          <w:sz w:val="28"/>
          <w:szCs w:val="32"/>
          <w:highlight w:val="none"/>
        </w:rPr>
      </w:r>
      <w:r/>
    </w:p>
    <w:p>
      <w:pPr>
        <w:pStyle w:val="93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《公共安全视频监控联网系统信息传输、交换、控制技术要求》GB/T 28181-2022</w:t>
      </w:r>
      <w:r>
        <w:rPr>
          <w:rFonts w:hint="eastAsia" w:ascii="仿宋" w:hAnsi="仿宋" w:eastAsia="仿宋" w:cs="仿宋"/>
          <w:sz w:val="28"/>
          <w:szCs w:val="32"/>
          <w:highlight w:val="none"/>
        </w:rPr>
      </w:r>
      <w:r/>
    </w:p>
    <w:p>
      <w:pPr>
        <w:pStyle w:val="93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《安全防范工程通用规范》GB 55029-2022</w:t>
      </w:r>
      <w:r>
        <w:rPr>
          <w:rFonts w:hint="eastAsia" w:ascii="仿宋" w:hAnsi="仿宋" w:eastAsia="仿宋" w:cs="仿宋"/>
          <w:sz w:val="28"/>
          <w:szCs w:val="32"/>
          <w:highlight w:val="none"/>
        </w:rPr>
      </w:r>
      <w:r/>
    </w:p>
    <w:p>
      <w:pPr>
        <w:pStyle w:val="93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《电子巡更系统通用技术要求》GA/T 644-2017</w:t>
      </w:r>
      <w:r>
        <w:rPr>
          <w:rFonts w:hint="eastAsia" w:ascii="仿宋" w:hAnsi="仿宋" w:eastAsia="仿宋" w:cs="仿宋"/>
          <w:sz w:val="28"/>
          <w:szCs w:val="32"/>
          <w:highlight w:val="none"/>
        </w:rPr>
      </w:r>
      <w:r/>
    </w:p>
    <w:p>
      <w:pPr>
        <w:pStyle w:val="93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《电子会议系统工程设计规范》GB 50799-2012</w:t>
      </w:r>
      <w:r>
        <w:rPr>
          <w:rFonts w:hint="eastAsia" w:ascii="仿宋" w:hAnsi="仿宋" w:eastAsia="仿宋" w:cs="仿宋"/>
          <w:sz w:val="28"/>
          <w:szCs w:val="32"/>
          <w:highlight w:val="none"/>
        </w:rPr>
      </w:r>
      <w:r/>
    </w:p>
    <w:p>
      <w:pPr>
        <w:pStyle w:val="93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《视频会议系统技术要求》YD/T 1707-2022</w:t>
      </w:r>
      <w:r>
        <w:rPr>
          <w:rFonts w:hint="eastAsia" w:ascii="仿宋" w:hAnsi="仿宋" w:eastAsia="仿宋" w:cs="仿宋"/>
          <w:sz w:val="28"/>
          <w:szCs w:val="32"/>
          <w:highlight w:val="none"/>
        </w:rPr>
      </w:r>
      <w:r/>
    </w:p>
    <w:p>
      <w:pPr>
        <w:pStyle w:val="931"/>
        <w:ind w:firstLine="560"/>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《公共广播系统工程技术标准》GB/T 50526-2021</w:t>
      </w:r>
      <w:r>
        <w:rPr>
          <w:rFonts w:hint="eastAsia" w:ascii="仿宋" w:hAnsi="仿宋" w:eastAsia="仿宋" w:cs="仿宋"/>
          <w:sz w:val="28"/>
          <w:szCs w:val="32"/>
          <w:highlight w:val="none"/>
        </w:rPr>
      </w:r>
      <w:r/>
    </w:p>
    <w:p>
      <w:pPr>
        <w:pStyle w:val="931"/>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w:t>
      </w:r>
      <w:r>
        <w:rPr>
          <w:rFonts w:hint="eastAsia" w:ascii="仿宋" w:hAnsi="仿宋" w:eastAsia="仿宋"/>
          <w:b/>
          <w:bCs/>
          <w:color w:val="000000"/>
          <w:sz w:val="28"/>
          <w:szCs w:val="28"/>
          <w:highlight w:val="none"/>
        </w:rPr>
        <w:t xml:space="preserve">    ............</w:t>
      </w:r>
      <w:r>
        <w:rPr>
          <w:rFonts w:ascii="仿宋" w:hAnsi="仿宋" w:eastAsia="仿宋"/>
          <w:color w:val="000000"/>
          <w:sz w:val="28"/>
          <w:szCs w:val="28"/>
          <w:highlight w:val="none"/>
        </w:rPr>
      </w:r>
      <w:r/>
    </w:p>
    <w:p>
      <w:pPr>
        <w:pStyle w:val="931"/>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3、采购标的的数量、采购项目交付或者实施的时间和地点；</w:t>
      </w:r>
      <w:r>
        <w:rPr>
          <w:rFonts w:hint="eastAsia" w:ascii="仿宋" w:hAnsi="仿宋" w:eastAsia="仿宋"/>
          <w:b/>
          <w:bCs/>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3.1采购标的的数量</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见本章节“一、采购标的清单”</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3.2交付时间及地点</w:t>
      </w:r>
      <w:r>
        <w:rPr>
          <w:rFonts w:hint="eastAsia"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交付时间：</w:t>
      </w:r>
      <w:r>
        <w:rPr>
          <w:rFonts w:hint="eastAsia" w:ascii="仿宋" w:hAnsi="仿宋" w:eastAsia="仿宋" w:cs="仿宋"/>
          <w:color w:val="000000"/>
          <w:sz w:val="28"/>
          <w:szCs w:val="28"/>
        </w:rPr>
        <w:t xml:space="preserve">采购人开工令发出后180日内完成项目实施。</w:t>
      </w:r>
      <w:r>
        <w:rPr>
          <w:rFonts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交付地点：</w:t>
      </w:r>
      <w:r>
        <w:rPr>
          <w:rFonts w:hint="eastAsia" w:ascii="仿宋" w:hAnsi="仿宋" w:eastAsia="仿宋" w:cs="仿宋"/>
          <w:color w:val="000000"/>
          <w:sz w:val="28"/>
          <w:szCs w:val="28"/>
        </w:rPr>
        <w:t xml:space="preserve">崇川区工农路247号（原市税务局第三税务分局及第一稽查局），具体以甲方要求为准。</w:t>
      </w:r>
      <w:r>
        <w:rPr>
          <w:rFonts w:ascii="仿宋" w:hAnsi="仿宋" w:eastAsia="仿宋"/>
          <w:color w:val="000000"/>
          <w:sz w:val="28"/>
          <w:szCs w:val="28"/>
        </w:rPr>
      </w:r>
      <w:r/>
    </w:p>
    <w:p>
      <w:pPr>
        <w:pStyle w:val="931"/>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4、采购标的需满足的服务标准、期限、效率等要求；</w:t>
      </w:r>
      <w:r>
        <w:rPr>
          <w:rFonts w:hint="eastAsia" w:ascii="仿宋" w:hAnsi="仿宋" w:eastAsia="仿宋"/>
          <w:b/>
          <w:bCs/>
          <w:color w:val="000000"/>
          <w:sz w:val="28"/>
          <w:szCs w:val="28"/>
        </w:rPr>
      </w:r>
      <w:r/>
    </w:p>
    <w:p>
      <w:pPr>
        <w:pStyle w:val="931"/>
        <w:ind w:firstLine="560"/>
        <w:spacing w:line="480" w:lineRule="exact"/>
        <w:rPr>
          <w:rFonts w:ascii="仿宋" w:hAnsi="仿宋" w:eastAsia="仿宋"/>
          <w:sz w:val="28"/>
          <w:szCs w:val="28"/>
        </w:rPr>
        <w:outlineLvl w:val="1"/>
      </w:pPr>
      <w:r>
        <w:rPr>
          <w:rFonts w:hint="eastAsia" w:ascii="仿宋" w:hAnsi="仿宋" w:eastAsia="仿宋"/>
          <w:sz w:val="28"/>
          <w:szCs w:val="28"/>
        </w:rPr>
        <w:t xml:space="preserve">本项目要求整体质保3年，质保期自本项目终验合格之日起计算。</w:t>
      </w:r>
      <w:r>
        <w:rPr>
          <w:rFonts w:ascii="仿宋" w:hAnsi="仿宋" w:eastAsia="仿宋"/>
          <w:sz w:val="28"/>
          <w:szCs w:val="28"/>
        </w:rPr>
      </w:r>
      <w:r/>
    </w:p>
    <w:p>
      <w:pPr>
        <w:pStyle w:val="931"/>
        <w:ind w:firstLine="560"/>
        <w:spacing w:line="480" w:lineRule="exact"/>
        <w:rPr>
          <w:rFonts w:ascii="仿宋" w:hAnsi="仿宋" w:eastAsia="仿宋"/>
          <w:sz w:val="28"/>
          <w:szCs w:val="28"/>
        </w:rPr>
      </w:pPr>
      <w:r>
        <w:rPr>
          <w:rFonts w:hint="eastAsia" w:ascii="仿宋" w:hAnsi="仿宋" w:eastAsia="仿宋"/>
          <w:sz w:val="28"/>
          <w:szCs w:val="28"/>
        </w:rPr>
        <w:t xml:space="preserve">本项目实施全过程须接受采购单位监督与管控，中标人应配合开展质量、进度、变更、安全及文档管控工作。对提出的问题、整改意见，须按要求及时落实闭环。</w:t>
      </w:r>
      <w:r>
        <w:rPr>
          <w:rFonts w:ascii="仿宋" w:hAnsi="仿宋" w:eastAsia="仿宋"/>
          <w:sz w:val="28"/>
          <w:szCs w:val="28"/>
        </w:rPr>
      </w:r>
      <w:r/>
    </w:p>
    <w:p>
      <w:pPr>
        <w:pStyle w:val="931"/>
        <w:spacing w:line="480" w:lineRule="exact"/>
        <w:rPr>
          <w:rFonts w:ascii="仿宋" w:hAnsi="仿宋" w:eastAsia="仿宋"/>
          <w:b/>
          <w:bCs/>
          <w:sz w:val="28"/>
          <w:szCs w:val="28"/>
        </w:rPr>
        <w:outlineLvl w:val="1"/>
      </w:pPr>
      <w:r>
        <w:rPr>
          <w:rFonts w:hint="eastAsia" w:ascii="仿宋" w:hAnsi="仿宋" w:eastAsia="仿宋"/>
          <w:color w:val="000000"/>
          <w:sz w:val="28"/>
          <w:szCs w:val="28"/>
        </w:rPr>
        <w:t xml:space="preserve">5、</w:t>
      </w:r>
      <w:r>
        <w:rPr>
          <w:rFonts w:hint="eastAsia" w:ascii="仿宋" w:hAnsi="仿宋" w:eastAsia="仿宋"/>
          <w:b/>
          <w:bCs/>
          <w:sz w:val="28"/>
          <w:szCs w:val="28"/>
        </w:rPr>
        <w:t xml:space="preserve">非单一产品采购项目，采购标的中的核心产品。</w:t>
      </w:r>
      <w:r>
        <w:rPr>
          <w:rFonts w:ascii="仿宋" w:hAnsi="仿宋" w:eastAsia="仿宋"/>
          <w:b/>
          <w:bCs/>
          <w:sz w:val="28"/>
          <w:szCs w:val="28"/>
        </w:rPr>
      </w:r>
      <w:r/>
    </w:p>
    <w:p>
      <w:pPr>
        <w:pStyle w:val="931"/>
        <w:spacing w:line="480" w:lineRule="exact"/>
        <w:rPr>
          <w:rFonts w:hint="eastAsia"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可视化运维服务器（含运维软件）</w:t>
      </w:r>
      <w:r>
        <w:rPr>
          <w:rFonts w:hint="eastAsia" w:ascii="仿宋" w:hAnsi="仿宋" w:eastAsia="仿宋"/>
          <w:sz w:val="28"/>
          <w:szCs w:val="28"/>
        </w:rPr>
      </w:r>
      <w:r/>
    </w:p>
    <w:p>
      <w:pPr>
        <w:pStyle w:val="931"/>
        <w:spacing w:line="480" w:lineRule="exact"/>
        <w:rPr>
          <w:rFonts w:hint="eastAsia" w:ascii="仿宋" w:hAnsi="仿宋" w:eastAsia="仿宋"/>
          <w:b/>
          <w:bCs/>
          <w:sz w:val="28"/>
          <w:szCs w:val="28"/>
        </w:rPr>
      </w:pPr>
      <w:r>
        <w:rPr>
          <w:rFonts w:hint="eastAsia" w:ascii="仿宋" w:hAnsi="仿宋" w:eastAsia="仿宋"/>
          <w:sz w:val="28"/>
          <w:szCs w:val="28"/>
        </w:rPr>
        <w:t xml:space="preserve">6、</w:t>
      </w:r>
      <w:r>
        <w:rPr>
          <w:rFonts w:hint="eastAsia" w:ascii="仿宋" w:hAnsi="仿宋" w:eastAsia="仿宋"/>
          <w:b/>
          <w:bCs/>
          <w:sz w:val="28"/>
          <w:szCs w:val="28"/>
        </w:rPr>
        <w:t xml:space="preserve">付款方式</w:t>
      </w:r>
      <w:r>
        <w:rPr>
          <w:rFonts w:hint="eastAsia" w:ascii="仿宋" w:hAnsi="仿宋" w:eastAsia="仿宋"/>
          <w:b/>
          <w:bCs/>
          <w:sz w:val="28"/>
          <w:szCs w:val="28"/>
        </w:rPr>
      </w:r>
      <w:r/>
    </w:p>
    <w:p>
      <w:pPr>
        <w:pStyle w:val="931"/>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（1）合同签订之日起30日内，支付合同价款的30%；</w:t>
      </w:r>
      <w:r>
        <w:rPr>
          <w:rFonts w:hint="eastAsia" w:ascii="仿宋" w:hAnsi="仿宋" w:eastAsia="仿宋" w:cs="仿宋"/>
          <w:color w:val="000000"/>
          <w:sz w:val="28"/>
          <w:szCs w:val="28"/>
          <w:highlight w:val="none"/>
        </w:rPr>
      </w:r>
      <w:r/>
    </w:p>
    <w:p>
      <w:pPr>
        <w:pStyle w:val="931"/>
        <w:ind w:firstLine="560"/>
        <w:spacing w:line="5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）项目</w:t>
      </w:r>
      <w:r>
        <w:rPr>
          <w:rFonts w:hint="eastAsia" w:ascii="仿宋" w:hAnsi="仿宋" w:eastAsia="仿宋" w:cs="仿宋"/>
          <w:color w:val="000000"/>
          <w:sz w:val="28"/>
          <w:szCs w:val="28"/>
          <w:highlight w:val="none"/>
          <w:lang w:val="en-US" w:eastAsia="zh-CN"/>
        </w:rPr>
        <w:t xml:space="preserve">通过验收</w:t>
      </w:r>
      <w:r>
        <w:rPr>
          <w:rFonts w:hint="eastAsia" w:ascii="仿宋" w:hAnsi="仿宋" w:eastAsia="仿宋" w:cs="仿宋"/>
          <w:color w:val="000000"/>
          <w:sz w:val="28"/>
          <w:szCs w:val="28"/>
          <w:highlight w:val="none"/>
        </w:rPr>
        <w:t xml:space="preserve">之日起30日内，</w:t>
      </w:r>
      <w:r>
        <w:rPr>
          <w:rFonts w:hint="eastAsia" w:ascii="仿宋" w:hAnsi="仿宋" w:eastAsia="仿宋" w:cs="仿宋"/>
          <w:color w:val="000000"/>
          <w:sz w:val="28"/>
          <w:szCs w:val="28"/>
          <w:highlight w:val="none"/>
          <w:lang w:val="en-US" w:eastAsia="zh-CN"/>
        </w:rPr>
        <w:t xml:space="preserve">支付合同价款的70%。</w:t>
      </w:r>
      <w:r>
        <w:rPr>
          <w:rFonts w:hint="eastAsia" w:ascii="仿宋" w:hAnsi="仿宋" w:eastAsia="仿宋" w:cs="仿宋"/>
          <w:color w:val="000000"/>
          <w:sz w:val="28"/>
          <w:szCs w:val="28"/>
          <w:highlight w:val="none"/>
          <w:lang w:val="en-US" w:eastAsia="zh-CN"/>
        </w:rPr>
      </w:r>
      <w:r/>
    </w:p>
    <w:p>
      <w:pPr>
        <w:pStyle w:val="931"/>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发票开具方式：在满足合同约定的付款条件后，乙方应开具符合国家有关财税规定的发票给甲方，甲方在收到乙方正式发票之日起10个工作日内完成支付。</w:t>
      </w:r>
      <w:r>
        <w:rPr>
          <w:rFonts w:hint="eastAsia" w:ascii="仿宋" w:hAnsi="仿宋" w:eastAsia="仿宋" w:cs="仿宋"/>
          <w:sz w:val="28"/>
          <w:szCs w:val="28"/>
          <w:highlight w:val="none"/>
        </w:rPr>
      </w:r>
      <w:r/>
    </w:p>
    <w:p>
      <w:pPr>
        <w:pStyle w:val="931"/>
        <w:ind w:firstLine="560"/>
        <w:spacing w:line="5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审计条款：采购人有权按有关规定对本项目资金使用开展审计监督，最终审计金额与合同价款不符的，据实调整</w:t>
      </w:r>
      <w:r>
        <w:rPr>
          <w:rFonts w:hint="eastAsia" w:ascii="仿宋" w:hAnsi="仿宋" w:eastAsia="仿宋" w:cs="仿宋"/>
          <w:color w:val="000000"/>
          <w:sz w:val="28"/>
          <w:szCs w:val="28"/>
          <w:highlight w:val="none"/>
        </w:rPr>
        <w:t xml:space="preserve">。</w:t>
      </w:r>
      <w:r>
        <w:rPr>
          <w:rFonts w:hint="eastAsia" w:ascii="仿宋" w:hAnsi="仿宋" w:eastAsia="仿宋" w:cs="仿宋"/>
          <w:sz w:val="28"/>
          <w:szCs w:val="28"/>
          <w:highlight w:val="none"/>
          <w:lang w:val="en-US" w:eastAsia="zh-CN"/>
        </w:rPr>
      </w:r>
      <w:r/>
    </w:p>
    <w:p>
      <w:pPr>
        <w:pStyle w:val="931"/>
        <w:spacing w:line="480" w:lineRule="exact"/>
        <w:rPr>
          <w:rFonts w:hint="eastAsia" w:ascii="仿宋" w:hAnsi="仿宋" w:eastAsia="仿宋"/>
          <w:iCs/>
          <w:color w:val="000000"/>
          <w:sz w:val="28"/>
          <w:szCs w:val="28"/>
        </w:rPr>
      </w:pPr>
      <w:r>
        <w:rPr>
          <w:rFonts w:hint="eastAsia" w:ascii="仿宋" w:hAnsi="仿宋" w:eastAsia="仿宋"/>
          <w:iCs/>
          <w:color w:val="000000"/>
          <w:sz w:val="28"/>
          <w:szCs w:val="28"/>
        </w:rPr>
        <w:t xml:space="preserve">7、</w:t>
      </w:r>
      <w:r>
        <w:rPr>
          <w:rFonts w:hint="eastAsia" w:ascii="仿宋" w:hAnsi="仿宋" w:eastAsia="仿宋"/>
          <w:b/>
          <w:bCs/>
          <w:sz w:val="28"/>
          <w:szCs w:val="28"/>
          <w:u w:val="single"/>
        </w:rPr>
        <w:t xml:space="preserve">本项目不接受进口产品投标。</w:t>
      </w:r>
      <w:r>
        <w:rPr>
          <w:rFonts w:hint="eastAsia" w:ascii="仿宋" w:hAnsi="仿宋" w:eastAsia="仿宋"/>
          <w:iCs/>
          <w:color w:val="000000"/>
          <w:sz w:val="28"/>
          <w:szCs w:val="28"/>
        </w:rPr>
      </w:r>
      <w:r/>
    </w:p>
    <w:p>
      <w:pPr>
        <w:pStyle w:val="931"/>
        <w:spacing w:line="480" w:lineRule="exact"/>
        <w:rPr>
          <w:rFonts w:ascii="仿宋" w:hAnsi="仿宋" w:eastAsia="仿宋"/>
          <w:b/>
          <w:bCs/>
          <w:color w:val="000000"/>
          <w:sz w:val="28"/>
          <w:szCs w:val="28"/>
        </w:rPr>
      </w:pPr>
      <w:r>
        <w:rPr>
          <w:rFonts w:hint="eastAsia" w:ascii="仿宋" w:hAnsi="仿宋" w:eastAsia="仿宋"/>
          <w:b/>
          <w:bCs/>
          <w:sz w:val="28"/>
          <w:szCs w:val="28"/>
        </w:rPr>
        <w:t xml:space="preserve">8、履约保</w:t>
      </w:r>
      <w:r>
        <w:rPr>
          <w:rFonts w:hint="eastAsia" w:ascii="仿宋" w:hAnsi="仿宋" w:eastAsia="仿宋"/>
          <w:b/>
          <w:bCs/>
          <w:color w:val="000000"/>
          <w:sz w:val="28"/>
          <w:szCs w:val="28"/>
        </w:rPr>
        <w:t xml:space="preserve">证金要求</w:t>
      </w:r>
      <w:r>
        <w:rPr>
          <w:rFonts w:ascii="仿宋" w:hAnsi="仿宋" w:eastAsia="仿宋"/>
          <w:b/>
          <w:bCs/>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8.2、成交供应商全部履约合同义务，经采购单位验收合格无质量、进度等问题的，采购人在验收合格后一次性退还履约保证金，采购人若逾期退还履约保证金的，按照逾期部分的每日0.05%支付违约金；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8.3、发生以下情况的，履约保证金不予退还或部分退还：</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a.签订合同后，成交供应商不履行合同义务的，采购单位有权全额扣除履约保证金，全额不予退还，同时采购单位亦有权终止合同，中标供应商还须承担相应的法律赔偿责任。</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8.4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仿宋" w:hAnsi="仿宋" w:eastAsia="仿宋"/>
          <w:color w:val="000000"/>
          <w:sz w:val="28"/>
          <w:szCs w:val="28"/>
        </w:rPr>
      </w:r>
      <w:r/>
    </w:p>
    <w:p>
      <w:pPr>
        <w:pStyle w:val="93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31"/>
        <w:spacing w:line="480" w:lineRule="exact"/>
        <w:rPr>
          <w:rFonts w:hint="eastAsia" w:ascii="仿宋" w:hAnsi="仿宋" w:eastAsia="仿宋"/>
          <w:b/>
          <w:i/>
          <w:color w:val="000000"/>
          <w:sz w:val="28"/>
          <w:szCs w:val="28"/>
          <w:u w:val="single"/>
        </w:rPr>
      </w:pPr>
      <w:r>
        <w:rPr>
          <w:rFonts w:hint="eastAsia" w:ascii="仿宋" w:hAnsi="仿宋" w:eastAsia="仿宋"/>
          <w:color w:val="000000"/>
          <w:sz w:val="28"/>
          <w:szCs w:val="28"/>
        </w:rPr>
        <w:t xml:space="preserve">五、</w:t>
      </w:r>
      <w:r>
        <w:rPr>
          <w:rFonts w:hint="eastAsia" w:ascii="仿宋" w:hAnsi="仿宋" w:eastAsia="仿宋"/>
          <w:b/>
          <w:i/>
          <w:color w:val="000000"/>
          <w:sz w:val="28"/>
          <w:szCs w:val="28"/>
          <w:u w:val="single"/>
        </w:rPr>
        <w:t xml:space="preserve">采购需求中必须满足的实质性要求。（请单独列出并加斜体</w:t>
      </w:r>
      <w:r>
        <w:rPr>
          <w:rFonts w:ascii="仿宋" w:hAnsi="仿宋" w:eastAsia="仿宋"/>
          <w:b/>
          <w:i/>
          <w:color w:val="000000"/>
          <w:sz w:val="28"/>
          <w:szCs w:val="28"/>
          <w:u w:val="single"/>
        </w:rPr>
        <w:t xml:space="preserve">下划线</w:t>
      </w:r>
      <w:r>
        <w:rPr>
          <w:rFonts w:hint="eastAsia" w:ascii="仿宋" w:hAnsi="仿宋" w:eastAsia="仿宋"/>
          <w:b/>
          <w:i/>
          <w:color w:val="000000"/>
          <w:sz w:val="28"/>
          <w:szCs w:val="28"/>
          <w:u w:val="single"/>
        </w:rPr>
        <w:t xml:space="preserve">）</w:t>
      </w:r>
      <w:r>
        <w:rPr>
          <w:rFonts w:hint="eastAsia" w:ascii="仿宋" w:hAnsi="仿宋" w:eastAsia="仿宋"/>
          <w:b/>
          <w:i/>
          <w:color w:val="000000"/>
          <w:sz w:val="28"/>
          <w:szCs w:val="28"/>
          <w:u w:val="single"/>
        </w:rPr>
      </w:r>
      <w:r/>
    </w:p>
    <w:p>
      <w:pPr>
        <w:pStyle w:val="931"/>
        <w:ind w:firstLine="560"/>
        <w:spacing w:line="480" w:lineRule="exact"/>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t xml:space="preserve">技术部分实质性要求</w:t>
      </w:r>
      <w:r>
        <w:rPr>
          <w:rFonts w:hint="eastAsia" w:ascii="仿宋" w:hAnsi="仿宋" w:eastAsia="仿宋"/>
          <w:b/>
          <w:i/>
          <w:color w:val="000000"/>
          <w:sz w:val="28"/>
          <w:szCs w:val="28"/>
          <w:highlight w:val="none"/>
          <w:u w:val="single"/>
        </w:rPr>
        <w:t xml:space="preserve">（请单独列出并加斜体</w:t>
      </w:r>
      <w:r>
        <w:rPr>
          <w:rFonts w:ascii="仿宋" w:hAnsi="仿宋" w:eastAsia="仿宋"/>
          <w:b/>
          <w:i/>
          <w:color w:val="000000"/>
          <w:sz w:val="28"/>
          <w:szCs w:val="28"/>
          <w:highlight w:val="none"/>
          <w:u w:val="single"/>
        </w:rPr>
        <w:t xml:space="preserve">下划线</w:t>
      </w:r>
      <w:r>
        <w:rPr>
          <w:rFonts w:hint="eastAsia" w:ascii="仿宋" w:hAnsi="仿宋" w:eastAsia="仿宋"/>
          <w:b/>
          <w:i/>
          <w:color w:val="000000"/>
          <w:sz w:val="28"/>
          <w:szCs w:val="28"/>
          <w:highlight w:val="none"/>
          <w:u w:val="single"/>
        </w:rPr>
        <w:t xml:space="preserve">）</w:t>
      </w:r>
      <w:r>
        <w:rPr>
          <w:rFonts w:hint="eastAsia" w:ascii="仿宋" w:hAnsi="仿宋" w:eastAsia="仿宋"/>
          <w:i/>
          <w:sz w:val="28"/>
          <w:szCs w:val="28"/>
          <w:highlight w:val="none"/>
          <w:u w:val="single"/>
        </w:rPr>
      </w:r>
      <w:r/>
    </w:p>
    <w:tbl>
      <w:tblPr>
        <w:tblW w:w="5207" w:type="pct"/>
        <w:tblInd w:w="-108" w:type="dxa"/>
        <w:tblLayout w:type="autofit"/>
        <w:tblCellMar>
          <w:left w:w="108" w:type="dxa"/>
          <w:top w:w="0" w:type="dxa"/>
          <w:right w:w="108" w:type="dxa"/>
          <w:bottom w:w="0" w:type="dxa"/>
        </w:tblCellMar>
        <w:tblLook w:val="04A0" w:firstRow="1" w:lastRow="0" w:firstColumn="1" w:lastColumn="0" w:noHBand="0" w:noVBand="1"/>
      </w:tblPr>
      <w:tblGrid>
        <w:gridCol w:w="768"/>
        <w:gridCol w:w="1591"/>
        <w:gridCol w:w="7190"/>
      </w:tblGrid>
      <w:tr>
        <w:trPr>
          <w:trHeight w:val="255"/>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31"/>
              <w:jc w:val="center"/>
              <w:widowControl/>
              <w:rPr>
                <w:rFonts w:hint="eastAsia" w:ascii="方正仿宋_GBK" w:hAnsi="方正仿宋_GBK" w:eastAsia="方正仿宋_GBK" w:cs="方正仿宋_GBK"/>
                <w:b/>
                <w:bCs/>
                <w:color w:val="000000"/>
                <w:sz w:val="20"/>
                <w:szCs w:val="20"/>
                <w:highlight w:val="none"/>
              </w:rPr>
            </w:pPr>
            <w:r>
              <w:rPr>
                <w:rFonts w:hint="eastAsia" w:ascii="方正仿宋_GBK" w:hAnsi="方正仿宋_GBK" w:eastAsia="方正仿宋_GBK" w:cs="方正仿宋_GBK"/>
                <w:b/>
                <w:bCs/>
                <w:color w:val="000000"/>
                <w:sz w:val="20"/>
                <w:szCs w:val="20"/>
                <w:highlight w:val="none"/>
                <w:lang w:bidi="ar"/>
              </w:rPr>
              <w:t xml:space="preserve">序号</w:t>
            </w:r>
            <w:r>
              <w:rPr>
                <w:rFonts w:hint="eastAsia" w:ascii="方正仿宋_GBK" w:hAnsi="方正仿宋_GBK" w:eastAsia="方正仿宋_GBK" w:cs="方正仿宋_GBK"/>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31"/>
              <w:jc w:val="center"/>
              <w:widowControl/>
              <w:rPr>
                <w:rFonts w:hint="eastAsia" w:ascii="方正仿宋_GBK" w:hAnsi="方正仿宋_GBK" w:eastAsia="方正仿宋_GBK" w:cs="方正仿宋_GBK"/>
                <w:b/>
                <w:bCs/>
                <w:color w:val="000000"/>
                <w:sz w:val="20"/>
                <w:szCs w:val="20"/>
                <w:highlight w:val="none"/>
              </w:rPr>
            </w:pPr>
            <w:r>
              <w:rPr>
                <w:rFonts w:hint="eastAsia" w:ascii="方正仿宋_GBK" w:hAnsi="方正仿宋_GBK" w:eastAsia="方正仿宋_GBK" w:cs="方正仿宋_GBK"/>
                <w:b/>
                <w:bCs/>
                <w:color w:val="000000"/>
                <w:sz w:val="20"/>
                <w:szCs w:val="20"/>
                <w:highlight w:val="none"/>
                <w:lang w:bidi="ar"/>
              </w:rPr>
              <w:t xml:space="preserve">系统设备名称</w:t>
            </w:r>
            <w:r>
              <w:rPr>
                <w:rFonts w:hint="eastAsia" w:ascii="方正仿宋_GBK" w:hAnsi="方正仿宋_GBK" w:eastAsia="方正仿宋_GBK" w:cs="方正仿宋_GBK"/>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64" w:type="dxa"/>
            <w:vAlign w:val="center"/>
            <w:textDirection w:val="lrTb"/>
            <w:noWrap w:val="false"/>
          </w:tcPr>
          <w:p>
            <w:pPr>
              <w:pStyle w:val="931"/>
              <w:jc w:val="center"/>
              <w:widowControl/>
              <w:rPr>
                <w:rFonts w:hint="eastAsia" w:ascii="方正仿宋_GBK" w:hAnsi="方正仿宋_GBK" w:eastAsia="方正仿宋_GBK" w:cs="方正仿宋_GBK"/>
                <w:b/>
                <w:bCs/>
                <w:color w:val="000000"/>
                <w:sz w:val="20"/>
                <w:szCs w:val="20"/>
                <w:highlight w:val="none"/>
              </w:rPr>
            </w:pPr>
            <w:r>
              <w:rPr>
                <w:rFonts w:hint="eastAsia" w:ascii="方正仿宋_GBK" w:hAnsi="方正仿宋_GBK" w:eastAsia="方正仿宋_GBK" w:cs="方正仿宋_GBK"/>
                <w:b/>
                <w:bCs/>
                <w:color w:val="000000"/>
                <w:sz w:val="20"/>
                <w:szCs w:val="20"/>
                <w:highlight w:val="none"/>
                <w:lang w:bidi="ar"/>
              </w:rPr>
              <w:t xml:space="preserve">证明材料</w:t>
            </w:r>
            <w:r>
              <w:rPr>
                <w:rFonts w:hint="eastAsia" w:ascii="方正仿宋_GBK" w:hAnsi="方正仿宋_GBK" w:eastAsia="方正仿宋_GBK" w:cs="方正仿宋_GBK"/>
                <w:b/>
                <w:bCs/>
                <w:color w:val="000000"/>
                <w:sz w:val="20"/>
                <w:szCs w:val="2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3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1</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3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安防平台</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7190" w:type="dxa"/>
            <w:vAlign w:val="center"/>
            <w:textDirection w:val="lrTb"/>
            <w:noWrap w:val="false"/>
          </w:tcPr>
          <w:p>
            <w:pPr>
              <w:pStyle w:val="931"/>
              <w:jc w:val="left"/>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投标人所投安防平台数据库需适配人大金仓、达梦等主流数据库，应用需适配银河麒麟、统信UOS等主流操作系统，对接采购人现有短信平台进行预警推送，并将采购人本部现有监控、门禁、考勤、道闸等存量安防硬件设备接入并管理使用。（提供承诺函加盖供应商公章，格式自拟）</w:t>
            </w:r>
            <w:r>
              <w:rPr>
                <w:rFonts w:hint="eastAsia" w:ascii="方正仿宋_GBK" w:hAnsi="方正仿宋_GBK" w:eastAsia="方正仿宋_GBK" w:cs="方正仿宋_GBK"/>
                <w:i/>
                <w:iCs/>
                <w:color w:val="000000"/>
                <w:sz w:val="20"/>
                <w:szCs w:val="20"/>
                <w:highlight w:val="none"/>
                <w:u w:val="single"/>
                <w:lang w:bidi="ar"/>
              </w:rPr>
            </w:r>
            <w:r/>
          </w:p>
        </w:tc>
      </w:tr>
      <w:tr>
        <w:trPr>
          <w:trHeight w:val="255"/>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3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2</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3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rPr>
              <w:t xml:space="preserve">视频会议系统</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7190" w:type="dxa"/>
            <w:vAlign w:val="center"/>
            <w:textDirection w:val="lrTb"/>
            <w:noWrap w:val="false"/>
          </w:tcPr>
          <w:p>
            <w:pPr>
              <w:pStyle w:val="931"/>
              <w:jc w:val="left"/>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★投标人所投视频会议终端能</w:t>
            </w:r>
            <w:r>
              <w:rPr>
                <w:rFonts w:hint="eastAsia" w:ascii="等线" w:hAnsi="等线" w:eastAsia="等线" w:cs="方正仿宋_GBK"/>
                <w:i/>
                <w:iCs/>
                <w:color w:val="000000"/>
                <w:sz w:val="20"/>
                <w:szCs w:val="20"/>
                <w:highlight w:val="none"/>
                <w:u w:val="single"/>
                <w:lang w:bidi="ar"/>
              </w:rPr>
              <w:t xml:space="preserve">通过H</w:t>
            </w:r>
            <w:r>
              <w:rPr>
                <w:rFonts w:hint="eastAsia" w:ascii="方正仿宋_GBK" w:hAnsi="方正仿宋_GBK" w:eastAsia="等线" w:cs="方正仿宋_GBK"/>
                <w:i/>
                <w:iCs/>
                <w:color w:val="000000"/>
                <w:sz w:val="20"/>
                <w:szCs w:val="20"/>
                <w:highlight w:val="none"/>
                <w:u w:val="single"/>
                <w:lang w:bidi="ar"/>
              </w:rPr>
              <w:t xml:space="preserve">.323协议</w:t>
            </w:r>
            <w:r>
              <w:rPr>
                <w:rFonts w:hint="eastAsia" w:ascii="方正仿宋_GBK" w:hAnsi="方正仿宋_GBK" w:eastAsia="方正仿宋_GBK" w:cs="方正仿宋_GBK"/>
                <w:i/>
                <w:iCs/>
                <w:color w:val="000000"/>
                <w:sz w:val="20"/>
                <w:szCs w:val="20"/>
                <w:highlight w:val="none"/>
                <w:u w:val="single"/>
                <w:lang w:bidi="ar"/>
              </w:rPr>
              <w:t xml:space="preserve">接入采购人现有存量MCU并正常使用。（提供承诺函加盖供应商公章，格式自拟）</w:t>
            </w:r>
            <w:r>
              <w:rPr>
                <w:rFonts w:hint="eastAsia" w:ascii="方正仿宋_GBK" w:hAnsi="方正仿宋_GBK" w:eastAsia="方正仿宋_GBK" w:cs="方正仿宋_GBK"/>
                <w:i/>
                <w:iCs/>
                <w:color w:val="000000"/>
                <w:sz w:val="20"/>
                <w:szCs w:val="20"/>
                <w:highlight w:val="none"/>
                <w:u w:val="single"/>
                <w:lang w:bidi="ar"/>
              </w:rPr>
            </w:r>
            <w:r/>
          </w:p>
        </w:tc>
      </w:tr>
      <w:tr>
        <w:trPr>
          <w:trHeight w:val="255"/>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31"/>
              <w:jc w:val="center"/>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rPr>
              <w:t xml:space="preserve">3</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3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rPr>
              <w:t xml:space="preserve">画面融合服务器</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7190" w:type="dxa"/>
            <w:vAlign w:val="center"/>
            <w:textDirection w:val="lrTb"/>
            <w:noWrap w:val="false"/>
          </w:tcPr>
          <w:p>
            <w:pPr>
              <w:pStyle w:val="931"/>
              <w:jc w:val="left"/>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★投标人所投画面融合服务器需适配银河麒麟、统信UOS等主流操作系统，画面融合应用</w:t>
            </w:r>
            <w:r>
              <w:rPr>
                <w:rFonts w:hint="eastAsia" w:ascii="方正仿宋_GBK" w:hAnsi="方正仿宋_GBK" w:eastAsia="方正仿宋_GBK" w:cs="方正仿宋_GBK"/>
                <w:i/>
                <w:iCs/>
                <w:sz w:val="20"/>
                <w:szCs w:val="20"/>
                <w:highlight w:val="none"/>
                <w:u w:val="single"/>
              </w:rPr>
              <w:t xml:space="preserve">具备画面合成功能和标准 API 接口，</w:t>
            </w:r>
            <w:r>
              <w:rPr>
                <w:rFonts w:hint="eastAsia" w:ascii="方正仿宋_GBK" w:hAnsi="方正仿宋_GBK" w:eastAsia="方正仿宋_GBK" w:cs="方正仿宋_GBK"/>
                <w:i/>
                <w:iCs/>
                <w:color w:val="000000"/>
                <w:sz w:val="20"/>
                <w:szCs w:val="20"/>
                <w:highlight w:val="none"/>
                <w:u w:val="single"/>
                <w:lang w:bidi="ar"/>
              </w:rPr>
              <w:t xml:space="preserve">能被采购人现有的庭审系统最大化调优使用，所产生的录音录像存储到现有的流媒体存储中。（提供承诺函加盖供应商公章，格式自拟）</w:t>
            </w:r>
            <w:r>
              <w:rPr>
                <w:rFonts w:hint="eastAsia" w:ascii="方正仿宋_GBK" w:hAnsi="方正仿宋_GBK" w:eastAsia="方正仿宋_GBK" w:cs="方正仿宋_GBK"/>
                <w:i/>
                <w:iCs/>
                <w:color w:val="000000"/>
                <w:sz w:val="20"/>
                <w:szCs w:val="20"/>
                <w:highlight w:val="none"/>
                <w:u w:val="single"/>
                <w:lang w:bidi="ar"/>
              </w:rPr>
            </w:r>
            <w:r/>
          </w:p>
        </w:tc>
      </w:tr>
      <w:tr>
        <w:trPr>
          <w:trHeight w:val="510"/>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3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4</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3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rPr>
              <w:t xml:space="preserve">电子质证系统</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7190" w:type="dxa"/>
            <w:vAlign w:val="center"/>
            <w:textDirection w:val="lrTb"/>
            <w:noWrap w:val="false"/>
          </w:tcPr>
          <w:p>
            <w:pPr>
              <w:pStyle w:val="931"/>
              <w:jc w:val="left"/>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★投标人所投电子质证系统应与“全国法院办案办公平台”系统实现对接，数据库需适配人大金仓、达梦等主流数据库，应用需适配银河麒麟、统信UOS等主流操作系统。（提供承诺函加盖供应商公章，格式自拟）</w:t>
            </w:r>
            <w:r>
              <w:rPr>
                <w:rFonts w:hint="eastAsia" w:ascii="方正仿宋_GBK" w:hAnsi="方正仿宋_GBK" w:eastAsia="方正仿宋_GBK" w:cs="方正仿宋_GBK"/>
                <w:i/>
                <w:iCs/>
                <w:color w:val="000000"/>
                <w:sz w:val="20"/>
                <w:szCs w:val="20"/>
                <w:highlight w:val="none"/>
                <w:u w:val="single"/>
              </w:rPr>
            </w:r>
            <w:r/>
          </w:p>
        </w:tc>
      </w:tr>
      <w:tr>
        <w:trPr>
          <w:trHeight w:val="510"/>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3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5</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31"/>
              <w:jc w:val="center"/>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语音转写系统</w:t>
            </w:r>
            <w:r>
              <w:rPr>
                <w:rFonts w:hint="eastAsia" w:ascii="方正仿宋_GBK" w:hAnsi="方正仿宋_GBK" w:eastAsia="方正仿宋_GBK" w:cs="方正仿宋_GBK"/>
                <w:i/>
                <w:iCs/>
                <w:color w:val="000000"/>
                <w:sz w:val="20"/>
                <w:szCs w:val="20"/>
                <w:highlight w:val="none"/>
                <w:u w:val="single"/>
              </w:rPr>
            </w:r>
            <w:r/>
          </w:p>
        </w:tc>
        <w:tc>
          <w:tcPr>
            <w:tcBorders>
              <w:top w:val="single" w:color="000000" w:sz="4" w:space="0"/>
              <w:left w:val="single" w:color="000000" w:sz="4" w:space="0"/>
              <w:bottom w:val="single" w:color="000000" w:sz="4" w:space="0"/>
              <w:right w:val="single" w:color="000000" w:sz="4" w:space="0"/>
            </w:tcBorders>
            <w:tcW w:w="7190" w:type="dxa"/>
            <w:vAlign w:val="center"/>
            <w:textDirection w:val="lrTb"/>
            <w:noWrap w:val="false"/>
          </w:tcPr>
          <w:p>
            <w:pPr>
              <w:pStyle w:val="931"/>
              <w:jc w:val="left"/>
              <w:widowControl/>
              <w:rPr>
                <w:rFonts w:hint="eastAsia" w:ascii="方正仿宋_GBK" w:hAnsi="方正仿宋_GBK" w:eastAsia="方正仿宋_GBK" w:cs="方正仿宋_GBK"/>
                <w:i/>
                <w:iCs/>
                <w:color w:val="000000"/>
                <w:sz w:val="20"/>
                <w:szCs w:val="20"/>
                <w:highlight w:val="none"/>
                <w:u w:val="single"/>
              </w:rPr>
            </w:pPr>
            <w:r>
              <w:rPr>
                <w:rFonts w:hint="eastAsia" w:ascii="方正仿宋_GBK" w:hAnsi="方正仿宋_GBK" w:eastAsia="方正仿宋_GBK" w:cs="方正仿宋_GBK"/>
                <w:i/>
                <w:iCs/>
                <w:color w:val="000000"/>
                <w:sz w:val="20"/>
                <w:szCs w:val="20"/>
                <w:highlight w:val="none"/>
                <w:u w:val="single"/>
                <w:lang w:bidi="ar"/>
              </w:rPr>
              <w:t xml:space="preserve">★</w:t>
            </w:r>
            <w:r>
              <w:rPr>
                <w:rFonts w:hint="eastAsia" w:ascii="方正仿宋_GBK" w:hAnsi="方正仿宋_GBK" w:eastAsia="方正仿宋_GBK" w:cs="方正仿宋_GBK"/>
                <w:i/>
                <w:iCs/>
                <w:sz w:val="20"/>
                <w:szCs w:val="20"/>
                <w:highlight w:val="none"/>
                <w:u w:val="single"/>
              </w:rPr>
              <w:t xml:space="preserve">投标人所投语音转写系统须具备标准 API 接口，可与采购人现有语音转写业务平台实现对接</w:t>
            </w:r>
            <w:r>
              <w:rPr>
                <w:rFonts w:hint="eastAsia" w:ascii="方正仿宋_GBK" w:hAnsi="方正仿宋_GBK" w:eastAsia="方正仿宋_GBK" w:cs="方正仿宋_GBK"/>
                <w:i/>
                <w:iCs/>
                <w:color w:val="000000"/>
                <w:sz w:val="20"/>
                <w:szCs w:val="20"/>
                <w:highlight w:val="none"/>
                <w:u w:val="single"/>
                <w:lang w:bidi="ar"/>
              </w:rPr>
              <w:t xml:space="preserve">（提供承诺函加盖供应商公章，格式自拟）</w:t>
            </w:r>
            <w:r>
              <w:rPr>
                <w:rFonts w:hint="eastAsia" w:ascii="方正仿宋_GBK" w:hAnsi="方正仿宋_GBK" w:eastAsia="方正仿宋_GBK" w:cs="方正仿宋_GBK"/>
                <w:i/>
                <w:iCs/>
                <w:color w:val="000000"/>
                <w:sz w:val="20"/>
                <w:szCs w:val="20"/>
                <w:highlight w:val="none"/>
                <w:u w:val="single"/>
              </w:rPr>
            </w:r>
            <w:r/>
          </w:p>
        </w:tc>
      </w:tr>
      <w:tr>
        <w:trPr>
          <w:trHeight w:val="510"/>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31"/>
              <w:jc w:val="center"/>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6</w:t>
            </w:r>
            <w:r>
              <w:rPr>
                <w:rFonts w:hint="eastAsia" w:ascii="方正仿宋_GBK" w:hAnsi="方正仿宋_GBK" w:eastAsia="方正仿宋_GBK" w:cs="方正仿宋_GBK"/>
                <w:i/>
                <w:iCs/>
                <w:color w:val="000000"/>
                <w:sz w:val="20"/>
                <w:szCs w:val="20"/>
                <w:highlight w:val="none"/>
                <w:u w:val="single"/>
                <w:lang w:bidi="ar"/>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31"/>
              <w:jc w:val="center"/>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律师一码通</w:t>
            </w:r>
            <w:r>
              <w:rPr>
                <w:rFonts w:hint="eastAsia" w:ascii="方正仿宋_GBK" w:hAnsi="方正仿宋_GBK" w:eastAsia="方正仿宋_GBK" w:cs="方正仿宋_GBK"/>
                <w:i/>
                <w:iCs/>
                <w:color w:val="000000"/>
                <w:sz w:val="20"/>
                <w:szCs w:val="20"/>
                <w:highlight w:val="none"/>
                <w:u w:val="single"/>
                <w:lang w:bidi="ar"/>
              </w:rPr>
            </w:r>
            <w:r/>
          </w:p>
        </w:tc>
        <w:tc>
          <w:tcPr>
            <w:tcBorders>
              <w:top w:val="single" w:color="000000" w:sz="4" w:space="0"/>
              <w:left w:val="single" w:color="000000" w:sz="4" w:space="0"/>
              <w:bottom w:val="single" w:color="000000" w:sz="4" w:space="0"/>
              <w:right w:val="single" w:color="000000" w:sz="4" w:space="0"/>
            </w:tcBorders>
            <w:tcW w:w="7190" w:type="dxa"/>
            <w:vAlign w:val="center"/>
            <w:textDirection w:val="lrTb"/>
            <w:noWrap w:val="false"/>
          </w:tcPr>
          <w:p>
            <w:pPr>
              <w:pStyle w:val="931"/>
              <w:jc w:val="left"/>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★投标人所投律师一码通应与“全国法院办案办公平台”系统对接，实现律师持证刷码完成身份验证。（提供承诺函加盖供应商公章，格式自拟）</w:t>
            </w:r>
            <w:r>
              <w:rPr>
                <w:rFonts w:hint="eastAsia" w:ascii="方正仿宋_GBK" w:hAnsi="方正仿宋_GBK" w:eastAsia="方正仿宋_GBK" w:cs="方正仿宋_GBK"/>
                <w:i/>
                <w:iCs/>
                <w:color w:val="000000"/>
                <w:sz w:val="20"/>
                <w:szCs w:val="20"/>
                <w:highlight w:val="none"/>
                <w:u w:val="single"/>
                <w:lang w:bidi="ar"/>
              </w:rPr>
            </w:r>
            <w:r/>
          </w:p>
        </w:tc>
      </w:tr>
      <w:tr>
        <w:trPr>
          <w:trHeight w:val="510"/>
        </w:trPr>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31"/>
              <w:jc w:val="center"/>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7</w:t>
            </w:r>
            <w:r>
              <w:rPr>
                <w:rFonts w:hint="eastAsia" w:ascii="方正仿宋_GBK" w:hAnsi="方正仿宋_GBK" w:eastAsia="方正仿宋_GBK" w:cs="方正仿宋_GBK"/>
                <w:i/>
                <w:iCs/>
                <w:color w:val="000000"/>
                <w:sz w:val="20"/>
                <w:szCs w:val="20"/>
                <w:highlight w:val="none"/>
                <w:u w:val="single"/>
                <w:lang w:bidi="ar"/>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31"/>
              <w:jc w:val="center"/>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庭审公告终端</w:t>
            </w:r>
            <w:r>
              <w:rPr>
                <w:rFonts w:hint="eastAsia" w:ascii="方正仿宋_GBK" w:hAnsi="方正仿宋_GBK" w:eastAsia="方正仿宋_GBK" w:cs="方正仿宋_GBK"/>
                <w:i/>
                <w:iCs/>
                <w:color w:val="000000"/>
                <w:sz w:val="20"/>
                <w:szCs w:val="20"/>
                <w:highlight w:val="none"/>
                <w:u w:val="single"/>
                <w:lang w:bidi="ar"/>
              </w:rPr>
            </w:r>
            <w:r/>
          </w:p>
        </w:tc>
        <w:tc>
          <w:tcPr>
            <w:tcBorders>
              <w:top w:val="single" w:color="000000" w:sz="4" w:space="0"/>
              <w:left w:val="single" w:color="000000" w:sz="4" w:space="0"/>
              <w:bottom w:val="single" w:color="000000" w:sz="4" w:space="0"/>
              <w:right w:val="single" w:color="000000" w:sz="4" w:space="0"/>
            </w:tcBorders>
            <w:tcW w:w="7190" w:type="dxa"/>
            <w:vAlign w:val="center"/>
            <w:textDirection w:val="lrTb"/>
            <w:noWrap w:val="false"/>
          </w:tcPr>
          <w:p>
            <w:pPr>
              <w:pStyle w:val="931"/>
              <w:jc w:val="left"/>
              <w:widowControl/>
              <w:rPr>
                <w:rFonts w:hint="eastAsia" w:ascii="方正仿宋_GBK" w:hAnsi="方正仿宋_GBK" w:eastAsia="方正仿宋_GBK" w:cs="方正仿宋_GBK"/>
                <w:i/>
                <w:iCs/>
                <w:color w:val="000000"/>
                <w:sz w:val="20"/>
                <w:szCs w:val="20"/>
                <w:highlight w:val="none"/>
                <w:u w:val="single"/>
                <w:lang w:bidi="ar"/>
              </w:rPr>
            </w:pPr>
            <w:r>
              <w:rPr>
                <w:rFonts w:hint="eastAsia" w:ascii="方正仿宋_GBK" w:hAnsi="方正仿宋_GBK" w:eastAsia="方正仿宋_GBK" w:cs="方正仿宋_GBK"/>
                <w:i/>
                <w:iCs/>
                <w:color w:val="000000"/>
                <w:sz w:val="20"/>
                <w:szCs w:val="20"/>
                <w:highlight w:val="none"/>
                <w:u w:val="single"/>
                <w:lang w:bidi="ar"/>
              </w:rPr>
              <w:t xml:space="preserve">★投标人所投庭审公告终端应通过现有庭审系统提供的标准API接口获取到庭审相关信息在公告终端上显示。（提供承诺函加盖供应商公章，格式自拟）</w:t>
            </w:r>
            <w:r>
              <w:rPr>
                <w:rFonts w:hint="eastAsia" w:ascii="方正仿宋_GBK" w:hAnsi="方正仿宋_GBK" w:eastAsia="方正仿宋_GBK" w:cs="方正仿宋_GBK"/>
                <w:i/>
                <w:iCs/>
                <w:color w:val="000000"/>
                <w:sz w:val="20"/>
                <w:szCs w:val="20"/>
                <w:highlight w:val="none"/>
                <w:u w:val="single"/>
                <w:lang w:bidi="ar"/>
              </w:rPr>
            </w:r>
            <w:r/>
          </w:p>
        </w:tc>
      </w:tr>
    </w:tbl>
    <w:p>
      <w:pPr>
        <w:pStyle w:val="931"/>
        <w:rPr>
          <w:rFonts w:hint="eastAsia" w:ascii="黑体" w:hAnsi="Times New Roman" w:eastAsia="黑体"/>
          <w:bCs/>
          <w:color w:val="000000"/>
          <w:sz w:val="44"/>
          <w:szCs w:val="28"/>
        </w:rPr>
      </w:pPr>
      <w:r>
        <w:rPr>
          <w:rFonts w:hint="eastAsia" w:ascii="方正仿宋_GBK" w:hAnsi="方正仿宋_GBK" w:eastAsia="方正仿宋_GBK" w:cs="方正仿宋_GBK"/>
          <w:i/>
          <w:iCs/>
          <w:sz w:val="24"/>
          <w:szCs w:val="24"/>
          <w:highlight w:val="none"/>
          <w:u w:val="single"/>
        </w:rPr>
        <w:t xml:space="preserve">其中，第1至7项为本项目系统对接要求，投标人应在投标文件中作出书面承诺，系统对接所产生的全部开发工作量及相关费用均已包含在投标总价内，采购人不另行支付</w:t>
      </w:r>
      <w:r>
        <w:rPr>
          <w:rFonts w:hint="eastAsia" w:ascii="方正仿宋_GBK" w:hAnsi="方正仿宋_GBK" w:eastAsia="方正仿宋_GBK" w:cs="方正仿宋_GBK"/>
          <w:b/>
          <w:bCs/>
          <w:i/>
          <w:iCs/>
          <w:color w:val="000000"/>
          <w:sz w:val="24"/>
          <w:szCs w:val="24"/>
          <w:highlight w:val="none"/>
          <w:u w:val="single"/>
        </w:rPr>
        <w:t xml:space="preserve">（如需获取现有系统的详细情况，请联系鲁先生，电话：0513-68506398）</w:t>
      </w:r>
      <w:r>
        <w:rPr>
          <w:rFonts w:hint="eastAsia" w:ascii="方正仿宋_GBK" w:hAnsi="方正仿宋_GBK" w:eastAsia="方正仿宋_GBK" w:cs="方正仿宋_GBK"/>
          <w:i/>
          <w:iCs/>
          <w:sz w:val="24"/>
          <w:szCs w:val="24"/>
          <w:highlight w:val="none"/>
          <w:u w:val="single"/>
        </w:rPr>
        <w:t xml:space="preserve">。中标人无正当理由未按投标承诺完成系统对接，经采购人书面催告后15日内仍未完成的，采购人有权将此类情形作为线索，提请财政监管部门依法调查处理。由此产生的一切不利后果，由投标人自行承担。</w:t>
      </w:r>
      <w:bookmarkStart w:id="216" w:name="_Toc120614281"/>
      <w:r>
        <w:rPr>
          <w:rFonts w:hint="eastAsia" w:ascii="黑体" w:hAnsi="Times New Roman" w:eastAsia="黑体"/>
          <w:bCs/>
          <w:color w:val="000000"/>
          <w:sz w:val="44"/>
          <w:szCs w:val="28"/>
        </w:rPr>
      </w:r>
      <w:r/>
    </w:p>
    <w:p>
      <w:pPr>
        <w:pStyle w:val="931"/>
        <w:ind w:firstLine="512"/>
        <w:jc w:val="left"/>
        <w:spacing w:before="120" w:after="120" w:line="480" w:lineRule="exact"/>
        <w:rPr>
          <w:rFonts w:ascii="仿宋" w:hAnsi="仿宋" w:eastAsia="仿宋" w:cs="Arial"/>
          <w:color w:val="000000"/>
          <w:sz w:val="28"/>
          <w:szCs w:val="28"/>
        </w:rPr>
      </w:pPr>
      <w:r>
        <w:rPr>
          <w:rFonts w:ascii="仿宋" w:hAnsi="仿宋" w:eastAsia="仿宋" w:cs="Arial"/>
          <w:color w:val="000000"/>
          <w:sz w:val="28"/>
          <w:szCs w:val="28"/>
        </w:rPr>
      </w:r>
      <w:r/>
    </w:p>
    <w:p>
      <w:pPr>
        <w:pStyle w:val="931"/>
        <w:ind w:firstLine="512"/>
        <w:jc w:val="left"/>
        <w:spacing w:before="120" w:after="120" w:line="480" w:lineRule="exact"/>
        <w:rPr>
          <w:rFonts w:ascii="仿宋" w:hAnsi="仿宋" w:eastAsia="仿宋" w:cs="Arial"/>
          <w:color w:val="000000"/>
          <w:sz w:val="28"/>
          <w:szCs w:val="28"/>
        </w:rPr>
      </w:pPr>
      <w:r>
        <w:rPr>
          <w:rFonts w:ascii="仿宋" w:hAnsi="仿宋" w:eastAsia="仿宋" w:cs="Arial"/>
          <w:color w:val="000000"/>
          <w:sz w:val="28"/>
          <w:szCs w:val="28"/>
        </w:rPr>
      </w:r>
      <w:r/>
    </w:p>
    <w:p>
      <w:pPr>
        <w:pStyle w:val="931"/>
        <w:ind w:firstLine="512"/>
        <w:jc w:val="left"/>
        <w:spacing w:before="120" w:after="120" w:line="480" w:lineRule="exact"/>
        <w:rPr>
          <w:rFonts w:ascii="仿宋" w:hAnsi="仿宋" w:eastAsia="仿宋" w:cs="Arial"/>
          <w:color w:val="000000"/>
          <w:sz w:val="28"/>
          <w:szCs w:val="28"/>
        </w:rPr>
      </w:pPr>
      <w:r>
        <w:rPr>
          <w:rFonts w:ascii="仿宋" w:hAnsi="仿宋" w:eastAsia="仿宋" w:cs="Arial"/>
          <w:color w:val="000000"/>
          <w:sz w:val="28"/>
          <w:szCs w:val="28"/>
        </w:rPr>
      </w:r>
      <w:r/>
    </w:p>
    <w:p>
      <w:pPr>
        <w:pStyle w:val="931"/>
        <w:ind w:firstLine="512"/>
        <w:jc w:val="left"/>
        <w:spacing w:before="120" w:after="120" w:line="480" w:lineRule="exact"/>
        <w:rPr>
          <w:rFonts w:ascii="仿宋" w:hAnsi="仿宋" w:eastAsia="仿宋" w:cs="Arial"/>
          <w:color w:val="000000"/>
          <w:sz w:val="28"/>
          <w:szCs w:val="28"/>
        </w:rPr>
      </w:pPr>
      <w:r>
        <w:rPr>
          <w:rFonts w:ascii="仿宋" w:hAnsi="仿宋" w:eastAsia="仿宋" w:cs="Arial"/>
          <w:color w:val="000000"/>
          <w:sz w:val="28"/>
          <w:szCs w:val="28"/>
        </w:rPr>
      </w:r>
      <w:r/>
    </w:p>
    <w:p>
      <w:pPr>
        <w:pStyle w:val="931"/>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931"/>
        <w:ind w:firstLine="512"/>
        <w:jc w:val="left"/>
        <w:spacing w:before="120" w:after="120" w:line="480" w:lineRule="exact"/>
        <w:rPr>
          <w:rFonts w:ascii="仿宋" w:hAnsi="仿宋" w:eastAsia="仿宋" w:cs="Arial"/>
          <w:color w:val="000000"/>
          <w:sz w:val="28"/>
          <w:szCs w:val="28"/>
        </w:rPr>
      </w:pPr>
      <w:r>
        <w:rPr>
          <w:rFonts w:ascii="仿宋" w:hAnsi="仿宋" w:eastAsia="仿宋" w:cs="Arial"/>
          <w:color w:val="000000"/>
          <w:sz w:val="28"/>
          <w:szCs w:val="28"/>
        </w:rPr>
      </w:r>
      <w:r/>
    </w:p>
    <w:p>
      <w:pPr>
        <w:pStyle w:val="931"/>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p>
      <w:pPr>
        <w:pStyle w:val="931"/>
        <w:ind w:firstLine="514"/>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政府采购政策功能落实</w:t>
      </w:r>
      <w:r>
        <w:rPr>
          <w:rFonts w:hint="eastAsia" w:ascii="仿宋" w:hAnsi="仿宋" w:eastAsia="仿宋"/>
          <w:b/>
          <w:color w:val="000000"/>
          <w:sz w:val="28"/>
          <w:szCs w:val="28"/>
          <w:highlight w:val="yellow"/>
        </w:rPr>
      </w:r>
      <w:r/>
    </w:p>
    <w:p>
      <w:pPr>
        <w:pStyle w:val="931"/>
        <w:ind w:firstLine="560"/>
        <w:jc w:val="left"/>
        <w:spacing w:before="120" w:after="120" w:line="480" w:lineRule="exact"/>
        <w:rPr>
          <w:rFonts w:ascii="仿宋" w:hAnsi="仿宋" w:eastAsia="仿宋" w:cs="Times New Roman"/>
          <w:color w:val="000000"/>
          <w:sz w:val="28"/>
          <w:szCs w:val="28"/>
          <w:highlight w:val="yellow"/>
          <w:lang w:val="en-US" w:eastAsia="zh-CN"/>
        </w:rPr>
      </w:pPr>
      <w:r>
        <w:rPr>
          <w:rFonts w:hint="eastAsia" w:ascii="仿宋" w:hAnsi="仿宋" w:eastAsia="仿宋"/>
          <w:color w:val="000000"/>
          <w:sz w:val="28"/>
          <w:szCs w:val="28"/>
        </w:rPr>
        <w:t xml:space="preserve">1、小微型企业价格扣除</w:t>
      </w:r>
      <w:r>
        <w:rPr>
          <w:rFonts w:ascii="仿宋" w:hAnsi="仿宋" w:eastAsia="仿宋" w:cs="Times New Roman"/>
          <w:color w:val="000000"/>
          <w:sz w:val="28"/>
          <w:szCs w:val="28"/>
          <w:highlight w:val="yellow"/>
          <w:lang w:val="en-US" w:eastAsia="zh-CN"/>
        </w:rPr>
      </w:r>
      <w:r/>
    </w:p>
    <w:p>
      <w:pPr>
        <w:pStyle w:val="931"/>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（1）本项目对小型和微型企业产品给予</w:t>
      </w:r>
      <w:r>
        <w:rPr>
          <w:rFonts w:hint="eastAsia" w:ascii="仿宋" w:hAnsi="仿宋" w:eastAsia="仿宋"/>
          <w:color w:val="000000"/>
          <w:sz w:val="28"/>
          <w:szCs w:val="28"/>
          <w:highlight w:val="none"/>
          <w:u w:val="single"/>
          <w:lang w:val="en-US" w:eastAsia="zh-CN"/>
        </w:rPr>
        <w:t xml:space="preserve">20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的扣除价格，用扣除后的价格参与评审。</w:t>
      </w:r>
      <w:r>
        <w:rPr>
          <w:rFonts w:hint="eastAsia" w:ascii="仿宋" w:hAnsi="仿宋" w:eastAsia="仿宋"/>
          <w:color w:val="000000"/>
          <w:sz w:val="28"/>
          <w:szCs w:val="28"/>
          <w:highlight w:val="none"/>
        </w:rPr>
      </w:r>
      <w:r/>
    </w:p>
    <w:p>
      <w:pPr>
        <w:pStyle w:val="931"/>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（2）供应商需按照采购文件的要求提供相应的《小微企业声明函》。</w:t>
      </w:r>
      <w:r>
        <w:rPr>
          <w:rFonts w:hint="eastAsia" w:ascii="仿宋" w:hAnsi="仿宋" w:eastAsia="仿宋"/>
          <w:color w:val="000000"/>
          <w:sz w:val="28"/>
          <w:szCs w:val="28"/>
          <w:highlight w:val="none"/>
        </w:rPr>
      </w:r>
      <w:r/>
    </w:p>
    <w:p>
      <w:pPr>
        <w:pStyle w:val="931"/>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（3）企业标准请参照《关于印发中小企业划型标准规定的通知》（工信部联企业</w:t>
      </w:r>
      <w:r>
        <w:rPr>
          <w:rFonts w:hint="eastAsia" w:ascii="仿宋" w:hAnsi="仿宋" w:eastAsia="仿宋"/>
          <w:color w:val="000000"/>
          <w:sz w:val="28"/>
          <w:szCs w:val="28"/>
          <w:highlight w:val="none"/>
          <w:lang w:eastAsia="zh-CN"/>
        </w:rPr>
        <w:t xml:space="preserve">〔2011〕</w:t>
      </w:r>
      <w:r>
        <w:rPr>
          <w:rFonts w:hint="eastAsia" w:ascii="仿宋" w:hAnsi="仿宋" w:eastAsia="仿宋"/>
          <w:color w:val="000000"/>
          <w:sz w:val="28"/>
          <w:szCs w:val="28"/>
          <w:highlight w:val="none"/>
        </w:rPr>
        <w:t xml:space="preserve">300号）文件规定自行填写。</w:t>
      </w:r>
      <w:r>
        <w:rPr>
          <w:rFonts w:hint="eastAsia" w:ascii="仿宋" w:hAnsi="仿宋" w:eastAsia="仿宋"/>
          <w:color w:val="000000"/>
          <w:sz w:val="28"/>
          <w:szCs w:val="28"/>
          <w:highlight w:val="none"/>
        </w:rPr>
      </w:r>
      <w:r/>
    </w:p>
    <w:p>
      <w:pPr>
        <w:pStyle w:val="93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2、残疾人福利单位价格扣除</w:t>
      </w:r>
      <w:r>
        <w:rPr>
          <w:rFonts w:hint="eastAsia" w:ascii="仿宋" w:hAnsi="仿宋" w:eastAsia="仿宋"/>
          <w:color w:val="000000"/>
          <w:sz w:val="28"/>
          <w:szCs w:val="28"/>
          <w:highlight w:val="none"/>
        </w:rPr>
      </w:r>
      <w:r/>
    </w:p>
    <w:p>
      <w:pPr>
        <w:pStyle w:val="931"/>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（1）本项目对残疾人福利性单位视同小型、微型企业，给予</w:t>
      </w:r>
      <w:r>
        <w:rPr>
          <w:rFonts w:hint="eastAsia" w:ascii="仿宋" w:hAnsi="仿宋" w:eastAsia="仿宋"/>
          <w:color w:val="000000"/>
          <w:sz w:val="28"/>
          <w:szCs w:val="28"/>
          <w:highlight w:val="none"/>
          <w:u w:val="single"/>
          <w:lang w:val="en-US" w:eastAsia="zh-CN"/>
        </w:rPr>
        <w:t xml:space="preserve">20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的价格扣除，用扣除后的价格参与评审。</w:t>
      </w:r>
      <w:r>
        <w:rPr>
          <w:rFonts w:hint="eastAsia" w:ascii="仿宋" w:hAnsi="仿宋" w:eastAsia="仿宋"/>
          <w:color w:val="000000"/>
          <w:sz w:val="28"/>
          <w:szCs w:val="28"/>
          <w:highlight w:val="none"/>
        </w:rPr>
      </w:r>
      <w:r/>
    </w:p>
    <w:p>
      <w:pPr>
        <w:pStyle w:val="931"/>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（2）残疾人福利单位需按照采购文件的要求提供《残疾人福利性单位声明函》。</w:t>
      </w:r>
      <w:r>
        <w:rPr>
          <w:rFonts w:hint="eastAsia" w:ascii="仿宋" w:hAnsi="仿宋" w:eastAsia="仿宋"/>
          <w:color w:val="000000"/>
          <w:sz w:val="28"/>
          <w:szCs w:val="28"/>
          <w:highlight w:val="none"/>
        </w:rPr>
      </w:r>
      <w:r/>
    </w:p>
    <w:p>
      <w:pPr>
        <w:pStyle w:val="931"/>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（3）残疾人福利单位标准请参照《关于促进残疾人就业政府采购政策的通知》（财库〔2017〕141号）。</w:t>
      </w:r>
      <w:r>
        <w:rPr>
          <w:rFonts w:hint="eastAsia" w:ascii="仿宋" w:hAnsi="仿宋" w:eastAsia="仿宋"/>
          <w:color w:val="000000"/>
          <w:sz w:val="28"/>
          <w:szCs w:val="28"/>
          <w:highlight w:val="none"/>
        </w:rPr>
      </w:r>
      <w:r/>
    </w:p>
    <w:p>
      <w:pPr>
        <w:pStyle w:val="93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3、监狱和戒毒企业价格扣除</w:t>
      </w:r>
      <w:r>
        <w:rPr>
          <w:rFonts w:hint="eastAsia" w:ascii="仿宋" w:hAnsi="仿宋" w:eastAsia="仿宋"/>
          <w:color w:val="000000"/>
          <w:sz w:val="28"/>
          <w:szCs w:val="28"/>
          <w:highlight w:val="none"/>
        </w:rPr>
      </w:r>
      <w:r/>
    </w:p>
    <w:p>
      <w:pPr>
        <w:pStyle w:val="93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（1）本项目对监狱和戒毒企业（简称监狱企业）视同小型、微型企业，给予</w:t>
      </w:r>
      <w:r>
        <w:rPr>
          <w:rFonts w:hint="eastAsia" w:ascii="仿宋" w:hAnsi="仿宋" w:eastAsia="仿宋"/>
          <w:color w:val="000000"/>
          <w:sz w:val="28"/>
          <w:szCs w:val="28"/>
          <w:highlight w:val="none"/>
          <w:u w:val="single"/>
          <w:lang w:val="en-US" w:eastAsia="zh-CN"/>
        </w:rPr>
        <w:t xml:space="preserve">20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的价格扣除，用扣除后的价格参与评审。</w:t>
      </w:r>
      <w:r>
        <w:rPr>
          <w:rFonts w:hint="eastAsia" w:ascii="仿宋" w:hAnsi="仿宋" w:eastAsia="仿宋"/>
          <w:color w:val="000000"/>
          <w:sz w:val="28"/>
          <w:szCs w:val="28"/>
          <w:highlight w:val="none"/>
        </w:rPr>
      </w:r>
      <w:r/>
    </w:p>
    <w:p>
      <w:pPr>
        <w:pStyle w:val="93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olor w:val="000000"/>
          <w:sz w:val="28"/>
          <w:szCs w:val="28"/>
          <w:highlight w:val="none"/>
        </w:rPr>
      </w:r>
      <w:r/>
    </w:p>
    <w:p>
      <w:pPr>
        <w:pStyle w:val="93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财库[2014]68号</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3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4、残疾人福利单位、监狱企业属于小型、微型企业的，不重复享受</w:t>
      </w:r>
      <w:r>
        <w:rPr>
          <w:rFonts w:hint="eastAsia" w:ascii="仿宋" w:hAnsi="仿宋" w:eastAsia="仿宋"/>
          <w:color w:val="000000"/>
          <w:sz w:val="28"/>
          <w:szCs w:val="28"/>
          <w:highlight w:val="none"/>
        </w:rPr>
        <w:t xml:space="preserve">政策。</w:t>
      </w:r>
      <w:r>
        <w:rPr>
          <w:rFonts w:hint="eastAsia" w:ascii="仿宋" w:hAnsi="仿宋" w:eastAsia="仿宋"/>
          <w:color w:val="000000"/>
          <w:sz w:val="28"/>
          <w:szCs w:val="28"/>
          <w:highlight w:val="none"/>
        </w:rPr>
      </w:r>
      <w:r/>
    </w:p>
    <w:p>
      <w:pPr>
        <w:pStyle w:val="1008"/>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5、采购本国产品的支持政策</w:t>
      </w:r>
      <w:r>
        <w:rPr>
          <w:rFonts w:hint="eastAsia" w:ascii="仿宋" w:hAnsi="仿宋" w:eastAsia="仿宋" w:cs="Times New Roman"/>
          <w:color w:val="000000"/>
          <w:sz w:val="28"/>
          <w:szCs w:val="28"/>
          <w:highlight w:val="none"/>
          <w:lang w:val="en-US" w:eastAsia="zh-CN" w:bidi="ar-SA"/>
        </w:rPr>
      </w:r>
      <w:r/>
    </w:p>
    <w:p>
      <w:pPr>
        <w:pStyle w:val="1008"/>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5.1 本项目政府采购活动中既有本国产品又有非本国产品参与竞争的，依法对本国产品给予价格评审优惠，对本国产品的报价给予  20%的价格扣除，用扣除后的价格参与评审。</w:t>
      </w:r>
      <w:r>
        <w:rPr>
          <w:rFonts w:hint="eastAsia" w:ascii="仿宋" w:hAnsi="仿宋" w:eastAsia="仿宋" w:cs="Times New Roman"/>
          <w:color w:val="000000"/>
          <w:sz w:val="28"/>
          <w:szCs w:val="28"/>
          <w:highlight w:val="none"/>
          <w:lang w:val="en-US" w:eastAsia="zh-CN" w:bidi="ar-SA"/>
        </w:rPr>
      </w:r>
      <w:r/>
    </w:p>
    <w:p>
      <w:pPr>
        <w:pStyle w:val="1008"/>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Times New Roman"/>
          <w:color w:val="000000"/>
          <w:sz w:val="28"/>
          <w:szCs w:val="28"/>
          <w:highlight w:val="none"/>
          <w:lang w:val="en-US" w:eastAsia="zh-CN" w:bidi="ar-SA"/>
        </w:rPr>
      </w:r>
      <w:r/>
    </w:p>
    <w:p>
      <w:pPr>
        <w:pStyle w:val="1008"/>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5.3 供应商需按照招标文件的要求提供《关于符合本国产品标准的声明函》（以下简称《声明函》），如不提供将不享受本国产品价格评审优惠。</w:t>
      </w:r>
      <w:r>
        <w:rPr>
          <w:rFonts w:hint="eastAsia" w:ascii="仿宋" w:hAnsi="仿宋" w:eastAsia="仿宋" w:cs="Times New Roman"/>
          <w:color w:val="000000"/>
          <w:sz w:val="28"/>
          <w:szCs w:val="28"/>
          <w:highlight w:val="none"/>
          <w:lang w:val="en-US" w:eastAsia="zh-CN" w:bidi="ar-SA"/>
        </w:rPr>
      </w:r>
      <w:r/>
    </w:p>
    <w:p>
      <w:pPr>
        <w:pStyle w:val="1008"/>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Times New Roman"/>
          <w:color w:val="000000"/>
          <w:sz w:val="28"/>
          <w:szCs w:val="28"/>
          <w:highlight w:val="none"/>
          <w:lang w:val="en-US" w:eastAsia="zh-CN" w:bidi="ar-SA"/>
        </w:rPr>
      </w:r>
      <w:r/>
    </w:p>
    <w:p>
      <w:pPr>
        <w:pStyle w:val="1008"/>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Times New Roman"/>
          <w:color w:val="000000"/>
          <w:sz w:val="28"/>
          <w:szCs w:val="28"/>
          <w:highlight w:val="none"/>
          <w:lang w:val="en-US" w:eastAsia="zh-CN" w:bidi="ar-SA"/>
        </w:rPr>
      </w:r>
      <w:r/>
    </w:p>
    <w:p>
      <w:pPr>
        <w:pStyle w:val="931"/>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1020"/>
        <w:numPr>
          <w:ilvl w:val="0"/>
          <w:numId w:val="23"/>
        </w:numPr>
        <w:ind w:firstLine="562"/>
        <w:spacing w:line="480" w:lineRule="exact"/>
        <w:tabs>
          <w:tab w:val="left" w:pos="312" w:leader="none"/>
        </w:tabs>
        <w:rPr>
          <w:rFonts w:hint="eastAsia" w:ascii="仿宋" w:hAnsi="仿宋" w:eastAsia="仿宋"/>
          <w:b/>
          <w:sz w:val="28"/>
          <w:szCs w:val="28"/>
          <w:highlight w:val="none"/>
        </w:rPr>
      </w:pP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931"/>
        <w:ind w:firstLine="562"/>
        <w:spacing w:line="500" w:lineRule="exact"/>
        <w:rPr>
          <w:rFonts w:eastAsia="方正仿宋_GBK"/>
          <w:sz w:val="28"/>
          <w:szCs w:val="28"/>
        </w:rPr>
      </w:pPr>
      <w:r>
        <w:rPr>
          <w:rFonts w:hint="eastAsia" w:ascii="仿宋" w:hAnsi="仿宋" w:eastAsia="仿宋"/>
          <w:b/>
          <w:sz w:val="28"/>
          <w:szCs w:val="28"/>
          <w:highlight w:val="none"/>
          <w:lang w:val="en-US" w:eastAsia="zh-CN"/>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931"/>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1020"/>
        <w:numPr>
          <w:ilvl w:val="0"/>
          <w:numId w:val="0"/>
        </w:numPr>
        <w:spacing w:line="480" w:lineRule="exact"/>
        <w:rPr>
          <w:rFonts w:ascii="仿宋" w:hAnsi="仿宋" w:eastAsia="仿宋"/>
          <w:b/>
          <w:sz w:val="28"/>
          <w:szCs w:val="28"/>
          <w:highlight w:val="none"/>
          <w:lang w:val="en-US" w:eastAsia="zh-CN"/>
        </w:rPr>
      </w:pPr>
      <w:r>
        <w:rPr>
          <w:rFonts w:ascii="仿宋" w:hAnsi="仿宋" w:eastAsia="仿宋"/>
          <w:b/>
          <w:sz w:val="28"/>
          <w:szCs w:val="28"/>
          <w:highlight w:val="none"/>
          <w:lang w:val="en-US" w:eastAsia="zh-CN"/>
        </w:rPr>
      </w:r>
      <w:r/>
    </w:p>
    <w:p>
      <w:pPr>
        <w:pStyle w:val="931"/>
        <w:numPr>
          <w:ilvl w:val="0"/>
          <w:numId w:val="24"/>
        </w:numPr>
        <w:ind w:firstLine="562"/>
        <w:jc w:val="left"/>
        <w:spacing w:before="120" w:after="120" w:line="480" w:lineRule="exact"/>
        <w:tabs>
          <w:tab w:val="left" w:pos="312" w:leader="none"/>
        </w:tabs>
        <w:rPr>
          <w:rFonts w:hint="eastAsia" w:ascii="方正仿宋_GBK" w:hAnsi="方正仿宋_GBK" w:eastAsia="方正仿宋_GBK" w:cs="方正仿宋_GBK"/>
          <w:b/>
          <w:sz w:val="28"/>
          <w:szCs w:val="28"/>
        </w:rPr>
      </w:pPr>
      <w:r/>
      <w:bookmarkEnd w:id="190"/>
      <w:r/>
      <w:bookmarkEnd w:id="191"/>
      <w:r/>
      <w:bookmarkEnd w:id="216"/>
      <w:r/>
      <w:bookmarkStart w:id="217" w:name="_Toc49090576"/>
      <w:r/>
      <w:bookmarkStart w:id="218" w:name="_Toc120614282"/>
      <w:r/>
      <w:bookmarkStart w:id="219" w:name="_Toc26554094"/>
      <w:r>
        <w:rPr>
          <w:rFonts w:hint="eastAsia" w:ascii="方正仿宋_GBK" w:hAnsi="方正仿宋_GBK" w:eastAsia="方正仿宋_GBK" w:cs="方正仿宋_GBK"/>
          <w:b/>
          <w:sz w:val="28"/>
          <w:szCs w:val="28"/>
        </w:rPr>
        <w:t xml:space="preserve">技术分：5</w:t>
      </w: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分</w:t>
      </w:r>
      <w:r>
        <w:rPr>
          <w:rFonts w:hint="eastAsia" w:ascii="方正仿宋_GBK" w:hAnsi="方正仿宋_GBK" w:eastAsia="方正仿宋_GBK" w:cs="方正仿宋_GBK"/>
          <w:b/>
          <w:sz w:val="28"/>
          <w:szCs w:val="28"/>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432"/>
        <w:gridCol w:w="4425"/>
        <w:gridCol w:w="908"/>
        <w:gridCol w:w="885"/>
        <w:gridCol w:w="1142"/>
      </w:tblGrid>
      <w:tr>
        <w:trPr/>
        <w:tc>
          <w:tcPr>
            <w:tcW w:w="672"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序号</w:t>
            </w:r>
            <w:r>
              <w:rPr>
                <w:rFonts w:hint="eastAsia" w:ascii="方正仿宋_GBK" w:hAnsi="方正仿宋_GBK" w:eastAsia="方正仿宋_GBK" w:cs="方正仿宋_GBK"/>
                <w:b/>
                <w:sz w:val="20"/>
                <w:szCs w:val="20"/>
              </w:rPr>
            </w:r>
            <w:r/>
          </w:p>
        </w:tc>
        <w:tc>
          <w:tcPr>
            <w:tcW w:w="1432"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评分点名称</w:t>
            </w:r>
            <w:r>
              <w:rPr>
                <w:rFonts w:hint="eastAsia" w:ascii="方正仿宋_GBK" w:hAnsi="方正仿宋_GBK" w:eastAsia="方正仿宋_GBK" w:cs="方正仿宋_GBK"/>
                <w:b/>
                <w:sz w:val="20"/>
                <w:szCs w:val="20"/>
              </w:rPr>
            </w:r>
            <w:r/>
          </w:p>
        </w:tc>
        <w:tc>
          <w:tcPr>
            <w:tcW w:w="4425"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评审标准</w:t>
            </w:r>
            <w:r>
              <w:rPr>
                <w:rFonts w:hint="eastAsia" w:ascii="方正仿宋_GBK" w:hAnsi="方正仿宋_GBK" w:eastAsia="方正仿宋_GBK" w:cs="方正仿宋_GBK"/>
                <w:b/>
                <w:sz w:val="20"/>
                <w:szCs w:val="20"/>
              </w:rPr>
            </w:r>
            <w:r/>
          </w:p>
        </w:tc>
        <w:tc>
          <w:tcPr>
            <w:tcW w:w="908"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最高分</w:t>
            </w:r>
            <w:r>
              <w:rPr>
                <w:rFonts w:hint="eastAsia" w:ascii="方正仿宋_GBK" w:hAnsi="方正仿宋_GBK" w:eastAsia="方正仿宋_GBK" w:cs="方正仿宋_GBK"/>
                <w:b/>
                <w:sz w:val="20"/>
                <w:szCs w:val="20"/>
              </w:rPr>
            </w:r>
            <w:r/>
          </w:p>
        </w:tc>
        <w:tc>
          <w:tcPr>
            <w:tcW w:w="885"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最低分</w:t>
            </w:r>
            <w:r>
              <w:rPr>
                <w:rFonts w:hint="eastAsia" w:ascii="方正仿宋_GBK" w:hAnsi="方正仿宋_GBK" w:eastAsia="方正仿宋_GBK" w:cs="方正仿宋_GBK"/>
                <w:b/>
                <w:sz w:val="20"/>
                <w:szCs w:val="20"/>
              </w:rPr>
            </w:r>
            <w:r/>
          </w:p>
        </w:tc>
        <w:tc>
          <w:tcPr>
            <w:tcW w:w="1142"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主/客观分</w:t>
            </w:r>
            <w:r>
              <w:rPr>
                <w:rFonts w:hint="eastAsia" w:ascii="方正仿宋_GBK" w:hAnsi="方正仿宋_GBK" w:eastAsia="方正仿宋_GBK" w:cs="方正仿宋_GBK"/>
                <w:b/>
                <w:sz w:val="20"/>
                <w:szCs w:val="20"/>
              </w:rPr>
            </w:r>
            <w:r/>
          </w:p>
        </w:tc>
      </w:tr>
      <w:tr>
        <w:trPr/>
        <w:tc>
          <w:tcPr>
            <w:tcW w:w="672" w:type="dxa"/>
            <w:vAlign w:val="center"/>
            <w:textDirection w:val="lrTb"/>
            <w:noWrap w:val="false"/>
          </w:tcPr>
          <w:p>
            <w:pPr>
              <w:pStyle w:val="93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1</w:t>
            </w:r>
            <w:r>
              <w:rPr>
                <w:rFonts w:hint="eastAsia" w:ascii="方正仿宋_GBK" w:hAnsi="方正仿宋_GBK" w:eastAsia="方正仿宋_GBK" w:cs="方正仿宋_GBK"/>
                <w:b/>
                <w:sz w:val="20"/>
                <w:szCs w:val="20"/>
              </w:rPr>
            </w:r>
            <w:r/>
          </w:p>
        </w:tc>
        <w:tc>
          <w:tcPr>
            <w:tcW w:w="1432" w:type="dxa"/>
            <w:vAlign w:val="center"/>
            <w:textDirection w:val="lrTb"/>
            <w:noWrap w:val="false"/>
          </w:tcPr>
          <w:p>
            <w:pPr>
              <w:pStyle w:val="93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技术参数响应</w:t>
            </w:r>
            <w:r>
              <w:rPr>
                <w:rFonts w:hint="eastAsia" w:ascii="方正仿宋_GBK" w:hAnsi="方正仿宋_GBK" w:eastAsia="方正仿宋_GBK" w:cs="方正仿宋_GBK"/>
                <w:b/>
                <w:sz w:val="20"/>
                <w:szCs w:val="20"/>
              </w:rPr>
            </w:r>
            <w:r/>
          </w:p>
        </w:tc>
        <w:tc>
          <w:tcPr>
            <w:tcW w:w="44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1、标▲号指标为重要技术参数，每有一个完全响应的，得1分。标▲号指标共28项，最高得28分；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2、“采购需求”中“技术要求”章节内除标▲号之外的其他技术参数为一般技术参数，提供逐条响应的《技术要求响应及偏离表》并加盖投标人公章。</w:t>
            </w:r>
            <w:r/>
          </w:p>
          <w:p>
            <w:pPr>
              <w:pStyle w:val="931"/>
              <w:jc w:val="left"/>
              <w:widowControl/>
              <w:rPr>
                <w:rFonts w:hint="eastAsia" w:ascii="方正仿宋_GBK" w:hAnsi="方正仿宋_GBK" w:eastAsia="方正仿宋_GBK" w:cs="方正仿宋_GBK"/>
                <w:b/>
                <w:sz w:val="20"/>
                <w:szCs w:val="20"/>
              </w:rPr>
            </w:pPr>
            <w:r>
              <w:rPr>
                <w:rFonts w:ascii="FangSong" w:hAnsi="FangSong" w:eastAsia="FangSong" w:cs="FangSong"/>
                <w:color w:val="000000"/>
                <w:sz w:val="20"/>
              </w:rPr>
              <w:t xml:space="preserve">3、一般技术参数完全响应无负偏离的得12分，有一项负偏离的得8分，有两项负偏离的得5分，有三项负偏离及以上的不得分。</w:t>
            </w:r>
            <w:r>
              <w:rPr>
                <w:rFonts w:hint="eastAsia" w:ascii="方正仿宋_GBK" w:hAnsi="方正仿宋_GBK" w:eastAsia="方正仿宋_GBK" w:cs="方正仿宋_GBK"/>
                <w:b/>
                <w:sz w:val="20"/>
                <w:szCs w:val="20"/>
              </w:rPr>
            </w:r>
            <w:r/>
          </w:p>
        </w:tc>
        <w:tc>
          <w:tcPr>
            <w:tcW w:w="908" w:type="dxa"/>
            <w:vAlign w:val="center"/>
            <w:textDirection w:val="lrTb"/>
            <w:noWrap w:val="false"/>
          </w:tcPr>
          <w:p>
            <w:pPr>
              <w:pStyle w:val="931"/>
              <w:jc w:val="center"/>
              <w:spacing w:before="120" w:after="120" w:line="480" w:lineRule="exact"/>
              <w:rPr>
                <w:rFonts w:ascii="方正仿宋_GBK" w:hAnsi="方正仿宋_GBK" w:eastAsia="方正仿宋_GBK" w:cs="方正仿宋_GBK"/>
                <w:b/>
                <w:sz w:val="20"/>
                <w:szCs w:val="20"/>
                <w:lang w:val="en-US" w:eastAsia="zh-CN"/>
              </w:rPr>
            </w:pPr>
            <w:r>
              <w:rPr>
                <w:rFonts w:hint="eastAsia" w:ascii="方正仿宋_GBK" w:hAnsi="方正仿宋_GBK" w:eastAsia="方正仿宋_GBK" w:cs="方正仿宋_GBK"/>
                <w:b/>
                <w:sz w:val="20"/>
                <w:szCs w:val="20"/>
                <w:lang w:val="en-US" w:eastAsia="zh-CN"/>
              </w:rPr>
              <w:t xml:space="preserve">40</w:t>
            </w:r>
            <w:r>
              <w:rPr>
                <w:rFonts w:ascii="方正仿宋_GBK" w:hAnsi="方正仿宋_GBK" w:eastAsia="方正仿宋_GBK" w:cs="方正仿宋_GBK"/>
                <w:b/>
                <w:sz w:val="20"/>
                <w:szCs w:val="20"/>
                <w:lang w:val="en-US" w:eastAsia="zh-CN"/>
              </w:rPr>
            </w:r>
            <w:r/>
          </w:p>
        </w:tc>
        <w:tc>
          <w:tcPr>
            <w:tcW w:w="885"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0</w:t>
            </w:r>
            <w:r>
              <w:rPr>
                <w:rFonts w:hint="eastAsia" w:ascii="方正仿宋_GBK" w:hAnsi="方正仿宋_GBK" w:eastAsia="方正仿宋_GBK" w:cs="方正仿宋_GBK"/>
                <w:b/>
                <w:sz w:val="20"/>
                <w:szCs w:val="20"/>
              </w:rPr>
            </w:r>
            <w:r/>
          </w:p>
        </w:tc>
        <w:tc>
          <w:tcPr>
            <w:tcW w:w="1142"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客观</w:t>
            </w:r>
            <w:r>
              <w:rPr>
                <w:rFonts w:hint="eastAsia" w:ascii="方正仿宋_GBK" w:hAnsi="方正仿宋_GBK" w:eastAsia="方正仿宋_GBK" w:cs="方正仿宋_GBK"/>
                <w:b/>
                <w:sz w:val="20"/>
                <w:szCs w:val="20"/>
              </w:rPr>
            </w:r>
            <w:r/>
          </w:p>
        </w:tc>
      </w:tr>
      <w:tr>
        <w:trPr/>
        <w:tc>
          <w:tcPr>
            <w:tcW w:w="672" w:type="dxa"/>
            <w:vAlign w:val="center"/>
            <w:textDirection w:val="lrTb"/>
            <w:noWrap w:val="false"/>
          </w:tcPr>
          <w:p>
            <w:pPr>
              <w:pStyle w:val="93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2</w:t>
            </w:r>
            <w:r>
              <w:rPr>
                <w:rFonts w:hint="eastAsia" w:ascii="方正仿宋_GBK" w:hAnsi="方正仿宋_GBK" w:eastAsia="方正仿宋_GBK" w:cs="方正仿宋_GBK"/>
                <w:b/>
                <w:sz w:val="20"/>
                <w:szCs w:val="20"/>
              </w:rPr>
            </w:r>
            <w:r/>
          </w:p>
        </w:tc>
        <w:tc>
          <w:tcPr>
            <w:tcW w:w="1432" w:type="dxa"/>
            <w:vAlign w:val="center"/>
            <w:textDirection w:val="lrTb"/>
            <w:noWrap w:val="false"/>
          </w:tcPr>
          <w:p>
            <w:pPr>
              <w:pStyle w:val="93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实施方案</w:t>
            </w:r>
            <w:r>
              <w:rPr>
                <w:rFonts w:hint="eastAsia" w:ascii="方正仿宋_GBK" w:hAnsi="方正仿宋_GBK" w:eastAsia="方正仿宋_GBK" w:cs="方正仿宋_GBK"/>
                <w:b/>
                <w:sz w:val="20"/>
                <w:szCs w:val="20"/>
              </w:rPr>
            </w:r>
            <w:r/>
          </w:p>
        </w:tc>
        <w:tc>
          <w:tcPr>
            <w:tcW w:w="4425"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根据投标人提供的总体方案进行评分。总体方案应包括系统施工进度保障、施工质量保障措施、项目售后维护及培训等子方案，根据各子方案完整详细程度和可操作性打分：</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1）施工进度保障方案，结合项目实际说明进度目标、人员配备、风险及应对措施等内容</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方案完整，涵盖全部要点，并</w:t>
            </w:r>
            <w:r>
              <w:rPr>
                <w:rFonts w:hint="eastAsia" w:ascii="方正仿宋_GBK" w:hAnsi="方正仿宋_GBK" w:eastAsia="方正仿宋_GBK" w:cs="方正仿宋_GBK"/>
                <w:color w:val="000000"/>
                <w:sz w:val="20"/>
                <w:szCs w:val="20"/>
                <w:lang w:val="en-US" w:eastAsia="zh-CN" w:bidi="ar"/>
              </w:rPr>
              <w:t xml:space="preserve">提供</w:t>
            </w:r>
            <w:r>
              <w:rPr>
                <w:rFonts w:hint="eastAsia" w:ascii="方正仿宋_GBK" w:hAnsi="方正仿宋_GBK" w:eastAsia="方正仿宋_GBK" w:cs="方正仿宋_GBK"/>
                <w:color w:val="000000"/>
                <w:sz w:val="20"/>
                <w:szCs w:val="20"/>
                <w:lang w:bidi="ar"/>
              </w:rPr>
              <w:t xml:space="preserve">针对性措施</w:t>
            </w:r>
            <w:r>
              <w:rPr>
                <w:rFonts w:hint="eastAsia" w:ascii="方正仿宋_GBK" w:hAnsi="方正仿宋_GBK" w:eastAsia="方正仿宋_GBK" w:cs="方正仿宋_GBK"/>
                <w:color w:val="000000"/>
                <w:sz w:val="20"/>
                <w:szCs w:val="20"/>
                <w:lang w:val="en-US" w:eastAsia="zh-CN" w:bidi="ar"/>
              </w:rPr>
              <w:t xml:space="preserve">的</w:t>
            </w:r>
            <w:r>
              <w:rPr>
                <w:rFonts w:hint="eastAsia" w:ascii="方正仿宋_GBK" w:hAnsi="方正仿宋_GBK" w:eastAsia="方正仿宋_GBK" w:cs="方正仿宋_GBK"/>
                <w:color w:val="000000"/>
                <w:sz w:val="20"/>
                <w:szCs w:val="20"/>
                <w:lang w:bidi="ar"/>
              </w:rPr>
              <w:t xml:space="preserve">得2分，方案有缺失（缺任</w:t>
            </w:r>
            <w:r>
              <w:rPr>
                <w:rFonts w:hint="eastAsia" w:ascii="方正仿宋_GBK" w:hAnsi="方正仿宋_GBK" w:eastAsia="方正仿宋_GBK" w:cs="方正仿宋_GBK"/>
                <w:color w:val="000000"/>
                <w:sz w:val="20"/>
                <w:szCs w:val="20"/>
                <w:lang w:val="en-US" w:eastAsia="zh-CN" w:bidi="ar"/>
              </w:rPr>
              <w:t xml:space="preserve">1</w:t>
            </w:r>
            <w:r>
              <w:rPr>
                <w:rFonts w:hint="eastAsia" w:ascii="方正仿宋_GBK" w:hAnsi="方正仿宋_GBK" w:eastAsia="方正仿宋_GBK" w:cs="方正仿宋_GBK"/>
                <w:color w:val="000000"/>
                <w:sz w:val="20"/>
                <w:szCs w:val="20"/>
                <w:lang w:bidi="ar"/>
              </w:rPr>
              <w:t xml:space="preserve">个要点），或内容笼统，未结合本项目实际，可操作性差的得1分，不提供方案的不得分；</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2）施工质量保障措施方案，结合项目实际明确管理体系、技术难点、事前事中事后控制措施等内容</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方案完整，涵盖全部要点，并</w:t>
            </w:r>
            <w:r>
              <w:rPr>
                <w:rFonts w:hint="eastAsia" w:ascii="方正仿宋_GBK" w:hAnsi="方正仿宋_GBK" w:eastAsia="方正仿宋_GBK" w:cs="方正仿宋_GBK"/>
                <w:color w:val="000000"/>
                <w:sz w:val="20"/>
                <w:szCs w:val="20"/>
                <w:lang w:val="en-US" w:eastAsia="zh-CN" w:bidi="ar"/>
              </w:rPr>
              <w:t xml:space="preserve">提供</w:t>
            </w:r>
            <w:r>
              <w:rPr>
                <w:rFonts w:hint="eastAsia" w:ascii="方正仿宋_GBK" w:hAnsi="方正仿宋_GBK" w:eastAsia="方正仿宋_GBK" w:cs="方正仿宋_GBK"/>
                <w:color w:val="000000"/>
                <w:sz w:val="20"/>
                <w:szCs w:val="20"/>
                <w:lang w:bidi="ar"/>
              </w:rPr>
              <w:t xml:space="preserve">针对性措施</w:t>
            </w:r>
            <w:r>
              <w:rPr>
                <w:rFonts w:hint="eastAsia" w:ascii="方正仿宋_GBK" w:hAnsi="方正仿宋_GBK" w:eastAsia="方正仿宋_GBK" w:cs="方正仿宋_GBK"/>
                <w:color w:val="000000"/>
                <w:sz w:val="20"/>
                <w:szCs w:val="20"/>
                <w:lang w:val="en-US" w:eastAsia="zh-CN" w:bidi="ar"/>
              </w:rPr>
              <w:t xml:space="preserve">的</w:t>
            </w:r>
            <w:r>
              <w:rPr>
                <w:rFonts w:hint="eastAsia" w:ascii="方正仿宋_GBK" w:hAnsi="方正仿宋_GBK" w:eastAsia="方正仿宋_GBK" w:cs="方正仿宋_GBK"/>
                <w:color w:val="000000"/>
                <w:sz w:val="20"/>
                <w:szCs w:val="20"/>
                <w:lang w:bidi="ar"/>
              </w:rPr>
              <w:t xml:space="preserve">得2分，方案有缺失（缺任</w:t>
            </w:r>
            <w:r>
              <w:rPr>
                <w:rFonts w:hint="eastAsia" w:ascii="方正仿宋_GBK" w:hAnsi="方正仿宋_GBK" w:eastAsia="方正仿宋_GBK" w:cs="方正仿宋_GBK"/>
                <w:color w:val="000000"/>
                <w:sz w:val="20"/>
                <w:szCs w:val="20"/>
                <w:lang w:val="en-US" w:eastAsia="zh-CN" w:bidi="ar"/>
              </w:rPr>
              <w:t xml:space="preserve">1</w:t>
            </w:r>
            <w:r>
              <w:rPr>
                <w:rFonts w:hint="eastAsia" w:ascii="方正仿宋_GBK" w:hAnsi="方正仿宋_GBK" w:eastAsia="方正仿宋_GBK" w:cs="方正仿宋_GBK"/>
                <w:color w:val="000000"/>
                <w:sz w:val="20"/>
                <w:szCs w:val="20"/>
                <w:lang w:bidi="ar"/>
              </w:rPr>
              <w:t xml:space="preserve">个要点），或内容笼统，未结合本项目实际，可操作性差的得1分，不提供方案的不得分；</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3）售后维护方案，结合项目实际说明维护服务内容、维护计划等内容</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方案完整，涵盖全部要点，并</w:t>
            </w:r>
            <w:r>
              <w:rPr>
                <w:rFonts w:hint="eastAsia" w:ascii="方正仿宋_GBK" w:hAnsi="方正仿宋_GBK" w:eastAsia="方正仿宋_GBK" w:cs="方正仿宋_GBK"/>
                <w:color w:val="000000"/>
                <w:sz w:val="20"/>
                <w:szCs w:val="20"/>
                <w:lang w:val="en-US" w:eastAsia="zh-CN" w:bidi="ar"/>
              </w:rPr>
              <w:t xml:space="preserve">提供</w:t>
            </w:r>
            <w:r>
              <w:rPr>
                <w:rFonts w:hint="eastAsia" w:ascii="方正仿宋_GBK" w:hAnsi="方正仿宋_GBK" w:eastAsia="方正仿宋_GBK" w:cs="方正仿宋_GBK"/>
                <w:color w:val="000000"/>
                <w:sz w:val="20"/>
                <w:szCs w:val="20"/>
                <w:lang w:bidi="ar"/>
              </w:rPr>
              <w:t xml:space="preserve">针对性措施</w:t>
            </w:r>
            <w:r>
              <w:rPr>
                <w:rFonts w:hint="eastAsia" w:ascii="方正仿宋_GBK" w:hAnsi="方正仿宋_GBK" w:eastAsia="方正仿宋_GBK" w:cs="方正仿宋_GBK"/>
                <w:color w:val="000000"/>
                <w:sz w:val="20"/>
                <w:szCs w:val="20"/>
                <w:lang w:val="en-US" w:eastAsia="zh-CN" w:bidi="ar"/>
              </w:rPr>
              <w:t xml:space="preserve">的</w:t>
            </w:r>
            <w:r>
              <w:rPr>
                <w:rFonts w:hint="eastAsia" w:ascii="方正仿宋_GBK" w:hAnsi="方正仿宋_GBK" w:eastAsia="方正仿宋_GBK" w:cs="方正仿宋_GBK"/>
                <w:color w:val="000000"/>
                <w:sz w:val="20"/>
                <w:szCs w:val="20"/>
                <w:lang w:bidi="ar"/>
              </w:rPr>
              <w:t xml:space="preserve">得2分，方案有缺失（缺任</w:t>
            </w:r>
            <w:r>
              <w:rPr>
                <w:rFonts w:hint="eastAsia" w:ascii="方正仿宋_GBK" w:hAnsi="方正仿宋_GBK" w:eastAsia="方正仿宋_GBK" w:cs="方正仿宋_GBK"/>
                <w:color w:val="000000"/>
                <w:sz w:val="20"/>
                <w:szCs w:val="20"/>
                <w:lang w:val="en-US" w:eastAsia="zh-CN" w:bidi="ar"/>
              </w:rPr>
              <w:t xml:space="preserve">1</w:t>
            </w:r>
            <w:r>
              <w:rPr>
                <w:rFonts w:hint="eastAsia" w:ascii="方正仿宋_GBK" w:hAnsi="方正仿宋_GBK" w:eastAsia="方正仿宋_GBK" w:cs="方正仿宋_GBK"/>
                <w:color w:val="000000"/>
                <w:sz w:val="20"/>
                <w:szCs w:val="20"/>
                <w:lang w:bidi="ar"/>
              </w:rPr>
              <w:t xml:space="preserve">个要点），或内容笼统，未结合本项目实际，可操作性差的得1分，不提供方案的不得分。</w:t>
            </w:r>
            <w:r>
              <w:rPr>
                <w:rFonts w:hint="eastAsia" w:ascii="方正仿宋_GBK" w:hAnsi="方正仿宋_GBK" w:eastAsia="方正仿宋_GBK" w:cs="方正仿宋_GBK"/>
                <w:b/>
                <w:sz w:val="20"/>
                <w:szCs w:val="20"/>
              </w:rPr>
            </w:r>
            <w:r/>
          </w:p>
        </w:tc>
        <w:tc>
          <w:tcPr>
            <w:tcW w:w="908"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6</w:t>
            </w:r>
            <w:r>
              <w:rPr>
                <w:rFonts w:hint="eastAsia" w:ascii="方正仿宋_GBK" w:hAnsi="方正仿宋_GBK" w:eastAsia="方正仿宋_GBK" w:cs="方正仿宋_GBK"/>
                <w:b/>
                <w:sz w:val="20"/>
                <w:szCs w:val="20"/>
              </w:rPr>
            </w:r>
            <w:r/>
          </w:p>
        </w:tc>
        <w:tc>
          <w:tcPr>
            <w:tcW w:w="885"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0</w:t>
            </w:r>
            <w:r>
              <w:rPr>
                <w:rFonts w:hint="eastAsia" w:ascii="方正仿宋_GBK" w:hAnsi="方正仿宋_GBK" w:eastAsia="方正仿宋_GBK" w:cs="方正仿宋_GBK"/>
                <w:b/>
                <w:sz w:val="20"/>
                <w:szCs w:val="20"/>
              </w:rPr>
            </w:r>
            <w:r/>
          </w:p>
        </w:tc>
        <w:tc>
          <w:tcPr>
            <w:tcW w:w="1142"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主观</w:t>
            </w:r>
            <w:r>
              <w:rPr>
                <w:rFonts w:hint="eastAsia" w:ascii="方正仿宋_GBK" w:hAnsi="方正仿宋_GBK" w:eastAsia="方正仿宋_GBK" w:cs="方正仿宋_GBK"/>
                <w:b/>
                <w:sz w:val="20"/>
                <w:szCs w:val="20"/>
              </w:rPr>
            </w:r>
            <w:r/>
          </w:p>
        </w:tc>
      </w:tr>
      <w:tr>
        <w:trPr/>
        <w:tc>
          <w:tcPr>
            <w:tcW w:w="672" w:type="dxa"/>
            <w:vAlign w:val="center"/>
            <w:textDirection w:val="lrTb"/>
            <w:noWrap w:val="false"/>
          </w:tcPr>
          <w:p>
            <w:pPr>
              <w:pStyle w:val="93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3</w:t>
            </w:r>
            <w:r>
              <w:rPr>
                <w:rFonts w:hint="eastAsia" w:ascii="方正仿宋_GBK" w:hAnsi="方正仿宋_GBK" w:eastAsia="方正仿宋_GBK" w:cs="方正仿宋_GBK"/>
                <w:b/>
                <w:sz w:val="20"/>
                <w:szCs w:val="20"/>
              </w:rPr>
            </w:r>
            <w:r/>
          </w:p>
        </w:tc>
        <w:tc>
          <w:tcPr>
            <w:tcW w:w="1432" w:type="dxa"/>
            <w:vAlign w:val="center"/>
            <w:textDirection w:val="lrTb"/>
            <w:noWrap w:val="false"/>
          </w:tcPr>
          <w:p>
            <w:pPr>
              <w:pStyle w:val="93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系统对接方案</w:t>
            </w:r>
            <w:r>
              <w:rPr>
                <w:rFonts w:hint="eastAsia" w:ascii="方正仿宋_GBK" w:hAnsi="方正仿宋_GBK" w:eastAsia="方正仿宋_GBK" w:cs="方正仿宋_GBK"/>
                <w:b/>
                <w:sz w:val="20"/>
                <w:szCs w:val="20"/>
              </w:rPr>
            </w:r>
            <w:r/>
          </w:p>
        </w:tc>
        <w:tc>
          <w:tcPr>
            <w:tcW w:w="4425" w:type="dxa"/>
            <w:vAlign w:val="center"/>
            <w:textDirection w:val="lrTb"/>
            <w:noWrap w:val="false"/>
          </w:tcPr>
          <w:p>
            <w:pPr>
              <w:pStyle w:val="931"/>
              <w:jc w:val="left"/>
              <w:widowControl/>
              <w:rPr>
                <w:rFonts w:hint="eastAsia" w:ascii="方正仿宋_GBK" w:hAnsi="方正仿宋_GBK" w:eastAsia="方正仿宋_GBK" w:cs="方正仿宋_GBK"/>
                <w:color w:val="000000"/>
                <w:sz w:val="20"/>
                <w:szCs w:val="20"/>
                <w:highlight w:val="none"/>
                <w:lang w:bidi="ar"/>
              </w:rPr>
            </w:pPr>
            <w:r>
              <w:rPr>
                <w:rFonts w:hint="eastAsia" w:ascii="方正仿宋_GBK" w:hAnsi="方正仿宋_GBK" w:eastAsia="方正仿宋_GBK" w:cs="方正仿宋_GBK"/>
                <w:color w:val="000000"/>
                <w:sz w:val="20"/>
                <w:szCs w:val="20"/>
                <w:lang w:bidi="ar"/>
              </w:rPr>
              <w:t xml:space="preserve">投标人根据本项目需求，提供安防平台、数字法</w:t>
            </w:r>
            <w:r>
              <w:rPr>
                <w:rFonts w:hint="eastAsia" w:ascii="方正仿宋_GBK" w:hAnsi="方正仿宋_GBK" w:eastAsia="方正仿宋_GBK" w:cs="方正仿宋_GBK"/>
                <w:color w:val="000000"/>
                <w:sz w:val="20"/>
                <w:szCs w:val="20"/>
                <w:highlight w:val="none"/>
                <w:lang w:bidi="ar"/>
              </w:rPr>
              <w:t xml:space="preserve">庭、语音转写系统对接方案。</w:t>
            </w:r>
            <w:r>
              <w:rPr>
                <w:rFonts w:hint="eastAsia" w:ascii="方正仿宋_GBK" w:hAnsi="方正仿宋_GBK" w:eastAsia="方正仿宋_GBK" w:cs="方正仿宋_GBK"/>
                <w:color w:val="000000"/>
                <w:sz w:val="20"/>
                <w:szCs w:val="20"/>
                <w:highlight w:val="none"/>
                <w:lang w:bidi="ar"/>
              </w:rPr>
            </w:r>
            <w:r/>
          </w:p>
          <w:p>
            <w:pPr>
              <w:pStyle w:val="931"/>
              <w:numPr>
                <w:ilvl w:val="0"/>
                <w:numId w:val="25"/>
              </w:numPr>
              <w:jc w:val="left"/>
              <w:widowControl/>
              <w:rPr>
                <w:rFonts w:hint="eastAsia" w:ascii="方正仿宋_GBK" w:hAnsi="方正仿宋_GBK" w:eastAsia="方正仿宋_GBK" w:cs="方正仿宋_GBK"/>
                <w:color w:val="000000"/>
                <w:sz w:val="20"/>
                <w:szCs w:val="20"/>
                <w:highlight w:val="none"/>
                <w:lang w:bidi="ar"/>
              </w:rPr>
            </w:pPr>
            <w:r>
              <w:rPr>
                <w:rFonts w:hint="eastAsia" w:ascii="方正仿宋_GBK" w:hAnsi="方正仿宋_GBK" w:eastAsia="方正仿宋_GBK" w:cs="方正仿宋_GBK"/>
                <w:color w:val="000000"/>
                <w:sz w:val="20"/>
                <w:szCs w:val="20"/>
                <w:highlight w:val="none"/>
                <w:lang w:bidi="ar"/>
              </w:rPr>
              <w:t xml:space="preserve">安防平台对接方案，包含但不限于对接范围、接口清单、数据流向及功能对应关系，内容完整、无缺项漏项、切实可行、具备实施条件的得1分；内容完整、无缺项漏项、方案基本可行但个别环节可行性不足的得0.5分；内容缺失的或未提供的不得分；</w:t>
            </w:r>
            <w:r>
              <w:rPr>
                <w:rFonts w:hint="eastAsia" w:ascii="方正仿宋_GBK" w:hAnsi="方正仿宋_GBK" w:eastAsia="方正仿宋_GBK" w:cs="方正仿宋_GBK"/>
                <w:color w:val="000000"/>
                <w:sz w:val="20"/>
                <w:szCs w:val="20"/>
                <w:highlight w:val="none"/>
                <w:lang w:bidi="ar"/>
              </w:rPr>
              <w:br w:type="textWrapping" w:clear="all"/>
            </w:r>
            <w:r>
              <w:rPr>
                <w:rFonts w:hint="eastAsia" w:ascii="方正仿宋_GBK" w:hAnsi="方正仿宋_GBK" w:eastAsia="方正仿宋_GBK" w:cs="方正仿宋_GBK"/>
                <w:color w:val="000000"/>
                <w:sz w:val="20"/>
                <w:szCs w:val="20"/>
                <w:highlight w:val="none"/>
                <w:lang w:bidi="ar"/>
              </w:rPr>
              <w:t xml:space="preserve">2）数字法庭对接方案，包含但不限于对接范围、接口清单、数据流向及功能对应关系，内容完整、无缺项漏项、切实可行、具备实施条件的得1分；内容完整、无缺项漏项、方案基本可行但个别环节可行性不足的得0.5分；内容缺失的或未提供的不得分；</w:t>
            </w:r>
            <w:r>
              <w:rPr>
                <w:rFonts w:hint="eastAsia" w:ascii="方正仿宋_GBK" w:hAnsi="方正仿宋_GBK" w:eastAsia="方正仿宋_GBK" w:cs="方正仿宋_GBK"/>
                <w:color w:val="000000"/>
                <w:sz w:val="20"/>
                <w:szCs w:val="20"/>
                <w:highlight w:val="none"/>
                <w:lang w:bidi="ar"/>
              </w:rPr>
            </w:r>
            <w:r/>
          </w:p>
          <w:p>
            <w:pPr>
              <w:pStyle w:val="931"/>
              <w:jc w:val="left"/>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highlight w:val="none"/>
                <w:lang w:bidi="ar"/>
              </w:rPr>
              <w:t xml:space="preserve">3）语音转写系统对接方案，包含但不限于对接范围、接口清单、数据流向及功能对应关系，内容完整、无缺项漏项、切实可行、具备实施条件的得1分；内容完整、无缺项漏项、方案基本可行但个别环节可行性不足的得0.5分；内容缺失的或未提供的不得分。</w:t>
            </w:r>
            <w:r>
              <w:rPr>
                <w:rFonts w:hint="eastAsia" w:ascii="方正仿宋_GBK" w:hAnsi="方正仿宋_GBK" w:eastAsia="方正仿宋_GBK" w:cs="方正仿宋_GBK"/>
                <w:b/>
                <w:sz w:val="20"/>
                <w:szCs w:val="20"/>
              </w:rPr>
            </w:r>
            <w:r/>
          </w:p>
        </w:tc>
        <w:tc>
          <w:tcPr>
            <w:tcW w:w="908"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3</w:t>
            </w:r>
            <w:r>
              <w:rPr>
                <w:rFonts w:hint="eastAsia" w:ascii="方正仿宋_GBK" w:hAnsi="方正仿宋_GBK" w:eastAsia="方正仿宋_GBK" w:cs="方正仿宋_GBK"/>
                <w:b/>
                <w:sz w:val="20"/>
                <w:szCs w:val="20"/>
              </w:rPr>
            </w:r>
            <w:r/>
          </w:p>
        </w:tc>
        <w:tc>
          <w:tcPr>
            <w:tcW w:w="885"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0</w:t>
            </w:r>
            <w:r>
              <w:rPr>
                <w:rFonts w:hint="eastAsia" w:ascii="方正仿宋_GBK" w:hAnsi="方正仿宋_GBK" w:eastAsia="方正仿宋_GBK" w:cs="方正仿宋_GBK"/>
                <w:b/>
                <w:sz w:val="20"/>
                <w:szCs w:val="20"/>
              </w:rPr>
            </w:r>
            <w:r/>
          </w:p>
        </w:tc>
        <w:tc>
          <w:tcPr>
            <w:tcW w:w="1142"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主观</w:t>
            </w:r>
            <w:r>
              <w:rPr>
                <w:rFonts w:hint="eastAsia" w:ascii="方正仿宋_GBK" w:hAnsi="方正仿宋_GBK" w:eastAsia="方正仿宋_GBK" w:cs="方正仿宋_GBK"/>
                <w:b/>
                <w:sz w:val="20"/>
                <w:szCs w:val="20"/>
              </w:rPr>
            </w:r>
            <w:r/>
          </w:p>
        </w:tc>
      </w:tr>
      <w:tr>
        <w:trPr/>
        <w:tc>
          <w:tcPr>
            <w:tcW w:w="672" w:type="dxa"/>
            <w:vAlign w:val="center"/>
            <w:textDirection w:val="lrTb"/>
            <w:noWrap w:val="false"/>
          </w:tcPr>
          <w:p>
            <w:pPr>
              <w:pStyle w:val="93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4</w:t>
            </w:r>
            <w:r>
              <w:rPr>
                <w:rFonts w:hint="eastAsia" w:ascii="方正仿宋_GBK" w:hAnsi="方正仿宋_GBK" w:eastAsia="方正仿宋_GBK" w:cs="方正仿宋_GBK"/>
                <w:b/>
                <w:sz w:val="20"/>
                <w:szCs w:val="20"/>
              </w:rPr>
            </w:r>
            <w:r/>
          </w:p>
        </w:tc>
        <w:tc>
          <w:tcPr>
            <w:tcW w:w="1432" w:type="dxa"/>
            <w:vAlign w:val="center"/>
            <w:textDirection w:val="lrTb"/>
            <w:noWrap w:val="false"/>
          </w:tcPr>
          <w:p>
            <w:pPr>
              <w:pStyle w:val="93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售后承诺</w:t>
            </w:r>
            <w:r>
              <w:rPr>
                <w:rFonts w:hint="eastAsia" w:ascii="方正仿宋_GBK" w:hAnsi="方正仿宋_GBK" w:eastAsia="方正仿宋_GBK" w:cs="方正仿宋_GBK"/>
                <w:b/>
                <w:sz w:val="20"/>
                <w:szCs w:val="20"/>
              </w:rPr>
            </w:r>
            <w:r/>
          </w:p>
        </w:tc>
        <w:tc>
          <w:tcPr>
            <w:tcW w:w="4425" w:type="dxa"/>
            <w:vAlign w:val="center"/>
            <w:textDirection w:val="lrTb"/>
            <w:noWrap w:val="false"/>
          </w:tcPr>
          <w:p>
            <w:pPr>
              <w:pStyle w:val="931"/>
              <w:jc w:val="left"/>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响应时间：1小时内响应、一般故障24小时内修复，重大故障48小时内修复，若48小时内无法修复则48小时内提供相应备件服务。提供承诺书的得</w:t>
            </w:r>
            <w:r>
              <w:rPr>
                <w:rFonts w:hint="eastAsia" w:ascii="方正仿宋_GBK" w:hAnsi="方正仿宋_GBK" w:eastAsia="方正仿宋_GBK" w:cs="方正仿宋_GBK"/>
                <w:color w:val="000000"/>
                <w:sz w:val="20"/>
                <w:szCs w:val="20"/>
                <w:lang w:val="en-US" w:eastAsia="zh-CN" w:bidi="ar"/>
              </w:rPr>
              <w:t xml:space="preserve">2</w:t>
            </w:r>
            <w:r>
              <w:rPr>
                <w:rFonts w:hint="eastAsia" w:ascii="方正仿宋_GBK" w:hAnsi="方正仿宋_GBK" w:eastAsia="方正仿宋_GBK" w:cs="方正仿宋_GBK"/>
                <w:color w:val="000000"/>
                <w:sz w:val="20"/>
                <w:szCs w:val="20"/>
                <w:lang w:bidi="ar"/>
              </w:rPr>
              <w:t xml:space="preserve">分，不提供不得分。</w:t>
            </w:r>
            <w:r>
              <w:rPr>
                <w:rFonts w:hint="eastAsia" w:ascii="方正仿宋_GBK" w:hAnsi="方正仿宋_GBK" w:eastAsia="方正仿宋_GBK" w:cs="方正仿宋_GBK"/>
                <w:b/>
                <w:sz w:val="20"/>
                <w:szCs w:val="20"/>
              </w:rPr>
            </w:r>
            <w:r/>
          </w:p>
        </w:tc>
        <w:tc>
          <w:tcPr>
            <w:tcW w:w="908"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lang w:eastAsia="zh-CN"/>
              </w:rPr>
            </w:pPr>
            <w:r>
              <w:rPr>
                <w:rFonts w:hint="eastAsia" w:ascii="方正仿宋_GBK" w:hAnsi="方正仿宋_GBK" w:eastAsia="方正仿宋_GBK" w:cs="方正仿宋_GBK"/>
                <w:b/>
                <w:sz w:val="20"/>
                <w:szCs w:val="20"/>
                <w:lang w:val="en-US" w:eastAsia="zh-CN"/>
              </w:rPr>
              <w:t xml:space="preserve">2</w:t>
            </w:r>
            <w:r>
              <w:rPr>
                <w:rFonts w:hint="eastAsia" w:ascii="方正仿宋_GBK" w:hAnsi="方正仿宋_GBK" w:eastAsia="方正仿宋_GBK" w:cs="方正仿宋_GBK"/>
                <w:b/>
                <w:sz w:val="20"/>
                <w:szCs w:val="20"/>
                <w:lang w:eastAsia="zh-CN"/>
              </w:rPr>
            </w:r>
            <w:r/>
          </w:p>
        </w:tc>
        <w:tc>
          <w:tcPr>
            <w:tcW w:w="885"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0</w:t>
            </w:r>
            <w:r>
              <w:rPr>
                <w:rFonts w:hint="eastAsia" w:ascii="方正仿宋_GBK" w:hAnsi="方正仿宋_GBK" w:eastAsia="方正仿宋_GBK" w:cs="方正仿宋_GBK"/>
                <w:b/>
                <w:sz w:val="20"/>
                <w:szCs w:val="20"/>
              </w:rPr>
            </w:r>
            <w:r/>
          </w:p>
        </w:tc>
        <w:tc>
          <w:tcPr>
            <w:tcW w:w="1142"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客观</w:t>
            </w:r>
            <w:r>
              <w:rPr>
                <w:rFonts w:hint="eastAsia" w:ascii="方正仿宋_GBK" w:hAnsi="方正仿宋_GBK" w:eastAsia="方正仿宋_GBK" w:cs="方正仿宋_GBK"/>
                <w:b/>
                <w:sz w:val="20"/>
                <w:szCs w:val="20"/>
              </w:rPr>
            </w:r>
            <w:r/>
          </w:p>
        </w:tc>
      </w:tr>
      <w:tr>
        <w:trPr/>
        <w:tc>
          <w:tcPr>
            <w:tcW w:w="672" w:type="dxa"/>
            <w:vAlign w:val="center"/>
            <w:textDirection w:val="lrTb"/>
            <w:noWrap w:val="false"/>
          </w:tcPr>
          <w:p>
            <w:pPr>
              <w:pStyle w:val="93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5</w:t>
            </w:r>
            <w:r>
              <w:rPr>
                <w:rFonts w:hint="eastAsia" w:ascii="方正仿宋_GBK" w:hAnsi="方正仿宋_GBK" w:eastAsia="方正仿宋_GBK" w:cs="方正仿宋_GBK"/>
                <w:b/>
                <w:sz w:val="20"/>
                <w:szCs w:val="20"/>
              </w:rPr>
            </w:r>
            <w:r/>
          </w:p>
        </w:tc>
        <w:tc>
          <w:tcPr>
            <w:tcW w:w="1432" w:type="dxa"/>
            <w:vAlign w:val="center"/>
            <w:textDirection w:val="lrTb"/>
            <w:noWrap w:val="false"/>
          </w:tcPr>
          <w:p>
            <w:pPr>
              <w:pStyle w:val="93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培训方案</w:t>
            </w:r>
            <w:r>
              <w:rPr>
                <w:rFonts w:hint="eastAsia" w:ascii="方正仿宋_GBK" w:hAnsi="方正仿宋_GBK" w:eastAsia="方正仿宋_GBK" w:cs="方正仿宋_GBK"/>
                <w:b/>
                <w:sz w:val="20"/>
                <w:szCs w:val="20"/>
              </w:rPr>
            </w:r>
            <w:r/>
          </w:p>
        </w:tc>
        <w:tc>
          <w:tcPr>
            <w:tcW w:w="4425" w:type="dxa"/>
            <w:vAlign w:val="center"/>
            <w:textDirection w:val="lrTb"/>
            <w:noWrap w:val="false"/>
          </w:tcPr>
          <w:p>
            <w:pPr>
              <w:pStyle w:val="931"/>
              <w:jc w:val="left"/>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投标人根据本项目的需求，提供详细的项目培训方案。方案内容以系统操作为主，包括但不限于①培训方式及培训内容，②培训对象、课时安排、师资力量安排，③培训方案</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设计合理、培训内容全面、培训方式灵活</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在质保期内提供每年培训一次</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方案完整，可行性高，涵盖所有要点的得</w:t>
            </w:r>
            <w:r>
              <w:rPr>
                <w:rFonts w:hint="eastAsia" w:ascii="方正仿宋_GBK" w:hAnsi="方正仿宋_GBK" w:eastAsia="方正仿宋_GBK" w:cs="方正仿宋_GBK"/>
                <w:color w:val="000000"/>
                <w:sz w:val="20"/>
                <w:szCs w:val="20"/>
                <w:lang w:val="en-US" w:eastAsia="zh-CN" w:bidi="ar"/>
              </w:rPr>
              <w:t xml:space="preserve">3</w:t>
            </w:r>
            <w:r>
              <w:rPr>
                <w:rFonts w:hint="eastAsia" w:ascii="方正仿宋_GBK" w:hAnsi="方正仿宋_GBK" w:eastAsia="方正仿宋_GBK" w:cs="方正仿宋_GBK"/>
                <w:color w:val="000000"/>
                <w:sz w:val="20"/>
                <w:szCs w:val="20"/>
                <w:lang w:bidi="ar"/>
              </w:rPr>
              <w:t xml:space="preserve">分</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方案有</w:t>
            </w:r>
            <w:r>
              <w:rPr>
                <w:rFonts w:hint="eastAsia" w:ascii="方正仿宋_GBK" w:hAnsi="方正仿宋_GBK" w:eastAsia="方正仿宋_GBK" w:cs="方正仿宋_GBK"/>
                <w:color w:val="000000"/>
                <w:sz w:val="20"/>
                <w:szCs w:val="20"/>
                <w:lang w:val="en-US" w:eastAsia="zh-CN" w:bidi="ar"/>
              </w:rPr>
              <w:t xml:space="preserve">少量</w:t>
            </w:r>
            <w:r>
              <w:rPr>
                <w:rFonts w:hint="eastAsia" w:ascii="方正仿宋_GBK" w:hAnsi="方正仿宋_GBK" w:eastAsia="方正仿宋_GBK" w:cs="方正仿宋_GBK"/>
                <w:color w:val="000000"/>
                <w:sz w:val="20"/>
                <w:szCs w:val="20"/>
                <w:lang w:bidi="ar"/>
              </w:rPr>
              <w:t xml:space="preserve">缺失，或内容</w:t>
            </w:r>
            <w:r>
              <w:rPr>
                <w:rFonts w:hint="eastAsia" w:ascii="方正仿宋_GBK" w:hAnsi="方正仿宋_GBK" w:eastAsia="方正仿宋_GBK" w:cs="方正仿宋_GBK"/>
                <w:color w:val="000000"/>
                <w:sz w:val="20"/>
                <w:szCs w:val="20"/>
                <w:lang w:val="en-US" w:eastAsia="zh-CN" w:bidi="ar"/>
              </w:rPr>
              <w:t xml:space="preserve">较为</w:t>
            </w:r>
            <w:r>
              <w:rPr>
                <w:rFonts w:hint="eastAsia" w:ascii="方正仿宋_GBK" w:hAnsi="方正仿宋_GBK" w:eastAsia="方正仿宋_GBK" w:cs="方正仿宋_GBK"/>
                <w:color w:val="000000"/>
                <w:sz w:val="20"/>
                <w:szCs w:val="20"/>
                <w:lang w:bidi="ar"/>
              </w:rPr>
              <w:t xml:space="preserve">笼统，</w:t>
            </w:r>
            <w:r>
              <w:rPr>
                <w:rFonts w:hint="eastAsia" w:ascii="方正仿宋_GBK" w:hAnsi="方正仿宋_GBK" w:eastAsia="方正仿宋_GBK" w:cs="方正仿宋_GBK"/>
                <w:color w:val="000000"/>
                <w:sz w:val="20"/>
                <w:szCs w:val="20"/>
                <w:lang w:val="en-US" w:eastAsia="zh-CN" w:bidi="ar"/>
              </w:rPr>
              <w:t xml:space="preserve">与本项目关联性较低</w:t>
            </w:r>
            <w:r>
              <w:rPr>
                <w:rFonts w:hint="eastAsia" w:ascii="方正仿宋_GBK" w:hAnsi="方正仿宋_GBK" w:eastAsia="方正仿宋_GBK" w:cs="方正仿宋_GBK"/>
                <w:color w:val="000000"/>
                <w:sz w:val="20"/>
                <w:szCs w:val="20"/>
                <w:lang w:bidi="ar"/>
              </w:rPr>
              <w:t xml:space="preserve">的得</w:t>
            </w:r>
            <w:r>
              <w:rPr>
                <w:rFonts w:hint="eastAsia" w:ascii="方正仿宋_GBK" w:hAnsi="方正仿宋_GBK" w:eastAsia="方正仿宋_GBK" w:cs="方正仿宋_GBK"/>
                <w:color w:val="000000"/>
                <w:sz w:val="20"/>
                <w:szCs w:val="20"/>
                <w:lang w:val="en-US" w:eastAsia="zh-CN" w:bidi="ar"/>
              </w:rPr>
              <w:t xml:space="preserve">2</w:t>
            </w:r>
            <w:r>
              <w:rPr>
                <w:rFonts w:hint="eastAsia" w:ascii="方正仿宋_GBK" w:hAnsi="方正仿宋_GBK" w:eastAsia="方正仿宋_GBK" w:cs="方正仿宋_GBK"/>
                <w:color w:val="000000"/>
                <w:sz w:val="20"/>
                <w:szCs w:val="20"/>
                <w:lang w:bidi="ar"/>
              </w:rPr>
              <w:t xml:space="preserve">分</w:t>
            </w:r>
            <w:r>
              <w:rPr>
                <w:rFonts w:hint="eastAsia" w:ascii="方正仿宋_GBK" w:hAnsi="方正仿宋_GBK" w:eastAsia="方正仿宋_GBK" w:cs="方正仿宋_GBK"/>
                <w:color w:val="000000"/>
                <w:sz w:val="20"/>
                <w:szCs w:val="20"/>
                <w:lang w:eastAsia="zh-CN" w:bidi="ar"/>
              </w:rPr>
              <w:t xml:space="preserve">；</w:t>
            </w:r>
            <w:r>
              <w:rPr>
                <w:rFonts w:hint="eastAsia" w:ascii="方正仿宋_GBK" w:hAnsi="方正仿宋_GBK" w:eastAsia="方正仿宋_GBK" w:cs="方正仿宋_GBK"/>
                <w:color w:val="000000"/>
                <w:sz w:val="20"/>
                <w:szCs w:val="20"/>
                <w:lang w:bidi="ar"/>
              </w:rPr>
              <w:t xml:space="preserve">方案有</w:t>
            </w:r>
            <w:r>
              <w:rPr>
                <w:rFonts w:hint="eastAsia" w:ascii="方正仿宋_GBK" w:hAnsi="方正仿宋_GBK" w:eastAsia="方正仿宋_GBK" w:cs="方正仿宋_GBK"/>
                <w:color w:val="000000"/>
                <w:sz w:val="20"/>
                <w:szCs w:val="20"/>
                <w:lang w:val="en-US" w:eastAsia="zh-CN" w:bidi="ar"/>
              </w:rPr>
              <w:t xml:space="preserve">大量</w:t>
            </w:r>
            <w:r>
              <w:rPr>
                <w:rFonts w:hint="eastAsia" w:ascii="方正仿宋_GBK" w:hAnsi="方正仿宋_GBK" w:eastAsia="方正仿宋_GBK" w:cs="方正仿宋_GBK"/>
                <w:color w:val="000000"/>
                <w:sz w:val="20"/>
                <w:szCs w:val="20"/>
                <w:lang w:bidi="ar"/>
              </w:rPr>
              <w:t xml:space="preserve">缺失，或内容笼统，</w:t>
            </w:r>
            <w:r>
              <w:rPr>
                <w:rFonts w:hint="eastAsia" w:ascii="方正仿宋_GBK" w:hAnsi="方正仿宋_GBK" w:eastAsia="方正仿宋_GBK" w:cs="方正仿宋_GBK"/>
                <w:color w:val="000000"/>
                <w:sz w:val="20"/>
                <w:szCs w:val="20"/>
                <w:lang w:val="en-US" w:eastAsia="zh-CN" w:bidi="ar"/>
              </w:rPr>
              <w:t xml:space="preserve">与本项目关联性低，不具备可行性的</w:t>
            </w:r>
            <w:r>
              <w:rPr>
                <w:rFonts w:hint="eastAsia" w:ascii="方正仿宋_GBK" w:hAnsi="方正仿宋_GBK" w:eastAsia="方正仿宋_GBK" w:cs="方正仿宋_GBK"/>
                <w:color w:val="000000"/>
                <w:sz w:val="20"/>
                <w:szCs w:val="20"/>
                <w:lang w:bidi="ar"/>
              </w:rPr>
              <w:t xml:space="preserve">得</w:t>
            </w:r>
            <w:r>
              <w:rPr>
                <w:rFonts w:hint="eastAsia" w:ascii="方正仿宋_GBK" w:hAnsi="方正仿宋_GBK" w:eastAsia="方正仿宋_GBK" w:cs="方正仿宋_GBK"/>
                <w:color w:val="000000"/>
                <w:sz w:val="20"/>
                <w:szCs w:val="20"/>
                <w:lang w:val="en-US" w:eastAsia="zh-CN" w:bidi="ar"/>
              </w:rPr>
              <w:t xml:space="preserve">1分</w:t>
            </w:r>
            <w:r>
              <w:rPr>
                <w:rFonts w:hint="eastAsia" w:ascii="方正仿宋_GBK" w:hAnsi="方正仿宋_GBK" w:eastAsia="方正仿宋_GBK" w:cs="方正仿宋_GBK"/>
                <w:color w:val="000000"/>
                <w:sz w:val="20"/>
                <w:szCs w:val="20"/>
                <w:lang w:bidi="ar"/>
              </w:rPr>
              <w:t xml:space="preserve">，不提供方案的不得分。</w:t>
            </w:r>
            <w:r>
              <w:rPr>
                <w:rFonts w:hint="eastAsia" w:ascii="方正仿宋_GBK" w:hAnsi="方正仿宋_GBK" w:eastAsia="方正仿宋_GBK" w:cs="方正仿宋_GBK"/>
                <w:b/>
                <w:sz w:val="20"/>
                <w:szCs w:val="20"/>
              </w:rPr>
            </w:r>
            <w:r/>
          </w:p>
        </w:tc>
        <w:tc>
          <w:tcPr>
            <w:tcW w:w="908"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lang w:eastAsia="zh-CN"/>
              </w:rPr>
            </w:pPr>
            <w:r>
              <w:rPr>
                <w:rFonts w:hint="eastAsia" w:ascii="方正仿宋_GBK" w:hAnsi="方正仿宋_GBK" w:eastAsia="方正仿宋_GBK" w:cs="方正仿宋_GBK"/>
                <w:b/>
                <w:sz w:val="20"/>
                <w:szCs w:val="20"/>
                <w:lang w:val="en-US" w:eastAsia="zh-CN"/>
              </w:rPr>
              <w:t xml:space="preserve">3</w:t>
            </w:r>
            <w:r>
              <w:rPr>
                <w:rFonts w:hint="eastAsia" w:ascii="方正仿宋_GBK" w:hAnsi="方正仿宋_GBK" w:eastAsia="方正仿宋_GBK" w:cs="方正仿宋_GBK"/>
                <w:b/>
                <w:sz w:val="20"/>
                <w:szCs w:val="20"/>
                <w:lang w:eastAsia="zh-CN"/>
              </w:rPr>
            </w:r>
            <w:r/>
          </w:p>
        </w:tc>
        <w:tc>
          <w:tcPr>
            <w:tcW w:w="885"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0</w:t>
            </w:r>
            <w:r>
              <w:rPr>
                <w:rFonts w:hint="eastAsia" w:ascii="方正仿宋_GBK" w:hAnsi="方正仿宋_GBK" w:eastAsia="方正仿宋_GBK" w:cs="方正仿宋_GBK"/>
                <w:b/>
                <w:sz w:val="20"/>
                <w:szCs w:val="20"/>
              </w:rPr>
            </w:r>
            <w:r/>
          </w:p>
        </w:tc>
        <w:tc>
          <w:tcPr>
            <w:tcW w:w="1142"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主观</w:t>
            </w:r>
            <w:r>
              <w:rPr>
                <w:rFonts w:hint="eastAsia" w:ascii="方正仿宋_GBK" w:hAnsi="方正仿宋_GBK" w:eastAsia="方正仿宋_GBK" w:cs="方正仿宋_GBK"/>
                <w:b/>
                <w:sz w:val="20"/>
                <w:szCs w:val="20"/>
              </w:rPr>
            </w:r>
            <w:r/>
          </w:p>
        </w:tc>
      </w:tr>
      <w:tr>
        <w:trPr/>
        <w:tc>
          <w:tcPr>
            <w:tcW w:w="672" w:type="dxa"/>
            <w:vAlign w:val="center"/>
            <w:textDirection w:val="lrTb"/>
            <w:noWrap w:val="false"/>
          </w:tcPr>
          <w:p>
            <w:pPr>
              <w:pStyle w:val="93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6</w:t>
            </w:r>
            <w:r>
              <w:rPr>
                <w:rFonts w:hint="eastAsia" w:ascii="方正仿宋_GBK" w:hAnsi="方正仿宋_GBK" w:eastAsia="方正仿宋_GBK" w:cs="方正仿宋_GBK"/>
                <w:b/>
                <w:sz w:val="20"/>
                <w:szCs w:val="20"/>
              </w:rPr>
            </w:r>
            <w:r/>
          </w:p>
        </w:tc>
        <w:tc>
          <w:tcPr>
            <w:tcW w:w="1432" w:type="dxa"/>
            <w:vAlign w:val="center"/>
            <w:textDirection w:val="lrTb"/>
            <w:noWrap w:val="false"/>
          </w:tcPr>
          <w:p>
            <w:pPr>
              <w:pStyle w:val="931"/>
              <w:jc w:val="center"/>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节能环保</w:t>
            </w:r>
            <w:r>
              <w:rPr>
                <w:rFonts w:hint="eastAsia" w:ascii="方正仿宋_GBK" w:hAnsi="方正仿宋_GBK" w:eastAsia="方正仿宋_GBK" w:cs="方正仿宋_GBK"/>
                <w:b/>
                <w:sz w:val="20"/>
                <w:szCs w:val="20"/>
              </w:rPr>
            </w:r>
            <w:r/>
          </w:p>
        </w:tc>
        <w:tc>
          <w:tcPr>
            <w:tcW w:w="4425" w:type="dxa"/>
            <w:vAlign w:val="top"/>
            <w:textDirection w:val="lrTb"/>
            <w:noWrap w:val="false"/>
          </w:tcPr>
          <w:p>
            <w:pPr>
              <w:pStyle w:val="931"/>
              <w:jc w:val="left"/>
              <w:widowControl/>
              <w:rPr>
                <w:rFonts w:hint="eastAsia" w:ascii="方正仿宋_GBK" w:hAnsi="方正仿宋_GBK" w:eastAsia="方正仿宋_GBK" w:cs="方正仿宋_GBK"/>
                <w:color w:val="000000"/>
                <w:sz w:val="20"/>
                <w:szCs w:val="20"/>
                <w:lang w:bidi="ar"/>
              </w:rPr>
            </w:pPr>
            <w:r>
              <w:rPr>
                <w:rFonts w:hint="eastAsia" w:ascii="方正仿宋_GBK" w:hAnsi="方正仿宋_GBK" w:eastAsia="方正仿宋_GBK" w:cs="方正仿宋_GBK"/>
                <w:color w:val="000000"/>
                <w:sz w:val="20"/>
                <w:szCs w:val="20"/>
                <w:lang w:bidi="ar"/>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方正仿宋_GBK" w:hAnsi="方正仿宋_GBK" w:eastAsia="方正仿宋_GBK" w:cs="方正仿宋_GBK"/>
                <w:color w:val="000000"/>
                <w:sz w:val="20"/>
                <w:szCs w:val="20"/>
                <w:lang w:bidi="ar"/>
              </w:rPr>
            </w:r>
            <w:r/>
          </w:p>
          <w:p>
            <w:pPr>
              <w:pStyle w:val="931"/>
              <w:jc w:val="left"/>
              <w:widowControl/>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color w:val="000000"/>
                <w:sz w:val="20"/>
                <w:szCs w:val="20"/>
                <w:lang w:bidi="ar"/>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方正仿宋_GBK" w:hAnsi="方正仿宋_GBK" w:eastAsia="方正仿宋_GBK" w:cs="方正仿宋_GBK"/>
                <w:b/>
                <w:sz w:val="20"/>
                <w:szCs w:val="20"/>
              </w:rPr>
            </w:r>
            <w:r/>
          </w:p>
        </w:tc>
        <w:tc>
          <w:tcPr>
            <w:tcW w:w="908"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2</w:t>
            </w:r>
            <w:r>
              <w:rPr>
                <w:rFonts w:hint="eastAsia" w:ascii="方正仿宋_GBK" w:hAnsi="方正仿宋_GBK" w:eastAsia="方正仿宋_GBK" w:cs="方正仿宋_GBK"/>
                <w:b/>
                <w:sz w:val="20"/>
                <w:szCs w:val="20"/>
              </w:rPr>
            </w:r>
            <w:r/>
          </w:p>
        </w:tc>
        <w:tc>
          <w:tcPr>
            <w:tcW w:w="885"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0</w:t>
            </w:r>
            <w:r>
              <w:rPr>
                <w:rFonts w:hint="eastAsia" w:ascii="方正仿宋_GBK" w:hAnsi="方正仿宋_GBK" w:eastAsia="方正仿宋_GBK" w:cs="方正仿宋_GBK"/>
                <w:b/>
                <w:sz w:val="20"/>
                <w:szCs w:val="20"/>
              </w:rPr>
            </w:r>
            <w:r/>
          </w:p>
        </w:tc>
        <w:tc>
          <w:tcPr>
            <w:tcW w:w="1142"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rPr>
            </w:pPr>
            <w:r>
              <w:rPr>
                <w:rFonts w:hint="eastAsia" w:ascii="方正仿宋_GBK" w:hAnsi="方正仿宋_GBK" w:eastAsia="方正仿宋_GBK" w:cs="方正仿宋_GBK"/>
                <w:b/>
                <w:sz w:val="20"/>
                <w:szCs w:val="20"/>
              </w:rPr>
              <w:t xml:space="preserve">客观</w:t>
            </w:r>
            <w:r>
              <w:rPr>
                <w:rFonts w:hint="eastAsia" w:ascii="方正仿宋_GBK" w:hAnsi="方正仿宋_GBK" w:eastAsia="方正仿宋_GBK" w:cs="方正仿宋_GBK"/>
                <w:b/>
                <w:sz w:val="20"/>
                <w:szCs w:val="20"/>
              </w:rPr>
            </w:r>
            <w:r/>
          </w:p>
        </w:tc>
      </w:tr>
    </w:tbl>
    <w:p>
      <w:pPr>
        <w:pStyle w:val="931"/>
        <w:jc w:val="left"/>
        <w:spacing w:before="120" w:after="120" w:line="480" w:lineRule="exact"/>
        <w:rPr>
          <w:rFonts w:ascii="仿宋" w:hAnsi="仿宋" w:eastAsia="仿宋"/>
          <w:b/>
          <w:sz w:val="28"/>
          <w:szCs w:val="28"/>
        </w:rPr>
      </w:pPr>
      <w:r>
        <w:rPr>
          <w:rFonts w:ascii="仿宋" w:hAnsi="仿宋" w:eastAsia="仿宋"/>
          <w:b/>
          <w:sz w:val="28"/>
          <w:szCs w:val="28"/>
        </w:rPr>
      </w:r>
      <w:r/>
    </w:p>
    <w:p>
      <w:pPr>
        <w:pStyle w:val="931"/>
        <w:numPr>
          <w:ilvl w:val="0"/>
          <w:numId w:val="24"/>
        </w:numPr>
        <w:ind w:firstLine="562"/>
        <w:jc w:val="left"/>
        <w:spacing w:before="120" w:after="120" w:line="480" w:lineRule="exact"/>
        <w:tabs>
          <w:tab w:val="left" w:pos="312"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商务分：</w:t>
      </w:r>
      <w:r>
        <w:rPr>
          <w:rFonts w:hint="eastAsia" w:ascii="方正仿宋_GBK" w:hAnsi="方正仿宋_GBK" w:eastAsia="方正仿宋_GBK" w:cs="方正仿宋_GBK"/>
          <w:b/>
          <w:sz w:val="28"/>
          <w:szCs w:val="28"/>
          <w:lang w:val="en-US" w:eastAsia="zh-CN"/>
        </w:rPr>
        <w:t xml:space="preserve">14</w:t>
      </w:r>
      <w:r>
        <w:rPr>
          <w:rFonts w:hint="eastAsia" w:ascii="方正仿宋_GBK" w:hAnsi="方正仿宋_GBK" w:eastAsia="方正仿宋_GBK" w:cs="方正仿宋_GBK"/>
          <w:b/>
          <w:sz w:val="28"/>
          <w:szCs w:val="28"/>
        </w:rPr>
        <w:t xml:space="preserve">分</w:t>
      </w:r>
      <w:r>
        <w:rPr>
          <w:rFonts w:hint="eastAsia" w:ascii="方正仿宋_GBK" w:hAnsi="方正仿宋_GBK" w:eastAsia="方正仿宋_GBK" w:cs="方正仿宋_GBK"/>
          <w:sz w:val="28"/>
          <w:szCs w:val="28"/>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3"/>
        <w:gridCol w:w="4013"/>
        <w:gridCol w:w="966"/>
        <w:gridCol w:w="1050"/>
        <w:gridCol w:w="1173"/>
      </w:tblGrid>
      <w:tr>
        <w:trPr/>
        <w:tc>
          <w:tcPr>
            <w:tcW w:w="959"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highlight w:val="none"/>
              </w:rPr>
            </w:pPr>
            <w:r>
              <w:rPr>
                <w:rFonts w:hint="eastAsia" w:ascii="方正仿宋_GBK" w:hAnsi="方正仿宋_GBK" w:eastAsia="方正仿宋_GBK" w:cs="方正仿宋_GBK"/>
                <w:b/>
                <w:sz w:val="20"/>
                <w:szCs w:val="20"/>
                <w:highlight w:val="none"/>
              </w:rPr>
              <w:t xml:space="preserve">序号</w:t>
            </w:r>
            <w:r>
              <w:rPr>
                <w:rFonts w:hint="eastAsia" w:ascii="方正仿宋_GBK" w:hAnsi="方正仿宋_GBK" w:eastAsia="方正仿宋_GBK" w:cs="方正仿宋_GBK"/>
                <w:b/>
                <w:sz w:val="20"/>
                <w:szCs w:val="20"/>
                <w:highlight w:val="none"/>
              </w:rPr>
            </w:r>
            <w:r/>
          </w:p>
        </w:tc>
        <w:tc>
          <w:tcPr>
            <w:tcW w:w="1303"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highlight w:val="none"/>
              </w:rPr>
            </w:pPr>
            <w:r>
              <w:rPr>
                <w:rFonts w:hint="eastAsia" w:ascii="方正仿宋_GBK" w:hAnsi="方正仿宋_GBK" w:eastAsia="方正仿宋_GBK" w:cs="方正仿宋_GBK"/>
                <w:b/>
                <w:sz w:val="20"/>
                <w:szCs w:val="20"/>
                <w:highlight w:val="none"/>
              </w:rPr>
              <w:t xml:space="preserve">评分点名称</w:t>
            </w:r>
            <w:r>
              <w:rPr>
                <w:rFonts w:hint="eastAsia" w:ascii="方正仿宋_GBK" w:hAnsi="方正仿宋_GBK" w:eastAsia="方正仿宋_GBK" w:cs="方正仿宋_GBK"/>
                <w:b/>
                <w:sz w:val="20"/>
                <w:szCs w:val="20"/>
                <w:highlight w:val="none"/>
              </w:rPr>
            </w:r>
            <w:r/>
          </w:p>
        </w:tc>
        <w:tc>
          <w:tcPr>
            <w:tcW w:w="4013"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highlight w:val="none"/>
              </w:rPr>
            </w:pPr>
            <w:r>
              <w:rPr>
                <w:rFonts w:hint="eastAsia" w:ascii="方正仿宋_GBK" w:hAnsi="方正仿宋_GBK" w:eastAsia="方正仿宋_GBK" w:cs="方正仿宋_GBK"/>
                <w:b/>
                <w:sz w:val="20"/>
                <w:szCs w:val="20"/>
                <w:highlight w:val="none"/>
              </w:rPr>
              <w:t xml:space="preserve">评审标准</w:t>
            </w:r>
            <w:r>
              <w:rPr>
                <w:rFonts w:hint="eastAsia" w:ascii="方正仿宋_GBK" w:hAnsi="方正仿宋_GBK" w:eastAsia="方正仿宋_GBK" w:cs="方正仿宋_GBK"/>
                <w:b/>
                <w:sz w:val="20"/>
                <w:szCs w:val="20"/>
                <w:highlight w:val="none"/>
              </w:rPr>
            </w:r>
            <w:r/>
          </w:p>
        </w:tc>
        <w:tc>
          <w:tcPr>
            <w:tcW w:w="966"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highlight w:val="none"/>
              </w:rPr>
            </w:pPr>
            <w:r>
              <w:rPr>
                <w:rFonts w:hint="eastAsia" w:ascii="方正仿宋_GBK" w:hAnsi="方正仿宋_GBK" w:eastAsia="方正仿宋_GBK" w:cs="方正仿宋_GBK"/>
                <w:b/>
                <w:sz w:val="20"/>
                <w:szCs w:val="20"/>
                <w:highlight w:val="none"/>
              </w:rPr>
              <w:t xml:space="preserve">最高分</w:t>
            </w:r>
            <w:r>
              <w:rPr>
                <w:rFonts w:hint="eastAsia" w:ascii="方正仿宋_GBK" w:hAnsi="方正仿宋_GBK" w:eastAsia="方正仿宋_GBK" w:cs="方正仿宋_GBK"/>
                <w:b/>
                <w:sz w:val="20"/>
                <w:szCs w:val="20"/>
                <w:highlight w:val="none"/>
              </w:rPr>
            </w:r>
            <w:r/>
          </w:p>
        </w:tc>
        <w:tc>
          <w:tcPr>
            <w:tcW w:w="1050"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highlight w:val="none"/>
              </w:rPr>
            </w:pPr>
            <w:r>
              <w:rPr>
                <w:rFonts w:hint="eastAsia" w:ascii="方正仿宋_GBK" w:hAnsi="方正仿宋_GBK" w:eastAsia="方正仿宋_GBK" w:cs="方正仿宋_GBK"/>
                <w:b/>
                <w:sz w:val="20"/>
                <w:szCs w:val="20"/>
                <w:highlight w:val="none"/>
              </w:rPr>
              <w:t xml:space="preserve">最低分</w:t>
            </w:r>
            <w:r>
              <w:rPr>
                <w:rFonts w:hint="eastAsia" w:ascii="方正仿宋_GBK" w:hAnsi="方正仿宋_GBK" w:eastAsia="方正仿宋_GBK" w:cs="方正仿宋_GBK"/>
                <w:b/>
                <w:sz w:val="20"/>
                <w:szCs w:val="20"/>
                <w:highlight w:val="none"/>
              </w:rPr>
            </w:r>
            <w:r/>
          </w:p>
        </w:tc>
        <w:tc>
          <w:tcPr>
            <w:tcW w:w="1173"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highlight w:val="none"/>
              </w:rPr>
            </w:pPr>
            <w:r>
              <w:rPr>
                <w:rFonts w:hint="eastAsia" w:ascii="方正仿宋_GBK" w:hAnsi="方正仿宋_GBK" w:eastAsia="方正仿宋_GBK" w:cs="方正仿宋_GBK"/>
                <w:b/>
                <w:sz w:val="20"/>
                <w:szCs w:val="20"/>
                <w:highlight w:val="none"/>
              </w:rPr>
              <w:t xml:space="preserve">主/客观分</w:t>
            </w:r>
            <w:r>
              <w:rPr>
                <w:rFonts w:hint="eastAsia" w:ascii="方正仿宋_GBK" w:hAnsi="方正仿宋_GBK" w:eastAsia="方正仿宋_GBK" w:cs="方正仿宋_GBK"/>
                <w:b/>
                <w:sz w:val="20"/>
                <w:szCs w:val="20"/>
                <w:highlight w:val="none"/>
              </w:rPr>
            </w:r>
            <w:r/>
          </w:p>
        </w:tc>
      </w:tr>
      <w:tr>
        <w:trPr/>
        <w:tc>
          <w:tcPr>
            <w:tcW w:w="959" w:type="dxa"/>
            <w:vAlign w:val="center"/>
            <w:textDirection w:val="lrTb"/>
            <w:noWrap w:val="false"/>
          </w:tcPr>
          <w:p>
            <w:pPr>
              <w:pStyle w:val="931"/>
              <w:jc w:val="center"/>
              <w:keepLines w:val="0"/>
              <w:keepNext w:val="0"/>
              <w:widowControl/>
              <w:rPr>
                <w:rFonts w:hint="eastAsia" w:ascii="方正仿宋_GBK" w:hAnsi="方正仿宋_GBK" w:eastAsia="方正仿宋_GBK" w:cs="方正仿宋_GBK"/>
                <w:b w:val="0"/>
                <w:bCs w:val="0"/>
                <w:sz w:val="20"/>
                <w:szCs w:val="20"/>
                <w:highlight w:val="none"/>
              </w:rPr>
              <w:suppressLineNumbers w:val="0"/>
            </w:pPr>
            <w:r>
              <w:rPr>
                <w:rFonts w:hint="eastAsia" w:ascii="方正仿宋_GBK" w:hAnsi="方正仿宋_GBK" w:eastAsia="方正仿宋_GBK" w:cs="方正仿宋_GBK"/>
                <w:b w:val="0"/>
                <w:bCs w:val="0"/>
                <w:i w:val="0"/>
                <w:iCs w:val="0"/>
                <w:color w:val="000000"/>
                <w:sz w:val="20"/>
                <w:szCs w:val="20"/>
                <w:u w:val="none"/>
                <w:lang w:val="en-US" w:eastAsia="zh-CN" w:bidi="ar"/>
              </w:rPr>
              <w:t xml:space="preserve">1</w:t>
            </w:r>
            <w:r>
              <w:rPr>
                <w:rFonts w:hint="eastAsia" w:ascii="方正仿宋_GBK" w:hAnsi="方正仿宋_GBK" w:eastAsia="方正仿宋_GBK" w:cs="方正仿宋_GBK"/>
                <w:b w:val="0"/>
                <w:bCs w:val="0"/>
                <w:sz w:val="20"/>
                <w:szCs w:val="20"/>
                <w:highlight w:val="none"/>
              </w:rPr>
            </w:r>
            <w:r/>
          </w:p>
        </w:tc>
        <w:tc>
          <w:tcPr>
            <w:tcW w:w="1303" w:type="dxa"/>
            <w:vAlign w:val="center"/>
            <w:textDirection w:val="lrTb"/>
            <w:noWrap w:val="false"/>
          </w:tcPr>
          <w:p>
            <w:pPr>
              <w:pStyle w:val="931"/>
              <w:jc w:val="center"/>
              <w:keepLines w:val="0"/>
              <w:keepNext w:val="0"/>
              <w:widowControl/>
              <w:rPr>
                <w:rFonts w:hint="eastAsia" w:ascii="方正仿宋_GBK" w:hAnsi="方正仿宋_GBK" w:eastAsia="方正仿宋_GBK" w:cs="方正仿宋_GBK"/>
                <w:b w:val="0"/>
                <w:bCs w:val="0"/>
                <w:sz w:val="20"/>
                <w:szCs w:val="20"/>
                <w:highlight w:val="none"/>
              </w:rPr>
              <w:suppressLineNumbers w:val="0"/>
            </w:pPr>
            <w:r>
              <w:rPr>
                <w:rFonts w:hint="eastAsia" w:ascii="方正仿宋_GBK" w:hAnsi="方正仿宋_GBK" w:eastAsia="方正仿宋_GBK" w:cs="方正仿宋_GBK"/>
                <w:b w:val="0"/>
                <w:bCs w:val="0"/>
                <w:i w:val="0"/>
                <w:iCs w:val="0"/>
                <w:color w:val="000000"/>
                <w:sz w:val="20"/>
                <w:szCs w:val="20"/>
                <w:u w:val="none"/>
                <w:lang w:val="en-US" w:eastAsia="zh-CN" w:bidi="ar"/>
              </w:rPr>
              <w:t xml:space="preserve">项目团队</w:t>
            </w:r>
            <w:r>
              <w:rPr>
                <w:rFonts w:hint="eastAsia" w:ascii="方正仿宋_GBK" w:hAnsi="方正仿宋_GBK" w:eastAsia="方正仿宋_GBK" w:cs="方正仿宋_GBK"/>
                <w:b w:val="0"/>
                <w:bCs w:val="0"/>
                <w:sz w:val="20"/>
                <w:szCs w:val="20"/>
                <w:highlight w:val="none"/>
              </w:rPr>
            </w:r>
            <w:r/>
          </w:p>
        </w:tc>
        <w:tc>
          <w:tcPr>
            <w:tcW w:w="4013" w:type="dxa"/>
            <w:vAlign w:val="center"/>
            <w:textDirection w:val="lrTb"/>
            <w:noWrap w:val="false"/>
          </w:tcPr>
          <w:p>
            <w:pPr>
              <w:pStyle w:val="931"/>
              <w:jc w:val="left"/>
              <w:keepLines w:val="0"/>
              <w:keepNext w:val="0"/>
              <w:spacing w:line="240" w:lineRule="auto"/>
              <w:widowControl/>
              <w:rPr>
                <w:rFonts w:hint="eastAsia" w:ascii="方正仿宋_GBK" w:hAnsi="方正仿宋_GBK" w:eastAsia="方正仿宋_GBK" w:cs="方正仿宋_GBK"/>
                <w:b/>
                <w:sz w:val="20"/>
                <w:szCs w:val="20"/>
                <w:highlight w:val="none"/>
              </w:rPr>
              <w:suppressLineNumbers w:val="0"/>
            </w:pPr>
            <w:r>
              <w:rPr>
                <w:rFonts w:hint="eastAsia" w:ascii="方正仿宋_GBK" w:hAnsi="方正仿宋_GBK" w:eastAsia="方正仿宋_GBK" w:cs="方正仿宋_GBK"/>
                <w:i w:val="0"/>
                <w:iCs w:val="0"/>
                <w:color w:val="000000"/>
                <w:sz w:val="20"/>
                <w:szCs w:val="20"/>
                <w:highlight w:val="none"/>
                <w:u w:val="none"/>
                <w:lang w:val="en-US" w:eastAsia="zh-CN" w:bidi="ar"/>
              </w:rPr>
              <w:t xml:space="preserve">投标人拟投入本项目的团队成员，具有信息系统项目管理师、网络工程师、系统集成项目管理工程师、信息安全工程师证书的，每提供一个得2分，最高得8分，每类证书提供多份的不重复计分，未提供不得分。</w:t>
            </w:r>
            <w:r>
              <w:rPr>
                <w:rFonts w:hint="eastAsia" w:ascii="方正仿宋_GBK" w:hAnsi="方正仿宋_GBK" w:eastAsia="方正仿宋_GBK" w:cs="方正仿宋_GBK"/>
                <w:i w:val="0"/>
                <w:iCs w:val="0"/>
                <w:color w:val="000000"/>
                <w:sz w:val="20"/>
                <w:szCs w:val="20"/>
                <w:highlight w:val="none"/>
                <w:u w:val="none"/>
                <w:lang w:val="en-US" w:eastAsia="zh-CN" w:bidi="ar"/>
              </w:rPr>
              <w:br w:type="textWrapping" w:clear="all"/>
            </w:r>
            <w:r>
              <w:rPr>
                <w:rFonts w:hint="eastAsia" w:ascii="方正仿宋_GBK" w:hAnsi="方正仿宋_GBK" w:eastAsia="方正仿宋_GBK" w:cs="方正仿宋_GBK"/>
                <w:i w:val="0"/>
                <w:iCs w:val="0"/>
                <w:color w:val="000000"/>
                <w:sz w:val="20"/>
                <w:szCs w:val="20"/>
                <w:highlight w:val="none"/>
                <w:u w:val="none"/>
                <w:lang w:val="en-US" w:eastAsia="zh-CN" w:bidi="ar"/>
              </w:rPr>
              <w:t xml:space="preserve">（须提供投标人为其缴纳的近6个月中至少1个月社保证明复印件）</w:t>
            </w:r>
            <w:r>
              <w:rPr>
                <w:rFonts w:hint="eastAsia" w:ascii="方正仿宋_GBK" w:hAnsi="方正仿宋_GBK" w:eastAsia="方正仿宋_GBK" w:cs="方正仿宋_GBK"/>
                <w:b/>
                <w:sz w:val="20"/>
                <w:szCs w:val="20"/>
                <w:highlight w:val="none"/>
              </w:rPr>
            </w:r>
            <w:r/>
          </w:p>
        </w:tc>
        <w:tc>
          <w:tcPr>
            <w:tcW w:w="966"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highlight w:val="none"/>
                <w:lang w:val="en-US" w:eastAsia="zh-CN"/>
              </w:rPr>
            </w:pPr>
            <w:r>
              <w:rPr>
                <w:rFonts w:hint="eastAsia" w:ascii="方正仿宋_GBK" w:hAnsi="方正仿宋_GBK" w:eastAsia="方正仿宋_GBK" w:cs="方正仿宋_GBK"/>
                <w:b/>
                <w:sz w:val="20"/>
                <w:szCs w:val="20"/>
                <w:highlight w:val="none"/>
                <w:lang w:val="en-US" w:eastAsia="zh-CN"/>
              </w:rPr>
              <w:t xml:space="preserve">8</w:t>
            </w:r>
            <w:r>
              <w:rPr>
                <w:rFonts w:hint="eastAsia" w:ascii="方正仿宋_GBK" w:hAnsi="方正仿宋_GBK" w:eastAsia="方正仿宋_GBK" w:cs="方正仿宋_GBK"/>
                <w:b/>
                <w:sz w:val="20"/>
                <w:szCs w:val="20"/>
                <w:highlight w:val="none"/>
                <w:lang w:val="en-US" w:eastAsia="zh-CN"/>
              </w:rPr>
            </w:r>
            <w:r/>
          </w:p>
        </w:tc>
        <w:tc>
          <w:tcPr>
            <w:tcW w:w="1050"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highlight w:val="none"/>
                <w:lang w:val="en-US" w:eastAsia="zh-CN"/>
              </w:rPr>
            </w:pPr>
            <w:r>
              <w:rPr>
                <w:rFonts w:hint="eastAsia" w:ascii="方正仿宋_GBK" w:hAnsi="方正仿宋_GBK" w:eastAsia="方正仿宋_GBK" w:cs="方正仿宋_GBK"/>
                <w:b/>
                <w:sz w:val="20"/>
                <w:szCs w:val="20"/>
                <w:highlight w:val="none"/>
                <w:lang w:val="en-US" w:eastAsia="zh-CN"/>
              </w:rPr>
              <w:t xml:space="preserve">0</w:t>
            </w:r>
            <w:r>
              <w:rPr>
                <w:rFonts w:hint="eastAsia" w:ascii="方正仿宋_GBK" w:hAnsi="方正仿宋_GBK" w:eastAsia="方正仿宋_GBK" w:cs="方正仿宋_GBK"/>
                <w:b/>
                <w:sz w:val="20"/>
                <w:szCs w:val="20"/>
                <w:highlight w:val="none"/>
                <w:lang w:val="en-US" w:eastAsia="zh-CN"/>
              </w:rPr>
            </w:r>
            <w:r/>
          </w:p>
        </w:tc>
        <w:tc>
          <w:tcPr>
            <w:tcW w:w="1173"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highlight w:val="none"/>
                <w:lang w:val="en-US" w:eastAsia="zh-CN"/>
              </w:rPr>
            </w:pPr>
            <w:r>
              <w:rPr>
                <w:rFonts w:hint="eastAsia" w:ascii="方正仿宋_GBK" w:hAnsi="方正仿宋_GBK" w:eastAsia="方正仿宋_GBK" w:cs="方正仿宋_GBK"/>
                <w:b/>
                <w:sz w:val="20"/>
                <w:szCs w:val="20"/>
                <w:highlight w:val="none"/>
                <w:lang w:val="en-US" w:eastAsia="zh-CN"/>
              </w:rPr>
              <w:t xml:space="preserve">客观</w:t>
            </w:r>
            <w:r>
              <w:rPr>
                <w:rFonts w:hint="eastAsia" w:ascii="方正仿宋_GBK" w:hAnsi="方正仿宋_GBK" w:eastAsia="方正仿宋_GBK" w:cs="方正仿宋_GBK"/>
                <w:b/>
                <w:sz w:val="20"/>
                <w:szCs w:val="20"/>
                <w:highlight w:val="none"/>
                <w:lang w:val="en-US" w:eastAsia="zh-CN"/>
              </w:rPr>
            </w:r>
            <w:r/>
          </w:p>
        </w:tc>
      </w:tr>
      <w:tr>
        <w:trPr/>
        <w:tc>
          <w:tcPr>
            <w:tcW w:w="959"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val="0"/>
                <w:bCs w:val="0"/>
                <w:sz w:val="20"/>
                <w:szCs w:val="20"/>
                <w:highlight w:val="none"/>
                <w:lang w:val="en-US" w:eastAsia="zh-CN"/>
              </w:rPr>
            </w:pPr>
            <w:r>
              <w:rPr>
                <w:rFonts w:hint="eastAsia" w:ascii="方正仿宋_GBK" w:hAnsi="方正仿宋_GBK" w:eastAsia="方正仿宋_GBK" w:cs="方正仿宋_GBK"/>
                <w:b w:val="0"/>
                <w:bCs w:val="0"/>
                <w:sz w:val="20"/>
                <w:szCs w:val="20"/>
                <w:highlight w:val="none"/>
                <w:lang w:val="en-US" w:eastAsia="zh-CN"/>
              </w:rPr>
              <w:t xml:space="preserve">2</w:t>
            </w:r>
            <w:r>
              <w:rPr>
                <w:rFonts w:hint="eastAsia" w:ascii="方正仿宋_GBK" w:hAnsi="方正仿宋_GBK" w:eastAsia="方正仿宋_GBK" w:cs="方正仿宋_GBK"/>
                <w:b w:val="0"/>
                <w:bCs w:val="0"/>
                <w:sz w:val="20"/>
                <w:szCs w:val="20"/>
                <w:highlight w:val="none"/>
                <w:lang w:val="en-US" w:eastAsia="zh-CN"/>
              </w:rPr>
            </w:r>
            <w:r/>
          </w:p>
        </w:tc>
        <w:tc>
          <w:tcPr>
            <w:tcW w:w="1303"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val="0"/>
                <w:bCs w:val="0"/>
                <w:sz w:val="20"/>
                <w:szCs w:val="20"/>
                <w:highlight w:val="none"/>
                <w:lang w:val="en-US" w:eastAsia="zh-CN"/>
              </w:rPr>
            </w:pPr>
            <w:r>
              <w:rPr>
                <w:rFonts w:hint="eastAsia" w:ascii="方正仿宋_GBK" w:hAnsi="方正仿宋_GBK" w:eastAsia="方正仿宋_GBK" w:cs="方正仿宋_GBK"/>
                <w:b w:val="0"/>
                <w:bCs w:val="0"/>
                <w:sz w:val="20"/>
                <w:szCs w:val="20"/>
                <w:highlight w:val="none"/>
                <w:lang w:val="en-US" w:eastAsia="zh-CN"/>
              </w:rPr>
              <w:t xml:space="preserve">企业业绩</w:t>
            </w:r>
            <w:r>
              <w:rPr>
                <w:rFonts w:hint="eastAsia" w:ascii="方正仿宋_GBK" w:hAnsi="方正仿宋_GBK" w:eastAsia="方正仿宋_GBK" w:cs="方正仿宋_GBK"/>
                <w:b w:val="0"/>
                <w:bCs w:val="0"/>
                <w:sz w:val="20"/>
                <w:szCs w:val="20"/>
                <w:highlight w:val="none"/>
                <w:lang w:val="en-US" w:eastAsia="zh-CN"/>
              </w:rPr>
            </w:r>
            <w:r/>
          </w:p>
        </w:tc>
        <w:tc>
          <w:tcPr>
            <w:tcW w:w="4013" w:type="dxa"/>
            <w:vAlign w:val="top"/>
            <w:textDirection w:val="lrTb"/>
            <w:noWrap w:val="false"/>
          </w:tcPr>
          <w:p>
            <w:pPr>
              <w:pStyle w:val="931"/>
              <w:jc w:val="left"/>
              <w:spacing w:before="120" w:after="120" w:line="240" w:lineRule="auto"/>
              <w:rPr>
                <w:rFonts w:hint="eastAsia" w:ascii="方正仿宋_GBK" w:hAnsi="方正仿宋_GBK" w:eastAsia="方正仿宋_GBK" w:cs="方正仿宋_GBK"/>
                <w:b/>
                <w:sz w:val="20"/>
                <w:szCs w:val="20"/>
                <w:highlight w:val="none"/>
              </w:rPr>
            </w:pPr>
            <w:r>
              <w:rPr>
                <w:rFonts w:hint="eastAsia" w:ascii="方正仿宋_GBK" w:hAnsi="方正仿宋_GBK" w:eastAsia="方正仿宋_GBK" w:cs="方正仿宋_GBK"/>
                <w:i w:val="0"/>
                <w:iCs w:val="0"/>
                <w:color w:val="000000"/>
                <w:sz w:val="20"/>
                <w:szCs w:val="20"/>
                <w:highlight w:val="none"/>
                <w:u w:val="none"/>
                <w:lang w:val="en-US" w:eastAsia="zh-CN" w:bidi="ar"/>
              </w:rPr>
              <w:t xml:space="preserve">投标人提供自2023年01月01日（含2023年01月01日，以合同签订时间为准）以来的</w:t>
            </w:r>
            <w:r>
              <w:rPr>
                <w:rFonts w:hint="eastAsia" w:ascii="方正仿宋_GBK" w:hAnsi="方正仿宋_GBK" w:eastAsia="方正仿宋_GBK" w:cs="方正仿宋_GBK"/>
                <w:color w:val="000000"/>
                <w:sz w:val="20"/>
                <w:szCs w:val="20"/>
                <w:highlight w:val="none"/>
                <w:lang w:bidi="ar"/>
              </w:rPr>
              <w:t xml:space="preserve">智能化设备采购</w:t>
            </w:r>
            <w:r>
              <w:rPr>
                <w:rFonts w:hint="eastAsia" w:ascii="方正仿宋_GBK" w:hAnsi="方正仿宋_GBK" w:eastAsia="方正仿宋_GBK" w:cs="方正仿宋_GBK"/>
                <w:i w:val="0"/>
                <w:iCs w:val="0"/>
                <w:color w:val="000000"/>
                <w:sz w:val="20"/>
                <w:szCs w:val="20"/>
                <w:highlight w:val="none"/>
                <w:u w:val="none"/>
                <w:lang w:val="en-US" w:eastAsia="zh-CN" w:bidi="ar"/>
              </w:rPr>
              <w:t xml:space="preserve">项目业绩（含安防监控、多媒体会议、数字法庭、网络交换等任意两类及以上设备），每提供一个得2分，满分6分，未提供的或不符合要求的不得分。</w:t>
            </w:r>
            <w:r>
              <w:rPr>
                <w:rFonts w:hint="eastAsia" w:ascii="方正仿宋_GBK" w:hAnsi="方正仿宋_GBK" w:eastAsia="方正仿宋_GBK" w:cs="方正仿宋_GBK"/>
                <w:i w:val="0"/>
                <w:iCs w:val="0"/>
                <w:color w:val="000000"/>
                <w:sz w:val="20"/>
                <w:szCs w:val="20"/>
                <w:highlight w:val="none"/>
                <w:u w:val="none"/>
                <w:lang w:val="en-US" w:eastAsia="zh-CN" w:bidi="ar"/>
              </w:rPr>
              <w:br w:type="textWrapping" w:clear="all"/>
            </w:r>
            <w:r>
              <w:rPr>
                <w:rFonts w:hint="eastAsia" w:ascii="方正仿宋_GBK" w:hAnsi="方正仿宋_GBK" w:eastAsia="方正仿宋_GBK" w:cs="方正仿宋_GBK"/>
                <w:i w:val="0"/>
                <w:iCs w:val="0"/>
                <w:color w:val="000000"/>
                <w:sz w:val="20"/>
                <w:szCs w:val="20"/>
                <w:highlight w:val="none"/>
                <w:u w:val="none"/>
                <w:lang w:val="en-US" w:eastAsia="zh-CN" w:bidi="ar"/>
              </w:rPr>
              <w:t xml:space="preserve">（须提供合同扫描件，并加盖公章，合同须能反映项目名称、主要标的物，签订时间和签章清晰可见）</w:t>
            </w:r>
            <w:r>
              <w:rPr>
                <w:rFonts w:hint="eastAsia" w:ascii="方正仿宋_GBK" w:hAnsi="方正仿宋_GBK" w:eastAsia="方正仿宋_GBK" w:cs="方正仿宋_GBK"/>
                <w:b/>
                <w:sz w:val="20"/>
                <w:szCs w:val="20"/>
                <w:highlight w:val="none"/>
              </w:rPr>
            </w:r>
            <w:r/>
          </w:p>
        </w:tc>
        <w:tc>
          <w:tcPr>
            <w:tcW w:w="966"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highlight w:val="none"/>
                <w:lang w:val="en-US" w:eastAsia="zh-CN"/>
              </w:rPr>
            </w:pPr>
            <w:r>
              <w:rPr>
                <w:rFonts w:hint="eastAsia" w:ascii="方正仿宋_GBK" w:hAnsi="方正仿宋_GBK" w:eastAsia="方正仿宋_GBK" w:cs="方正仿宋_GBK"/>
                <w:b/>
                <w:sz w:val="20"/>
                <w:szCs w:val="20"/>
                <w:highlight w:val="none"/>
                <w:lang w:val="en-US" w:eastAsia="zh-CN"/>
              </w:rPr>
              <w:t xml:space="preserve">6</w:t>
            </w:r>
            <w:r>
              <w:rPr>
                <w:rFonts w:hint="eastAsia" w:ascii="方正仿宋_GBK" w:hAnsi="方正仿宋_GBK" w:eastAsia="方正仿宋_GBK" w:cs="方正仿宋_GBK"/>
                <w:b/>
                <w:sz w:val="20"/>
                <w:szCs w:val="20"/>
                <w:highlight w:val="none"/>
                <w:lang w:val="en-US" w:eastAsia="zh-CN"/>
              </w:rPr>
            </w:r>
            <w:r/>
          </w:p>
        </w:tc>
        <w:tc>
          <w:tcPr>
            <w:tcW w:w="1050"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highlight w:val="none"/>
                <w:lang w:val="en-US" w:eastAsia="zh-CN"/>
              </w:rPr>
            </w:pPr>
            <w:r>
              <w:rPr>
                <w:rFonts w:hint="eastAsia" w:ascii="方正仿宋_GBK" w:hAnsi="方正仿宋_GBK" w:eastAsia="方正仿宋_GBK" w:cs="方正仿宋_GBK"/>
                <w:b/>
                <w:sz w:val="20"/>
                <w:szCs w:val="20"/>
                <w:highlight w:val="none"/>
                <w:lang w:val="en-US" w:eastAsia="zh-CN"/>
              </w:rPr>
              <w:t xml:space="preserve">0</w:t>
            </w:r>
            <w:r>
              <w:rPr>
                <w:rFonts w:hint="eastAsia" w:ascii="方正仿宋_GBK" w:hAnsi="方正仿宋_GBK" w:eastAsia="方正仿宋_GBK" w:cs="方正仿宋_GBK"/>
                <w:b/>
                <w:sz w:val="20"/>
                <w:szCs w:val="20"/>
                <w:highlight w:val="none"/>
                <w:lang w:val="en-US" w:eastAsia="zh-CN"/>
              </w:rPr>
            </w:r>
            <w:r/>
          </w:p>
        </w:tc>
        <w:tc>
          <w:tcPr>
            <w:tcW w:w="1173" w:type="dxa"/>
            <w:vAlign w:val="center"/>
            <w:textDirection w:val="lrTb"/>
            <w:noWrap w:val="false"/>
          </w:tcPr>
          <w:p>
            <w:pPr>
              <w:pStyle w:val="931"/>
              <w:jc w:val="center"/>
              <w:spacing w:before="120" w:after="120" w:line="480" w:lineRule="exact"/>
              <w:rPr>
                <w:rFonts w:hint="eastAsia" w:ascii="方正仿宋_GBK" w:hAnsi="方正仿宋_GBK" w:eastAsia="方正仿宋_GBK" w:cs="方正仿宋_GBK"/>
                <w:b/>
                <w:sz w:val="20"/>
                <w:szCs w:val="20"/>
                <w:highlight w:val="none"/>
                <w:lang w:val="en-US" w:eastAsia="zh-CN"/>
              </w:rPr>
            </w:pPr>
            <w:r>
              <w:rPr>
                <w:rFonts w:hint="eastAsia" w:ascii="方正仿宋_GBK" w:hAnsi="方正仿宋_GBK" w:eastAsia="方正仿宋_GBK" w:cs="方正仿宋_GBK"/>
                <w:b/>
                <w:sz w:val="20"/>
                <w:szCs w:val="20"/>
                <w:highlight w:val="none"/>
                <w:lang w:val="en-US" w:eastAsia="zh-CN"/>
              </w:rPr>
              <w:t xml:space="preserve">客观</w:t>
            </w:r>
            <w:r>
              <w:rPr>
                <w:rFonts w:hint="eastAsia" w:ascii="方正仿宋_GBK" w:hAnsi="方正仿宋_GBK" w:eastAsia="方正仿宋_GBK" w:cs="方正仿宋_GBK"/>
                <w:b/>
                <w:sz w:val="20"/>
                <w:szCs w:val="20"/>
                <w:highlight w:val="none"/>
                <w:lang w:val="en-US" w:eastAsia="zh-CN"/>
              </w:rPr>
            </w:r>
            <w:r/>
          </w:p>
        </w:tc>
      </w:tr>
    </w:tbl>
    <w:p>
      <w:pPr>
        <w:pStyle w:val="931"/>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投标文件格式 </w:t>
      </w:r>
      <w:r>
        <w:rPr>
          <w:rFonts w:hint="eastAsia" w:ascii="黑体" w:hAnsi="Times New Roman" w:eastAsia="黑体"/>
          <w:bCs/>
          <w:color w:val="000000"/>
          <w:sz w:val="44"/>
          <w:szCs w:val="28"/>
        </w:rPr>
      </w:r>
      <w:r/>
    </w:p>
    <w:p>
      <w:pPr>
        <w:pStyle w:val="931"/>
        <w:jc w:val="center"/>
        <w:rPr>
          <w:rFonts w:hint="eastAsia" w:ascii="宋体" w:hAnsi="宋体"/>
          <w:b/>
          <w:color w:val="000000"/>
          <w:sz w:val="72"/>
          <w:szCs w:val="21"/>
        </w:rPr>
      </w:pPr>
      <w:r/>
      <w:bookmarkStart w:id="220" w:name="_Hlt26955039"/>
      <w:r/>
      <w:bookmarkEnd w:id="220"/>
      <w:r/>
      <w:bookmarkStart w:id="221" w:name="_Hlt26671244"/>
      <w:r/>
      <w:bookmarkEnd w:id="221"/>
      <w:r>
        <w:rPr>
          <w:rFonts w:hint="eastAsia" w:ascii="宋体" w:hAnsi="宋体"/>
          <w:b/>
          <w:color w:val="000000"/>
          <w:sz w:val="72"/>
          <w:szCs w:val="21"/>
        </w:rPr>
      </w:r>
      <w:r/>
    </w:p>
    <w:p>
      <w:pPr>
        <w:pStyle w:val="93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31"/>
        <w:jc w:val="center"/>
        <w:rPr>
          <w:rFonts w:hint="eastAsia" w:ascii="宋体" w:hAnsi="宋体"/>
          <w:b/>
          <w:color w:val="000000"/>
          <w:sz w:val="72"/>
          <w:szCs w:val="21"/>
        </w:rPr>
      </w:pPr>
      <w:r>
        <w:rPr>
          <w:rFonts w:hint="eastAsia" w:ascii="宋体" w:hAnsi="宋体"/>
          <w:b/>
          <w:color w:val="000000"/>
          <w:sz w:val="72"/>
          <w:szCs w:val="21"/>
        </w:rPr>
      </w:r>
      <w:r/>
    </w:p>
    <w:p>
      <w:pPr>
        <w:pStyle w:val="931"/>
        <w:jc w:val="center"/>
        <w:rPr>
          <w:rFonts w:hint="eastAsia" w:ascii="宋体" w:hAnsi="宋体"/>
          <w:b/>
          <w:color w:val="000000"/>
          <w:sz w:val="72"/>
          <w:szCs w:val="21"/>
        </w:rPr>
      </w:pPr>
      <w:r>
        <w:rPr>
          <w:rFonts w:hint="eastAsia" w:ascii="宋体" w:hAnsi="宋体"/>
          <w:b/>
          <w:color w:val="000000"/>
          <w:sz w:val="72"/>
          <w:szCs w:val="21"/>
        </w:rPr>
      </w:r>
      <w:r/>
    </w:p>
    <w:p>
      <w:pPr>
        <w:pStyle w:val="931"/>
        <w:jc w:val="center"/>
        <w:rPr>
          <w:rFonts w:hint="eastAsia" w:ascii="宋体" w:hAnsi="宋体"/>
          <w:b/>
          <w:color w:val="000000"/>
          <w:sz w:val="36"/>
          <w:szCs w:val="21"/>
        </w:rPr>
      </w:pPr>
      <w:r>
        <w:rPr>
          <w:rFonts w:hint="eastAsia" w:ascii="宋体" w:hAnsi="宋体"/>
          <w:b/>
          <w:color w:val="000000"/>
          <w:sz w:val="36"/>
          <w:szCs w:val="21"/>
        </w:rPr>
      </w:r>
      <w:r/>
    </w:p>
    <w:p>
      <w:pPr>
        <w:pStyle w:val="931"/>
        <w:jc w:val="center"/>
        <w:rPr>
          <w:rFonts w:hint="eastAsia" w:ascii="宋体" w:hAnsi="宋体"/>
          <w:b/>
          <w:color w:val="000000"/>
          <w:sz w:val="36"/>
          <w:szCs w:val="21"/>
        </w:rPr>
      </w:pPr>
      <w:r>
        <w:rPr>
          <w:rFonts w:hint="eastAsia" w:ascii="宋体" w:hAnsi="宋体"/>
          <w:b/>
          <w:color w:val="000000"/>
          <w:sz w:val="36"/>
          <w:szCs w:val="21"/>
        </w:rPr>
      </w:r>
      <w:r/>
    </w:p>
    <w:p>
      <w:pPr>
        <w:pStyle w:val="931"/>
        <w:jc w:val="center"/>
        <w:rPr>
          <w:rFonts w:hint="eastAsia" w:ascii="宋体" w:hAnsi="宋体"/>
          <w:b/>
          <w:color w:val="000000"/>
          <w:sz w:val="36"/>
          <w:szCs w:val="21"/>
        </w:rPr>
      </w:pPr>
      <w:r>
        <w:rPr>
          <w:rFonts w:hint="eastAsia" w:ascii="宋体" w:hAnsi="宋体"/>
          <w:b/>
          <w:color w:val="000000"/>
          <w:sz w:val="36"/>
          <w:szCs w:val="21"/>
        </w:rPr>
      </w:r>
      <w:r/>
    </w:p>
    <w:p>
      <w:pPr>
        <w:pStyle w:val="931"/>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31"/>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31"/>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3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31"/>
        <w:ind w:firstLine="964"/>
        <w:rPr>
          <w:rFonts w:ascii="宋体" w:hAnsi="宋体"/>
          <w:b/>
          <w:bCs/>
          <w:color w:val="000000"/>
          <w:sz w:val="32"/>
          <w:szCs w:val="32"/>
        </w:rPr>
      </w:pPr>
      <w:r>
        <w:rPr>
          <w:rFonts w:ascii="宋体" w:hAnsi="宋体"/>
          <w:b/>
          <w:bCs/>
          <w:color w:val="000000"/>
          <w:sz w:val="32"/>
          <w:szCs w:val="32"/>
        </w:rPr>
      </w:r>
      <w:r/>
    </w:p>
    <w:p>
      <w:pPr>
        <w:pStyle w:val="931"/>
        <w:ind w:firstLine="964"/>
        <w:rPr>
          <w:rFonts w:ascii="宋体" w:hAnsi="宋体"/>
          <w:b/>
          <w:bCs/>
          <w:color w:val="000000"/>
          <w:sz w:val="32"/>
          <w:szCs w:val="32"/>
        </w:rPr>
      </w:pPr>
      <w:r>
        <w:rPr>
          <w:rFonts w:ascii="宋体" w:hAnsi="宋体"/>
          <w:b/>
          <w:bCs/>
          <w:color w:val="000000"/>
          <w:sz w:val="32"/>
          <w:szCs w:val="32"/>
        </w:rPr>
      </w:r>
      <w:r/>
    </w:p>
    <w:p>
      <w:pPr>
        <w:pStyle w:val="931"/>
        <w:ind w:firstLine="964"/>
        <w:rPr>
          <w:rFonts w:ascii="宋体" w:hAnsi="宋体"/>
          <w:b/>
          <w:bCs/>
          <w:color w:val="000000"/>
          <w:sz w:val="32"/>
          <w:szCs w:val="32"/>
        </w:rPr>
      </w:pPr>
      <w:r>
        <w:rPr>
          <w:rFonts w:ascii="宋体" w:hAnsi="宋体"/>
          <w:b/>
          <w:bCs/>
          <w:color w:val="000000"/>
          <w:sz w:val="32"/>
          <w:szCs w:val="32"/>
        </w:rPr>
      </w:r>
      <w:r/>
    </w:p>
    <w:p>
      <w:pPr>
        <w:pStyle w:val="931"/>
        <w:ind w:firstLine="964"/>
        <w:rPr>
          <w:rFonts w:ascii="宋体" w:hAnsi="宋体"/>
          <w:b/>
          <w:bCs/>
          <w:color w:val="000000"/>
          <w:sz w:val="32"/>
          <w:szCs w:val="32"/>
        </w:rPr>
      </w:pPr>
      <w:r>
        <w:rPr>
          <w:rFonts w:ascii="宋体" w:hAnsi="宋体"/>
          <w:b/>
          <w:bCs/>
          <w:color w:val="000000"/>
          <w:sz w:val="32"/>
          <w:szCs w:val="32"/>
        </w:rPr>
      </w:r>
      <w:r/>
    </w:p>
    <w:p>
      <w:pPr>
        <w:pStyle w:val="931"/>
        <w:ind w:firstLine="964"/>
        <w:rPr>
          <w:rFonts w:ascii="宋体" w:hAnsi="宋体"/>
          <w:b/>
          <w:bCs/>
          <w:color w:val="000000"/>
          <w:sz w:val="32"/>
          <w:szCs w:val="32"/>
        </w:rPr>
      </w:pPr>
      <w:r>
        <w:rPr>
          <w:rFonts w:ascii="宋体" w:hAnsi="宋体"/>
          <w:b/>
          <w:bCs/>
          <w:color w:val="000000"/>
          <w:sz w:val="32"/>
          <w:szCs w:val="32"/>
        </w:rPr>
      </w:r>
      <w:r/>
    </w:p>
    <w:p>
      <w:pPr>
        <w:pStyle w:val="931"/>
        <w:ind w:firstLine="964"/>
        <w:rPr>
          <w:rFonts w:ascii="宋体" w:hAnsi="宋体"/>
          <w:b/>
          <w:bCs/>
          <w:color w:val="000000"/>
          <w:sz w:val="32"/>
          <w:szCs w:val="32"/>
        </w:rPr>
      </w:pPr>
      <w:r>
        <w:rPr>
          <w:rFonts w:ascii="宋体" w:hAnsi="宋体"/>
          <w:b/>
          <w:bCs/>
          <w:color w:val="000000"/>
          <w:sz w:val="32"/>
          <w:szCs w:val="32"/>
        </w:rPr>
      </w:r>
      <w:r/>
    </w:p>
    <w:p>
      <w:pPr>
        <w:pStyle w:val="931"/>
        <w:ind w:firstLine="964"/>
        <w:rPr>
          <w:rFonts w:ascii="宋体" w:hAnsi="宋体"/>
          <w:b/>
          <w:bCs/>
          <w:color w:val="000000"/>
          <w:sz w:val="32"/>
          <w:szCs w:val="32"/>
        </w:rPr>
      </w:pPr>
      <w:r>
        <w:rPr>
          <w:rFonts w:ascii="宋体" w:hAnsi="宋体"/>
          <w:b/>
          <w:bCs/>
          <w:color w:val="000000"/>
          <w:sz w:val="32"/>
          <w:szCs w:val="32"/>
        </w:rPr>
      </w:r>
      <w:r/>
    </w:p>
    <w:p>
      <w:pPr>
        <w:pStyle w:val="931"/>
        <w:ind w:firstLine="964"/>
        <w:rPr>
          <w:rFonts w:ascii="宋体" w:hAnsi="宋体"/>
          <w:b/>
          <w:bCs/>
          <w:color w:val="000000"/>
          <w:sz w:val="32"/>
          <w:szCs w:val="32"/>
        </w:rPr>
      </w:pPr>
      <w:r>
        <w:rPr>
          <w:rFonts w:ascii="宋体" w:hAnsi="宋体"/>
          <w:b/>
          <w:bCs/>
          <w:color w:val="000000"/>
          <w:sz w:val="32"/>
          <w:szCs w:val="32"/>
        </w:rPr>
      </w:r>
      <w:r/>
    </w:p>
    <w:p>
      <w:pPr>
        <w:pStyle w:val="931"/>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93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931"/>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3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931"/>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w:t>
      </w:r>
      <w:r>
        <w:rPr>
          <w:rFonts w:hint="eastAsia" w:ascii="仿宋" w:hAnsi="仿宋" w:eastAsia="仿宋" w:cs="Times New Roman"/>
          <w:color w:val="000000"/>
          <w:sz w:val="28"/>
          <w:szCs w:val="28"/>
          <w:highlight w:val="none"/>
          <w:lang w:eastAsia="zh-CN"/>
        </w:rPr>
        <w:t xml:space="preserve">中华人民共和国</w:t>
      </w:r>
      <w:r>
        <w:rPr>
          <w:rFonts w:hint="eastAsia" w:ascii="仿宋" w:hAnsi="仿宋" w:eastAsia="仿宋" w:cs="Times New Roman"/>
          <w:color w:val="000000"/>
          <w:sz w:val="28"/>
          <w:szCs w:val="28"/>
          <w:highlight w:val="none"/>
        </w:rPr>
        <w:t xml:space="preserve">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中小微企业声明函（如果本项目</w:t>
      </w:r>
      <w:r>
        <w:rPr>
          <w:rFonts w:ascii="仿宋" w:hAnsi="仿宋" w:eastAsia="仿宋"/>
          <w:color w:val="000000"/>
          <w:sz w:val="28"/>
          <w:szCs w:val="28"/>
        </w:rPr>
        <w:t xml:space="preserve">专门面向中小微型企业采购，则必须提供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w:t>
      </w:r>
      <w:r>
        <w:rPr>
          <w:rFonts w:hint="eastAsia" w:ascii="仿宋" w:hAnsi="仿宋" w:eastAsia="仿宋"/>
          <w:color w:val="000000"/>
          <w:sz w:val="28"/>
          <w:szCs w:val="28"/>
        </w:rPr>
        <w:t xml:space="preserve">残疾人福利性单位声明函（如果本项目</w:t>
      </w:r>
      <w:r>
        <w:rPr>
          <w:rFonts w:ascii="仿宋" w:hAnsi="仿宋" w:eastAsia="仿宋"/>
          <w:color w:val="000000"/>
          <w:sz w:val="28"/>
          <w:szCs w:val="28"/>
        </w:rPr>
        <w:t xml:space="preserve">专门面向中小微型企业采购，</w:t>
      </w:r>
      <w:r>
        <w:rPr>
          <w:rFonts w:hint="eastAsia" w:ascii="仿宋" w:hAnsi="仿宋" w:eastAsia="仿宋"/>
          <w:color w:val="000000"/>
          <w:sz w:val="28"/>
          <w:szCs w:val="28"/>
        </w:rPr>
        <w:t xml:space="preserve">供应商为</w:t>
      </w:r>
      <w:r>
        <w:rPr>
          <w:rFonts w:ascii="仿宋" w:hAnsi="仿宋" w:eastAsia="仿宋"/>
          <w:color w:val="000000"/>
          <w:sz w:val="28"/>
          <w:szCs w:val="28"/>
        </w:rPr>
        <w:t xml:space="preserve">残疾人福利性单位并</w:t>
      </w:r>
      <w:r>
        <w:rPr>
          <w:rFonts w:hint="eastAsia" w:ascii="仿宋" w:hAnsi="仿宋" w:eastAsia="仿宋"/>
          <w:color w:val="000000"/>
          <w:sz w:val="28"/>
          <w:szCs w:val="28"/>
        </w:rPr>
        <w:t xml:space="preserve">提供本单位制造的货物，或者提供其他残疾人福利性单位制造的货物，</w:t>
      </w:r>
      <w:r>
        <w:rPr>
          <w:rFonts w:ascii="仿宋" w:hAnsi="仿宋" w:eastAsia="仿宋"/>
          <w:color w:val="000000"/>
          <w:sz w:val="28"/>
          <w:szCs w:val="28"/>
        </w:rPr>
        <w:t xml:space="preserve">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1"/>
        <w:ind w:firstLine="562"/>
        <w:spacing w:line="480" w:lineRule="exact"/>
        <w:rPr>
          <w:rFonts w:ascii="仿宋" w:hAnsi="仿宋" w:eastAsia="仿宋"/>
          <w:color w:val="000000"/>
          <w:sz w:val="28"/>
          <w:szCs w:val="28"/>
        </w:rPr>
      </w:pPr>
      <w:r>
        <w:rPr>
          <w:rFonts w:hint="eastAsia" w:ascii="仿宋" w:hAnsi="仿宋" w:eastAsia="仿宋"/>
          <w:b/>
          <w:bCs/>
          <w:color w:val="000000"/>
          <w:sz w:val="28"/>
          <w:szCs w:val="28"/>
        </w:rPr>
        <w:t xml:space="preserve">总备注：上述“资格审查内容”中1、</w:t>
      </w:r>
      <w:r>
        <w:rPr>
          <w:rFonts w:hint="eastAsia" w:ascii="仿宋" w:hAnsi="仿宋" w:eastAsia="仿宋"/>
          <w:b/>
          <w:bCs/>
          <w:color w:val="000000"/>
          <w:sz w:val="28"/>
          <w:szCs w:val="28"/>
          <w:lang w:val="en-US" w:eastAsia="zh-CN"/>
        </w:rPr>
        <w:t xml:space="preserve">3</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val="en-US" w:eastAsia="zh-CN"/>
        </w:rPr>
        <w:t xml:space="preserve">4</w:t>
      </w:r>
      <w:r>
        <w:rPr>
          <w:rFonts w:hint="eastAsia" w:ascii="仿宋" w:hAnsi="仿宋" w:eastAsia="仿宋"/>
          <w:b/>
          <w:bCs/>
          <w:color w:val="000000"/>
          <w:sz w:val="28"/>
          <w:szCs w:val="28"/>
        </w:rPr>
        <w:t xml:space="preserve">条投标人必须在投标文件中提供相关材料，否则作无效投标处理；</w:t>
      </w:r>
      <w:r>
        <w:rPr>
          <w:rFonts w:hint="eastAsia" w:ascii="仿宋" w:hAnsi="仿宋" w:eastAsia="仿宋"/>
          <w:b/>
          <w:bCs/>
          <w:color w:val="000000"/>
          <w:sz w:val="28"/>
          <w:szCs w:val="28"/>
          <w:lang w:val="en-US" w:eastAsia="zh-CN"/>
        </w:rPr>
        <w:t xml:space="preserve">2</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val="en-US" w:eastAsia="zh-CN"/>
        </w:rPr>
        <w:t xml:space="preserve">5</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val="en-US" w:eastAsia="zh-CN"/>
        </w:rPr>
        <w:t xml:space="preserve">6</w:t>
      </w:r>
      <w:r>
        <w:rPr>
          <w:rFonts w:hint="eastAsia" w:ascii="仿宋" w:hAnsi="仿宋" w:eastAsia="仿宋"/>
          <w:b/>
          <w:bCs/>
          <w:color w:val="000000"/>
          <w:sz w:val="28"/>
          <w:szCs w:val="28"/>
        </w:rPr>
        <w:t xml:space="preserve">条如招标文件要求必须提供相关材料而未提供的，作无效投标处理。</w:t>
      </w:r>
      <w:r>
        <w:rPr>
          <w:rFonts w:ascii="仿宋" w:hAnsi="仿宋" w:eastAsia="仿宋"/>
          <w:color w:val="000000"/>
          <w:sz w:val="28"/>
          <w:szCs w:val="28"/>
        </w:rPr>
      </w:r>
      <w:r/>
    </w:p>
    <w:p>
      <w:pPr>
        <w:pStyle w:val="93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931"/>
        <w:ind w:firstLine="560"/>
        <w:spacing w:line="480" w:lineRule="exact"/>
        <w:rPr>
          <w:rFonts w:ascii="仿宋" w:hAnsi="仿宋" w:eastAsia="仿宋"/>
          <w:b/>
          <w:bCs/>
          <w:color w:val="000000"/>
          <w:sz w:val="28"/>
          <w:szCs w:val="28"/>
          <w:highlight w:val="yellow"/>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w:t>
      </w:r>
      <w:r>
        <w:rPr>
          <w:rFonts w:hint="eastAsia" w:ascii="仿宋" w:hAnsi="仿宋" w:eastAsia="仿宋"/>
          <w:color w:val="000000"/>
          <w:sz w:val="28"/>
          <w:szCs w:val="28"/>
          <w:lang w:val="en-US" w:eastAsia="zh-CN"/>
        </w:rPr>
        <w:t xml:space="preserve">作</w:t>
      </w:r>
      <w:r>
        <w:rPr>
          <w:rFonts w:hint="eastAsia" w:ascii="仿宋" w:hAnsi="仿宋" w:eastAsia="仿宋"/>
          <w:color w:val="000000"/>
          <w:sz w:val="28"/>
          <w:szCs w:val="28"/>
        </w:rPr>
        <w:t xml:space="preserve">无效投标处理。</w:t>
      </w:r>
      <w:r>
        <w:rPr>
          <w:rFonts w:ascii="仿宋" w:hAnsi="仿宋" w:eastAsia="仿宋"/>
          <w:b/>
          <w:bCs/>
          <w:color w:val="000000"/>
          <w:sz w:val="28"/>
          <w:szCs w:val="28"/>
          <w:highlight w:val="yellow"/>
          <w:lang w:val="en-US" w:eastAsia="zh-CN"/>
        </w:rPr>
      </w:r>
      <w:r/>
    </w:p>
    <w:p>
      <w:pPr>
        <w:pStyle w:val="931"/>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93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3.监狱和戒毒企业证明材料</w:t>
      </w:r>
      <w:r>
        <w:rPr>
          <w:rFonts w:hint="eastAsia" w:ascii="仿宋" w:hAnsi="仿宋" w:eastAsia="仿宋" w:cs="Times New Roman"/>
          <w:color w:val="000000"/>
          <w:sz w:val="28"/>
          <w:szCs w:val="28"/>
          <w:lang w:val="en-US" w:eastAsia="zh-CN"/>
        </w:rPr>
      </w:r>
      <w:r/>
    </w:p>
    <w:p>
      <w:pPr>
        <w:pStyle w:val="93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4.关于符合本国产品标准的声明函（格式见附件11）</w:t>
      </w:r>
      <w:r>
        <w:rPr>
          <w:rFonts w:ascii="仿宋" w:hAnsi="仿宋" w:eastAsia="仿宋" w:cs="Times New Roman"/>
          <w:color w:val="000000"/>
          <w:sz w:val="28"/>
          <w:szCs w:val="28"/>
          <w:highlight w:val="none"/>
          <w:lang w:val="en-US" w:eastAsia="zh-CN"/>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3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1008"/>
        <w:rPr>
          <w:rFonts w:ascii="仿宋" w:hAnsi="仿宋" w:eastAsia="仿宋"/>
          <w:b/>
          <w:color w:val="000000"/>
          <w:sz w:val="28"/>
          <w:szCs w:val="28"/>
        </w:rPr>
      </w:pPr>
      <w:r>
        <w:rPr>
          <w:rFonts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rPr>
        <w:t xml:space="preserve">开标一览表</w:t>
      </w:r>
      <w:r>
        <w:rPr>
          <w:rFonts w:hint="eastAsia" w:ascii="仿宋" w:hAnsi="仿宋" w:eastAsia="仿宋"/>
          <w:b/>
          <w:color w:val="000000"/>
          <w:sz w:val="28"/>
          <w:szCs w:val="28"/>
        </w:rPr>
      </w:r>
      <w:r/>
    </w:p>
    <w:p>
      <w:pPr>
        <w:pStyle w:val="931"/>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93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93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p>
      <w:pPr>
        <w:pStyle w:val="93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分包号：</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31"/>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931"/>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931"/>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931"/>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931"/>
        <w:spacing w:line="480" w:lineRule="exact"/>
        <w:rPr>
          <w:rFonts w:ascii="仿宋" w:hAnsi="仿宋" w:eastAsia="仿宋"/>
          <w:color w:val="000000"/>
          <w:sz w:val="28"/>
          <w:szCs w:val="28"/>
        </w:rPr>
      </w:pPr>
      <w:r>
        <w:rPr>
          <w:rFonts w:ascii="仿宋" w:hAnsi="仿宋" w:eastAsia="仿宋"/>
          <w:color w:val="000000"/>
          <w:sz w:val="28"/>
          <w:szCs w:val="28"/>
        </w:rPr>
      </w:r>
      <w:r/>
    </w:p>
    <w:p>
      <w:pPr>
        <w:pStyle w:val="93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31"/>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投标分项报价表（分包号：***）</w:t>
      </w:r>
      <w:r>
        <w:rPr>
          <w:rFonts w:hint="eastAsia" w:ascii="仿宋" w:hAnsi="仿宋" w:eastAsia="仿宋"/>
          <w:b/>
          <w:color w:val="000000"/>
          <w:sz w:val="28"/>
          <w:szCs w:val="28"/>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r>
      <w:tr>
        <w:trPr>
          <w:cantSplit/>
          <w:trHeight w:val="294"/>
        </w:trPr>
        <w:tc>
          <w:tcPr>
            <w:tcW w:w="500"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产地</w:t>
            </w:r>
            <w:r>
              <w:rPr>
                <w:rFonts w:hint="eastAsia" w:ascii="仿宋" w:hAnsi="仿宋" w:eastAsia="仿宋"/>
                <w:color w:val="000000"/>
                <w:sz w:val="28"/>
                <w:szCs w:val="28"/>
              </w:rPr>
            </w:r>
            <w:r/>
          </w:p>
        </w:tc>
        <w:tc>
          <w:tcPr>
            <w:tcW w:w="1385"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93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93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r>
      <w:tr>
        <w:trPr>
          <w:cantSplit/>
          <w:trHeight w:val="696"/>
        </w:trPr>
        <w:tc>
          <w:tcPr>
            <w:tcW w:w="500"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31"/>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31"/>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931"/>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gridSpan w:val="10"/>
            <w:tcW w:w="9263" w:type="dxa"/>
            <w:vAlign w:val="top"/>
            <w:textDirection w:val="lrTb"/>
            <w:noWrap w:val="false"/>
          </w:tcPr>
          <w:p>
            <w:pPr>
              <w:pStyle w:val="93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元）</w:t>
            </w:r>
            <w:r>
              <w:rPr>
                <w:rFonts w:hint="eastAsia" w:ascii="仿宋" w:hAnsi="仿宋" w:eastAsia="仿宋"/>
                <w:color w:val="000000"/>
                <w:sz w:val="28"/>
                <w:szCs w:val="28"/>
              </w:rPr>
            </w:r>
            <w:r/>
          </w:p>
        </w:tc>
      </w:tr>
      <w:tr>
        <w:trPr>
          <w:cantSplit/>
          <w:trHeight w:val="249"/>
        </w:trPr>
        <w:tc>
          <w:tcPr>
            <w:gridSpan w:val="10"/>
            <w:tcW w:w="9263" w:type="dxa"/>
            <w:vAlign w:val="top"/>
            <w:textDirection w:val="lrTb"/>
            <w:noWrap w:val="false"/>
          </w:tcPr>
          <w:p>
            <w:pPr>
              <w:pStyle w:val="931"/>
              <w:spacing w:line="480" w:lineRule="exact"/>
              <w:rPr>
                <w:rFonts w:hint="eastAsia" w:ascii="仿宋" w:hAnsi="仿宋" w:eastAsia="仿宋"/>
                <w:color w:val="000000"/>
                <w:sz w:val="28"/>
                <w:szCs w:val="28"/>
              </w:rPr>
            </w:pPr>
            <w:r>
              <w:rPr>
                <w:rFonts w:hint="eastAsia" w:ascii="仿宋" w:hAnsi="仿宋" w:eastAsia="仿宋" w:cs="Times New Roman"/>
                <w:color w:val="000000"/>
                <w:sz w:val="28"/>
                <w:szCs w:val="28"/>
                <w:highlight w:val="none"/>
              </w:rPr>
              <w:t xml:space="preserve">本采购包中提供的符合本国产品标准的产品成本之和占该采购包提供的全部产品成本之和的比例为</w:t>
            </w:r>
            <w:r>
              <w:rPr>
                <w:rFonts w:hint="eastAsia" w:ascii="仿宋" w:hAnsi="仿宋" w:eastAsia="仿宋" w:cs="Times New Roman"/>
                <w:color w:val="000000"/>
                <w:sz w:val="28"/>
                <w:szCs w:val="28"/>
                <w:highlight w:val="none"/>
                <w:u w:val="single"/>
              </w:rPr>
              <w:t xml:space="preserve">***</w:t>
            </w:r>
            <w:r>
              <w:rPr>
                <w:rFonts w:hint="eastAsia" w:ascii="仿宋" w:hAnsi="仿宋" w:eastAsia="仿宋" w:cs="Times New Roman"/>
                <w:color w:val="000000"/>
                <w:sz w:val="28"/>
                <w:szCs w:val="28"/>
                <w:highlight w:val="none"/>
              </w:rPr>
              <w:t xml:space="preserve">%。</w:t>
            </w:r>
            <w:r>
              <w:rPr>
                <w:rFonts w:hint="eastAsia" w:ascii="仿宋" w:hAnsi="仿宋" w:eastAsia="仿宋"/>
                <w:color w:val="000000"/>
                <w:sz w:val="28"/>
                <w:szCs w:val="28"/>
              </w:rPr>
            </w:r>
            <w:r/>
          </w:p>
        </w:tc>
      </w:tr>
    </w:tbl>
    <w:p>
      <w:pPr>
        <w:pStyle w:val="93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3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93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hint="eastAsia" w:ascii="仿宋" w:hAnsi="仿宋" w:eastAsia="仿宋"/>
          <w:color w:val="000000"/>
          <w:sz w:val="28"/>
          <w:szCs w:val="28"/>
        </w:rPr>
      </w:r>
      <w:r/>
    </w:p>
    <w:p>
      <w:pPr>
        <w:pStyle w:val="931"/>
        <w:spacing w:line="480" w:lineRule="exact"/>
        <w:rPr>
          <w:highlight w:val="none"/>
        </w:rPr>
      </w:pPr>
      <w:r>
        <w:rPr>
          <w:rFonts w:hint="eastAsia" w:ascii="仿宋" w:hAnsi="仿宋" w:eastAsia="仿宋"/>
          <w:color w:val="000000"/>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或未提供《关于符合本国产品标准的声明函》，将不享受本国产品价格评审优惠。</w:t>
      </w:r>
      <w:r>
        <w:rPr>
          <w:highlight w:val="none"/>
        </w:rPr>
      </w:r>
      <w:r/>
    </w:p>
    <w:p>
      <w:pPr>
        <w:pStyle w:val="931"/>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.投标人需认真填写本报价表，尤其注意规格型号的准确填写。</w:t>
      </w:r>
      <w:r>
        <w:rPr>
          <w:rFonts w:hint="eastAsia" w:ascii="仿宋" w:hAnsi="仿宋" w:eastAsia="仿宋"/>
          <w:color w:val="000000"/>
          <w:sz w:val="28"/>
          <w:szCs w:val="28"/>
        </w:rPr>
      </w:r>
      <w:r/>
    </w:p>
    <w:p>
      <w:pPr>
        <w:pStyle w:val="931"/>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.项目</w:t>
      </w:r>
      <w:r>
        <w:rPr>
          <w:rFonts w:ascii="仿宋" w:hAnsi="仿宋" w:eastAsia="仿宋"/>
          <w:color w:val="000000"/>
          <w:sz w:val="28"/>
          <w:szCs w:val="28"/>
        </w:rPr>
        <w:t xml:space="preserve">经办人可以根据</w:t>
      </w:r>
      <w:r>
        <w:rPr>
          <w:rFonts w:hint="eastAsia" w:ascii="仿宋" w:hAnsi="仿宋" w:eastAsia="仿宋"/>
          <w:color w:val="000000"/>
          <w:sz w:val="28"/>
          <w:szCs w:val="28"/>
        </w:rPr>
        <w:t xml:space="preserve">项目</w:t>
      </w:r>
      <w:r>
        <w:rPr>
          <w:rFonts w:ascii="仿宋" w:hAnsi="仿宋" w:eastAsia="仿宋"/>
          <w:color w:val="000000"/>
          <w:sz w:val="28"/>
          <w:szCs w:val="28"/>
        </w:rPr>
        <w:t xml:space="preserve">实际需要</w:t>
      </w:r>
      <w:r>
        <w:rPr>
          <w:rFonts w:hint="eastAsia" w:ascii="仿宋" w:hAnsi="仿宋" w:eastAsia="仿宋"/>
          <w:color w:val="000000"/>
          <w:sz w:val="28"/>
          <w:szCs w:val="28"/>
        </w:rPr>
        <w:t xml:space="preserve">对</w:t>
      </w:r>
      <w:r>
        <w:rPr>
          <w:rFonts w:ascii="仿宋" w:hAnsi="仿宋" w:eastAsia="仿宋"/>
          <w:color w:val="000000"/>
          <w:sz w:val="28"/>
          <w:szCs w:val="28"/>
        </w:rPr>
        <w:t xml:space="preserve">表格结构进行</w:t>
      </w:r>
      <w:r>
        <w:rPr>
          <w:rFonts w:hint="eastAsia" w:ascii="仿宋" w:hAnsi="仿宋" w:eastAsia="仿宋"/>
          <w:color w:val="000000"/>
          <w:sz w:val="28"/>
          <w:szCs w:val="28"/>
        </w:rPr>
        <w:t xml:space="preserve">调整</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08"/>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3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31"/>
        <w:spacing w:line="480" w:lineRule="exact"/>
        <w:rPr>
          <w:rFonts w:ascii="仿宋" w:hAnsi="仿宋" w:eastAsia="仿宋"/>
          <w:color w:val="000000"/>
          <w:sz w:val="28"/>
          <w:szCs w:val="28"/>
        </w:rPr>
      </w:pPr>
      <w:r>
        <w:rPr>
          <w:rFonts w:ascii="仿宋" w:hAnsi="仿宋" w:eastAsia="仿宋"/>
          <w:color w:val="000000"/>
          <w:sz w:val="28"/>
          <w:szCs w:val="28"/>
        </w:rPr>
      </w:r>
      <w:r/>
    </w:p>
    <w:p>
      <w:pPr>
        <w:pStyle w:val="93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3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93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3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3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3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3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93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1"/>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93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w:t>
      </w:r>
      <w:r>
        <w:rPr>
          <w:rFonts w:hint="eastAsia" w:ascii="宋体" w:hAnsi="宋体"/>
          <w:b/>
          <w:color w:val="000000"/>
          <w:sz w:val="30"/>
          <w:szCs w:val="30"/>
          <w:highlight w:val="none"/>
          <w:lang w:eastAsia="zh-CN"/>
        </w:rPr>
        <w:t xml:space="preserve">中华人民共和国</w:t>
      </w:r>
      <w:r>
        <w:rPr>
          <w:rFonts w:hint="eastAsia" w:ascii="宋体" w:hAnsi="宋体"/>
          <w:b/>
          <w:color w:val="000000"/>
          <w:sz w:val="30"/>
          <w:szCs w:val="30"/>
          <w:highlight w:val="none"/>
        </w:rPr>
        <w:t xml:space="preserve">政府采购法》第二十二条规定条件的声明函</w:t>
      </w:r>
      <w:r>
        <w:rPr>
          <w:rFonts w:hint="eastAsia" w:ascii="宋体" w:hAnsi="宋体"/>
          <w:b/>
          <w:color w:val="000000"/>
          <w:sz w:val="30"/>
          <w:szCs w:val="30"/>
          <w:highlight w:val="none"/>
        </w:rPr>
      </w:r>
      <w:r/>
    </w:p>
    <w:p>
      <w:pPr>
        <w:pStyle w:val="931"/>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931"/>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931"/>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931"/>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931"/>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931"/>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931"/>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931"/>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931"/>
        <w:ind w:firstLine="482"/>
        <w:spacing w:line="500" w:lineRule="exact"/>
        <w:rPr>
          <w:rFonts w:hint="eastAsia" w:ascii="宋体" w:hAnsi="宋体"/>
          <w:color w:val="000000"/>
          <w:sz w:val="24"/>
        </w:rPr>
      </w:pPr>
      <w:r>
        <w:rPr>
          <w:rFonts w:hint="eastAsia" w:ascii="宋体" w:hAnsi="宋体"/>
          <w:color w:val="000000"/>
          <w:sz w:val="24"/>
        </w:rPr>
      </w:r>
      <w:r/>
    </w:p>
    <w:p>
      <w:pPr>
        <w:pStyle w:val="931"/>
        <w:spacing w:line="500" w:lineRule="exact"/>
        <w:rPr>
          <w:rFonts w:hint="eastAsia" w:ascii="宋体" w:hAnsi="宋体"/>
          <w:color w:val="000000"/>
          <w:sz w:val="24"/>
        </w:rPr>
      </w:pPr>
      <w:r>
        <w:rPr>
          <w:rFonts w:hint="eastAsia" w:ascii="宋体" w:hAnsi="宋体"/>
          <w:color w:val="000000"/>
          <w:sz w:val="24"/>
        </w:rPr>
      </w:r>
      <w:r/>
    </w:p>
    <w:p>
      <w:pPr>
        <w:pStyle w:val="93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3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3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31"/>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93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3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93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93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ind w:firstLine="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31"/>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93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93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93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3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31"/>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931"/>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3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1"/>
        <w:keepLines/>
        <w:keepNext/>
        <w:spacing w:before="260" w:after="260" w:line="480" w:lineRule="exact"/>
        <w:rPr>
          <w:rFonts w:ascii="仿宋" w:hAnsi="仿宋" w:eastAsia="仿宋"/>
          <w:b/>
          <w:i/>
          <w:color w:val="000000"/>
          <w:sz w:val="28"/>
          <w:szCs w:val="28"/>
          <w:u w:val="single"/>
        </w:rPr>
        <w:outlineLvl w:val="1"/>
      </w:pPr>
      <w:r>
        <w:rPr>
          <w:rFonts w:ascii="仿宋" w:hAnsi="仿宋" w:eastAsia="仿宋" w:cs="Arial"/>
          <w:b/>
          <w:color w:val="000000"/>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931"/>
        <w:jc w:val="left"/>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致：南通市</w:t>
      </w:r>
      <w:r>
        <w:rPr>
          <w:rFonts w:hint="eastAsia" w:ascii="仿宋" w:hAnsi="仿宋" w:eastAsia="仿宋"/>
          <w:color w:val="000000"/>
          <w:sz w:val="28"/>
          <w:szCs w:val="28"/>
          <w:lang w:val="en-US" w:eastAsia="zh-CN"/>
        </w:rPr>
        <w:t xml:space="preserve">公共资源交易中心</w:t>
      </w:r>
      <w:r>
        <w:rPr>
          <w:rFonts w:ascii="仿宋" w:hAnsi="仿宋" w:eastAsia="仿宋"/>
          <w:color w:val="000000"/>
          <w:sz w:val="28"/>
          <w:szCs w:val="28"/>
          <w:lang w:val="en-US" w:eastAsia="zh-CN"/>
        </w:rPr>
      </w:r>
      <w:r/>
    </w:p>
    <w:p>
      <w:pPr>
        <w:pStyle w:val="93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号招标文件，正式授权_____</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lang w:val="en-US" w:eastAsia="zh-CN"/>
        </w:rPr>
        <w:t xml:space="preserve">被授权人</w:t>
      </w:r>
      <w:r>
        <w:rPr>
          <w:rFonts w:hint="eastAsia" w:ascii="仿宋" w:hAnsi="仿宋" w:eastAsia="仿宋" w:cs="Times New Roman"/>
          <w:color w:val="000000"/>
          <w:sz w:val="28"/>
          <w:szCs w:val="28"/>
        </w:rPr>
        <w:t xml:space="preserve">姓名</w:t>
      </w:r>
      <w:r>
        <w:rPr>
          <w:rFonts w:ascii="仿宋" w:hAnsi="仿宋" w:eastAsia="仿宋" w:cs="Times New Roman"/>
          <w:color w:val="000000"/>
          <w:sz w:val="28"/>
          <w:szCs w:val="28"/>
        </w:rPr>
        <w:t xml:space="preserve">)</w:t>
      </w:r>
      <w:r>
        <w:rPr>
          <w:rFonts w:hint="eastAsia" w:ascii="仿宋" w:hAnsi="仿宋" w:eastAsia="仿宋"/>
          <w:color w:val="000000"/>
          <w:sz w:val="28"/>
          <w:szCs w:val="28"/>
        </w:rPr>
        <w:t xml:space="preserve">代表我方_______（投标人的名称），全权处理本次项目投标的有关事宜。</w:t>
      </w:r>
      <w:r>
        <w:rPr>
          <w:rFonts w:hint="eastAsia" w:ascii="仿宋" w:hAnsi="仿宋" w:eastAsia="仿宋"/>
          <w:color w:val="000000"/>
          <w:sz w:val="28"/>
          <w:szCs w:val="28"/>
        </w:rPr>
      </w:r>
      <w:r/>
    </w:p>
    <w:p>
      <w:pPr>
        <w:pStyle w:val="93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据此函，兹宣布同意如下：</w:t>
      </w:r>
      <w:r>
        <w:rPr>
          <w:rFonts w:hint="eastAsia" w:ascii="仿宋" w:hAnsi="仿宋" w:eastAsia="仿宋"/>
          <w:color w:val="000000"/>
          <w:sz w:val="28"/>
          <w:szCs w:val="28"/>
        </w:rPr>
      </w:r>
      <w:r/>
    </w:p>
    <w:p>
      <w:pPr>
        <w:pStyle w:val="93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93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93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93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93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93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931"/>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93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93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93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93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93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93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93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93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3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3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31"/>
        <w:ind w:firstLine="281"/>
        <w:jc w:val="left"/>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31"/>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中小微企业声明函（货物类项目）（分包号：**）</w:t>
      </w:r>
      <w:r>
        <w:rPr>
          <w:rFonts w:hint="eastAsia" w:ascii="仿宋" w:hAnsi="仿宋" w:eastAsia="仿宋"/>
          <w:b/>
          <w:color w:val="000000"/>
          <w:sz w:val="28"/>
          <w:szCs w:val="28"/>
        </w:rPr>
      </w:r>
      <w:r/>
    </w:p>
    <w:p>
      <w:pPr>
        <w:pStyle w:val="93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本公司（联合体）郑重声明，根据《政府采购促进中小企业发展管理办法》(财库[2020]46号)的规定，本公司（联合体）参加南通市</w:t>
      </w:r>
      <w:r>
        <w:rPr>
          <w:rFonts w:hint="eastAsia" w:ascii="仿宋" w:hAnsi="仿宋" w:eastAsia="仿宋"/>
          <w:color w:val="000000"/>
          <w:sz w:val="28"/>
          <w:szCs w:val="28"/>
          <w:lang w:val="en-US" w:eastAsia="zh-CN"/>
        </w:rPr>
        <w:t xml:space="preserve">公共资源交易中心</w:t>
      </w:r>
      <w:r>
        <w:rPr>
          <w:rFonts w:hint="eastAsia" w:ascii="仿宋" w:hAnsi="仿宋" w:eastAsia="仿宋"/>
          <w:color w:val="000000"/>
          <w:sz w:val="28"/>
          <w:szCs w:val="28"/>
        </w:rPr>
        <w:t xml:space="preserve">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（项目名称）（分包号：**）</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仿宋" w:hAnsi="仿宋" w:eastAsia="仿宋"/>
          <w:color w:val="000000"/>
          <w:sz w:val="28"/>
          <w:szCs w:val="28"/>
        </w:rPr>
      </w:r>
      <w:r/>
    </w:p>
    <w:p>
      <w:pPr>
        <w:pStyle w:val="93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3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3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3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93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931"/>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31"/>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931"/>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93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附：中小企业划型标准规定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color w:val="000000"/>
          <w:sz w:val="28"/>
          <w:szCs w:val="28"/>
        </w:rPr>
      </w:r>
      <w:r/>
    </w:p>
    <w:p>
      <w:pPr>
        <w:pStyle w:val="93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color w:val="000000"/>
          <w:sz w:val="28"/>
          <w:szCs w:val="28"/>
        </w:rPr>
      </w:r>
      <w:r/>
    </w:p>
    <w:p>
      <w:pPr>
        <w:pStyle w:val="931"/>
        <w:ind w:left="560" w:hanging="140"/>
        <w:spacing w:line="480" w:lineRule="exact"/>
        <w:rPr>
          <w:rFonts w:hint="eastAsia" w:ascii="仿宋" w:hAnsi="仿宋" w:eastAsia="仿宋"/>
          <w:i w:val="0"/>
          <w:iCs w:val="0"/>
          <w:color w:val="000000"/>
          <w:sz w:val="28"/>
          <w:szCs w:val="28"/>
          <w:highlight w:val="none"/>
        </w:rPr>
      </w:pPr>
      <w:r>
        <w:rPr>
          <w:rFonts w:hint="eastAsia" w:ascii="仿宋" w:hAnsi="仿宋" w:eastAsia="仿宋"/>
          <w:i w:val="0"/>
          <w:iCs w:val="0"/>
          <w:color w:val="000000"/>
          <w:sz w:val="28"/>
          <w:szCs w:val="28"/>
          <w:highlight w:val="none"/>
        </w:rPr>
      </w:r>
      <w:r/>
    </w:p>
    <w:p>
      <w:pPr>
        <w:pStyle w:val="931"/>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931"/>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1008"/>
        <w:ind w:left="0" w:firstLine="0"/>
        <w:rPr>
          <w:rFonts w:hint="eastAsia" w:ascii="仿宋" w:hAnsi="仿宋" w:eastAsia="仿宋"/>
          <w:color w:val="ff0000"/>
          <w:sz w:val="28"/>
          <w:szCs w:val="28"/>
        </w:rPr>
      </w:pPr>
      <w:r>
        <w:rPr>
          <w:rFonts w:hint="eastAsia" w:ascii="仿宋" w:hAnsi="仿宋" w:eastAsia="仿宋"/>
          <w:color w:val="ff0000"/>
          <w:sz w:val="28"/>
          <w:szCs w:val="28"/>
        </w:rPr>
      </w:r>
      <w:r/>
    </w:p>
    <w:p>
      <w:pPr>
        <w:pStyle w:val="931"/>
        <w:spacing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931"/>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残疾人福利性单位声明函（货物类项目）（分包号：**）</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项目（分包号：**）采购活动提供本单位制造的货物，或者提供其他残疾人福利性单位制造的货物（不包括使用非残疾人福利性单位注册商标的货物）。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93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3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93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93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931"/>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931"/>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931"/>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1008"/>
        <w:rPr>
          <w:rFonts w:hint="eastAsia" w:ascii="仿宋" w:hAnsi="仿宋" w:eastAsia="仿宋"/>
          <w:b/>
          <w:color w:val="000000"/>
          <w:sz w:val="28"/>
          <w:szCs w:val="28"/>
        </w:rPr>
      </w:pPr>
      <w:r>
        <w:rPr>
          <w:rFonts w:hint="eastAsia" w:ascii="仿宋" w:hAnsi="仿宋" w:eastAsia="仿宋"/>
          <w:b/>
          <w:color w:val="000000"/>
          <w:sz w:val="28"/>
          <w:szCs w:val="28"/>
        </w:rPr>
      </w:r>
      <w:r/>
    </w:p>
    <w:p>
      <w:pPr>
        <w:pStyle w:val="1008"/>
        <w:rPr>
          <w:rFonts w:hint="eastAsia" w:ascii="仿宋" w:hAnsi="仿宋" w:eastAsia="仿宋"/>
          <w:b/>
          <w:color w:val="000000"/>
          <w:sz w:val="28"/>
          <w:szCs w:val="28"/>
        </w:rPr>
      </w:pPr>
      <w:r>
        <w:rPr>
          <w:rFonts w:hint="eastAsia" w:ascii="仿宋" w:hAnsi="仿宋" w:eastAsia="仿宋"/>
          <w:b/>
          <w:color w:val="000000"/>
          <w:sz w:val="28"/>
          <w:szCs w:val="28"/>
        </w:rPr>
      </w:r>
      <w:r/>
    </w:p>
    <w:p>
      <w:pPr>
        <w:pStyle w:val="1008"/>
        <w:rPr>
          <w:rFonts w:hint="eastAsia" w:ascii="仿宋" w:hAnsi="仿宋" w:eastAsia="仿宋"/>
          <w:b/>
          <w:color w:val="000000"/>
          <w:sz w:val="28"/>
          <w:szCs w:val="28"/>
        </w:rPr>
      </w:pPr>
      <w:r>
        <w:rPr>
          <w:rFonts w:hint="eastAsia" w:ascii="仿宋" w:hAnsi="仿宋" w:eastAsia="仿宋"/>
          <w:b/>
          <w:color w:val="000000"/>
          <w:sz w:val="28"/>
          <w:szCs w:val="28"/>
        </w:rPr>
      </w:r>
      <w:r/>
    </w:p>
    <w:p>
      <w:pPr>
        <w:pStyle w:val="1008"/>
        <w:rPr>
          <w:rFonts w:hint="eastAsia" w:ascii="仿宋" w:hAnsi="仿宋" w:eastAsia="仿宋"/>
          <w:b/>
          <w:color w:val="000000"/>
          <w:sz w:val="28"/>
          <w:szCs w:val="28"/>
        </w:rPr>
      </w:pPr>
      <w:r>
        <w:rPr>
          <w:rFonts w:hint="eastAsia" w:ascii="仿宋" w:hAnsi="仿宋" w:eastAsia="仿宋"/>
          <w:b/>
          <w:color w:val="000000"/>
          <w:sz w:val="28"/>
          <w:szCs w:val="28"/>
        </w:rPr>
      </w:r>
      <w:r/>
    </w:p>
    <w:p>
      <w:pPr>
        <w:pStyle w:val="931"/>
        <w:jc w:val="both"/>
        <w:spacing w:line="480" w:lineRule="exact"/>
        <w:rPr>
          <w:rFonts w:hint="eastAsia" w:ascii="仿宋" w:hAnsi="仿宋" w:eastAsia="仿宋" w:cs="仿宋"/>
          <w:b/>
          <w:bCs/>
          <w:color w:val="000000"/>
          <w:sz w:val="28"/>
          <w:szCs w:val="28"/>
        </w:rPr>
      </w:pPr>
      <w:r/>
      <w:bookmarkEnd w:id="176"/>
      <w:r/>
      <w:bookmarkEnd w:id="177"/>
      <w:r/>
      <w:bookmarkEnd w:id="217"/>
      <w:r/>
      <w:bookmarkEnd w:id="218"/>
      <w:r/>
      <w:bookmarkEnd w:id="219"/>
      <w:r>
        <w:rPr>
          <w:rFonts w:hint="eastAsia" w:ascii="仿宋" w:hAnsi="仿宋" w:eastAsia="仿宋" w:cs="仿宋"/>
          <w:b/>
          <w:bCs/>
          <w:color w:val="000000"/>
          <w:sz w:val="28"/>
          <w:szCs w:val="28"/>
        </w:rPr>
      </w:r>
      <w:r/>
    </w:p>
    <w:p>
      <w:pPr>
        <w:pStyle w:val="931"/>
        <w:jc w:val="center"/>
        <w:keepLines w:val="0"/>
        <w:keepNext w:val="0"/>
        <w:pageBreakBefore/>
        <w:widowControl w:val="off"/>
        <w:rPr>
          <w:rFonts w:hint="eastAsia" w:ascii="仿宋" w:hAnsi="仿宋" w:eastAsia="仿宋" w:cs="仿宋"/>
          <w:color w:val="000000"/>
          <w:sz w:val="28"/>
          <w:szCs w:val="28"/>
          <w:highlight w:val="none"/>
        </w:rPr>
      </w:pPr>
      <w:r>
        <w:rPr>
          <w:rFonts w:hint="eastAsia" w:ascii="仿宋" w:hAnsi="仿宋" w:eastAsia="仿宋" w:cs="仿宋"/>
          <w:b/>
          <w:color w:val="000000"/>
          <w:sz w:val="28"/>
          <w:szCs w:val="28"/>
          <w:highlight w:val="none"/>
        </w:rPr>
        <w:t xml:space="preserve">附件1</w:t>
      </w:r>
      <w:r>
        <w:rPr>
          <w:rFonts w:hint="eastAsia" w:ascii="仿宋" w:hAnsi="仿宋" w:eastAsia="仿宋" w:cs="仿宋"/>
          <w:b/>
          <w:color w:val="000000"/>
          <w:sz w:val="28"/>
          <w:szCs w:val="28"/>
          <w:highlight w:val="none"/>
          <w:lang w:val="en-US" w:eastAsia="zh-CN"/>
        </w:rPr>
        <w:t xml:space="preserve">1</w:t>
      </w:r>
      <w:r>
        <w:rPr>
          <w:rFonts w:hint="eastAsia" w:ascii="仿宋" w:hAnsi="仿宋" w:eastAsia="仿宋" w:cs="仿宋"/>
          <w:b/>
          <w:color w:val="000000"/>
          <w:sz w:val="28"/>
          <w:szCs w:val="28"/>
          <w:highlight w:val="none"/>
        </w:rPr>
        <w:t xml:space="preserve">  关于符合本国产品标准的声明函（采购包号：**）</w:t>
      </w:r>
      <w:r>
        <w:rPr>
          <w:rFonts w:hint="eastAsia" w:ascii="仿宋" w:hAnsi="仿宋" w:eastAsia="仿宋" w:cs="仿宋"/>
          <w:color w:val="000000"/>
          <w:sz w:val="28"/>
          <w:szCs w:val="28"/>
          <w:highlight w:val="none"/>
        </w:rPr>
      </w:r>
      <w:r/>
    </w:p>
    <w:p>
      <w:pPr>
        <w:pStyle w:val="993"/>
        <w:ind w:firstLine="420"/>
        <w:spacing w:before="0" w:beforeAutospacing="0" w:after="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93"/>
        <w:ind w:firstLine="420"/>
        <w:spacing w:before="0" w:beforeAutospacing="0" w:after="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8"/>
          <w:szCs w:val="28"/>
          <w:highlight w:val="none"/>
        </w:rPr>
      </w:r>
      <w:r/>
    </w:p>
    <w:p>
      <w:pPr>
        <w:pStyle w:val="993"/>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4645660</wp:posOffset>
                </wp:positionH>
                <wp:positionV relativeFrom="paragraph">
                  <wp:posOffset>511810</wp:posOffset>
                </wp:positionV>
                <wp:extent cx="1019175" cy="144145"/>
                <wp:effectExtent l="0" t="0" r="0" b="0"/>
                <wp:wrapNone/>
                <wp:docPr id="50" name=""/>
                <wp:cNvGraphicFramePr/>
                <a:graphic xmlns:a="http://schemas.openxmlformats.org/drawingml/2006/main">
                  <a:graphicData uri="http://schemas.microsoft.com/office/word/2010/wordprocessingShape">
                    <wps:wsp>
                      <wps:cNvPr id="0" name=""/>
                      <wps:cNvSpPr/>
                      <wps:spPr bwMode="auto">
                        <a:xfrm flipV="1">
                          <a:off x="0" y="0"/>
                          <a:ext cx="1019174" cy="1441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9" o:spid="_x0000_s49" style="position:absolute;z-index:251658246;o:allowoverlap:true;o:allowincell:true;mso-position-horizontal-relative:text;margin-left:365.8pt;mso-position-horizontal:absolute;mso-position-vertical-relative:text;margin-top:40.3pt;mso-position-vertical:absolute;width:80.2pt;height:11.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3175635</wp:posOffset>
                </wp:positionH>
                <wp:positionV relativeFrom="paragraph">
                  <wp:posOffset>567690</wp:posOffset>
                </wp:positionV>
                <wp:extent cx="1137920" cy="113030"/>
                <wp:effectExtent l="0" t="0" r="0" b="0"/>
                <wp:wrapNone/>
                <wp:docPr id="51" name=""/>
                <wp:cNvGraphicFramePr/>
                <a:graphic xmlns:a="http://schemas.openxmlformats.org/drawingml/2006/main">
                  <a:graphicData uri="http://schemas.microsoft.com/office/word/2010/wordprocessingShape">
                    <wps:wsp>
                      <wps:cNvPr id="0" name=""/>
                      <wps:cNvSpPr/>
                      <wps:spPr bwMode="auto">
                        <a:xfrm flipV="1">
                          <a:off x="0" y="0"/>
                          <a:ext cx="1137920"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0" o:spid="_x0000_s50" style="position:absolute;z-index:251658248;o:allowoverlap:true;o:allowincell:true;mso-position-horizontal-relative:text;margin-left:250.0pt;mso-position-horizontal:absolute;mso-position-vertical-relative:text;margin-top:44.7pt;mso-position-vertical:absolute;width:89.6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704850</wp:posOffset>
                </wp:positionH>
                <wp:positionV relativeFrom="paragraph">
                  <wp:posOffset>544195</wp:posOffset>
                </wp:positionV>
                <wp:extent cx="876300" cy="120015"/>
                <wp:effectExtent l="0" t="0" r="0" b="0"/>
                <wp:wrapNone/>
                <wp:docPr id="5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1" o:spid="_x0000_s51" style="position:absolute;z-index:251658242;o:allowoverlap:true;o:allowincell:true;mso-position-horizontal-relative:text;margin-left:55.5pt;mso-position-horizontal:absolute;mso-position-vertical-relative:text;margin-top:42.9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3656330</wp:posOffset>
                </wp:positionH>
                <wp:positionV relativeFrom="paragraph">
                  <wp:posOffset>290830</wp:posOffset>
                </wp:positionV>
                <wp:extent cx="1066800" cy="161290"/>
                <wp:effectExtent l="0" t="0" r="0" b="0"/>
                <wp:wrapNone/>
                <wp:docPr id="53" name=""/>
                <wp:cNvGraphicFramePr/>
                <a:graphic xmlns:a="http://schemas.openxmlformats.org/drawingml/2006/main">
                  <a:graphicData uri="http://schemas.microsoft.com/office/word/2010/wordprocessingShape">
                    <wps:wsp>
                      <wps:cNvPr id="0" name=""/>
                      <wps:cNvSpPr/>
                      <wps:spPr bwMode="auto">
                        <a:xfrm flipV="1">
                          <a:off x="0" y="0"/>
                          <a:ext cx="1066800" cy="161289"/>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2" o:spid="_x0000_s52" style="position:absolute;z-index:251658241;o:allowoverlap:true;o:allowincell:true;mso-position-horizontal-relative:text;margin-left:287.9pt;mso-position-horizontal:absolute;mso-position-vertical-relative:text;margin-top:22.9pt;mso-position-vertical:absolute;width:84.0pt;height:12.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4854575</wp:posOffset>
                </wp:positionH>
                <wp:positionV relativeFrom="paragraph">
                  <wp:posOffset>290830</wp:posOffset>
                </wp:positionV>
                <wp:extent cx="843280" cy="150495"/>
                <wp:effectExtent l="0" t="0" r="0" b="0"/>
                <wp:wrapNone/>
                <wp:docPr id="54" name=""/>
                <wp:cNvGraphicFramePr/>
                <a:graphic xmlns:a="http://schemas.openxmlformats.org/drawingml/2006/main">
                  <a:graphicData uri="http://schemas.microsoft.com/office/word/2010/wordprocessingShape">
                    <wps:wsp>
                      <wps:cNvPr id="0" name=""/>
                      <wps:cNvSpPr/>
                      <wps:spPr bwMode="auto">
                        <a:xfrm flipV="1">
                          <a:off x="0" y="0"/>
                          <a:ext cx="84328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53" o:spid="_x0000_s53" style="position:absolute;z-index:524288;o:allowoverlap:true;o:allowincell:true;mso-position-horizontal-relative:text;margin-left:382.2pt;mso-position-horizontal:absolute;mso-position-vertical-relative:text;margin-top:22.9pt;mso-position-vertical:absolute;width:66.4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5274945</wp:posOffset>
                </wp:positionH>
                <wp:positionV relativeFrom="paragraph">
                  <wp:posOffset>124460</wp:posOffset>
                </wp:positionV>
                <wp:extent cx="345440" cy="83820"/>
                <wp:effectExtent l="0" t="0" r="0" b="0"/>
                <wp:wrapNone/>
                <wp:docPr id="55" name=""/>
                <wp:cNvGraphicFramePr/>
                <a:graphic xmlns:a="http://schemas.openxmlformats.org/drawingml/2006/main">
                  <a:graphicData uri="http://schemas.microsoft.com/office/word/2010/wordprocessingShape">
                    <wps:wsp>
                      <wps:cNvPr id="0" name=""/>
                      <wps:cNvSpPr/>
                      <wps:spPr bwMode="auto">
                        <a:xfrm flipV="1">
                          <a:off x="0" y="0"/>
                          <a:ext cx="345440" cy="838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4" o:spid="_x0000_s54" style="position:absolute;z-index:251658249;o:allowoverlap:true;o:allowincell:true;mso-position-horizontal-relative:text;margin-left:415.3pt;mso-position-horizontal:absolute;mso-position-vertical-relative:text;margin-top:9.8pt;mso-position-vertical:absolute;width:27.2pt;height:6.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5" o:spid="_x0000_s55" style="position:absolute;z-index:25165825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5080</wp:posOffset>
                </wp:positionH>
                <wp:positionV relativeFrom="paragraph">
                  <wp:posOffset>290830</wp:posOffset>
                </wp:positionV>
                <wp:extent cx="808355" cy="165735"/>
                <wp:effectExtent l="0" t="0" r="0" b="0"/>
                <wp:wrapNone/>
                <wp:docPr id="57" name=""/>
                <wp:cNvGraphicFramePr/>
                <a:graphic xmlns:a="http://schemas.openxmlformats.org/drawingml/2006/main">
                  <a:graphicData uri="http://schemas.microsoft.com/office/word/2010/wordprocessingShape">
                    <wps:wsp>
                      <wps:cNvPr id="0" name=""/>
                      <wps:cNvSpPr/>
                      <wps:spPr bwMode="auto">
                        <a:xfrm flipV="1">
                          <a:off x="0" y="0"/>
                          <a:ext cx="808355" cy="1657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6" o:spid="_x0000_s56" style="position:absolute;z-index:251658247;o:allowoverlap:true;o:allowincell:true;mso-position-horizontal-relative:text;margin-left:0.4pt;mso-position-horizontal:absolute;mso-position-vertical-relative:text;margin-top:22.9pt;mso-position-vertical:absolute;width:63.6pt;height:13.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shd w:val="clear" w:color="auto" w:fill="ffffff"/>
        </w:rPr>
        <w:t xml:space="preserve">1.</w:t>
      </w:r>
      <w:r>
        <w:rPr>
          <w:rStyle w:val="1005"/>
          <w:rFonts w:hint="eastAsia" w:ascii="仿宋" w:hAnsi="仿宋" w:eastAsia="仿宋" w:cs="仿宋"/>
          <w:i w:val="0"/>
          <w:color w:val="000000"/>
          <w:sz w:val="28"/>
          <w:szCs w:val="28"/>
          <w:highlight w:val="none"/>
          <w:u w:val="single"/>
          <w:shd w:val="clear" w:color="auto" w:fill="ffffff"/>
        </w:rPr>
        <w:t xml:space="preserve">（产品名称1）</w:t>
      </w:r>
      <w:r>
        <w:rPr>
          <w:rStyle w:val="1005"/>
          <w:rFonts w:hint="eastAsia" w:ascii="仿宋" w:hAnsi="仿宋" w:eastAsia="仿宋" w:cs="仿宋"/>
          <w:i w:val="0"/>
          <w:color w:val="000000"/>
          <w:sz w:val="28"/>
          <w:szCs w:val="28"/>
          <w:highlight w:val="none"/>
          <w:shd w:val="clear" w:color="auto" w:fill="ffffff"/>
          <w:vertAlign w:val="superscript"/>
        </w:rPr>
        <w:t xml:space="preserve">1</w:t>
      </w:r>
      <w:r>
        <w:rPr>
          <w:rFonts w:hint="eastAsia" w:ascii="仿宋" w:hAnsi="仿宋" w:eastAsia="仿宋" w:cs="仿宋"/>
          <w:color w:val="000000"/>
          <w:sz w:val="28"/>
          <w:szCs w:val="28"/>
          <w:highlight w:val="none"/>
          <w:shd w:val="clear" w:color="auto" w:fill="ffffff"/>
        </w:rPr>
        <w:t xml:space="preserve">，生产厂为</w:t>
      </w:r>
      <w:r>
        <w:rPr>
          <w:rStyle w:val="1005"/>
          <w:rFonts w:hint="eastAsia" w:ascii="仿宋" w:hAnsi="仿宋" w:eastAsia="仿宋" w:cs="仿宋"/>
          <w:i w:val="0"/>
          <w:color w:val="000000"/>
          <w:sz w:val="28"/>
          <w:szCs w:val="28"/>
          <w:highlight w:val="none"/>
          <w:u w:val="single"/>
          <w:shd w:val="clear" w:color="auto" w:fill="ffffff"/>
        </w:rPr>
        <w:t xml:space="preserve">（厂名）</w:t>
      </w:r>
      <w:r>
        <w:rPr>
          <w:rStyle w:val="1005"/>
          <w:rFonts w:hint="eastAsia" w:ascii="仿宋" w:hAnsi="仿宋" w:eastAsia="仿宋" w:cs="仿宋"/>
          <w:i w:val="0"/>
          <w:color w:val="000000"/>
          <w:sz w:val="28"/>
          <w:szCs w:val="28"/>
          <w:highlight w:val="none"/>
          <w:shd w:val="clear" w:color="auto" w:fill="ffffff"/>
          <w:vertAlign w:val="superscript"/>
        </w:rPr>
        <w:t xml:space="preserve">2</w:t>
      </w:r>
      <w:r>
        <w:rPr>
          <w:rFonts w:hint="eastAsia" w:ascii="仿宋" w:hAnsi="仿宋" w:eastAsia="仿宋" w:cs="仿宋"/>
          <w:color w:val="000000"/>
          <w:sz w:val="28"/>
          <w:szCs w:val="28"/>
          <w:highlight w:val="none"/>
          <w:shd w:val="clear" w:color="auto" w:fill="ffffff"/>
        </w:rPr>
        <w:t xml:space="preserve">，厂址为</w:t>
      </w:r>
      <w:r>
        <w:rPr>
          <w:rStyle w:val="1005"/>
          <w:rFonts w:hint="eastAsia" w:ascii="仿宋" w:hAnsi="仿宋" w:eastAsia="仿宋" w:cs="仿宋"/>
          <w:i w:val="0"/>
          <w:color w:val="000000"/>
          <w:sz w:val="28"/>
          <w:szCs w:val="28"/>
          <w:highlight w:val="none"/>
          <w:u w:val="single"/>
          <w:shd w:val="clear" w:color="auto" w:fill="ffffff"/>
        </w:rPr>
        <w:t xml:space="preserve">（生产厂址）</w:t>
      </w:r>
      <w:r>
        <w:rPr>
          <w:rFonts w:hint="eastAsia" w:ascii="仿宋" w:hAnsi="仿宋" w:eastAsia="仿宋" w:cs="仿宋"/>
          <w:color w:val="000000"/>
          <w:sz w:val="28"/>
          <w:szCs w:val="28"/>
          <w:highlight w:val="none"/>
          <w:shd w:val="clear" w:color="auto" w:fill="ffffff"/>
        </w:rPr>
        <w:t xml:space="preserve">。</w:t>
      </w:r>
      <w:r>
        <w:rPr>
          <w:rFonts w:hint="eastAsia" w:ascii="仿宋" w:hAnsi="仿宋" w:eastAsia="仿宋" w:cs="仿宋"/>
          <w:color w:val="000000"/>
          <w:sz w:val="28"/>
          <w:szCs w:val="28"/>
          <w:highlight w:val="none"/>
          <w:u w:val="single"/>
          <w:shd w:val="clear" w:color="auto" w:fill="ffffff"/>
        </w:rPr>
        <w:t xml:space="preserve"> </w:t>
      </w:r>
      <w:r>
        <w:rPr>
          <w:rStyle w:val="1005"/>
          <w:rFonts w:hint="eastAsia" w:ascii="仿宋" w:hAnsi="仿宋" w:eastAsia="仿宋" w:cs="仿宋"/>
          <w:i w:val="0"/>
          <w:color w:val="000000"/>
          <w:sz w:val="28"/>
          <w:szCs w:val="28"/>
          <w:highlight w:val="none"/>
          <w:u w:val="single"/>
          <w:shd w:val="clear" w:color="auto" w:fill="ffffff"/>
        </w:rPr>
        <w:t xml:space="preserve">（产品名称1） </w:t>
      </w:r>
      <w:r>
        <w:rPr>
          <w:rFonts w:hint="eastAsia" w:ascii="仿宋" w:hAnsi="仿宋" w:eastAsia="仿宋" w:cs="仿宋"/>
          <w:color w:val="000000"/>
          <w:sz w:val="28"/>
          <w:szCs w:val="28"/>
          <w:highlight w:val="none"/>
          <w:shd w:val="clear" w:color="auto" w:fill="ffffff"/>
        </w:rPr>
        <w:t xml:space="preserve">的中国境内生产的组件成本占比≥</w:t>
      </w:r>
      <w:r>
        <w:rPr>
          <w:rStyle w:val="1005"/>
          <w:rFonts w:hint="eastAsia" w:ascii="仿宋" w:hAnsi="仿宋" w:eastAsia="仿宋" w:cs="仿宋"/>
          <w:i w:val="0"/>
          <w:color w:val="000000"/>
          <w:sz w:val="28"/>
          <w:szCs w:val="28"/>
          <w:highlight w:val="none"/>
          <w:u w:val="single"/>
          <w:shd w:val="clear" w:color="auto" w:fill="ffffff"/>
        </w:rPr>
        <w:t xml:space="preserve">（规定比例）</w:t>
      </w:r>
      <w:r>
        <w:rPr>
          <w:rStyle w:val="1005"/>
          <w:rFonts w:hint="eastAsia" w:ascii="仿宋" w:hAnsi="仿宋" w:eastAsia="仿宋" w:cs="仿宋"/>
          <w:i w:val="0"/>
          <w:color w:val="000000"/>
          <w:sz w:val="28"/>
          <w:szCs w:val="28"/>
          <w:highlight w:val="none"/>
          <w:shd w:val="clear" w:color="auto" w:fill="ffffff"/>
          <w:vertAlign w:val="superscript"/>
        </w:rPr>
        <w:t xml:space="preserve">3</w:t>
      </w:r>
      <w:r>
        <w:rPr>
          <w:rFonts w:hint="eastAsia" w:ascii="仿宋" w:hAnsi="仿宋" w:eastAsia="仿宋" w:cs="仿宋"/>
          <w:color w:val="000000"/>
          <w:sz w:val="28"/>
          <w:szCs w:val="28"/>
          <w:highlight w:val="none"/>
          <w:shd w:val="clear" w:color="auto" w:fill="ffffff"/>
        </w:rPr>
        <w:t xml:space="preserve">。</w:t>
      </w:r>
      <w:r>
        <w:rPr>
          <w:rStyle w:val="1005"/>
          <w:rFonts w:hint="eastAsia" w:ascii="仿宋" w:hAnsi="仿宋" w:eastAsia="仿宋" w:cs="仿宋"/>
          <w:i w:val="0"/>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w:t>
      </w:r>
      <w:r>
        <w:rPr>
          <w:rStyle w:val="1005"/>
          <w:rFonts w:hint="eastAsia" w:ascii="仿宋" w:hAnsi="仿宋" w:eastAsia="仿宋" w:cs="仿宋"/>
          <w:i w:val="0"/>
          <w:color w:val="000000"/>
          <w:sz w:val="28"/>
          <w:szCs w:val="28"/>
          <w:highlight w:val="none"/>
          <w:u w:val="single"/>
          <w:shd w:val="clear" w:color="auto" w:fill="ffffff"/>
        </w:rPr>
        <w:t xml:space="preserve">（关键组件）</w:t>
      </w:r>
      <w:r>
        <w:rPr>
          <w:rStyle w:val="1005"/>
          <w:rFonts w:hint="eastAsia" w:ascii="仿宋" w:hAnsi="仿宋" w:eastAsia="仿宋" w:cs="仿宋"/>
          <w:i w:val="0"/>
          <w:color w:val="000000"/>
          <w:sz w:val="28"/>
          <w:szCs w:val="28"/>
          <w:highlight w:val="none"/>
          <w:shd w:val="clear" w:color="auto" w:fill="ffffff"/>
          <w:vertAlign w:val="superscript"/>
        </w:rPr>
        <w:t xml:space="preserve">4</w:t>
      </w:r>
      <w:r>
        <w:rPr>
          <w:rFonts w:hint="eastAsia" w:ascii="仿宋" w:hAnsi="仿宋" w:eastAsia="仿宋" w:cs="仿宋"/>
          <w:color w:val="000000"/>
          <w:sz w:val="28"/>
          <w:szCs w:val="28"/>
          <w:highlight w:val="none"/>
          <w:shd w:val="clear" w:color="auto" w:fill="ffffff"/>
        </w:rPr>
        <w:t xml:space="preserve">在中国境内生产。</w:t>
      </w:r>
      <w:r>
        <w:rPr>
          <w:rStyle w:val="1005"/>
          <w:rFonts w:hint="eastAsia" w:ascii="仿宋" w:hAnsi="仿宋" w:eastAsia="仿宋" w:cs="仿宋"/>
          <w:i w:val="0"/>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w:t>
      </w:r>
      <w:r>
        <w:rPr>
          <w:rStyle w:val="1005"/>
          <w:rFonts w:hint="eastAsia" w:ascii="仿宋" w:hAnsi="仿宋" w:eastAsia="仿宋" w:cs="仿宋"/>
          <w:i w:val="0"/>
          <w:color w:val="000000"/>
          <w:sz w:val="28"/>
          <w:szCs w:val="28"/>
          <w:highlight w:val="none"/>
          <w:u w:val="single"/>
          <w:shd w:val="clear" w:color="auto" w:fill="ffffff"/>
        </w:rPr>
        <w:t xml:space="preserve">（关键工序）</w:t>
      </w:r>
      <w:r>
        <w:rPr>
          <w:rStyle w:val="1005"/>
          <w:rFonts w:hint="eastAsia" w:ascii="仿宋" w:hAnsi="仿宋" w:eastAsia="仿宋" w:cs="仿宋"/>
          <w:i w:val="0"/>
          <w:color w:val="000000"/>
          <w:sz w:val="28"/>
          <w:szCs w:val="28"/>
          <w:highlight w:val="none"/>
          <w:shd w:val="clear" w:color="auto" w:fill="ffffff"/>
          <w:vertAlign w:val="superscript"/>
        </w:rPr>
        <w:t xml:space="preserve">5</w:t>
      </w:r>
      <w:r>
        <w:rPr>
          <w:rFonts w:hint="eastAsia" w:ascii="仿宋" w:hAnsi="仿宋" w:eastAsia="仿宋" w:cs="仿宋"/>
          <w:color w:val="000000"/>
          <w:sz w:val="28"/>
          <w:szCs w:val="28"/>
          <w:highlight w:val="none"/>
          <w:shd w:val="clear" w:color="auto" w:fill="ffffff"/>
        </w:rPr>
        <w:t xml:space="preserve">在中国境内完成。</w:t>
      </w:r>
      <w:r>
        <w:rPr>
          <w:rFonts w:hint="eastAsia" w:ascii="仿宋" w:hAnsi="仿宋" w:eastAsia="仿宋" w:cs="仿宋"/>
          <w:color w:val="000000"/>
          <w:sz w:val="28"/>
          <w:szCs w:val="28"/>
          <w:highlight w:val="none"/>
        </w:rPr>
      </w:r>
      <w:r/>
    </w:p>
    <w:p>
      <w:pPr>
        <w:pStyle w:val="993"/>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2703830</wp:posOffset>
                </wp:positionH>
                <wp:positionV relativeFrom="paragraph">
                  <wp:posOffset>499110</wp:posOffset>
                </wp:positionV>
                <wp:extent cx="1089025" cy="159385"/>
                <wp:effectExtent l="0" t="0" r="0" b="0"/>
                <wp:wrapNone/>
                <wp:docPr id="58" name=""/>
                <wp:cNvGraphicFramePr/>
                <a:graphic xmlns:a="http://schemas.openxmlformats.org/drawingml/2006/main">
                  <a:graphicData uri="http://schemas.microsoft.com/office/word/2010/wordprocessingShape">
                    <wps:wsp>
                      <wps:cNvPr id="0" name=""/>
                      <wps:cNvSpPr/>
                      <wps:spPr bwMode="auto">
                        <a:xfrm flipV="1">
                          <a:off x="0" y="0"/>
                          <a:ext cx="1089025" cy="1593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7" o:spid="_x0000_s57" style="position:absolute;z-index:251658245;o:allowoverlap:true;o:allowincell:true;mso-position-horizontal-relative:text;margin-left:212.9pt;mso-position-horizontal:absolute;mso-position-vertical-relative:text;margin-top:39.3pt;mso-position-vertical:absolute;width:85.8pt;height:12.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4050030</wp:posOffset>
                </wp:positionH>
                <wp:positionV relativeFrom="paragraph">
                  <wp:posOffset>499110</wp:posOffset>
                </wp:positionV>
                <wp:extent cx="1005840" cy="142240"/>
                <wp:effectExtent l="0" t="0" r="0" b="0"/>
                <wp:wrapNone/>
                <wp:docPr id="59" name=""/>
                <wp:cNvGraphicFramePr/>
                <a:graphic xmlns:a="http://schemas.openxmlformats.org/drawingml/2006/main">
                  <a:graphicData uri="http://schemas.microsoft.com/office/word/2010/wordprocessingShape">
                    <wps:wsp>
                      <wps:cNvPr id="0" name=""/>
                      <wps:cNvSpPr/>
                      <wps:spPr bwMode="auto">
                        <a:xfrm flipV="1">
                          <a:off x="0" y="0"/>
                          <a:ext cx="1005840" cy="1422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8" o:spid="_x0000_s58" style="position:absolute;z-index:251658243;o:allowoverlap:true;o:allowincell:true;mso-position-horizontal-relative:text;margin-left:318.9pt;mso-position-horizontal:absolute;mso-position-vertical-relative:text;margin-top:39.3pt;mso-position-vertical:absolute;width:79.2pt;height:11.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4559300</wp:posOffset>
                </wp:positionH>
                <wp:positionV relativeFrom="paragraph">
                  <wp:posOffset>277495</wp:posOffset>
                </wp:positionV>
                <wp:extent cx="1094105" cy="152400"/>
                <wp:effectExtent l="0" t="0" r="0" b="0"/>
                <wp:wrapNone/>
                <wp:docPr id="60" name=""/>
                <wp:cNvGraphicFramePr/>
                <a:graphic xmlns:a="http://schemas.openxmlformats.org/drawingml/2006/main">
                  <a:graphicData uri="http://schemas.microsoft.com/office/word/2010/wordprocessingShape">
                    <wps:wsp>
                      <wps:cNvPr id="0" name=""/>
                      <wps:cNvSpPr/>
                      <wps:spPr bwMode="auto">
                        <a:xfrm flipV="1">
                          <a:off x="0" y="0"/>
                          <a:ext cx="1094105"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9" o:spid="_x0000_s59" style="position:absolute;z-index:251658253;o:allowoverlap:true;o:allowincell:true;mso-position-horizontal-relative:text;margin-left:359.0pt;mso-position-horizontal:absolute;mso-position-vertical-relative:text;margin-top:21.8pt;mso-position-vertical:absolute;width:86.1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3261360</wp:posOffset>
                </wp:positionH>
                <wp:positionV relativeFrom="paragraph">
                  <wp:posOffset>277495</wp:posOffset>
                </wp:positionV>
                <wp:extent cx="1062990" cy="130810"/>
                <wp:effectExtent l="0" t="0" r="0" b="0"/>
                <wp:wrapNone/>
                <wp:docPr id="61" name=""/>
                <wp:cNvGraphicFramePr/>
                <a:graphic xmlns:a="http://schemas.openxmlformats.org/drawingml/2006/main">
                  <a:graphicData uri="http://schemas.microsoft.com/office/word/2010/wordprocessingShape">
                    <wps:wsp>
                      <wps:cNvPr id="0" name=""/>
                      <wps:cNvSpPr/>
                      <wps:spPr bwMode="auto">
                        <a:xfrm flipV="1">
                          <a:off x="0" y="0"/>
                          <a:ext cx="1062990"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0" o:spid="_x0000_s60" style="position:absolute;z-index:251658244;o:allowoverlap:true;o:allowincell:true;mso-position-horizontal-relative:text;margin-left:256.8pt;mso-position-horizontal:absolute;mso-position-vertical-relative:text;margin-top:21.8pt;mso-position-vertical:absolute;width:83.7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212090</wp:posOffset>
                </wp:positionH>
                <wp:positionV relativeFrom="paragraph">
                  <wp:posOffset>510540</wp:posOffset>
                </wp:positionV>
                <wp:extent cx="1022350" cy="147320"/>
                <wp:effectExtent l="0" t="0" r="0" b="0"/>
                <wp:wrapNone/>
                <wp:docPr id="62" name=""/>
                <wp:cNvGraphicFramePr/>
                <a:graphic xmlns:a="http://schemas.openxmlformats.org/drawingml/2006/main">
                  <a:graphicData uri="http://schemas.microsoft.com/office/word/2010/wordprocessingShape">
                    <wps:wsp>
                      <wps:cNvPr id="0" name=""/>
                      <wps:cNvSpPr/>
                      <wps:spPr bwMode="auto">
                        <a:xfrm flipV="1">
                          <a:off x="0" y="0"/>
                          <a:ext cx="102235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1" o:spid="_x0000_s61" style="position:absolute;z-index:251658254;o:allowoverlap:true;o:allowincell:true;mso-position-horizontal-relative:text;margin-left:16.7pt;mso-position-horizontal:absolute;mso-position-vertical-relative:text;margin-top:40.2pt;mso-position-vertical:absolute;width:80.5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-20319</wp:posOffset>
                </wp:positionH>
                <wp:positionV relativeFrom="paragraph">
                  <wp:posOffset>292735</wp:posOffset>
                </wp:positionV>
                <wp:extent cx="718185" cy="97790"/>
                <wp:effectExtent l="0" t="0" r="0" b="0"/>
                <wp:wrapNone/>
                <wp:docPr id="6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2" o:spid="_x0000_s62" style="position:absolute;z-index:251658251;o:allowoverlap:true;o:allowincell:true;mso-position-horizontal-relative:text;margin-left:-1.6pt;mso-position-horizontal:absolute;mso-position-vertical-relative:text;margin-top:23.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5213350</wp:posOffset>
                </wp:positionH>
                <wp:positionV relativeFrom="paragraph">
                  <wp:posOffset>78105</wp:posOffset>
                </wp:positionV>
                <wp:extent cx="451485" cy="108585"/>
                <wp:effectExtent l="0" t="0" r="0" b="0"/>
                <wp:wrapNone/>
                <wp:docPr id="64" name=""/>
                <wp:cNvGraphicFramePr/>
                <a:graphic xmlns:a="http://schemas.openxmlformats.org/drawingml/2006/main">
                  <a:graphicData uri="http://schemas.microsoft.com/office/word/2010/wordprocessingShape">
                    <wps:wsp>
                      <wps:cNvPr id="0" name=""/>
                      <wps:cNvSpPr/>
                      <wps:spPr bwMode="auto">
                        <a:xfrm flipV="1">
                          <a:off x="0" y="0"/>
                          <a:ext cx="451485" cy="1085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3" o:spid="_x0000_s63" style="position:absolute;z-index:251658252;o:allowoverlap:true;o:allowincell:true;mso-position-horizontal-relative:text;margin-left:410.5pt;mso-position-horizontal:absolute;mso-position-vertical-relative:text;margin-top:6.1pt;mso-position-vertical:absolute;width:35.5pt;height:8.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shd w:val="clear" w:color="auto" w:fill="ffffff"/>
        </w:rPr>
        <w:t xml:space="preserve">2.</w:t>
      </w:r>
      <w:r>
        <w:rPr>
          <w:rStyle w:val="1005"/>
          <w:rFonts w:hint="eastAsia" w:ascii="仿宋" w:hAnsi="仿宋" w:eastAsia="仿宋" w:cs="仿宋"/>
          <w:i w:val="0"/>
          <w:color w:val="000000"/>
          <w:sz w:val="28"/>
          <w:szCs w:val="28"/>
          <w:highlight w:val="none"/>
          <w:u w:val="single"/>
          <w:shd w:val="clear" w:color="auto" w:fill="ffffff"/>
        </w:rPr>
        <w:t xml:space="preserve">（产品名称2）</w:t>
      </w:r>
      <w:r>
        <w:rPr>
          <w:rFonts w:hint="eastAsia" w:ascii="仿宋" w:hAnsi="仿宋" w:eastAsia="仿宋" w:cs="仿宋"/>
          <w:color w:val="000000"/>
          <w:sz w:val="28"/>
          <w:szCs w:val="28"/>
          <w:highlight w:val="none"/>
          <w:shd w:val="clear" w:color="auto" w:fill="ffffff"/>
        </w:rPr>
        <w:t xml:space="preserve">，生产厂为</w:t>
      </w:r>
      <w:r>
        <w:rPr>
          <w:rStyle w:val="1005"/>
          <w:rFonts w:hint="eastAsia" w:ascii="仿宋" w:hAnsi="仿宋" w:eastAsia="仿宋" w:cs="仿宋"/>
          <w:i w:val="0"/>
          <w:color w:val="000000"/>
          <w:sz w:val="28"/>
          <w:szCs w:val="28"/>
          <w:highlight w:val="none"/>
          <w:u w:val="single"/>
          <w:shd w:val="clear" w:color="auto" w:fill="ffffff"/>
        </w:rPr>
        <w:t xml:space="preserve">（厂名）</w:t>
      </w:r>
      <w:r>
        <w:rPr>
          <w:rFonts w:hint="eastAsia" w:ascii="仿宋" w:hAnsi="仿宋" w:eastAsia="仿宋" w:cs="仿宋"/>
          <w:color w:val="000000"/>
          <w:sz w:val="28"/>
          <w:szCs w:val="28"/>
          <w:highlight w:val="none"/>
          <w:shd w:val="clear" w:color="auto" w:fill="ffffff"/>
        </w:rPr>
        <w:t xml:space="preserve">，厂址为</w:t>
      </w:r>
      <w:r>
        <w:rPr>
          <w:rStyle w:val="1005"/>
          <w:rFonts w:hint="eastAsia" w:ascii="仿宋" w:hAnsi="仿宋" w:eastAsia="仿宋" w:cs="仿宋"/>
          <w:i w:val="0"/>
          <w:color w:val="000000"/>
          <w:sz w:val="28"/>
          <w:szCs w:val="28"/>
          <w:highlight w:val="none"/>
          <w:u w:val="single"/>
          <w:shd w:val="clear" w:color="auto" w:fill="ffffff"/>
        </w:rPr>
        <w:t xml:space="preserve">（生产厂址）</w:t>
      </w:r>
      <w:r>
        <w:rPr>
          <w:rFonts w:hint="eastAsia" w:ascii="仿宋" w:hAnsi="仿宋" w:eastAsia="仿宋" w:cs="仿宋"/>
          <w:color w:val="000000"/>
          <w:sz w:val="28"/>
          <w:szCs w:val="28"/>
          <w:highlight w:val="none"/>
          <w:shd w:val="clear" w:color="auto" w:fill="ffffff"/>
        </w:rPr>
        <w:t xml:space="preserve">。</w:t>
      </w:r>
      <w:r>
        <w:rPr>
          <w:rStyle w:val="1005"/>
          <w:rFonts w:hint="eastAsia" w:ascii="仿宋" w:hAnsi="仿宋" w:eastAsia="仿宋" w:cs="仿宋"/>
          <w:i w:val="0"/>
          <w:color w:val="000000"/>
          <w:sz w:val="28"/>
          <w:szCs w:val="28"/>
          <w:highlight w:val="none"/>
          <w:u w:val="single"/>
          <w:shd w:val="clear" w:color="auto" w:fill="ffffff"/>
        </w:rPr>
        <w:t xml:space="preserve">（产品名称2）</w:t>
      </w:r>
      <w:r>
        <w:rPr>
          <w:rFonts w:hint="eastAsia" w:ascii="仿宋" w:hAnsi="仿宋" w:eastAsia="仿宋" w:cs="仿宋"/>
          <w:color w:val="000000"/>
          <w:sz w:val="28"/>
          <w:szCs w:val="28"/>
          <w:highlight w:val="none"/>
          <w:shd w:val="clear" w:color="auto" w:fill="ffffff"/>
        </w:rPr>
        <w:t xml:space="preserve">的中国境内生产的组件成本占比≥</w:t>
      </w:r>
      <w:r>
        <w:rPr>
          <w:rStyle w:val="1005"/>
          <w:rFonts w:hint="eastAsia" w:ascii="仿宋" w:hAnsi="仿宋" w:eastAsia="仿宋" w:cs="仿宋"/>
          <w:i w:val="0"/>
          <w:color w:val="000000"/>
          <w:sz w:val="28"/>
          <w:szCs w:val="28"/>
          <w:highlight w:val="none"/>
          <w:u w:val="single"/>
          <w:shd w:val="clear" w:color="auto" w:fill="ffffff"/>
        </w:rPr>
        <w:t xml:space="preserve">（规定比例）</w:t>
      </w:r>
      <w:r>
        <w:rPr>
          <w:rFonts w:hint="eastAsia" w:ascii="仿宋" w:hAnsi="仿宋" w:eastAsia="仿宋" w:cs="仿宋"/>
          <w:color w:val="000000"/>
          <w:sz w:val="28"/>
          <w:szCs w:val="28"/>
          <w:highlight w:val="none"/>
          <w:shd w:val="clear" w:color="auto" w:fill="ffffff"/>
        </w:rPr>
        <w:t xml:space="preserve">。</w:t>
      </w:r>
      <w:r>
        <w:rPr>
          <w:rStyle w:val="1005"/>
          <w:rFonts w:hint="eastAsia" w:ascii="仿宋" w:hAnsi="仿宋" w:eastAsia="仿宋" w:cs="仿宋"/>
          <w:i w:val="0"/>
          <w:color w:val="000000"/>
          <w:sz w:val="28"/>
          <w:szCs w:val="28"/>
          <w:highlight w:val="none"/>
          <w:u w:val="single"/>
          <w:shd w:val="clear" w:color="auto" w:fill="ffffff"/>
        </w:rPr>
        <w:t xml:space="preserve">（产品名称2）</w:t>
      </w:r>
      <w:r>
        <w:rPr>
          <w:rFonts w:hint="eastAsia" w:ascii="仿宋" w:hAnsi="仿宋" w:eastAsia="仿宋" w:cs="仿宋"/>
          <w:color w:val="000000"/>
          <w:sz w:val="28"/>
          <w:szCs w:val="28"/>
          <w:highlight w:val="none"/>
          <w:shd w:val="clear" w:color="auto" w:fill="ffffff"/>
        </w:rPr>
        <w:t xml:space="preserve">的</w:t>
      </w:r>
      <w:r>
        <w:rPr>
          <w:rStyle w:val="1005"/>
          <w:rFonts w:hint="eastAsia" w:ascii="仿宋" w:hAnsi="仿宋" w:eastAsia="仿宋" w:cs="仿宋"/>
          <w:i w:val="0"/>
          <w:color w:val="000000"/>
          <w:sz w:val="28"/>
          <w:szCs w:val="28"/>
          <w:highlight w:val="none"/>
          <w:u w:val="single"/>
          <w:shd w:val="clear" w:color="auto" w:fill="ffffff"/>
        </w:rPr>
        <w:t xml:space="preserve">（关键组件）</w:t>
      </w:r>
      <w:r>
        <w:rPr>
          <w:rFonts w:hint="eastAsia" w:ascii="仿宋" w:hAnsi="仿宋" w:eastAsia="仿宋" w:cs="仿宋"/>
          <w:color w:val="000000"/>
          <w:sz w:val="28"/>
          <w:szCs w:val="28"/>
          <w:highlight w:val="none"/>
          <w:shd w:val="clear" w:color="auto" w:fill="ffffff"/>
        </w:rPr>
        <w:t xml:space="preserve">在中国境内生产。</w:t>
      </w:r>
      <w:r>
        <w:rPr>
          <w:rStyle w:val="1005"/>
          <w:rFonts w:hint="eastAsia" w:ascii="仿宋" w:hAnsi="仿宋" w:eastAsia="仿宋" w:cs="仿宋"/>
          <w:i w:val="0"/>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w:t>
      </w:r>
      <w:r>
        <w:rPr>
          <w:rStyle w:val="1005"/>
          <w:rFonts w:hint="eastAsia" w:ascii="仿宋" w:hAnsi="仿宋" w:eastAsia="仿宋" w:cs="仿宋"/>
          <w:i w:val="0"/>
          <w:color w:val="000000"/>
          <w:sz w:val="28"/>
          <w:szCs w:val="28"/>
          <w:highlight w:val="none"/>
          <w:u w:val="single"/>
          <w:shd w:val="clear" w:color="auto" w:fill="ffffff"/>
        </w:rPr>
        <w:t xml:space="preserve">（关键工序）</w:t>
      </w:r>
      <w:r>
        <w:rPr>
          <w:rFonts w:hint="eastAsia" w:ascii="仿宋" w:hAnsi="仿宋" w:eastAsia="仿宋" w:cs="仿宋"/>
          <w:color w:val="000000"/>
          <w:sz w:val="28"/>
          <w:szCs w:val="28"/>
          <w:highlight w:val="none"/>
          <w:shd w:val="clear" w:color="auto" w:fill="ffffff"/>
        </w:rPr>
        <w:t xml:space="preserve">在中国境内完成。</w:t>
      </w:r>
      <w:r>
        <w:rPr>
          <w:rFonts w:hint="eastAsia" w:ascii="仿宋" w:hAnsi="仿宋" w:eastAsia="仿宋" w:cs="仿宋"/>
          <w:color w:val="000000"/>
          <w:sz w:val="28"/>
          <w:szCs w:val="28"/>
          <w:highlight w:val="none"/>
        </w:rPr>
      </w:r>
      <w:r/>
    </w:p>
    <w:p>
      <w:pPr>
        <w:pStyle w:val="993"/>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w:t>
      </w:r>
      <w:r>
        <w:rPr>
          <w:rFonts w:hint="eastAsia" w:ascii="仿宋" w:hAnsi="仿宋" w:eastAsia="仿宋" w:cs="仿宋"/>
          <w:color w:val="000000"/>
          <w:sz w:val="28"/>
          <w:szCs w:val="28"/>
          <w:highlight w:val="none"/>
        </w:rPr>
      </w:r>
      <w:r/>
    </w:p>
    <w:p>
      <w:pPr>
        <w:pStyle w:val="993"/>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本公司（单位）对上述声明内容的真实性负责。如有虚假，愿承担相应法律责任。</w:t>
      </w:r>
      <w:r>
        <w:rPr>
          <w:rFonts w:hint="eastAsia" w:ascii="仿宋" w:hAnsi="仿宋" w:eastAsia="仿宋" w:cs="仿宋"/>
          <w:color w:val="000000"/>
          <w:sz w:val="28"/>
          <w:szCs w:val="28"/>
          <w:highlight w:val="none"/>
        </w:rPr>
      </w:r>
      <w:r/>
    </w:p>
    <w:p>
      <w:pPr>
        <w:pStyle w:val="993"/>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93"/>
        <w:ind w:right="480" w:firstLine="434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公司（单位）名称（盖章）：　        </w:t>
      </w:r>
      <w:r>
        <w:rPr>
          <w:rFonts w:hint="eastAsia" w:ascii="仿宋" w:hAnsi="仿宋" w:eastAsia="仿宋" w:cs="仿宋"/>
          <w:color w:val="000000"/>
          <w:sz w:val="28"/>
          <w:szCs w:val="28"/>
          <w:highlight w:val="none"/>
        </w:rPr>
      </w:r>
      <w:r/>
    </w:p>
    <w:p>
      <w:pPr>
        <w:pStyle w:val="993"/>
        <w:jc w:val="center"/>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                                日期：　   年　  月　  日         </w:t>
      </w:r>
      <w:r>
        <w:rPr>
          <w:rFonts w:hint="eastAsia" w:ascii="仿宋" w:hAnsi="仿宋" w:eastAsia="仿宋" w:cs="仿宋"/>
          <w:color w:val="000000"/>
          <w:sz w:val="28"/>
          <w:szCs w:val="28"/>
          <w:highlight w:val="none"/>
        </w:rPr>
      </w:r>
      <w:r/>
    </w:p>
    <w:p>
      <w:pPr>
        <w:pStyle w:val="993"/>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__________________</w:t>
      </w:r>
      <w:r>
        <w:rPr>
          <w:rFonts w:hint="eastAsia" w:ascii="仿宋" w:hAnsi="仿宋" w:eastAsia="仿宋" w:cs="仿宋"/>
          <w:color w:val="000000"/>
          <w:sz w:val="28"/>
          <w:szCs w:val="28"/>
          <w:highlight w:val="none"/>
        </w:rPr>
      </w:r>
      <w:r/>
    </w:p>
    <w:p>
      <w:pPr>
        <w:pStyle w:val="993"/>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1.产品如有型号，请在“产品名称”栏一并填写。</w:t>
      </w:r>
      <w:r>
        <w:rPr>
          <w:rFonts w:hint="eastAsia" w:ascii="仿宋" w:hAnsi="仿宋" w:eastAsia="仿宋" w:cs="仿宋"/>
          <w:color w:val="000000"/>
          <w:sz w:val="28"/>
          <w:szCs w:val="28"/>
          <w:highlight w:val="none"/>
        </w:rPr>
      </w:r>
      <w:r/>
    </w:p>
    <w:p>
      <w:pPr>
        <w:pStyle w:val="993"/>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2.生产厂名与厂址应与生产厂营业执照载明的相关信息保持一致。</w:t>
      </w:r>
      <w:r>
        <w:rPr>
          <w:rFonts w:hint="eastAsia" w:ascii="仿宋" w:hAnsi="仿宋" w:eastAsia="仿宋" w:cs="仿宋"/>
          <w:color w:val="000000"/>
          <w:sz w:val="28"/>
          <w:szCs w:val="28"/>
          <w:highlight w:val="none"/>
        </w:rPr>
      </w:r>
      <w:r/>
    </w:p>
    <w:p>
      <w:pPr>
        <w:pStyle w:val="993"/>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3.该产品的中国境内生产的组件成本占比相关要求实施前，“规定比例”栏可不填，下同。</w:t>
      </w:r>
      <w:r>
        <w:rPr>
          <w:rFonts w:hint="eastAsia" w:ascii="仿宋" w:hAnsi="仿宋" w:eastAsia="仿宋" w:cs="仿宋"/>
          <w:color w:val="000000"/>
          <w:sz w:val="28"/>
          <w:szCs w:val="28"/>
          <w:highlight w:val="none"/>
        </w:rPr>
      </w:r>
      <w:r/>
    </w:p>
    <w:p>
      <w:pPr>
        <w:pStyle w:val="993"/>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4.该产品的关键组件要求实施前，“关键组件”栏可不填，下同。</w:t>
      </w:r>
      <w:r>
        <w:rPr>
          <w:rFonts w:hint="eastAsia" w:ascii="仿宋" w:hAnsi="仿宋" w:eastAsia="仿宋" w:cs="仿宋"/>
          <w:color w:val="000000"/>
          <w:sz w:val="28"/>
          <w:szCs w:val="28"/>
          <w:highlight w:val="none"/>
        </w:rPr>
      </w:r>
      <w:r/>
    </w:p>
    <w:p>
      <w:pPr>
        <w:pStyle w:val="993"/>
        <w:spacing w:before="30" w:beforeAutospacing="0" w:after="30" w:afterAutospacing="0" w:line="0" w:lineRule="atLeast"/>
        <w:rPr>
          <w:rFonts w:hint="eastAsia" w:ascii="仿宋" w:hAnsi="仿宋" w:eastAsia="仿宋" w:cs="仿宋"/>
          <w:color w:val="000000"/>
          <w:sz w:val="28"/>
          <w:szCs w:val="28"/>
          <w:highlight w:val="none"/>
          <w:shd w:val="clear" w:color="auto" w:fill="ffffff"/>
        </w:rPr>
      </w:pPr>
      <w:r>
        <w:rPr>
          <w:rFonts w:hint="eastAsia" w:ascii="仿宋" w:hAnsi="仿宋" w:eastAsia="仿宋" w:cs="仿宋"/>
          <w:color w:val="000000"/>
          <w:sz w:val="28"/>
          <w:szCs w:val="28"/>
          <w:highlight w:val="none"/>
          <w:shd w:val="clear" w:color="auto" w:fill="ffffff"/>
        </w:rPr>
        <w:t xml:space="preserve">5.该产品的关键工序要求实施前，“关键工序”栏可不填，下同。</w:t>
      </w:r>
      <w:r>
        <w:rPr>
          <w:rFonts w:hint="eastAsia" w:ascii="仿宋" w:hAnsi="仿宋" w:eastAsia="仿宋" w:cs="仿宋"/>
          <w:color w:val="000000"/>
          <w:sz w:val="28"/>
          <w:szCs w:val="28"/>
          <w:highlight w:val="none"/>
          <w:shd w:val="clear" w:color="auto" w:fill="ffffff"/>
        </w:rPr>
      </w:r>
      <w:r/>
    </w:p>
    <w:p>
      <w:pPr>
        <w:pStyle w:val="931"/>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shd w:val="clear" w:color="auto" w:fill="ffffff"/>
        </w:rPr>
        <w:t xml:space="preserve">6.用斜线划除的地方无需填写。</w:t>
      </w:r>
      <w:r>
        <w:rPr>
          <w:rFonts w:hint="eastAsia" w:ascii="仿宋" w:hAnsi="仿宋" w:eastAsia="仿宋" w:cs="仿宋"/>
          <w:b/>
          <w:bCs/>
          <w:color w:val="000000"/>
          <w:sz w:val="28"/>
          <w:szCs w:val="28"/>
          <w:highlight w:val="none"/>
        </w:rPr>
      </w:r>
      <w:r/>
    </w:p>
    <w:p>
      <w:pPr>
        <w:pStyle w:val="1008"/>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08"/>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08"/>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08"/>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08"/>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31"/>
        <w:jc w:val="center"/>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931"/>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93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3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3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3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3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3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3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93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3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3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3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3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93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3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31"/>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3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3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3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93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93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93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3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93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93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93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93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93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93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93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93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931"/>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931"/>
        <w:ind w:firstLine="420"/>
        <w:rPr>
          <w:rFonts w:ascii="Times New Roman" w:hAnsi="Times New Roman"/>
          <w:color w:val="000000"/>
          <w:sz w:val="24"/>
          <w:szCs w:val="24"/>
        </w:rPr>
      </w:pPr>
      <w:r>
        <w:rPr>
          <w:rFonts w:ascii="Times New Roman" w:hAnsi="Times New Roman"/>
          <w:color w:val="000000"/>
          <w:sz w:val="24"/>
          <w:szCs w:val="24"/>
        </w:rPr>
      </w:r>
      <w:r/>
    </w:p>
    <w:p>
      <w:pPr>
        <w:pStyle w:val="931"/>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1047"/>
        <w:rPr>
          <w:color w:val="000000"/>
        </w:rPr>
      </w:pPr>
      <w:r>
        <w:rPr>
          <w:color w:val="000000"/>
        </w:rPr>
      </w:r>
      <w:r/>
    </w:p>
    <w:p>
      <w:pPr>
        <w:pStyle w:val="931"/>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31"/>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31"/>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3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3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3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31"/>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93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30"/>
          <w:szCs w:val="30"/>
          <w:lang w:val="en-US" w:eastAsia="zh-CN"/>
        </w:rPr>
      </w:r>
      <w:r/>
    </w:p>
    <w:p>
      <w:pPr>
        <w:pStyle w:val="93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3.</w:t>
      </w:r>
      <w:r>
        <w:rPr>
          <w:rFonts w:ascii="Times New Roman" w:hAnsi="Times New Roman" w:eastAsia="方正仿宋_GBK" w:cs="Times New Roman"/>
          <w:sz w:val="30"/>
          <w:szCs w:val="30"/>
          <w:lang w:val="en-US" w:eastAsia="zh-CN"/>
        </w:rPr>
        <w:t xml:space="preserve">投标(响应)报价低于采购项目预算50%的，即投标(响应)报价&lt;采购项目预算×50%;</w:t>
      </w:r>
      <w:r>
        <w:rPr>
          <w:rFonts w:ascii="Times New Roman" w:hAnsi="Times New Roman" w:eastAsia="方正仿宋_GBK" w:cs="Times New Roman"/>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4.投标（响应）报价低于采购项目最高限价45%的，即投标（响应）报价&lt;采购项目最高限价×45%；</w:t>
      </w:r>
      <w:r>
        <w:rPr>
          <w:rFonts w:ascii="Times New Roman" w:hAnsi="Times New Roman" w:eastAsia="方正仿宋_GBK" w:cs="Times New Roman"/>
          <w:sz w:val="30"/>
          <w:szCs w:val="30"/>
          <w:lang w:val="en-US" w:eastAsia="zh-CN"/>
        </w:rPr>
      </w:r>
      <w:r/>
    </w:p>
    <w:p>
      <w:pPr>
        <w:pStyle w:val="93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31"/>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3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3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howcard Gothic">
    <w:panose1 w:val="04020904020102020604"/>
  </w:font>
  <w:font w:name="Symbol">
    <w:panose1 w:val="05050102010706020507"/>
  </w:font>
  <w:font w:name="Cambria">
    <w:panose1 w:val="02040503050406030204"/>
  </w:font>
  <w:font w:name="等线">
    <w:panose1 w:val="02010600030101010101"/>
  </w:font>
  <w:font w:name="仿宋">
    <w:panose1 w:val="02010609060101010101"/>
  </w:font>
  <w:font w:name="方正楷体_GB2312">
    <w:panose1 w:val="020B0503020202020204"/>
  </w:font>
  <w:font w:name="方正仿宋_GB2312">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rPr>
        <w:rStyle w:val="1003"/>
      </w:rPr>
    </w:r>
    <w:r/>
  </w:p>
  <w:p>
    <w:pPr>
      <w:pStyle w:val="97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31"/>
        <w:ind w:left="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31"/>
        <w:tabs>
          <w:tab w:val="num" w:pos="312" w:leader="none"/>
        </w:tabs>
      </w:pPr>
    </w:lvl>
    <w:lvl w:ilvl="1">
      <w:start w:val="1"/>
      <w:numFmt w:val="bullet"/>
      <w:isLgl w:val="false"/>
      <w:suff w:val="tab"/>
      <w:lvlText w:val="o"/>
      <w:lvlJc w:val="left"/>
      <w:pPr>
        <w:pStyle w:val="931"/>
        <w:ind w:left="1440" w:hanging="360"/>
      </w:pPr>
      <w:rPr>
        <w:rFonts w:ascii="Courier New" w:hAnsi="Courier New" w:eastAsia="Courier New" w:cs="Courier New"/>
      </w:rPr>
    </w:lvl>
    <w:lvl w:ilvl="2">
      <w:start w:val="1"/>
      <w:numFmt w:val="bullet"/>
      <w:isLgl w:val="false"/>
      <w:suff w:val="tab"/>
      <w:lvlText w:val="§"/>
      <w:lvlJc w:val="left"/>
      <w:pPr>
        <w:pStyle w:val="931"/>
        <w:ind w:left="2160" w:hanging="360"/>
      </w:pPr>
      <w:rPr>
        <w:rFonts w:ascii="Wingdings" w:hAnsi="Wingdings" w:eastAsia="Wingdings" w:cs="Wingdings"/>
      </w:rPr>
    </w:lvl>
    <w:lvl w:ilvl="3">
      <w:start w:val="1"/>
      <w:numFmt w:val="bullet"/>
      <w:isLgl w:val="false"/>
      <w:suff w:val="tab"/>
      <w:lvlText w:val="·"/>
      <w:lvlJc w:val="left"/>
      <w:pPr>
        <w:pStyle w:val="931"/>
        <w:ind w:left="2880" w:hanging="360"/>
      </w:pPr>
      <w:rPr>
        <w:rFonts w:ascii="Symbol" w:hAnsi="Symbol" w:eastAsia="Symbol" w:cs="Symbol"/>
      </w:rPr>
    </w:lvl>
    <w:lvl w:ilvl="4">
      <w:start w:val="1"/>
      <w:numFmt w:val="bullet"/>
      <w:isLgl w:val="false"/>
      <w:suff w:val="tab"/>
      <w:lvlText w:val="o"/>
      <w:lvlJc w:val="left"/>
      <w:pPr>
        <w:pStyle w:val="931"/>
        <w:ind w:left="3600" w:hanging="360"/>
      </w:pPr>
      <w:rPr>
        <w:rFonts w:ascii="Courier New" w:hAnsi="Courier New" w:eastAsia="Courier New" w:cs="Courier New"/>
      </w:rPr>
    </w:lvl>
    <w:lvl w:ilvl="5">
      <w:start w:val="1"/>
      <w:numFmt w:val="bullet"/>
      <w:isLgl w:val="false"/>
      <w:suff w:val="tab"/>
      <w:lvlText w:val="§"/>
      <w:lvlJc w:val="left"/>
      <w:pPr>
        <w:pStyle w:val="931"/>
        <w:ind w:left="4320" w:hanging="360"/>
      </w:pPr>
      <w:rPr>
        <w:rFonts w:ascii="Wingdings" w:hAnsi="Wingdings" w:eastAsia="Wingdings" w:cs="Wingdings"/>
      </w:rPr>
    </w:lvl>
    <w:lvl w:ilvl="6">
      <w:start w:val="1"/>
      <w:numFmt w:val="bullet"/>
      <w:isLgl w:val="false"/>
      <w:suff w:val="tab"/>
      <w:lvlText w:val="·"/>
      <w:lvlJc w:val="left"/>
      <w:pPr>
        <w:pStyle w:val="931"/>
        <w:ind w:left="5040" w:hanging="360"/>
      </w:pPr>
      <w:rPr>
        <w:rFonts w:ascii="Symbol" w:hAnsi="Symbol" w:eastAsia="Symbol" w:cs="Symbol"/>
      </w:rPr>
    </w:lvl>
    <w:lvl w:ilvl="7">
      <w:start w:val="1"/>
      <w:numFmt w:val="bullet"/>
      <w:isLgl w:val="false"/>
      <w:suff w:val="tab"/>
      <w:lvlText w:val="o"/>
      <w:lvlJc w:val="left"/>
      <w:pPr>
        <w:pStyle w:val="931"/>
        <w:ind w:left="5760" w:hanging="360"/>
      </w:pPr>
      <w:rPr>
        <w:rFonts w:ascii="Courier New" w:hAnsi="Courier New" w:eastAsia="Courier New" w:cs="Courier New"/>
      </w:rPr>
    </w:lvl>
    <w:lvl w:ilvl="8">
      <w:start w:val="1"/>
      <w:numFmt w:val="bullet"/>
      <w:isLgl w:val="false"/>
      <w:suff w:val="tab"/>
      <w:lvlText w:val="§"/>
      <w:lvlJc w:val="left"/>
      <w:pPr>
        <w:pStyle w:val="931"/>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9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space"/>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12"/>
      <w:isLgl w:val="false"/>
      <w:suff w:val="tab"/>
      <w:lvlText w:val="附录%1."/>
      <w:lvlJc w:val="left"/>
      <w:pPr>
        <w:pStyle w:val="93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29"/>
      <w:isLgl w:val="false"/>
      <w:suff w:val="tab"/>
      <w:lvlText w:val="%1."/>
      <w:lvlJc w:val="left"/>
      <w:pPr>
        <w:pStyle w:val="931"/>
        <w:ind w:left="709" w:hanging="709"/>
        <w:tabs>
          <w:tab w:val="num" w:pos="709" w:leader="none"/>
        </w:tabs>
      </w:pPr>
      <w:rPr>
        <w:rFonts w:hint="eastAsia"/>
      </w:rPr>
    </w:lvl>
    <w:lvl w:ilvl="1">
      <w:start w:val="1"/>
      <w:numFmt w:val="decimal"/>
      <w:isLgl w:val="false"/>
      <w:suff w:val="tab"/>
      <w:lvlText w:val="%1.%2"/>
      <w:lvlJc w:val="left"/>
      <w:pPr>
        <w:pStyle w:val="931"/>
        <w:ind w:left="709" w:hanging="709"/>
        <w:tabs>
          <w:tab w:val="num" w:pos="709" w:leader="none"/>
        </w:tabs>
      </w:pPr>
      <w:rPr>
        <w:rFonts w:hint="eastAsia"/>
      </w:rPr>
    </w:lvl>
    <w:lvl w:ilvl="2">
      <w:start w:val="1"/>
      <w:numFmt w:val="decimal"/>
      <w:isLgl w:val="false"/>
      <w:suff w:val="tab"/>
      <w:lvlText w:val="%1.%2.%3."/>
      <w:lvlJc w:val="left"/>
      <w:pPr>
        <w:pStyle w:val="931"/>
        <w:ind w:left="425" w:hanging="425"/>
        <w:tabs>
          <w:tab w:val="num" w:pos="425" w:leader="none"/>
        </w:tabs>
      </w:pPr>
      <w:rPr>
        <w:rFonts w:hint="eastAsia"/>
      </w:rPr>
    </w:lvl>
    <w:lvl w:ilvl="3">
      <w:start w:val="1"/>
      <w:numFmt w:val="decimal"/>
      <w:isLgl w:val="false"/>
      <w:suff w:val="tab"/>
      <w:lvlText w:val="%1.%2.%3.%4."/>
      <w:lvlJc w:val="left"/>
      <w:pPr>
        <w:pStyle w:val="931"/>
        <w:ind w:left="851" w:hanging="851"/>
        <w:tabs>
          <w:tab w:val="num" w:pos="851" w:leader="none"/>
        </w:tabs>
      </w:pPr>
      <w:rPr>
        <w:rFonts w:hint="eastAsia"/>
      </w:rPr>
    </w:lvl>
    <w:lvl w:ilvl="4">
      <w:start w:val="1"/>
      <w:numFmt w:val="decimal"/>
      <w:isLgl w:val="false"/>
      <w:suff w:val="tab"/>
      <w:lvlText w:val="%1.%2.%3.%4.%5."/>
      <w:lvlJc w:val="left"/>
      <w:pPr>
        <w:pStyle w:val="931"/>
        <w:ind w:left="992" w:hanging="992"/>
        <w:tabs>
          <w:tab w:val="num" w:pos="992" w:leader="none"/>
        </w:tabs>
      </w:pPr>
      <w:rPr>
        <w:rFonts w:hint="eastAsia"/>
      </w:rPr>
    </w:lvl>
    <w:lvl w:ilvl="5">
      <w:start w:val="1"/>
      <w:numFmt w:val="decimal"/>
      <w:isLgl w:val="false"/>
      <w:suff w:val="tab"/>
      <w:lvlText w:val="%1.%2.%3.%4.%5.%6."/>
      <w:lvlJc w:val="left"/>
      <w:pPr>
        <w:pStyle w:val="931"/>
        <w:ind w:left="1134" w:hanging="1134"/>
        <w:tabs>
          <w:tab w:val="num" w:pos="1134" w:leader="none"/>
        </w:tabs>
      </w:pPr>
      <w:rPr>
        <w:rFonts w:hint="eastAsia"/>
      </w:rPr>
    </w:lvl>
    <w:lvl w:ilvl="6">
      <w:start w:val="1"/>
      <w:numFmt w:val="decimal"/>
      <w:isLgl w:val="false"/>
      <w:suff w:val="tab"/>
      <w:lvlText w:val="%1.%2.%3.%4.%5.%6.%7."/>
      <w:lvlJc w:val="left"/>
      <w:pPr>
        <w:pStyle w:val="931"/>
        <w:ind w:left="1276" w:hanging="1276"/>
        <w:tabs>
          <w:tab w:val="num" w:pos="1276" w:leader="none"/>
        </w:tabs>
      </w:pPr>
      <w:rPr>
        <w:rFonts w:hint="eastAsia"/>
      </w:rPr>
    </w:lvl>
    <w:lvl w:ilvl="7">
      <w:start w:val="1"/>
      <w:numFmt w:val="decimal"/>
      <w:isLgl w:val="false"/>
      <w:suff w:val="tab"/>
      <w:lvlText w:val="%1.%2.%3.%4.%5.%6.%7.%8."/>
      <w:lvlJc w:val="left"/>
      <w:pPr>
        <w:pStyle w:val="931"/>
        <w:ind w:left="1418" w:hanging="1418"/>
        <w:tabs>
          <w:tab w:val="num" w:pos="1418" w:leader="none"/>
        </w:tabs>
      </w:pPr>
      <w:rPr>
        <w:rFonts w:hint="eastAsia"/>
      </w:rPr>
    </w:lvl>
    <w:lvl w:ilvl="8">
      <w:start w:val="1"/>
      <w:numFmt w:val="decimal"/>
      <w:isLgl w:val="false"/>
      <w:suff w:val="tab"/>
      <w:lvlText w:val="%1.%2.%3.%4.%5.%6.%7.%8.%9."/>
      <w:lvlJc w:val="left"/>
      <w:pPr>
        <w:pStyle w:val="931"/>
        <w:ind w:left="1559" w:hanging="1559"/>
        <w:tabs>
          <w:tab w:val="num" w:pos="1559" w:leader="none"/>
        </w:tabs>
      </w:pPr>
      <w:rPr>
        <w:rFonts w:hint="eastAsia"/>
      </w:rPr>
    </w:lvl>
  </w:abstractNum>
  <w:abstractNum w:abstractNumId="16">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8"/>
      <w:numFmt w:val="decimal"/>
      <w:isLgl w:val="false"/>
      <w:suff w:val="tab"/>
      <w:lvlText w:val="%1."/>
      <w:lvlJc w:val="left"/>
      <w:pPr>
        <w:pStyle w:val="9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pStyle w:val="9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Thousand"/>
      <w:isLgl w:val="false"/>
      <w:suff w:val="nothing"/>
      <w:lvlText w:val="第%1章 "/>
      <w:lvlJc w:val="left"/>
      <w:pPr>
        <w:pStyle w:val="931"/>
        <w:ind w:left="0" w:firstLine="0"/>
      </w:pPr>
      <w:rPr>
        <w:rFonts w:hint="eastAsia"/>
      </w:rPr>
    </w:lvl>
    <w:lvl w:ilvl="1">
      <w:start w:val="1"/>
      <w:numFmt w:val="decimal"/>
      <w:isLgl w:val="false"/>
      <w:suff w:val="nothing"/>
      <w:lvlText w:val="%2、"/>
      <w:lvlJc w:val="left"/>
      <w:pPr>
        <w:pStyle w:val="931"/>
        <w:ind w:left="0" w:firstLine="0"/>
      </w:pPr>
      <w:rPr>
        <w:rFonts w:hint="eastAsia"/>
      </w:rPr>
    </w:lvl>
    <w:lvl w:ilvl="2">
      <w:start w:val="1"/>
      <w:numFmt w:val="decimal"/>
      <w:isLgl w:val="false"/>
      <w:suff w:val="nothing"/>
      <w:lvlText w:val="%2.%3 "/>
      <w:lvlJc w:val="left"/>
      <w:pPr>
        <w:pStyle w:val="931"/>
        <w:ind w:left="0" w:firstLine="0"/>
      </w:pPr>
      <w:rPr>
        <w:rFonts w:hint="eastAsia"/>
      </w:rPr>
    </w:lvl>
    <w:lvl w:ilvl="3">
      <w:start w:val="1"/>
      <w:numFmt w:val="decimal"/>
      <w:isLgl w:val="false"/>
      <w:suff w:val="nothing"/>
      <w:lvlText w:val="%2.%3.%4 "/>
      <w:lvlJc w:val="left"/>
      <w:pPr>
        <w:pStyle w:val="931"/>
        <w:ind w:left="0" w:firstLine="0"/>
      </w:pPr>
      <w:rPr>
        <w:rFonts w:hint="eastAsia"/>
      </w:rPr>
    </w:lvl>
    <w:lvl w:ilvl="4">
      <w:start w:val="1"/>
      <w:numFmt w:val="decimal"/>
      <w:isLgl w:val="false"/>
      <w:suff w:val="nothing"/>
      <w:lvlText w:val="%2.%3.%4.%5 "/>
      <w:lvlJc w:val="left"/>
      <w:pPr>
        <w:pStyle w:val="931"/>
        <w:ind w:left="0" w:firstLine="0"/>
      </w:pPr>
      <w:rPr>
        <w:rFonts w:hint="eastAsia"/>
      </w:rPr>
    </w:lvl>
    <w:lvl w:ilvl="5">
      <w:start w:val="1"/>
      <w:numFmt w:val="decimal"/>
      <w:pStyle w:val="937"/>
      <w:isLgl w:val="false"/>
      <w:suff w:val="nothing"/>
      <w:lvlText w:val=""/>
      <w:lvlJc w:val="left"/>
      <w:pPr>
        <w:pStyle w:val="931"/>
        <w:ind w:left="0" w:firstLine="0"/>
      </w:pPr>
      <w:rPr>
        <w:rFonts w:hint="eastAsia"/>
      </w:rPr>
    </w:lvl>
    <w:lvl w:ilvl="6">
      <w:start w:val="1"/>
      <w:numFmt w:val="decimal"/>
      <w:pStyle w:val="938"/>
      <w:isLgl w:val="false"/>
      <w:suff w:val="nothing"/>
      <w:lvlText w:val=""/>
      <w:lvlJc w:val="left"/>
      <w:pPr>
        <w:pStyle w:val="931"/>
        <w:ind w:left="0" w:firstLine="0"/>
      </w:pPr>
      <w:rPr>
        <w:rFonts w:hint="eastAsia"/>
      </w:rPr>
    </w:lvl>
    <w:lvl w:ilvl="7">
      <w:start w:val="1"/>
      <w:numFmt w:val="decimal"/>
      <w:pStyle w:val="939"/>
      <w:isLgl w:val="false"/>
      <w:suff w:val="nothing"/>
      <w:lvlText w:val=""/>
      <w:lvlJc w:val="left"/>
      <w:pPr>
        <w:pStyle w:val="931"/>
        <w:ind w:left="0" w:firstLine="0"/>
      </w:pPr>
      <w:rPr>
        <w:rFonts w:hint="eastAsia"/>
      </w:rPr>
    </w:lvl>
    <w:lvl w:ilvl="8">
      <w:start w:val="1"/>
      <w:numFmt w:val="decimal"/>
      <w:pStyle w:val="940"/>
      <w:isLgl w:val="false"/>
      <w:suff w:val="nothing"/>
      <w:lvlText w:val=""/>
      <w:lvlJc w:val="left"/>
      <w:pPr>
        <w:pStyle w:val="931"/>
        <w:ind w:left="0" w:firstLine="0"/>
      </w:pPr>
      <w:rPr>
        <w:rFonts w:hint="eastAsia"/>
      </w:rPr>
    </w:lvl>
  </w:abstractNum>
  <w:abstractNum w:abstractNumId="21">
    <w:multiLevelType w:val="hybridMultilevel"/>
    <w:lvl w:ilvl="0">
      <w:start w:val="1"/>
      <w:numFmt w:val="decimal"/>
      <w:isLgl w:val="false"/>
      <w:suff w:val="tab"/>
      <w:lvlText w:val="%1."/>
      <w:lvlJc w:val="left"/>
      <w:pPr>
        <w:pStyle w:val="9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japaneseCounting"/>
      <w:isLgl w:val="false"/>
      <w:suff w:val="tab"/>
      <w:lvlText w:val="第%1章"/>
      <w:lvlJc w:val="left"/>
      <w:pPr>
        <w:pStyle w:val="93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0"/>
  </w:num>
  <w:num w:numId="2">
    <w:abstractNumId w:val="9"/>
  </w:num>
  <w:num w:numId="3">
    <w:abstractNumId w:val="15"/>
  </w:num>
  <w:num w:numId="4">
    <w:abstractNumId w:val="23"/>
  </w:num>
  <w:num w:numId="5">
    <w:abstractNumId w:val="7"/>
  </w:num>
  <w:num w:numId="6">
    <w:abstractNumId w:val="8"/>
  </w:num>
  <w:num w:numId="7">
    <w:abstractNumId w:val="0"/>
  </w:num>
  <w:num w:numId="8">
    <w:abstractNumId w:val="16"/>
  </w:num>
  <w:num w:numId="9">
    <w:abstractNumId w:val="3"/>
  </w:num>
  <w:num w:numId="10">
    <w:abstractNumId w:val="13"/>
  </w:num>
  <w:num w:numId="11">
    <w:abstractNumId w:val="22"/>
  </w:num>
  <w:num w:numId="12">
    <w:abstractNumId w:val="5"/>
  </w:num>
  <w:num w:numId="13">
    <w:abstractNumId w:val="11"/>
  </w:num>
  <w:num w:numId="14">
    <w:abstractNumId w:val="18"/>
  </w:num>
  <w:num w:numId="15">
    <w:abstractNumId w:val="19"/>
  </w:num>
  <w:num w:numId="16">
    <w:abstractNumId w:val="24"/>
  </w:num>
  <w:num w:numId="17">
    <w:abstractNumId w:val="14"/>
  </w:num>
  <w:num w:numId="18">
    <w:abstractNumId w:val="6"/>
  </w:num>
  <w:num w:numId="19">
    <w:abstractNumId w:val="17"/>
  </w:num>
  <w:num w:numId="20">
    <w:abstractNumId w:val="10"/>
  </w:num>
  <w:num w:numId="21">
    <w:abstractNumId w:val="21"/>
  </w:num>
  <w:num w:numId="22">
    <w:abstractNumId w:val="12"/>
  </w:num>
  <w:num w:numId="23">
    <w:abstractNumId w:val="2"/>
  </w:num>
  <w:num w:numId="24">
    <w:abstractNumId w:val="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name w:val="Heading 1"/>
    <w:basedOn w:val="931"/>
    <w:next w:val="931"/>
    <w:link w:val="754"/>
    <w:uiPriority w:val="9"/>
    <w:qFormat/>
    <w:pPr>
      <w:keepLines/>
      <w:keepNext/>
      <w:spacing w:before="480" w:after="200"/>
      <w:outlineLvl w:val="0"/>
    </w:pPr>
    <w:rPr>
      <w:rFonts w:ascii="Arial" w:hAnsi="Arial" w:eastAsia="Arial" w:cs="Arial"/>
      <w:sz w:val="40"/>
      <w:szCs w:val="40"/>
    </w:rPr>
  </w:style>
  <w:style w:type="character" w:styleId="754">
    <w:name w:val="Heading 1 Char"/>
    <w:link w:val="753"/>
    <w:uiPriority w:val="9"/>
    <w:rPr>
      <w:rFonts w:ascii="Arial" w:hAnsi="Arial" w:eastAsia="Arial" w:cs="Arial"/>
      <w:sz w:val="40"/>
      <w:szCs w:val="40"/>
    </w:rPr>
  </w:style>
  <w:style w:type="paragraph" w:styleId="755">
    <w:name w:val="Heading 2"/>
    <w:basedOn w:val="931"/>
    <w:next w:val="931"/>
    <w:link w:val="756"/>
    <w:uiPriority w:val="9"/>
    <w:unhideWhenUsed/>
    <w:qFormat/>
    <w:pPr>
      <w:keepLines/>
      <w:keepNext/>
      <w:spacing w:before="360" w:after="200"/>
      <w:outlineLvl w:val="1"/>
    </w:pPr>
    <w:rPr>
      <w:rFonts w:ascii="Arial" w:hAnsi="Arial" w:eastAsia="Arial" w:cs="Arial"/>
      <w:sz w:val="34"/>
    </w:rPr>
  </w:style>
  <w:style w:type="character" w:styleId="756">
    <w:name w:val="Heading 2 Char"/>
    <w:link w:val="755"/>
    <w:uiPriority w:val="9"/>
    <w:rPr>
      <w:rFonts w:ascii="Arial" w:hAnsi="Arial" w:eastAsia="Arial" w:cs="Arial"/>
      <w:sz w:val="34"/>
    </w:rPr>
  </w:style>
  <w:style w:type="paragraph" w:styleId="757">
    <w:name w:val="Heading 3"/>
    <w:basedOn w:val="931"/>
    <w:next w:val="931"/>
    <w:link w:val="758"/>
    <w:uiPriority w:val="9"/>
    <w:unhideWhenUsed/>
    <w:qFormat/>
    <w:pPr>
      <w:keepLines/>
      <w:keepNext/>
      <w:spacing w:before="320" w:after="200"/>
      <w:outlineLvl w:val="2"/>
    </w:pPr>
    <w:rPr>
      <w:rFonts w:ascii="Arial" w:hAnsi="Arial" w:eastAsia="Arial" w:cs="Arial"/>
      <w:sz w:val="30"/>
      <w:szCs w:val="30"/>
    </w:rPr>
  </w:style>
  <w:style w:type="character" w:styleId="758">
    <w:name w:val="Heading 3 Char"/>
    <w:link w:val="757"/>
    <w:uiPriority w:val="9"/>
    <w:rPr>
      <w:rFonts w:ascii="Arial" w:hAnsi="Arial" w:eastAsia="Arial" w:cs="Arial"/>
      <w:sz w:val="30"/>
      <w:szCs w:val="30"/>
    </w:rPr>
  </w:style>
  <w:style w:type="paragraph" w:styleId="759">
    <w:name w:val="Heading 4"/>
    <w:basedOn w:val="931"/>
    <w:next w:val="931"/>
    <w:link w:val="760"/>
    <w:uiPriority w:val="9"/>
    <w:unhideWhenUsed/>
    <w:qFormat/>
    <w:pPr>
      <w:keepLines/>
      <w:keepNext/>
      <w:spacing w:before="320" w:after="200"/>
      <w:outlineLvl w:val="3"/>
    </w:pPr>
    <w:rPr>
      <w:rFonts w:ascii="Arial" w:hAnsi="Arial" w:eastAsia="Arial" w:cs="Arial"/>
      <w:b/>
      <w:bCs/>
      <w:sz w:val="26"/>
      <w:szCs w:val="26"/>
    </w:rPr>
  </w:style>
  <w:style w:type="character" w:styleId="760">
    <w:name w:val="Heading 4 Char"/>
    <w:link w:val="759"/>
    <w:uiPriority w:val="9"/>
    <w:rPr>
      <w:rFonts w:ascii="Arial" w:hAnsi="Arial" w:eastAsia="Arial" w:cs="Arial"/>
      <w:b/>
      <w:bCs/>
      <w:sz w:val="26"/>
      <w:szCs w:val="26"/>
    </w:rPr>
  </w:style>
  <w:style w:type="paragraph" w:styleId="761">
    <w:name w:val="Heading 5"/>
    <w:basedOn w:val="931"/>
    <w:next w:val="931"/>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link w:val="761"/>
    <w:uiPriority w:val="9"/>
    <w:rPr>
      <w:rFonts w:ascii="Arial" w:hAnsi="Arial" w:eastAsia="Arial" w:cs="Arial"/>
      <w:b/>
      <w:bCs/>
      <w:sz w:val="24"/>
      <w:szCs w:val="24"/>
    </w:rPr>
  </w:style>
  <w:style w:type="paragraph" w:styleId="763">
    <w:name w:val="Heading 6"/>
    <w:basedOn w:val="931"/>
    <w:next w:val="931"/>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link w:val="763"/>
    <w:uiPriority w:val="9"/>
    <w:rPr>
      <w:rFonts w:ascii="Arial" w:hAnsi="Arial" w:eastAsia="Arial" w:cs="Arial"/>
      <w:b/>
      <w:bCs/>
      <w:sz w:val="22"/>
      <w:szCs w:val="22"/>
    </w:rPr>
  </w:style>
  <w:style w:type="paragraph" w:styleId="765">
    <w:name w:val="Heading 7"/>
    <w:basedOn w:val="931"/>
    <w:next w:val="931"/>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link w:val="765"/>
    <w:uiPriority w:val="9"/>
    <w:rPr>
      <w:rFonts w:ascii="Arial" w:hAnsi="Arial" w:eastAsia="Arial" w:cs="Arial"/>
      <w:b/>
      <w:bCs/>
      <w:i/>
      <w:iCs/>
      <w:sz w:val="22"/>
      <w:szCs w:val="22"/>
    </w:rPr>
  </w:style>
  <w:style w:type="paragraph" w:styleId="767">
    <w:name w:val="Heading 8"/>
    <w:basedOn w:val="931"/>
    <w:next w:val="931"/>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link w:val="767"/>
    <w:uiPriority w:val="9"/>
    <w:rPr>
      <w:rFonts w:ascii="Arial" w:hAnsi="Arial" w:eastAsia="Arial" w:cs="Arial"/>
      <w:i/>
      <w:iCs/>
      <w:sz w:val="22"/>
      <w:szCs w:val="22"/>
    </w:rPr>
  </w:style>
  <w:style w:type="paragraph" w:styleId="769">
    <w:name w:val="Heading 9"/>
    <w:basedOn w:val="931"/>
    <w:next w:val="931"/>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link w:val="769"/>
    <w:uiPriority w:val="9"/>
    <w:rPr>
      <w:rFonts w:ascii="Arial" w:hAnsi="Arial" w:eastAsia="Arial" w:cs="Arial"/>
      <w:i/>
      <w:iCs/>
      <w:sz w:val="21"/>
      <w:szCs w:val="21"/>
    </w:rPr>
  </w:style>
  <w:style w:type="paragraph" w:styleId="771">
    <w:name w:val="List Paragraph"/>
    <w:basedOn w:val="931"/>
    <w:uiPriority w:val="34"/>
    <w:qFormat/>
    <w:pPr>
      <w:contextualSpacing/>
      <w:ind w:left="720"/>
    </w:pPr>
  </w:style>
  <w:style w:type="paragraph" w:styleId="772">
    <w:name w:val="No Spacing"/>
    <w:uiPriority w:val="1"/>
    <w:qFormat/>
    <w:pPr>
      <w:spacing w:before="0" w:after="0" w:line="240" w:lineRule="auto"/>
    </w:pPr>
  </w:style>
  <w:style w:type="paragraph" w:styleId="773">
    <w:name w:val="Title"/>
    <w:basedOn w:val="931"/>
    <w:next w:val="931"/>
    <w:link w:val="774"/>
    <w:uiPriority w:val="10"/>
    <w:qFormat/>
    <w:pPr>
      <w:contextualSpacing/>
      <w:spacing w:before="300" w:after="200"/>
    </w:pPr>
    <w:rPr>
      <w:sz w:val="48"/>
      <w:szCs w:val="48"/>
    </w:rPr>
  </w:style>
  <w:style w:type="character" w:styleId="774">
    <w:name w:val="Title Char"/>
    <w:link w:val="773"/>
    <w:uiPriority w:val="10"/>
    <w:rPr>
      <w:sz w:val="48"/>
      <w:szCs w:val="48"/>
    </w:rPr>
  </w:style>
  <w:style w:type="paragraph" w:styleId="775">
    <w:name w:val="Subtitle"/>
    <w:basedOn w:val="931"/>
    <w:next w:val="931"/>
    <w:link w:val="776"/>
    <w:uiPriority w:val="11"/>
    <w:qFormat/>
    <w:pPr>
      <w:spacing w:before="200" w:after="200"/>
    </w:pPr>
    <w:rPr>
      <w:sz w:val="24"/>
      <w:szCs w:val="24"/>
    </w:rPr>
  </w:style>
  <w:style w:type="character" w:styleId="776">
    <w:name w:val="Subtitle Char"/>
    <w:link w:val="775"/>
    <w:uiPriority w:val="11"/>
    <w:rPr>
      <w:sz w:val="24"/>
      <w:szCs w:val="24"/>
    </w:rPr>
  </w:style>
  <w:style w:type="paragraph" w:styleId="777">
    <w:name w:val="Quote"/>
    <w:basedOn w:val="931"/>
    <w:next w:val="931"/>
    <w:link w:val="778"/>
    <w:uiPriority w:val="29"/>
    <w:qFormat/>
    <w:pPr>
      <w:ind w:left="720" w:right="720"/>
    </w:pPr>
    <w:rPr>
      <w:i/>
    </w:rPr>
  </w:style>
  <w:style w:type="character" w:styleId="778">
    <w:name w:val="Quote Char"/>
    <w:link w:val="777"/>
    <w:uiPriority w:val="29"/>
    <w:rPr>
      <w:i/>
    </w:rPr>
  </w:style>
  <w:style w:type="paragraph" w:styleId="779">
    <w:name w:val="Intense Quote"/>
    <w:basedOn w:val="931"/>
    <w:next w:val="931"/>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paragraph" w:styleId="781">
    <w:name w:val="Header"/>
    <w:basedOn w:val="931"/>
    <w:link w:val="782"/>
    <w:uiPriority w:val="99"/>
    <w:unhideWhenUsed/>
    <w:pPr>
      <w:spacing w:after="0" w:line="240" w:lineRule="auto"/>
      <w:tabs>
        <w:tab w:val="center" w:pos="7143" w:leader="none"/>
        <w:tab w:val="right" w:pos="14287" w:leader="none"/>
      </w:tabs>
    </w:pPr>
  </w:style>
  <w:style w:type="character" w:styleId="782">
    <w:name w:val="Header Char"/>
    <w:link w:val="781"/>
    <w:uiPriority w:val="99"/>
  </w:style>
  <w:style w:type="paragraph" w:styleId="783">
    <w:name w:val="Footer"/>
    <w:basedOn w:val="931"/>
    <w:link w:val="786"/>
    <w:uiPriority w:val="99"/>
    <w:unhideWhenUsed/>
    <w:pPr>
      <w:spacing w:after="0" w:line="240" w:lineRule="auto"/>
      <w:tabs>
        <w:tab w:val="center" w:pos="7143" w:leader="none"/>
        <w:tab w:val="right" w:pos="14287" w:leader="none"/>
      </w:tabs>
    </w:pPr>
  </w:style>
  <w:style w:type="character" w:styleId="784">
    <w:name w:val="Footer Char"/>
    <w:link w:val="783"/>
    <w:uiPriority w:val="99"/>
  </w:style>
  <w:style w:type="paragraph" w:styleId="785">
    <w:name w:val="Caption"/>
    <w:basedOn w:val="931"/>
    <w:next w:val="931"/>
    <w:uiPriority w:val="35"/>
    <w:semiHidden/>
    <w:unhideWhenUsed/>
    <w:qFormat/>
    <w:pPr>
      <w:spacing w:line="276" w:lineRule="auto"/>
    </w:pPr>
    <w:rPr>
      <w:b/>
      <w:bCs/>
      <w:color w:val="4f81bd" w:themeColor="accent1"/>
      <w:sz w:val="18"/>
      <w:szCs w:val="18"/>
    </w:rPr>
  </w:style>
  <w:style w:type="character" w:styleId="786">
    <w:name w:val="Caption Char"/>
    <w:basedOn w:val="785"/>
    <w:link w:val="783"/>
    <w:uiPriority w:val="99"/>
  </w:style>
  <w:style w:type="table" w:styleId="7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3">
    <w:name w:val="Hyperlink"/>
    <w:uiPriority w:val="99"/>
    <w:unhideWhenUsed/>
    <w:rPr>
      <w:color w:val="0000ff" w:themeColor="hyperlink"/>
      <w:u w:val="single"/>
    </w:rPr>
  </w:style>
  <w:style w:type="paragraph" w:styleId="914">
    <w:name w:val="footnote text"/>
    <w:basedOn w:val="931"/>
    <w:link w:val="915"/>
    <w:uiPriority w:val="99"/>
    <w:semiHidden/>
    <w:unhideWhenUsed/>
    <w:pPr>
      <w:spacing w:after="40" w:line="240" w:lineRule="auto"/>
    </w:pPr>
    <w:rPr>
      <w:sz w:val="18"/>
    </w:rPr>
  </w:style>
  <w:style w:type="character" w:styleId="915">
    <w:name w:val="Footnote Text Char"/>
    <w:link w:val="914"/>
    <w:uiPriority w:val="99"/>
    <w:rPr>
      <w:sz w:val="18"/>
    </w:rPr>
  </w:style>
  <w:style w:type="character" w:styleId="916">
    <w:name w:val="footnote reference"/>
    <w:uiPriority w:val="99"/>
    <w:unhideWhenUsed/>
    <w:rPr>
      <w:vertAlign w:val="superscript"/>
    </w:rPr>
  </w:style>
  <w:style w:type="paragraph" w:styleId="917">
    <w:name w:val="endnote text"/>
    <w:basedOn w:val="931"/>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uiPriority w:val="99"/>
    <w:semiHidden/>
    <w:unhideWhenUsed/>
    <w:rPr>
      <w:vertAlign w:val="superscript"/>
    </w:rPr>
  </w:style>
  <w:style w:type="paragraph" w:styleId="920">
    <w:name w:val="toc 1"/>
    <w:basedOn w:val="931"/>
    <w:next w:val="931"/>
    <w:uiPriority w:val="39"/>
    <w:unhideWhenUsed/>
    <w:pPr>
      <w:ind w:left="0" w:right="0" w:firstLine="0"/>
      <w:spacing w:after="57"/>
    </w:pPr>
  </w:style>
  <w:style w:type="paragraph" w:styleId="921">
    <w:name w:val="toc 2"/>
    <w:basedOn w:val="931"/>
    <w:next w:val="931"/>
    <w:uiPriority w:val="39"/>
    <w:unhideWhenUsed/>
    <w:pPr>
      <w:ind w:left="283" w:right="0" w:firstLine="0"/>
      <w:spacing w:after="57"/>
    </w:pPr>
  </w:style>
  <w:style w:type="paragraph" w:styleId="922">
    <w:name w:val="toc 3"/>
    <w:basedOn w:val="931"/>
    <w:next w:val="931"/>
    <w:uiPriority w:val="39"/>
    <w:unhideWhenUsed/>
    <w:pPr>
      <w:ind w:left="567" w:right="0" w:firstLine="0"/>
      <w:spacing w:after="57"/>
    </w:pPr>
  </w:style>
  <w:style w:type="paragraph" w:styleId="923">
    <w:name w:val="toc 4"/>
    <w:basedOn w:val="931"/>
    <w:next w:val="931"/>
    <w:uiPriority w:val="39"/>
    <w:unhideWhenUsed/>
    <w:pPr>
      <w:ind w:left="850" w:right="0" w:firstLine="0"/>
      <w:spacing w:after="57"/>
    </w:pPr>
  </w:style>
  <w:style w:type="paragraph" w:styleId="924">
    <w:name w:val="toc 5"/>
    <w:basedOn w:val="931"/>
    <w:next w:val="931"/>
    <w:uiPriority w:val="39"/>
    <w:unhideWhenUsed/>
    <w:pPr>
      <w:ind w:left="1134" w:right="0" w:firstLine="0"/>
      <w:spacing w:after="57"/>
    </w:pPr>
  </w:style>
  <w:style w:type="paragraph" w:styleId="925">
    <w:name w:val="toc 6"/>
    <w:basedOn w:val="931"/>
    <w:next w:val="931"/>
    <w:uiPriority w:val="39"/>
    <w:unhideWhenUsed/>
    <w:pPr>
      <w:ind w:left="1417" w:right="0" w:firstLine="0"/>
      <w:spacing w:after="57"/>
    </w:pPr>
  </w:style>
  <w:style w:type="paragraph" w:styleId="926">
    <w:name w:val="toc 7"/>
    <w:basedOn w:val="931"/>
    <w:next w:val="931"/>
    <w:uiPriority w:val="39"/>
    <w:unhideWhenUsed/>
    <w:pPr>
      <w:ind w:left="1701" w:right="0" w:firstLine="0"/>
      <w:spacing w:after="57"/>
    </w:pPr>
  </w:style>
  <w:style w:type="paragraph" w:styleId="927">
    <w:name w:val="toc 8"/>
    <w:basedOn w:val="931"/>
    <w:next w:val="931"/>
    <w:uiPriority w:val="39"/>
    <w:unhideWhenUsed/>
    <w:pPr>
      <w:ind w:left="1984" w:right="0" w:firstLine="0"/>
      <w:spacing w:after="57"/>
    </w:pPr>
  </w:style>
  <w:style w:type="paragraph" w:styleId="928">
    <w:name w:val="toc 9"/>
    <w:basedOn w:val="931"/>
    <w:next w:val="931"/>
    <w:uiPriority w:val="39"/>
    <w:unhideWhenUsed/>
    <w:pPr>
      <w:ind w:left="2268" w:right="0" w:firstLine="0"/>
      <w:spacing w:after="57"/>
    </w:pPr>
  </w:style>
  <w:style w:type="paragraph" w:styleId="929">
    <w:name w:val="TOC Heading"/>
    <w:uiPriority w:val="39"/>
    <w:unhideWhenUsed/>
  </w:style>
  <w:style w:type="paragraph" w:styleId="930">
    <w:name w:val="table of figures"/>
    <w:basedOn w:val="931"/>
    <w:next w:val="931"/>
    <w:uiPriority w:val="99"/>
    <w:unhideWhenUsed/>
    <w:pPr>
      <w:spacing w:after="0" w:afterAutospacing="0"/>
    </w:pPr>
  </w:style>
  <w:style w:type="paragraph" w:styleId="931" w:default="1">
    <w:name w:val="Normal"/>
    <w:next w:val="931"/>
    <w:link w:val="931"/>
    <w:qFormat/>
    <w:pPr>
      <w:jc w:val="both"/>
      <w:widowControl w:val="off"/>
    </w:pPr>
    <w:rPr>
      <w:sz w:val="21"/>
      <w:szCs w:val="22"/>
      <w:lang w:val="en-US" w:eastAsia="zh-CN" w:bidi="ar-SA"/>
    </w:rPr>
  </w:style>
  <w:style w:type="paragraph" w:styleId="932">
    <w:name w:val="标题 1"/>
    <w:basedOn w:val="931"/>
    <w:next w:val="931"/>
    <w:link w:val="943"/>
    <w:qFormat/>
    <w:pPr>
      <w:jc w:val="center"/>
      <w:keepNext/>
      <w:outlineLvl w:val="0"/>
    </w:pPr>
    <w:rPr>
      <w:rFonts w:ascii="楷体_GB2312" w:hAnsi="Times New Roman" w:eastAsia="楷体_GB2312"/>
      <w:sz w:val="28"/>
      <w:szCs w:val="28"/>
    </w:rPr>
  </w:style>
  <w:style w:type="paragraph" w:styleId="933">
    <w:name w:val="标题 2"/>
    <w:basedOn w:val="931"/>
    <w:next w:val="931"/>
    <w:link w:val="944"/>
    <w:qFormat/>
    <w:pPr>
      <w:jc w:val="center"/>
      <w:keepLines/>
      <w:keepNext/>
      <w:spacing w:before="260" w:after="260" w:line="416" w:lineRule="auto"/>
      <w:outlineLvl w:val="1"/>
    </w:pPr>
    <w:rPr>
      <w:rFonts w:ascii="Arial" w:hAnsi="Arial" w:eastAsia="幼圆"/>
      <w:b/>
      <w:bCs/>
      <w:sz w:val="44"/>
      <w:szCs w:val="44"/>
    </w:rPr>
  </w:style>
  <w:style w:type="paragraph" w:styleId="934">
    <w:name w:val="标题 3"/>
    <w:basedOn w:val="931"/>
    <w:next w:val="946"/>
    <w:link w:val="945"/>
    <w:qFormat/>
    <w:pPr>
      <w:keepLines/>
      <w:keepNext/>
      <w:spacing w:before="260" w:after="260" w:line="416" w:lineRule="auto"/>
      <w:outlineLvl w:val="2"/>
    </w:pPr>
    <w:rPr>
      <w:rFonts w:ascii="Times New Roman" w:hAnsi="Times New Roman"/>
      <w:b/>
      <w:bCs/>
      <w:sz w:val="32"/>
      <w:szCs w:val="32"/>
    </w:rPr>
  </w:style>
  <w:style w:type="paragraph" w:styleId="935">
    <w:name w:val="标题 4"/>
    <w:basedOn w:val="931"/>
    <w:next w:val="946"/>
    <w:link w:val="948"/>
    <w:qFormat/>
    <w:pPr>
      <w:keepLines/>
      <w:keepNext/>
      <w:spacing w:before="280" w:after="290" w:line="376" w:lineRule="auto"/>
      <w:outlineLvl w:val="3"/>
    </w:pPr>
    <w:rPr>
      <w:rFonts w:ascii="Arial" w:hAnsi="Arial" w:eastAsia="黑体"/>
      <w:b/>
      <w:bCs/>
      <w:sz w:val="28"/>
      <w:szCs w:val="28"/>
    </w:rPr>
  </w:style>
  <w:style w:type="paragraph" w:styleId="936">
    <w:name w:val="标题 5"/>
    <w:basedOn w:val="931"/>
    <w:next w:val="946"/>
    <w:link w:val="949"/>
    <w:qFormat/>
    <w:pPr>
      <w:keepNext/>
      <w:outlineLvl w:val="4"/>
    </w:pPr>
    <w:rPr>
      <w:rFonts w:ascii="宋体" w:hAnsi="Times New Roman"/>
      <w:color w:val="000000"/>
      <w:sz w:val="28"/>
      <w:szCs w:val="28"/>
    </w:rPr>
  </w:style>
  <w:style w:type="paragraph" w:styleId="937">
    <w:name w:val="标题 6"/>
    <w:basedOn w:val="931"/>
    <w:next w:val="931"/>
    <w:link w:val="95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8">
    <w:name w:val="标题 7"/>
    <w:basedOn w:val="931"/>
    <w:next w:val="931"/>
    <w:link w:val="95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39">
    <w:name w:val="标题 8"/>
    <w:basedOn w:val="931"/>
    <w:next w:val="931"/>
    <w:link w:val="952"/>
    <w:qFormat/>
    <w:pPr>
      <w:numPr>
        <w:ilvl w:val="7"/>
        <w:numId w:val="1"/>
      </w:numPr>
      <w:keepLines/>
      <w:keepNext/>
      <w:spacing w:before="240" w:after="64" w:line="320" w:lineRule="auto"/>
      <w:outlineLvl w:val="7"/>
    </w:pPr>
    <w:rPr>
      <w:rFonts w:ascii="Arial" w:hAnsi="Arial" w:eastAsia="黑体"/>
      <w:sz w:val="24"/>
      <w:szCs w:val="24"/>
    </w:rPr>
  </w:style>
  <w:style w:type="paragraph" w:styleId="940">
    <w:name w:val="标题 9"/>
    <w:basedOn w:val="931"/>
    <w:next w:val="931"/>
    <w:link w:val="953"/>
    <w:qFormat/>
    <w:pPr>
      <w:numPr>
        <w:ilvl w:val="8"/>
        <w:numId w:val="1"/>
      </w:numPr>
      <w:keepLines/>
      <w:keepNext/>
      <w:spacing w:before="240" w:after="64" w:line="320" w:lineRule="auto"/>
      <w:outlineLvl w:val="8"/>
    </w:pPr>
    <w:rPr>
      <w:rFonts w:ascii="Arial" w:hAnsi="Arial" w:eastAsia="黑体"/>
      <w:sz w:val="20"/>
      <w:szCs w:val="21"/>
    </w:rPr>
  </w:style>
  <w:style w:type="character" w:styleId="941">
    <w:name w:val="默认段落字体"/>
    <w:next w:val="941"/>
    <w:link w:val="931"/>
    <w:uiPriority w:val="1"/>
    <w:unhideWhenUsed/>
  </w:style>
  <w:style w:type="table" w:styleId="942">
    <w:name w:val="普通表格"/>
    <w:next w:val="942"/>
    <w:link w:val="931"/>
    <w:uiPriority w:val="99"/>
    <w:unhideWhenUsed/>
    <w:tblPr/>
  </w:style>
  <w:style w:type="character" w:styleId="943">
    <w:name w:val="标题 1 Char"/>
    <w:next w:val="943"/>
    <w:link w:val="932"/>
    <w:rPr>
      <w:rFonts w:ascii="楷体_GB2312" w:hAnsi="Times New Roman" w:eastAsia="楷体_GB2312" w:cs="Times New Roman"/>
      <w:sz w:val="28"/>
      <w:szCs w:val="28"/>
    </w:rPr>
  </w:style>
  <w:style w:type="character" w:styleId="944">
    <w:name w:val="标题 2 Char"/>
    <w:next w:val="944"/>
    <w:link w:val="933"/>
    <w:rPr>
      <w:rFonts w:ascii="Arial" w:hAnsi="Arial" w:eastAsia="幼圆" w:cs="Arial"/>
      <w:b/>
      <w:bCs/>
      <w:sz w:val="44"/>
      <w:szCs w:val="44"/>
    </w:rPr>
  </w:style>
  <w:style w:type="character" w:styleId="945">
    <w:name w:val="标题 3 Char"/>
    <w:next w:val="945"/>
    <w:link w:val="934"/>
    <w:rPr>
      <w:rFonts w:ascii="Times New Roman" w:hAnsi="Times New Roman" w:eastAsia="宋体" w:cs="Times New Roman"/>
      <w:b/>
      <w:bCs/>
      <w:sz w:val="32"/>
      <w:szCs w:val="32"/>
    </w:rPr>
  </w:style>
  <w:style w:type="paragraph" w:styleId="946">
    <w:name w:val="正文缩进"/>
    <w:basedOn w:val="931"/>
    <w:next w:val="946"/>
    <w:link w:val="947"/>
    <w:pPr>
      <w:ind w:firstLine="420"/>
    </w:pPr>
    <w:rPr>
      <w:sz w:val="20"/>
      <w:szCs w:val="21"/>
    </w:rPr>
  </w:style>
  <w:style w:type="character" w:styleId="947">
    <w:name w:val="正文缩进 Char"/>
    <w:next w:val="947"/>
    <w:link w:val="946"/>
    <w:rPr>
      <w:szCs w:val="21"/>
    </w:rPr>
  </w:style>
  <w:style w:type="character" w:styleId="948">
    <w:name w:val="标题 4 Char"/>
    <w:next w:val="948"/>
    <w:link w:val="935"/>
    <w:rPr>
      <w:rFonts w:ascii="Arial" w:hAnsi="Arial" w:eastAsia="黑体" w:cs="Arial"/>
      <w:b/>
      <w:bCs/>
      <w:sz w:val="28"/>
      <w:szCs w:val="28"/>
    </w:rPr>
  </w:style>
  <w:style w:type="character" w:styleId="949">
    <w:name w:val="标题 5 Char"/>
    <w:next w:val="949"/>
    <w:link w:val="936"/>
    <w:rPr>
      <w:rFonts w:ascii="宋体" w:hAnsi="Times New Roman" w:eastAsia="宋体" w:cs="Times New Roman"/>
      <w:color w:val="000000"/>
      <w:sz w:val="28"/>
      <w:szCs w:val="28"/>
    </w:rPr>
  </w:style>
  <w:style w:type="character" w:styleId="950">
    <w:name w:val="标题 6 Char"/>
    <w:next w:val="950"/>
    <w:link w:val="937"/>
    <w:rPr>
      <w:rFonts w:ascii="Arial" w:hAnsi="Arial" w:eastAsia="黑体" w:cs="Times New Roman"/>
      <w:b/>
      <w:bCs/>
      <w:sz w:val="24"/>
      <w:szCs w:val="24"/>
    </w:rPr>
  </w:style>
  <w:style w:type="character" w:styleId="951">
    <w:name w:val="标题 7 Char"/>
    <w:next w:val="951"/>
    <w:link w:val="938"/>
    <w:rPr>
      <w:rFonts w:ascii="Times New Roman" w:hAnsi="Times New Roman" w:eastAsia="宋体" w:cs="Times New Roman"/>
      <w:b/>
      <w:bCs/>
      <w:sz w:val="24"/>
      <w:szCs w:val="24"/>
    </w:rPr>
  </w:style>
  <w:style w:type="character" w:styleId="952">
    <w:name w:val="标题 8 Char"/>
    <w:next w:val="952"/>
    <w:link w:val="939"/>
    <w:rPr>
      <w:rFonts w:ascii="Arial" w:hAnsi="Arial" w:eastAsia="黑体" w:cs="Times New Roman"/>
      <w:sz w:val="24"/>
      <w:szCs w:val="24"/>
    </w:rPr>
  </w:style>
  <w:style w:type="character" w:styleId="953">
    <w:name w:val="标题 9 Char"/>
    <w:next w:val="953"/>
    <w:link w:val="940"/>
    <w:rPr>
      <w:rFonts w:ascii="Arial" w:hAnsi="Arial" w:eastAsia="黑体" w:cs="Times New Roman"/>
      <w:szCs w:val="21"/>
    </w:rPr>
  </w:style>
  <w:style w:type="paragraph" w:styleId="954">
    <w:name w:val="列表 3"/>
    <w:basedOn w:val="931"/>
    <w:next w:val="954"/>
    <w:link w:val="931"/>
    <w:pPr>
      <w:ind w:left="100" w:hanging="200"/>
    </w:pPr>
    <w:rPr>
      <w:rFonts w:ascii="Times New Roman" w:hAnsi="Times New Roman" w:eastAsia="宋体" w:cs="Times New Roman"/>
      <w:szCs w:val="21"/>
    </w:rPr>
  </w:style>
  <w:style w:type="paragraph" w:styleId="955">
    <w:name w:val="目录 7"/>
    <w:basedOn w:val="931"/>
    <w:next w:val="931"/>
    <w:link w:val="931"/>
    <w:semiHidden/>
    <w:pPr>
      <w:ind w:left="1260"/>
      <w:jc w:val="left"/>
    </w:pPr>
    <w:rPr>
      <w:rFonts w:ascii="Times New Roman" w:hAnsi="Times New Roman" w:eastAsia="宋体" w:cs="Times New Roman"/>
      <w:szCs w:val="21"/>
    </w:rPr>
  </w:style>
  <w:style w:type="paragraph" w:styleId="956">
    <w:name w:val="文档结构图"/>
    <w:basedOn w:val="931"/>
    <w:next w:val="956"/>
    <w:link w:val="957"/>
    <w:semiHidden/>
    <w:pPr>
      <w:shd w:val="clear" w:color="auto" w:fill="000080"/>
    </w:pPr>
    <w:rPr>
      <w:rFonts w:ascii="Times New Roman" w:hAnsi="Times New Roman"/>
      <w:sz w:val="20"/>
      <w:szCs w:val="21"/>
    </w:rPr>
  </w:style>
  <w:style w:type="character" w:styleId="957">
    <w:name w:val="文档结构图 Char"/>
    <w:next w:val="957"/>
    <w:link w:val="956"/>
    <w:semiHidden/>
    <w:rPr>
      <w:rFonts w:ascii="Times New Roman" w:hAnsi="Times New Roman" w:eastAsia="宋体" w:cs="Times New Roman"/>
      <w:szCs w:val="21"/>
      <w:shd w:val="clear" w:color="auto" w:fill="000080"/>
    </w:rPr>
  </w:style>
  <w:style w:type="paragraph" w:styleId="958">
    <w:name w:val="批注文字"/>
    <w:basedOn w:val="931"/>
    <w:next w:val="958"/>
    <w:link w:val="959"/>
    <w:unhideWhenUsed/>
    <w:pPr>
      <w:jc w:val="left"/>
    </w:pPr>
  </w:style>
  <w:style w:type="character" w:styleId="959">
    <w:name w:val="批注文字 Char"/>
    <w:basedOn w:val="941"/>
    <w:next w:val="959"/>
    <w:link w:val="958"/>
    <w:uiPriority w:val="99"/>
    <w:semiHidden/>
  </w:style>
  <w:style w:type="paragraph" w:styleId="960">
    <w:name w:val="正文文本 3"/>
    <w:basedOn w:val="931"/>
    <w:next w:val="960"/>
    <w:link w:val="961"/>
    <w:rPr>
      <w:rFonts w:ascii="仿宋_GB2312" w:hAnsi="Arial" w:eastAsia="仿宋_GB2312"/>
      <w:sz w:val="32"/>
      <w:szCs w:val="32"/>
    </w:rPr>
  </w:style>
  <w:style w:type="character" w:styleId="961">
    <w:name w:val="正文文本 3 Char"/>
    <w:next w:val="961"/>
    <w:link w:val="960"/>
    <w:rPr>
      <w:rFonts w:ascii="仿宋_GB2312" w:hAnsi="Arial" w:eastAsia="仿宋_GB2312" w:cs="Times New Roman"/>
      <w:sz w:val="32"/>
      <w:szCs w:val="32"/>
    </w:rPr>
  </w:style>
  <w:style w:type="paragraph" w:styleId="962">
    <w:name w:val="正文文本"/>
    <w:basedOn w:val="931"/>
    <w:next w:val="931"/>
    <w:link w:val="963"/>
    <w:rPr>
      <w:rFonts w:ascii="楷体_GB2312" w:hAnsi="Arial" w:eastAsia="楷体_GB2312"/>
      <w:sz w:val="28"/>
      <w:szCs w:val="28"/>
    </w:rPr>
  </w:style>
  <w:style w:type="character" w:styleId="963">
    <w:name w:val="正文文本 Char"/>
    <w:next w:val="963"/>
    <w:link w:val="962"/>
    <w:rPr>
      <w:rFonts w:ascii="楷体_GB2312" w:hAnsi="Arial" w:eastAsia="楷体_GB2312" w:cs="Times New Roman"/>
      <w:sz w:val="28"/>
      <w:szCs w:val="28"/>
    </w:rPr>
  </w:style>
  <w:style w:type="paragraph" w:styleId="964">
    <w:name w:val="正文文本缩进"/>
    <w:basedOn w:val="931"/>
    <w:next w:val="964"/>
    <w:link w:val="965"/>
    <w:unhideWhenUsed/>
    <w:pPr>
      <w:ind w:left="420"/>
      <w:spacing w:after="120"/>
    </w:pPr>
  </w:style>
  <w:style w:type="character" w:styleId="965">
    <w:name w:val="正文文本缩进 Char"/>
    <w:basedOn w:val="941"/>
    <w:next w:val="965"/>
    <w:link w:val="964"/>
    <w:uiPriority w:val="99"/>
    <w:semiHidden/>
  </w:style>
  <w:style w:type="paragraph" w:styleId="966">
    <w:name w:val="列表 2"/>
    <w:basedOn w:val="931"/>
    <w:next w:val="966"/>
    <w:link w:val="931"/>
    <w:pPr>
      <w:ind w:left="100" w:hanging="200"/>
    </w:pPr>
    <w:rPr>
      <w:rFonts w:ascii="Times New Roman" w:hAnsi="Times New Roman" w:eastAsia="宋体" w:cs="Times New Roman"/>
      <w:szCs w:val="21"/>
    </w:rPr>
  </w:style>
  <w:style w:type="paragraph" w:styleId="967">
    <w:name w:val="目录 5"/>
    <w:basedOn w:val="931"/>
    <w:next w:val="931"/>
    <w:link w:val="931"/>
    <w:semiHidden/>
    <w:pPr>
      <w:ind w:left="840"/>
      <w:jc w:val="left"/>
    </w:pPr>
    <w:rPr>
      <w:rFonts w:ascii="Times New Roman" w:hAnsi="Times New Roman" w:eastAsia="宋体" w:cs="Times New Roman"/>
      <w:szCs w:val="21"/>
    </w:rPr>
  </w:style>
  <w:style w:type="paragraph" w:styleId="968">
    <w:name w:val="目录 3"/>
    <w:basedOn w:val="931"/>
    <w:next w:val="931"/>
    <w:link w:val="931"/>
    <w:semiHidden/>
    <w:pPr>
      <w:ind w:left="420"/>
      <w:jc w:val="left"/>
    </w:pPr>
    <w:rPr>
      <w:rFonts w:ascii="Times New Roman" w:hAnsi="Times New Roman" w:eastAsia="宋体" w:cs="Times New Roman"/>
      <w:i/>
      <w:iCs/>
      <w:szCs w:val="24"/>
    </w:rPr>
  </w:style>
  <w:style w:type="paragraph" w:styleId="969">
    <w:name w:val="纯文本"/>
    <w:basedOn w:val="931"/>
    <w:next w:val="969"/>
    <w:link w:val="970"/>
    <w:rPr>
      <w:rFonts w:ascii="宋体" w:hAnsi="Courier New"/>
      <w:sz w:val="20"/>
      <w:szCs w:val="21"/>
    </w:rPr>
  </w:style>
  <w:style w:type="character" w:styleId="970">
    <w:name w:val="纯文本 Char"/>
    <w:next w:val="970"/>
    <w:link w:val="969"/>
    <w:rPr>
      <w:rFonts w:ascii="宋体" w:hAnsi="Courier New" w:eastAsia="宋体" w:cs="Courier New"/>
      <w:szCs w:val="21"/>
    </w:rPr>
  </w:style>
  <w:style w:type="paragraph" w:styleId="971">
    <w:name w:val="目录 8"/>
    <w:basedOn w:val="931"/>
    <w:next w:val="931"/>
    <w:link w:val="931"/>
    <w:semiHidden/>
    <w:pPr>
      <w:ind w:left="1470"/>
      <w:jc w:val="left"/>
    </w:pPr>
    <w:rPr>
      <w:rFonts w:ascii="Times New Roman" w:hAnsi="Times New Roman" w:eastAsia="宋体" w:cs="Times New Roman"/>
      <w:szCs w:val="21"/>
    </w:rPr>
  </w:style>
  <w:style w:type="paragraph" w:styleId="972">
    <w:name w:val="日期"/>
    <w:basedOn w:val="931"/>
    <w:next w:val="931"/>
    <w:link w:val="973"/>
    <w:rPr>
      <w:rFonts w:ascii="Times New Roman" w:hAnsi="Times New Roman"/>
      <w:sz w:val="24"/>
      <w:szCs w:val="24"/>
    </w:rPr>
  </w:style>
  <w:style w:type="character" w:styleId="973">
    <w:name w:val="日期 Char"/>
    <w:next w:val="973"/>
    <w:link w:val="972"/>
    <w:rPr>
      <w:rFonts w:ascii="Times New Roman" w:hAnsi="Times New Roman" w:eastAsia="宋体" w:cs="Times New Roman"/>
      <w:sz w:val="24"/>
      <w:szCs w:val="24"/>
    </w:rPr>
  </w:style>
  <w:style w:type="paragraph" w:styleId="974">
    <w:name w:val="正文文本缩进 2"/>
    <w:basedOn w:val="931"/>
    <w:next w:val="974"/>
    <w:link w:val="975"/>
    <w:pPr>
      <w:ind w:left="630" w:firstLine="645"/>
    </w:pPr>
    <w:rPr>
      <w:rFonts w:ascii="Arial" w:hAnsi="Arial" w:eastAsia="仿宋_GB2312"/>
      <w:sz w:val="32"/>
      <w:szCs w:val="32"/>
    </w:rPr>
  </w:style>
  <w:style w:type="character" w:styleId="975">
    <w:name w:val="正文文本缩进 2 Char"/>
    <w:next w:val="975"/>
    <w:link w:val="974"/>
    <w:rPr>
      <w:rFonts w:ascii="Arial" w:hAnsi="Arial" w:eastAsia="仿宋_GB2312" w:cs="Arial"/>
      <w:sz w:val="32"/>
      <w:szCs w:val="32"/>
    </w:rPr>
  </w:style>
  <w:style w:type="paragraph" w:styleId="976">
    <w:name w:val="批注框文本"/>
    <w:basedOn w:val="931"/>
    <w:next w:val="976"/>
    <w:link w:val="977"/>
    <w:semiHidden/>
    <w:rPr>
      <w:rFonts w:ascii="Times New Roman" w:hAnsi="Times New Roman"/>
      <w:sz w:val="18"/>
      <w:szCs w:val="18"/>
    </w:rPr>
  </w:style>
  <w:style w:type="character" w:styleId="977">
    <w:name w:val="批注框文本 Char"/>
    <w:next w:val="977"/>
    <w:link w:val="976"/>
    <w:semiHidden/>
    <w:rPr>
      <w:rFonts w:ascii="Times New Roman" w:hAnsi="Times New Roman" w:eastAsia="宋体" w:cs="Times New Roman"/>
      <w:sz w:val="18"/>
      <w:szCs w:val="18"/>
    </w:rPr>
  </w:style>
  <w:style w:type="paragraph" w:styleId="978">
    <w:name w:val="页脚"/>
    <w:basedOn w:val="931"/>
    <w:next w:val="978"/>
    <w:link w:val="979"/>
    <w:pPr>
      <w:jc w:val="left"/>
      <w:tabs>
        <w:tab w:val="center" w:pos="4153" w:leader="none"/>
        <w:tab w:val="right" w:pos="8306" w:leader="none"/>
      </w:tabs>
    </w:pPr>
    <w:rPr>
      <w:rFonts w:ascii="Times New Roman" w:hAnsi="Times New Roman"/>
      <w:sz w:val="18"/>
      <w:szCs w:val="18"/>
    </w:rPr>
  </w:style>
  <w:style w:type="character" w:styleId="979">
    <w:name w:val="页脚 Char"/>
    <w:next w:val="979"/>
    <w:link w:val="978"/>
    <w:rPr>
      <w:rFonts w:ascii="Times New Roman" w:hAnsi="Times New Roman" w:eastAsia="宋体" w:cs="Times New Roman"/>
      <w:sz w:val="18"/>
      <w:szCs w:val="18"/>
    </w:rPr>
  </w:style>
  <w:style w:type="paragraph" w:styleId="980">
    <w:name w:val="页眉"/>
    <w:basedOn w:val="931"/>
    <w:next w:val="980"/>
    <w:link w:val="981"/>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81">
    <w:name w:val="页眉 Char"/>
    <w:next w:val="981"/>
    <w:link w:val="980"/>
    <w:rPr>
      <w:rFonts w:ascii="Times New Roman" w:hAnsi="Times New Roman" w:eastAsia="宋体" w:cs="Times New Roman"/>
      <w:sz w:val="18"/>
      <w:szCs w:val="18"/>
    </w:rPr>
  </w:style>
  <w:style w:type="paragraph" w:styleId="982">
    <w:name w:val="目录 1"/>
    <w:basedOn w:val="931"/>
    <w:next w:val="931"/>
    <w:link w:val="93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3">
    <w:name w:val="目录 4"/>
    <w:basedOn w:val="931"/>
    <w:next w:val="931"/>
    <w:link w:val="931"/>
    <w:semiHidden/>
    <w:pPr>
      <w:ind w:left="630"/>
      <w:jc w:val="left"/>
    </w:pPr>
    <w:rPr>
      <w:rFonts w:ascii="Times New Roman" w:hAnsi="Times New Roman" w:eastAsia="宋体" w:cs="Times New Roman"/>
      <w:szCs w:val="21"/>
    </w:rPr>
  </w:style>
  <w:style w:type="paragraph" w:styleId="984">
    <w:name w:val="列表"/>
    <w:basedOn w:val="931"/>
    <w:next w:val="984"/>
    <w:link w:val="931"/>
    <w:pPr>
      <w:ind w:left="200" w:hanging="200"/>
    </w:pPr>
    <w:rPr>
      <w:rFonts w:ascii="Times New Roman" w:hAnsi="Times New Roman" w:eastAsia="宋体" w:cs="Times New Roman"/>
      <w:szCs w:val="21"/>
    </w:rPr>
  </w:style>
  <w:style w:type="paragraph" w:styleId="985">
    <w:name w:val="目录 6"/>
    <w:basedOn w:val="931"/>
    <w:next w:val="931"/>
    <w:link w:val="931"/>
    <w:semiHidden/>
    <w:pPr>
      <w:ind w:left="1050"/>
      <w:jc w:val="left"/>
    </w:pPr>
    <w:rPr>
      <w:rFonts w:ascii="Times New Roman" w:hAnsi="Times New Roman" w:eastAsia="宋体" w:cs="Times New Roman"/>
      <w:szCs w:val="21"/>
    </w:rPr>
  </w:style>
  <w:style w:type="paragraph" w:styleId="986">
    <w:name w:val="正文文本缩进 3"/>
    <w:basedOn w:val="931"/>
    <w:next w:val="986"/>
    <w:link w:val="987"/>
    <w:pPr>
      <w:ind w:left="645" w:firstLine="645"/>
    </w:pPr>
    <w:rPr>
      <w:rFonts w:ascii="Arial" w:hAnsi="Arial" w:eastAsia="仿宋_GB2312"/>
      <w:color w:val="ffff00"/>
      <w:sz w:val="32"/>
      <w:szCs w:val="32"/>
    </w:rPr>
  </w:style>
  <w:style w:type="character" w:styleId="987">
    <w:name w:val="正文文本缩进 3 Char"/>
    <w:next w:val="987"/>
    <w:link w:val="986"/>
    <w:rPr>
      <w:rFonts w:ascii="Arial" w:hAnsi="Arial" w:eastAsia="仿宋_GB2312" w:cs="Arial"/>
      <w:color w:val="ffff00"/>
      <w:sz w:val="32"/>
      <w:szCs w:val="32"/>
    </w:rPr>
  </w:style>
  <w:style w:type="paragraph" w:styleId="988">
    <w:name w:val="图表目录"/>
    <w:basedOn w:val="931"/>
    <w:next w:val="931"/>
    <w:link w:val="931"/>
    <w:semiHidden/>
    <w:pPr>
      <w:ind w:left="840" w:hanging="420"/>
    </w:pPr>
    <w:rPr>
      <w:rFonts w:ascii="Times New Roman" w:hAnsi="Times New Roman" w:eastAsia="宋体" w:cs="Times New Roman"/>
      <w:szCs w:val="21"/>
    </w:rPr>
  </w:style>
  <w:style w:type="paragraph" w:styleId="989">
    <w:name w:val="目录 2"/>
    <w:basedOn w:val="931"/>
    <w:next w:val="931"/>
    <w:link w:val="931"/>
    <w:semiHidden/>
    <w:pPr>
      <w:ind w:left="210"/>
      <w:jc w:val="left"/>
    </w:pPr>
    <w:rPr>
      <w:rFonts w:ascii="Times New Roman" w:hAnsi="Times New Roman" w:eastAsia="宋体" w:cs="Times New Roman"/>
      <w:smallCaps/>
      <w:szCs w:val="24"/>
    </w:rPr>
  </w:style>
  <w:style w:type="paragraph" w:styleId="990">
    <w:name w:val="目录 9"/>
    <w:basedOn w:val="931"/>
    <w:next w:val="931"/>
    <w:link w:val="931"/>
    <w:semiHidden/>
    <w:pPr>
      <w:ind w:left="1680"/>
      <w:jc w:val="left"/>
    </w:pPr>
    <w:rPr>
      <w:rFonts w:ascii="Times New Roman" w:hAnsi="Times New Roman" w:eastAsia="宋体" w:cs="Times New Roman"/>
      <w:szCs w:val="21"/>
    </w:rPr>
  </w:style>
  <w:style w:type="paragraph" w:styleId="991">
    <w:name w:val="正文文本 2"/>
    <w:basedOn w:val="931"/>
    <w:next w:val="991"/>
    <w:link w:val="992"/>
    <w:pPr>
      <w:jc w:val="center"/>
      <w:widowControl/>
    </w:pPr>
    <w:rPr>
      <w:rFonts w:ascii="楷体_GB2312" w:hAnsi="Times New Roman" w:eastAsia="楷体_GB2312"/>
      <w:sz w:val="28"/>
      <w:szCs w:val="28"/>
    </w:rPr>
  </w:style>
  <w:style w:type="character" w:styleId="992">
    <w:name w:val="正文文本 2 Char"/>
    <w:next w:val="992"/>
    <w:link w:val="991"/>
    <w:rPr>
      <w:rFonts w:ascii="楷体_GB2312" w:hAnsi="Times New Roman" w:eastAsia="楷体_GB2312" w:cs="Times New Roman"/>
      <w:sz w:val="28"/>
      <w:szCs w:val="28"/>
    </w:rPr>
  </w:style>
  <w:style w:type="paragraph" w:styleId="993">
    <w:name w:val="普通(网站)"/>
    <w:basedOn w:val="931"/>
    <w:next w:val="993"/>
    <w:link w:val="931"/>
    <w:uiPriority w:val="99"/>
    <w:pPr>
      <w:jc w:val="left"/>
      <w:spacing w:before="100" w:beforeAutospacing="1" w:after="100" w:afterAutospacing="1"/>
      <w:widowControl/>
    </w:pPr>
    <w:rPr>
      <w:rFonts w:ascii="宋体" w:hAnsi="宋体" w:eastAsia="宋体" w:cs="宋体"/>
      <w:sz w:val="24"/>
      <w:szCs w:val="24"/>
    </w:rPr>
  </w:style>
  <w:style w:type="paragraph" w:styleId="994">
    <w:name w:val="索引 1"/>
    <w:basedOn w:val="931"/>
    <w:next w:val="931"/>
    <w:link w:val="931"/>
    <w:semiHidden/>
    <w:pPr>
      <w:spacing w:line="240" w:lineRule="atLeast"/>
    </w:pPr>
    <w:rPr>
      <w:rFonts w:ascii="Times New Roman" w:hAnsi="Times New Roman" w:eastAsia="宋体" w:cs="Times New Roman"/>
      <w:b/>
      <w:bCs/>
      <w:szCs w:val="21"/>
    </w:rPr>
  </w:style>
  <w:style w:type="paragraph" w:styleId="995">
    <w:name w:val="批注主题"/>
    <w:basedOn w:val="958"/>
    <w:next w:val="958"/>
    <w:link w:val="996"/>
    <w:semiHidden/>
    <w:rPr>
      <w:rFonts w:ascii="Times New Roman" w:hAnsi="Times New Roman"/>
      <w:b/>
      <w:bCs/>
      <w:sz w:val="20"/>
      <w:szCs w:val="21"/>
    </w:rPr>
  </w:style>
  <w:style w:type="character" w:styleId="996">
    <w:name w:val="批注主题 Char"/>
    <w:next w:val="996"/>
    <w:link w:val="995"/>
    <w:semiHidden/>
    <w:rPr>
      <w:rFonts w:ascii="Times New Roman" w:hAnsi="Times New Roman" w:eastAsia="宋体" w:cs="Times New Roman"/>
      <w:b/>
      <w:bCs/>
      <w:szCs w:val="21"/>
    </w:rPr>
  </w:style>
  <w:style w:type="paragraph" w:styleId="997">
    <w:name w:val="正文首行缩进"/>
    <w:basedOn w:val="962"/>
    <w:next w:val="997"/>
    <w:link w:val="998"/>
    <w:pPr>
      <w:ind w:firstLine="200"/>
      <w:spacing w:line="360" w:lineRule="auto"/>
    </w:pPr>
    <w:rPr>
      <w:rFonts w:ascii="仿宋_GB2312" w:hAnsi="Times New Roman" w:eastAsia="仿宋_GB2312"/>
      <w:sz w:val="30"/>
      <w:szCs w:val="30"/>
    </w:rPr>
  </w:style>
  <w:style w:type="character" w:styleId="998">
    <w:name w:val="正文首行缩进 Char"/>
    <w:next w:val="998"/>
    <w:link w:val="997"/>
    <w:rPr>
      <w:rFonts w:ascii="仿宋_GB2312" w:hAnsi="Times New Roman" w:eastAsia="仿宋_GB2312" w:cs="Times New Roman"/>
      <w:sz w:val="30"/>
      <w:szCs w:val="30"/>
    </w:rPr>
  </w:style>
  <w:style w:type="paragraph" w:styleId="999">
    <w:name w:val="正文首行缩进 2"/>
    <w:basedOn w:val="964"/>
    <w:next w:val="986"/>
    <w:link w:val="1000"/>
    <w:pPr>
      <w:ind w:left="0" w:firstLine="420"/>
      <w:spacing w:after="0" w:line="360" w:lineRule="auto"/>
    </w:pPr>
    <w:rPr>
      <w:rFonts w:ascii="宋体" w:hAnsi="宋体"/>
      <w:sz w:val="20"/>
      <w:szCs w:val="20"/>
    </w:rPr>
  </w:style>
  <w:style w:type="character" w:styleId="1000">
    <w:name w:val="正文首行缩进 2 Char"/>
    <w:next w:val="1000"/>
    <w:link w:val="999"/>
    <w:rPr>
      <w:rFonts w:ascii="宋体" w:hAnsi="宋体" w:eastAsia="宋体" w:cs="Times New Roman"/>
      <w:szCs w:val="20"/>
    </w:rPr>
  </w:style>
  <w:style w:type="table" w:styleId="1001">
    <w:name w:val="网格型"/>
    <w:basedOn w:val="942"/>
    <w:next w:val="1001"/>
    <w:link w:val="931"/>
    <w:pPr>
      <w:jc w:val="both"/>
      <w:widowControl w:val="off"/>
    </w:pPr>
    <w:rPr>
      <w:rFonts w:ascii="Times New Roman" w:hAnsi="Times New Roman" w:eastAsia="宋体" w:cs="Times New Roman"/>
      <w:sz w:val="20"/>
      <w:szCs w:val="20"/>
    </w:rPr>
    <w:tblPr/>
  </w:style>
  <w:style w:type="character" w:styleId="1002">
    <w:name w:val="要点"/>
    <w:next w:val="1002"/>
    <w:link w:val="931"/>
    <w:qFormat/>
    <w:rPr>
      <w:b/>
      <w:bCs/>
    </w:rPr>
  </w:style>
  <w:style w:type="character" w:styleId="1003">
    <w:name w:val="页码"/>
    <w:next w:val="1003"/>
    <w:link w:val="931"/>
  </w:style>
  <w:style w:type="character" w:styleId="1004">
    <w:name w:val="已访问的超链接"/>
    <w:next w:val="1004"/>
    <w:link w:val="931"/>
    <w:rPr>
      <w:color w:val="800080"/>
      <w:u w:val="single"/>
    </w:rPr>
  </w:style>
  <w:style w:type="character" w:styleId="1005">
    <w:name w:val="强调"/>
    <w:next w:val="1005"/>
    <w:link w:val="931"/>
    <w:qFormat/>
    <w:rPr>
      <w:i/>
    </w:rPr>
  </w:style>
  <w:style w:type="character" w:styleId="1006">
    <w:name w:val="超链接"/>
    <w:next w:val="1006"/>
    <w:link w:val="931"/>
    <w:rPr>
      <w:color w:val="0000ff"/>
      <w:u w:val="single"/>
    </w:rPr>
  </w:style>
  <w:style w:type="character" w:styleId="1007">
    <w:name w:val="批注引用"/>
    <w:next w:val="1007"/>
    <w:link w:val="931"/>
    <w:semiHidden/>
    <w:rPr>
      <w:sz w:val="21"/>
      <w:szCs w:val="21"/>
    </w:rPr>
  </w:style>
  <w:style w:type="paragraph" w:styleId="1008">
    <w:name w:val="正文首行缩进 21"/>
    <w:basedOn w:val="1009"/>
    <w:next w:val="1008"/>
    <w:link w:val="931"/>
    <w:qFormat/>
    <w:pPr>
      <w:ind w:left="0" w:firstLine="420"/>
      <w:spacing w:after="0" w:line="360" w:lineRule="auto"/>
    </w:pPr>
    <w:rPr>
      <w:rFonts w:ascii="宋体" w:hAnsi="宋体"/>
      <w:sz w:val="20"/>
      <w:szCs w:val="20"/>
      <w:lang w:eastAsia="en-US"/>
    </w:rPr>
  </w:style>
  <w:style w:type="paragraph" w:styleId="1009">
    <w:name w:val="正文文本缩进1"/>
    <w:basedOn w:val="931"/>
    <w:next w:val="1008"/>
    <w:link w:val="931"/>
    <w:uiPriority w:val="99"/>
    <w:unhideWhenUsed/>
    <w:qFormat/>
    <w:pPr>
      <w:ind w:left="420"/>
      <w:spacing w:after="120"/>
    </w:pPr>
  </w:style>
  <w:style w:type="character" w:styleId="1010">
    <w:name w:val="font5 Char"/>
    <w:next w:val="1010"/>
    <w:link w:val="931"/>
    <w:rPr>
      <w:rFonts w:ascii="宋体" w:hAnsi="宋体" w:eastAsia="宋体"/>
      <w:sz w:val="28"/>
      <w:szCs w:val="28"/>
      <w:lang w:val="en-US" w:eastAsia="zh-CN" w:bidi="ar-SA"/>
    </w:rPr>
  </w:style>
  <w:style w:type="character" w:styleId="1011">
    <w:name w:val="二级目录 Char"/>
    <w:next w:val="1011"/>
    <w:link w:val="1012"/>
    <w:rPr>
      <w:b/>
      <w:sz w:val="30"/>
      <w:szCs w:val="28"/>
      <w:lang w:val="en-US" w:eastAsia="zh-CN" w:bidi="ar-SA"/>
    </w:rPr>
  </w:style>
  <w:style w:type="paragraph" w:styleId="1012">
    <w:name w:val="二级目录"/>
    <w:next w:val="931"/>
    <w:link w:val="1011"/>
    <w:pPr>
      <w:numPr>
        <w:ilvl w:val="0"/>
        <w:numId w:val="2"/>
      </w:numPr>
      <w:tabs>
        <w:tab w:val="left" w:pos="907" w:leader="none"/>
        <w:tab w:val="left" w:pos="1145" w:leader="none"/>
      </w:tabs>
      <w:outlineLvl w:val="1"/>
    </w:pPr>
    <w:rPr>
      <w:b/>
      <w:sz w:val="30"/>
      <w:szCs w:val="28"/>
      <w:lang w:val="en-US" w:eastAsia="zh-CN" w:bidi="ar-SA"/>
    </w:rPr>
  </w:style>
  <w:style w:type="character" w:styleId="1013">
    <w:name w:val="列出段落 Char,Bullet List Char,numbered Char,FooterText Char,List Paragraph1 Char,Paragraphe de liste1 Char"/>
    <w:next w:val="1013"/>
    <w:link w:val="1014"/>
    <w:rPr>
      <w:rFonts w:ascii="Calibri" w:hAnsi="Calibri"/>
      <w:sz w:val="24"/>
      <w:szCs w:val="24"/>
      <w:lang w:eastAsia="en-US" w:bidi="en-US"/>
    </w:rPr>
  </w:style>
  <w:style w:type="paragraph" w:styleId="1014">
    <w:name w:val="列出段落1"/>
    <w:basedOn w:val="931"/>
    <w:next w:val="1014"/>
    <w:link w:val="1013"/>
    <w:qFormat/>
    <w:pPr>
      <w:contextualSpacing/>
      <w:ind w:left="720"/>
      <w:jc w:val="left"/>
      <w:widowControl/>
    </w:pPr>
    <w:rPr>
      <w:sz w:val="24"/>
      <w:szCs w:val="24"/>
      <w:lang w:eastAsia="en-US" w:bidi="en-US"/>
    </w:rPr>
  </w:style>
  <w:style w:type="paragraph" w:styleId="1015">
    <w:name w:val="Body Text(ch)"/>
    <w:basedOn w:val="931"/>
    <w:next w:val="962"/>
    <w:link w:val="931"/>
    <w:pPr>
      <w:spacing w:after="120"/>
    </w:pPr>
    <w:rPr>
      <w:rFonts w:ascii="宋体" w:hAnsi="Arial" w:eastAsia="宋体" w:cs="Times New Roman"/>
      <w:bCs/>
      <w:iCs/>
      <w:szCs w:val="24"/>
    </w:rPr>
  </w:style>
  <w:style w:type="paragraph" w:styleId="1016">
    <w:name w:val="xl27"/>
    <w:basedOn w:val="931"/>
    <w:next w:val="1016"/>
    <w:link w:val="9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xl26"/>
    <w:basedOn w:val="931"/>
    <w:next w:val="1017"/>
    <w:link w:val="9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8">
    <w:name w:val="Char"/>
    <w:basedOn w:val="931"/>
    <w:next w:val="1018"/>
    <w:link w:val="931"/>
    <w:pPr>
      <w:ind w:firstLine="200"/>
      <w:tabs>
        <w:tab w:val="left" w:pos="360" w:leader="none"/>
      </w:tabs>
    </w:pPr>
    <w:rPr>
      <w:rFonts w:ascii="Times New Roman" w:hAnsi="Times New Roman" w:eastAsia="宋体" w:cs="Times New Roman"/>
      <w:sz w:val="28"/>
      <w:szCs w:val="30"/>
    </w:rPr>
  </w:style>
  <w:style w:type="paragraph" w:styleId="1019">
    <w:name w:val=" Char"/>
    <w:basedOn w:val="956"/>
    <w:next w:val="1019"/>
    <w:link w:val="931"/>
    <w:rPr>
      <w:rFonts w:ascii="Tahoma" w:hAnsi="Tahoma"/>
      <w:sz w:val="24"/>
      <w:szCs w:val="24"/>
    </w:rPr>
  </w:style>
  <w:style w:type="paragraph" w:styleId="1020">
    <w:name w:val="普通正文"/>
    <w:basedOn w:val="931"/>
    <w:next w:val="1020"/>
    <w:link w:val="931"/>
    <w:pPr>
      <w:ind w:firstLine="480"/>
      <w:jc w:val="left"/>
      <w:spacing w:before="120" w:after="120" w:line="360" w:lineRule="auto"/>
    </w:pPr>
    <w:rPr>
      <w:rFonts w:ascii="Arial" w:hAnsi="Arial" w:eastAsia="宋体" w:cs="Times New Roman"/>
      <w:sz w:val="24"/>
      <w:szCs w:val="24"/>
    </w:rPr>
  </w:style>
  <w:style w:type="paragraph" w:styleId="1021">
    <w:name w:val="table_lines"/>
    <w:basedOn w:val="931"/>
    <w:next w:val="1021"/>
    <w:link w:val="931"/>
    <w:pPr>
      <w:jc w:val="left"/>
      <w:widowControl/>
    </w:pPr>
    <w:rPr>
      <w:rFonts w:ascii="Times New Roman" w:hAnsi="Times New Roman" w:eastAsia="宋体" w:cs="Times New Roman"/>
      <w:sz w:val="20"/>
      <w:szCs w:val="20"/>
      <w:lang w:val="de-DE" w:eastAsia="de-DE"/>
    </w:rPr>
  </w:style>
  <w:style w:type="paragraph" w:styleId="1022">
    <w:name w:val="附录1"/>
    <w:next w:val="1022"/>
    <w:link w:val="931"/>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23">
    <w:name w:val="font7"/>
    <w:basedOn w:val="931"/>
    <w:next w:val="1023"/>
    <w:link w:val="931"/>
    <w:pPr>
      <w:jc w:val="left"/>
      <w:spacing w:before="100" w:beforeAutospacing="1" w:after="100" w:afterAutospacing="1"/>
      <w:widowControl/>
    </w:pPr>
    <w:rPr>
      <w:rFonts w:hint="eastAsia" w:ascii="宋体" w:hAnsi="宋体" w:eastAsia="宋体" w:cs="Times New Roman"/>
      <w:sz w:val="18"/>
      <w:szCs w:val="18"/>
    </w:rPr>
  </w:style>
  <w:style w:type="paragraph" w:styleId="1024">
    <w:name w:val=" Char Char Char Char"/>
    <w:basedOn w:val="956"/>
    <w:next w:val="1024"/>
    <w:link w:val="931"/>
    <w:pPr>
      <w:spacing w:line="360" w:lineRule="auto"/>
    </w:pPr>
    <w:rPr>
      <w:rFonts w:ascii="Tahoma" w:hAnsi="Tahoma"/>
      <w:sz w:val="24"/>
      <w:szCs w:val="24"/>
    </w:rPr>
  </w:style>
  <w:style w:type="paragraph" w:styleId="1025">
    <w:name w:val="列出段落"/>
    <w:basedOn w:val="931"/>
    <w:next w:val="1025"/>
    <w:link w:val="931"/>
    <w:qFormat/>
    <w:pPr>
      <w:contextualSpacing/>
      <w:ind w:left="720"/>
      <w:jc w:val="left"/>
      <w:widowControl/>
    </w:pPr>
    <w:rPr>
      <w:rFonts w:ascii="Calibri" w:hAnsi="Calibri" w:eastAsia="宋体" w:cs="Times New Roman"/>
      <w:sz w:val="24"/>
      <w:szCs w:val="24"/>
      <w:lang w:eastAsia="en-US" w:bidi="en-US"/>
    </w:rPr>
  </w:style>
  <w:style w:type="paragraph" w:styleId="1026">
    <w:name w:val="4"/>
    <w:basedOn w:val="931"/>
    <w:next w:val="986"/>
    <w:link w:val="931"/>
    <w:pPr>
      <w:ind w:firstLine="420"/>
      <w:spacing w:line="360" w:lineRule="auto"/>
    </w:pPr>
    <w:rPr>
      <w:rFonts w:ascii="Times New Roman" w:hAnsi="Times New Roman" w:eastAsia="宋体" w:cs="Times New Roman"/>
      <w:color w:val="ff0000"/>
      <w:sz w:val="24"/>
      <w:szCs w:val="24"/>
    </w:rPr>
  </w:style>
  <w:style w:type="paragraph" w:styleId="1027">
    <w:name w:val="普通 (Web)"/>
    <w:basedOn w:val="931"/>
    <w:next w:val="1027"/>
    <w:link w:val="931"/>
    <w:pPr>
      <w:jc w:val="left"/>
      <w:spacing w:before="100" w:beforeAutospacing="1" w:after="100" w:afterAutospacing="1"/>
      <w:widowControl/>
    </w:pPr>
    <w:rPr>
      <w:rFonts w:ascii="宋体" w:hAnsi="宋体" w:eastAsia="宋体" w:cs="Times New Roman"/>
      <w:sz w:val="24"/>
      <w:szCs w:val="24"/>
    </w:rPr>
  </w:style>
  <w:style w:type="paragraph" w:styleId="1028">
    <w:name w:val=" Char Char Char Char Char Char Char Char Char Char"/>
    <w:basedOn w:val="931"/>
    <w:next w:val="1028"/>
    <w:link w:val="931"/>
    <w:pPr>
      <w:spacing w:line="360" w:lineRule="auto"/>
    </w:pPr>
    <w:rPr>
      <w:rFonts w:ascii="Times New Roman" w:hAnsi="Times New Roman" w:eastAsia="宋体" w:cs="Times New Roman"/>
      <w:sz w:val="24"/>
      <w:szCs w:val="20"/>
    </w:rPr>
  </w:style>
  <w:style w:type="paragraph" w:styleId="1029">
    <w:name w:val="样式1"/>
    <w:basedOn w:val="931"/>
    <w:next w:val="1029"/>
    <w:link w:val="931"/>
    <w:pPr>
      <w:numPr>
        <w:ilvl w:val="0"/>
        <w:numId w:val="3"/>
      </w:numPr>
      <w:tabs>
        <w:tab w:val="left" w:pos="709" w:leader="none"/>
      </w:tabs>
    </w:pPr>
    <w:rPr>
      <w:rFonts w:ascii="宋体" w:hAnsi="宋体" w:eastAsia="宋体" w:cs="Times New Roman"/>
      <w:szCs w:val="21"/>
    </w:rPr>
  </w:style>
  <w:style w:type="paragraph" w:styleId="1030">
    <w:name w:val="font6"/>
    <w:basedOn w:val="931"/>
    <w:next w:val="1030"/>
    <w:link w:val="931"/>
    <w:pPr>
      <w:jc w:val="left"/>
      <w:spacing w:before="100" w:beforeAutospacing="1" w:after="100" w:afterAutospacing="1"/>
      <w:widowControl/>
    </w:pPr>
    <w:rPr>
      <w:rFonts w:hint="eastAsia" w:ascii="宋体" w:hAnsi="宋体" w:eastAsia="宋体" w:cs="Times New Roman"/>
      <w:sz w:val="28"/>
      <w:szCs w:val="28"/>
      <w:u w:val="single"/>
    </w:rPr>
  </w:style>
  <w:style w:type="paragraph" w:styleId="1031">
    <w:name w:val="xl25"/>
    <w:basedOn w:val="931"/>
    <w:next w:val="1031"/>
    <w:link w:val="93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2">
    <w:name w:val="图标"/>
    <w:basedOn w:val="931"/>
    <w:next w:val="931"/>
    <w:link w:val="93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3">
    <w:name w:val="标题3"/>
    <w:basedOn w:val="931"/>
    <w:next w:val="931"/>
    <w:link w:val="931"/>
    <w:pPr>
      <w:ind w:firstLine="624"/>
      <w:spacing w:line="590" w:lineRule="atLeast"/>
    </w:pPr>
    <w:rPr>
      <w:rFonts w:ascii="方正黑体_GBK" w:hAnsi="Times New Roman" w:eastAsia="方正黑体_GBK" w:cs="Times New Roman"/>
      <w:sz w:val="32"/>
      <w:szCs w:val="32"/>
    </w:rPr>
  </w:style>
  <w:style w:type="paragraph" w:styleId="1034">
    <w:name w:val="xl24"/>
    <w:basedOn w:val="931"/>
    <w:next w:val="1034"/>
    <w:link w:val="9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name w:val="xl29"/>
    <w:basedOn w:val="931"/>
    <w:next w:val="1035"/>
    <w:link w:val="93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6">
    <w:name w:val="Char Char Char Char Char Char Char Char"/>
    <w:basedOn w:val="931"/>
    <w:next w:val="1036"/>
    <w:link w:val="931"/>
    <w:pPr>
      <w:jc w:val="left"/>
      <w:spacing w:after="160" w:line="240" w:lineRule="exact"/>
      <w:widowControl/>
    </w:pPr>
    <w:rPr>
      <w:rFonts w:ascii="Verdana" w:hAnsi="Verdana" w:eastAsia="宋体" w:cs="Times New Roman"/>
      <w:sz w:val="20"/>
      <w:szCs w:val="20"/>
      <w:lang w:eastAsia="en-US"/>
    </w:rPr>
  </w:style>
  <w:style w:type="paragraph" w:styleId="1037">
    <w:name w:val="xl28"/>
    <w:basedOn w:val="931"/>
    <w:next w:val="1037"/>
    <w:link w:val="93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8">
    <w:name w:val=" Char Char Char Char Char Char Char Char"/>
    <w:basedOn w:val="931"/>
    <w:next w:val="1038"/>
    <w:link w:val="931"/>
    <w:pPr>
      <w:jc w:val="left"/>
      <w:spacing w:after="160" w:line="240" w:lineRule="exact"/>
      <w:widowControl/>
    </w:pPr>
    <w:rPr>
      <w:rFonts w:ascii="Verdana" w:hAnsi="Verdana" w:eastAsia="宋体" w:cs="Times New Roman"/>
      <w:sz w:val="20"/>
      <w:szCs w:val="20"/>
      <w:lang w:eastAsia="en-US"/>
    </w:rPr>
  </w:style>
  <w:style w:type="paragraph" w:styleId="1039">
    <w:name w:val="xl30"/>
    <w:basedOn w:val="931"/>
    <w:next w:val="1039"/>
    <w:link w:val="931"/>
    <w:pPr>
      <w:jc w:val="center"/>
      <w:spacing w:before="100" w:beforeAutospacing="1" w:after="100" w:afterAutospacing="1"/>
      <w:widowControl/>
    </w:pPr>
    <w:rPr>
      <w:rFonts w:ascii="宋体" w:hAnsi="宋体" w:eastAsia="宋体" w:cs="Times New Roman"/>
      <w:b/>
      <w:bCs/>
      <w:sz w:val="36"/>
      <w:szCs w:val="36"/>
    </w:rPr>
  </w:style>
  <w:style w:type="paragraph" w:styleId="1040">
    <w:name w:val="Char Char Char Char"/>
    <w:basedOn w:val="956"/>
    <w:next w:val="1040"/>
    <w:link w:val="931"/>
    <w:pPr>
      <w:spacing w:line="360" w:lineRule="auto"/>
    </w:pPr>
    <w:rPr>
      <w:rFonts w:ascii="Tahoma" w:hAnsi="Tahoma"/>
      <w:sz w:val="24"/>
      <w:szCs w:val="24"/>
    </w:rPr>
  </w:style>
  <w:style w:type="paragraph" w:styleId="1041">
    <w:name w:val="table_1stline"/>
    <w:basedOn w:val="931"/>
    <w:next w:val="1041"/>
    <w:link w:val="931"/>
    <w:pPr>
      <w:jc w:val="left"/>
      <w:spacing w:before="120"/>
      <w:widowControl/>
    </w:pPr>
    <w:rPr>
      <w:rFonts w:ascii="Times New Roman" w:hAnsi="Times New Roman" w:eastAsia="宋体" w:cs="Times New Roman"/>
      <w:bCs/>
      <w:sz w:val="20"/>
      <w:szCs w:val="20"/>
      <w:lang w:val="de-DE" w:eastAsia="de-DE"/>
    </w:rPr>
  </w:style>
  <w:style w:type="paragraph" w:styleId="1042">
    <w:name w:val="font5"/>
    <w:basedOn w:val="931"/>
    <w:next w:val="1042"/>
    <w:link w:val="931"/>
    <w:pPr>
      <w:jc w:val="left"/>
      <w:spacing w:before="100" w:beforeAutospacing="1" w:after="100" w:afterAutospacing="1"/>
      <w:widowControl/>
    </w:pPr>
    <w:rPr>
      <w:rFonts w:hint="eastAsia" w:ascii="宋体" w:hAnsi="宋体" w:eastAsia="宋体" w:cs="Times New Roman"/>
      <w:sz w:val="28"/>
      <w:szCs w:val="28"/>
    </w:rPr>
  </w:style>
  <w:style w:type="paragraph" w:styleId="1043">
    <w:name w:val="标题1"/>
    <w:basedOn w:val="931"/>
    <w:next w:val="931"/>
    <w:link w:val="93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4">
    <w:name w:val="修订"/>
    <w:next w:val="1044"/>
    <w:link w:val="931"/>
    <w:uiPriority w:val="99"/>
    <w:semiHidden/>
    <w:rPr>
      <w:rFonts w:ascii="Times New Roman" w:hAnsi="Times New Roman"/>
      <w:sz w:val="21"/>
      <w:szCs w:val="21"/>
      <w:lang w:val="en-US" w:eastAsia="zh-CN" w:bidi="ar-SA"/>
    </w:rPr>
  </w:style>
  <w:style w:type="paragraph" w:styleId="1045">
    <w:name w:val="无间隔"/>
    <w:next w:val="1045"/>
    <w:link w:val="931"/>
    <w:uiPriority w:val="99"/>
    <w:qFormat/>
    <w:pPr>
      <w:jc w:val="both"/>
      <w:widowControl w:val="off"/>
    </w:pPr>
    <w:rPr>
      <w:rFonts w:ascii="Times New Roman" w:hAnsi="Times New Roman"/>
      <w:sz w:val="21"/>
      <w:szCs w:val="21"/>
      <w:lang w:val="en-US" w:eastAsia="zh-CN" w:bidi="ar-SA"/>
    </w:rPr>
  </w:style>
  <w:style w:type="paragraph" w:styleId="1046">
    <w:name w:val="引文目录标题1"/>
    <w:basedOn w:val="931"/>
    <w:next w:val="931"/>
    <w:link w:val="931"/>
    <w:qFormat/>
    <w:pPr>
      <w:spacing w:before="120"/>
    </w:pPr>
    <w:rPr>
      <w:rFonts w:ascii="Arial" w:hAnsi="Arial"/>
      <w:sz w:val="24"/>
    </w:rPr>
  </w:style>
  <w:style w:type="paragraph" w:styleId="1047">
    <w:name w:val="AONormal"/>
    <w:next w:val="1047"/>
    <w:link w:val="931"/>
    <w:qFormat/>
    <w:pPr>
      <w:ind w:firstLine="440"/>
      <w:spacing w:line="400" w:lineRule="exact"/>
    </w:pPr>
    <w:rPr>
      <w:rFonts w:ascii="华文楷体" w:hAnsi="华文楷体" w:eastAsia="华文楷体" w:cs="华文楷体"/>
      <w:sz w:val="22"/>
      <w:szCs w:val="21"/>
      <w:lang w:val="en-US" w:eastAsia="zh-CN" w:bidi="ar-SA"/>
    </w:rPr>
  </w:style>
  <w:style w:type="paragraph" w:styleId="1048">
    <w:name w:val="文本块1"/>
    <w:basedOn w:val="931"/>
    <w:next w:val="1048"/>
    <w:link w:val="931"/>
    <w:uiPriority w:val="99"/>
    <w:unhideWhenUsed/>
    <w:qFormat/>
    <w:pPr>
      <w:ind w:left="1440" w:right="700"/>
      <w:spacing w:after="120"/>
    </w:pPr>
  </w:style>
  <w:style w:type="paragraph" w:styleId="1049">
    <w:name w:val="正文文本11"/>
    <w:basedOn w:val="931"/>
    <w:next w:val="931"/>
    <w:link w:val="931"/>
    <w:qFormat/>
    <w:rPr>
      <w:rFonts w:ascii="楷体_GB2312" w:hAnsi="Arial" w:eastAsia="楷体_GB2312"/>
      <w:sz w:val="28"/>
      <w:szCs w:val="28"/>
    </w:rPr>
  </w:style>
  <w:style w:type="paragraph" w:styleId="1050">
    <w:name w:val="正文首行缩进1"/>
    <w:basedOn w:val="1051"/>
    <w:next w:val="1050"/>
    <w:link w:val="931"/>
    <w:qFormat/>
    <w:pPr>
      <w:ind w:firstLine="200"/>
      <w:spacing w:line="360" w:lineRule="auto"/>
    </w:pPr>
    <w:rPr>
      <w:rFonts w:ascii="方正仿宋_GB2312" w:hAnsi="Times New Roman" w:eastAsia="方正仿宋_GB2312"/>
      <w:sz w:val="30"/>
      <w:szCs w:val="30"/>
    </w:rPr>
  </w:style>
  <w:style w:type="paragraph" w:styleId="1051">
    <w:name w:val="正文文本1"/>
    <w:basedOn w:val="931"/>
    <w:next w:val="931"/>
    <w:link w:val="931"/>
    <w:qFormat/>
    <w:rPr>
      <w:rFonts w:ascii="方正楷体_GB2312" w:hAnsi="Arial" w:eastAsia="方正楷体_GB2312"/>
      <w:sz w:val="28"/>
      <w:szCs w:val="28"/>
    </w:rPr>
  </w:style>
  <w:style w:type="paragraph" w:styleId="1052">
    <w:name w:val="TOC 标题11"/>
    <w:next w:val="931"/>
    <w:link w:val="931"/>
    <w:uiPriority w:val="39"/>
    <w:qFormat/>
    <w:pPr>
      <w:keepLines/>
      <w:keepNext/>
      <w:spacing w:before="480" w:line="276" w:lineRule="auto"/>
    </w:pPr>
    <w:rPr>
      <w:rFonts w:ascii="Cambria" w:hAnsi="Cambria" w:eastAsia="宋体" w:cs="Times New Roman"/>
      <w:b/>
      <w:bCs/>
      <w:color w:val="365f91"/>
      <w:sz w:val="28"/>
      <w:szCs w:val="28"/>
      <w:lang w:val="en-US" w:eastAsia="zh-CN" w:bidi="ar-SA"/>
    </w:rPr>
  </w:style>
  <w:style w:type="character" w:styleId="1053">
    <w:name w:val="font21"/>
    <w:next w:val="1053"/>
    <w:link w:val="931"/>
    <w:qFormat/>
    <w:rPr>
      <w:rFonts w:hint="eastAsia" w:ascii="宋体" w:hAnsi="宋体" w:eastAsia="宋体" w:cs="宋体"/>
      <w:color w:val="000000"/>
      <w:sz w:val="20"/>
      <w:szCs w:val="20"/>
      <w:u w:val="none"/>
    </w:rPr>
  </w:style>
  <w:style w:type="character" w:styleId="1054" w:default="1">
    <w:name w:val="Default Paragraph Font"/>
    <w:uiPriority w:val="1"/>
    <w:semiHidden/>
    <w:unhideWhenUsed/>
  </w:style>
  <w:style w:type="numbering" w:styleId="1055" w:default="1">
    <w:name w:val="No List"/>
    <w:uiPriority w:val="99"/>
    <w:semiHidden/>
    <w:unhideWhenUsed/>
  </w:style>
  <w:style w:type="table" w:styleId="10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8</cp:revision>
  <dcterms:created xsi:type="dcterms:W3CDTF">2023-12-25T07:48:00Z</dcterms:created>
  <dcterms:modified xsi:type="dcterms:W3CDTF">2026-10-22T09:16:42Z</dcterms:modified>
</cp:coreProperties>
</file>