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spacing w:before="120" w:beforeAutospacing="0" w:after="120" w:afterAutospacing="0" w:line="360" w:lineRule="auto"/>
        <w:rPr>
          <w:highlight w:val="none"/>
        </w:rPr>
      </w:pPr>
      <w:r>
        <w:rPr>
          <w:highlight w:val="none"/>
        </w:rPr>
        <w:t xml:space="preserve"> </w:t>
      </w:r>
      <w:r>
        <w:rPr>
          <w:highlight w:val="none"/>
        </w:rPr>
      </w:r>
      <w:r/>
    </w:p>
    <w:p>
      <w:pPr>
        <w:pStyle w:val="871"/>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rPr>
          <w:highlight w:val="none"/>
        </w:rPr>
      </w:r>
      <w:r/>
    </w:p>
    <w:p>
      <w:pPr>
        <w:pStyle w:val="871"/>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rPr>
          <w:highlight w:val="none"/>
        </w:rPr>
      </w:r>
      <w:r/>
    </w:p>
    <w:p>
      <w:pPr>
        <w:pStyle w:val="871"/>
        <w:ind w:firstLine="643"/>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rPr>
          <w:highlight w:val="none"/>
        </w:rPr>
      </w:r>
      <w:r/>
    </w:p>
    <w:p>
      <w:pPr>
        <w:pStyle w:val="871"/>
        <w:ind w:firstLine="643"/>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rPr>
          <w:highlight w:val="none"/>
        </w:rPr>
      </w:r>
      <w:r/>
    </w:p>
    <w:p>
      <w:pPr>
        <w:pStyle w:val="871"/>
        <w:ind w:firstLine="562"/>
        <w:spacing w:before="120" w:beforeAutospacing="0" w:after="120" w:afterAutospacing="0" w:line="360" w:lineRule="auto"/>
        <w:rPr>
          <w:sz w:val="22"/>
          <w:szCs w:val="22"/>
          <w:highlight w:val="none"/>
        </w:rPr>
      </w:pPr>
      <w:r>
        <w:rPr>
          <w:rFonts w:ascii="Arial" w:hAnsi="Arial" w:cs="Arial"/>
          <w:b/>
          <w:sz w:val="28"/>
          <w:szCs w:val="28"/>
          <w:highlight w:val="none"/>
        </w:rPr>
        <w:t xml:space="preserve">项目名称：</w:t>
      </w:r>
      <w:r>
        <w:rPr>
          <w:rFonts w:hint="eastAsia" w:ascii="Arial" w:hAnsi="Arial" w:cs="Arial"/>
          <w:b/>
          <w:sz w:val="28"/>
          <w:szCs w:val="28"/>
          <w:highlight w:val="none"/>
        </w:rPr>
        <w:t xml:space="preserve">江苏滨海经济开发区</w:t>
      </w:r>
      <w:r>
        <w:rPr>
          <w:rFonts w:hint="eastAsia"/>
          <w:b/>
          <w:bCs/>
          <w:sz w:val="28"/>
          <w:szCs w:val="36"/>
          <w:highlight w:val="none"/>
        </w:rPr>
        <w:t xml:space="preserve">沿海工业园规划环评修编项目</w:t>
      </w:r>
      <w:r>
        <w:rPr>
          <w:highlight w:val="none"/>
        </w:rPr>
      </w:r>
      <w:r/>
    </w:p>
    <w:p>
      <w:pPr>
        <w:pStyle w:val="871"/>
        <w:ind w:firstLine="562"/>
        <w:jc w:val="both"/>
        <w:spacing w:beforeAutospacing="0" w:afterAutospacing="0"/>
        <w:rPr>
          <w:sz w:val="22"/>
          <w:szCs w:val="22"/>
          <w:highlight w:val="none"/>
        </w:rPr>
      </w:pPr>
      <w:r>
        <w:rPr>
          <w:rFonts w:ascii="Times New Roman" w:hAnsi="Times New Roman"/>
          <w:b/>
          <w:sz w:val="28"/>
          <w:szCs w:val="28"/>
          <w:highlight w:val="none"/>
        </w:rPr>
        <w:t xml:space="preserve">项目编号：</w:t>
      </w:r>
      <w:r>
        <w:rPr>
          <w:rFonts w:hint="eastAsia" w:ascii="Times New Roman" w:hAnsi="Times New Roman"/>
          <w:b/>
          <w:sz w:val="28"/>
          <w:szCs w:val="28"/>
          <w:highlight w:val="none"/>
        </w:rPr>
        <w:t xml:space="preserve">JSZC-320922-YCSH-G2026-0006</w:t>
      </w:r>
      <w:r>
        <w:rPr>
          <w:rFonts w:hint="eastAsia" w:ascii="Times New Roman" w:hAnsi="Times New Roman"/>
          <w:b/>
          <w:sz w:val="28"/>
          <w:szCs w:val="28"/>
          <w:highlight w:val="none"/>
        </w:rPr>
        <w:tab/>
      </w:r>
      <w:r>
        <w:rPr>
          <w:rFonts w:hint="eastAsia" w:ascii="Times New Roman" w:hAnsi="Times New Roman"/>
          <w:b/>
          <w:sz w:val="28"/>
          <w:szCs w:val="28"/>
          <w:highlight w:val="none"/>
        </w:rPr>
        <w:t xml:space="preserve"> </w:t>
      </w:r>
      <w:r>
        <w:rPr>
          <w:highlight w:val="none"/>
        </w:rPr>
      </w:r>
      <w:r/>
    </w:p>
    <w:p>
      <w:pPr>
        <w:pStyle w:val="871"/>
        <w:spacing w:beforeAutospacing="0" w:afterAutospacing="0" w:line="360" w:lineRule="auto"/>
        <w:rPr>
          <w:highlight w:val="none"/>
        </w:rPr>
      </w:pPr>
      <w:r>
        <w:rPr>
          <w:highlight w:val="none"/>
        </w:rPr>
        <w:t xml:space="preserve"> </w:t>
      </w:r>
      <w:r>
        <w:rPr>
          <w:highlight w:val="none"/>
        </w:rPr>
      </w:r>
      <w:r/>
    </w:p>
    <w:p>
      <w:pPr>
        <w:pStyle w:val="871"/>
        <w:spacing w:beforeAutospacing="0" w:afterAutospacing="0" w:line="360" w:lineRule="auto"/>
        <w:rPr>
          <w:highlight w:val="none"/>
        </w:rPr>
      </w:pPr>
      <w:r>
        <w:rPr>
          <w:highlight w:val="none"/>
        </w:rPr>
        <w:t xml:space="preserve"> </w:t>
      </w:r>
      <w:r>
        <w:rPr>
          <w:highlight w:val="none"/>
        </w:rPr>
      </w:r>
      <w:r/>
    </w:p>
    <w:p>
      <w:pPr>
        <w:pStyle w:val="871"/>
        <w:spacing w:beforeAutospacing="0" w:afterAutospacing="0" w:line="360" w:lineRule="auto"/>
        <w:rPr>
          <w:highlight w:val="none"/>
        </w:rPr>
      </w:pPr>
      <w:r>
        <w:rPr>
          <w:highlight w:val="none"/>
        </w:rPr>
        <w:t xml:space="preserve"> </w:t>
      </w:r>
      <w:r>
        <w:rPr>
          <w:highlight w:val="none"/>
        </w:rPr>
      </w:r>
      <w:r/>
    </w:p>
    <w:p>
      <w:pPr>
        <w:pStyle w:val="871"/>
        <w:spacing w:beforeAutospacing="0" w:afterAutospacing="0" w:line="360" w:lineRule="auto"/>
        <w:rPr>
          <w:highlight w:val="none"/>
        </w:rPr>
      </w:pPr>
      <w:r>
        <w:rPr>
          <w:highlight w:val="none"/>
        </w:rPr>
        <w:t xml:space="preserve"> </w:t>
      </w:r>
      <w:r>
        <w:rPr>
          <w:highlight w:val="none"/>
        </w:rPr>
      </w:r>
      <w:r/>
    </w:p>
    <w:p>
      <w:pPr>
        <w:pStyle w:val="871"/>
        <w:spacing w:beforeAutospacing="0" w:afterAutospacing="0" w:line="360" w:lineRule="auto"/>
        <w:rPr>
          <w:highlight w:val="none"/>
        </w:rPr>
      </w:pPr>
      <w:r>
        <w:rPr>
          <w:highlight w:val="none"/>
        </w:rPr>
        <w:t xml:space="preserve"> </w:t>
      </w:r>
      <w:r>
        <w:rPr>
          <w:highlight w:val="none"/>
        </w:rPr>
      </w:r>
      <w:r/>
    </w:p>
    <w:p>
      <w:pPr>
        <w:pStyle w:val="871"/>
        <w:spacing w:beforeAutospacing="0" w:afterAutospacing="0" w:line="360" w:lineRule="auto"/>
        <w:rPr>
          <w:highlight w:val="none"/>
        </w:rPr>
      </w:pPr>
      <w:r>
        <w:rPr>
          <w:highlight w:val="none"/>
        </w:rPr>
        <w:t xml:space="preserve"> </w:t>
      </w:r>
      <w:r>
        <w:rPr>
          <w:highlight w:val="none"/>
        </w:rPr>
      </w:r>
      <w:r/>
    </w:p>
    <w:p>
      <w:pPr>
        <w:pStyle w:val="871"/>
        <w:spacing w:beforeAutospacing="0" w:afterAutospacing="0" w:line="360" w:lineRule="auto"/>
        <w:rPr>
          <w:highlight w:val="none"/>
        </w:rPr>
      </w:pPr>
      <w:r>
        <w:rPr>
          <w:highlight w:val="none"/>
        </w:rPr>
        <w:t xml:space="preserve"> </w:t>
      </w:r>
      <w:r>
        <w:rPr>
          <w:highlight w:val="none"/>
        </w:rPr>
      </w:r>
      <w:r/>
    </w:p>
    <w:p>
      <w:pPr>
        <w:pStyle w:val="871"/>
        <w:ind w:firstLine="643"/>
        <w:jc w:val="center"/>
        <w:spacing w:before="120" w:beforeAutospacing="0" w:after="120" w:afterAutospacing="0" w:line="360" w:lineRule="auto"/>
        <w:rPr>
          <w:rFonts w:ascii="Arial" w:hAnsi="Arial" w:cs="Arial"/>
          <w:b/>
          <w:sz w:val="32"/>
          <w:szCs w:val="32"/>
          <w:highlight w:val="none"/>
        </w:rPr>
      </w:pPr>
      <w:r>
        <w:rPr>
          <w:rFonts w:hint="eastAsia" w:ascii="Arial" w:hAnsi="Arial" w:cs="Arial"/>
          <w:b/>
          <w:sz w:val="32"/>
          <w:szCs w:val="32"/>
          <w:highlight w:val="none"/>
        </w:rPr>
        <w:t xml:space="preserve">采购单位：江苏滨海经济开发区沿海工业园管理委员会</w:t>
      </w:r>
      <w:r>
        <w:rPr>
          <w:highlight w:val="none"/>
        </w:rPr>
      </w:r>
      <w:r/>
    </w:p>
    <w:p>
      <w:pPr>
        <w:pStyle w:val="871"/>
        <w:ind w:firstLine="643"/>
        <w:jc w:val="center"/>
        <w:spacing w:before="120" w:beforeAutospacing="0" w:after="120" w:afterAutospacing="0" w:line="360" w:lineRule="auto"/>
        <w:rPr>
          <w:highlight w:val="none"/>
        </w:rPr>
      </w:pPr>
      <w:r>
        <w:rPr>
          <w:rFonts w:hint="eastAsia" w:ascii="Arial" w:hAnsi="Arial" w:cs="Arial"/>
          <w:b/>
          <w:sz w:val="32"/>
          <w:szCs w:val="32"/>
          <w:highlight w:val="none"/>
        </w:rPr>
        <w:t xml:space="preserve">2026</w:t>
      </w:r>
      <w:r>
        <w:rPr>
          <w:rFonts w:ascii="Arial" w:hAnsi="Arial" w:cs="Arial"/>
          <w:b/>
          <w:sz w:val="32"/>
          <w:szCs w:val="32"/>
          <w:highlight w:val="none"/>
        </w:rPr>
        <w:t xml:space="preserve">年</w:t>
      </w:r>
      <w:r>
        <w:rPr>
          <w:rFonts w:hint="eastAsia" w:ascii="Arial" w:hAnsi="Arial" w:cs="Arial"/>
          <w:b/>
          <w:sz w:val="32"/>
          <w:szCs w:val="32"/>
          <w:highlight w:val="none"/>
        </w:rPr>
        <w:t xml:space="preserve">9</w:t>
      </w:r>
      <w:r>
        <w:rPr>
          <w:rFonts w:ascii="Arial" w:hAnsi="Arial" w:cs="Arial"/>
          <w:b/>
          <w:sz w:val="32"/>
          <w:szCs w:val="32"/>
          <w:highlight w:val="none"/>
        </w:rPr>
        <w:t xml:space="preserve">月</w:t>
      </w:r>
      <w:r>
        <w:rPr>
          <w:highlight w:val="none"/>
        </w:rPr>
      </w:r>
      <w:r/>
    </w:p>
    <w:p>
      <w:pPr>
        <w:pStyle w:val="871"/>
        <w:spacing w:before="120" w:beforeAutospacing="0" w:after="120" w:afterAutospacing="0" w:line="360" w:lineRule="auto"/>
        <w:rPr>
          <w:highlight w:val="none"/>
        </w:rPr>
      </w:pPr>
      <w:r>
        <w:rPr>
          <w:rFonts w:ascii="Arial" w:hAnsi="Arial" w:cs="Arial"/>
          <w:highlight w:val="none"/>
        </w:rPr>
        <w:t xml:space="preserve">                        </w:t>
      </w:r>
      <w:r>
        <w:rPr>
          <w:highlight w:val="none"/>
        </w:rPr>
      </w:r>
      <w:r/>
    </w:p>
    <w:p>
      <w:pPr>
        <w:pStyle w:val="871"/>
        <w:jc w:val="center"/>
        <w:spacing w:before="120" w:beforeAutospacing="0" w:after="120" w:afterAutospacing="0" w:line="360" w:lineRule="auto"/>
        <w:rPr>
          <w:highlight w:val="none"/>
        </w:rPr>
      </w:pPr>
      <w:r>
        <w:rPr>
          <w:highlight w:val="none"/>
        </w:rPr>
        <w:t xml:space="preserve"> </w:t>
      </w:r>
      <w:r>
        <w:rPr>
          <w:highlight w:val="none"/>
        </w:rPr>
      </w:r>
      <w:r/>
    </w:p>
    <w:p>
      <w:pPr>
        <w:pStyle w:val="871"/>
        <w:ind w:firstLine="42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r>
        <w:rPr>
          <w:highlight w:val="none"/>
        </w:rPr>
      </w:r>
      <w:r/>
    </w:p>
    <w:p>
      <w:pPr>
        <w:pStyle w:val="871"/>
        <w:ind w:firstLine="42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rPr>
          <w:highlight w:val="none"/>
        </w:rPr>
      </w:r>
      <w:r/>
    </w:p>
    <w:p>
      <w:pPr>
        <w:pStyle w:val="871"/>
        <w:ind w:firstLine="42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rPr>
          <w:highlight w:val="none"/>
        </w:rPr>
      </w:r>
      <w:r/>
    </w:p>
    <w:p>
      <w:pPr>
        <w:pStyle w:val="871"/>
        <w:ind w:firstLine="420"/>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479757206"/>
      <w:r>
        <w:rPr>
          <w:highlight w:val="none"/>
        </w:rPr>
      </w:r>
      <w:bookmarkStart w:id="1" w:name="_Toc523127445"/>
      <w:r>
        <w:rPr>
          <w:highlight w:val="none"/>
        </w:rPr>
      </w:r>
      <w:bookmarkStart w:id="2" w:name="_Toc513029200"/>
      <w:r>
        <w:rPr>
          <w:highlight w:val="none"/>
        </w:rPr>
      </w:r>
      <w:bookmarkStart w:id="3" w:name="_Toc16938516"/>
      <w:r>
        <w:rPr>
          <w:highlight w:val="none"/>
        </w:rPr>
      </w:r>
      <w:bookmarkStart w:id="4" w:name="_Toc120614210"/>
      <w:r>
        <w:rPr>
          <w:highlight w:val="none"/>
        </w:rPr>
      </w:r>
      <w:bookmarkStart w:id="5" w:name="_Toc20823272"/>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r/>
    </w:p>
    <w:p>
      <w:pPr>
        <w:pStyle w:val="871"/>
        <w:jc w:val="both"/>
        <w:spacing w:beforeAutospacing="0" w:afterAutospacing="0" w:line="480" w:lineRule="auto"/>
        <w:rPr>
          <w:highlight w:val="none"/>
        </w:rPr>
      </w:pPr>
      <w:r>
        <w:rPr>
          <w:highlight w:val="none"/>
        </w:rPr>
        <w:t xml:space="preserve"> </w:t>
      </w:r>
      <w:r>
        <w:rPr>
          <w:highlight w:val="none"/>
        </w:rPr>
      </w:r>
      <w:r/>
    </w:p>
    <w:p>
      <w:pPr>
        <w:pStyle w:val="871"/>
        <w:ind w:firstLine="720"/>
        <w:jc w:val="both"/>
        <w:spacing w:beforeAutospacing="0" w:afterAutospacing="0" w:line="480" w:lineRule="auto"/>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t xml:space="preserve">招标公告……………………………………</w:t>
      </w:r>
      <w:r>
        <w:rPr>
          <w:highlight w:val="none"/>
        </w:rPr>
      </w:r>
      <w:r/>
    </w:p>
    <w:p>
      <w:pPr>
        <w:pStyle w:val="871"/>
        <w:ind w:firstLine="72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rPr>
          <w:highlight w:val="none"/>
        </w:rPr>
      </w:r>
      <w:r/>
    </w:p>
    <w:p>
      <w:pPr>
        <w:pStyle w:val="871"/>
        <w:ind w:firstLine="72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rPr>
          <w:highlight w:val="none"/>
        </w:rPr>
      </w:r>
      <w:r/>
    </w:p>
    <w:p>
      <w:pPr>
        <w:pStyle w:val="871"/>
        <w:ind w:firstLine="72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rPr>
          <w:highlight w:val="none"/>
        </w:rPr>
      </w:r>
      <w:r/>
    </w:p>
    <w:p>
      <w:pPr>
        <w:pStyle w:val="871"/>
        <w:ind w:firstLine="72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rPr>
          <w:highlight w:val="none"/>
        </w:rPr>
      </w:r>
      <w:r/>
    </w:p>
    <w:p>
      <w:pPr>
        <w:pStyle w:val="871"/>
        <w:ind w:firstLine="72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ind w:firstLine="880"/>
        <w:jc w:val="center"/>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t xml:space="preserve">第一章 招标公告</w:t>
      </w:r>
      <w:r>
        <w:rPr>
          <w:highlight w:val="none"/>
        </w:rPr>
      </w:r>
      <w:r/>
    </w:p>
    <w:p>
      <w:pPr>
        <w:pStyle w:val="871"/>
        <w:ind w:firstLine="880"/>
        <w:jc w:val="center"/>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rPr>
          <w:highlight w:val="none"/>
        </w:rPr>
      </w:r>
      <w:r/>
    </w:p>
    <w:p>
      <w:pPr>
        <w:pStyle w:val="871"/>
        <w:ind w:firstLine="480"/>
        <w:jc w:val="both"/>
        <w:spacing w:beforeAutospacing="0" w:afterAutospacing="0" w:line="360" w:lineRule="auto"/>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rPr>
        <w:t xml:space="preserve">项目概况</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u w:val="single"/>
        </w:rPr>
        <w:t xml:space="preserve">江苏滨海经济开发区沿海工业园规划环评修编项目</w:t>
      </w:r>
      <w:r>
        <w:rPr>
          <w:rFonts w:hint="eastAsia" w:ascii="宋体" w:hAnsi="宋体" w:eastAsia="宋体" w:cs="宋体"/>
          <w:highlight w:val="none"/>
        </w:rPr>
        <w:t xml:space="preserve">招标项目的潜在投标人可在</w:t>
      </w:r>
      <w:r>
        <w:rPr>
          <w:rFonts w:hint="eastAsia" w:ascii="宋体" w:hAnsi="宋体" w:eastAsia="宋体" w:cs="宋体"/>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highlight w:val="none"/>
        </w:rPr>
        <w:t xml:space="preserve">，并于</w:t>
      </w:r>
      <w:r>
        <w:rPr>
          <w:rFonts w:hint="eastAsia" w:ascii="宋体" w:hAnsi="宋体" w:eastAsia="宋体" w:cs="宋体"/>
          <w:highlight w:val="none"/>
          <w:u w:val="single"/>
        </w:rPr>
        <w:t xml:space="preserve">2026年</w:t>
      </w:r>
      <w:r>
        <w:rPr>
          <w:rFonts w:hint="eastAsia" w:ascii="宋体" w:hAnsi="宋体" w:eastAsia="宋体" w:cs="宋体"/>
          <w:highlight w:val="none"/>
          <w:u w:val="single"/>
          <w:lang w:val="en-US" w:eastAsia="zh-CN"/>
        </w:rPr>
        <w:t xml:space="preserve">10</w:t>
      </w:r>
      <w:r>
        <w:rPr>
          <w:rFonts w:hint="eastAsia" w:ascii="宋体" w:hAnsi="宋体" w:eastAsia="宋体" w:cs="宋体"/>
          <w:highlight w:val="none"/>
          <w:u w:val="single"/>
        </w:rPr>
        <w:t xml:space="preserve">月</w:t>
      </w:r>
      <w:r>
        <w:rPr>
          <w:rFonts w:hint="eastAsia" w:ascii="宋体" w:hAnsi="宋体" w:eastAsia="宋体" w:cs="宋体"/>
          <w:highlight w:val="none"/>
          <w:u w:val="single"/>
          <w:lang w:val="en-US" w:eastAsia="zh-CN"/>
        </w:rPr>
        <w:t xml:space="preserve">13</w:t>
      </w:r>
      <w:r>
        <w:rPr>
          <w:rFonts w:hint="eastAsia" w:ascii="宋体" w:hAnsi="宋体" w:eastAsia="宋体" w:cs="宋体"/>
          <w:highlight w:val="none"/>
          <w:u w:val="single"/>
        </w:rPr>
        <w:t xml:space="preserve">日09点00分（</w:t>
      </w:r>
      <w:r>
        <w:rPr>
          <w:rFonts w:hint="eastAsia" w:ascii="宋体" w:hAnsi="宋体" w:eastAsia="宋体" w:cs="宋体"/>
          <w:highlight w:val="none"/>
        </w:rPr>
        <w:t xml:space="preserve">北京时间）前递交投标文件。</w:t>
      </w:r>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highlight w:val="none"/>
        </w:rPr>
      </w:r>
      <w:bookmarkStart w:id="6" w:name="_Toc28359079"/>
      <w:r>
        <w:rPr>
          <w:highlight w:val="none"/>
        </w:rPr>
      </w:r>
      <w:bookmarkStart w:id="7" w:name="_Hlk24379207"/>
      <w:r>
        <w:rPr>
          <w:highlight w:val="none"/>
        </w:rPr>
      </w:r>
      <w:bookmarkStart w:id="8" w:name="_Toc35393790"/>
      <w:r>
        <w:rPr>
          <w:highlight w:val="none"/>
        </w:rPr>
      </w:r>
      <w:bookmarkStart w:id="9" w:name="_Toc38985263"/>
      <w:r>
        <w:rPr>
          <w:highlight w:val="none"/>
        </w:rPr>
      </w:r>
      <w:bookmarkStart w:id="10" w:name="_Toc28359002"/>
      <w:r>
        <w:rPr>
          <w:highlight w:val="none"/>
        </w:rPr>
      </w:r>
      <w:bookmarkStart w:id="11" w:name="_Toc35393621"/>
      <w:r>
        <w:rPr>
          <w:rFonts w:hint="eastAsia" w:ascii="宋体" w:hAnsi="宋体" w:eastAsia="宋体" w:cs="宋体"/>
          <w:b/>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bookmarkEnd w:id="11"/>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1.项目编号：JSZC-320922-YCSH-G2026-0006 </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2.项目名称：江苏滨海经济开发区沿海工业园规划环评修编项目</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shd w:val="clear" w:color="auto" w:fill="ffffff"/>
        </w:rPr>
        <w:t xml:space="preserve">3.采购方式：公开招标</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4.预算金额</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300万元</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5.最高限价（如有）：300万元</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6.采购需求（简介）：根据《规划环境影响评价条例》、《规划环境影响评价技术导则总纲》(HJ130-2014)、《规划环境影响评价技术导则产业园区》(HJ131-2021)等法律法规、政策规范要求，结合沿海工业园产业发展需求，编制新一轮沿海工业园开发建设规划和规划</w:t>
      </w:r>
      <w:r>
        <w:rPr>
          <w:rFonts w:hint="eastAsia" w:ascii="宋体" w:hAnsi="宋体" w:eastAsia="宋体" w:cs="宋体"/>
          <w:color w:val="000000" w:themeColor="text1"/>
          <w:highlight w:val="none"/>
          <w14:textFill>
            <w14:solidFill>
              <w14:schemeClr w14:val="tx1"/>
            </w14:solidFill>
          </w14:textFill>
        </w:rPr>
        <w:t xml:space="preserve">生态环境影响报告书，规划与规划环评报告书送审稿编制完成后一并送至省生态环境厅</w:t>
      </w:r>
      <w:r>
        <w:rPr>
          <w:rFonts w:hint="eastAsia" w:ascii="宋体" w:hAnsi="宋体" w:eastAsia="宋体" w:cs="宋体"/>
          <w:highlight w:val="none"/>
        </w:rPr>
        <w:t xml:space="preserve">，由省生态环境厅组织技术审查、行政审查后出具最终审查意见。（详细内容见本招标文件第四章）。</w:t>
      </w:r>
      <w:r>
        <w:rPr>
          <w:highlight w:val="none"/>
        </w:rPr>
      </w:r>
      <w:r/>
    </w:p>
    <w:p>
      <w:pPr>
        <w:pStyle w:val="871"/>
        <w:ind w:firstLine="480"/>
        <w:jc w:val="both"/>
        <w:spacing w:beforeAutospacing="0" w:afterAutospacing="0" w:line="360" w:lineRule="auto"/>
        <w:rPr>
          <w:rFonts w:hint="eastAsia" w:ascii="宋体" w:hAnsi="宋体" w:eastAsia="宋体" w:cs="宋体"/>
          <w:color w:val="ee0000"/>
          <w:highlight w:val="none"/>
        </w:rPr>
      </w:pPr>
      <w:r>
        <w:rPr>
          <w:rFonts w:hint="eastAsia" w:ascii="宋体" w:hAnsi="宋体" w:eastAsia="宋体" w:cs="宋体"/>
          <w:highlight w:val="none"/>
        </w:rPr>
        <w:t xml:space="preserve">7.合同履行期限： </w:t>
      </w:r>
      <w:r>
        <w:rPr>
          <w:rFonts w:hint="eastAsia" w:ascii="宋体" w:hAnsi="宋体" w:eastAsia="宋体" w:cs="宋体"/>
          <w:color w:val="000000" w:themeColor="text1"/>
          <w:highlight w:val="none"/>
          <w14:textFill>
            <w14:solidFill>
              <w14:schemeClr w14:val="tx1"/>
            </w14:solidFill>
          </w14:textFill>
        </w:rPr>
        <w:t xml:space="preserve">自合同签订之日起180日历天内完成开发建设规划和规划生态环境影响报告书(送审稿)提交主管部门审查，按照主管部门审查时限要求完成修改上报，最终报告应取得主管部门审查意见。</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8.本项目（是/否）接受联合体参与招标：</w:t>
      </w:r>
      <w:r>
        <w:rPr>
          <w:rFonts w:hint="eastAsia" w:ascii="宋体" w:hAnsi="宋体" w:eastAsia="宋体" w:cs="宋体"/>
          <w:color w:val="000000" w:themeColor="text1"/>
          <w:highlight w:val="none"/>
          <w14:textFill>
            <w14:solidFill>
              <w14:schemeClr w14:val="tx1"/>
            </w14:solidFill>
          </w14:textFill>
        </w:rPr>
        <w:t xml:space="preserve">否</w:t>
      </w:r>
      <w:r>
        <w:rPr>
          <w:rFonts w:hint="eastAsia" w:ascii="宋体" w:hAnsi="宋体" w:eastAsia="宋体" w:cs="宋体"/>
          <w:highlight w:val="none"/>
        </w:rPr>
        <w:t xml:space="preserve">。</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9.本项目是否专门面向中小企业采购项目：</w:t>
      </w:r>
      <w:r>
        <w:rPr>
          <w:rFonts w:hint="eastAsia" w:ascii="宋体" w:hAnsi="宋体" w:eastAsia="宋体" w:cs="宋体"/>
          <w:color w:val="000000" w:themeColor="text1"/>
          <w:highlight w:val="none"/>
          <w:u w:val="single"/>
          <w14:textFill>
            <w14:solidFill>
              <w14:schemeClr w14:val="tx1"/>
            </w14:solidFill>
          </w14:textFill>
        </w:rPr>
        <w:t xml:space="preserve">是</w:t>
      </w:r>
      <w:r>
        <w:rPr>
          <w:rFonts w:hint="eastAsia" w:ascii="宋体" w:hAnsi="宋体" w:eastAsia="宋体" w:cs="宋体"/>
          <w:highlight w:val="none"/>
        </w:rPr>
        <w:t xml:space="preserve">。</w:t>
      </w:r>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highlight w:val="none"/>
        </w:rPr>
      </w:r>
      <w:bookmarkStart w:id="12" w:name="_Toc38985264"/>
      <w:r>
        <w:rPr>
          <w:highlight w:val="none"/>
        </w:rPr>
      </w:r>
      <w:bookmarkStart w:id="13" w:name="_Toc35393622"/>
      <w:r>
        <w:rPr>
          <w:highlight w:val="none"/>
        </w:rPr>
      </w:r>
      <w:bookmarkStart w:id="14" w:name="_Toc28359003"/>
      <w:r>
        <w:rPr>
          <w:highlight w:val="none"/>
        </w:rPr>
      </w:r>
      <w:bookmarkStart w:id="15" w:name="_Toc35393791"/>
      <w:r>
        <w:rPr>
          <w:highlight w:val="none"/>
        </w:rPr>
      </w:r>
      <w:bookmarkStart w:id="16" w:name="_Toc28359080"/>
      <w:r>
        <w:rPr>
          <w:rFonts w:hint="eastAsia" w:ascii="宋体" w:hAnsi="宋体" w:eastAsia="宋体" w:cs="宋体"/>
          <w:b/>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1.满足《中华人民共和国政府采购法》第二十二条规定，并提供下列材料：</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1.1 法人或者其他组织的营业执照等证明文件，自然人的身份证明；</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1.2上一年度的财务状况报告（成立不满一年无需提供）；</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1.3具备履行合同所必需的设备和专业技术能力的书面声明；</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1.5参加政府采购活动前3年内在经营活动中没有重大违法记录的书面声明。</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1.6法律、行政法规规定的其他条件。</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1.8单位负责人为同一人或者存在直接控股、管理关系的不同供应商，不得参加同一合同项下的政府采购活动。</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2.落实政府采购政策需满足的资格要求：无。</w:t>
      </w:r>
      <w:r>
        <w:rPr>
          <w:highlight w:val="none"/>
        </w:rPr>
      </w:r>
      <w:r/>
    </w:p>
    <w:p>
      <w:pPr>
        <w:pStyle w:val="871"/>
        <w:ind w:firstLine="480"/>
        <w:jc w:val="both"/>
        <w:spacing w:beforeAutospacing="0" w:afterAutospacing="0" w:line="360" w:lineRule="auto"/>
        <w:shd w:val="clear" w:color="auto" w:fill="ffffff"/>
        <w:rPr>
          <w:rFonts w:hint="eastAsia" w:ascii="宋体" w:hAnsi="宋体" w:eastAsia="宋体" w:cs="宋体"/>
          <w:highlight w:val="none"/>
        </w:rPr>
      </w:pPr>
      <w:r>
        <w:rPr>
          <w:rFonts w:hint="eastAsia" w:ascii="宋体" w:hAnsi="宋体" w:eastAsia="宋体" w:cs="宋体"/>
          <w:highlight w:val="none"/>
        </w:rPr>
        <w:t xml:space="preserve">3.本项目的特定资格要求：</w:t>
      </w:r>
      <w:r>
        <w:rPr>
          <w:rFonts w:hint="eastAsia" w:ascii="宋体" w:hAnsi="宋体" w:eastAsia="宋体" w:cs="宋体"/>
          <w:highlight w:val="none"/>
          <w:u w:val="single"/>
        </w:rPr>
        <w:t xml:space="preserve">无</w:t>
      </w:r>
      <w:r>
        <w:rPr>
          <w:rFonts w:hint="eastAsia" w:ascii="宋体" w:hAnsi="宋体" w:eastAsia="宋体" w:cs="宋体"/>
          <w:highlight w:val="none"/>
          <w:shd w:val="clear" w:color="auto" w:fill="ffffff"/>
        </w:rPr>
        <w:t xml:space="preserve">。</w:t>
      </w:r>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rFonts w:hint="eastAsia" w:ascii="宋体" w:hAnsi="宋体" w:eastAsia="宋体" w:cs="宋体"/>
          <w:b/>
          <w:highlight w:val="none"/>
        </w:rPr>
        <w:t xml:space="preserve">三、获取招标文件</w:t>
      </w:r>
      <w:bookmarkStart w:id="204" w:name="_GoBack"/>
      <w:r>
        <w:rPr>
          <w:highlight w:val="none"/>
        </w:rPr>
      </w:r>
      <w:bookmarkEnd w:id="204"/>
      <w:r>
        <w:rPr>
          <w:highlight w:val="none"/>
        </w:rPr>
      </w:r>
      <w:r/>
    </w:p>
    <w:p>
      <w:pPr>
        <w:ind w:firstLine="480"/>
        <w:jc w:val="left"/>
        <w:spacing w:line="360" w:lineRule="auto"/>
        <w:rPr>
          <w:rFonts w:hint="eastAsia" w:ascii="宋体" w:hAnsi="宋体" w:eastAsia="宋体" w:cs="宋体"/>
          <w:sz w:val="24"/>
          <w:highlight w:val="none"/>
        </w:rPr>
      </w:pPr>
      <w:r>
        <w:rPr>
          <w:highlight w:val="none"/>
        </w:rPr>
      </w:r>
      <w:bookmarkStart w:id="17" w:name="_Toc28359005"/>
      <w:r>
        <w:rPr>
          <w:highlight w:val="none"/>
        </w:rPr>
      </w:r>
      <w:bookmarkStart w:id="18" w:name="_Toc38985266"/>
      <w:r>
        <w:rPr>
          <w:highlight w:val="none"/>
        </w:rPr>
      </w:r>
      <w:bookmarkStart w:id="19" w:name="_Toc28359082"/>
      <w:r>
        <w:rPr>
          <w:highlight w:val="none"/>
        </w:rPr>
      </w:r>
      <w:bookmarkStart w:id="20" w:name="_Toc35393624"/>
      <w:r>
        <w:rPr>
          <w:highlight w:val="none"/>
        </w:rPr>
      </w:r>
      <w:bookmarkStart w:id="21" w:name="_Toc35393793"/>
      <w:r>
        <w:rPr>
          <w:rFonts w:hint="eastAsia" w:ascii="宋体" w:hAnsi="宋体" w:eastAsia="宋体" w:cs="宋体"/>
          <w:sz w:val="24"/>
          <w:highlight w:val="none"/>
        </w:rPr>
        <w:t xml:space="preserve">1.时间</w:t>
      </w:r>
      <w:r>
        <w:rPr>
          <w:rFonts w:hint="eastAsia" w:ascii="宋体" w:hAnsi="宋体" w:eastAsia="宋体" w:cs="宋体"/>
          <w:sz w:val="24"/>
          <w:highlight w:val="none"/>
        </w:rPr>
        <w:t xml:space="preserve">：</w:t>
      </w:r>
      <w:bookmarkEnd w:id="17"/>
      <w:r>
        <w:rPr>
          <w:highlight w:val="none"/>
        </w:rPr>
      </w:r>
      <w:bookmarkEnd w:id="18"/>
      <w:r>
        <w:rPr>
          <w:highlight w:val="none"/>
        </w:rPr>
      </w:r>
      <w:bookmarkEnd w:id="19"/>
      <w:r>
        <w:rPr>
          <w:highlight w:val="none"/>
        </w:rPr>
      </w:r>
      <w:bookmarkEnd w:id="20"/>
      <w:r>
        <w:rPr>
          <w:highlight w:val="none"/>
        </w:rPr>
      </w:r>
      <w:bookmarkEnd w:id="21"/>
      <w:r>
        <w:rPr>
          <w:rFonts w:hint="eastAsia" w:ascii="宋体" w:hAnsi="宋体" w:eastAsia="宋体" w:cs="宋体"/>
          <w:sz w:val="24"/>
          <w:highlight w:val="none"/>
        </w:rPr>
        <w:t xml:space="preserve">自招标文件公告发布之日起5个工作日。</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2.地点：“苏采云”系统内免费下载（投标人必须在苏采云系统中获取采购文件，方能参与政府采购项目）；</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3.方式：本项目采用网上注册登记方式。 </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4.售价：0元</w:t>
      </w:r>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rFonts w:hint="eastAsia" w:ascii="宋体" w:hAnsi="宋体" w:eastAsia="宋体" w:cs="宋体"/>
          <w:b/>
          <w:highlight w:val="none"/>
        </w:rPr>
        <w:t xml:space="preserve">四、提交投标文件截止时间、开标时间和地点</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t xml:space="preserve">时间：</w:t>
      </w:r>
      <w:r>
        <w:rPr>
          <w:rFonts w:hint="eastAsia" w:ascii="宋体" w:hAnsi="宋体" w:eastAsia="宋体" w:cs="宋体"/>
          <w:sz w:val="24"/>
          <w:highlight w:val="none"/>
          <w:u w:val="single"/>
        </w:rPr>
        <w:t xml:space="preserve">2026年</w:t>
      </w:r>
      <w:r>
        <w:rPr>
          <w:rFonts w:hint="eastAsia" w:ascii="宋体" w:hAnsi="宋体" w:eastAsia="宋体" w:cs="宋体"/>
          <w:sz w:val="24"/>
          <w:highlight w:val="none"/>
          <w:u w:val="single"/>
          <w:lang w:val="en-US" w:eastAsia="zh-CN"/>
        </w:rPr>
        <w:t xml:space="preserve">10</w:t>
      </w:r>
      <w:r>
        <w:rPr>
          <w:rFonts w:hint="eastAsia" w:ascii="宋体" w:hAnsi="宋体" w:eastAsia="宋体" w:cs="宋体"/>
          <w:sz w:val="24"/>
          <w:highlight w:val="none"/>
          <w:u w:val="single"/>
        </w:rPr>
        <w:t xml:space="preserve">月</w:t>
      </w:r>
      <w:r>
        <w:rPr>
          <w:rFonts w:hint="eastAsia" w:ascii="宋体" w:hAnsi="宋体" w:eastAsia="宋体" w:cs="宋体"/>
          <w:sz w:val="24"/>
          <w:highlight w:val="none"/>
          <w:u w:val="single"/>
          <w:lang w:val="en-US" w:eastAsia="zh-CN"/>
        </w:rPr>
        <w:t xml:space="preserve">13</w:t>
      </w:r>
      <w:r>
        <w:rPr>
          <w:rFonts w:hint="eastAsia" w:ascii="宋体" w:hAnsi="宋体" w:eastAsia="宋体" w:cs="宋体"/>
          <w:sz w:val="24"/>
          <w:highlight w:val="none"/>
          <w:u w:val="single"/>
        </w:rPr>
        <w:t xml:space="preserve">日09时00分00秒</w:t>
      </w:r>
      <w:r>
        <w:rPr>
          <w:rFonts w:hint="eastAsia" w:ascii="宋体" w:hAnsi="宋体" w:eastAsia="宋体" w:cs="宋体"/>
          <w:sz w:val="24"/>
          <w:highlight w:val="none"/>
        </w:rPr>
        <w:t xml:space="preserve">（北京时间）</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2.地点：苏采云“不见面”开标大厅 。</w:t>
      </w:r>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highlight w:val="none"/>
        </w:rPr>
      </w:r>
      <w:bookmarkStart w:id="22" w:name="_Toc28359007"/>
      <w:r>
        <w:rPr>
          <w:highlight w:val="none"/>
        </w:rPr>
      </w:r>
      <w:bookmarkStart w:id="23" w:name="_Toc35393794"/>
      <w:r>
        <w:rPr>
          <w:highlight w:val="none"/>
        </w:rPr>
      </w:r>
      <w:bookmarkStart w:id="24" w:name="_Toc28359084"/>
      <w:r>
        <w:rPr>
          <w:highlight w:val="none"/>
        </w:rPr>
      </w:r>
      <w:bookmarkStart w:id="25" w:name="_Toc35393625"/>
      <w:r>
        <w:rPr>
          <w:highlight w:val="none"/>
        </w:rPr>
      </w:r>
      <w:bookmarkStart w:id="26" w:name="_Toc38985267"/>
      <w:r>
        <w:rPr>
          <w:rFonts w:hint="eastAsia" w:ascii="宋体" w:hAnsi="宋体" w:eastAsia="宋体" w:cs="宋体"/>
          <w:b/>
          <w:highlight w:val="none"/>
        </w:rPr>
        <w:t xml:space="preserve">五、公告期限</w:t>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r/>
    </w:p>
    <w:p>
      <w:pPr>
        <w:pStyle w:val="871"/>
        <w:ind w:firstLine="480"/>
        <w:jc w:val="both"/>
        <w:spacing w:beforeAutospacing="0" w:afterAutospacing="0" w:line="360" w:lineRule="auto"/>
        <w:shd w:val="clear" w:color="auto" w:fill="ffffff"/>
        <w:rPr>
          <w:rFonts w:hint="eastAsia" w:ascii="宋体" w:hAnsi="宋体" w:eastAsia="宋体" w:cs="宋体"/>
          <w:highlight w:val="none"/>
          <w:shd w:val="clear" w:color="auto" w:fill="ffffff"/>
        </w:rPr>
      </w:pPr>
      <w:r>
        <w:rPr>
          <w:highlight w:val="none"/>
        </w:rPr>
      </w:r>
      <w:bookmarkStart w:id="27" w:name="_Toc35393795"/>
      <w:r>
        <w:rPr>
          <w:highlight w:val="none"/>
        </w:rPr>
      </w:r>
      <w:bookmarkStart w:id="28" w:name="_Toc38985268"/>
      <w:r>
        <w:rPr>
          <w:highlight w:val="none"/>
        </w:rPr>
      </w:r>
      <w:bookmarkStart w:id="29" w:name="_Toc35393626"/>
      <w:r>
        <w:rPr>
          <w:rFonts w:hint="eastAsia" w:ascii="宋体" w:hAnsi="宋体" w:eastAsia="宋体" w:cs="宋体"/>
          <w:highlight w:val="none"/>
          <w:shd w:val="clear" w:color="auto" w:fill="ffffff"/>
        </w:rPr>
        <w:t xml:space="preserve">自本公告发布之日起5个工作日。</w:t>
      </w:r>
      <w:bookmarkEnd w:id="27"/>
      <w:r>
        <w:rPr>
          <w:highlight w:val="none"/>
        </w:rPr>
      </w:r>
      <w:bookmarkEnd w:id="28"/>
      <w:r>
        <w:rPr>
          <w:highlight w:val="none"/>
        </w:rPr>
      </w:r>
      <w:bookmarkEnd w:id="29"/>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rFonts w:hint="eastAsia" w:ascii="宋体" w:hAnsi="宋体" w:eastAsia="宋体" w:cs="宋体"/>
          <w:b/>
          <w:highlight w:val="none"/>
        </w:rPr>
        <w:t xml:space="preserve">六、其他补充事宜</w:t>
      </w:r>
      <w:r>
        <w:rPr>
          <w:highlight w:val="none"/>
        </w:rPr>
      </w:r>
      <w:r/>
    </w:p>
    <w:p>
      <w:pPr>
        <w:pStyle w:val="871"/>
        <w:ind w:firstLine="480"/>
        <w:jc w:val="both"/>
        <w:spacing w:beforeAutospacing="0" w:afterAutospacing="0" w:line="360" w:lineRule="auto"/>
        <w:shd w:val="clear" w:color="auto" w:fill="ffffff"/>
        <w:rPr>
          <w:rFonts w:hint="eastAsia" w:ascii="宋体" w:hAnsi="宋体" w:eastAsia="宋体" w:cs="宋体"/>
          <w:highlight w:val="none"/>
          <w:shd w:val="clear" w:color="auto" w:fill="ffffff"/>
        </w:rPr>
      </w:pPr>
      <w:r>
        <w:rPr>
          <w:highlight w:val="none"/>
        </w:rPr>
      </w:r>
      <w:bookmarkStart w:id="30" w:name="_Toc28359018"/>
      <w:r>
        <w:rPr>
          <w:rFonts w:hint="eastAsia" w:ascii="宋体" w:hAnsi="宋体" w:eastAsia="宋体" w:cs="宋体"/>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highlight w:val="none"/>
        </w:rPr>
      </w:r>
      <w:r/>
    </w:p>
    <w:p>
      <w:pPr>
        <w:ind w:firstLine="480"/>
        <w:spacing w:line="360" w:lineRule="auto"/>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领取CA和办理电子签章（</w:t>
      </w:r>
      <w:r>
        <w:rPr>
          <w:rFonts w:hint="eastAsia" w:ascii="宋体" w:hAnsi="宋体" w:eastAsia="宋体" w:cs="宋体"/>
          <w:sz w:val="24"/>
          <w:highlight w:val="none"/>
        </w:rPr>
        <w:t xml:space="preserve">请至盐城市府西路1号盐城市公共资源交易中心四楼大厅10号，11号窗口办理</w:t>
      </w:r>
      <w:r>
        <w:rPr>
          <w:rFonts w:hint="eastAsia" w:ascii="宋体" w:hAnsi="宋体" w:eastAsia="宋体" w:cs="宋体"/>
          <w:sz w:val="24"/>
          <w:highlight w:val="none"/>
          <w:shd w:val="clear" w:color="auto" w:fill="ffffff"/>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潜在供应商访问电子招标响应交易平台的网络地址和方法： </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潜在投标人访问“苏采云”系统方法：江苏省政府采购网首页-“苏采云”链接。 </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 采购文件（后缀名为“.kedt”）、供应商操作手册及政府采购客户端 工具可通过“苏采云”系统相应链接进行下载。 </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 采购代理机构将数据电文形式的采购文件加载至“苏采云”系统，供潜在供应商下载或者查阅。 </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 请潜在投标单位提前安装相应的控件（详见《“苏采云”系统供应商操作手册》）并使用谷歌浏览器登录“苏采云”系统参与不见面开评标。 </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如潜在投标人未按上述要求操作，将自行承担所产生的风险。</w:t>
      </w:r>
      <w:r>
        <w:rPr>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3.有关本次招标的事项若存在变动或修改，敬请及时关注采购代理机构在“中国政府采购网”“江苏政府采购网”“盐城市政府采购网”发布的更正公告。</w:t>
      </w:r>
      <w:r>
        <w:rPr>
          <w:highlight w:val="none"/>
        </w:rPr>
      </w:r>
      <w:r/>
    </w:p>
    <w:p>
      <w:pPr>
        <w:pStyle w:val="871"/>
        <w:ind w:firstLine="480"/>
        <w:jc w:val="both"/>
        <w:spacing w:beforeAutospacing="0" w:afterAutospacing="0" w:line="360" w:lineRule="auto"/>
        <w:shd w:val="clear" w:color="auto" w:fill="ffffff"/>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4.本次招标不收取投标保证金，不收取质量保证金。</w:t>
      </w:r>
      <w:r>
        <w:rPr>
          <w:highlight w:val="none"/>
        </w:rPr>
      </w:r>
      <w:r/>
    </w:p>
    <w:p>
      <w:pPr>
        <w:pStyle w:val="858"/>
        <w:ind w:firstLine="482"/>
        <w:jc w:val="both"/>
        <w:spacing w:beforeAutospacing="0" w:afterAutospacing="0" w:line="360" w:lineRule="auto"/>
        <w:shd w:val="clear" w:color="auto" w:fill="ffffff"/>
        <w:rPr>
          <w:rFonts w:cs="宋体"/>
          <w:sz w:val="24"/>
          <w:szCs w:val="24"/>
          <w:highlight w:val="none"/>
        </w:rPr>
      </w:pPr>
      <w:r>
        <w:rPr>
          <w:rFonts w:cs="宋体"/>
          <w:sz w:val="24"/>
          <w:szCs w:val="24"/>
          <w:highlight w:val="none"/>
          <w:shd w:val="clear" w:color="auto" w:fill="ffffff"/>
        </w:rPr>
        <w:t xml:space="preserve">七、对本次招标提出询问等，请按以下方式联系。</w:t>
      </w:r>
      <w:bookmarkEnd w:id="30"/>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highlight w:val="none"/>
        </w:rPr>
      </w:r>
      <w:bookmarkStart w:id="31" w:name="_Toc28359009"/>
      <w:r>
        <w:rPr>
          <w:rFonts w:hint="eastAsia" w:ascii="宋体" w:hAnsi="宋体" w:eastAsia="宋体" w:cs="宋体"/>
          <w:color w:val="333333"/>
          <w:sz w:val="24"/>
          <w:highlight w:val="none"/>
          <w:shd w:val="clear" w:color="auto" w:fill="ffffff"/>
        </w:rPr>
        <w:t xml:space="preserve">1.采购人信息</w:t>
      </w:r>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单位名称：江苏滨海经济开发区沿海工业园管理委员会</w:t>
      </w:r>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单位地址：滨海县滨淮镇头罾村（盐城市沿海化工园区）</w:t>
      </w:r>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联 系 人：郑先生</w:t>
      </w:r>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联系电话：13961946499</w:t>
      </w:r>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2.采购代理机构信息（如有）</w:t>
      </w:r>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名 称：盐城市弘盛招标代理有限公司</w:t>
      </w:r>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地 址：滨海县政务服务中心2楼F区2112室</w:t>
      </w:r>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联系人：臧先生                     </w:t>
      </w:r>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联系方式：18052978738                   </w:t>
      </w:r>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3.项目联系方式</w:t>
      </w:r>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项目联系人：臧先生</w:t>
      </w:r>
      <w:r>
        <w:rPr>
          <w:highlight w:val="none"/>
        </w:rPr>
      </w:r>
      <w:r/>
    </w:p>
    <w:p>
      <w:pPr>
        <w:ind w:firstLine="480"/>
        <w:spacing w:line="360" w:lineRule="auto"/>
        <w:shd w:val="clear" w:color="auto" w:fill="ffffff"/>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 xml:space="preserve">联系电话：18052978738　　　</w:t>
      </w:r>
      <w:r>
        <w:rPr>
          <w:highlight w:val="none"/>
        </w:rPr>
      </w:r>
      <w:r/>
    </w:p>
    <w:p>
      <w:pPr>
        <w:pStyle w:val="871"/>
        <w:ind w:firstLine="480"/>
        <w:jc w:val="both"/>
        <w:spacing w:beforeAutospacing="0" w:afterAutospacing="0" w:line="360" w:lineRule="auto"/>
        <w:shd w:val="clear" w:color="auto" w:fill="ffffff"/>
        <w:rPr>
          <w:rFonts w:hint="eastAsia" w:ascii="宋体" w:hAnsi="宋体" w:eastAsia="宋体" w:cs="宋体"/>
          <w:color w:val="333333"/>
          <w:highlight w:val="none"/>
          <w:shd w:val="clear" w:color="auto" w:fill="ffffff"/>
        </w:rPr>
      </w:pPr>
      <w:r>
        <w:rPr>
          <w:rFonts w:hint="eastAsia" w:ascii="宋体" w:hAnsi="宋体" w:eastAsia="宋体" w:cs="宋体"/>
          <w:color w:val="333333"/>
          <w:highlight w:val="none"/>
          <w:shd w:val="clear" w:color="auto" w:fill="ffffff"/>
        </w:rPr>
        <w:t xml:space="preserve">　　　　</w:t>
      </w:r>
      <w:r>
        <w:rPr>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rPr>
          <w:highlight w:val="none"/>
        </w:rPr>
      </w:r>
      <w:r/>
    </w:p>
    <w:p>
      <w:pPr>
        <w:ind w:firstLine="883"/>
        <w:jc w:val="center"/>
        <w:rPr>
          <w:highlight w:val="none"/>
        </w:rPr>
      </w:pPr>
      <w:r>
        <w:rPr>
          <w:highlight w:val="none"/>
        </w:rPr>
      </w:r>
      <w:bookmarkStart w:id="32" w:name="_Toc120614211"/>
      <w:r>
        <w:rPr>
          <w:rFonts w:hint="eastAsia" w:ascii="黑体" w:hAnsi="宋体" w:eastAsia="黑体" w:cs="黑体"/>
          <w:b/>
          <w:color w:val="000000"/>
          <w:sz w:val="44"/>
          <w:szCs w:val="44"/>
          <w:highlight w:val="none"/>
        </w:rPr>
        <w:br w:type="page" w:clear="all"/>
      </w:r>
      <w:r>
        <w:rPr>
          <w:rFonts w:hint="eastAsia" w:ascii="黑体" w:hAnsi="宋体" w:eastAsia="黑体" w:cs="黑体"/>
          <w:b/>
          <w:color w:val="000000"/>
          <w:sz w:val="44"/>
          <w:szCs w:val="44"/>
          <w:highlight w:val="none"/>
        </w:rPr>
        <w:t xml:space="preserve">第二章  </w:t>
      </w:r>
      <w:bookmarkEnd w:id="32"/>
      <w:r>
        <w:rPr>
          <w:highlight w:val="none"/>
        </w:rPr>
      </w:r>
      <w:bookmarkStart w:id="33" w:name="_Toc513029202"/>
      <w:r>
        <w:rPr>
          <w:highlight w:val="none"/>
        </w:rPr>
      </w:r>
      <w:bookmarkStart w:id="34" w:name="_Toc120614213"/>
      <w:r>
        <w:rPr>
          <w:highlight w:val="none"/>
        </w:rPr>
      </w:r>
      <w:bookmarkStart w:id="35" w:name="_Toc16938518"/>
      <w:r>
        <w:rPr>
          <w:highlight w:val="none"/>
        </w:rPr>
      </w:r>
      <w:bookmarkStart w:id="36" w:name="_Toc20823274"/>
      <w:r>
        <w:rPr>
          <w:rFonts w:hint="eastAsia" w:ascii="黑体" w:hAnsi="宋体" w:eastAsia="黑体" w:cs="黑体"/>
          <w:b/>
          <w:color w:val="000000"/>
          <w:sz w:val="44"/>
          <w:szCs w:val="44"/>
          <w:highlight w:val="none"/>
        </w:rPr>
        <w:t xml:space="preserve">投标人须知</w:t>
      </w:r>
      <w:bookmarkEnd w:id="33"/>
      <w:r>
        <w:rPr>
          <w:highlight w:val="none"/>
        </w:rPr>
      </w:r>
      <w:bookmarkEnd w:id="34"/>
      <w:r>
        <w:rPr>
          <w:highlight w:val="none"/>
        </w:rPr>
      </w:r>
      <w:bookmarkEnd w:id="35"/>
      <w:r>
        <w:rPr>
          <w:highlight w:val="none"/>
        </w:rPr>
      </w:r>
      <w:bookmarkEnd w:id="36"/>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highlight w:val="none"/>
        </w:rPr>
      </w:r>
      <w:bookmarkStart w:id="37" w:name="_Toc120614214"/>
      <w:r>
        <w:rPr>
          <w:highlight w:val="none"/>
        </w:rPr>
      </w:r>
      <w:bookmarkStart w:id="38" w:name="_Toc16938519"/>
      <w:r>
        <w:rPr>
          <w:highlight w:val="none"/>
        </w:rPr>
      </w:r>
      <w:bookmarkStart w:id="39" w:name="_Toc513029203"/>
      <w:r>
        <w:rPr>
          <w:highlight w:val="none"/>
        </w:rPr>
      </w:r>
      <w:bookmarkStart w:id="40" w:name="_Toc20823275"/>
      <w:r>
        <w:rPr>
          <w:rFonts w:hint="eastAsia" w:ascii="宋体" w:hAnsi="宋体" w:eastAsia="宋体" w:cs="宋体"/>
          <w:b/>
          <w:highlight w:val="none"/>
        </w:rPr>
        <w:t xml:space="preserve">一、总则</w:t>
      </w:r>
      <w:bookmarkEnd w:id="37"/>
      <w:r>
        <w:rPr>
          <w:highlight w:val="none"/>
        </w:rPr>
      </w:r>
      <w:bookmarkEnd w:id="38"/>
      <w:r>
        <w:rPr>
          <w:highlight w:val="none"/>
        </w:rPr>
      </w:r>
      <w:bookmarkEnd w:id="39"/>
      <w:r>
        <w:rPr>
          <w:highlight w:val="none"/>
        </w:rPr>
      </w:r>
      <w:bookmarkEnd w:id="40"/>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41" w:name="_Toc16938520"/>
      <w:r>
        <w:rPr>
          <w:highlight w:val="none"/>
        </w:rPr>
      </w:r>
      <w:bookmarkStart w:id="42" w:name="_Toc458694821"/>
      <w:r>
        <w:rPr>
          <w:highlight w:val="none"/>
        </w:rPr>
      </w:r>
      <w:bookmarkStart w:id="43" w:name="_Toc513029204"/>
      <w:r>
        <w:rPr>
          <w:highlight w:val="none"/>
        </w:rPr>
      </w:r>
      <w:bookmarkStart w:id="44" w:name="_Toc20823276"/>
      <w:r>
        <w:rPr>
          <w:highlight w:val="none"/>
        </w:rPr>
      </w:r>
      <w:bookmarkStart w:id="45" w:name="_Hlt16619475"/>
      <w:r>
        <w:rPr>
          <w:rFonts w:hint="eastAsia" w:ascii="宋体" w:hAnsi="宋体" w:eastAsia="宋体" w:cs="宋体"/>
          <w:highlight w:val="none"/>
        </w:rPr>
        <w:t xml:space="preserve">1</w:t>
      </w:r>
      <w:bookmarkEnd w:id="41"/>
      <w:r>
        <w:rPr>
          <w:rFonts w:hint="eastAsia" w:ascii="宋体" w:hAnsi="宋体" w:eastAsia="宋体" w:cs="宋体"/>
          <w:highlight w:val="none"/>
        </w:rPr>
        <w:t xml:space="preserve">、招标方式</w:t>
      </w:r>
      <w:bookmarkEnd w:id="42"/>
      <w:r>
        <w:rPr>
          <w:highlight w:val="none"/>
        </w:rPr>
      </w:r>
      <w:bookmarkEnd w:id="43"/>
      <w:r>
        <w:rPr>
          <w:highlight w:val="none"/>
        </w:rPr>
      </w:r>
      <w:bookmarkEnd w:id="44"/>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1.1本次招标采取公开招标方式，本招标文件仅适用于招标公告中所述项目。</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46" w:name="_Toc20823277"/>
      <w:r>
        <w:rPr>
          <w:highlight w:val="none"/>
        </w:rPr>
      </w:r>
      <w:bookmarkStart w:id="47" w:name="_Toc513029205"/>
      <w:r>
        <w:rPr>
          <w:highlight w:val="none"/>
        </w:rPr>
      </w:r>
      <w:bookmarkStart w:id="48" w:name="_Toc16938521"/>
      <w:r>
        <w:rPr>
          <w:rFonts w:hint="eastAsia" w:ascii="宋体" w:hAnsi="宋体" w:eastAsia="宋体" w:cs="宋体"/>
          <w:highlight w:val="none"/>
        </w:rPr>
        <w:t xml:space="preserve">2、合格的投标人</w:t>
      </w:r>
      <w:bookmarkEnd w:id="46"/>
      <w:r>
        <w:rPr>
          <w:highlight w:val="none"/>
        </w:rPr>
      </w:r>
      <w:bookmarkEnd w:id="47"/>
      <w:r>
        <w:rPr>
          <w:highlight w:val="none"/>
        </w:rPr>
      </w:r>
      <w:bookmarkEnd w:id="48"/>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2.1满足招标公告中供应商的资格要求的规定。</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2.2满足本文件实质性要求和条件的规定。</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2.3如接受联合体投标的，需满足：</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（1）联合体成员数量不得超过2名。</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投标联合体各方必须签订联合体投标协议，必须明确指定牵头方，明确约定各方职责分工，并将该联合投标协议随投标文件一并提交。联合体牵头方可被授权作为联合体所有成员的代表承担责任、统筹工作、参加招投标活动和接受指令，并负责整个合同的全面履行。联合体投标的，由联合体牵头方负责招投标活动的获取招标文件等手续，具体详见招标文件。</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（3）联合体各方签订共同投标协议后，不得再以自己名义单独在同一项目中投标，也不得组成新的联合体参加同一项目投标。</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（4）联合体任意一方不得处于被责令停业、财产被接管、冻结和破产状态，以及投标资格被取消或者被暂停且在暂停期内。</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5）单位负责人为同一人或者存在直接控股、管理关系的不同供应商成员中，如某一供应商成员已参加本项目采购活动，则与其存在前述关系的供应商成员均不得单独或与其他供应商组成联合体参加本项目的招标活动。</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（6）联合体投标协议书格式及内容由投标人自拟，但须明确职责分工。</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（7）如联合体投标的，项目负责人必须为牵头单位正式职工。</w:t>
      </w:r>
      <w:r>
        <w:rPr>
          <w:highlight w:val="none"/>
        </w:rPr>
      </w:r>
      <w:r/>
    </w:p>
    <w:p>
      <w:pPr>
        <w:ind w:firstLine="480"/>
        <w:spacing w:line="360" w:lineRule="auto"/>
        <w:rPr>
          <w:rFonts w:hint="eastAsia" w:ascii="方正魏碑_GBK" w:hAnsi="方正魏碑_GBK" w:eastAsia="方正魏碑_GBK" w:cs="方正魏碑_GBK"/>
          <w:sz w:val="24"/>
          <w:szCs w:val="21"/>
          <w:highlight w:val="none"/>
        </w:rPr>
      </w:pPr>
      <w:r>
        <w:rPr>
          <w:highlight w:val="none"/>
        </w:rPr>
      </w:r>
      <w:bookmarkStart w:id="49" w:name="_Toc513029206"/>
      <w:r>
        <w:rPr>
          <w:highlight w:val="none"/>
        </w:rPr>
      </w:r>
      <w:bookmarkStart w:id="50" w:name="_Toc20823278"/>
      <w:r>
        <w:rPr>
          <w:highlight w:val="none"/>
        </w:rPr>
      </w:r>
      <w:bookmarkStart w:id="51" w:name="_Toc16938522"/>
      <w:r>
        <w:rPr>
          <w:highlight w:val="none"/>
        </w:rPr>
      </w:r>
      <w:bookmarkStart w:id="52" w:name="_Toc462564067"/>
      <w:r>
        <w:rPr>
          <w:highlight w:val="none"/>
        </w:rPr>
      </w:r>
      <w:bookmarkStart w:id="53" w:name="_Toc20823279"/>
      <w:r>
        <w:rPr>
          <w:highlight w:val="none"/>
        </w:rPr>
      </w:r>
      <w:bookmarkStart w:id="54" w:name="_Toc16938523"/>
      <w:r>
        <w:rPr>
          <w:highlight w:val="none"/>
        </w:rPr>
      </w:r>
      <w:bookmarkStart w:id="55" w:name="_Toc513029207"/>
      <w:r>
        <w:rPr>
          <w:rFonts w:hint="eastAsia" w:ascii="方正魏碑_GBK" w:hAnsi="方正魏碑_GBK" w:eastAsia="方正魏碑_GBK" w:cs="方正魏碑_GBK"/>
          <w:sz w:val="24"/>
          <w:szCs w:val="21"/>
          <w:highlight w:val="none"/>
        </w:rPr>
        <w:t xml:space="preserve">3、适用法律</w:t>
      </w:r>
      <w:bookmarkEnd w:id="49"/>
      <w:r>
        <w:rPr>
          <w:highlight w:val="none"/>
        </w:rPr>
      </w:r>
      <w:bookmarkEnd w:id="50"/>
      <w:r>
        <w:rPr>
          <w:highlight w:val="none"/>
        </w:rPr>
      </w:r>
      <w:bookmarkEnd w:id="51"/>
      <w:r>
        <w:rPr>
          <w:rFonts w:hint="eastAsia" w:ascii="方正魏碑_GBK" w:hAnsi="方正魏碑_GBK" w:eastAsia="方正魏碑_GBK" w:cs="方正魏碑_GBK"/>
          <w:sz w:val="24"/>
          <w:szCs w:val="21"/>
          <w:highlight w:val="none"/>
        </w:rPr>
        <w:t xml:space="preserve">和标准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3.1 本次招标及由此产生的合同受中华人民共和国有关的法律法规制约和保护。</w:t>
      </w:r>
      <w:r>
        <w:rPr>
          <w:highlight w:val="none"/>
        </w:rPr>
      </w:r>
      <w:r/>
    </w:p>
    <w:p>
      <w:pPr>
        <w:ind w:firstLine="480"/>
        <w:spacing w:line="360" w:lineRule="auto"/>
        <w:rPr>
          <w:rFonts w:hint="eastAsia" w:ascii="宋体" w:hAnsi="宋体" w:eastAsia="宋体" w:cs="宋体"/>
          <w:sz w:val="24"/>
          <w:highlight w:val="none"/>
        </w:rPr>
      </w:pPr>
      <w:r>
        <w:rPr>
          <w:rFonts w:hint="eastAsia" w:ascii="方正魏碑_GBK" w:hAnsi="方正魏碑_GBK" w:eastAsia="方正魏碑_GBK" w:cs="方正魏碑_GBK"/>
          <w:sz w:val="24"/>
          <w:szCs w:val="21"/>
          <w:highlight w:val="none"/>
        </w:rPr>
        <w:t xml:space="preserve">3.2 在本项目政府采购活动过程中，如果所执行的标准有更新的，按照最新标准执行。</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4、投标费用</w:t>
      </w:r>
      <w:bookmarkEnd w:id="52"/>
      <w:r>
        <w:rPr>
          <w:highlight w:val="none"/>
        </w:rPr>
      </w:r>
      <w:bookmarkEnd w:id="53"/>
      <w:r>
        <w:rPr>
          <w:highlight w:val="none"/>
        </w:rPr>
      </w:r>
      <w:bookmarkEnd w:id="54"/>
      <w:r>
        <w:rPr>
          <w:highlight w:val="none"/>
        </w:rPr>
      </w:r>
      <w:bookmarkEnd w:id="55"/>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4.1投标人应自行承担所有与参加投标有关的费用，无论投标过程中的做法和结果如何，采购代理机构在任何情况下均无义务和责任承担这些费用。</w:t>
      </w:r>
      <w:r>
        <w:rPr>
          <w:highlight w:val="none"/>
        </w:rPr>
      </w:r>
      <w:r/>
    </w:p>
    <w:p>
      <w:pPr>
        <w:pStyle w:val="871"/>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4.2本次招标采购中心和采购人不收取标书工本费与中标服务费。</w:t>
      </w:r>
      <w:r>
        <w:rPr>
          <w:highlight w:val="none"/>
        </w:rPr>
      </w:r>
      <w:r/>
    </w:p>
    <w:p>
      <w:pPr>
        <w:pStyle w:val="871"/>
        <w:ind w:firstLine="480"/>
        <w:jc w:val="both"/>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5、招标文件的约束力</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5.1投标人一旦参加本项目采购活动，即被认为接受了本招标文件的规定和约束。</w:t>
      </w:r>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highlight w:val="none"/>
        </w:rPr>
      </w:r>
      <w:bookmarkStart w:id="56" w:name="_Toc120614215"/>
      <w:r>
        <w:rPr>
          <w:highlight w:val="none"/>
        </w:rPr>
      </w:r>
      <w:bookmarkStart w:id="57" w:name="_Toc20823281"/>
      <w:r>
        <w:rPr>
          <w:highlight w:val="none"/>
        </w:rPr>
      </w:r>
      <w:bookmarkStart w:id="58" w:name="_Toc513029209"/>
      <w:r>
        <w:rPr>
          <w:highlight w:val="none"/>
        </w:rPr>
      </w:r>
      <w:bookmarkStart w:id="59" w:name="_Toc16938525"/>
      <w:r>
        <w:rPr>
          <w:rFonts w:hint="eastAsia" w:ascii="宋体" w:hAnsi="宋体" w:eastAsia="宋体" w:cs="宋体"/>
          <w:b/>
          <w:highlight w:val="none"/>
        </w:rPr>
        <w:t xml:space="preserve">二、招标文件</w:t>
      </w:r>
      <w:bookmarkEnd w:id="56"/>
      <w:r>
        <w:rPr>
          <w:highlight w:val="none"/>
        </w:rPr>
      </w:r>
      <w:bookmarkEnd w:id="57"/>
      <w:r>
        <w:rPr>
          <w:highlight w:val="none"/>
        </w:rPr>
      </w:r>
      <w:bookmarkEnd w:id="58"/>
      <w:r>
        <w:rPr>
          <w:highlight w:val="none"/>
        </w:rPr>
      </w:r>
      <w:bookmarkEnd w:id="59"/>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60" w:name="_Toc16938526"/>
      <w:r>
        <w:rPr>
          <w:highlight w:val="none"/>
        </w:rPr>
      </w:r>
      <w:bookmarkStart w:id="61" w:name="_Toc513029210"/>
      <w:r>
        <w:rPr>
          <w:highlight w:val="none"/>
        </w:rPr>
      </w:r>
      <w:bookmarkStart w:id="62" w:name="_Toc20823282"/>
      <w:r>
        <w:rPr>
          <w:rFonts w:hint="eastAsia" w:ascii="宋体" w:hAnsi="宋体" w:eastAsia="宋体" w:cs="宋体"/>
          <w:highlight w:val="none"/>
        </w:rPr>
        <w:t xml:space="preserve">6、招标文件构成</w:t>
      </w:r>
      <w:bookmarkEnd w:id="60"/>
      <w:r>
        <w:rPr>
          <w:highlight w:val="none"/>
        </w:rPr>
      </w:r>
      <w:bookmarkEnd w:id="61"/>
      <w:r>
        <w:rPr>
          <w:highlight w:val="none"/>
        </w:rPr>
      </w:r>
      <w:bookmarkEnd w:id="62"/>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6.1 招标文件由以下部分组成：</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（1）招标公告</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（2）投标人须知</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（3）合同文本</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（4）采购需求</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（5）评标方法与评标标准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（6）投标文件格式</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请仔细检查招标文件是否齐全，如有缺漏请立即与采购代理机构联系解决。</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63" w:name="_Toc16938527"/>
      <w:r>
        <w:rPr>
          <w:highlight w:val="none"/>
        </w:rPr>
      </w:r>
      <w:bookmarkStart w:id="64" w:name="_Toc462564070"/>
      <w:r>
        <w:rPr>
          <w:highlight w:val="none"/>
        </w:rPr>
      </w:r>
      <w:bookmarkStart w:id="65" w:name="_Toc513029211"/>
      <w:r>
        <w:rPr>
          <w:highlight w:val="none"/>
        </w:rPr>
      </w:r>
      <w:bookmarkStart w:id="66" w:name="_Toc20823283"/>
      <w:r>
        <w:rPr>
          <w:rFonts w:hint="eastAsia" w:ascii="宋体" w:hAnsi="宋体" w:eastAsia="宋体" w:cs="宋体"/>
          <w:highlight w:val="none"/>
        </w:rPr>
        <w:t xml:space="preserve">7、招标文件的澄清</w:t>
      </w:r>
      <w:bookmarkEnd w:id="63"/>
      <w:r>
        <w:rPr>
          <w:highlight w:val="none"/>
        </w:rPr>
      </w:r>
      <w:bookmarkEnd w:id="64"/>
      <w:r>
        <w:rPr>
          <w:highlight w:val="none"/>
        </w:rPr>
      </w:r>
      <w:bookmarkEnd w:id="65"/>
      <w:r>
        <w:rPr>
          <w:highlight w:val="none"/>
        </w:rPr>
      </w:r>
      <w:bookmarkEnd w:id="66"/>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7.1任何要求对招标文件进行澄清的投标人，应在投标截止期</w:t>
      </w:r>
      <w:r>
        <w:rPr>
          <w:rFonts w:hint="eastAsia" w:ascii="宋体" w:hAnsi="宋体" w:eastAsia="宋体" w:cs="宋体"/>
          <w:b/>
          <w:highlight w:val="none"/>
        </w:rPr>
        <w:t xml:space="preserve">十日</w:t>
      </w:r>
      <w:r>
        <w:rPr>
          <w:rFonts w:hint="eastAsia" w:ascii="宋体" w:hAnsi="宋体" w:eastAsia="宋体" w:cs="宋体"/>
          <w:highlight w:val="none"/>
        </w:rPr>
        <w:t xml:space="preserve">前按招标公告中的通讯地址，以书面形式通知采购代理机构。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67" w:name="_Toc462564071"/>
      <w:r>
        <w:rPr>
          <w:highlight w:val="none"/>
        </w:rPr>
      </w:r>
      <w:bookmarkStart w:id="68" w:name="_Toc16938528"/>
      <w:r>
        <w:rPr>
          <w:highlight w:val="none"/>
        </w:rPr>
      </w:r>
      <w:bookmarkStart w:id="69" w:name="_Toc20823284"/>
      <w:r>
        <w:rPr>
          <w:highlight w:val="none"/>
        </w:rPr>
      </w:r>
      <w:bookmarkStart w:id="70" w:name="_Toc513029212"/>
      <w:r>
        <w:rPr>
          <w:rFonts w:hint="eastAsia" w:ascii="宋体" w:hAnsi="宋体" w:eastAsia="宋体" w:cs="宋体"/>
          <w:highlight w:val="none"/>
        </w:rPr>
        <w:t xml:space="preserve">8、招标文件的修改</w:t>
      </w:r>
      <w:bookmarkEnd w:id="67"/>
      <w:r>
        <w:rPr>
          <w:highlight w:val="none"/>
        </w:rPr>
      </w:r>
      <w:bookmarkEnd w:id="68"/>
      <w:r>
        <w:rPr>
          <w:highlight w:val="none"/>
        </w:rPr>
      </w:r>
      <w:bookmarkEnd w:id="69"/>
      <w:r>
        <w:rPr>
          <w:highlight w:val="none"/>
        </w:rPr>
      </w:r>
      <w:bookmarkEnd w:id="70"/>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8.1在投标截止时间前，采购代理机构可以对招标文件进行修改。</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8.2采购代理机构有权按照法定的要求推迟投标截止日期和开标日期。</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8.3招标文件的修改将在中国政府采购网</w:t>
      </w:r>
      <w:r>
        <w:rPr>
          <w:rFonts w:hint="eastAsia" w:ascii="宋体" w:hAnsi="宋体" w:eastAsia="宋体" w:cs="宋体"/>
          <w:highlight w:val="none"/>
          <w:shd w:val="clear" w:color="auto" w:fill="ffffff"/>
        </w:rPr>
        <w:t xml:space="preserve">、</w:t>
      </w:r>
      <w:r>
        <w:rPr>
          <w:rFonts w:hint="eastAsia" w:ascii="宋体" w:hAnsi="宋体" w:eastAsia="宋体" w:cs="宋体"/>
          <w:highlight w:val="none"/>
        </w:rPr>
        <w:t xml:space="preserve">江苏政府采购网、盐城市政府采购网公布，补充文件将作为招标文件的组成部分，并对投标人具有约束力。</w:t>
      </w:r>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highlight w:val="none"/>
        </w:rPr>
      </w:r>
      <w:bookmarkStart w:id="71" w:name="_Toc20823285"/>
      <w:r>
        <w:rPr>
          <w:highlight w:val="none"/>
        </w:rPr>
      </w:r>
      <w:bookmarkStart w:id="72" w:name="_Toc16938529"/>
      <w:r>
        <w:rPr>
          <w:highlight w:val="none"/>
        </w:rPr>
      </w:r>
      <w:bookmarkStart w:id="73" w:name="_Toc120614216"/>
      <w:r>
        <w:rPr>
          <w:highlight w:val="none"/>
        </w:rPr>
      </w:r>
      <w:bookmarkStart w:id="74" w:name="_Toc462564072"/>
      <w:r>
        <w:rPr>
          <w:highlight w:val="none"/>
        </w:rPr>
      </w:r>
      <w:bookmarkStart w:id="75" w:name="_Toc513029213"/>
      <w:r>
        <w:rPr>
          <w:rFonts w:hint="eastAsia" w:ascii="宋体" w:hAnsi="宋体" w:eastAsia="宋体" w:cs="宋体"/>
          <w:b/>
          <w:highlight w:val="none"/>
        </w:rPr>
        <w:t xml:space="preserve">三、投标文件的编制</w:t>
      </w:r>
      <w:bookmarkEnd w:id="71"/>
      <w:r>
        <w:rPr>
          <w:highlight w:val="none"/>
        </w:rPr>
      </w:r>
      <w:bookmarkEnd w:id="72"/>
      <w:r>
        <w:rPr>
          <w:highlight w:val="none"/>
        </w:rPr>
      </w:r>
      <w:bookmarkEnd w:id="73"/>
      <w:r>
        <w:rPr>
          <w:highlight w:val="none"/>
        </w:rPr>
      </w:r>
      <w:bookmarkEnd w:id="74"/>
      <w:r>
        <w:rPr>
          <w:highlight w:val="none"/>
        </w:rPr>
      </w:r>
      <w:bookmarkEnd w:id="75"/>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76" w:name="_Toc16938530"/>
      <w:r>
        <w:rPr>
          <w:highlight w:val="none"/>
        </w:rPr>
      </w:r>
      <w:bookmarkStart w:id="77" w:name="_Toc513029214"/>
      <w:r>
        <w:rPr>
          <w:highlight w:val="none"/>
        </w:rPr>
      </w:r>
      <w:bookmarkStart w:id="78" w:name="_Toc20823286"/>
      <w:r>
        <w:rPr>
          <w:highlight w:val="none"/>
        </w:rPr>
      </w:r>
      <w:bookmarkStart w:id="79" w:name="_Toc462564073"/>
      <w:r>
        <w:rPr>
          <w:rFonts w:hint="eastAsia" w:ascii="宋体" w:hAnsi="宋体" w:eastAsia="宋体" w:cs="宋体"/>
          <w:highlight w:val="none"/>
        </w:rPr>
        <w:t xml:space="preserve">9、投标文件的语言及度量衡单位</w:t>
      </w:r>
      <w:bookmarkEnd w:id="76"/>
      <w:r>
        <w:rPr>
          <w:highlight w:val="none"/>
        </w:rPr>
      </w:r>
      <w:bookmarkEnd w:id="77"/>
      <w:r>
        <w:rPr>
          <w:highlight w:val="none"/>
        </w:rPr>
      </w:r>
      <w:bookmarkEnd w:id="78"/>
      <w:r>
        <w:rPr>
          <w:highlight w:val="none"/>
        </w:rPr>
      </w:r>
      <w:bookmarkEnd w:id="79"/>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9.1投标人提交的投标文件以及投标人与采购代理机构就有关投标的所有来往通知、函件和文件均应使用</w:t>
      </w:r>
      <w:r>
        <w:rPr>
          <w:rFonts w:hint="eastAsia" w:ascii="宋体" w:hAnsi="宋体" w:eastAsia="宋体" w:cs="宋体"/>
          <w:b/>
          <w:highlight w:val="none"/>
        </w:rPr>
        <w:t xml:space="preserve">简体中文</w:t>
      </w:r>
      <w:r>
        <w:rPr>
          <w:rFonts w:hint="eastAsia" w:ascii="宋体" w:hAnsi="宋体" w:eastAsia="宋体" w:cs="宋体"/>
          <w:highlight w:val="none"/>
        </w:rPr>
        <w:t xml:space="preserve">。</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9.2除技术性能另有规定外，投标文件所使用的度量衡单位，均须采用国家法定计量单位。</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80" w:name="_Toc16938531"/>
      <w:r>
        <w:rPr>
          <w:highlight w:val="none"/>
        </w:rPr>
      </w:r>
      <w:bookmarkStart w:id="81" w:name="_Toc513029215"/>
      <w:r>
        <w:rPr>
          <w:highlight w:val="none"/>
        </w:rPr>
      </w:r>
      <w:bookmarkStart w:id="82" w:name="_Toc20823287"/>
      <w:r>
        <w:rPr>
          <w:highlight w:val="none"/>
        </w:rPr>
      </w:r>
      <w:bookmarkStart w:id="83" w:name="_Toc462564074"/>
      <w:r>
        <w:rPr>
          <w:rFonts w:hint="eastAsia" w:ascii="宋体" w:hAnsi="宋体" w:eastAsia="宋体" w:cs="宋体"/>
          <w:highlight w:val="none"/>
        </w:rPr>
        <w:t xml:space="preserve">10、投标文件构成</w:t>
      </w:r>
      <w:bookmarkEnd w:id="80"/>
      <w:r>
        <w:rPr>
          <w:highlight w:val="none"/>
        </w:rPr>
      </w:r>
      <w:bookmarkEnd w:id="81"/>
      <w:r>
        <w:rPr>
          <w:highlight w:val="none"/>
        </w:rPr>
      </w:r>
      <w:bookmarkEnd w:id="82"/>
      <w:r>
        <w:rPr>
          <w:highlight w:val="none"/>
        </w:rPr>
      </w:r>
      <w:bookmarkEnd w:id="83"/>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10.1投标人编写的投标文件应包括资格证明文件、符合性证明文件、投标分项报价表、技术要求响应及偏离表、商务要求响应及偏离表、其他证明文件、投标函、开标一览表等部分。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10.2如标书制作工具中格式和内容与</w:t>
      </w:r>
      <w:r>
        <w:rPr>
          <w:rFonts w:hint="eastAsia" w:ascii="宋体" w:hAnsi="宋体" w:eastAsia="宋体" w:cs="宋体"/>
          <w:highlight w:val="none"/>
          <w:shd w:val="clear" w:color="auto" w:fill="ffffff"/>
        </w:rPr>
        <w:t xml:space="preserve">“</w:t>
      </w:r>
      <w:r>
        <w:rPr>
          <w:rFonts w:hint="eastAsia" w:ascii="宋体" w:hAnsi="宋体" w:eastAsia="宋体" w:cs="宋体"/>
          <w:highlight w:val="none"/>
        </w:rPr>
        <w:t xml:space="preserve">中国政府采购网”“江苏政府采购网”“盐城市政府采购网”发布的招标文件不一致，请以</w:t>
      </w:r>
      <w:r>
        <w:rPr>
          <w:rFonts w:hint="eastAsia" w:ascii="宋体" w:hAnsi="宋体" w:eastAsia="宋体" w:cs="宋体"/>
          <w:highlight w:val="none"/>
          <w:shd w:val="clear" w:color="auto" w:fill="ffffff"/>
        </w:rPr>
        <w:t xml:space="preserve">“</w:t>
      </w:r>
      <w:r>
        <w:rPr>
          <w:rFonts w:hint="eastAsia" w:ascii="宋体" w:hAnsi="宋体" w:eastAsia="宋体" w:cs="宋体"/>
          <w:highlight w:val="none"/>
        </w:rPr>
        <w:t xml:space="preserve">中国政府采购网”“江苏政府采购网”“盐城市政府采购网”发布的招标文件为准。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84" w:name="_Toc49090507"/>
      <w:r>
        <w:rPr>
          <w:highlight w:val="none"/>
        </w:rPr>
      </w:r>
      <w:bookmarkStart w:id="85" w:name="_Toc14577354"/>
      <w:r>
        <w:rPr>
          <w:highlight w:val="none"/>
        </w:rPr>
      </w:r>
      <w:bookmarkStart w:id="86" w:name="_Toc513029219"/>
      <w:r>
        <w:rPr>
          <w:highlight w:val="none"/>
        </w:rPr>
      </w:r>
      <w:bookmarkStart w:id="87" w:name="_Toc14577357"/>
      <w:r>
        <w:rPr>
          <w:highlight w:val="none"/>
        </w:rPr>
      </w:r>
      <w:bookmarkStart w:id="88" w:name="_Toc513029216"/>
      <w:r>
        <w:rPr>
          <w:highlight w:val="none"/>
        </w:rPr>
      </w:r>
      <w:bookmarkStart w:id="89" w:name="_Toc49090509"/>
      <w:r>
        <w:rPr>
          <w:highlight w:val="none"/>
        </w:rPr>
      </w:r>
      <w:bookmarkStart w:id="90" w:name="_Hlt26670360"/>
      <w:r>
        <w:rPr>
          <w:highlight w:val="none"/>
        </w:rPr>
      </w:r>
      <w:bookmarkStart w:id="91" w:name="_Hlt26954838"/>
      <w:r>
        <w:rPr>
          <w:highlight w:val="none"/>
        </w:rPr>
      </w:r>
      <w:bookmarkStart w:id="92" w:name="_Hlt26668975"/>
      <w:r>
        <w:rPr>
          <w:rFonts w:hint="eastAsia" w:ascii="宋体" w:hAnsi="宋体" w:eastAsia="宋体" w:cs="宋体"/>
          <w:highlight w:val="none"/>
        </w:rPr>
        <w:t xml:space="preserve">11、证明投标人及投标标的符合招标文件规定的文件</w:t>
      </w:r>
      <w:bookmarkEnd w:id="84"/>
      <w:r>
        <w:rPr>
          <w:highlight w:val="none"/>
        </w:rPr>
      </w:r>
      <w:bookmarkEnd w:id="85"/>
      <w:r>
        <w:rPr>
          <w:highlight w:val="none"/>
        </w:rPr>
      </w:r>
      <w:bookmarkEnd w:id="86"/>
      <w:r>
        <w:rPr>
          <w:highlight w:val="none"/>
        </w:rPr>
      </w:r>
      <w:bookmarkEnd w:id="87"/>
      <w:r>
        <w:rPr>
          <w:highlight w:val="none"/>
        </w:rPr>
      </w:r>
      <w:bookmarkEnd w:id="88"/>
      <w:r>
        <w:rPr>
          <w:highlight w:val="none"/>
        </w:rPr>
      </w:r>
      <w:bookmarkEnd w:id="89"/>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93" w:name="_Toc49090508"/>
      <w:r>
        <w:rPr>
          <w:highlight w:val="none"/>
        </w:rPr>
      </w:r>
      <w:bookmarkStart w:id="94" w:name="_Toc14577355"/>
      <w:r>
        <w:rPr>
          <w:rFonts w:hint="eastAsia" w:ascii="宋体" w:hAnsi="宋体" w:eastAsia="宋体" w:cs="宋体"/>
          <w:highlight w:val="none"/>
        </w:rPr>
        <w:t xml:space="preserve">11.1投标人应按照法律、法规、规章和规范性文件以及招标文件要求提交证明文件，证明其及投标标的符合招标文件规定。</w:t>
      </w:r>
      <w:bookmarkEnd w:id="93"/>
      <w:r>
        <w:rPr>
          <w:highlight w:val="none"/>
        </w:rPr>
      </w:r>
      <w:bookmarkEnd w:id="94"/>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11.2招标文件对证明文件无明确形式要求的，证明文件可以以文字资料、图纸和数据等形式提交。</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12、投标分项报价</w:t>
      </w:r>
      <w:bookmarkStart w:id="95" w:name="_Hlt26670373"/>
      <w:r>
        <w:rPr>
          <w:rFonts w:hint="eastAsia" w:ascii="宋体" w:hAnsi="宋体" w:eastAsia="宋体" w:cs="宋体"/>
          <w:highlight w:val="none"/>
        </w:rPr>
        <w:t xml:space="preserve">表</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12.1投</w:t>
      </w:r>
      <w:bookmarkStart w:id="96" w:name="_Hlt26954840"/>
      <w:r>
        <w:rPr>
          <w:rFonts w:hint="eastAsia" w:ascii="宋体" w:hAnsi="宋体" w:eastAsia="宋体" w:cs="宋体"/>
          <w:highlight w:val="none"/>
        </w:rPr>
        <w:t xml:space="preserve">标人应按照招标文件规定格式填报投标分项报价表</w:t>
      </w:r>
      <w:bookmarkStart w:id="97" w:name="_Hlt26670399"/>
      <w:r>
        <w:rPr>
          <w:rFonts w:hint="eastAsia" w:ascii="宋体" w:hAnsi="宋体" w:eastAsia="宋体" w:cs="宋体"/>
          <w:highlight w:val="none"/>
        </w:rPr>
        <w:t xml:space="preserve">。</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12.2投标货币。投标文件中的单价和总价无特殊规定的采用人民币报价，以元为单位标注。招标文件中另有规定的按规定执行。</w:t>
      </w:r>
      <w:r>
        <w:rPr>
          <w:highlight w:val="none"/>
        </w:rPr>
      </w:r>
      <w:r/>
    </w:p>
    <w:p>
      <w:pPr>
        <w:pStyle w:val="87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12.3 本项目的中标人在领取中标通知书前，须向采购代理机构盐城市弘盛招标代理有限公司支付招标代理服务费，招标代理服务费收费标准根据《江苏省政府采购代理服务收费指导意见》(苏政采协〔2024]20号)标准进行收取；收取</w:t>
      </w:r>
      <w:r>
        <w:rPr>
          <w:rFonts w:hint="eastAsia" w:ascii="宋体" w:hAnsi="宋体" w:eastAsia="宋体" w:cs="宋体"/>
          <w:highlight w:val="none"/>
        </w:rPr>
        <w:t xml:space="preserve">人民币</w:t>
      </w:r>
      <w:r>
        <w:rPr>
          <w:rFonts w:hint="eastAsia" w:ascii="宋体" w:hAnsi="宋体" w:eastAsia="宋体" w:cs="宋体"/>
          <w:highlight w:val="none"/>
          <w:u w:val="single"/>
          <w:lang w:val="en-US" w:eastAsia="zh-CN"/>
        </w:rPr>
        <w:t xml:space="preserve">30000</w:t>
      </w:r>
      <w:r>
        <w:rPr>
          <w:rFonts w:hint="eastAsia" w:ascii="宋体" w:hAnsi="宋体" w:eastAsia="宋体" w:cs="宋体"/>
          <w:highlight w:val="none"/>
        </w:rPr>
        <w:t xml:space="preserve">元</w:t>
      </w:r>
      <w:r>
        <w:rPr>
          <w:rFonts w:hint="eastAsia" w:ascii="宋体" w:hAnsi="宋体" w:eastAsia="宋体" w:cs="宋体"/>
          <w:highlight w:val="none"/>
        </w:rPr>
        <w:t xml:space="preserve">，上述费用由各投标人在投标时自行综合考虑分摊含进投标报价中，且不得单列，采购人不承担此费用。</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98" w:name="_Hlt26954842"/>
      <w:r>
        <w:rPr>
          <w:highlight w:val="none"/>
        </w:rPr>
      </w:r>
      <w:bookmarkStart w:id="99" w:name="_Hlt26670403"/>
      <w:r>
        <w:rPr>
          <w:highlight w:val="none"/>
        </w:rPr>
      </w:r>
      <w:bookmarkStart w:id="100" w:name="_Hlt26670486"/>
      <w:r>
        <w:rPr>
          <w:highlight w:val="none"/>
        </w:rPr>
      </w:r>
      <w:bookmarkStart w:id="101" w:name="_Hlt26954848"/>
      <w:r>
        <w:rPr>
          <w:highlight w:val="none"/>
        </w:rPr>
      </w:r>
      <w:bookmarkStart w:id="102" w:name="_Hlt26670425"/>
      <w:r>
        <w:rPr>
          <w:highlight w:val="none"/>
        </w:rPr>
      </w:r>
      <w:bookmarkStart w:id="103" w:name="_Hlt26954731"/>
      <w:r>
        <w:rPr>
          <w:highlight w:val="none"/>
        </w:rPr>
      </w:r>
      <w:bookmarkStart w:id="104" w:name="_Hlt26954844"/>
      <w:r>
        <w:rPr>
          <w:highlight w:val="none"/>
        </w:rPr>
      </w:r>
      <w:bookmarkStart w:id="105" w:name="_Hlt26670482"/>
      <w:r>
        <w:rPr>
          <w:highlight w:val="none"/>
        </w:rPr>
      </w:r>
      <w:bookmarkStart w:id="106" w:name="_Hlt26668983"/>
      <w:r>
        <w:rPr>
          <w:highlight w:val="none"/>
        </w:rPr>
      </w:r>
      <w:bookmarkStart w:id="107" w:name="_Hlt26954846"/>
      <w:r>
        <w:rPr>
          <w:rFonts w:hint="eastAsia" w:ascii="宋体" w:hAnsi="宋体" w:eastAsia="宋体" w:cs="宋体"/>
          <w:highlight w:val="none"/>
        </w:rPr>
        <w:t xml:space="preserve">13、技术要求响应及偏离表、商务要求响应及偏离表</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13.1投标人需对招标文件中的技术要求与商务要求逐项作出响应或偏离，并说明原因。</w:t>
      </w:r>
      <w:r>
        <w:rPr>
          <w:highlight w:val="none"/>
        </w:rPr>
      </w:r>
      <w:r/>
    </w:p>
    <w:p>
      <w:pPr>
        <w:pStyle w:val="871"/>
        <w:ind w:firstLine="480"/>
        <w:jc w:val="both"/>
        <w:spacing w:beforeAutospacing="0" w:afterAutospacing="0" w:line="360" w:lineRule="auto"/>
        <w:tabs>
          <w:tab w:val="left" w:pos="1036" w:leader="none"/>
        </w:tabs>
        <w:rPr>
          <w:rFonts w:hint="eastAsia" w:ascii="宋体" w:hAnsi="宋体" w:eastAsia="宋体" w:cs="宋体"/>
          <w:highlight w:val="none"/>
        </w:rPr>
      </w:pPr>
      <w:r>
        <w:rPr>
          <w:rFonts w:hint="eastAsia" w:ascii="宋体" w:hAnsi="宋体" w:eastAsia="宋体" w:cs="宋体"/>
          <w:highlight w:val="none"/>
        </w:rPr>
        <w:t xml:space="preserve">13.2投标人可在投标文件中提供认为需要的其他技术文件或说明。</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08" w:name="_Toc49090510"/>
      <w:r>
        <w:rPr>
          <w:highlight w:val="none"/>
        </w:rPr>
      </w:r>
      <w:bookmarkStart w:id="109" w:name="_Toc14577359"/>
      <w:r>
        <w:rPr>
          <w:rFonts w:hint="eastAsia" w:ascii="宋体" w:hAnsi="宋体" w:eastAsia="宋体" w:cs="宋体"/>
          <w:highlight w:val="none"/>
        </w:rPr>
        <w:t xml:space="preserve">14、投标函和开标一览表</w:t>
      </w:r>
      <w:bookmarkEnd w:id="108"/>
      <w:r>
        <w:rPr>
          <w:highlight w:val="none"/>
        </w:rPr>
      </w:r>
      <w:bookmarkEnd w:id="109"/>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14.1投标人应按照招标文件中提供的格式完整、正确填写投标函、开标一览表。</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highlight w:val="none"/>
        </w:rPr>
        <w:t xml:space="preserve">。</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10" w:name="_Toc49090511"/>
      <w:r>
        <w:rPr>
          <w:highlight w:val="none"/>
        </w:rPr>
      </w:r>
      <w:bookmarkStart w:id="111" w:name="_Toc14577360"/>
      <w:r>
        <w:rPr>
          <w:highlight w:val="none"/>
        </w:rPr>
      </w:r>
      <w:bookmarkStart w:id="112" w:name="_Hlt26954734"/>
      <w:r>
        <w:rPr>
          <w:highlight w:val="none"/>
        </w:rPr>
      </w:r>
      <w:bookmarkStart w:id="113" w:name="_Hlt26670489"/>
      <w:r>
        <w:rPr>
          <w:highlight w:val="none"/>
        </w:rPr>
      </w:r>
      <w:bookmarkStart w:id="114" w:name="_Hlt26954850"/>
      <w:r>
        <w:rPr>
          <w:rFonts w:hint="eastAsia" w:ascii="宋体" w:hAnsi="宋体" w:eastAsia="宋体" w:cs="宋体"/>
          <w:highlight w:val="none"/>
        </w:rPr>
        <w:t xml:space="preserve">15、投标有效期</w:t>
      </w:r>
      <w:bookmarkEnd w:id="110"/>
      <w:r>
        <w:rPr>
          <w:highlight w:val="none"/>
        </w:rPr>
      </w:r>
      <w:bookmarkEnd w:id="111"/>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15.1投标有效期为采购代理机构规定的开标之日后</w:t>
      </w:r>
      <w:r>
        <w:rPr>
          <w:rFonts w:hint="eastAsia" w:ascii="宋体" w:hAnsi="宋体" w:eastAsia="宋体" w:cs="宋体"/>
          <w:b/>
          <w:highlight w:val="none"/>
          <w:u w:val="single"/>
        </w:rPr>
        <w:t xml:space="preserve">九十（90）天</w:t>
      </w:r>
      <w:r>
        <w:rPr>
          <w:rFonts w:hint="eastAsia" w:ascii="宋体" w:hAnsi="宋体" w:eastAsia="宋体" w:cs="宋体"/>
          <w:highlight w:val="none"/>
        </w:rPr>
        <w:t xml:space="preserve">。投标有效期比规定短的将被视为未实质性响应招标文件而予以拒绝。</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16、投标有效期的延长</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highlight w:val="none"/>
        </w:rPr>
      </w:r>
      <w:bookmarkStart w:id="115" w:name="_Toc16938540"/>
      <w:r>
        <w:rPr>
          <w:highlight w:val="none"/>
        </w:rPr>
      </w:r>
      <w:bookmarkStart w:id="116" w:name="_Toc513029224"/>
      <w:r>
        <w:rPr>
          <w:highlight w:val="none"/>
        </w:rPr>
      </w:r>
      <w:bookmarkStart w:id="117" w:name="_Toc120614217"/>
      <w:r>
        <w:rPr>
          <w:highlight w:val="none"/>
        </w:rPr>
      </w:r>
      <w:bookmarkStart w:id="118" w:name="_Toc20823296"/>
      <w:r>
        <w:rPr>
          <w:highlight w:val="none"/>
        </w:rPr>
      </w:r>
      <w:bookmarkStart w:id="119" w:name="_Hlt26954852"/>
      <w:r>
        <w:rPr>
          <w:highlight w:val="none"/>
        </w:rPr>
      </w:r>
      <w:bookmarkStart w:id="120" w:name="_Hlt26954739"/>
      <w:r>
        <w:rPr>
          <w:rFonts w:hint="eastAsia" w:ascii="宋体" w:hAnsi="宋体" w:eastAsia="宋体" w:cs="宋体"/>
          <w:b/>
          <w:highlight w:val="none"/>
        </w:rPr>
        <w:t xml:space="preserve">四、投标文件的递交</w:t>
      </w:r>
      <w:bookmarkEnd w:id="115"/>
      <w:r>
        <w:rPr>
          <w:highlight w:val="none"/>
        </w:rPr>
      </w:r>
      <w:bookmarkEnd w:id="116"/>
      <w:r>
        <w:rPr>
          <w:highlight w:val="none"/>
        </w:rPr>
      </w:r>
      <w:bookmarkEnd w:id="117"/>
      <w:r>
        <w:rPr>
          <w:highlight w:val="none"/>
        </w:rPr>
      </w:r>
      <w:bookmarkEnd w:id="118"/>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21" w:name="_Toc16938541"/>
      <w:r>
        <w:rPr>
          <w:highlight w:val="none"/>
        </w:rPr>
      </w:r>
      <w:bookmarkStart w:id="122" w:name="_Toc20823297"/>
      <w:r>
        <w:rPr>
          <w:highlight w:val="none"/>
        </w:rPr>
      </w:r>
      <w:bookmarkStart w:id="123" w:name="_Toc513029225"/>
      <w:r>
        <w:rPr>
          <w:highlight w:val="none"/>
        </w:rPr>
      </w:r>
      <w:bookmarkStart w:id="124" w:name="_Toc462564084"/>
      <w:r>
        <w:rPr>
          <w:rFonts w:hint="eastAsia" w:ascii="宋体" w:hAnsi="宋体" w:eastAsia="宋体" w:cs="宋体"/>
          <w:highlight w:val="none"/>
        </w:rPr>
        <w:t xml:space="preserve">17、投标文件</w:t>
      </w:r>
      <w:bookmarkEnd w:id="121"/>
      <w:r>
        <w:rPr>
          <w:highlight w:val="none"/>
        </w:rPr>
      </w:r>
      <w:bookmarkEnd w:id="122"/>
      <w:r>
        <w:rPr>
          <w:highlight w:val="none"/>
        </w:rPr>
      </w:r>
      <w:bookmarkEnd w:id="123"/>
      <w:r>
        <w:rPr>
          <w:highlight w:val="none"/>
        </w:rPr>
      </w:r>
      <w:bookmarkEnd w:id="124"/>
      <w:r>
        <w:rPr>
          <w:rFonts w:hint="eastAsia" w:ascii="宋体" w:hAnsi="宋体" w:eastAsia="宋体" w:cs="宋体"/>
          <w:highlight w:val="none"/>
        </w:rPr>
        <w:t xml:space="preserve">的递交</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17.1 电子投标文件的递交</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投标人应当按照《操作手册》规定，在投标截止时间前制作并上传电子投标文件。</w:t>
      </w:r>
      <w:bookmarkStart w:id="125" w:name="_Toc16938542"/>
      <w:r>
        <w:rPr>
          <w:highlight w:val="none"/>
        </w:rPr>
      </w:r>
      <w:bookmarkEnd w:id="125"/>
      <w:r>
        <w:rPr>
          <w:highlight w:val="none"/>
        </w:rPr>
      </w:r>
      <w:bookmarkStart w:id="126" w:name="_Toc20823298"/>
      <w:r>
        <w:rPr>
          <w:highlight w:val="none"/>
        </w:rPr>
      </w:r>
      <w:bookmarkEnd w:id="126"/>
      <w:r>
        <w:rPr>
          <w:highlight w:val="none"/>
        </w:rPr>
      </w:r>
      <w:bookmarkStart w:id="127" w:name="_Toc513029226"/>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18、投标截止时间</w:t>
      </w:r>
      <w:r>
        <w:rPr>
          <w:highlight w:val="none"/>
        </w:rPr>
      </w:r>
      <w:r/>
    </w:p>
    <w:p>
      <w:pPr>
        <w:pStyle w:val="87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i/>
          <w:highlight w:val="none"/>
          <w:u w:val="single"/>
        </w:rPr>
        <w:t xml:space="preserve">18.1投标人上传电子投标文件的时间不得迟于招标公告中规定的投标截止时间。</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投标人应充分考虑到网络环境、网络带宽等风险因素，如因投标人自身原因造成的电子投标文件上传不成功的按照本招标文件第二章第26.1.2条 规定做无效投标处理。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18.2采购代理机构可以按照规定，通过修改招标文件酌情延长投标截止时间，在此情况下，投标人的所有权利和义务以及投标人受制的截止时间均应以延长后新的截止时间为准。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28" w:name="_Toc513029227"/>
      <w:r>
        <w:rPr>
          <w:highlight w:val="none"/>
        </w:rPr>
      </w:r>
      <w:bookmarkStart w:id="129" w:name="_Toc20823299"/>
      <w:r>
        <w:rPr>
          <w:highlight w:val="none"/>
        </w:rPr>
      </w:r>
      <w:bookmarkStart w:id="130" w:name="_Toc16938543"/>
      <w:r>
        <w:rPr>
          <w:rFonts w:hint="eastAsia" w:ascii="宋体" w:hAnsi="宋体" w:eastAsia="宋体" w:cs="宋体"/>
          <w:highlight w:val="none"/>
        </w:rPr>
        <w:t xml:space="preserve">19、投标文件</w:t>
      </w:r>
      <w:bookmarkEnd w:id="128"/>
      <w:r>
        <w:rPr>
          <w:highlight w:val="none"/>
        </w:rPr>
      </w:r>
      <w:bookmarkEnd w:id="129"/>
      <w:r>
        <w:rPr>
          <w:highlight w:val="none"/>
        </w:rPr>
      </w:r>
      <w:bookmarkEnd w:id="130"/>
      <w:r>
        <w:rPr>
          <w:rFonts w:hint="eastAsia" w:ascii="宋体" w:hAnsi="宋体" w:eastAsia="宋体" w:cs="宋体"/>
          <w:highlight w:val="none"/>
        </w:rPr>
        <w:t xml:space="preserve">的拒收</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19.1采购代理机构拒绝接收在其规定的投标截止时间后上传的任何投标文件。</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31" w:name="_Toc20823300"/>
      <w:r>
        <w:rPr>
          <w:highlight w:val="none"/>
        </w:rPr>
      </w:r>
      <w:bookmarkStart w:id="132" w:name="_Toc513029228"/>
      <w:r>
        <w:rPr>
          <w:highlight w:val="none"/>
        </w:rPr>
      </w:r>
      <w:bookmarkStart w:id="133" w:name="_Toc16938544"/>
      <w:r>
        <w:rPr>
          <w:rFonts w:hint="eastAsia" w:ascii="宋体" w:hAnsi="宋体" w:eastAsia="宋体" w:cs="宋体"/>
          <w:highlight w:val="none"/>
        </w:rPr>
        <w:t xml:space="preserve">20、投标文件的撤回和修改</w:t>
      </w:r>
      <w:bookmarkEnd w:id="131"/>
      <w:r>
        <w:rPr>
          <w:highlight w:val="none"/>
        </w:rPr>
      </w:r>
      <w:bookmarkEnd w:id="132"/>
      <w:r>
        <w:rPr>
          <w:highlight w:val="none"/>
        </w:rPr>
      </w:r>
      <w:bookmarkEnd w:id="133"/>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20.1投标文件的撤回</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20.1.1电子投标文件的撤回</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投标人可在投标截止时间前，撤回其电子投标文件，具体操作方法见《操作手册》。</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20.1.2投标人撤回电子投标文件，则认为其不再参与本项目投标活动。</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20.2 投标文件的修改</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20.2.1投标人可在投标截止时间前，对其电子投标文件进行修改，具体操作方法见《操作手册》。</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20.2.2在投标截止时间之后，投标人不得对其电子投标文件作任何修改。</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20.3在投标截止时间至招标文件中规定的投标有效期满之间的这段时间内，投标人不得撤回其投标。</w:t>
      </w:r>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highlight w:val="none"/>
        </w:rPr>
      </w:r>
      <w:bookmarkStart w:id="134" w:name="_Toc20823301"/>
      <w:r>
        <w:rPr>
          <w:highlight w:val="none"/>
        </w:rPr>
      </w:r>
      <w:bookmarkStart w:id="135" w:name="_Toc16938545"/>
      <w:r>
        <w:rPr>
          <w:highlight w:val="none"/>
        </w:rPr>
      </w:r>
      <w:bookmarkStart w:id="136" w:name="_Toc120614218"/>
      <w:r>
        <w:rPr>
          <w:highlight w:val="none"/>
        </w:rPr>
      </w:r>
      <w:bookmarkStart w:id="137" w:name="_Toc513029229"/>
      <w:r>
        <w:rPr>
          <w:rFonts w:hint="eastAsia" w:ascii="宋体" w:hAnsi="宋体" w:eastAsia="宋体" w:cs="宋体"/>
          <w:b/>
          <w:highlight w:val="none"/>
        </w:rPr>
        <w:t xml:space="preserve">五、开标与评标</w:t>
      </w:r>
      <w:bookmarkEnd w:id="134"/>
      <w:r>
        <w:rPr>
          <w:highlight w:val="none"/>
        </w:rPr>
      </w:r>
      <w:bookmarkEnd w:id="135"/>
      <w:r>
        <w:rPr>
          <w:highlight w:val="none"/>
        </w:rPr>
      </w:r>
      <w:bookmarkEnd w:id="136"/>
      <w:r>
        <w:rPr>
          <w:highlight w:val="none"/>
        </w:rPr>
      </w:r>
      <w:bookmarkEnd w:id="137"/>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38" w:name="_Toc513029230"/>
      <w:r>
        <w:rPr>
          <w:highlight w:val="none"/>
        </w:rPr>
      </w:r>
      <w:bookmarkStart w:id="139" w:name="_Toc20823302"/>
      <w:r>
        <w:rPr>
          <w:highlight w:val="none"/>
        </w:rPr>
      </w:r>
      <w:bookmarkStart w:id="140" w:name="_Toc16938546"/>
      <w:r>
        <w:rPr>
          <w:rFonts w:hint="eastAsia" w:ascii="宋体" w:hAnsi="宋体" w:eastAsia="宋体" w:cs="宋体"/>
          <w:highlight w:val="none"/>
        </w:rPr>
        <w:t xml:space="preserve">21、开标</w:t>
      </w:r>
      <w:bookmarkEnd w:id="138"/>
      <w:r>
        <w:rPr>
          <w:highlight w:val="none"/>
        </w:rPr>
      </w:r>
      <w:bookmarkEnd w:id="139"/>
      <w:r>
        <w:rPr>
          <w:highlight w:val="none"/>
        </w:rPr>
      </w:r>
      <w:bookmarkEnd w:id="140"/>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21.1采购代理机构将在招标公告中规定的时间和地点组织公开开标。投标人应当按照《操作手册》规定，参加开标活动和在苏采云系统规定的时间内对投标文件进行解密。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21.2开标仪式由采购代理机构组织。苏采云系统将自动对项目进行开标，并宣布各投标人名称和投标价格。</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21.3投标人在开标过程中涉及到的投标文件解密、开标结果确认等工作，应按照《操作手册》规定执行。</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21.4投标人如果对开标过程和开标记录有疑义，应当根据《操作手册》规定提出，如苏采云系统中《开标记录表》宣布后5分钟内未提出的，视同认可开标结果。</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41" w:name="_Toc20823303"/>
      <w:r>
        <w:rPr>
          <w:highlight w:val="none"/>
        </w:rPr>
      </w:r>
      <w:bookmarkStart w:id="142" w:name="_Toc513029231"/>
      <w:r>
        <w:rPr>
          <w:highlight w:val="none"/>
        </w:rPr>
      </w:r>
      <w:bookmarkStart w:id="143" w:name="_Toc16938547"/>
      <w:r>
        <w:rPr>
          <w:rFonts w:hint="eastAsia" w:ascii="宋体" w:hAnsi="宋体" w:eastAsia="宋体" w:cs="宋体"/>
          <w:highlight w:val="none"/>
        </w:rPr>
        <w:t xml:space="preserve">22、评标委员会</w:t>
      </w:r>
      <w:bookmarkEnd w:id="141"/>
      <w:r>
        <w:rPr>
          <w:highlight w:val="none"/>
        </w:rPr>
      </w:r>
      <w:bookmarkEnd w:id="142"/>
      <w:r>
        <w:rPr>
          <w:highlight w:val="none"/>
        </w:rPr>
      </w:r>
      <w:bookmarkEnd w:id="143"/>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22.1开标后，采购代理机构将立即组织评标委员会（以下简称评委会）进行评标。</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22.2评委会由采购人代表和有关技术、经济等方面的专家组成，且人员构成符合政府采购有关规定。</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22.3评委会独立工作，负责评审所有投标文件并确定中标候选人。</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23、评标过程的保密与公正</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23.1凡是与审查、澄清、评价和比较投标的有关资料以及授标建议等，采购人、评委、采购代理机构均不得向投标人或与评标无关的其他人员透露。</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23.2在评标过程中，投标人不得以任何行为影响评标过程，否则其投标文件将被作为无效投标文件。</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23.3采购代理机构和评标委员会不向未中标的投标人解释未中标原因，也不公布评标过程中的相关细节。</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23.4采用综合评分法的项目，未中标的投标人可于中标结果公告期限届满之日起通过苏采云系统查看自己的评审得分及排序情况。</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44" w:name="_Toc513029232"/>
      <w:r>
        <w:rPr>
          <w:highlight w:val="none"/>
        </w:rPr>
      </w:r>
      <w:bookmarkStart w:id="145" w:name="_Toc20823304"/>
      <w:r>
        <w:rPr>
          <w:highlight w:val="none"/>
        </w:rPr>
      </w:r>
      <w:bookmarkStart w:id="146" w:name="_Toc16938548"/>
      <w:r>
        <w:rPr>
          <w:rFonts w:hint="eastAsia" w:ascii="宋体" w:hAnsi="宋体" w:eastAsia="宋体" w:cs="宋体"/>
          <w:highlight w:val="none"/>
        </w:rPr>
        <w:t xml:space="preserve">24、投标文件的澄清</w:t>
      </w:r>
      <w:bookmarkEnd w:id="144"/>
      <w:r>
        <w:rPr>
          <w:highlight w:val="none"/>
        </w:rPr>
      </w:r>
      <w:bookmarkEnd w:id="145"/>
      <w:r>
        <w:rPr>
          <w:highlight w:val="none"/>
        </w:rPr>
      </w:r>
      <w:bookmarkEnd w:id="146"/>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24.1评标期间，评委会对投标文件中含义不明确、同类问题表述不一致或者有明显文字和计算错误的内容，有权要求投标人作出必要的澄清、说明或者补正。</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投标人的澄清、说明或者补正不得超出投标文件的范围或者改变投标文件的实质性内容。</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评标委员会并非对每个投标人都做澄清要求。</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24.3接到评委会澄清、说明和补正要求的投标人如未按规定作出澄清、说明和补正，其风险由投标人自行承担。</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47" w:name="_Toc16938549"/>
      <w:r>
        <w:rPr>
          <w:highlight w:val="none"/>
        </w:rPr>
      </w:r>
      <w:bookmarkStart w:id="148" w:name="_Toc20823305"/>
      <w:r>
        <w:rPr>
          <w:highlight w:val="none"/>
        </w:rPr>
      </w:r>
      <w:bookmarkStart w:id="149" w:name="_Toc513029233"/>
      <w:r>
        <w:rPr>
          <w:rFonts w:hint="eastAsia" w:ascii="宋体" w:hAnsi="宋体" w:eastAsia="宋体" w:cs="宋体"/>
          <w:highlight w:val="none"/>
        </w:rPr>
        <w:t xml:space="preserve">25、对投标文件的初审</w:t>
      </w:r>
      <w:bookmarkEnd w:id="147"/>
      <w:r>
        <w:rPr>
          <w:highlight w:val="none"/>
        </w:rPr>
      </w:r>
      <w:bookmarkEnd w:id="148"/>
      <w:r>
        <w:rPr>
          <w:highlight w:val="none"/>
        </w:rPr>
      </w:r>
      <w:bookmarkEnd w:id="149"/>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25.1投标文件初审分为资格审查和符合性审查。</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25.1.1资格审查：依据法律法规和招标文件的规定，由采购人对投标文件中的资格证明文件进行审查。资格审查的结论，采购人以书面形式向评委会进行反馈。</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采购人在进行资格性审查的同时，将在“信用中国”网站（www.creditchina.gov.cn）查询投标人的信用记录，以确定投标人是否具备投标资格,查询结果留存并归档。</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接受联合体的项目，两个以上的自然人、法人或者其他组织组成一个联合体，以</w:t>
      </w:r>
      <w:r>
        <w:rPr>
          <w:rFonts w:hint="eastAsia" w:ascii="宋体" w:hAnsi="宋体" w:eastAsia="宋体" w:cs="宋体"/>
          <w:b/>
          <w:bCs/>
          <w:highlight w:val="none"/>
        </w:rPr>
        <w:t xml:space="preserve">一个供应商的身份</w:t>
      </w:r>
      <w:r>
        <w:rPr>
          <w:rFonts w:hint="eastAsia" w:ascii="宋体" w:hAnsi="宋体" w:eastAsia="宋体" w:cs="宋体"/>
          <w:highlight w:val="none"/>
        </w:rPr>
        <w:t xml:space="preserve">共同参加政府采购活动的,联合体成员存在不良信用记录的，视同联合体存在不良应用记录。</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25.1.2符合性审查：依据招标文件的规定，由评委会从投标文件的有效性、完整性和对招标文件的响应程度进行审查，以确定是否对招标文件的实质性要求作出响应。</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25.3如果投标文件实质上没有响应招标文件的要求，评委会将予以拒绝，投标人不得通过修改或撤销不合要求的偏离或保留而使其投标成为实质性响应的投标。</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25.4评委会将对确定为实质性响应的投标进行进一步审核，确定其是否有计算上或累加上的算术错误，修正错误的原则如下：</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（1）投标文件中开标一览表内容与投标文件中相应内容不一致的，以开标一览表为准。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（2）大写金额和小写金额不一致的，以大写金额为准。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（3）单价金额小数点或者百分比有明显错位的，以开标一览表的总价为准，并修改单价。</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（4）总价金额与按单价汇总金额不一致的，以单价金额计算结果为准。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同时出现两种以上错误的，按照前款规定的顺序修正。</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50" w:name="_Toc16938550"/>
      <w:r>
        <w:rPr>
          <w:highlight w:val="none"/>
        </w:rPr>
      </w:r>
      <w:bookmarkStart w:id="151" w:name="_Toc20823306"/>
      <w:r>
        <w:rPr>
          <w:highlight w:val="none"/>
        </w:rPr>
      </w:r>
      <w:bookmarkStart w:id="152" w:name="_Toc513029234"/>
      <w:r>
        <w:rPr>
          <w:rFonts w:hint="eastAsia" w:ascii="宋体" w:hAnsi="宋体" w:eastAsia="宋体" w:cs="宋体"/>
          <w:highlight w:val="none"/>
        </w:rPr>
        <w:t xml:space="preserve">25.6投标人在开、评标全过程中应保持通信畅通，及时登录苏采云系统查阅、答复相关信息，并安排专人与采购代理机构及评标委员会联系。</w:t>
      </w:r>
      <w:bookmarkEnd w:id="150"/>
      <w:r>
        <w:rPr>
          <w:highlight w:val="none"/>
        </w:rPr>
      </w:r>
      <w:bookmarkEnd w:id="151"/>
      <w:r>
        <w:rPr>
          <w:highlight w:val="none"/>
        </w:rPr>
      </w:r>
      <w:bookmarkEnd w:id="152"/>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26、无效投标条款和废标条款</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53" w:name="_Toc16938551"/>
      <w:r>
        <w:rPr>
          <w:highlight w:val="none"/>
        </w:rPr>
      </w:r>
      <w:bookmarkStart w:id="154" w:name="_Toc20823307"/>
      <w:r>
        <w:rPr>
          <w:highlight w:val="none"/>
        </w:rPr>
      </w:r>
      <w:bookmarkStart w:id="155" w:name="_Toc513029235"/>
      <w:r>
        <w:rPr>
          <w:rFonts w:hint="eastAsia" w:ascii="宋体" w:hAnsi="宋体" w:eastAsia="宋体" w:cs="宋体"/>
          <w:highlight w:val="none"/>
        </w:rPr>
        <w:t xml:space="preserve">26.1无效投标条款</w:t>
      </w:r>
      <w:bookmarkEnd w:id="153"/>
      <w:r>
        <w:rPr>
          <w:highlight w:val="none"/>
        </w:rPr>
      </w:r>
      <w:bookmarkEnd w:id="154"/>
      <w:r>
        <w:rPr>
          <w:highlight w:val="none"/>
        </w:rPr>
      </w:r>
      <w:bookmarkEnd w:id="155"/>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26.1.1投标人在苏采云系统规定的时间内未成功解密电子投标文件的。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26.1.2投标人未按照招标文件要求上传电子投标文件的。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26.1.3同一投标人提交两个（含两个）以上不同的投标报价的。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26.1.4投标人不具备招标文件中规定资格要求的。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26.1.5投标人的报价超过了采购预算或最高限价的。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26.1.6未通过符合性审查的。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26.1.7不符合招标文件中规定的实质性要求和条件的（</w:t>
      </w:r>
      <w:r>
        <w:rPr>
          <w:rFonts w:hint="eastAsia" w:ascii="宋体" w:hAnsi="宋体" w:eastAsia="宋体" w:cs="宋体"/>
          <w:i/>
          <w:highlight w:val="none"/>
          <w:u w:val="single"/>
        </w:rPr>
        <w:t xml:space="preserve">本招标文件中斜体且有下划线部分为实质性要求和条件）。</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26.1.9投标文件含有采购人不能接受的附加条件的。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26.1.10投标人不能证明其报价合理性的，评标委员会应当将其作为无效投标处理。</w:t>
      </w:r>
      <w:r>
        <w:rPr>
          <w:highlight w:val="none"/>
        </w:rPr>
      </w:r>
      <w:r/>
    </w:p>
    <w:p>
      <w:pPr>
        <w:pStyle w:val="87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（一）评审过程中出现下列情形之一的，评标委员会应当启动异常低价投标审查程序：</w:t>
      </w:r>
      <w:r>
        <w:rPr>
          <w:highlight w:val="none"/>
        </w:rPr>
      </w:r>
      <w:r/>
    </w:p>
    <w:p>
      <w:pPr>
        <w:pStyle w:val="87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1.投标（响应）报价低于全部通过符合性审查供应商投标（响应）报价平均值</w:t>
      </w:r>
      <w:r>
        <w:rPr>
          <w:rFonts w:hint="eastAsia" w:ascii="宋体" w:hAnsi="宋体" w:eastAsia="宋体" w:cs="宋体"/>
          <w:b/>
          <w:bCs/>
          <w:highlight w:val="none"/>
          <w:u w:val="single"/>
        </w:rPr>
        <w:t xml:space="preserve">65</w:t>
      </w:r>
      <w:r>
        <w:rPr>
          <w:rFonts w:hint="eastAsia" w:ascii="宋体" w:hAnsi="宋体" w:eastAsia="宋体" w:cs="宋体"/>
          <w:b/>
          <w:bCs/>
          <w:highlight w:val="none"/>
        </w:rPr>
        <w:t xml:space="preserve">%的，即投标（响应）报价&lt;全部通过符合性审查供应商投标（响应）报价平均值×</w:t>
      </w:r>
      <w:r>
        <w:rPr>
          <w:rFonts w:hint="eastAsia" w:ascii="宋体" w:hAnsi="宋体" w:eastAsia="宋体" w:cs="宋体"/>
          <w:b/>
          <w:bCs/>
          <w:highlight w:val="none"/>
          <w:u w:val="single"/>
        </w:rPr>
        <w:t xml:space="preserve">65</w:t>
      </w:r>
      <w:r>
        <w:rPr>
          <w:rFonts w:hint="eastAsia" w:ascii="宋体" w:hAnsi="宋体" w:eastAsia="宋体" w:cs="宋体"/>
          <w:b/>
          <w:bCs/>
          <w:highlight w:val="none"/>
        </w:rPr>
        <w:t xml:space="preserve">%；</w:t>
      </w:r>
      <w:r>
        <w:rPr>
          <w:highlight w:val="none"/>
        </w:rPr>
      </w:r>
      <w:r/>
    </w:p>
    <w:p>
      <w:pPr>
        <w:pStyle w:val="87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2.投标（响应）报价低于通过符合性审查的次低报价供应商投标（响应）报价</w:t>
      </w:r>
      <w:r>
        <w:rPr>
          <w:rFonts w:hint="eastAsia" w:ascii="宋体" w:hAnsi="宋体" w:eastAsia="宋体" w:cs="宋体"/>
          <w:b/>
          <w:bCs/>
          <w:highlight w:val="none"/>
          <w:u w:val="single"/>
        </w:rPr>
        <w:t xml:space="preserve">65</w:t>
      </w:r>
      <w:r>
        <w:rPr>
          <w:rFonts w:hint="eastAsia" w:ascii="宋体" w:hAnsi="宋体" w:eastAsia="宋体" w:cs="宋体"/>
          <w:b/>
          <w:bCs/>
          <w:highlight w:val="none"/>
        </w:rPr>
        <w:t xml:space="preserve">%的，即投标（响应）报价&lt;通过符合性审查的次低报价供应商投标（响应）报价×</w:t>
      </w:r>
      <w:r>
        <w:rPr>
          <w:rFonts w:hint="eastAsia" w:ascii="宋体" w:hAnsi="宋体" w:eastAsia="宋体" w:cs="宋体"/>
          <w:b/>
          <w:bCs/>
          <w:highlight w:val="none"/>
          <w:u w:val="single"/>
        </w:rPr>
        <w:t xml:space="preserve">65</w:t>
      </w:r>
      <w:r>
        <w:rPr>
          <w:rFonts w:hint="eastAsia" w:ascii="宋体" w:hAnsi="宋体" w:eastAsia="宋体" w:cs="宋体"/>
          <w:b/>
          <w:bCs/>
          <w:highlight w:val="none"/>
        </w:rPr>
        <w:t xml:space="preserve">%；</w:t>
      </w:r>
      <w:r>
        <w:rPr>
          <w:highlight w:val="none"/>
        </w:rPr>
      </w:r>
      <w:r/>
    </w:p>
    <w:p>
      <w:pPr>
        <w:pStyle w:val="87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3.投标（响应）报价低于采购项目最高限价</w:t>
      </w:r>
      <w:r>
        <w:rPr>
          <w:rFonts w:hint="eastAsia" w:ascii="宋体" w:hAnsi="宋体" w:eastAsia="宋体" w:cs="宋体"/>
          <w:b/>
          <w:bCs/>
          <w:highlight w:val="none"/>
          <w:u w:val="single"/>
        </w:rPr>
        <w:t xml:space="preserve">65</w:t>
      </w:r>
      <w:r>
        <w:rPr>
          <w:rFonts w:hint="eastAsia" w:ascii="宋体" w:hAnsi="宋体" w:eastAsia="宋体" w:cs="宋体"/>
          <w:b/>
          <w:bCs/>
          <w:highlight w:val="none"/>
        </w:rPr>
        <w:t xml:space="preserve">%的，即投标（响应）报价&lt;采购项目最高限价×</w:t>
      </w:r>
      <w:r>
        <w:rPr>
          <w:rFonts w:hint="eastAsia" w:ascii="宋体" w:hAnsi="宋体" w:eastAsia="宋体" w:cs="宋体"/>
          <w:b/>
          <w:bCs/>
          <w:highlight w:val="none"/>
          <w:u w:val="single"/>
        </w:rPr>
        <w:t xml:space="preserve">65</w:t>
      </w:r>
      <w:r>
        <w:rPr>
          <w:rFonts w:hint="eastAsia" w:ascii="宋体" w:hAnsi="宋体" w:eastAsia="宋体" w:cs="宋体"/>
          <w:b/>
          <w:bCs/>
          <w:highlight w:val="none"/>
        </w:rPr>
        <w:t xml:space="preserve">%；</w:t>
      </w:r>
      <w:r>
        <w:rPr>
          <w:highlight w:val="none"/>
        </w:rPr>
      </w:r>
      <w:r/>
    </w:p>
    <w:p>
      <w:pPr>
        <w:pStyle w:val="87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4.评审委员会基于专业判断，认为供应商报价过低，有可能影响产品质量或者不能诚信履约的其他情形。</w:t>
      </w:r>
      <w:r>
        <w:rPr>
          <w:highlight w:val="none"/>
        </w:rPr>
      </w:r>
      <w:r/>
    </w:p>
    <w:p>
      <w:pPr>
        <w:pStyle w:val="87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highlight w:val="none"/>
        </w:rPr>
        <w:t xml:space="preserve">。</w:t>
      </w:r>
      <w:r>
        <w:rPr>
          <w:highlight w:val="none"/>
        </w:rPr>
      </w:r>
      <w:r/>
    </w:p>
    <w:p>
      <w:pPr>
        <w:pStyle w:val="87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相关法律法规对供应商报价有规定的，从其规定。</w:t>
      </w:r>
      <w:r>
        <w:rPr>
          <w:highlight w:val="none"/>
        </w:rPr>
      </w:r>
      <w:r/>
    </w:p>
    <w:p>
      <w:pPr>
        <w:pStyle w:val="87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pStyle w:val="87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pStyle w:val="87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r/>
    </w:p>
    <w:p>
      <w:pPr>
        <w:pStyle w:val="871"/>
        <w:ind w:firstLine="482"/>
        <w:jc w:val="both"/>
        <w:spacing w:beforeAutospacing="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26.1.11投标文件未按照招标文件要求加盖CA电子公章的。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26.1.12其他法律、法规及本招标文件规定的属无效投标的情形。</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26.2废标条款</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26.2.1符合专业条件的供应商或者对招标文件作实质响应的供应商不足三家的。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26.2.2出现影响采购公正的违法、违规行为的。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26.2.3因重大变故，采购任务取消的。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26.2.4评标委员会认定招标文件存在歧义、重大缺陷导致评审工作无法进行。</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26.2.5因苏采云系统系统故障原因造成开标不成功的。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26.3 投标截止时间结束后参加投标的供应商不足三家的处理：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26.3.1如出现投标截止时间结束后参加投标的供应商或者在评标期间对招标文件做出实质响应的供应商不足三家情况，按政府采购相关规定执行。</w:t>
      </w:r>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highlight w:val="none"/>
        </w:rPr>
      </w:r>
      <w:bookmarkStart w:id="156" w:name="_Toc120614219"/>
      <w:r>
        <w:rPr>
          <w:rFonts w:hint="eastAsia" w:ascii="宋体" w:hAnsi="宋体" w:eastAsia="宋体" w:cs="宋体"/>
          <w:b/>
          <w:highlight w:val="none"/>
        </w:rPr>
        <w:t xml:space="preserve">六、定标</w:t>
      </w:r>
      <w:bookmarkEnd w:id="156"/>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57" w:name="_Toc20823310"/>
      <w:r>
        <w:rPr>
          <w:highlight w:val="none"/>
        </w:rPr>
      </w:r>
      <w:bookmarkStart w:id="158" w:name="_Toc513029238"/>
      <w:r>
        <w:rPr>
          <w:highlight w:val="none"/>
        </w:rPr>
      </w:r>
      <w:bookmarkStart w:id="159" w:name="_Toc16938554"/>
      <w:r>
        <w:rPr>
          <w:rFonts w:hint="eastAsia" w:ascii="宋体" w:hAnsi="宋体" w:eastAsia="宋体" w:cs="宋体"/>
          <w:highlight w:val="none"/>
        </w:rPr>
        <w:t xml:space="preserve">27、</w:t>
      </w:r>
      <w:bookmarkEnd w:id="157"/>
      <w:r>
        <w:rPr>
          <w:rFonts w:hint="eastAsia" w:ascii="宋体" w:hAnsi="宋体" w:eastAsia="宋体" w:cs="宋体"/>
          <w:highlight w:val="none"/>
        </w:rPr>
        <w:t xml:space="preserve">确定</w:t>
      </w:r>
      <w:bookmarkEnd w:id="158"/>
      <w:r>
        <w:rPr>
          <w:highlight w:val="none"/>
        </w:rPr>
      </w:r>
      <w:bookmarkEnd w:id="159"/>
      <w:r>
        <w:rPr>
          <w:rFonts w:hint="eastAsia" w:ascii="宋体" w:hAnsi="宋体" w:eastAsia="宋体" w:cs="宋体"/>
          <w:highlight w:val="none"/>
        </w:rPr>
        <w:t xml:space="preserve">中标单位</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27.1中标候选人的选取原则和数量见招标文件第五章规定。 </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27.2采购人应根据评委会推荐的中标候选人确定中标人。</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27.3采购代理机构将在“中国政府采购网”“江苏政府采购网”“盐城市政府采购网”发布中标公告，公告期限为1个工作日。</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27.4若有充分证据证明，中标人出现下列情况之一的，一经查实，将被取消中标资格：</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27.4.1提供虚假材料谋取中标的。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27.4.2向采购人、采购代理机构行贿或者提供其他不正当利益的。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27.4.3属于本文件规定的无效条件，但在评标过程中又未被评委会发现的。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27.4.4与采购人或者其他供应商恶意串通的。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27.4.5采取不正当手段诋毁、排挤其他供应商的。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60" w:name="_Toc200451960"/>
      <w:r>
        <w:rPr>
          <w:rFonts w:hint="eastAsia" w:ascii="宋体" w:hAnsi="宋体" w:eastAsia="宋体" w:cs="宋体"/>
          <w:highlight w:val="none"/>
        </w:rPr>
        <w:t xml:space="preserve">27.5 有下列情形之一的，视为投标人串通投标，投标无效：</w:t>
      </w:r>
      <w:bookmarkEnd w:id="160"/>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27.5.1不同投标人的投标文件由同一单位或者个人编制。</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27.5.2不同投标人委托同一单位或者个人办理投标事宜。</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27.5.3不同投标人的投标文件载明的项目管理成员或者联系人员为同一人。</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27.5.4不同投标人的投标文件异常一致或者投标报价呈规律性差异。</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28、质疑处理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28.1提出质疑的供应商应当是参与所质疑项目采购活动的供应商。潜在供应商依法获取其可质疑的采购文件的，可以对采购文件提出质疑。</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28.2.1对可以质疑的采购文件提出质疑的，为收到采购文件之日或者采购文件公告期限届满之日；</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28.2.2对采购过程提出质疑的，为各采购程序环节结束之日；</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28.2.3对中标或者成交结果提出质疑的，为中标或者成交结果公告期限届满之日。</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highlight w:val="none"/>
        </w:rPr>
      </w:r>
      <w:r/>
    </w:p>
    <w:p>
      <w:pPr>
        <w:ind w:firstLine="480"/>
        <w:jc w:val="left"/>
        <w:spacing w:line="360" w:lineRule="auto"/>
        <w:tabs>
          <w:tab w:val="left" w:pos="1331"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采购代理机构及采购人只接收以纸质原件形式送达的质疑,采购人和采购代理机构不接受未填写快递运单的快件。质疑接收地址详见招标公告联系方式。</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28.5 以下情形的质疑不予受理</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28.5.1内容不符合《政府采购质疑和投诉办法》第十二条规定的质疑。</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28.5.2超出政府采购法定期限的质疑。</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28.5.3以传真、电子邮件等方式递交的非原件形式的质疑。</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28.5.4未参加投标活动的供应商或在投标活动中自身权益未受到损害的供应商所提出的质疑。</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28.5.5供应商组成联合体参加投标，联合体中任何一方或多方未按要求签字、盖章、加盖公章的质疑。</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29、中标通知书</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29.2中标通知书将是合同的一个组成部分。对采购人和中标人均具有法律效力。中标通知书发出后，采购人改变中标结果的，或者中标人放弃中标项目的，应当依法承担法律责任。</w:t>
      </w:r>
      <w:r>
        <w:rPr>
          <w:highlight w:val="none"/>
        </w:rPr>
      </w:r>
      <w:r/>
    </w:p>
    <w:p>
      <w:pPr>
        <w:pStyle w:val="871"/>
        <w:ind w:firstLine="482"/>
        <w:jc w:val="both"/>
        <w:spacing w:beforeAutospacing="0" w:afterAutospacing="0" w:line="360" w:lineRule="auto"/>
        <w:rPr>
          <w:rFonts w:hint="eastAsia" w:ascii="宋体" w:hAnsi="宋体" w:eastAsia="宋体" w:cs="宋体"/>
          <w:highlight w:val="none"/>
        </w:rPr>
      </w:pPr>
      <w:r>
        <w:rPr>
          <w:highlight w:val="none"/>
        </w:rPr>
      </w:r>
      <w:bookmarkStart w:id="161" w:name="_Toc20823308"/>
      <w:r>
        <w:rPr>
          <w:highlight w:val="none"/>
        </w:rPr>
      </w:r>
      <w:bookmarkStart w:id="162" w:name="_Toc16938552"/>
      <w:r>
        <w:rPr>
          <w:highlight w:val="none"/>
        </w:rPr>
      </w:r>
      <w:bookmarkStart w:id="163" w:name="_Toc513029236"/>
      <w:r>
        <w:rPr>
          <w:highlight w:val="none"/>
        </w:rPr>
      </w:r>
      <w:bookmarkStart w:id="164" w:name="_Toc120614220"/>
      <w:r>
        <w:rPr>
          <w:rFonts w:hint="eastAsia" w:ascii="宋体" w:hAnsi="宋体" w:eastAsia="宋体" w:cs="宋体"/>
          <w:b/>
          <w:highlight w:val="none"/>
        </w:rPr>
        <w:t xml:space="preserve">七、授予合同</w:t>
      </w:r>
      <w:bookmarkEnd w:id="161"/>
      <w:r>
        <w:rPr>
          <w:highlight w:val="none"/>
        </w:rPr>
      </w:r>
      <w:bookmarkEnd w:id="162"/>
      <w:r>
        <w:rPr>
          <w:highlight w:val="none"/>
        </w:rPr>
      </w:r>
      <w:bookmarkEnd w:id="163"/>
      <w:r>
        <w:rPr>
          <w:highlight w:val="none"/>
        </w:rPr>
      </w:r>
      <w:bookmarkEnd w:id="164"/>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highlight w:val="none"/>
        </w:rPr>
      </w:r>
      <w:bookmarkStart w:id="165" w:name="_Toc16938553"/>
      <w:r>
        <w:rPr>
          <w:highlight w:val="none"/>
        </w:rPr>
      </w:r>
      <w:bookmarkStart w:id="166" w:name="_Toc20823309"/>
      <w:r>
        <w:rPr>
          <w:highlight w:val="none"/>
        </w:rPr>
      </w:r>
      <w:bookmarkStart w:id="167" w:name="_Toc513029237"/>
      <w:r>
        <w:rPr>
          <w:rFonts w:hint="eastAsia" w:ascii="宋体" w:hAnsi="宋体" w:eastAsia="宋体" w:cs="宋体"/>
          <w:highlight w:val="none"/>
        </w:rPr>
        <w:t xml:space="preserve">30.签订合同</w:t>
      </w:r>
      <w:bookmarkEnd w:id="165"/>
      <w:r>
        <w:rPr>
          <w:highlight w:val="none"/>
        </w:rPr>
      </w:r>
      <w:bookmarkEnd w:id="166"/>
      <w:r>
        <w:rPr>
          <w:highlight w:val="none"/>
        </w:rPr>
      </w:r>
      <w:bookmarkEnd w:id="167"/>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30.l中标人应当在中标通知书发出之日起三十日内，按照招标文件确定的事项与采购人签订政府采购合同。</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30.2招标文件、中标人的投标文件及招标过程中有关澄清、承诺文件均应作为合同附件。</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30.3签订合同后，</w:t>
      </w:r>
      <w:r>
        <w:rPr>
          <w:rFonts w:hint="eastAsia" w:ascii="宋体" w:hAnsi="宋体" w:eastAsia="宋体" w:cs="宋体"/>
          <w:i/>
          <w:highlight w:val="none"/>
          <w:u w:val="single"/>
        </w:rPr>
        <w:t xml:space="preserve">中标人不得将合同标的进行转包</w:t>
      </w:r>
      <w:r>
        <w:rPr>
          <w:rFonts w:hint="eastAsia" w:ascii="宋体" w:hAnsi="宋体" w:eastAsia="宋体" w:cs="宋体"/>
          <w:highlight w:val="none"/>
        </w:rPr>
        <w:t xml:space="preserve">。未经采购人同意，中标人也不得采用分包的形式履行合同，否则采购人有权终止合同。确需专业分包的部分，须经采购人同意方可履行。转包或分包造成采购人损失的，中标人应承担相应赔偿责任。</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31、服务（包含与服务相关的货物）的追加</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32.政府采购政策功能落实</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32.1政府采购线上合同信用融资政策</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highlight w:val="none"/>
        </w:rPr>
      </w:r>
      <w:r/>
    </w:p>
    <w:p>
      <w:pPr>
        <w:ind w:firstLine="480"/>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32.2进口产品</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r/>
    </w:p>
    <w:p>
      <w:pPr>
        <w:ind w:firstLine="480"/>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32.3中小企业、监狱企业及残疾人福利性单位</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32.3.1中小企业定义：</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中小企业是</w:t>
      </w:r>
      <w:r>
        <w:rPr>
          <w:rFonts w:hint="eastAsia" w:ascii="宋体" w:hAnsi="宋体" w:eastAsia="宋体" w:cs="宋体"/>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32.3.2供应商提供的货物、工程或者服务符合下列情形的，享受中小企业扶持政策：</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32.3.2.1在货物采购项目中，货物由中小企业制造，即货物由中小企业生产且使用该中小企业商号或者注册商标；</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32.3.2.2在工程采购项目中，工程由中小企业承建，即工程施工单位为中小企业；</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32.3.2.3在服务采购项目中，服务由中小企业承接，即提供服务的人员为中小企业依照《中华人民共和国劳动合同法》订立劳动合同的从业人员。</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32.3.3在货物采购项目中，供应商提供的货物既有中小企业制造货物，也有大型企业制造货物的，不享受中小企业扶持政策。</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32.3.4以联合体形式参加政府采购活动，联合体各方均为中小企业的，联合体视同中小企业。其中，联合体各方均为小微企业的，联合体视同小微企业。</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32.3.6残疾人福利单位定义：享受政府采购支持政策的残疾人福利性单位应当同时满足以下条件：</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32.3.6.1安置的残疾人占本单位在职职工人数的比例不低于25%（含25%），并且安置的残疾人人数不少于10 人（含10 人）；</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32.3.6.2依法与安置的每位残疾人签订了一年以上（含一年）的劳动合同或服务协议；</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32.3.6.3为安置的每位残疾人按月足额缴纳了基本养老保险、基本医疗保险、失业保险、工伤保险和生育保险等社会保险费；</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32.3.6.4通过银行等金融机构向安置的每位残疾人，按月支付了不低于单位所在区县适用的经省级人民政府批准的月最低工资标准的工资；</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32.3.6.5提供本单位制造的货物、承担的工程或者服务（以下简称产品），或者提供其他残疾人福利性单位制造的货物（不包括使用非残疾人福利性单位注册商标的货物）；</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32.3.7本项目是否专门面向中小企业预留采购份额见第一章《招标公告》。</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32.3.8采购标的对应的中小企业划分标准所属行业见第四章《采购需求》。</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32.3.9小微企业价格评审优惠的政策：见第五章《评标方法和评标标准》。</w:t>
      </w:r>
      <w:r>
        <w:rPr>
          <w:highlight w:val="none"/>
        </w:rPr>
      </w:r>
      <w:r/>
    </w:p>
    <w:p>
      <w:pPr>
        <w:ind w:firstLine="480"/>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32.4履约保证金政策</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确需收取履约保证金的，履约保证金的缴纳形式：</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如以履约保函（保险）形式缴纳履约保证金，供应商可通过政府采购电子履约保函（保险）平台（www.jsdzbh.com）在线申请履约保函（保险）。</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 预付款制度</w:t>
      </w:r>
      <w:r>
        <w:rPr>
          <w:highlight w:val="none"/>
        </w:rPr>
      </w:r>
      <w:r/>
    </w:p>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本项目落实预付款制度，预付款比例为</w:t>
      </w:r>
      <w:r>
        <w:rPr>
          <w:rFonts w:hint="eastAsia" w:ascii="宋体" w:hAnsi="宋体" w:eastAsia="宋体" w:cs="宋体"/>
          <w:highlight w:val="none"/>
          <w:u w:val="single"/>
        </w:rPr>
        <w:t xml:space="preserve">30</w:t>
      </w:r>
      <w:r>
        <w:rPr>
          <w:rFonts w:hint="eastAsia" w:ascii="宋体" w:hAnsi="宋体" w:eastAsia="宋体" w:cs="宋体"/>
          <w:highlight w:val="none"/>
        </w:rPr>
        <w:t xml:space="preserve">%（原则上不低于合同金额的30%）。在签订合同时，中标、成交供应商明确书面表示无需预付款或者主动要求降低预付款比例的，采购人可就预付款比例作相应调整。</w:t>
      </w:r>
      <w:r>
        <w:rPr>
          <w:highlight w:val="none"/>
        </w:rPr>
      </w:r>
      <w:r/>
    </w:p>
    <w:p>
      <w:pPr>
        <w:rPr>
          <w:rFonts w:hint="eastAsia" w:ascii="黑体" w:hAnsi="宋体" w:eastAsia="黑体" w:cs="黑体"/>
          <w:sz w:val="24"/>
          <w:highlight w:val="none"/>
        </w:rPr>
      </w:pPr>
      <w:r>
        <w:rPr>
          <w:rFonts w:hint="eastAsia" w:ascii="黑体" w:hAnsi="宋体" w:eastAsia="黑体" w:cs="黑体"/>
          <w:sz w:val="24"/>
          <w:highlight w:val="none"/>
        </w:rPr>
        <w:br w:type="page" w:clear="all"/>
      </w:r>
      <w:r>
        <w:rPr>
          <w:highlight w:val="none"/>
        </w:rPr>
      </w:r>
      <w:r/>
    </w:p>
    <w:p>
      <w:pPr>
        <w:pStyle w:val="871"/>
        <w:jc w:val="center"/>
        <w:spacing w:before="260" w:beforeAutospacing="0" w:after="260" w:afterAutospacing="0" w:line="415" w:lineRule="auto"/>
        <w:rPr>
          <w:rFonts w:hint="eastAsia" w:ascii="黑体" w:hAnsi="宋体" w:eastAsia="黑体" w:cs="黑体"/>
          <w:b/>
          <w:sz w:val="44"/>
          <w:szCs w:val="44"/>
          <w:highlight w:val="none"/>
        </w:rPr>
      </w:pPr>
      <w:r>
        <w:rPr>
          <w:rFonts w:hint="eastAsia" w:ascii="黑体" w:hAnsi="宋体" w:eastAsia="黑体" w:cs="黑体"/>
          <w:b/>
          <w:sz w:val="44"/>
          <w:szCs w:val="44"/>
          <w:highlight w:val="none"/>
        </w:rPr>
        <w:t xml:space="preserve">第三章  合同文本</w:t>
      </w:r>
      <w:r>
        <w:rPr>
          <w:highlight w:val="none"/>
        </w:rPr>
      </w:r>
      <w:r/>
    </w:p>
    <w:p>
      <w:pPr>
        <w:pStyle w:val="871"/>
        <w:ind w:firstLine="480"/>
        <w:jc w:val="both"/>
        <w:spacing w:beforeAutospacing="0" w:afterAutospacing="0" w:line="500" w:lineRule="exact"/>
        <w:rPr>
          <w:highlight w:val="none"/>
        </w:rPr>
      </w:pPr>
      <w:r>
        <w:rPr>
          <w:highlight w:val="none"/>
        </w:rPr>
      </w:r>
      <w:bookmarkStart w:id="168" w:name="_Toc20823315"/>
      <w:r>
        <w:rPr>
          <w:highlight w:val="none"/>
        </w:rPr>
      </w:r>
      <w:bookmarkStart w:id="169" w:name="_Toc16938559"/>
      <w:r>
        <w:rPr>
          <w:highlight w:val="none"/>
        </w:rPr>
      </w:r>
      <w:bookmarkStart w:id="170" w:name="_Toc513029243"/>
      <w:r>
        <w:rPr>
          <w:rFonts w:hint="eastAsia" w:ascii="宋体" w:hAnsi="宋体" w:eastAsia="宋体" w:cs="宋体"/>
          <w:highlight w:val="none"/>
        </w:rPr>
        <w:t xml:space="preserve">以下为中标后签订本项目合同的通用条款，中标人不得提出实质性的修改。</w:t>
      </w:r>
      <w:bookmarkEnd w:id="168"/>
      <w:r>
        <w:rPr>
          <w:highlight w:val="none"/>
        </w:rPr>
      </w:r>
      <w:bookmarkEnd w:id="169"/>
      <w:r>
        <w:rPr>
          <w:highlight w:val="none"/>
        </w:rPr>
      </w:r>
      <w:bookmarkEnd w:id="170"/>
      <w:r>
        <w:rPr>
          <w:highlight w:val="none"/>
        </w:rPr>
      </w:r>
      <w:r/>
    </w:p>
    <w:p>
      <w:pPr>
        <w:pStyle w:val="871"/>
        <w:ind w:firstLine="643"/>
        <w:jc w:val="center"/>
        <w:spacing w:beforeAutospacing="0" w:afterAutospacing="0" w:line="500" w:lineRule="exact"/>
        <w:rPr>
          <w:sz w:val="32"/>
          <w:szCs w:val="32"/>
          <w:highlight w:val="none"/>
        </w:rPr>
      </w:pPr>
      <w:r>
        <w:rPr>
          <w:rFonts w:hint="eastAsia" w:ascii="宋体" w:hAnsi="宋体" w:eastAsia="宋体" w:cs="宋体"/>
          <w:b/>
          <w:sz w:val="32"/>
          <w:szCs w:val="32"/>
          <w:highlight w:val="none"/>
        </w:rPr>
        <w:t xml:space="preserve">盐城市政府采购合同（服务）（合同编号）</w:t>
      </w:r>
      <w:bookmarkStart w:id="171" w:name="_Toc479757211"/>
      <w:r>
        <w:rPr>
          <w:highlight w:val="none"/>
        </w:rPr>
      </w:r>
      <w:bookmarkStart w:id="172" w:name="_Toc20823346"/>
      <w:r>
        <w:rPr>
          <w:highlight w:val="none"/>
        </w:rPr>
      </w:r>
      <w:bookmarkStart w:id="173" w:name="_Toc16938590"/>
      <w:r>
        <w:rPr>
          <w:highlight w:val="none"/>
        </w:rPr>
      </w:r>
      <w:bookmarkStart w:id="174" w:name="_Toc120614244"/>
      <w:r>
        <w:rPr>
          <w:highlight w:val="none"/>
        </w:rPr>
      </w:r>
      <w:bookmarkStart w:id="175" w:name="_Hlt16619350"/>
      <w:r>
        <w:rPr>
          <w:highlight w:val="none"/>
        </w:rPr>
      </w:r>
      <w:bookmarkStart w:id="176" w:name="_Toc462564139"/>
      <w:r>
        <w:rPr>
          <w:highlight w:val="none"/>
        </w:rPr>
      </w:r>
      <w:bookmarkStart w:id="177" w:name="_Hlt16619369"/>
      <w:r>
        <w:rPr>
          <w:highlight w:val="none"/>
        </w:rPr>
      </w: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项目编号： </w:t>
      </w:r>
      <w:r>
        <w:rPr>
          <w:highlight w:val="none"/>
        </w:rPr>
      </w: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合同编号：______________</w:t>
      </w:r>
      <w:r>
        <w:rPr>
          <w:highlight w:val="none"/>
        </w:rPr>
      </w: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签订地点：______________</w:t>
      </w:r>
      <w:r>
        <w:rPr>
          <w:highlight w:val="none"/>
        </w:rPr>
      </w: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签订日期：2026年____月____日</w:t>
      </w:r>
      <w:r>
        <w:rPr>
          <w:highlight w:val="none"/>
        </w:rPr>
      </w:r>
      <w:r/>
    </w:p>
    <w:p>
      <w:pPr>
        <w:spacing w:line="200" w:lineRule="exact"/>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甲方（采购人）</w:t>
      </w:r>
      <w:r>
        <w:rPr>
          <w:highlight w:val="none"/>
        </w:rPr>
      </w: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单位名称：江苏滨海经济开发区沿海工业园管理委员会</w:t>
      </w:r>
      <w:r>
        <w:rPr>
          <w:highlight w:val="none"/>
        </w:rPr>
      </w:r>
      <w:r/>
    </w:p>
    <w:p>
      <w:pPr>
        <w:spacing w:line="200" w:lineRule="exact"/>
        <w:rPr>
          <w:rFonts w:hint="eastAsia" w:ascii="宋体" w:hAnsi="宋体" w:eastAsia="宋体" w:cs="宋体"/>
          <w:bCs/>
          <w:sz w:val="24"/>
          <w:highlight w:val="none"/>
        </w:rPr>
      </w:pPr>
      <w:r>
        <w:rPr>
          <w:rFonts w:hint="eastAsia" w:ascii="宋体" w:hAnsi="宋体" w:eastAsia="宋体" w:cs="宋体"/>
          <w:bCs/>
          <w:sz w:val="24"/>
          <w:highlight w:val="none"/>
        </w:rPr>
      </w:r>
      <w:r>
        <w:rPr>
          <w:highlight w:val="none"/>
        </w:rPr>
      </w: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乙方（供应商）</w:t>
      </w:r>
      <w:r>
        <w:rPr>
          <w:highlight w:val="none"/>
        </w:rPr>
      </w:r>
      <w:r/>
    </w:p>
    <w:p>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单位名称：____________________________________________</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中华人民共和国民法典》《中华人民共和国政府采购法》《中华人民共和国政府采购法实施条例》及其他有关法律法规的规定，经公开招标采购，确定乙方为中标（成交）供应商。甲、乙双方在平等、自愿、公平和诚实信用的基础上，就</w:t>
      </w:r>
      <w:r>
        <w:rPr>
          <w:rFonts w:hint="eastAsia" w:ascii="宋体" w:hAnsi="宋体" w:eastAsia="宋体" w:cs="宋体"/>
          <w:sz w:val="24"/>
          <w:highlight w:val="none"/>
          <w:u w:val="single"/>
        </w:rPr>
        <w:t xml:space="preserve">江苏滨海经济开发区沿海工业园规划环评修编项目</w:t>
      </w:r>
      <w:r>
        <w:rPr>
          <w:rFonts w:hint="eastAsia" w:ascii="宋体" w:hAnsi="宋体" w:eastAsia="宋体" w:cs="宋体"/>
          <w:sz w:val="24"/>
          <w:highlight w:val="none"/>
        </w:rPr>
        <w:t xml:space="preserve">技术服务事宜协商一致，订立本合同。</w:t>
      </w:r>
      <w:r>
        <w:rPr>
          <w:highlight w:val="none"/>
        </w:rPr>
      </w: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第一条  项目名称与概况</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 项目名称：</w:t>
      </w:r>
      <w:r>
        <w:rPr>
          <w:rFonts w:hint="eastAsia" w:ascii="宋体" w:hAnsi="宋体" w:eastAsia="宋体" w:cs="宋体"/>
          <w:sz w:val="24"/>
          <w:highlight w:val="none"/>
          <w:u w:val="single"/>
        </w:rPr>
        <w:t xml:space="preserve">江苏滨海经济开发区沿海工业园规划环评修编项目</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1.2 项目地点：</w:t>
      </w:r>
      <w:r>
        <w:rPr>
          <w:rFonts w:hint="eastAsia" w:ascii="宋体" w:hAnsi="宋体" w:eastAsia="宋体" w:cs="宋体"/>
          <w:sz w:val="24"/>
          <w:highlight w:val="none"/>
          <w:u w:val="single"/>
        </w:rPr>
        <w:t xml:space="preserve">江苏滨海经济开发区沿海工业园区内</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1.3 项目概况：</w:t>
      </w:r>
      <w:r>
        <w:rPr>
          <w:rFonts w:hint="eastAsia" w:ascii="宋体" w:hAnsi="宋体" w:eastAsia="宋体" w:cs="宋体"/>
          <w:sz w:val="24"/>
          <w:highlight w:val="none"/>
          <w:u w:val="single"/>
        </w:rPr>
        <w:t xml:space="preserve">根据《规划环境影响评价条例》、《规划环境影响评价技术导则总纲》(HJ130-2014)、《规划环境影响评价技术导则产业园区》(HJ131-2021)等法律法规、政策规范要求，结合沿海工业园产业发展需求，编制新一轮沿海工业园开发建设规划和规划</w:t>
      </w:r>
      <w:r>
        <w:rPr>
          <w:rFonts w:hint="eastAsia" w:ascii="宋体" w:hAnsi="宋体" w:eastAsia="宋体" w:cs="宋体"/>
          <w:color w:val="000000" w:themeColor="text1"/>
          <w:sz w:val="24"/>
          <w:highlight w:val="none"/>
          <w:u w:val="single"/>
          <w14:textFill>
            <w14:solidFill>
              <w14:schemeClr w14:val="tx1"/>
            </w14:solidFill>
          </w14:textFill>
        </w:rPr>
        <w:t xml:space="preserve">生态</w:t>
      </w:r>
      <w:r>
        <w:rPr>
          <w:rFonts w:hint="eastAsia" w:ascii="宋体" w:hAnsi="宋体" w:eastAsia="宋体" w:cs="宋体"/>
          <w:sz w:val="24"/>
          <w:highlight w:val="none"/>
          <w:u w:val="single"/>
        </w:rPr>
        <w:t xml:space="preserve">环境影响报告书，规划与规划环评报告书送审稿编制完成后一并送至省生态环境厅，由省生态环境厅组织技术审查、行政审查后出具最终审查意见。</w:t>
      </w:r>
      <w:r>
        <w:rPr>
          <w:highlight w:val="none"/>
        </w:rPr>
      </w:r>
      <w:r/>
    </w:p>
    <w:p>
      <w:pPr>
        <w:ind w:firstLine="482"/>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第二条  服务内容与范围</w:t>
      </w:r>
      <w:r>
        <w:rPr>
          <w:highlight w:val="none"/>
        </w:rPr>
      </w:r>
      <w:r/>
    </w:p>
    <w:p>
      <w:pPr>
        <w:ind w:firstLine="480"/>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 服务内容：</w:t>
      </w:r>
      <w:r>
        <w:rPr>
          <w:rFonts w:hint="eastAsia" w:ascii="宋体" w:hAnsi="宋体" w:eastAsia="宋体" w:cs="宋体"/>
          <w:color w:val="000000" w:themeColor="text1"/>
          <w:sz w:val="24"/>
          <w:highlight w:val="none"/>
          <w:u w:val="single"/>
          <w14:textFill>
            <w14:solidFill>
              <w14:schemeClr w14:val="tx1"/>
            </w14:solidFill>
          </w14:textFill>
        </w:rPr>
        <w:t xml:space="preserve">按照国家有关标准、技术导则，编制新一轮江苏滨海经济开发区沿海工业园开发建设规划，并同步开展规划生态环境影响评价修编工作，主要服务内容包括但不限于生态环境现状调查、规划影响预测分析、规划方案合理性分析、提出规划方案的优化调整建议和减缓措施，公众参与、专家评审等与生态环境影响评价有关的所有内容。</w:t>
      </w:r>
      <w:r>
        <w:rPr>
          <w:highlight w:val="none"/>
        </w:rPr>
      </w:r>
      <w:r/>
    </w:p>
    <w:p>
      <w:pPr>
        <w:ind w:firstLine="480"/>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 服务范围：</w:t>
      </w:r>
      <w:r>
        <w:rPr>
          <w:rFonts w:hint="eastAsia" w:ascii="宋体" w:hAnsi="宋体" w:eastAsia="宋体" w:cs="宋体"/>
          <w:color w:val="000000" w:themeColor="text1"/>
          <w:sz w:val="24"/>
          <w:highlight w:val="none"/>
          <w:u w:val="single"/>
          <w14:textFill>
            <w14:solidFill>
              <w14:schemeClr w14:val="tx1"/>
            </w14:solidFill>
          </w14:textFill>
        </w:rPr>
        <w:t xml:space="preserve">现场踏勘及资料收集：对规划范围内及周边的现状生态环境敏感点、工业企业及自然生态环境进行现场勘查；收集区内现有工业企业环评报告、现状排污情况及环保设施情况等资料。</w:t>
      </w:r>
      <w:r>
        <w:rPr>
          <w:highlight w:val="none"/>
        </w:rPr>
      </w:r>
      <w:r/>
    </w:p>
    <w:p>
      <w:pPr>
        <w:ind w:firstLine="480"/>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环境质量现状监测：汇总收集资料，针对区内企业行业特点，进行特征因子判定，并结合规划用地现状布局及规划生态环境保护目标，形成环境质量监测方案，进行环境质量现状监测。</w:t>
      </w:r>
      <w:r>
        <w:rPr>
          <w:highlight w:val="none"/>
        </w:rPr>
      </w:r>
      <w:r/>
    </w:p>
    <w:p>
      <w:pPr>
        <w:ind w:firstLine="480"/>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公众参与调查：在评价过程中同步开展公众参与调查工作。</w:t>
      </w:r>
      <w:r>
        <w:rPr>
          <w:highlight w:val="none"/>
        </w:rPr>
      </w:r>
      <w:r/>
    </w:p>
    <w:p>
      <w:pPr>
        <w:ind w:firstLine="480"/>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环境影响评价报告编制：在上述基础上进行规划的相符性、区域环境容量、资源环境承载力等分析，评价规划实施对区域大气环境、水环境、声环境、土壤环境、生态环境等方面的影响，论证园区的选址、发展规模、布局、产业结构及环保设施的合理性，提出预防或者减轻不良环境影响的对策和措施，给出生态环境准入及管控要求。</w:t>
      </w:r>
      <w:r>
        <w:rPr>
          <w:highlight w:val="none"/>
        </w:rPr>
      </w:r>
      <w:r/>
    </w:p>
    <w:p>
      <w:pPr>
        <w:ind w:firstLine="480"/>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报告评审、修改及上报：完成报告评审、修改及最终上报工作，获得省生态环境厅审查意见。</w:t>
      </w:r>
      <w:r>
        <w:rPr>
          <w:highlight w:val="none"/>
        </w:rPr>
      </w:r>
      <w:r/>
    </w:p>
    <w:p>
      <w:pPr>
        <w:pStyle w:val="883"/>
        <w:ind w:firstLine="490"/>
        <w:spacing w:after="0" w:line="480" w:lineRule="exact"/>
        <w:widowControl w:val="off"/>
        <w:rPr>
          <w:rFonts w:hint="eastAsia" w:ascii="宋体" w:hAnsi="宋体" w:eastAsia="宋体" w:cs="宋体"/>
          <w:highlight w:val="none"/>
        </w:rPr>
      </w:pPr>
      <w:r>
        <w:rPr>
          <w:rFonts w:hint="eastAsia" w:ascii="宋体" w:hAnsi="宋体" w:eastAsia="宋体" w:cs="宋体"/>
          <w:b/>
          <w:highlight w:val="none"/>
        </w:rPr>
        <w:t xml:space="preserve">第三条  合同金额与支付方式</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3.1 本合同总金额为人民币（大写）_________元整（小写：¥________元）。</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该合同总价是指乙方为完成本合同约定的全部服务内容所需的一切费用，包括但不限于：人工费、采样费、检测分析费、差旅费、交通费、报告编制费、专家评审费、资料费、管理费、税金、保险及其他相关费用。</w:t>
      </w:r>
      <w:r>
        <w:rPr>
          <w:highlight w:val="none"/>
        </w:rPr>
      </w:r>
      <w:r/>
    </w:p>
    <w:p>
      <w:pPr>
        <w:ind w:firstLine="480"/>
        <w:spacing w:line="480" w:lineRule="exact"/>
        <w:tabs>
          <w:tab w:val="left" w:pos="1890" w:leader="none"/>
        </w:tabs>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付款方式：</w:t>
      </w:r>
      <w:r>
        <w:rPr>
          <w:rFonts w:hint="eastAsia" w:ascii="宋体" w:hAnsi="宋体" w:eastAsia="宋体" w:cs="宋体"/>
          <w:color w:val="000000" w:themeColor="text1"/>
          <w:sz w:val="24"/>
          <w:highlight w:val="none"/>
          <w:u w:val="single"/>
          <w14:textFill>
            <w14:solidFill>
              <w14:schemeClr w14:val="tx1"/>
            </w14:solidFill>
          </w14:textFill>
        </w:rPr>
        <w:t xml:space="preserve">合同签订后30日内，甲方支付合同额的30%；规划生态环境影响报告书通过省生态环境评估中心组织的专家技术评审后30日内，甲方支付合同额的40%；规划环境影响报告书取得省生态环境厅出具的审查意见后30日内，甲方支付合同额的30%。</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3.3 每次申请付款前，乙方应向甲方提供等额有效的增值税发票。因乙方未及时提供发票导致付款延误的，责任由乙方承担。</w:t>
      </w:r>
      <w:r>
        <w:rPr>
          <w:highlight w:val="none"/>
        </w:rPr>
      </w: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第四条  服务期限</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4.1 本合同服务期限自____年____月____日起至____年____月____日止。</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4.2 因甲方原因或不可抗力导致工作延期的，服务期限相应顺延，双方另行协商确定。</w:t>
      </w:r>
      <w:r>
        <w:rPr>
          <w:highlight w:val="none"/>
        </w:rPr>
      </w: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第五条  甲方权利与义务</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5.1 甲方有权对乙方的工作进度、质量进行监督检查，提出合理的意见和建议。</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5.2 甲方应按合同约定及时支付合同款项。</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5.3 甲方应协调提供乙方开展工作所需的场地条件、相关资料及工作便利，包括但不限于：</w:t>
      </w:r>
      <w:r>
        <w:rPr>
          <w:rFonts w:hint="eastAsia" w:ascii="宋体" w:hAnsi="宋体" w:eastAsia="宋体" w:cs="宋体"/>
          <w:color w:val="000000" w:themeColor="text1"/>
          <w:sz w:val="24"/>
          <w:highlight w:val="none"/>
          <w14:textFill>
            <w14:solidFill>
              <w14:schemeClr w14:val="tx1"/>
            </w14:solidFill>
          </w14:textFill>
        </w:rPr>
        <w:t xml:space="preserve">企业环评报告及批复、排污许可证、竣工验收报告及验收意见、应急预案、配套基础设施建设情况等</w:t>
      </w:r>
      <w:r>
        <w:rPr>
          <w:rFonts w:hint="eastAsia" w:ascii="宋体" w:hAnsi="宋体" w:eastAsia="宋体" w:cs="宋体"/>
          <w:sz w:val="24"/>
          <w:highlight w:val="none"/>
        </w:rPr>
        <w:t xml:space="preserve">。</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5.4 甲方应协助乙方协调与</w:t>
      </w:r>
      <w:r>
        <w:rPr>
          <w:rFonts w:hint="eastAsia" w:ascii="宋体" w:hAnsi="宋体" w:eastAsia="宋体" w:cs="宋体"/>
          <w:color w:val="000000" w:themeColor="text1"/>
          <w:sz w:val="24"/>
          <w:highlight w:val="none"/>
          <w14:textFill>
            <w14:solidFill>
              <w14:schemeClr w14:val="tx1"/>
            </w14:solidFill>
          </w14:textFill>
        </w:rPr>
        <w:t xml:space="preserve">企业</w:t>
      </w:r>
      <w:r>
        <w:rPr>
          <w:rFonts w:hint="eastAsia" w:ascii="宋体" w:hAnsi="宋体" w:eastAsia="宋体" w:cs="宋体"/>
          <w:sz w:val="24"/>
          <w:highlight w:val="none"/>
        </w:rPr>
        <w:t xml:space="preserve">及相关部门的关系。</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5.5 甲方应在收到乙方提交的阶段性成果后__</w:t>
      </w:r>
      <w:r>
        <w:rPr>
          <w:rFonts w:hint="eastAsia" w:cs="宋体"/>
          <w:sz w:val="24"/>
          <w:highlight w:val="none"/>
        </w:rPr>
        <w:t xml:space="preserve">7</w:t>
      </w:r>
      <w:r>
        <w:rPr>
          <w:rFonts w:hint="eastAsia" w:ascii="宋体" w:hAnsi="宋体" w:eastAsia="宋体" w:cs="宋体"/>
          <w:sz w:val="24"/>
          <w:highlight w:val="none"/>
        </w:rPr>
        <w:t xml:space="preserve">__个工作日内进行审核并反馈意见，逾期未反馈视为认可。</w:t>
      </w:r>
      <w:r>
        <w:rPr>
          <w:highlight w:val="none"/>
        </w:rPr>
      </w: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第六条  乙方权利与义务</w:t>
      </w:r>
      <w:r>
        <w:rPr>
          <w:highlight w:val="none"/>
        </w:rPr>
      </w: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6.1 乙方在从服务工作中应当做到文明工作、安全生产，采取必要的安全防范措施，合同期内若发生安全事故由乙方承担，与甲方无关。</w:t>
      </w:r>
      <w:r>
        <w:rPr>
          <w:highlight w:val="none"/>
        </w:rPr>
      </w: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6.2 乙方应及时调整不适应工作需求的人员。如甲方认为该员工不能胜任本职工作的，必须调整。</w:t>
      </w:r>
      <w:r>
        <w:rPr>
          <w:highlight w:val="none"/>
        </w:rPr>
      </w: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6.3 乙方应经常对员工进行岗位职责和安全教育，加强岗位责任考核。因管理不当、违规操作发生设备损坏等安全事故对甲方造成一定损失的，乙方需承担相应的赔偿责任。具体办法于合同签订后经甲乙双方协商后确定。</w:t>
      </w:r>
      <w:r>
        <w:rPr>
          <w:highlight w:val="none"/>
        </w:rPr>
      </w: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6.4 乙方要设立项目负责人，制定适合的详细工作服务流程与方案，制定对服务人员的考核办法。</w:t>
      </w:r>
      <w:r>
        <w:rPr>
          <w:highlight w:val="none"/>
        </w:rPr>
      </w: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6.5 乙方要加强对服务人员的管理与培训，并保证服务人员的稳定性，未经甲方允许不得擅自更换服务人员。</w:t>
      </w:r>
      <w:r>
        <w:rPr>
          <w:highlight w:val="none"/>
        </w:rPr>
      </w: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6.6 服务人员必须做好相关信息保密工作。不得对外透露在工作中接触到的参保人员及业务相关单位或个人隐私信息。</w:t>
      </w:r>
      <w:r>
        <w:rPr>
          <w:highlight w:val="none"/>
        </w:rPr>
      </w: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6.7 服务人员要忠于职守，坚决维护以采购人为中心的团队形象，礼貌待人，文明服务，尊重和保护纳税人的权利，依法接受监督。服务人员不得兼职、服务过程中不得向他人透露自己的姓名和个人联系方式、不得谋取不正当利益等等。</w:t>
      </w:r>
      <w:r>
        <w:rPr>
          <w:highlight w:val="none"/>
        </w:rPr>
      </w:r>
      <w:r/>
    </w:p>
    <w:p>
      <w:pPr>
        <w:pStyle w:val="864"/>
        <w:ind w:left="0" w:firstLine="480"/>
        <w:spacing w:line="480" w:lineRule="exact"/>
        <w:rPr>
          <w:rFonts w:hint="eastAsia" w:ascii="宋体" w:hAnsi="宋体" w:eastAsia="宋体" w:cs="宋体"/>
          <w:szCs w:val="24"/>
          <w:highlight w:val="none"/>
        </w:rPr>
      </w:pPr>
      <w:r>
        <w:rPr>
          <w:rFonts w:hint="eastAsia" w:ascii="宋体" w:hAnsi="宋体" w:eastAsia="宋体" w:cs="宋体"/>
          <w:szCs w:val="24"/>
          <w:highlight w:val="none"/>
        </w:rPr>
        <w:t xml:space="preserve">6.8 根据</w:t>
      </w:r>
      <w:r>
        <w:rPr>
          <w:rFonts w:hint="eastAsia" w:ascii="宋体" w:hAnsi="宋体" w:eastAsia="宋体" w:cs="宋体"/>
          <w:color w:val="000000" w:themeColor="text1"/>
          <w:szCs w:val="24"/>
          <w:highlight w:val="none"/>
          <w14:textFill>
            <w14:solidFill>
              <w14:schemeClr w14:val="tx1"/>
            </w14:solidFill>
          </w14:textFill>
        </w:rPr>
        <w:t xml:space="preserve">规划环评监测方案开展环境质量监测工作</w:t>
      </w:r>
      <w:r>
        <w:rPr>
          <w:rFonts w:hint="eastAsia" w:ascii="宋体" w:hAnsi="宋体" w:eastAsia="宋体" w:cs="宋体"/>
          <w:szCs w:val="24"/>
          <w:highlight w:val="none"/>
        </w:rPr>
        <w:t xml:space="preserve">等，如委外检测机构的，检测报告必须由具有相应资质水平（CMA）的检测的单位出具。如专业工作委外分包的，应先行报备甲方同意。</w:t>
      </w:r>
      <w:r>
        <w:rPr>
          <w:highlight w:val="none"/>
        </w:rPr>
      </w:r>
      <w:r/>
    </w:p>
    <w:p>
      <w:pPr>
        <w:ind w:firstLine="480"/>
        <w:spacing w:line="480" w:lineRule="exact"/>
        <w:tabs>
          <w:tab w:val="left" w:pos="1890" w:leader="none"/>
        </w:tabs>
        <w:rPr>
          <w:rFonts w:hint="eastAsia" w:ascii="宋体" w:hAnsi="宋体" w:eastAsia="宋体" w:cs="宋体"/>
          <w:sz w:val="24"/>
          <w:highlight w:val="none"/>
        </w:rPr>
      </w:pPr>
      <w:r>
        <w:rPr>
          <w:rFonts w:hint="eastAsia" w:ascii="宋体" w:hAnsi="宋体" w:eastAsia="宋体" w:cs="宋体"/>
          <w:sz w:val="24"/>
          <w:highlight w:val="none"/>
        </w:rPr>
        <w:t xml:space="preserve">6.9 乙方除应为服务人员提供必要的劳动保护条件外，还应为其办理作业时的人身安全保险和意外伤害险。一切安全责任事故均由乙方负责（保险种类由乙方自行选择）。</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6.10 乙方应做好职工的安全生产教育，并配备一定的劳动保护必需品以供职工使用。</w:t>
      </w:r>
      <w:r>
        <w:rPr>
          <w:highlight w:val="none"/>
        </w:rPr>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第七条  质量要求与验收标准</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7.1 质量要求：</w:t>
      </w:r>
      <w:r>
        <w:rPr>
          <w:rFonts w:hint="eastAsia" w:cs="宋体"/>
          <w:sz w:val="24"/>
          <w:highlight w:val="none"/>
          <w:u w:val="single"/>
        </w:rPr>
        <w:t xml:space="preserve">合格</w:t>
      </w:r>
      <w:r>
        <w:rPr>
          <w:rFonts w:hint="eastAsia" w:cs="宋体"/>
          <w:sz w:val="24"/>
          <w:highlight w:val="none"/>
        </w:rPr>
        <w:t xml:space="preserve">。</w:t>
      </w:r>
      <w:r>
        <w:rPr>
          <w:highlight w:val="none"/>
        </w:rPr>
      </w: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7.2 验收标准：</w:t>
      </w:r>
      <w:r>
        <w:rPr>
          <w:rFonts w:hint="eastAsia" w:ascii="宋体" w:hAnsi="宋体" w:eastAsia="宋体" w:cs="宋体"/>
          <w:color w:val="000000" w:themeColor="text1"/>
          <w:sz w:val="24"/>
          <w:highlight w:val="none"/>
          <w:u w:val="single"/>
          <w14:textFill>
            <w14:solidFill>
              <w14:schemeClr w14:val="tx1"/>
            </w14:solidFill>
          </w14:textFill>
        </w:rPr>
        <w:t xml:space="preserve">取得省生态环境厅最终审查意见</w:t>
      </w:r>
      <w:r>
        <w:rPr>
          <w:rFonts w:hint="eastAsia" w:cs="宋体"/>
          <w:sz w:val="24"/>
          <w:highlight w:val="none"/>
          <w:u w:val="single"/>
        </w:rPr>
        <w:t xml:space="preserve">。</w:t>
      </w:r>
      <w:r>
        <w:rPr>
          <w:highlight w:val="none"/>
        </w:rPr>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第八条  知识产权</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8.1 乙方在履行本合同过程中形成的全部成果（包括但不限于报告、数据、图件、工作方案等）的知识产权归甲乙双方共有。</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8.2 乙方保证其提交的成果不侵犯任何第三方的知识产权，如发生侵权纠纷，由乙方承担全部法律责任。</w:t>
      </w:r>
      <w:r>
        <w:rPr>
          <w:highlight w:val="none"/>
        </w:rPr>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第九条  保密条款</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9.1 双方对在合同履行过程中知悉的对方商业秘密、技术秘密及其他不宜公开的信息负有保密义务。</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9.2 未经对方书面同意，任何一方不得向第三方披露上述保密信息。法律法规另有规定或政府部门依法要求提供的除外。</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9.3 保密义务在本合同终止后</w:t>
      </w:r>
      <w:r>
        <w:rPr>
          <w:rFonts w:hint="eastAsia" w:cs="宋体"/>
          <w:sz w:val="24"/>
          <w:highlight w:val="none"/>
        </w:rPr>
        <w:t xml:space="preserve">长期有效</w:t>
      </w:r>
      <w:r>
        <w:rPr>
          <w:rFonts w:hint="eastAsia" w:ascii="宋体" w:hAnsi="宋体" w:eastAsia="宋体" w:cs="宋体"/>
          <w:sz w:val="24"/>
          <w:highlight w:val="none"/>
        </w:rPr>
        <w:t xml:space="preserve">。</w:t>
      </w:r>
      <w:r>
        <w:rPr>
          <w:highlight w:val="none"/>
        </w:rPr>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第十条  违约责任</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11.1 甲方未按合同约定支付款项的，每逾期一日，按未付金额的__</w:t>
      </w:r>
      <w:r>
        <w:rPr>
          <w:rFonts w:hint="eastAsia" w:cs="宋体"/>
          <w:sz w:val="24"/>
          <w:highlight w:val="none"/>
        </w:rPr>
        <w:t xml:space="preserve">5</w:t>
      </w:r>
      <w:r>
        <w:rPr>
          <w:rFonts w:hint="eastAsia" w:ascii="宋体" w:hAnsi="宋体" w:eastAsia="宋体" w:cs="宋体"/>
          <w:sz w:val="24"/>
          <w:highlight w:val="none"/>
        </w:rPr>
        <w:t xml:space="preserve">__‰向乙方支付违约金，但最高不超过合同总金额的__</w:t>
      </w:r>
      <w:r>
        <w:rPr>
          <w:rFonts w:hint="eastAsia" w:cs="宋体"/>
          <w:sz w:val="24"/>
          <w:highlight w:val="none"/>
        </w:rPr>
        <w:t xml:space="preserve">10</w:t>
      </w:r>
      <w:r>
        <w:rPr>
          <w:rFonts w:hint="eastAsia" w:ascii="宋体" w:hAnsi="宋体" w:eastAsia="宋体" w:cs="宋体"/>
          <w:sz w:val="24"/>
          <w:highlight w:val="none"/>
        </w:rPr>
        <w:t xml:space="preserve">__%。</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11.2 乙方未按合同约定的时间节点完成工作的，每逾期一日，按合同总金额的__</w:t>
      </w:r>
      <w:r>
        <w:rPr>
          <w:rFonts w:hint="eastAsia" w:cs="宋体"/>
          <w:sz w:val="24"/>
          <w:highlight w:val="none"/>
        </w:rPr>
        <w:t xml:space="preserve">5</w:t>
      </w:r>
      <w:r>
        <w:rPr>
          <w:rFonts w:hint="eastAsia" w:ascii="宋体" w:hAnsi="宋体" w:eastAsia="宋体" w:cs="宋体"/>
          <w:sz w:val="24"/>
          <w:highlight w:val="none"/>
        </w:rPr>
        <w:t xml:space="preserve">__‰向甲方支付违约金，但最高不超过合同总金额的__</w:t>
      </w:r>
      <w:r>
        <w:rPr>
          <w:rFonts w:hint="eastAsia" w:cs="宋体"/>
          <w:sz w:val="24"/>
          <w:highlight w:val="none"/>
        </w:rPr>
        <w:t xml:space="preserve">10</w:t>
      </w:r>
      <w:r>
        <w:rPr>
          <w:rFonts w:hint="eastAsia" w:ascii="宋体" w:hAnsi="宋体" w:eastAsia="宋体" w:cs="宋体"/>
          <w:sz w:val="24"/>
          <w:highlight w:val="none"/>
        </w:rPr>
        <w:t xml:space="preserve">__%。</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11.3 因乙方原因导致工作成果质量不符合要求，乙方应无偿返工直至达到合同约定标准；经返工仍不能达到要求的，甲方有权解除合同，乙方应退还已收取的全部费用并赔偿甲方损失。</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11.4 乙方违反保密义务的，应向甲方支付合同总金额__</w:t>
      </w:r>
      <w:r>
        <w:rPr>
          <w:rFonts w:hint="eastAsia" w:cs="宋体"/>
          <w:sz w:val="24"/>
          <w:highlight w:val="none"/>
        </w:rPr>
        <w:t xml:space="preserve">10</w:t>
      </w:r>
      <w:r>
        <w:rPr>
          <w:rFonts w:hint="eastAsia" w:ascii="宋体" w:hAnsi="宋体" w:eastAsia="宋体" w:cs="宋体"/>
          <w:sz w:val="24"/>
          <w:highlight w:val="none"/>
        </w:rPr>
        <w:t xml:space="preserve">__%的违约金，并赔偿由此给甲方造成的全部损失。</w:t>
      </w:r>
      <w:r>
        <w:rPr>
          <w:highlight w:val="none"/>
        </w:rPr>
      </w: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第十一条  不可抗力</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12.1 因不可抗力导致一方不能履行或不能完全履行合同义务的，根据不可抗力的影响程度，部分或全部免除责任，但法律另有规定的除外。</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12.2 遭受不可抗力的一方应在不可抗力发生后__</w:t>
      </w:r>
      <w:r>
        <w:rPr>
          <w:rFonts w:hint="eastAsia" w:cs="宋体"/>
          <w:sz w:val="24"/>
          <w:highlight w:val="none"/>
        </w:rPr>
        <w:t xml:space="preserve">7</w:t>
      </w:r>
      <w:r>
        <w:rPr>
          <w:rFonts w:hint="eastAsia" w:ascii="宋体" w:hAnsi="宋体" w:eastAsia="宋体" w:cs="宋体"/>
          <w:sz w:val="24"/>
          <w:highlight w:val="none"/>
        </w:rPr>
        <w:t xml:space="preserve">__日内书面通知对方，并在__</w:t>
      </w:r>
      <w:r>
        <w:rPr>
          <w:rFonts w:hint="eastAsia" w:cs="宋体"/>
          <w:sz w:val="24"/>
          <w:highlight w:val="none"/>
        </w:rPr>
        <w:t xml:space="preserve">7</w:t>
      </w:r>
      <w:r>
        <w:rPr>
          <w:rFonts w:hint="eastAsia" w:ascii="宋体" w:hAnsi="宋体" w:eastAsia="宋体" w:cs="宋体"/>
          <w:sz w:val="24"/>
          <w:highlight w:val="none"/>
        </w:rPr>
        <w:t xml:space="preserve">__日内提供相关证明材料。</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12.3 不可抗力事件结束后，双方应协商确定合同是否继续履行、变更或解除。</w:t>
      </w:r>
      <w:r>
        <w:rPr>
          <w:highlight w:val="none"/>
        </w:rPr>
      </w: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第十三条  合同变更与解除</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13.1 本合同的任何变更或补充，须经双方协商一致并以书面形式确认。</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13.2 有下列情形之一的，甲方有权解除合同：</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（1）乙方将本合同项下服务擅自转包的；</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（2）乙方的工作成果经两次返工仍不能达到合同约定质量标准的；</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（3）乙方逾期__</w:t>
      </w:r>
      <w:r>
        <w:rPr>
          <w:rFonts w:hint="eastAsia" w:cs="宋体"/>
          <w:sz w:val="24"/>
          <w:highlight w:val="none"/>
        </w:rPr>
        <w:t xml:space="preserve">30</w:t>
      </w:r>
      <w:r>
        <w:rPr>
          <w:rFonts w:hint="eastAsia" w:ascii="宋体" w:hAnsi="宋体" w:eastAsia="宋体" w:cs="宋体"/>
          <w:sz w:val="24"/>
          <w:highlight w:val="none"/>
        </w:rPr>
        <w:t xml:space="preserve">__日仍未完成主要工作的；</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（4）因乙方原因造成重大环境污染事故或安全事故的。</w:t>
      </w:r>
      <w:r>
        <w:rPr>
          <w:highlight w:val="none"/>
        </w:rPr>
      </w: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13.3 合同解除后，双方应根据已完成的工作量进行结算。</w:t>
      </w:r>
      <w:r>
        <w:rPr>
          <w:highlight w:val="none"/>
        </w:rPr>
      </w: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第十四条  争议解决</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14.1 本合同在履行过程中发生争议，双方应首先通过友好协商解决。</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14.2 协商不成的，按下列方式解决（二者择一）：</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提交________仲裁委员会仲裁；</w:t>
      </w:r>
      <w:r>
        <w:rPr>
          <w:highlight w:val="none"/>
        </w:rPr>
      </w:r>
      <w:r/>
    </w:p>
    <w:p>
      <w:pPr>
        <w:ind w:firstLine="480"/>
        <w:spacing w:line="400" w:lineRule="exact"/>
        <w:rPr>
          <w:rFonts w:hint="eastAsia" w:ascii="宋体" w:hAnsi="宋体" w:eastAsia="宋体" w:cs="宋体"/>
          <w:sz w:val="24"/>
          <w:highlight w:val="none"/>
        </w:rPr>
      </w:pPr>
      <w:r>
        <w:rPr>
          <w:rFonts w:hint="eastAsia" w:cs="宋体"/>
          <w:sz w:val="24"/>
          <w:highlight w:val="none"/>
        </w:rPr>
        <w:t xml:space="preserve">☑</w:t>
      </w:r>
      <w:r>
        <w:rPr>
          <w:rFonts w:hint="eastAsia" w:ascii="宋体" w:hAnsi="宋体" w:eastAsia="宋体" w:cs="宋体"/>
          <w:sz w:val="24"/>
          <w:highlight w:val="none"/>
        </w:rPr>
        <w:t xml:space="preserve"> 依法向甲方所在地人民法院提起诉讼。</w:t>
      </w:r>
      <w:r>
        <w:rPr>
          <w:highlight w:val="none"/>
        </w:rPr>
      </w: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p>
      <w:pPr>
        <w:ind w:firstLine="482"/>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第十五条  其他约定</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15.1 本合同一式__</w:t>
      </w:r>
      <w:r>
        <w:rPr>
          <w:rFonts w:hint="eastAsia" w:cs="宋体"/>
          <w:sz w:val="24"/>
          <w:highlight w:val="none"/>
        </w:rPr>
        <w:t xml:space="preserve">8</w:t>
      </w:r>
      <w:r>
        <w:rPr>
          <w:rFonts w:hint="eastAsia" w:ascii="宋体" w:hAnsi="宋体" w:eastAsia="宋体" w:cs="宋体"/>
          <w:sz w:val="24"/>
          <w:highlight w:val="none"/>
        </w:rPr>
        <w:t xml:space="preserve">__份，甲方__</w:t>
      </w:r>
      <w:r>
        <w:rPr>
          <w:rFonts w:hint="eastAsia" w:cs="宋体"/>
          <w:sz w:val="24"/>
          <w:highlight w:val="none"/>
        </w:rPr>
        <w:t xml:space="preserve">4</w:t>
      </w:r>
      <w:r>
        <w:rPr>
          <w:rFonts w:hint="eastAsia" w:ascii="宋体" w:hAnsi="宋体" w:eastAsia="宋体" w:cs="宋体"/>
          <w:sz w:val="24"/>
          <w:highlight w:val="none"/>
        </w:rPr>
        <w:t xml:space="preserve">__份，乙方__</w:t>
      </w:r>
      <w:r>
        <w:rPr>
          <w:rFonts w:hint="eastAsia" w:cs="宋体"/>
          <w:sz w:val="24"/>
          <w:highlight w:val="none"/>
        </w:rPr>
        <w:t xml:space="preserve">3</w:t>
      </w:r>
      <w:r>
        <w:rPr>
          <w:rFonts w:hint="eastAsia" w:ascii="宋体" w:hAnsi="宋体" w:eastAsia="宋体" w:cs="宋体"/>
          <w:sz w:val="24"/>
          <w:highlight w:val="none"/>
        </w:rPr>
        <w:t xml:space="preserve">__份，</w:t>
      </w:r>
      <w:r>
        <w:rPr>
          <w:rFonts w:hint="eastAsia" w:cs="宋体"/>
          <w:sz w:val="24"/>
          <w:highlight w:val="none"/>
        </w:rPr>
        <w:t xml:space="preserve">采购代理机构1份，</w:t>
      </w:r>
      <w:r>
        <w:rPr>
          <w:rFonts w:hint="eastAsia" w:ascii="宋体" w:hAnsi="宋体" w:eastAsia="宋体" w:cs="宋体"/>
          <w:sz w:val="24"/>
          <w:highlight w:val="none"/>
        </w:rPr>
        <w:t xml:space="preserve">具有同等法律效力。</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15.2 本合同未尽事宜，双方可另行签订补充协议，补充协议与本合同具有同等法律效力。</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15.3 本合同附件是本合同不可分割的组成部分，与本合同正文具有同等法律效力。</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15.4 本合同自双方法定代表人或授权代表签字并加盖公章之日起生效。</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15.5 其他约定事项：</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____________________________________________</w:t>
      </w:r>
      <w:r>
        <w:rPr>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____________________________________________</w:t>
      </w:r>
      <w:r>
        <w:rPr>
          <w:highlight w:val="none"/>
        </w:rPr>
      </w:r>
      <w:r/>
    </w:p>
    <w:p>
      <w:pPr>
        <w:spacing w:line="2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tbl>
      <w:tblPr>
        <w:tblStyle w:val="860"/>
        <w:tblW w:w="4999" w:type="pct"/>
        <w:tblInd w:w="0" w:type="dxa"/>
        <w:tblLayout w:type="autofit"/>
        <w:tblCellMar>
          <w:left w:w="10" w:type="dxa"/>
          <w:top w:w="0" w:type="dxa"/>
          <w:right w:w="10" w:type="dxa"/>
          <w:bottom w:w="0" w:type="dxa"/>
        </w:tblCellMar>
        <w:tblLook w:val="04A0" w:firstRow="1" w:lastRow="0" w:firstColumn="1" w:lastColumn="0" w:noHBand="0" w:noVBand="1"/>
      </w:tblPr>
      <w:tblGrid>
        <w:gridCol w:w="4161"/>
        <w:gridCol w:w="4163"/>
      </w:tblGrid>
      <w:tr>
        <w:trPr>
          <w:trHeight w:val="745"/>
        </w:trPr>
        <w:tc>
          <w:tcPr>
            <w:tcW w:w="2499"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甲方（盖章）：</w:t>
            </w:r>
            <w:r>
              <w:rPr>
                <w:highlight w:val="none"/>
              </w:rPr>
            </w:r>
            <w:r/>
          </w:p>
        </w:tc>
        <w:tc>
          <w:tcPr>
            <w:tcW w:w="2500"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乙方（盖章）：</w:t>
            </w:r>
            <w:r>
              <w:rPr>
                <w:highlight w:val="none"/>
              </w:rPr>
            </w:r>
            <w:r/>
          </w:p>
        </w:tc>
      </w:tr>
      <w:tr>
        <w:trPr>
          <w:trHeight w:val="745"/>
        </w:trPr>
        <w:tc>
          <w:tcPr>
            <w:tcW w:w="2499"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tc>
        <w:tc>
          <w:tcPr>
            <w:tcW w:w="2500"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tc>
      </w:tr>
      <w:tr>
        <w:trPr>
          <w:trHeight w:val="745"/>
        </w:trPr>
        <w:tc>
          <w:tcPr>
            <w:tcW w:w="2499"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w:t>
            </w:r>
            <w:r>
              <w:rPr>
                <w:highlight w:val="none"/>
              </w:rPr>
            </w:r>
            <w:r/>
          </w:p>
        </w:tc>
        <w:tc>
          <w:tcPr>
            <w:tcW w:w="2500"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法定代表人或授权代表（签字或签章）：</w:t>
            </w:r>
            <w:r>
              <w:rPr>
                <w:highlight w:val="none"/>
              </w:rPr>
            </w:r>
            <w:r/>
          </w:p>
        </w:tc>
      </w:tr>
      <w:tr>
        <w:trPr>
          <w:trHeight w:val="745"/>
        </w:trPr>
        <w:tc>
          <w:tcPr>
            <w:tcW w:w="2499"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rPr>
                <w:highlight w:val="none"/>
              </w:rPr>
            </w:r>
            <w:r/>
          </w:p>
        </w:tc>
        <w:tc>
          <w:tcPr>
            <w:tcW w:w="2500"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项目负责人（签字或签章）：</w:t>
            </w:r>
            <w:r>
              <w:rPr>
                <w:highlight w:val="none"/>
              </w:rPr>
            </w:r>
            <w:r/>
          </w:p>
        </w:tc>
      </w:tr>
      <w:tr>
        <w:trPr>
          <w:trHeight w:val="745"/>
        </w:trPr>
        <w:tc>
          <w:tcPr>
            <w:tcW w:w="2499"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日期：____年____月____日</w:t>
            </w:r>
            <w:r>
              <w:rPr>
                <w:highlight w:val="none"/>
              </w:rPr>
            </w:r>
            <w:r/>
          </w:p>
        </w:tc>
        <w:tc>
          <w:tcPr>
            <w:tcW w:w="2500" w:type="pct"/>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日期：____年____月____日</w:t>
            </w:r>
            <w:r>
              <w:rPr>
                <w:highlight w:val="none"/>
              </w:rPr>
            </w:r>
            <w:r/>
          </w:p>
        </w:tc>
      </w:tr>
    </w:tbl>
    <w:p>
      <w:pPr>
        <w:ind w:firstLine="480"/>
        <w:spacing w:before="200" w:after="200" w:line="400" w:lineRule="exact"/>
        <w:rPr>
          <w:rFonts w:hint="eastAsia" w:ascii="宋体" w:hAnsi="宋体" w:eastAsia="宋体" w:cs="宋体"/>
          <w:highlight w:val="none"/>
        </w:rPr>
      </w:pPr>
      <w:r>
        <w:rPr>
          <w:rFonts w:hint="eastAsia" w:ascii="宋体" w:hAnsi="宋体" w:eastAsia="宋体" w:cs="宋体"/>
          <w:highlight w:val="none"/>
        </w:rPr>
      </w:r>
      <w:r>
        <w:rPr>
          <w:highlight w:val="none"/>
        </w:rPr>
      </w:r>
      <w:r/>
    </w:p>
    <w:p>
      <w:pPr>
        <w:pStyle w:val="863"/>
        <w:ind w:firstLine="560"/>
        <w:rPr>
          <w:rFonts w:hint="eastAsia"/>
          <w:sz w:val="28"/>
          <w:szCs w:val="28"/>
          <w:highlight w:val="none"/>
        </w:rPr>
      </w:pPr>
      <w:r>
        <w:rPr>
          <w:rFonts w:hint="eastAsia"/>
          <w:sz w:val="28"/>
          <w:szCs w:val="28"/>
          <w:highlight w:val="none"/>
        </w:rPr>
      </w:r>
      <w:r>
        <w:rPr>
          <w:highlight w:val="none"/>
        </w:rPr>
      </w:r>
      <w:r/>
    </w:p>
    <w:p>
      <w:pPr>
        <w:ind w:firstLine="560"/>
        <w:rPr>
          <w:sz w:val="28"/>
          <w:szCs w:val="28"/>
          <w:highlight w:val="none"/>
        </w:rPr>
      </w:pPr>
      <w:r>
        <w:rPr>
          <w:sz w:val="28"/>
          <w:szCs w:val="28"/>
          <w:highlight w:val="none"/>
        </w:rPr>
      </w:r>
      <w:r>
        <w:rPr>
          <w:highlight w:val="none"/>
        </w:rPr>
      </w:r>
      <w:r/>
    </w:p>
    <w:p>
      <w:pPr>
        <w:pStyle w:val="871"/>
        <w:jc w:val="center"/>
        <w:spacing w:before="120" w:beforeAutospacing="0" w:after="120" w:afterAutospacing="0" w:line="500" w:lineRule="exact"/>
        <w:rPr>
          <w:highlight w:val="none"/>
        </w:rPr>
      </w:pPr>
      <w:r>
        <w:rPr>
          <w:rFonts w:hint="eastAsia" w:ascii="黑体" w:hAnsi="宋体" w:eastAsia="黑体" w:cs="黑体"/>
          <w:highlight w:val="none"/>
        </w:rPr>
        <w:br w:type="page" w:clear="all"/>
      </w:r>
      <w:r>
        <w:rPr>
          <w:rFonts w:hint="eastAsia" w:ascii="黑体" w:hAnsi="宋体" w:eastAsia="黑体" w:cs="黑体"/>
          <w:sz w:val="44"/>
          <w:szCs w:val="44"/>
          <w:highlight w:val="none"/>
        </w:rPr>
        <w:t xml:space="preserve"> 第</w:t>
      </w:r>
      <w:bookmarkEnd w:id="171"/>
      <w:r>
        <w:rPr>
          <w:rFonts w:hint="eastAsia" w:ascii="黑体" w:hAnsi="宋体" w:eastAsia="黑体" w:cs="黑体"/>
          <w:sz w:val="44"/>
          <w:szCs w:val="44"/>
          <w:highlight w:val="none"/>
        </w:rPr>
        <w:t xml:space="preserve">四章 采购需求</w:t>
      </w:r>
      <w:bookmarkEnd w:id="172"/>
      <w:r>
        <w:rPr>
          <w:highlight w:val="none"/>
        </w:rPr>
      </w:r>
      <w:bookmarkEnd w:id="173"/>
      <w:r>
        <w:rPr>
          <w:highlight w:val="none"/>
        </w:rPr>
      </w:r>
      <w:bookmarkEnd w:id="174"/>
      <w:r>
        <w:rPr>
          <w:highlight w:val="none"/>
        </w:rPr>
      </w:r>
      <w:bookmarkEnd w:id="175"/>
      <w:r>
        <w:rPr>
          <w:highlight w:val="none"/>
        </w:rPr>
      </w:r>
      <w:bookmarkEnd w:id="176"/>
      <w:r>
        <w:rPr>
          <w:highlight w:val="none"/>
        </w:rPr>
      </w:r>
      <w:r/>
    </w:p>
    <w:p>
      <w:pPr>
        <w:pStyle w:val="871"/>
        <w:jc w:val="both"/>
        <w:spacing w:beforeAutospacing="0" w:afterAutospacing="0" w:line="360" w:lineRule="auto"/>
        <w:rPr>
          <w:rFonts w:hint="eastAsia" w:ascii="宋体" w:hAnsi="宋体" w:eastAsia="宋体" w:cs="宋体"/>
          <w:highlight w:val="none"/>
        </w:rPr>
      </w:pPr>
      <w:r>
        <w:rPr>
          <w:highlight w:val="none"/>
        </w:rPr>
      </w:r>
      <w:bookmarkStart w:id="178" w:name="_Toc26554093"/>
      <w:r>
        <w:rPr>
          <w:highlight w:val="none"/>
        </w:rPr>
      </w:r>
      <w:bookmarkStart w:id="179" w:name="_Toc49090575"/>
      <w:r>
        <w:rPr>
          <w:rFonts w:hint="eastAsia" w:ascii="宋体" w:hAnsi="宋体" w:eastAsia="宋体" w:cs="宋体"/>
          <w:highlight w:val="none"/>
        </w:rPr>
        <w:t xml:space="preserve">项目属性:</w:t>
      </w:r>
      <w:r>
        <w:rPr>
          <w:rFonts w:hint="eastAsia" w:ascii="宋体" w:hAnsi="宋体" w:eastAsia="宋体" w:cs="宋体"/>
          <w:highlight w:val="none"/>
          <w:u w:val="single"/>
        </w:rPr>
        <w:t xml:space="preserve">服务</w:t>
      </w:r>
      <w:r>
        <w:rPr>
          <w:rFonts w:hint="eastAsia" w:ascii="宋体" w:hAnsi="宋体" w:eastAsia="宋体" w:cs="宋体"/>
          <w:highlight w:val="none"/>
        </w:rPr>
        <w:t xml:space="preserve">类项目。</w:t>
      </w:r>
      <w:bookmarkEnd w:id="178"/>
      <w:r>
        <w:rPr>
          <w:highlight w:val="none"/>
        </w:rPr>
      </w:r>
      <w:bookmarkEnd w:id="179"/>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采购标的对应的中小企业划分标准所属行业一览表</w:t>
      </w:r>
      <w:r>
        <w:rPr>
          <w:highlight w:val="none"/>
        </w:rPr>
      </w:r>
      <w:r/>
    </w:p>
    <w:tbl>
      <w:tblPr>
        <w:tblStyle w:val="860"/>
        <w:tblW w:w="5163"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33"/>
        <w:gridCol w:w="4328"/>
        <w:gridCol w:w="3659"/>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pStyle w:val="871"/>
              <w:jc w:val="center"/>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采购标的</w:t>
            </w:r>
            <w:r>
              <w:rPr>
                <w:highlight w:val="none"/>
              </w:rPr>
            </w:r>
            <w:r/>
          </w:p>
        </w:tc>
        <w:tc>
          <w:tcPr>
            <w:tcBorders>
              <w:top w:val="single" w:color="000000" w:sz="4" w:space="0"/>
              <w:left w:val="single" w:color="000000" w:sz="4" w:space="0"/>
              <w:bottom w:val="single" w:color="000000" w:sz="4" w:space="0"/>
              <w:right w:val="single" w:color="000000" w:sz="4" w:space="0"/>
            </w:tcBorders>
            <w:tcW w:w="2074" w:type="pct"/>
            <w:vAlign w:val="center"/>
            <w:textDirection w:val="lrTb"/>
            <w:noWrap w:val="false"/>
          </w:tcPr>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对应中小企业划分标准所属行业</w:t>
            </w:r>
            <w:r>
              <w:rPr>
                <w:highlight w:val="none"/>
              </w:rPr>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871"/>
              <w:ind w:firstLine="24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江苏滨海经济开发区沿海工业园规划环评修编项目</w:t>
            </w:r>
            <w:r>
              <w:rPr>
                <w:highlight w:val="none"/>
              </w:rPr>
            </w:r>
            <w:r/>
          </w:p>
        </w:tc>
        <w:tc>
          <w:tcPr>
            <w:tcBorders>
              <w:top w:val="single" w:color="000000" w:sz="4" w:space="0"/>
              <w:left w:val="single" w:color="000000" w:sz="4" w:space="0"/>
              <w:bottom w:val="single" w:color="000000" w:sz="4" w:space="0"/>
              <w:right w:val="single" w:color="000000" w:sz="4" w:space="0"/>
            </w:tcBorders>
            <w:tcW w:w="2074" w:type="pct"/>
            <w:vAlign w:val="center"/>
            <w:textDirection w:val="lrTb"/>
            <w:noWrap w:val="false"/>
          </w:tcPr>
          <w:p>
            <w:pPr>
              <w:pStyle w:val="871"/>
              <w:jc w:val="both"/>
              <w:spacing w:beforeAutospacing="0" w:afterAutospacing="0" w:line="360" w:lineRule="auto"/>
              <w:rPr>
                <w:rFonts w:hint="eastAsia" w:ascii="宋体" w:hAnsi="宋体" w:eastAsia="宋体" w:cs="宋体"/>
                <w:highlight w:val="none"/>
              </w:rPr>
            </w:pPr>
            <w:r>
              <w:rPr>
                <w:rFonts w:ascii="Times New Roman" w:hAnsi="Times New Roman" w:eastAsia="宋体"/>
                <w:highlight w:val="none"/>
                <w:lang w:bidi="ar"/>
              </w:rPr>
              <w:t xml:space="preserve">其他未列明行业</w:t>
            </w:r>
            <w:r>
              <w:rPr>
                <w:highlight w:val="none"/>
              </w:rPr>
            </w:r>
            <w:r/>
          </w:p>
        </w:tc>
      </w:tr>
    </w:tbl>
    <w:p>
      <w:pPr>
        <w:pStyle w:val="87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采购需求包括拟采购的标的及其需要满足的技术、商务要求。</w:t>
      </w:r>
      <w:r>
        <w:rPr>
          <w:highlight w:val="none"/>
        </w:rPr>
      </w:r>
      <w:r/>
    </w:p>
    <w:p>
      <w:pPr>
        <w:ind w:firstLine="482"/>
        <w:spacing w:line="480" w:lineRule="exact"/>
        <w:rPr>
          <w:rFonts w:hint="eastAsia" w:ascii="宋体" w:hAnsi="宋体" w:eastAsia="宋体" w:cs="宋体"/>
          <w:b/>
          <w:bCs/>
          <w:sz w:val="24"/>
          <w:highlight w:val="none"/>
        </w:rPr>
      </w:pPr>
      <w:r>
        <w:rPr>
          <w:highlight w:val="none"/>
        </w:rPr>
      </w:r>
      <w:bookmarkStart w:id="180" w:name="_Toc120614281"/>
      <w:r>
        <w:rPr>
          <w:rFonts w:hint="eastAsia" w:ascii="宋体" w:hAnsi="宋体" w:eastAsia="宋体" w:cs="宋体"/>
          <w:b/>
          <w:bCs/>
          <w:sz w:val="24"/>
          <w:highlight w:val="none"/>
        </w:rPr>
        <w:t xml:space="preserve">一、项目概述及要求</w:t>
      </w:r>
      <w:r>
        <w:rPr>
          <w:highlight w:val="none"/>
        </w:rPr>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1．采购标的项目简述：</w:t>
      </w:r>
      <w:r>
        <w:rPr>
          <w:rFonts w:hint="eastAsia" w:ascii="宋体" w:hAnsi="宋体" w:eastAsia="宋体" w:cs="宋体"/>
          <w:color w:val="000000" w:themeColor="text1"/>
          <w:sz w:val="24"/>
          <w:highlight w:val="none"/>
          <w:u w:val="single"/>
          <w14:textFill>
            <w14:solidFill>
              <w14:schemeClr w14:val="tx1"/>
            </w14:solidFill>
          </w14:textFill>
        </w:rPr>
        <w:t xml:space="preserve">根据《规划环境影响评价条例》、《规划环境影响评价技术导则 总纲》（HJ 130-2014）、《规划环境影响评价技术导则 产业园区》（HJ 131-2021）等法律法规、政策规范要求，结合沿海工业园产业发展需求，编制新一轮沿海工业园开发建设规划和规划环境影响报告书，通过省生态环境厅组织的审查并取得审查意见。</w:t>
      </w:r>
      <w:r>
        <w:rPr>
          <w:highlight w:val="none"/>
        </w:rPr>
      </w:r>
      <w:r/>
    </w:p>
    <w:p>
      <w:pPr>
        <w:ind w:firstLine="480"/>
        <w:spacing w:line="48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2．采购标的服务期要求：</w:t>
      </w:r>
      <w:r>
        <w:rPr>
          <w:rFonts w:hint="eastAsia" w:ascii="宋体" w:hAnsi="宋体" w:eastAsia="宋体" w:cs="宋体"/>
          <w:color w:val="000000" w:themeColor="text1"/>
          <w:sz w:val="24"/>
          <w:highlight w:val="none"/>
          <w:u w:val="single"/>
          <w14:textFill>
            <w14:solidFill>
              <w14:schemeClr w14:val="tx1"/>
            </w14:solidFill>
          </w14:textFill>
        </w:rPr>
        <w:t xml:space="preserve">自合同签订之日起180日历天内完成开发建设规划和规划生态环境影响报告书（送审稿）提交主管部门审查，按照主管部门审查时限要求完成修改上报，最终报告应取得主管部门审查意见。</w:t>
      </w:r>
      <w:r>
        <w:rPr>
          <w:highlight w:val="none"/>
        </w:rPr>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3.采购标的验收标准：</w:t>
      </w:r>
      <w:r>
        <w:rPr>
          <w:rFonts w:hint="eastAsia" w:ascii="宋体" w:hAnsi="宋体" w:eastAsia="宋体" w:cs="宋体"/>
          <w:color w:val="000000" w:themeColor="text1"/>
          <w:sz w:val="24"/>
          <w:highlight w:val="none"/>
          <w:u w:val="single"/>
          <w14:textFill>
            <w14:solidFill>
              <w14:schemeClr w14:val="tx1"/>
            </w14:solidFill>
          </w14:textFill>
        </w:rPr>
        <w:t xml:space="preserve">规划生态环境影响报告书通过省生态环境厅组织的审查并取得审查意见。</w:t>
      </w:r>
      <w:r>
        <w:rPr>
          <w:highlight w:val="none"/>
        </w:rPr>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4.采购标的服务要求：</w:t>
      </w:r>
      <w:r>
        <w:rPr>
          <w:rFonts w:hint="eastAsia" w:ascii="宋体" w:hAnsi="宋体" w:eastAsia="宋体" w:cs="宋体"/>
          <w:sz w:val="24"/>
          <w:highlight w:val="none"/>
          <w:u w:val="single"/>
        </w:rPr>
        <w:t xml:space="preserve">详见“二、采购需求及服务内容”</w:t>
      </w:r>
      <w:r>
        <w:rPr>
          <w:rFonts w:hint="eastAsia" w:ascii="宋体" w:hAnsi="宋体" w:eastAsia="宋体" w:cs="宋体"/>
          <w:sz w:val="24"/>
          <w:highlight w:val="none"/>
        </w:rPr>
        <w:t xml:space="preserve">。</w:t>
      </w:r>
      <w:r>
        <w:rPr>
          <w:highlight w:val="none"/>
        </w:rPr>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5.采购标的质量要求：</w:t>
      </w:r>
      <w:r>
        <w:rPr>
          <w:rFonts w:hint="eastAsia" w:ascii="宋体" w:hAnsi="宋体" w:eastAsia="宋体" w:cs="宋体"/>
          <w:sz w:val="24"/>
          <w:highlight w:val="none"/>
          <w:u w:val="single"/>
        </w:rPr>
        <w:t xml:space="preserve">合格</w:t>
      </w:r>
      <w:r>
        <w:rPr>
          <w:rFonts w:hint="eastAsia" w:ascii="宋体" w:hAnsi="宋体" w:eastAsia="宋体" w:cs="宋体"/>
          <w:sz w:val="24"/>
          <w:highlight w:val="none"/>
        </w:rPr>
        <w:t xml:space="preserve">。（同招标公告要求）</w:t>
      </w:r>
      <w:r>
        <w:rPr>
          <w:highlight w:val="none"/>
        </w:rPr>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6.本项目</w:t>
      </w:r>
      <w:r>
        <w:rPr>
          <w:rFonts w:hint="eastAsia" w:ascii="宋体" w:hAnsi="宋体" w:eastAsia="宋体" w:cs="宋体"/>
          <w:color w:val="000000" w:themeColor="text1"/>
          <w:sz w:val="24"/>
          <w:highlight w:val="none"/>
          <w14:textFill>
            <w14:solidFill>
              <w14:schemeClr w14:val="tx1"/>
            </w14:solidFill>
          </w14:textFill>
        </w:rPr>
        <w:t xml:space="preserve">不</w:t>
      </w:r>
      <w:r>
        <w:rPr>
          <w:rFonts w:hint="eastAsia" w:ascii="宋体" w:hAnsi="宋体" w:eastAsia="宋体" w:cs="宋体"/>
          <w:sz w:val="24"/>
          <w:highlight w:val="none"/>
        </w:rPr>
        <w:t xml:space="preserve">允许联合体投标。</w:t>
      </w:r>
      <w:r>
        <w:rPr>
          <w:highlight w:val="none"/>
        </w:rPr>
      </w: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二、采购需求及服务内容</w:t>
      </w:r>
      <w:r>
        <w:rPr>
          <w:highlight w:val="none"/>
        </w:rPr>
      </w: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1.服务范围：</w:t>
      </w:r>
      <w:r>
        <w:rPr>
          <w:highlight w:val="none"/>
        </w:rPr>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现场踏勘及资料收集：对规划范围内及周边的现状生态环境敏感点、工业企业及自然生态环境进行现场勘查；收集区内现有工业企业环评报告、现状排污情况及环保设施情况等资料。</w:t>
      </w:r>
      <w:r>
        <w:rPr>
          <w:highlight w:val="none"/>
        </w:rPr>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环境质量现状监测：汇总收集资料，针对区内企业行业特点，进行特征因子判定，并结合规划用地现状布局及规划生态环境保护目标，形成环境质量监测方案，进行环境质量现状监测。</w:t>
      </w:r>
      <w:r>
        <w:rPr>
          <w:highlight w:val="none"/>
        </w:rPr>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公众参与调查：在评价过程中同步开展公众参与调查工作。</w:t>
      </w:r>
      <w:r>
        <w:rPr>
          <w:highlight w:val="none"/>
        </w:rPr>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生态环境影响评价报告编制：在上述基础上进行规划的相符性、区域环境容量、资源环境承载力等分析，评价规划实施对区域大气环境、水环境、声环境、土壤环境、海洋环境、生态环境等方面的影响，论证园区的选址、发展规模、布局、产业结构及环保设施的合理性，提出预防或者减轻不良环境影响的对策和措施，给出生态环境准入及管控要求。</w:t>
      </w:r>
      <w:r>
        <w:rPr>
          <w:highlight w:val="none"/>
        </w:rPr>
      </w:r>
      <w:r/>
    </w:p>
    <w:p>
      <w:pPr>
        <w:ind w:firstLine="480"/>
        <w:spacing w:line="480" w:lineRule="exact"/>
        <w:rPr>
          <w:rFonts w:hint="eastAsia" w:ascii="宋体" w:hAnsi="宋体" w:eastAsia="宋体" w:cs="宋体"/>
          <w:color w:val="ee0000"/>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报告评审、修改及上报：完成报告评审、修改及最终上报工作，获得省生态环境厅审查意见。</w:t>
      </w:r>
      <w:r>
        <w:rPr>
          <w:highlight w:val="none"/>
        </w:rPr>
      </w:r>
      <w:r/>
    </w:p>
    <w:p>
      <w:pPr>
        <w:ind w:firstLine="482"/>
        <w:spacing w:line="48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2.服务内容：</w:t>
      </w:r>
      <w:r>
        <w:rPr>
          <w:highlight w:val="none"/>
        </w:rPr>
      </w:r>
      <w:r/>
    </w:p>
    <w:p>
      <w:pPr>
        <w:pStyle w:val="88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根据《规划环境影响评价条例》、《规划环境影响评价技术导则 总纲》、《规划环境影响评价技术导则 产业园区》等法律法规、政策规范要求，编制沿海工业园开发建设规划和规划生态环境影响报告书，通过省生态环境厅组织的审查。具体工作内容如下：</w:t>
      </w:r>
      <w:r>
        <w:rPr>
          <w:highlight w:val="none"/>
        </w:rPr>
      </w:r>
      <w:r/>
    </w:p>
    <w:p>
      <w:pPr>
        <w:pStyle w:val="88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(1)资料收集与现场调研</w:t>
      </w:r>
      <w:r>
        <w:rPr>
          <w:highlight w:val="none"/>
        </w:rPr>
      </w:r>
      <w:r/>
    </w:p>
    <w:p>
      <w:pPr>
        <w:pStyle w:val="88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收集项目所在区域资料，规划文件，研究有关文件，包括国家和地方的法律 法规、发展规划和环境功能区划、技术导则和相关标准、建设项目依据、可行性研究资料及其他有关技术资料，收集项目所在区域，国家、省级、市级、区域生态保护红线、负面清单相关资料，调查收集现有园区内企业环评、验收等开展情况，调查项目区域资源利用现状，根据现有环境质量公报收集项目区域环境质量现状，对《盐城市国土空间总体规划(2021-2035年)》、《滨海县国土空间总体规划(2021-2035年)》及相关文件进行阶梯式且全覆盖收集。</w:t>
      </w:r>
      <w:r>
        <w:rPr>
          <w:highlight w:val="none"/>
        </w:rPr>
      </w:r>
      <w:r/>
    </w:p>
    <w:p>
      <w:pPr>
        <w:pStyle w:val="88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(2)开展环境质量现状监测</w:t>
      </w:r>
      <w:r>
        <w:rPr>
          <w:highlight w:val="none"/>
        </w:rPr>
      </w:r>
      <w:r/>
    </w:p>
    <w:p>
      <w:pPr>
        <w:pStyle w:val="88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调查走访、资料收集完成后对评价区域水环境(地表水、地下水)、大气环境、声环境、土壤环境、海洋环境及底泥等质量状况有了初步了解，根据各环境要素导则进行环境质量现状方案的编制，开展现状监测。</w:t>
      </w:r>
      <w:r>
        <w:rPr>
          <w:highlight w:val="none"/>
        </w:rPr>
      </w:r>
      <w:r/>
    </w:p>
    <w:p>
      <w:pPr>
        <w:pStyle w:val="88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(3)文本编制及公众参与</w:t>
      </w:r>
      <w:r>
        <w:rPr>
          <w:highlight w:val="none"/>
        </w:rPr>
      </w:r>
      <w:r/>
    </w:p>
    <w:p>
      <w:pPr>
        <w:pStyle w:val="88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资料收集完成后，可进行文本编制与环境影响预测，在前期资料收集阶段可同步进行一次公示，报告征求意见稿完成后需进行二次公示，文本编制完成后进行全本公示，主要包含现场、网络、报纸等途径进行公示，公示完成后可进行送审。</w:t>
      </w:r>
      <w:r>
        <w:rPr>
          <w:highlight w:val="none"/>
        </w:rPr>
      </w:r>
      <w:r/>
    </w:p>
    <w:p>
      <w:pPr>
        <w:pStyle w:val="883"/>
        <w:ind w:firstLine="488"/>
        <w:spacing w:after="0" w:line="48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(4)项目评审与修改报批</w:t>
      </w:r>
      <w:r>
        <w:rPr>
          <w:highlight w:val="none"/>
        </w:rPr>
      </w:r>
      <w:r/>
    </w:p>
    <w:p>
      <w:pPr>
        <w:pStyle w:val="883"/>
        <w:ind w:firstLine="488"/>
        <w:spacing w:after="0" w:line="480" w:lineRule="exact"/>
        <w:widowControl w:val="off"/>
        <w:rPr>
          <w:rFonts w:hint="eastAsia" w:ascii="宋体" w:hAnsi="宋体" w:eastAsia="宋体" w:cs="宋体"/>
          <w:color w:val="ee0000"/>
          <w:szCs w:val="24"/>
          <w:highlight w:val="none"/>
        </w:rPr>
      </w:pPr>
      <w:r>
        <w:rPr>
          <w:rFonts w:hint="eastAsia" w:ascii="宋体" w:hAnsi="宋体" w:eastAsia="宋体" w:cs="宋体"/>
          <w:color w:val="000000" w:themeColor="text1"/>
          <w:szCs w:val="24"/>
          <w:highlight w:val="none"/>
          <w14:textFill>
            <w14:solidFill>
              <w14:schemeClr w14:val="tx1"/>
            </w14:solidFill>
          </w14:textFill>
        </w:rPr>
        <w:t xml:space="preserve">规划与规划环评报告书送审稿编制完成后一并送至省生态环境厅，由省生态环境厅组织技术审查、行政审查后出具最终审查意见。</w:t>
      </w:r>
      <w:r>
        <w:rPr>
          <w:highlight w:val="none"/>
        </w:rPr>
      </w:r>
      <w:r/>
    </w:p>
    <w:p>
      <w:pPr>
        <w:ind w:firstLine="482"/>
        <w:spacing w:line="48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3.服务要求：</w:t>
      </w:r>
      <w:r>
        <w:rPr>
          <w:rFonts w:hint="eastAsia" w:ascii="宋体" w:hAnsi="宋体" w:eastAsia="宋体" w:cs="宋体"/>
          <w:sz w:val="24"/>
          <w:highlight w:val="none"/>
        </w:rPr>
        <w:t xml:space="preserve">按照国家、江苏省相关规范、规定，完成采购人要求的工作。</w:t>
      </w:r>
      <w:r>
        <w:rPr>
          <w:highlight w:val="none"/>
        </w:rPr>
      </w:r>
      <w:r/>
    </w:p>
    <w:p>
      <w:pPr>
        <w:ind w:firstLine="482"/>
        <w:spacing w:line="48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4.项目实施依据：</w:t>
      </w:r>
      <w:r>
        <w:rPr>
          <w:rFonts w:hint="eastAsia" w:ascii="宋体" w:hAnsi="宋体" w:eastAsia="宋体" w:cs="宋体"/>
          <w:color w:val="000000" w:themeColor="text1"/>
          <w:sz w:val="24"/>
          <w:highlight w:val="none"/>
          <w14:textFill>
            <w14:solidFill>
              <w14:schemeClr w14:val="tx1"/>
            </w14:solidFill>
          </w14:textFill>
        </w:rPr>
        <w:t xml:space="preserve">《中华人民共和国生态环境法典》、《规划环境影响评价条例》、《规划环境影响评价技术导则 总纲》、《规划环境影响评价技术导则 产业园区》等文件</w:t>
      </w:r>
      <w:r>
        <w:rPr>
          <w:rFonts w:hint="eastAsia" w:ascii="宋体" w:hAnsi="宋体" w:eastAsia="宋体" w:cs="宋体"/>
          <w:sz w:val="24"/>
          <w:highlight w:val="none"/>
        </w:rPr>
        <w:t xml:space="preserve">。</w:t>
      </w:r>
      <w:r>
        <w:rPr>
          <w:highlight w:val="none"/>
        </w:rPr>
      </w: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注：如项目实施期间国家或地方或行业发布最新标准的，按最新标准执行，且不增加任何费用（政策另有要求的除外），中标人包干，相关政策及成本风险自行考量自行承担。</w:t>
      </w:r>
      <w:r>
        <w:rPr>
          <w:highlight w:val="none"/>
        </w:rPr>
      </w: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5.工作成果</w:t>
      </w:r>
      <w:r>
        <w:rPr>
          <w:highlight w:val="none"/>
        </w:rPr>
      </w:r>
      <w:r/>
    </w:p>
    <w:p>
      <w:pPr>
        <w:ind w:firstLine="480"/>
        <w:spacing w:line="480" w:lineRule="exact"/>
        <w:rPr>
          <w:rFonts w:hint="eastAsia" w:ascii="宋体" w:hAnsi="宋体" w:eastAsia="宋体" w:cs="宋体"/>
          <w:b/>
          <w:bCs/>
          <w:color w:val="5b9bd5" w:themeColor="accent1"/>
          <w:sz w:val="24"/>
          <w:highlight w:val="none"/>
          <w14:textFill>
            <w14:solidFill>
              <w14:schemeClr w14:val="accent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《江苏滨海经济开发区沿海工业园开发建设规划（2026-2035年）》、《江苏滨海经济开发区沿海工业园开发建设规划（2026-2035年）生态环境影响报告书》。</w:t>
      </w:r>
      <w:r>
        <w:rPr>
          <w:highlight w:val="none"/>
        </w:rPr>
      </w: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三、服务保障</w:t>
      </w:r>
      <w:r>
        <w:rPr>
          <w:highlight w:val="none"/>
        </w:rPr>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1、供应商应对照采购文件要求，说明所提供已对招标人的需求做出了实质性的响应，或申明与需求的偏差和例外。</w:t>
      </w:r>
      <w:r>
        <w:rPr>
          <w:highlight w:val="none"/>
        </w:rPr>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2、供应商可以在投标文件中提出不同的服务标准和保障承诺，使评标委员会相信替代服务相同于或优于原需求，对于具体参数要求的指标，供应商必须提供具体参数值。</w:t>
      </w:r>
      <w:r>
        <w:rPr>
          <w:highlight w:val="none"/>
        </w:rPr>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3、如果发生因供应商工作失职造成安全事故或其他财产损失和人身伤害，均由供应商承担相关经济和法律责任。</w:t>
      </w:r>
      <w:r>
        <w:rPr>
          <w:highlight w:val="none"/>
        </w:rPr>
      </w: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四、其他管理要求</w:t>
      </w:r>
      <w:r>
        <w:rPr>
          <w:highlight w:val="none"/>
        </w:rPr>
      </w: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中标人应自行承担项目实施期间所产生的交通费、食宿费、通讯费、各种资料的编制、打印、复印和传递费、办公设备和用品费、为当地提供的设施和服务所付的费用）和不可预见费（指在酬金和可报销费用之外，在执行本项目服务任务的过程中所发生的额外的其它所有费用）等一切费用。</w:t>
      </w:r>
      <w:r>
        <w:rPr>
          <w:highlight w:val="none"/>
        </w:rPr>
      </w: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2、中标人在服务期间须遵守下列廉洁执业规则：</w:t>
      </w:r>
      <w:r>
        <w:rPr>
          <w:highlight w:val="none"/>
        </w:rPr>
      </w: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①不得收受和索取企业的任何报酬、礼品、土特产。</w:t>
      </w:r>
      <w:r>
        <w:rPr>
          <w:highlight w:val="none"/>
        </w:rPr>
      </w: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②不得在现场工作期间与企业开展项目洽谈、产品推销、争取赞助等活动。</w:t>
      </w:r>
      <w:r>
        <w:rPr>
          <w:highlight w:val="none"/>
        </w:rPr>
      </w: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③不得在现场工作期间接受企业接待，工作期间一律不得饮酒。</w:t>
      </w:r>
      <w:r>
        <w:rPr>
          <w:highlight w:val="none"/>
        </w:rPr>
      </w: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④不得泄露企业的技术和商业秘密。</w:t>
      </w:r>
      <w:r>
        <w:rPr>
          <w:highlight w:val="none"/>
        </w:rPr>
      </w:r>
      <w:r/>
    </w:p>
    <w:p>
      <w:pPr>
        <w:ind w:firstLine="480"/>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3、成交供应商不得利用服务区域内的招标人房产、服务、水电等资源从事其他经营或非法活动，不能改变其服务性质。</w:t>
      </w:r>
      <w:r>
        <w:rPr>
          <w:highlight w:val="none"/>
        </w:rPr>
      </w: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五、服务开展的原则及奖惩条款</w:t>
      </w:r>
      <w:r>
        <w:rPr>
          <w:highlight w:val="none"/>
        </w:rPr>
      </w:r>
      <w:r/>
    </w:p>
    <w:p>
      <w:pPr>
        <w:ind w:firstLine="482"/>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下列条款投标无须单独出具承诺材料，投标即视为承诺相关内容，中标后遵照执行：</w:t>
      </w:r>
      <w:r>
        <w:rPr>
          <w:highlight w:val="none"/>
        </w:rPr>
      </w:r>
      <w:r/>
    </w:p>
    <w:p>
      <w:pPr>
        <w:pStyle w:val="88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1．投标单位对招标人提供的数据、材料及检测结果、调查评估结果具有保密义务，如发现投标单位有任何形式的泄密行为，招标人有权解除合同并追究其相关责任。</w:t>
      </w:r>
      <w:r>
        <w:rPr>
          <w:highlight w:val="none"/>
        </w:rPr>
      </w:r>
      <w:r/>
    </w:p>
    <w:p>
      <w:pPr>
        <w:pStyle w:val="88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2．投标单位根据招标人的具体要求开展委托工作，并对招标人负责；完成指定项目后，应按招标人要求及时出具相关书面材料，经招标人审核后作为结算凭据。</w:t>
      </w:r>
      <w:r>
        <w:rPr>
          <w:highlight w:val="none"/>
        </w:rPr>
      </w:r>
      <w:r/>
    </w:p>
    <w:p>
      <w:pPr>
        <w:pStyle w:val="88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3．投标单位根据招标人的要求开展风险管控服务工作，并做好质量控制。在服务过程中如发现由于客观原因而严重影响项目进度的，由投标单位提出延长项目完成时间的书面申请，经招标人核准后给予时间调整。</w:t>
      </w:r>
      <w:r>
        <w:rPr>
          <w:highlight w:val="none"/>
        </w:rPr>
      </w:r>
      <w:r/>
    </w:p>
    <w:p>
      <w:pPr>
        <w:pStyle w:val="88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4．投标单位应加强对分包单位的管理。投标单位需按照国家现行法律法规组织并协调分包单位开展相关服务工作，导致服务过程不佳的，由投标单位承担总体责任，招标人将对投标单位予以警告（同时予以10000元/次的处罚）直至不再对其进行委托或解除合同，并追究造成招标人损失的责任。</w:t>
      </w:r>
      <w:r>
        <w:rPr>
          <w:highlight w:val="none"/>
        </w:rPr>
      </w:r>
      <w:r/>
    </w:p>
    <w:p>
      <w:pPr>
        <w:pStyle w:val="88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5．投标单位应加强对项目服务过程中相关资料的保管，服务工作全面完成后，投标单位应按相关文件及招标人要求备案电子与纸质资料；其余资料，投标单位应按招标人要求存档保管，并应及时响应招标人对项目资料进行调用、审核等要求，纸质材料保管时间为至少三年，电子版材料保管时间至少十年。对档案管理不完善造成资料遗失的供应商，招标人将予以警告直至不再对其进行委托或解除合同。</w:t>
      </w:r>
      <w:r>
        <w:rPr>
          <w:highlight w:val="none"/>
        </w:rPr>
      </w:r>
      <w:r/>
    </w:p>
    <w:p>
      <w:pPr>
        <w:pStyle w:val="883"/>
        <w:ind w:firstLine="480"/>
        <w:spacing w:line="480" w:lineRule="exact"/>
        <w:widowControl w:val="off"/>
        <w:rPr>
          <w:rFonts w:hint="eastAsia" w:ascii="宋体" w:hAnsi="宋体" w:eastAsia="宋体" w:cs="宋体"/>
          <w:color w:val="000000" w:themeColor="text1"/>
          <w:spacing w:val="0"/>
          <w:szCs w:val="24"/>
          <w:highlight w:val="none"/>
          <w14:textFill>
            <w14:solidFill>
              <w14:schemeClr w14:val="tx1"/>
            </w14:solidFill>
          </w14:textFill>
        </w:rPr>
      </w:pPr>
      <w:r>
        <w:rPr>
          <w:rFonts w:hint="eastAsia" w:ascii="宋体" w:hAnsi="宋体" w:eastAsia="宋体" w:cs="宋体"/>
          <w:color w:val="000000" w:themeColor="text1"/>
          <w:spacing w:val="0"/>
          <w:szCs w:val="24"/>
          <w:highlight w:val="none"/>
          <w14:textFill>
            <w14:solidFill>
              <w14:schemeClr w14:val="tx1"/>
            </w14:solidFill>
          </w14:textFill>
        </w:rPr>
        <w:t xml:space="preserve">6．投标单位应积极主动配合招标人有关工作，服从管理调配。如服务过程中投标单位无正当理由不配合招标人工作的，处罚款5000元/次。</w:t>
      </w:r>
      <w:r>
        <w:rPr>
          <w:highlight w:val="none"/>
        </w:rPr>
      </w:r>
      <w:r/>
    </w:p>
    <w:p>
      <w:pPr>
        <w:ind w:firstLine="480"/>
        <w:spacing w:line="480" w:lineRule="exact"/>
        <w:rPr>
          <w:rFonts w:hint="eastAsia" w:ascii="宋体" w:hAnsi="宋体" w:eastAsia="宋体" w:cs="宋体"/>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7．投标单位应对本项目的所有成</w:t>
      </w:r>
      <w:r>
        <w:rPr>
          <w:rFonts w:hint="eastAsia" w:ascii="宋体" w:hAnsi="宋体" w:eastAsia="宋体" w:cs="宋体"/>
          <w:sz w:val="24"/>
          <w:highlight w:val="none"/>
        </w:rPr>
        <w:t xml:space="preserve">果材料及请款材料的合法性、规范性、真实性、准确性、完整性负责，加强内容审核，提交至招标人的材料原则上不予替换。由于投标单位原因导致材料需重新提交的，招标人将予以警告直至不再对其进行委托。涉及</w:t>
      </w:r>
      <w:r>
        <w:rPr>
          <w:rFonts w:hint="eastAsia" w:ascii="宋体" w:hAnsi="宋体" w:eastAsia="宋体" w:cs="宋体"/>
          <w:color w:val="000000" w:themeColor="text1"/>
          <w:sz w:val="24"/>
          <w:highlight w:val="none"/>
          <w14:textFill>
            <w14:solidFill>
              <w14:schemeClr w14:val="tx1"/>
            </w14:solidFill>
          </w14:textFill>
        </w:rPr>
        <w:t xml:space="preserve">报告</w:t>
      </w:r>
      <w:r>
        <w:rPr>
          <w:rFonts w:hint="eastAsia" w:ascii="宋体" w:hAnsi="宋体" w:eastAsia="宋体" w:cs="宋体"/>
          <w:sz w:val="24"/>
          <w:highlight w:val="none"/>
        </w:rPr>
        <w:t xml:space="preserve">编制的，需依据国家、江苏省、盐城市、滨海县相关文件要求开展，应通过专家评审，作为后续工作的依据。</w:t>
      </w:r>
      <w:r>
        <w:rPr>
          <w:highlight w:val="none"/>
        </w:rPr>
      </w:r>
      <w:r/>
    </w:p>
    <w:p>
      <w:pPr>
        <w:pStyle w:val="871"/>
        <w:jc w:val="center"/>
        <w:spacing w:beforeAutospacing="0" w:afterAutospacing="0"/>
        <w:rPr>
          <w:highlight w:val="none"/>
        </w:rPr>
      </w:pPr>
      <w:r>
        <w:rPr>
          <w:highlight w:val="none"/>
        </w:rPr>
        <w:t xml:space="preserve"> </w:t>
      </w:r>
      <w:r>
        <w:rPr>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rPr>
          <w:highlight w:val="none"/>
        </w:rPr>
      </w:r>
      <w:r/>
    </w:p>
    <w:p>
      <w:pPr>
        <w:pStyle w:val="871"/>
        <w:ind w:firstLine="880"/>
        <w:jc w:val="center"/>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rPr>
          <w:highlight w:val="none"/>
        </w:rPr>
      </w:r>
      <w:r/>
    </w:p>
    <w:p>
      <w:pPr>
        <w:pStyle w:val="871"/>
        <w:jc w:val="both"/>
        <w:spacing w:beforeAutospacing="0" w:afterAutospacing="0"/>
        <w:rPr>
          <w:highlight w:val="none"/>
        </w:rPr>
      </w:pPr>
      <w:r>
        <w:rPr>
          <w:highlight w:val="none"/>
        </w:rPr>
        <w:t xml:space="preserve"> </w:t>
      </w:r>
      <w:r>
        <w:rPr>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一、定标原则</w:t>
      </w:r>
      <w:r>
        <w:rPr>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本项目采用</w:t>
      </w:r>
      <w:r>
        <w:rPr>
          <w:rFonts w:hint="eastAsia" w:ascii="宋体" w:hAnsi="宋体" w:eastAsia="宋体" w:cs="宋体"/>
          <w:bCs/>
          <w:color w:val="000000"/>
          <w:sz w:val="24"/>
          <w:highlight w:val="none"/>
          <w:u w:val="single"/>
        </w:rPr>
        <w:t xml:space="preserve"> 综合评分 </w:t>
      </w:r>
      <w:r>
        <w:rPr>
          <w:rFonts w:hint="eastAsia" w:ascii="宋体" w:hAnsi="宋体" w:eastAsia="宋体" w:cs="宋体"/>
          <w:bCs/>
          <w:color w:val="000000"/>
          <w:sz w:val="24"/>
          <w:highlight w:val="none"/>
        </w:rPr>
        <w:t xml:space="preserve">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highlight w:val="none"/>
        </w:rPr>
      </w:r>
      <w:r/>
    </w:p>
    <w:p>
      <w:pPr>
        <w:pStyle w:val="871"/>
        <w:ind w:firstLine="482"/>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rPr>
          <w:highlight w:val="none"/>
        </w:rPr>
      </w:r>
      <w:r/>
    </w:p>
    <w:p>
      <w:pPr>
        <w:pStyle w:val="87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rPr>
          <w:highlight w:val="none"/>
        </w:rPr>
      </w:r>
      <w:r/>
    </w:p>
    <w:p>
      <w:pPr>
        <w:pStyle w:val="879"/>
        <w:ind w:firstLine="360"/>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rPr>
          <w:highlight w:val="none"/>
        </w:rPr>
      </w:r>
      <w:r/>
    </w:p>
    <w:p>
      <w:pPr>
        <w:pStyle w:val="87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highlight w:val="none"/>
        </w:rPr>
        <w:t xml:space="preserve">中小企业声明函</w:t>
      </w:r>
      <w:r>
        <w:rPr>
          <w:rFonts w:hint="eastAsia" w:ascii="宋体" w:hAnsi="宋体" w:eastAsia="宋体" w:cs="宋体"/>
          <w:color w:val="000000"/>
          <w:highlight w:val="none"/>
        </w:rPr>
        <w:t xml:space="preserve">》。</w:t>
      </w:r>
      <w:r>
        <w:rPr>
          <w:highlight w:val="none"/>
        </w:rPr>
      </w:r>
      <w:r/>
    </w:p>
    <w:p>
      <w:pPr>
        <w:pStyle w:val="87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rPr>
          <w:highlight w:val="none"/>
        </w:rPr>
      </w:r>
      <w:r/>
    </w:p>
    <w:p>
      <w:pPr>
        <w:pStyle w:val="87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rPr>
          <w:highlight w:val="none"/>
        </w:rPr>
      </w:r>
      <w:r/>
    </w:p>
    <w:p>
      <w:pPr>
        <w:pStyle w:val="871"/>
        <w:ind w:left="120" w:firstLine="480"/>
        <w:spacing w:before="120" w:beforeAutospacing="0" w:after="12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20%的价格扣除。</w:t>
      </w:r>
      <w:r>
        <w:rPr>
          <w:highlight w:val="none"/>
        </w:rPr>
      </w:r>
      <w:r/>
    </w:p>
    <w:p>
      <w:pPr>
        <w:pStyle w:val="871"/>
        <w:ind w:left="120"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rPr>
          <w:highlight w:val="none"/>
        </w:rPr>
      </w:r>
      <w:r/>
    </w:p>
    <w:p>
      <w:pPr>
        <w:pStyle w:val="871"/>
        <w:ind w:left="120"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rPr>
          <w:highlight w:val="none"/>
        </w:rPr>
      </w:r>
      <w:r/>
    </w:p>
    <w:p>
      <w:pPr>
        <w:pStyle w:val="87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rPr>
          <w:highlight w:val="none"/>
        </w:rPr>
      </w:r>
      <w:r/>
    </w:p>
    <w:p>
      <w:pPr>
        <w:pStyle w:val="871"/>
        <w:ind w:left="120" w:firstLine="480"/>
        <w:spacing w:before="120" w:beforeAutospacing="0" w:after="12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20%的价格扣除。</w:t>
      </w:r>
      <w:r>
        <w:rPr>
          <w:highlight w:val="none"/>
        </w:rPr>
      </w:r>
      <w:r/>
    </w:p>
    <w:p>
      <w:pPr>
        <w:pStyle w:val="87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pStyle w:val="87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rPr>
          <w:highlight w:val="none"/>
        </w:rPr>
      </w:r>
      <w:r/>
    </w:p>
    <w:p>
      <w:pPr>
        <w:pStyle w:val="871"/>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rPr>
          <w:highlight w:val="none"/>
        </w:rPr>
      </w:r>
      <w:r/>
    </w:p>
    <w:p>
      <w:pPr>
        <w:pStyle w:val="871"/>
        <w:ind w:firstLine="480"/>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rPr>
          <w:highlight w:val="none"/>
        </w:rPr>
      </w:r>
      <w:r/>
    </w:p>
    <w:p>
      <w:pPr>
        <w:pStyle w:val="871"/>
        <w:ind w:left="120" w:firstLine="480"/>
        <w:spacing w:before="120" w:beforeAutospacing="0" w:after="12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20%的价格扣除。</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highlight w:val="none"/>
        </w:rPr>
        <w:t xml:space="preserve">如属政府强制采购产品未提供认证证书的或认证证书提供不全的将视为未实质性响应采购要求</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其他条件相同情况下，应当优先采购节能产品、环境标志产品。</w:t>
      </w:r>
      <w:r>
        <w:rPr>
          <w:highlight w:val="none"/>
        </w:rPr>
      </w:r>
      <w:r/>
    </w:p>
    <w:p>
      <w:pPr>
        <w:pStyle w:val="871"/>
        <w:ind w:firstLine="482"/>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rPr>
          <w:highlight w:val="none"/>
        </w:rPr>
      </w:r>
      <w:r/>
    </w:p>
    <w:tbl>
      <w:tblPr>
        <w:tblStyle w:val="89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086"/>
        <w:gridCol w:w="5837"/>
        <w:gridCol w:w="647"/>
      </w:tblGrid>
      <w:tr>
        <w:trPr/>
        <w:tc>
          <w:tcPr>
            <w:tcW w:w="947" w:type="dxa"/>
            <w:vAlign w:val="center"/>
            <w:textDirection w:val="lrTb"/>
            <w:noWrap w:val="false"/>
          </w:tcPr>
          <w:p>
            <w:pPr>
              <w:jc w:val="center"/>
              <w:widowControl/>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t xml:space="preserve">评审项</w:t>
            </w:r>
            <w:r>
              <w:rPr>
                <w:highlight w:val="none"/>
              </w:rPr>
            </w:r>
            <w:r/>
          </w:p>
        </w:tc>
        <w:tc>
          <w:tcPr>
            <w:tcW w:w="1086" w:type="dxa"/>
            <w:vAlign w:val="center"/>
            <w:textDirection w:val="lrTb"/>
            <w:noWrap w:val="false"/>
          </w:tcPr>
          <w:p>
            <w:pPr>
              <w:jc w:val="center"/>
              <w:widowControl/>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t xml:space="preserve">评审因素</w:t>
            </w:r>
            <w:r>
              <w:rPr>
                <w:highlight w:val="none"/>
              </w:rPr>
            </w:r>
            <w:r/>
          </w:p>
        </w:tc>
        <w:tc>
          <w:tcPr>
            <w:tcW w:w="5837" w:type="dxa"/>
            <w:vAlign w:val="center"/>
            <w:textDirection w:val="lrTb"/>
            <w:noWrap w:val="false"/>
          </w:tcPr>
          <w:p>
            <w:pPr>
              <w:jc w:val="center"/>
              <w:widowControl/>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t xml:space="preserve">评审细则</w:t>
            </w:r>
            <w:r>
              <w:rPr>
                <w:highlight w:val="none"/>
              </w:rPr>
            </w:r>
            <w:r/>
          </w:p>
        </w:tc>
        <w:tc>
          <w:tcPr>
            <w:tcW w:w="647" w:type="dxa"/>
            <w:vAlign w:val="center"/>
            <w:textDirection w:val="lrTb"/>
            <w:noWrap w:val="false"/>
          </w:tcPr>
          <w:p>
            <w:pPr>
              <w:jc w:val="center"/>
              <w:widowControl/>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b/>
                <w:color w:val="000000" w:themeColor="text1"/>
                <w:sz w:val="22"/>
                <w:szCs w:val="22"/>
                <w:highlight w:val="none"/>
                <w14:textFill>
                  <w14:solidFill>
                    <w14:schemeClr w14:val="tx1"/>
                  </w14:solidFill>
                </w14:textFill>
                <w14:ligatures w14:val="standardContextual"/>
              </w:rPr>
              <w:t xml:space="preserve">分值</w:t>
            </w:r>
            <w:r>
              <w:rPr>
                <w:highlight w:val="none"/>
              </w:rPr>
            </w:r>
            <w:r/>
          </w:p>
        </w:tc>
      </w:tr>
      <w:tr>
        <w:trPr/>
        <w:tc>
          <w:tcPr>
            <w:tcW w:w="9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价格分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（10分）</w:t>
            </w:r>
            <w:r>
              <w:rPr>
                <w:highlight w:val="none"/>
              </w:rPr>
            </w:r>
            <w:r/>
          </w:p>
        </w:tc>
        <w:tc>
          <w:tcPr>
            <w:tcW w:w="1086"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投标报价</w:t>
            </w:r>
            <w:r>
              <w:rPr>
                <w:highlight w:val="none"/>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1、评标总价是指通过资格审查、符合性检查且实质性响应招标文件要求，经修正、落实政府采购政策功能扣除后的总价。</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2、评标基准价=评标总价中的最低总价。</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3、当投标人的评标总价等于评标基准价的得10分，其他投标人的价格分按照下列公式计算：评标总价得分=（评标基准价/评标总价）×10分（计算结果保留2位小数，第三位四舍五入）。</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10</w:t>
            </w:r>
            <w:r>
              <w:rPr>
                <w:highlight w:val="none"/>
              </w:rPr>
            </w:r>
            <w:r/>
          </w:p>
        </w:tc>
      </w:tr>
      <w:tr>
        <w:trPr/>
        <w:tc>
          <w:tcPr>
            <w:tcW w:w="947" w:type="dxa"/>
            <w:vAlign w:val="center"/>
            <w:vMerge w:val="restart"/>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商务分（3</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3</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highlight w:val="none"/>
              </w:rPr>
            </w:r>
            <w:r/>
          </w:p>
        </w:tc>
        <w:tc>
          <w:tcPr>
            <w:tcW w:w="1086" w:type="dxa"/>
            <w:vAlign w:val="center"/>
            <w:vMerge w:val="restart"/>
            <w:textDirection w:val="lrTb"/>
            <w:noWrap w:val="false"/>
          </w:tcPr>
          <w:p>
            <w:pPr>
              <w:jc w:val="cente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综合能力</w:t>
            </w:r>
            <w:r>
              <w:rPr>
                <w:highlight w:val="none"/>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投标供应商具有质量管理体系认证证书、环境管理体系认证证书、职业健康安全管理体系认证证书的，每提供一项得2分，本项最高得6分。</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br/>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注：投标时须提供由有资质第三方单位颁发在有效期内的证书扫描件，未提供或提供材料无效的，不得分。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6</w:t>
            </w:r>
            <w:r>
              <w:rPr>
                <w:highlight w:val="none"/>
              </w:rPr>
            </w: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参与编制过工业园区或产业园区环保管理相关的标准、指南、导则、技术规范制订的，每有1项得1分，本项最多得4分。</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注：投标时须提供</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正式发布的标准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、指南、导则、技术规范扫描件</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，未提供不得分。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highlight w:val="none"/>
              </w:rPr>
            </w: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具有通过验收的省级及以上工程技术研究中心的，得1分；由行政主管部门认定绩效考评为优秀的，加1分。本项最多得2分。</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注：投标时须提供</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行政主管部门出具的工程技术研究中心的验收、绩效考评结果</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扫描件</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，未提供不得分。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highlight w:val="none"/>
              </w:rPr>
            </w:r>
            <w:r/>
          </w:p>
        </w:tc>
      </w:tr>
      <w:tr>
        <w:trPr>
          <w:trHeight w:val="1535"/>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类似案例</w:t>
            </w:r>
            <w:r>
              <w:rPr>
                <w:highlight w:val="none"/>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202</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3</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年1月1日（以合同签订时间为准）至今，投标供应商开展过类似园区（包含省级</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及</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以上园区、化工园区）规划环境影响报告书或规划跟踪环境影响报告书项目的，每提供1个得2分，本项最高得8分。</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注：投标时须提供业绩合同扫描件</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和行政主管部门出具的审查意见</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，未提供不得分。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8</w:t>
            </w:r>
            <w:r>
              <w:rPr>
                <w:highlight w:val="none"/>
              </w:rPr>
            </w:r>
            <w:r/>
          </w:p>
        </w:tc>
      </w:tr>
      <w:tr>
        <w:trPr>
          <w:trHeight w:val="1256"/>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restart"/>
            <w:textDirection w:val="lrTb"/>
            <w:noWrap w:val="false"/>
          </w:tcPr>
          <w:p>
            <w:pPr>
              <w:jc w:val="cente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行业评价</w:t>
            </w:r>
            <w:r>
              <w:rPr>
                <w:highlight w:val="none"/>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投标供应商具有</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环境污染治理能力评价</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证书</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、环境污染治理工程设计能力评价</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证书的，每有1个得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评价级别</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包含甲级的，加1分；本项最多得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5</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注：投标时提供证书扫描件，未提供不得分。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5</w:t>
            </w:r>
            <w:r>
              <w:rPr>
                <w:highlight w:val="none"/>
              </w:rPr>
            </w:r>
            <w:r/>
          </w:p>
        </w:tc>
      </w:tr>
      <w:tr>
        <w:trPr>
          <w:trHeight w:val="1256"/>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投标供应商具有水文水资源调查评价</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单位</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水平评价证书、水资源论证</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单位</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水平评价证书的，每有1个得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分，业务等级包含甲级的，加1分；本项最多得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5</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注：投标时提供证书扫描件，未提供不得分。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5</w:t>
            </w:r>
            <w:r>
              <w:rPr>
                <w:highlight w:val="none"/>
              </w:rPr>
            </w: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202</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3</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年1月1日（以</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获奖时间</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为准）至今，投标供应商编制的规划环境影响报告书或规划跟踪环境影响报告书获得省级</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及</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以上优秀环境影响报告书证书的，得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3</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注：投标时提供证书扫描件，未提供不得分。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3</w:t>
            </w:r>
            <w:r>
              <w:rPr>
                <w:highlight w:val="none"/>
              </w:rPr>
            </w:r>
            <w:r/>
          </w:p>
        </w:tc>
      </w:tr>
      <w:tr>
        <w:trPr/>
        <w:tc>
          <w:tcPr>
            <w:tcW w:w="947" w:type="dxa"/>
            <w:vAlign w:val="center"/>
            <w:vMerge w:val="restart"/>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技术分（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40</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highlight w:val="none"/>
              </w:rPr>
            </w:r>
            <w:r/>
          </w:p>
        </w:tc>
        <w:tc>
          <w:tcPr>
            <w:tcW w:w="1086" w:type="dxa"/>
            <w:vAlign w:val="center"/>
            <w:textDirection w:val="lrTb"/>
            <w:noWrap w:val="false"/>
          </w:tcPr>
          <w:p>
            <w:pPr>
              <w:jc w:val="cente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难点把握及解决思路</w:t>
            </w:r>
            <w:r>
              <w:rPr>
                <w:highlight w:val="none"/>
              </w:rPr>
            </w:r>
            <w:r/>
          </w:p>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（10分）</w:t>
            </w:r>
            <w:r>
              <w:rPr>
                <w:highlight w:val="none"/>
              </w:rPr>
            </w:r>
            <w:r/>
          </w:p>
        </w:tc>
        <w:tc>
          <w:tcPr>
            <w:tcW w:w="5837" w:type="dxa"/>
            <w:vAlign w:val="center"/>
            <w:textDirection w:val="lrTb"/>
            <w:noWrap w:val="false"/>
          </w:tcPr>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重点评估投标供应商对本项目的关键技术问题难点以及解决思路。能够从技术难点、解决内容、解决方法等方面进行阐述说明。</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1.对本项目技术难点、解决内容、解决方法阐述完整，全面，准确的得10分；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2.对本项目技术难点、解决内容、解决方法阐述较完整，较全面，较准确的得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7</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3.对本项目技术难点、解决内容、解决方法阐述不完整，不全面，不准确的得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5</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4.对本项目的关键技术问题难点以及解决思路不能全面理解，并不能提供有效解决方案得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2</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5.未提供不得分。</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b/>
                <w:bCs/>
                <w:color w:val="000000" w:themeColor="text1"/>
                <w:sz w:val="22"/>
                <w:szCs w:val="22"/>
                <w:highlight w:val="none"/>
                <w14:textFill>
                  <w14:solidFill>
                    <w14:schemeClr w14:val="tx1"/>
                  </w14:solidFill>
                </w14:textFill>
                <w14:ligatures w14:val="standardContextual"/>
              </w:rPr>
              <w:t xml:space="preserve">本项最高得10分，最低得0分。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10</w:t>
            </w:r>
            <w:r>
              <w:rPr>
                <w:highlight w:val="none"/>
              </w:rPr>
            </w: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textDirection w:val="lrTb"/>
            <w:noWrap w:val="false"/>
          </w:tcPr>
          <w:p>
            <w:pPr>
              <w:jc w:val="cente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技术方案</w:t>
            </w:r>
            <w:r>
              <w:rPr>
                <w:highlight w:val="none"/>
              </w:rPr>
            </w:r>
            <w:r/>
          </w:p>
          <w:p>
            <w:pPr>
              <w:jc w:val="cente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0</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r/>
          </w:p>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r>
            <w:r>
              <w:rPr>
                <w:highlight w:val="none"/>
              </w:rPr>
            </w:r>
            <w:r/>
          </w:p>
        </w:tc>
        <w:tc>
          <w:tcPr>
            <w:tcW w:w="5837" w:type="dxa"/>
            <w:vAlign w:val="center"/>
            <w:textDirection w:val="lrTb"/>
            <w:noWrap w:val="false"/>
          </w:tcPr>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主要评估投标投标供应商技术方案的完整性、合理性，包括报告编制的主要内容、评估流程、评估方法、技术路线等。</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1.响应文件中技术方案（报告编制的主要内容、工作流程、技术方法、技术路线等）阐述完整，合理的得10分；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2.响应文件中技术方案（报告编制的主要内容、工作流程、技术方法、技术路线等）阐述较完整，较合理的得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7</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3.响应文件中技术方案（报告编制的主要内容、工作流程、技术方法、技术路线等）阐述较不完整，不合理的得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5</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4.技术方案描述简单，技术方法，技术路线基本不可行得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2</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5.未提供不得分。</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b/>
                <w:bCs/>
                <w:color w:val="000000" w:themeColor="text1"/>
                <w:sz w:val="22"/>
                <w:szCs w:val="22"/>
                <w:highlight w:val="none"/>
                <w14:textFill>
                  <w14:solidFill>
                    <w14:schemeClr w14:val="tx1"/>
                  </w14:solidFill>
                </w14:textFill>
                <w14:ligatures w14:val="standardContextual"/>
              </w:rPr>
              <w:t xml:space="preserve">本项最高得10分，最低得0分。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10</w:t>
            </w:r>
            <w:r>
              <w:rPr>
                <w:highlight w:val="none"/>
              </w:rPr>
            </w: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textDirection w:val="lrTb"/>
            <w:noWrap w:val="false"/>
          </w:tcPr>
          <w:p>
            <w:pPr>
              <w:jc w:val="cente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质量保证措施</w:t>
            </w:r>
            <w:r>
              <w:rPr>
                <w:highlight w:val="none"/>
              </w:rPr>
            </w:r>
            <w:r/>
          </w:p>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（10分）</w:t>
            </w:r>
            <w:r>
              <w:rPr>
                <w:highlight w:val="none"/>
              </w:rPr>
            </w:r>
            <w:r/>
          </w:p>
        </w:tc>
        <w:tc>
          <w:tcPr>
            <w:tcW w:w="5837" w:type="dxa"/>
            <w:vAlign w:val="center"/>
            <w:textDirection w:val="lrTb"/>
            <w:noWrap w:val="false"/>
          </w:tcPr>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重点评估投标供应商的报告编制质量保证措施的完整性、合理性和可行性，从人员组织保障、质量保证内容、质量保证措施等方面进行评分。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1.响应文件中报告编制质量保证措施阐述完整、合理、可行性强得10分；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2.响应文件中报告编制质量保证措施阐述较完整、较合理、较可行性7分；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3.响应文件中报告编制质量保证措施阐述较不完整、不合理、可行性欠缺得5分；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4.报告编制质量保证措施阐述简单，不完全合理，基本不可行得2分；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5.未提供不得分。</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b/>
                <w:bCs/>
                <w:color w:val="000000" w:themeColor="text1"/>
                <w:sz w:val="22"/>
                <w:szCs w:val="22"/>
                <w:highlight w:val="none"/>
                <w14:textFill>
                  <w14:solidFill>
                    <w14:schemeClr w14:val="tx1"/>
                  </w14:solidFill>
                </w14:textFill>
                <w14:ligatures w14:val="standardContextual"/>
              </w:rPr>
              <w:t xml:space="preserve">本项最高得10分，最低得0分。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b/>
                <w:bCs/>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10</w:t>
            </w:r>
            <w:r>
              <w:rPr>
                <w:highlight w:val="none"/>
              </w:rPr>
            </w: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textDirection w:val="lrTb"/>
            <w:noWrap w:val="false"/>
          </w:tcPr>
          <w:p>
            <w:pPr>
              <w:jc w:val="cente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服务保障措施</w:t>
            </w:r>
            <w:r>
              <w:rPr>
                <w:highlight w:val="none"/>
              </w:rPr>
            </w:r>
            <w:r/>
          </w:p>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（10分）</w:t>
            </w:r>
            <w:r>
              <w:rPr>
                <w:highlight w:val="none"/>
              </w:rPr>
            </w:r>
            <w:r/>
          </w:p>
        </w:tc>
        <w:tc>
          <w:tcPr>
            <w:tcW w:w="5837" w:type="dxa"/>
            <w:vAlign w:val="center"/>
            <w:textDirection w:val="lrTb"/>
            <w:noWrap w:val="false"/>
          </w:tcPr>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评委根据响应文件提供的评估后服务体系、服务内容、响应时间、专业技术人员保障及服务体系进行评价。</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1.响应文件中服务体系、服务内容完整得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10</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2.响应文件中服务体系、服务内容较完整得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7</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3.响应文件中服务体系、服务内容不完整得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5</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4.服务体系内容简单，响应时间较慢得</w:t>
            </w:r>
            <w:r>
              <w:rPr>
                <w:rFonts w:hint="eastAsia" w:ascii="宋体" w:hAnsi="宋体" w:eastAsia="仿宋_GB2312" w:cs="宋体"/>
                <w:color w:val="000000" w:themeColor="text1"/>
                <w:sz w:val="22"/>
                <w:szCs w:val="22"/>
                <w:highlight w:val="none"/>
                <w14:textFill>
                  <w14:solidFill>
                    <w14:schemeClr w14:val="tx1"/>
                  </w14:solidFill>
                </w14:textFill>
                <w14:ligatures w14:val="standardContextual"/>
              </w:rPr>
              <w:t xml:space="preserve">2</w:t>
            </w: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分；</w:t>
            </w:r>
            <w:r>
              <w:rPr>
                <w:highlight w:val="none"/>
              </w:rPr>
            </w:r>
            <w:r/>
          </w:p>
          <w:p>
            <w:pPr>
              <w:rPr>
                <w:rFonts w:hint="eastAsia" w:ascii="宋体" w:hAnsi="宋体" w:eastAsia="仿宋_GB2312" w:cs="宋体"/>
                <w:color w:val="000000" w:themeColor="text1"/>
                <w:sz w:val="22"/>
                <w:highlight w:val="none"/>
                <w14:textFill>
                  <w14:solidFill>
                    <w14:schemeClr w14:val="tx1"/>
                  </w14:solidFill>
                </w14:textFill>
                <w14:ligatures w14:val="standardContextual"/>
              </w:rPr>
            </w:pPr>
            <w:r>
              <w:rPr>
                <w:rFonts w:hint="eastAsia" w:ascii="宋体" w:hAnsi="宋体" w:eastAsia="宋体" w:cs="宋体"/>
                <w:color w:val="000000" w:themeColor="text1"/>
                <w:sz w:val="22"/>
                <w:szCs w:val="22"/>
                <w:highlight w:val="none"/>
                <w14:textFill>
                  <w14:solidFill>
                    <w14:schemeClr w14:val="tx1"/>
                  </w14:solidFill>
                </w14:textFill>
                <w14:ligatures w14:val="standardContextual"/>
              </w:rPr>
              <w:t xml:space="preserve">5.未提供不得分。</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宋体" w:hAnsi="宋体" w:eastAsia="宋体" w:cs="宋体"/>
                <w:b/>
                <w:bCs/>
                <w:color w:val="000000" w:themeColor="text1"/>
                <w:sz w:val="22"/>
                <w:szCs w:val="22"/>
                <w:highlight w:val="none"/>
                <w14:textFill>
                  <w14:solidFill>
                    <w14:schemeClr w14:val="tx1"/>
                  </w14:solidFill>
                </w14:textFill>
                <w14:ligatures w14:val="standardContextual"/>
              </w:rPr>
              <w:t xml:space="preserve">本项最高得10分，最低得0分。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10</w:t>
            </w:r>
            <w:r>
              <w:rPr>
                <w:highlight w:val="none"/>
              </w:rPr>
            </w:r>
            <w:r/>
          </w:p>
        </w:tc>
      </w:tr>
      <w:tr>
        <w:trPr/>
        <w:tc>
          <w:tcPr>
            <w:tcW w:w="947" w:type="dxa"/>
            <w:vAlign w:val="center"/>
            <w:vMerge w:val="restart"/>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服务分（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17</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highlight w:val="none"/>
              </w:rPr>
            </w:r>
            <w:r/>
          </w:p>
        </w:tc>
        <w:tc>
          <w:tcPr>
            <w:tcW w:w="1086" w:type="dxa"/>
            <w:vAlign w:val="center"/>
            <w:vMerge w:val="restart"/>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服务团队（项目负责人）</w:t>
            </w:r>
            <w:r>
              <w:rPr>
                <w:highlight w:val="none"/>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投标供应商拟派项目负责人具有环保类正高级及以上职称的，得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分；具有环保类副高级职称的，得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；其余不得分</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。本项最高得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br/>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注：本项须提供职称证书扫描件，未提供不得分。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highlight w:val="none"/>
              </w:rPr>
            </w:r>
            <w:r/>
          </w:p>
        </w:tc>
      </w:tr>
      <w:tr>
        <w:trPr/>
        <w:tc>
          <w:tcPr>
            <w:tcW w:w="947"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投标供应商拟派项目负责人具有</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注册环评工程师和注册环保工程师职业资格</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的，</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每有1项</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得1分。本项最高得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br/>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注：本项须提供</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职业资格</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证书扫描件，未提供不得分。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2</w:t>
            </w:r>
            <w:r>
              <w:rPr>
                <w:highlight w:val="none"/>
              </w:rPr>
            </w:r>
            <w:r/>
          </w:p>
        </w:tc>
      </w:tr>
      <w:tr>
        <w:trPr/>
        <w:tc>
          <w:tcPr>
            <w:tcW w:w="947"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center"/>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投标供应商拟派项目负责人</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参与的规划环评项目获得省级及以上奖项荣誉的，得1分。</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注：投标时提供证书扫描件，未提供不得分。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w:t>
            </w:r>
            <w:r>
              <w:rPr>
                <w:highlight w:val="none"/>
              </w:rPr>
            </w: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restart"/>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服务团队（项目组成员，不含项目负责人）</w:t>
            </w:r>
            <w:r>
              <w:rPr>
                <w:highlight w:val="none"/>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投标供应商拟派项目组成员（不含项目负责人）具有环保类高级工程师及以上职称的，每有一人得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分；本项最多得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br/>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注：本项须提供职称证书扫描件，未提供不得分。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highlight w:val="none"/>
              </w:rPr>
            </w: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投标供应商拟派项目组成员（不含项目负责人）具有注册</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环评</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工程师</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或注册环保工程师职业资格</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的，每提供一人得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1</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分，本项最高得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br/>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注：本项须提供</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职业资格</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相关证书扫描件，未提供不得分。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highlight w:val="none"/>
              </w:rPr>
            </w:r>
            <w:r/>
          </w:p>
        </w:tc>
      </w:tr>
      <w:tr>
        <w:trPr/>
        <w:tc>
          <w:tcPr>
            <w:tcW w:w="947"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1086" w:type="dxa"/>
            <w:vAlign w:val="center"/>
            <w:vMerge w:val="continue"/>
            <w:textDirection w:val="lrTb"/>
            <w:noWrap w:val="false"/>
          </w:tcPr>
          <w:p>
            <w:pPr>
              <w:jc w:val="left"/>
              <w:widowControl/>
              <w:rPr>
                <w:rFonts w:ascii="Times New Roman" w:hAnsi="Times New Roman" w:eastAsia="宋体" w:cs="Times New Roman"/>
                <w:color w:val="000000" w:themeColor="text1"/>
                <w:sz w:val="22"/>
                <w:szCs w:val="22"/>
                <w14:textFill>
                  <w14:solidFill>
                    <w14:schemeClr w14:val="tx1"/>
                  </w14:solidFill>
                </w14:textFill>
                <w14:ligatures w14:val="standardContextual"/>
              </w:rPr>
            </w:pPr>
            <w:r>
              <w:rPr>
                <w:rFonts w:ascii="Times New Roman" w:hAnsi="Times New Roman" w:eastAsia="宋体" w:cs="Times New Roman"/>
                <w:color w:val="000000" w:themeColor="text1"/>
                <w:sz w:val="22"/>
                <w:szCs w:val="22"/>
                <w14:textFill>
                  <w14:solidFill>
                    <w14:schemeClr w14:val="tx1"/>
                  </w14:solidFill>
                </w14:textFill>
                <w14:ligatures w14:val="standardContextual"/>
              </w:rPr>
            </w:r>
            <w:r/>
          </w:p>
        </w:tc>
        <w:tc>
          <w:tcPr>
            <w:tcW w:w="5837" w:type="dxa"/>
            <w:vAlign w:val="center"/>
            <w:textDirection w:val="lrTb"/>
            <w:noWrap w:val="false"/>
          </w:tcPr>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投标供应商拟派项目组成员（不含项目负责人）</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具有</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环境监察、大气物理学与大气环境、环保设备工程、地下水科学与工程、勘查技术与工程、环境监测治理与评价、3S集成与气象应用、环境与资源保护法学的，每提供一个得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0.5</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分，同一种专业不重复得分，最高得</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分。</w:t>
            </w:r>
            <w:r>
              <w:rPr>
                <w:highlight w:val="none"/>
              </w:rPr>
            </w:r>
            <w:r/>
          </w:p>
          <w:p>
            <w:pPr>
              <w:jc w:val="left"/>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注：本项须提供</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毕业</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证书</w:t>
            </w: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或学位证书</w:t>
            </w:r>
            <w:r>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扫描件，未提供不得分。</w:t>
            </w:r>
            <w:r>
              <w:rPr>
                <w:highlight w:val="none"/>
              </w:rPr>
            </w:r>
            <w:r/>
          </w:p>
        </w:tc>
        <w:tc>
          <w:tcPr>
            <w:tcW w:w="647" w:type="dxa"/>
            <w:vAlign w:val="center"/>
            <w:textDirection w:val="lrTb"/>
            <w:noWrap w:val="false"/>
          </w:tcPr>
          <w:p>
            <w:pPr>
              <w:jc w:val="center"/>
              <w:widowControl/>
              <w:rPr>
                <w:rFonts w:ascii="Times New Roman" w:hAnsi="Times New Roman" w:eastAsia="宋体" w:cs="Times New Roman"/>
                <w:color w:val="000000" w:themeColor="text1"/>
                <w:sz w:val="22"/>
                <w:szCs w:val="22"/>
                <w:highlight w:val="none"/>
                <w14:textFill>
                  <w14:solidFill>
                    <w14:schemeClr w14:val="tx1"/>
                  </w14:solidFill>
                </w14:textFill>
                <w14:ligatures w14:val="standardContextual"/>
              </w:rPr>
            </w:pPr>
            <w:r>
              <w:rPr>
                <w:rFonts w:hint="eastAsia" w:ascii="Times New Roman" w:hAnsi="Times New Roman" w:eastAsia="宋体" w:cs="Times New Roman"/>
                <w:color w:val="000000" w:themeColor="text1"/>
                <w:sz w:val="22"/>
                <w:szCs w:val="22"/>
                <w:highlight w:val="none"/>
                <w14:textFill>
                  <w14:solidFill>
                    <w14:schemeClr w14:val="tx1"/>
                  </w14:solidFill>
                </w14:textFill>
                <w14:ligatures w14:val="standardContextual"/>
              </w:rPr>
              <w:t xml:space="preserve">4</w:t>
            </w:r>
            <w:r>
              <w:rPr>
                <w:highlight w:val="none"/>
              </w:rPr>
            </w:r>
            <w:r/>
          </w:p>
        </w:tc>
      </w:tr>
    </w:tbl>
    <w:p>
      <w:pPr>
        <w:pStyle w:val="871"/>
        <w:jc w:val="both"/>
        <w:spacing w:beforeAutospacing="0" w:afterAutospacing="0"/>
        <w:rPr>
          <w:highlight w:val="none"/>
        </w:rPr>
      </w:pPr>
      <w:r>
        <w:rPr>
          <w:highlight w:val="none"/>
        </w:rPr>
      </w:r>
      <w:r>
        <w:rPr>
          <w:highlight w:val="none"/>
        </w:rPr>
      </w:r>
      <w:r/>
    </w:p>
    <w:p>
      <w:pPr>
        <w:ind w:firstLine="880"/>
        <w:jc w:val="center"/>
        <w:rPr>
          <w:highlight w:val="none"/>
        </w:rPr>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第六章  投标文件格式</w:t>
      </w:r>
      <w:r>
        <w:rPr>
          <w:highlight w:val="none"/>
        </w:rPr>
      </w:r>
      <w:r/>
    </w:p>
    <w:p>
      <w:pPr>
        <w:pStyle w:val="871"/>
        <w:ind w:firstLine="1446"/>
        <w:jc w:val="center"/>
        <w:spacing w:beforeAutospacing="0" w:afterAutospacing="0"/>
        <w:rPr>
          <w:rFonts w:hint="eastAsia" w:ascii="宋体" w:hAnsi="宋体" w:eastAsia="宋体" w:cs="宋体"/>
          <w:b/>
          <w:color w:val="000000"/>
          <w:sz w:val="72"/>
          <w:szCs w:val="72"/>
          <w:highlight w:val="none"/>
        </w:rPr>
      </w:pPr>
      <w:r>
        <w:rPr>
          <w:highlight w:val="none"/>
        </w:rPr>
      </w:r>
      <w:bookmarkStart w:id="181" w:name="_Hlt26671244"/>
      <w:r>
        <w:rPr>
          <w:highlight w:val="none"/>
        </w:rPr>
      </w:r>
      <w:bookmarkEnd w:id="181"/>
      <w:r>
        <w:rPr>
          <w:highlight w:val="none"/>
        </w:rPr>
      </w:r>
      <w:bookmarkStart w:id="182" w:name="_Toc26554094"/>
      <w:r>
        <w:rPr>
          <w:highlight w:val="none"/>
        </w:rPr>
      </w:r>
      <w:bookmarkEnd w:id="182"/>
      <w:r>
        <w:rPr>
          <w:highlight w:val="none"/>
        </w:rPr>
      </w:r>
      <w:bookmarkStart w:id="183" w:name="_Hlt26955039"/>
      <w:r>
        <w:rPr>
          <w:highlight w:val="none"/>
        </w:rPr>
      </w:r>
      <w:bookmarkEnd w:id="183"/>
      <w:r>
        <w:rPr>
          <w:highlight w:val="none"/>
        </w:rPr>
      </w:r>
      <w:bookmarkStart w:id="184" w:name="_Toc120614282"/>
      <w:r>
        <w:rPr>
          <w:highlight w:val="none"/>
        </w:rPr>
      </w:r>
      <w:bookmarkStart w:id="185" w:name="_Toc49090576"/>
      <w:r>
        <w:rPr>
          <w:highlight w:val="none"/>
        </w:rPr>
      </w:r>
      <w:r/>
    </w:p>
    <w:p>
      <w:pPr>
        <w:pStyle w:val="871"/>
        <w:ind w:firstLine="144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rPr>
          <w:highlight w:val="none"/>
        </w:rPr>
      </w:r>
      <w:r/>
    </w:p>
    <w:p>
      <w:pPr>
        <w:pStyle w:val="871"/>
        <w:ind w:firstLine="144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rPr>
          <w:highlight w:val="none"/>
        </w:rPr>
      </w:r>
      <w:r/>
    </w:p>
    <w:p>
      <w:pPr>
        <w:pStyle w:val="871"/>
        <w:ind w:firstLine="144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rPr>
          <w:highlight w:val="none"/>
        </w:rPr>
      </w:r>
      <w:r/>
    </w:p>
    <w:p>
      <w:pPr>
        <w:pStyle w:val="871"/>
        <w:ind w:firstLine="1446"/>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rPr>
          <w:highlight w:val="none"/>
        </w:rPr>
      </w:r>
      <w:r/>
    </w:p>
    <w:p>
      <w:pPr>
        <w:pStyle w:val="871"/>
        <w:jc w:val="center"/>
        <w:spacing w:beforeAutospacing="0" w:afterAutospacing="0"/>
        <w:rPr>
          <w:highlight w:val="none"/>
        </w:rPr>
      </w:pPr>
      <w:r>
        <w:rPr>
          <w:highlight w:val="none"/>
        </w:rPr>
        <w:t xml:space="preserve"> </w:t>
      </w:r>
      <w:r>
        <w:rPr>
          <w:highlight w:val="none"/>
        </w:rPr>
      </w:r>
      <w:r/>
    </w:p>
    <w:p>
      <w:pPr>
        <w:pStyle w:val="871"/>
        <w:jc w:val="center"/>
        <w:spacing w:beforeAutospacing="0" w:afterAutospacing="0"/>
        <w:rPr>
          <w:highlight w:val="none"/>
        </w:rPr>
      </w:pPr>
      <w:r>
        <w:rPr>
          <w:highlight w:val="none"/>
        </w:rPr>
        <w:t xml:space="preserve"> </w:t>
      </w:r>
      <w:r>
        <w:rPr>
          <w:highlight w:val="none"/>
        </w:rPr>
      </w:r>
      <w:r/>
    </w:p>
    <w:p>
      <w:pPr>
        <w:pStyle w:val="871"/>
        <w:jc w:val="center"/>
        <w:spacing w:beforeAutospacing="0" w:afterAutospacing="0"/>
        <w:rPr>
          <w:highlight w:val="none"/>
        </w:rPr>
      </w:pPr>
      <w:r>
        <w:rPr>
          <w:highlight w:val="none"/>
        </w:rPr>
        <w:t xml:space="preserve"> </w:t>
      </w:r>
      <w:r>
        <w:rPr>
          <w:highlight w:val="none"/>
        </w:rPr>
      </w:r>
      <w:r/>
    </w:p>
    <w:p>
      <w:pPr>
        <w:pStyle w:val="871"/>
        <w:jc w:val="center"/>
        <w:spacing w:beforeAutospacing="0" w:afterAutospacing="0"/>
        <w:rPr>
          <w:highlight w:val="none"/>
        </w:rPr>
      </w:pPr>
      <w:r>
        <w:rPr>
          <w:highlight w:val="none"/>
        </w:rPr>
        <w:t xml:space="preserve"> </w:t>
      </w:r>
      <w:r>
        <w:rPr>
          <w:highlight w:val="none"/>
        </w:rPr>
      </w:r>
      <w:r/>
    </w:p>
    <w:p>
      <w:pPr>
        <w:pStyle w:val="871"/>
        <w:jc w:val="center"/>
        <w:spacing w:beforeAutospacing="0" w:afterAutospacing="0"/>
        <w:rPr>
          <w:highlight w:val="none"/>
        </w:rPr>
      </w:pPr>
      <w:r>
        <w:rPr>
          <w:highlight w:val="none"/>
        </w:rPr>
        <w:t xml:space="preserve"> </w:t>
      </w:r>
      <w:r>
        <w:rPr>
          <w:highlight w:val="none"/>
        </w:rPr>
      </w:r>
      <w:r/>
    </w:p>
    <w:p>
      <w:pPr>
        <w:pStyle w:val="871"/>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u w:val="single"/>
        </w:rPr>
        <w:t xml:space="preserve">               </w:t>
      </w:r>
      <w:r>
        <w:rPr>
          <w:highlight w:val="none"/>
        </w:rPr>
      </w:r>
      <w:r/>
    </w:p>
    <w:p>
      <w:pPr>
        <w:pStyle w:val="871"/>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rPr>
          <w:highlight w:val="none"/>
        </w:rPr>
      </w:r>
      <w:r/>
    </w:p>
    <w:p>
      <w:pPr>
        <w:pStyle w:val="871"/>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        </w:t>
      </w:r>
      <w:r>
        <w:rPr>
          <w:highlight w:val="none"/>
        </w:rPr>
      </w:r>
      <w:r/>
    </w:p>
    <w:p>
      <w:pPr>
        <w:pStyle w:val="871"/>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jc w:val="both"/>
        <w:spacing w:beforeAutospacing="0" w:afterAutospacing="0" w:line="0" w:lineRule="atLeast"/>
        <w:rPr>
          <w:highlight w:val="none"/>
        </w:rPr>
      </w:pPr>
      <w:r>
        <w:rPr>
          <w:highlight w:val="none"/>
        </w:rPr>
        <w:t xml:space="preserve"> </w:t>
      </w:r>
      <w:r>
        <w:rPr>
          <w:highlight w:val="none"/>
        </w:rPr>
      </w:r>
      <w:r/>
    </w:p>
    <w:p>
      <w:pPr>
        <w:pStyle w:val="87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r/>
    </w:p>
    <w:p>
      <w:pPr>
        <w:pStyle w:val="87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r/>
    </w:p>
    <w:p>
      <w:pPr>
        <w:pStyle w:val="87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r/>
    </w:p>
    <w:p>
      <w:pPr>
        <w:pStyle w:val="87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r/>
    </w:p>
    <w:p>
      <w:pPr>
        <w:pStyle w:val="87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r/>
    </w:p>
    <w:p>
      <w:pPr>
        <w:pStyle w:val="87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r/>
    </w:p>
    <w:p>
      <w:pPr>
        <w:pStyle w:val="87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r/>
    </w:p>
    <w:p>
      <w:pPr>
        <w:pStyle w:val="871"/>
        <w:ind w:firstLine="723"/>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rPr>
          <w:highlight w:val="none"/>
        </w:rPr>
      </w:r>
      <w:r/>
    </w:p>
    <w:p>
      <w:pPr>
        <w:pStyle w:val="871"/>
        <w:ind w:firstLine="643"/>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一、法人或者其他组织的营业执照等证明文件，自然人的身份证明</w:t>
      </w:r>
      <w:r>
        <w:rPr>
          <w:highlight w:val="none"/>
        </w:rPr>
      </w:r>
      <w:r/>
    </w:p>
    <w:p>
      <w:pPr>
        <w:ind w:firstLine="480"/>
        <w:jc w:val="left"/>
        <w:tabs>
          <w:tab w:val="left" w:pos="1331" w:leader="none"/>
        </w:tabs>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二、上一年度的财务状况报告（至少提供资产负债表、利润表、现金流量表，</w:t>
      </w:r>
      <w:r>
        <w:rPr>
          <w:highlight w:val="none"/>
        </w:rPr>
      </w:r>
      <w:r/>
    </w:p>
    <w:p>
      <w:pPr>
        <w:pStyle w:val="87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投标人成立不满一年无需提供）</w:t>
      </w:r>
      <w:r>
        <w:rPr>
          <w:highlight w:val="none"/>
        </w:rPr>
      </w:r>
      <w:r/>
    </w:p>
    <w:p>
      <w:pPr>
        <w:pStyle w:val="87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三、具备履行合同所必需的设备和专业技术能力的书面声明</w:t>
      </w:r>
      <w:r>
        <w:rPr>
          <w:highlight w:val="none"/>
        </w:rPr>
      </w:r>
      <w:r/>
    </w:p>
    <w:p>
      <w:pPr>
        <w:pStyle w:val="87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pStyle w:val="87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五、参加政府采购活动前 3 年内在经营活动中没有重大违法记录的书面声明</w:t>
      </w:r>
      <w:r>
        <w:rPr>
          <w:highlight w:val="none"/>
        </w:rPr>
      </w:r>
      <w:r/>
    </w:p>
    <w:p>
      <w:pPr>
        <w:pStyle w:val="87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六、特定资格要求的证明文件（如果本项目设置特定资格要求，则需要提供）</w:t>
      </w:r>
      <w:r>
        <w:rPr>
          <w:highlight w:val="none"/>
        </w:rPr>
      </w:r>
      <w:r/>
    </w:p>
    <w:p>
      <w:pPr>
        <w:pStyle w:val="87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七、法人授权书</w:t>
      </w:r>
      <w:r>
        <w:rPr>
          <w:highlight w:val="none"/>
        </w:rPr>
      </w:r>
      <w:r/>
    </w:p>
    <w:p>
      <w:pPr>
        <w:pStyle w:val="87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八、投标函</w:t>
      </w:r>
      <w:r>
        <w:rPr>
          <w:highlight w:val="none"/>
        </w:rPr>
      </w:r>
      <w:r/>
    </w:p>
    <w:p>
      <w:pPr>
        <w:pStyle w:val="87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九、中小企业声明函</w:t>
      </w:r>
      <w:r>
        <w:rPr>
          <w:highlight w:val="none"/>
        </w:rPr>
      </w:r>
      <w:r/>
    </w:p>
    <w:p>
      <w:pPr>
        <w:pStyle w:val="871"/>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十、残疾人福利性单位声明函</w:t>
      </w:r>
      <w:r>
        <w:rPr>
          <w:highlight w:val="none"/>
        </w:rPr>
      </w:r>
      <w:r/>
    </w:p>
    <w:p>
      <w:pPr>
        <w:pStyle w:val="871"/>
        <w:ind w:left="480"/>
        <w:jc w:val="both"/>
        <w:spacing w:beforeAutospacing="0" w:afterAutospacing="0"/>
        <w:rPr>
          <w:rFonts w:hint="eastAsia" w:ascii="宋体" w:hAnsi="宋体" w:eastAsia="宋体" w:cs="宋体"/>
          <w:iCs/>
          <w:strike w:val="0"/>
          <w:color w:val="000000" w:themeColor="text1"/>
          <w:highlight w:val="none"/>
          <w14:textFill>
            <w14:solidFill>
              <w14:schemeClr w14:val="tx1"/>
            </w14:solidFill>
          </w14:textFill>
        </w:rPr>
      </w:pPr>
      <w:r>
        <w:rPr>
          <w:rFonts w:hint="eastAsia" w:ascii="宋体" w:hAnsi="宋体" w:eastAsia="宋体" w:cs="宋体"/>
          <w:iCs/>
          <w:strike w:val="0"/>
          <w:color w:val="000000" w:themeColor="text1"/>
          <w:highlight w:val="none"/>
          <w14:textFill>
            <w14:solidFill>
              <w14:schemeClr w14:val="tx1"/>
            </w14:solidFill>
          </w14:textFill>
        </w:rPr>
        <w:t xml:space="preserve">十一、 关于符合本国产品标准的声明函</w:t>
      </w:r>
      <w:r>
        <w:rPr>
          <w:highlight w:val="none"/>
        </w:rPr>
      </w:r>
      <w:r/>
    </w:p>
    <w:p>
      <w:pPr>
        <w:pStyle w:val="871"/>
        <w:ind w:left="480"/>
        <w:jc w:val="both"/>
        <w:spacing w:beforeAutospacing="0" w:afterAutospacing="0"/>
        <w:rPr>
          <w:rFonts w:hint="eastAsia" w:ascii="宋体" w:hAnsi="宋体" w:eastAsia="宋体" w:cs="宋体"/>
          <w:iCs/>
          <w:strike w:val="0"/>
          <w:color w:val="00b0f0"/>
          <w:highlight w:val="none"/>
        </w:rPr>
      </w:pPr>
      <w:r>
        <w:rPr>
          <w:rFonts w:hint="eastAsia" w:ascii="宋体" w:hAnsi="宋体" w:eastAsia="宋体" w:cs="宋体"/>
          <w:iCs/>
          <w:strike w:val="0"/>
          <w:color w:val="000000" w:themeColor="text1"/>
          <w:highlight w:val="none"/>
          <w14:textFill>
            <w14:solidFill>
              <w14:schemeClr w14:val="tx1"/>
            </w14:solidFill>
          </w14:textFill>
        </w:rPr>
        <w:t xml:space="preserve">十二、联合体协议</w:t>
      </w:r>
      <w:r>
        <w:rPr>
          <w:highlight w:val="none"/>
        </w:rPr>
      </w:r>
      <w:r/>
    </w:p>
    <w:p>
      <w:pPr>
        <w:pStyle w:val="871"/>
        <w:ind w:left="480"/>
        <w:jc w:val="both"/>
        <w:spacing w:beforeAutospacing="0" w:afterAutospacing="0"/>
        <w:rPr>
          <w:rFonts w:hint="eastAsia" w:ascii="宋体" w:hAnsi="宋体" w:eastAsia="宋体" w:cs="宋体"/>
          <w:iCs/>
          <w:strike w:val="0"/>
          <w:color w:val="000000"/>
          <w:highlight w:val="none"/>
        </w:rPr>
      </w:pPr>
      <w:r>
        <w:rPr>
          <w:rFonts w:hint="eastAsia" w:ascii="宋体" w:hAnsi="宋体" w:eastAsia="宋体" w:cs="宋体"/>
          <w:iCs/>
          <w:strike w:val="0"/>
          <w:color w:val="000000"/>
          <w:highlight w:val="none"/>
        </w:rPr>
        <w:t xml:space="preserve">十三、投标分项报价表</w:t>
      </w:r>
      <w:r>
        <w:rPr>
          <w:highlight w:val="none"/>
        </w:rPr>
      </w:r>
      <w:r/>
    </w:p>
    <w:p>
      <w:pPr>
        <w:pStyle w:val="871"/>
        <w:ind w:left="480"/>
        <w:jc w:val="both"/>
        <w:spacing w:beforeAutospacing="0" w:afterAutospacing="0"/>
        <w:rPr>
          <w:rFonts w:hint="eastAsia" w:ascii="宋体" w:hAnsi="宋体" w:eastAsia="宋体" w:cs="宋体"/>
          <w:iCs/>
          <w:strike w:val="0"/>
          <w:color w:val="000000"/>
          <w:highlight w:val="none"/>
        </w:rPr>
      </w:pPr>
      <w:r>
        <w:rPr>
          <w:rFonts w:hint="eastAsia" w:ascii="宋体" w:hAnsi="宋体" w:eastAsia="宋体" w:cs="宋体"/>
          <w:iCs/>
          <w:strike w:val="0"/>
          <w:color w:val="000000"/>
          <w:highlight w:val="none"/>
        </w:rPr>
        <w:t xml:space="preserve">十四、技术要求响应及偏离表</w:t>
      </w:r>
      <w:r>
        <w:rPr>
          <w:highlight w:val="none"/>
        </w:rPr>
      </w:r>
      <w:r/>
    </w:p>
    <w:p>
      <w:pPr>
        <w:pStyle w:val="871"/>
        <w:ind w:left="480"/>
        <w:jc w:val="both"/>
        <w:spacing w:beforeAutospacing="0" w:afterAutospacing="0"/>
        <w:rPr>
          <w:rFonts w:hint="eastAsia" w:ascii="宋体" w:hAnsi="宋体" w:eastAsia="宋体" w:cs="宋体"/>
          <w:iCs/>
          <w:strike w:val="0"/>
          <w:color w:val="000000"/>
          <w:highlight w:val="none"/>
        </w:rPr>
      </w:pPr>
      <w:r>
        <w:rPr>
          <w:rFonts w:hint="eastAsia" w:ascii="宋体" w:hAnsi="宋体" w:eastAsia="宋体" w:cs="宋体"/>
          <w:iCs/>
          <w:strike w:val="0"/>
          <w:color w:val="000000"/>
          <w:highlight w:val="none"/>
        </w:rPr>
        <w:t xml:space="preserve">十五、商务要求响应及偏离表</w:t>
      </w:r>
      <w:r>
        <w:rPr>
          <w:highlight w:val="none"/>
        </w:rPr>
      </w:r>
      <w:r/>
    </w:p>
    <w:p>
      <w:pPr>
        <w:pStyle w:val="871"/>
        <w:ind w:left="480"/>
        <w:jc w:val="both"/>
        <w:spacing w:beforeAutospacing="0" w:afterAutospacing="0"/>
        <w:rPr>
          <w:rFonts w:hint="eastAsia" w:ascii="宋体" w:hAnsi="宋体" w:eastAsia="宋体" w:cs="宋体"/>
          <w:iCs/>
          <w:strike w:val="0"/>
          <w:color w:val="000000"/>
          <w:highlight w:val="none"/>
        </w:rPr>
      </w:pPr>
      <w:r>
        <w:rPr>
          <w:rFonts w:hint="eastAsia" w:ascii="宋体" w:hAnsi="宋体" w:eastAsia="宋体" w:cs="宋体"/>
          <w:iCs/>
          <w:strike w:val="0"/>
          <w:color w:val="000000"/>
          <w:highlight w:val="none"/>
        </w:rPr>
        <w:t xml:space="preserve">十六、开标一览表</w:t>
      </w:r>
      <w:r>
        <w:rPr>
          <w:highlight w:val="none"/>
        </w:rPr>
      </w:r>
      <w:r/>
    </w:p>
    <w:p>
      <w:pPr>
        <w:pStyle w:val="871"/>
        <w:ind w:left="480"/>
        <w:jc w:val="both"/>
        <w:spacing w:beforeAutospacing="0" w:afterAutospacing="0"/>
        <w:rPr>
          <w:rFonts w:hint="eastAsia" w:ascii="宋体" w:hAnsi="宋体" w:eastAsia="宋体" w:cs="宋体"/>
          <w:iCs/>
          <w:strike w:val="0"/>
          <w:color w:val="000000"/>
          <w:highlight w:val="none"/>
        </w:rPr>
      </w:pPr>
      <w:r>
        <w:rPr>
          <w:rFonts w:hint="eastAsia" w:ascii="宋体" w:hAnsi="宋体" w:eastAsia="宋体" w:cs="宋体"/>
          <w:iCs/>
          <w:strike w:val="0"/>
          <w:color w:val="000000"/>
          <w:highlight w:val="none"/>
        </w:rPr>
        <w:t xml:space="preserve">十七、技术方案、服务承诺</w:t>
      </w:r>
      <w:r>
        <w:rPr>
          <w:rFonts w:hint="eastAsia" w:ascii="宋体" w:hAnsi="宋体" w:eastAsia="宋体" w:cs="宋体"/>
          <w:iCs/>
          <w:strike w:val="0"/>
          <w:color w:val="000000" w:themeColor="text1"/>
          <w:highlight w:val="none"/>
          <w14:textFill>
            <w14:solidFill>
              <w14:schemeClr w14:val="tx1"/>
            </w14:solidFill>
          </w14:textFill>
        </w:rPr>
        <w:t xml:space="preserve">、培训承诺</w:t>
      </w:r>
      <w:r>
        <w:rPr>
          <w:rFonts w:hint="eastAsia" w:ascii="宋体" w:hAnsi="宋体" w:eastAsia="宋体" w:cs="宋体"/>
          <w:iCs/>
          <w:strike w:val="0"/>
          <w:color w:val="000000"/>
          <w:highlight w:val="none"/>
        </w:rPr>
        <w:t xml:space="preserve">等</w:t>
      </w:r>
      <w:r>
        <w:rPr>
          <w:highlight w:val="none"/>
        </w:rPr>
      </w:r>
      <w:r/>
    </w:p>
    <w:p>
      <w:pPr>
        <w:pStyle w:val="871"/>
        <w:ind w:left="480"/>
        <w:jc w:val="both"/>
        <w:spacing w:beforeAutospacing="0" w:afterAutospacing="0"/>
        <w:rPr>
          <w:rFonts w:hint="eastAsia" w:ascii="宋体" w:hAnsi="宋体" w:eastAsia="宋体" w:cs="宋体"/>
          <w:iCs/>
          <w:strike w:val="0"/>
          <w:color w:val="000000"/>
          <w:highlight w:val="none"/>
        </w:rPr>
      </w:pPr>
      <w:r>
        <w:rPr>
          <w:rFonts w:hint="eastAsia" w:ascii="宋体" w:hAnsi="宋体" w:eastAsia="宋体" w:cs="宋体"/>
          <w:iCs/>
          <w:strike w:val="0"/>
          <w:color w:val="000000"/>
          <w:highlight w:val="none"/>
        </w:rPr>
        <w:t xml:space="preserve">十八、盐城市政府采购事前信用承诺书</w:t>
      </w:r>
      <w:r>
        <w:rPr>
          <w:highlight w:val="none"/>
        </w:rPr>
      </w:r>
      <w:r/>
    </w:p>
    <w:p>
      <w:pPr>
        <w:pStyle w:val="871"/>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r/>
    </w:p>
    <w:p>
      <w:pPr>
        <w:pStyle w:val="871"/>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r/>
    </w:p>
    <w:p>
      <w:pPr>
        <w:pStyle w:val="871"/>
        <w:ind w:firstLine="480"/>
        <w:jc w:val="both"/>
        <w:spacing w:beforeAutospacing="0" w:afterAutospacing="0" w:line="0" w:lineRule="atLeast"/>
        <w:rPr>
          <w:highlight w:val="none"/>
        </w:rPr>
      </w:pPr>
      <w:r>
        <w:rPr>
          <w:highlight w:val="none"/>
        </w:rPr>
        <w:t xml:space="preserve"> </w:t>
      </w:r>
      <w:r>
        <w:rPr>
          <w:highlight w:val="none"/>
        </w:rPr>
      </w:r>
      <w:r/>
    </w:p>
    <w:p>
      <w:pPr>
        <w:pStyle w:val="871"/>
        <w:ind w:firstLine="480"/>
        <w:jc w:val="both"/>
        <w:spacing w:beforeAutospacing="0" w:afterAutospacing="0" w:line="0" w:lineRule="atLeast"/>
        <w:rPr>
          <w:highlight w:val="none"/>
        </w:rPr>
      </w:pPr>
      <w:r>
        <w:rPr>
          <w:highlight w:val="none"/>
        </w:rPr>
        <w:t xml:space="preserve"> </w:t>
      </w:r>
      <w:r>
        <w:rPr>
          <w:highlight w:val="none"/>
        </w:rPr>
      </w:r>
      <w:r/>
    </w:p>
    <w:p>
      <w:pPr>
        <w:pStyle w:val="871"/>
        <w:ind w:firstLine="480"/>
        <w:jc w:val="both"/>
        <w:spacing w:beforeAutospacing="0" w:afterAutospacing="0" w:line="0" w:lineRule="atLeast"/>
        <w:rPr>
          <w:highlight w:val="none"/>
        </w:rPr>
      </w:pPr>
      <w:r>
        <w:rPr>
          <w:highlight w:val="none"/>
        </w:rPr>
        <w:t xml:space="preserve"> </w:t>
      </w:r>
      <w:r>
        <w:rPr>
          <w:highlight w:val="none"/>
        </w:rPr>
      </w:r>
      <w:r/>
    </w:p>
    <w:p>
      <w:pPr>
        <w:pStyle w:val="871"/>
        <w:ind w:firstLine="480"/>
        <w:jc w:val="both"/>
        <w:spacing w:beforeAutospacing="0" w:afterAutospacing="0" w:line="0" w:lineRule="atLeast"/>
        <w:rPr>
          <w:highlight w:val="none"/>
        </w:rPr>
      </w:pPr>
      <w:r>
        <w:rPr>
          <w:highlight w:val="none"/>
        </w:rPr>
        <w:t xml:space="preserve"> </w:t>
      </w:r>
      <w:r>
        <w:rPr>
          <w:highlight w:val="none"/>
        </w:rPr>
      </w:r>
      <w:r/>
    </w:p>
    <w:p>
      <w:pPr>
        <w:pStyle w:val="871"/>
        <w:ind w:firstLine="480"/>
        <w:jc w:val="both"/>
        <w:spacing w:beforeAutospacing="0" w:afterAutospacing="0" w:line="0" w:lineRule="atLeast"/>
        <w:rPr>
          <w:highlight w:val="none"/>
        </w:rPr>
      </w:pPr>
      <w:r>
        <w:rPr>
          <w:highlight w:val="none"/>
        </w:rPr>
      </w:r>
      <w:r>
        <w:rPr>
          <w:highlight w:val="none"/>
        </w:rPr>
      </w:r>
      <w:r/>
    </w:p>
    <w:p>
      <w:pPr>
        <w:pStyle w:val="871"/>
        <w:ind w:firstLine="480"/>
        <w:jc w:val="both"/>
        <w:spacing w:beforeAutospacing="0" w:afterAutospacing="0" w:line="0" w:lineRule="atLeast"/>
        <w:rPr>
          <w:highlight w:val="none"/>
        </w:rPr>
      </w:pPr>
      <w:r>
        <w:rPr>
          <w:highlight w:val="none"/>
        </w:rPr>
      </w:r>
      <w:r>
        <w:rPr>
          <w:highlight w:val="none"/>
        </w:rPr>
      </w:r>
      <w:r/>
    </w:p>
    <w:p>
      <w:pPr>
        <w:pStyle w:val="871"/>
        <w:ind w:firstLine="480"/>
        <w:jc w:val="both"/>
        <w:spacing w:beforeAutospacing="0" w:afterAutospacing="0" w:line="0" w:lineRule="atLeast"/>
        <w:rPr>
          <w:highlight w:val="none"/>
        </w:rPr>
      </w:pPr>
      <w:r>
        <w:rPr>
          <w:highlight w:val="none"/>
        </w:rPr>
      </w:r>
      <w:r>
        <w:rPr>
          <w:highlight w:val="none"/>
        </w:rPr>
      </w:r>
      <w:r/>
    </w:p>
    <w:p>
      <w:pPr>
        <w:pStyle w:val="871"/>
        <w:ind w:firstLine="480"/>
        <w:jc w:val="both"/>
        <w:spacing w:beforeAutospacing="0" w:afterAutospacing="0" w:line="0" w:lineRule="atLeast"/>
        <w:rPr>
          <w:highlight w:val="none"/>
        </w:rPr>
      </w:pPr>
      <w:r>
        <w:rPr>
          <w:highlight w:val="none"/>
        </w:rPr>
      </w:r>
      <w:r>
        <w:rPr>
          <w:highlight w:val="none"/>
        </w:rPr>
      </w:r>
      <w:r/>
    </w:p>
    <w:p>
      <w:pPr>
        <w:pStyle w:val="871"/>
        <w:ind w:firstLine="480"/>
        <w:jc w:val="both"/>
        <w:spacing w:beforeAutospacing="0" w:afterAutospacing="0" w:line="0" w:lineRule="atLeast"/>
        <w:rPr>
          <w:highlight w:val="none"/>
        </w:rPr>
      </w:pPr>
      <w:r>
        <w:rPr>
          <w:highlight w:val="none"/>
        </w:rPr>
      </w:r>
      <w:r>
        <w:rPr>
          <w:highlight w:val="none"/>
        </w:rPr>
      </w:r>
      <w:r/>
    </w:p>
    <w:p>
      <w:pPr>
        <w:pStyle w:val="871"/>
        <w:ind w:firstLine="480"/>
        <w:jc w:val="both"/>
        <w:spacing w:beforeAutospacing="0" w:afterAutospacing="0" w:line="0" w:lineRule="atLeast"/>
        <w:rPr>
          <w:highlight w:val="none"/>
        </w:rPr>
      </w:pPr>
      <w:r>
        <w:rPr>
          <w:highlight w:val="none"/>
        </w:rPr>
      </w:r>
      <w:r>
        <w:rPr>
          <w:highlight w:val="none"/>
        </w:rPr>
      </w:r>
      <w:r/>
    </w:p>
    <w:p>
      <w:pPr>
        <w:pStyle w:val="871"/>
        <w:ind w:firstLine="480"/>
        <w:jc w:val="both"/>
        <w:spacing w:beforeAutospacing="0" w:afterAutospacing="0" w:line="0" w:lineRule="atLeast"/>
        <w:rPr>
          <w:highlight w:val="none"/>
        </w:rPr>
      </w:pPr>
      <w:r>
        <w:rPr>
          <w:highlight w:val="none"/>
        </w:rPr>
      </w:r>
      <w:r>
        <w:rPr>
          <w:highlight w:val="none"/>
        </w:rPr>
      </w:r>
      <w:r/>
    </w:p>
    <w:p>
      <w:pPr>
        <w:pStyle w:val="871"/>
        <w:ind w:firstLine="480"/>
        <w:jc w:val="both"/>
        <w:spacing w:beforeAutospacing="0" w:afterAutospacing="0" w:line="0" w:lineRule="atLeast"/>
        <w:rPr>
          <w:highlight w:val="none"/>
        </w:rPr>
      </w:pPr>
      <w:r>
        <w:rPr>
          <w:highlight w:val="none"/>
        </w:rPr>
      </w:r>
      <w:r>
        <w:rPr>
          <w:highlight w:val="none"/>
        </w:rPr>
      </w:r>
      <w:r/>
    </w:p>
    <w:p>
      <w:pPr>
        <w:pStyle w:val="871"/>
        <w:ind w:firstLine="480"/>
        <w:jc w:val="both"/>
        <w:spacing w:beforeAutospacing="0" w:afterAutospacing="0" w:line="0" w:lineRule="atLeast"/>
        <w:rPr>
          <w:highlight w:val="none"/>
        </w:rPr>
      </w:pPr>
      <w:r>
        <w:rPr>
          <w:highlight w:val="none"/>
        </w:rPr>
      </w:r>
      <w:r>
        <w:rPr>
          <w:highlight w:val="none"/>
        </w:rPr>
      </w:r>
      <w:r/>
    </w:p>
    <w:p>
      <w:pPr>
        <w:pStyle w:val="871"/>
        <w:ind w:firstLine="480"/>
        <w:jc w:val="both"/>
        <w:spacing w:beforeAutospacing="0" w:afterAutospacing="0" w:line="0" w:lineRule="atLeast"/>
        <w:rPr>
          <w:highlight w:val="none"/>
        </w:rPr>
      </w:pPr>
      <w:r>
        <w:rPr>
          <w:highlight w:val="none"/>
        </w:rPr>
      </w:r>
      <w:r>
        <w:rPr>
          <w:highlight w:val="none"/>
        </w:rPr>
      </w:r>
      <w:r/>
    </w:p>
    <w:p>
      <w:pPr>
        <w:pStyle w:val="871"/>
        <w:ind w:firstLine="480"/>
        <w:jc w:val="both"/>
        <w:spacing w:beforeAutospacing="0" w:afterAutospacing="0" w:line="0" w:lineRule="atLeast"/>
        <w:rPr>
          <w:highlight w:val="none"/>
        </w:rPr>
      </w:pPr>
      <w:r>
        <w:rPr>
          <w:highlight w:val="none"/>
        </w:rPr>
        <w:t xml:space="preserve"> </w:t>
      </w:r>
      <w:r>
        <w:rPr>
          <w:highlight w:val="none"/>
        </w:rPr>
      </w:r>
      <w:r/>
    </w:p>
    <w:p>
      <w:pPr>
        <w:ind w:firstLine="64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rPr>
          <w:highlight w:val="none"/>
        </w:rPr>
      </w:r>
      <w:r/>
    </w:p>
    <w:p>
      <w:pPr>
        <w:pStyle w:val="871"/>
        <w:ind w:firstLine="64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rPr>
          <w:highlight w:val="none"/>
        </w:rPr>
      </w:r>
      <w:r/>
    </w:p>
    <w:p>
      <w:pPr>
        <w:pStyle w:val="871"/>
        <w:ind w:firstLine="480"/>
        <w:jc w:val="both"/>
        <w:spacing w:beforeAutospacing="0" w:afterAutospacing="0" w:line="0" w:lineRule="atLeast"/>
        <w:rPr>
          <w:highlight w:val="none"/>
        </w:rPr>
      </w:pPr>
      <w:r>
        <w:rPr>
          <w:highlight w:val="none"/>
        </w:rPr>
        <w:t xml:space="preserve"> </w:t>
      </w:r>
      <w:r>
        <w:rPr>
          <w:highlight w:val="none"/>
        </w:rPr>
      </w:r>
      <w:r/>
    </w:p>
    <w:p>
      <w:pPr>
        <w:pStyle w:val="871"/>
        <w:ind w:firstLine="640"/>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二、上一年度的财务状况报告</w:t>
      </w:r>
      <w:r>
        <w:rPr>
          <w:highlight w:val="none"/>
        </w:rPr>
      </w:r>
      <w:r/>
    </w:p>
    <w:p>
      <w:pPr>
        <w:jc w:val="left"/>
        <w:tabs>
          <w:tab w:val="left" w:pos="1331" w:leader="none"/>
        </w:tabs>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（企业单位至少提供资产负债表、利润表、现金流量表，投标人成立不满一年无需提供；非企业性质的事业单位等可提供财务审计报告等佐证材料。）</w:t>
      </w:r>
      <w:r>
        <w:rPr>
          <w:highlight w:val="none"/>
        </w:rPr>
      </w:r>
      <w:r/>
    </w:p>
    <w:p>
      <w:pPr>
        <w:pStyle w:val="871"/>
        <w:ind w:firstLine="480"/>
        <w:jc w:val="both"/>
        <w:spacing w:beforeAutospacing="0" w:afterAutospacing="0" w:line="0" w:lineRule="atLeast"/>
        <w:rPr>
          <w:highlight w:val="none"/>
        </w:rPr>
      </w:pPr>
      <w:r>
        <w:rPr>
          <w:highlight w:val="none"/>
        </w:rPr>
      </w:r>
      <w:r>
        <w:rPr>
          <w:highlight w:val="none"/>
        </w:rPr>
      </w:r>
      <w:r/>
    </w:p>
    <w:p>
      <w:pPr>
        <w:pStyle w:val="871"/>
        <w:jc w:val="both"/>
        <w:spacing w:beforeAutospacing="0" w:afterAutospacing="0"/>
        <w:rPr>
          <w:highlight w:val="none"/>
        </w:rPr>
      </w:pPr>
      <w:r>
        <w:rPr>
          <w:highlight w:val="none"/>
        </w:rPr>
        <w:t xml:space="preserve"> </w:t>
      </w:r>
      <w:r>
        <w:rPr>
          <w:rFonts w:hint="eastAsia" w:ascii="黑体" w:hAnsi="宋体" w:eastAsia="黑体" w:cs="黑体"/>
          <w:i/>
          <w:color w:val="000000"/>
          <w:sz w:val="32"/>
          <w:szCs w:val="32"/>
          <w:highlight w:val="none"/>
          <w:u w:val="single"/>
        </w:rPr>
        <w:t xml:space="preserve">三、具备履行合同所必需的设备和专业技术能力的书面声明</w:t>
      </w:r>
      <w:r>
        <w:rPr>
          <w:highlight w:val="none"/>
        </w:rPr>
      </w:r>
      <w:r/>
    </w:p>
    <w:p>
      <w:pPr>
        <w:pStyle w:val="87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87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highlight w:val="none"/>
        </w:rPr>
      </w:r>
      <w:r/>
    </w:p>
    <w:p>
      <w:pPr>
        <w:pStyle w:val="87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highlight w:val="none"/>
        </w:rPr>
      </w:r>
      <w:r/>
    </w:p>
    <w:p>
      <w:pPr>
        <w:pStyle w:val="871"/>
        <w:ind w:firstLine="64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四、依法缴纳税收和社会保障资金的相关材料</w:t>
      </w:r>
      <w:r>
        <w:rPr>
          <w:highlight w:val="none"/>
        </w:rPr>
      </w:r>
      <w:r/>
    </w:p>
    <w:p>
      <w:pPr>
        <w:pStyle w:val="871"/>
        <w:ind w:firstLine="480"/>
        <w:jc w:val="both"/>
        <w:spacing w:beforeAutospacing="0" w:afterAutospacing="0"/>
        <w:rPr>
          <w:highlight w:val="none"/>
        </w:rPr>
      </w:pPr>
      <w:r>
        <w:rPr>
          <w:highlight w:val="none"/>
        </w:rPr>
      </w:r>
      <w:bookmarkStart w:id="186"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6"/>
      <w:r>
        <w:rPr>
          <w:highlight w:val="none"/>
        </w:rPr>
      </w:r>
      <w:r/>
    </w:p>
    <w:p>
      <w:pPr>
        <w:pStyle w:val="871"/>
        <w:ind w:firstLine="64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rPr>
          <w:highlight w:val="none"/>
        </w:rPr>
      </w:r>
      <w:r/>
    </w:p>
    <w:p>
      <w:pPr>
        <w:pStyle w:val="871"/>
        <w:ind w:firstLine="883"/>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rPr>
          <w:highlight w:val="none"/>
        </w:rPr>
      </w:r>
      <w:r/>
    </w:p>
    <w:p>
      <w:pPr>
        <w:pStyle w:val="871"/>
        <w:ind w:firstLine="482"/>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ind w:firstLine="64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rPr>
          <w:highlight w:val="none"/>
        </w:rPr>
      </w:r>
      <w:r/>
    </w:p>
    <w:p>
      <w:pPr>
        <w:pStyle w:val="871"/>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rPr>
          <w:highlight w:val="none"/>
        </w:rPr>
      </w:r>
      <w:r/>
    </w:p>
    <w:p>
      <w:pPr>
        <w:pStyle w:val="871"/>
        <w:jc w:val="both"/>
        <w:spacing w:beforeAutospacing="0" w:afterAutospacing="0" w:line="0" w:lineRule="atLeast"/>
        <w:rPr>
          <w:highlight w:val="none"/>
        </w:rPr>
      </w:pPr>
      <w:r>
        <w:rPr>
          <w:highlight w:val="none"/>
        </w:rPr>
        <w:t xml:space="preserve"> </w:t>
      </w:r>
      <w:r>
        <w:rPr>
          <w:highlight w:val="none"/>
        </w:rPr>
      </w:r>
      <w:r/>
    </w:p>
    <w:p>
      <w:pPr>
        <w:pStyle w:val="871"/>
        <w:ind w:firstLine="640"/>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rPr>
          <w:highlight w:val="none"/>
        </w:rPr>
      </w:r>
      <w:r/>
    </w:p>
    <w:p>
      <w:pPr>
        <w:pStyle w:val="871"/>
        <w:ind w:firstLine="640"/>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rPr>
          <w:highlight w:val="none"/>
        </w:rPr>
      </w:r>
      <w:r/>
    </w:p>
    <w:p>
      <w:pPr>
        <w:pStyle w:val="871"/>
        <w:ind w:firstLine="640"/>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rPr>
          <w:highlight w:val="none"/>
        </w:rPr>
      </w:r>
      <w:r/>
    </w:p>
    <w:p>
      <w:pPr>
        <w:ind w:firstLine="64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rPr>
          <w:highlight w:val="none"/>
        </w:rPr>
      </w:r>
      <w:r/>
    </w:p>
    <w:p>
      <w:pPr>
        <w:pStyle w:val="871"/>
        <w:ind w:firstLine="640"/>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rPr>
          <w:highlight w:val="none"/>
        </w:rPr>
      </w:r>
      <w:r/>
    </w:p>
    <w:p>
      <w:pPr>
        <w:pStyle w:val="871"/>
        <w:ind w:firstLine="640"/>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rPr>
          <w:highlight w:val="none"/>
        </w:rPr>
      </w:r>
      <w:r/>
    </w:p>
    <w:p>
      <w:pPr>
        <w:pStyle w:val="87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Times New Roman" w:hAnsi="Times New Roman"/>
          <w:color w:val="000000"/>
          <w:highlight w:val="none"/>
        </w:rPr>
        <w:t xml:space="preserve">JSZC-320922-YCSH-G2026-0006</w:t>
      </w:r>
      <w:r>
        <w:rPr>
          <w:rFonts w:ascii="Times New Roman" w:hAnsi="Times New Roman"/>
          <w:color w:val="000000"/>
          <w:highlight w:val="none"/>
        </w:rPr>
        <w:t xml:space="preserve">号项目采购活动的合法代理人，以本单位名义全权处理一切与该项目采购有关的事务。</w:t>
      </w:r>
      <w:r>
        <w:rPr>
          <w:highlight w:val="none"/>
        </w:rPr>
      </w:r>
      <w:r/>
    </w:p>
    <w:p>
      <w:pPr>
        <w:pStyle w:val="87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rPr>
          <w:highlight w:val="none"/>
        </w:rPr>
      </w:r>
      <w:r/>
    </w:p>
    <w:p>
      <w:pPr>
        <w:pStyle w:val="871"/>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rPr>
          <w:highlight w:val="none"/>
        </w:rPr>
      </w:r>
      <w:r/>
    </w:p>
    <w:p>
      <w:pPr>
        <w:pStyle w:val="871"/>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rPr>
          <w:highlight w:val="none"/>
        </w:rPr>
      </w:r>
      <w:r/>
    </w:p>
    <w:p>
      <w:pPr>
        <w:pStyle w:val="87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rPr>
          <w:highlight w:val="none"/>
        </w:rPr>
      </w:r>
      <w:r/>
    </w:p>
    <w:p>
      <w:pPr>
        <w:pStyle w:val="87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rPr>
          <w:highlight w:val="none"/>
        </w:rPr>
      </w:r>
      <w:r/>
    </w:p>
    <w:p>
      <w:pPr>
        <w:pStyle w:val="87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7" w:name="_Hlt26671380"/>
      <w:r>
        <w:rPr>
          <w:highlight w:val="none"/>
        </w:rPr>
      </w:r>
      <w:bookmarkStart w:id="188" w:name="_格式3__银行出具的资信证明"/>
      <w:r>
        <w:rPr>
          <w:highlight w:val="none"/>
        </w:rPr>
      </w:r>
      <w:bookmarkStart w:id="189" w:name="_Hlt26955070"/>
      <w:r>
        <w:rPr>
          <w:rFonts w:ascii="Times New Roman" w:hAnsi="Times New Roman"/>
          <w:color w:val="000000"/>
          <w:highlight w:val="none"/>
          <w:u w:val="single"/>
        </w:rPr>
        <w:t xml:space="preserve">                                         </w:t>
      </w:r>
      <w:r>
        <w:rPr>
          <w:highlight w:val="none"/>
        </w:rPr>
      </w:r>
      <w:r/>
    </w:p>
    <w:p>
      <w:pPr>
        <w:pStyle w:val="871"/>
        <w:ind w:firstLine="480"/>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line="0" w:lineRule="atLeast"/>
        <w:rPr>
          <w:highlight w:val="none"/>
        </w:rPr>
      </w:pPr>
      <w:r>
        <w:rPr>
          <w:highlight w:val="none"/>
        </w:rPr>
        <w:t xml:space="preserve"> </w:t>
      </w:r>
      <w:r>
        <w:rPr>
          <w:highlight w:val="none"/>
        </w:rPr>
      </w:r>
      <w:r/>
    </w:p>
    <w:p>
      <w:pPr>
        <w:pStyle w:val="871"/>
        <w:ind w:firstLine="482"/>
        <w:jc w:val="center"/>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黑体" w:hAnsi="宋体" w:eastAsia="黑体" w:cs="黑体"/>
          <w:b/>
          <w:color w:val="000000"/>
          <w:sz w:val="32"/>
          <w:szCs w:val="32"/>
          <w:highlight w:val="none"/>
        </w:rPr>
        <w:t xml:space="preserve">八、投标函</w:t>
      </w:r>
      <w:r>
        <w:rPr>
          <w:highlight w:val="none"/>
        </w:rPr>
      </w:r>
      <w:r/>
    </w:p>
    <w:p>
      <w:pPr>
        <w:pStyle w:val="871"/>
        <w:spacing w:beforeAutospacing="0" w:afterAutospacing="0" w:line="0" w:lineRule="atLeast"/>
        <w:rPr>
          <w:rFonts w:eastAsia="宋体"/>
          <w:highlight w:val="none"/>
        </w:rPr>
      </w:pPr>
      <w:r>
        <w:rPr>
          <w:rFonts w:hint="eastAsia" w:ascii="宋体" w:hAnsi="宋体" w:eastAsia="宋体" w:cs="宋体"/>
          <w:color w:val="000000"/>
          <w:highlight w:val="none"/>
        </w:rPr>
        <w:t xml:space="preserve">致：</w:t>
      </w:r>
      <w:r>
        <w:rPr>
          <w:rFonts w:hint="eastAsia" w:ascii="宋体" w:hAnsi="宋体" w:eastAsia="宋体" w:cs="宋体"/>
          <w:color w:val="ff0000"/>
          <w:highlight w:val="none"/>
          <w:u w:val="single"/>
        </w:rPr>
        <w:t xml:space="preserve">              </w:t>
      </w:r>
      <w:r>
        <w:rPr>
          <w:highlight w:val="none"/>
        </w:rPr>
      </w:r>
      <w:r/>
    </w:p>
    <w:p>
      <w:pPr>
        <w:pStyle w:val="871"/>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w:t>
      </w:r>
      <w:r>
        <w:rPr>
          <w:rFonts w:hint="eastAsia" w:ascii="宋体" w:hAnsi="宋体" w:eastAsia="宋体" w:cs="宋体"/>
          <w:color w:val="000000"/>
          <w:highlight w:val="none"/>
        </w:rPr>
        <w:t xml:space="preserve">的JSZC-320922-YCSH-G2026-0006</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rPr>
          <w:highlight w:val="none"/>
        </w:rPr>
      </w:r>
      <w:r/>
    </w:p>
    <w:p>
      <w:pPr>
        <w:pStyle w:val="871"/>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rPr>
          <w:highlight w:val="none"/>
        </w:rPr>
      </w:r>
      <w:r/>
    </w:p>
    <w:p>
      <w:pPr>
        <w:pStyle w:val="871"/>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rPr>
          <w:highlight w:val="none"/>
        </w:rPr>
      </w:r>
      <w:r/>
    </w:p>
    <w:p>
      <w:pPr>
        <w:pStyle w:val="871"/>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rPr>
          <w:highlight w:val="none"/>
        </w:rPr>
      </w:r>
      <w:r/>
    </w:p>
    <w:p>
      <w:pPr>
        <w:pStyle w:val="871"/>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highlight w:val="none"/>
        </w:rPr>
      </w:r>
      <w:r/>
    </w:p>
    <w:p>
      <w:pPr>
        <w:pStyle w:val="871"/>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highlight w:val="none"/>
        </w:rPr>
      </w:r>
      <w:r/>
    </w:p>
    <w:p>
      <w:pPr>
        <w:pStyle w:val="871"/>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highlight w:val="none"/>
        </w:rPr>
      </w:r>
      <w:r/>
    </w:p>
    <w:p>
      <w:pPr>
        <w:pStyle w:val="871"/>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highlight w:val="none"/>
        </w:rPr>
      </w:r>
      <w:r/>
    </w:p>
    <w:p>
      <w:pPr>
        <w:pStyle w:val="871"/>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rPr>
          <w:highlight w:val="none"/>
        </w:rPr>
      </w:r>
      <w:r/>
    </w:p>
    <w:p>
      <w:pPr>
        <w:pStyle w:val="8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rPr>
          <w:highlight w:val="none"/>
        </w:rPr>
      </w:r>
      <w:r/>
    </w:p>
    <w:p>
      <w:pPr>
        <w:pStyle w:val="8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rPr>
          <w:highlight w:val="none"/>
        </w:rPr>
      </w:r>
      <w:r/>
    </w:p>
    <w:p>
      <w:pPr>
        <w:pStyle w:val="8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rPr>
          <w:highlight w:val="none"/>
        </w:rPr>
      </w:r>
      <w:r/>
    </w:p>
    <w:p>
      <w:pPr>
        <w:pStyle w:val="8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rPr>
          <w:highlight w:val="none"/>
        </w:rPr>
      </w:r>
      <w:r/>
    </w:p>
    <w:p>
      <w:pPr>
        <w:pStyle w:val="8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rPr>
          <w:highlight w:val="none"/>
        </w:rPr>
      </w:r>
      <w:r/>
    </w:p>
    <w:p>
      <w:pPr>
        <w:pStyle w:val="8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rPr>
          <w:highlight w:val="none"/>
        </w:rPr>
      </w:r>
      <w:r/>
    </w:p>
    <w:p>
      <w:pPr>
        <w:pStyle w:val="8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rPr>
          <w:highlight w:val="none"/>
        </w:rPr>
      </w:r>
      <w:r/>
    </w:p>
    <w:p>
      <w:pPr>
        <w:pStyle w:val="871"/>
        <w:ind w:firstLine="480"/>
        <w:jc w:val="center"/>
        <w:spacing w:beforeAutospacing="0" w:afterAutospacing="0" w:line="0" w:lineRule="atLeast"/>
        <w:rPr>
          <w:highlight w:val="none"/>
        </w:rPr>
      </w:pPr>
      <w:r>
        <w:rPr>
          <w:highlight w:val="none"/>
        </w:rPr>
        <w:t xml:space="preserve"> </w:t>
      </w:r>
      <w:r>
        <w:rPr>
          <w:highlight w:val="none"/>
        </w:rPr>
      </w:r>
      <w:r/>
    </w:p>
    <w:p>
      <w:pPr>
        <w:pStyle w:val="871"/>
        <w:ind w:firstLine="480"/>
        <w:jc w:val="center"/>
        <w:spacing w:beforeAutospacing="0" w:afterAutospacing="0" w:line="0" w:lineRule="atLeast"/>
        <w:rPr>
          <w:highlight w:val="none"/>
        </w:rPr>
      </w:pPr>
      <w:r>
        <w:rPr>
          <w:highlight w:val="none"/>
        </w:rPr>
        <w:t xml:space="preserve"> </w:t>
      </w:r>
      <w:r>
        <w:rPr>
          <w:highlight w:val="none"/>
        </w:rPr>
      </w:r>
      <w:r/>
    </w:p>
    <w:p>
      <w:pPr>
        <w:pStyle w:val="871"/>
        <w:ind w:firstLine="480"/>
        <w:jc w:val="center"/>
        <w:spacing w:beforeAutospacing="0" w:afterAutospacing="0" w:line="0" w:lineRule="atLeast"/>
        <w:rPr>
          <w:highlight w:val="none"/>
        </w:rPr>
      </w:pPr>
      <w:r>
        <w:rPr>
          <w:highlight w:val="none"/>
        </w:rPr>
        <w:t xml:space="preserve"> </w:t>
      </w:r>
      <w:r>
        <w:rPr>
          <w:highlight w:val="none"/>
        </w:rPr>
      </w:r>
      <w:r/>
    </w:p>
    <w:p>
      <w:pPr>
        <w:pStyle w:val="871"/>
        <w:ind w:firstLine="480"/>
        <w:jc w:val="center"/>
        <w:spacing w:beforeAutospacing="0" w:afterAutospacing="0" w:line="0" w:lineRule="atLeast"/>
        <w:rPr>
          <w:highlight w:val="none"/>
        </w:rPr>
      </w:pPr>
      <w:r>
        <w:rPr>
          <w:highlight w:val="none"/>
        </w:rPr>
        <w:t xml:space="preserve"> </w:t>
      </w:r>
      <w:r>
        <w:rPr>
          <w:highlight w:val="none"/>
        </w:rPr>
      </w:r>
      <w:r/>
    </w:p>
    <w:p>
      <w:pPr>
        <w:pStyle w:val="871"/>
        <w:ind w:firstLine="480"/>
        <w:jc w:val="center"/>
        <w:spacing w:beforeAutospacing="0" w:afterAutospacing="0" w:line="0" w:lineRule="atLeast"/>
        <w:rPr>
          <w:highlight w:val="none"/>
        </w:rPr>
      </w:pPr>
      <w:r>
        <w:rPr>
          <w:highlight w:val="none"/>
        </w:rPr>
        <w:t xml:space="preserve"> </w:t>
      </w:r>
      <w:r>
        <w:rPr>
          <w:highlight w:val="none"/>
        </w:rPr>
      </w:r>
      <w:r/>
    </w:p>
    <w:p>
      <w:pPr>
        <w:pStyle w:val="871"/>
        <w:ind w:firstLine="480"/>
        <w:jc w:val="center"/>
        <w:spacing w:beforeAutospacing="0" w:afterAutospacing="0" w:line="0" w:lineRule="atLeast"/>
        <w:rPr>
          <w:highlight w:val="none"/>
        </w:rPr>
      </w:pPr>
      <w:r>
        <w:rPr>
          <w:highlight w:val="none"/>
        </w:rPr>
      </w:r>
      <w:r>
        <w:rPr>
          <w:highlight w:val="none"/>
        </w:rPr>
      </w:r>
      <w:r/>
    </w:p>
    <w:p>
      <w:pPr>
        <w:pStyle w:val="871"/>
        <w:ind w:firstLine="480"/>
        <w:jc w:val="center"/>
        <w:spacing w:beforeAutospacing="0" w:afterAutospacing="0" w:line="0" w:lineRule="atLeast"/>
        <w:rPr>
          <w:highlight w:val="none"/>
        </w:rPr>
      </w:pPr>
      <w:r>
        <w:rPr>
          <w:highlight w:val="none"/>
        </w:rPr>
      </w:r>
      <w:r>
        <w:rPr>
          <w:highlight w:val="none"/>
        </w:rPr>
      </w:r>
      <w:r/>
    </w:p>
    <w:p>
      <w:pPr>
        <w:pStyle w:val="871"/>
        <w:ind w:firstLine="480"/>
        <w:jc w:val="center"/>
        <w:spacing w:beforeAutospacing="0" w:afterAutospacing="0" w:line="0" w:lineRule="atLeast"/>
        <w:rPr>
          <w:highlight w:val="none"/>
        </w:rPr>
      </w:pPr>
      <w:r>
        <w:rPr>
          <w:highlight w:val="none"/>
        </w:rPr>
      </w:r>
      <w:r>
        <w:rPr>
          <w:highlight w:val="none"/>
        </w:rPr>
      </w:r>
      <w:r/>
    </w:p>
    <w:p>
      <w:pPr>
        <w:pStyle w:val="871"/>
        <w:ind w:firstLine="480"/>
        <w:jc w:val="center"/>
        <w:spacing w:beforeAutospacing="0" w:afterAutospacing="0" w:line="0" w:lineRule="atLeast"/>
        <w:rPr>
          <w:highlight w:val="none"/>
        </w:rPr>
      </w:pPr>
      <w:r>
        <w:rPr>
          <w:highlight w:val="none"/>
        </w:rPr>
      </w:r>
      <w:r>
        <w:rPr>
          <w:highlight w:val="none"/>
        </w:rPr>
      </w:r>
      <w:r/>
    </w:p>
    <w:p>
      <w:pPr>
        <w:pStyle w:val="871"/>
        <w:ind w:firstLine="480"/>
        <w:jc w:val="center"/>
        <w:spacing w:beforeAutospacing="0" w:afterAutospacing="0" w:line="0" w:lineRule="atLeast"/>
        <w:rPr>
          <w:highlight w:val="none"/>
        </w:rPr>
      </w:pPr>
      <w:r>
        <w:rPr>
          <w:highlight w:val="none"/>
        </w:rPr>
      </w:r>
      <w:r>
        <w:rPr>
          <w:highlight w:val="none"/>
        </w:rPr>
      </w:r>
      <w:r/>
    </w:p>
    <w:p>
      <w:pPr>
        <w:pStyle w:val="871"/>
        <w:ind w:firstLine="480"/>
        <w:jc w:val="center"/>
        <w:spacing w:beforeAutospacing="0" w:afterAutospacing="0" w:line="0" w:lineRule="atLeast"/>
        <w:rPr>
          <w:highlight w:val="none"/>
        </w:rPr>
      </w:pPr>
      <w:r>
        <w:rPr>
          <w:highlight w:val="none"/>
        </w:rPr>
      </w:r>
      <w:r>
        <w:rPr>
          <w:highlight w:val="none"/>
        </w:rPr>
      </w:r>
      <w:r/>
    </w:p>
    <w:p>
      <w:pPr>
        <w:pStyle w:val="871"/>
        <w:ind w:firstLine="480"/>
        <w:jc w:val="center"/>
        <w:spacing w:beforeAutospacing="0" w:afterAutospacing="0" w:line="0" w:lineRule="atLeast"/>
        <w:rPr>
          <w:highlight w:val="none"/>
        </w:rPr>
      </w:pPr>
      <w:r>
        <w:rPr>
          <w:highlight w:val="none"/>
        </w:rPr>
      </w:r>
      <w:r>
        <w:rPr>
          <w:highlight w:val="none"/>
        </w:rPr>
      </w:r>
      <w:r/>
    </w:p>
    <w:p>
      <w:pPr>
        <w:pStyle w:val="871"/>
        <w:ind w:firstLine="480"/>
        <w:jc w:val="center"/>
        <w:spacing w:beforeAutospacing="0" w:afterAutospacing="0" w:line="0" w:lineRule="atLeast"/>
        <w:rPr>
          <w:highlight w:val="none"/>
        </w:rPr>
      </w:pPr>
      <w:r>
        <w:rPr>
          <w:highlight w:val="none"/>
        </w:rPr>
      </w:r>
      <w:r>
        <w:rPr>
          <w:highlight w:val="none"/>
        </w:rPr>
      </w:r>
      <w:r/>
    </w:p>
    <w:p>
      <w:pPr>
        <w:pStyle w:val="871"/>
        <w:ind w:firstLine="480"/>
        <w:jc w:val="center"/>
        <w:spacing w:beforeAutospacing="0" w:afterAutospacing="0" w:line="0" w:lineRule="atLeast"/>
        <w:rPr>
          <w:highlight w:val="none"/>
        </w:rPr>
      </w:pPr>
      <w:r>
        <w:rPr>
          <w:highlight w:val="none"/>
        </w:rPr>
      </w:r>
      <w:r>
        <w:rPr>
          <w:highlight w:val="none"/>
        </w:rPr>
      </w:r>
      <w:r/>
    </w:p>
    <w:p>
      <w:pPr>
        <w:pStyle w:val="871"/>
        <w:ind w:firstLine="480"/>
        <w:jc w:val="center"/>
        <w:spacing w:beforeAutospacing="0" w:afterAutospacing="0" w:line="0" w:lineRule="atLeast"/>
        <w:rPr>
          <w:highlight w:val="none"/>
        </w:rPr>
      </w:pPr>
      <w:r>
        <w:rPr>
          <w:highlight w:val="none"/>
        </w:rPr>
      </w:r>
      <w:r>
        <w:rPr>
          <w:highlight w:val="none"/>
        </w:rPr>
      </w:r>
      <w:r/>
    </w:p>
    <w:p>
      <w:pPr>
        <w:pStyle w:val="871"/>
        <w:ind w:firstLine="480"/>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ind w:firstLine="643"/>
        <w:jc w:val="center"/>
        <w:spacing w:beforeAutospacing="0" w:afterAutospacing="0" w:line="0" w:lineRule="atLeast"/>
        <w:rPr>
          <w:highlight w:val="none"/>
        </w:rPr>
      </w:pPr>
      <w:r>
        <w:rPr>
          <w:rFonts w:hint="eastAsia" w:ascii="黑体" w:hAnsi="宋体" w:eastAsia="黑体" w:cs="黑体"/>
          <w:b/>
          <w:sz w:val="32"/>
          <w:szCs w:val="32"/>
          <w:highlight w:val="none"/>
        </w:rPr>
        <w:t xml:space="preserve">九、中小企业声明函（服务）</w:t>
      </w:r>
      <w:r>
        <w:rPr>
          <w:highlight w:val="none"/>
        </w:rPr>
      </w: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本公司（联合体）郑重声明，根据《政府采购促进中小企业发展管理办法》（财库﹝2020﹞46 号）的规定，本公司（联合体）参加</w:t>
      </w:r>
      <w:r>
        <w:rPr>
          <w:rFonts w:hint="eastAsia"/>
          <w:color w:val="ff0000"/>
          <w:sz w:val="24"/>
          <w:highlight w:val="none"/>
        </w:rPr>
        <w:t xml:space="preserve">        </w:t>
      </w:r>
      <w:r>
        <w:rPr>
          <w:rFonts w:hint="eastAsia"/>
          <w:sz w:val="24"/>
          <w:highlight w:val="none"/>
        </w:rPr>
        <w:t xml:space="preserve">组织的</w:t>
      </w:r>
      <w:r>
        <w:rPr>
          <w:rFonts w:hint="eastAsia"/>
          <w:i/>
          <w:iCs/>
          <w:sz w:val="24"/>
          <w:highlight w:val="none"/>
          <w:u w:val="single"/>
        </w:rPr>
        <w:t xml:space="preserve">（单位名称）</w:t>
      </w:r>
      <w:r>
        <w:rPr>
          <w:rFonts w:hint="eastAsia"/>
          <w:sz w:val="24"/>
          <w:szCs w:val="20"/>
          <w:highlight w:val="none"/>
        </w:rPr>
        <w:t xml:space="preserve">，</w:t>
      </w:r>
      <w:r>
        <w:rPr>
          <w:rFonts w:hint="eastAsia"/>
          <w:sz w:val="24"/>
          <w:highlight w:val="none"/>
        </w:rPr>
        <w:t xml:space="preserve">采购编号为JSZC-320922-YCSH-G2026-0006的</w:t>
      </w:r>
      <w:r>
        <w:rPr>
          <w:rFonts w:hint="eastAsia"/>
          <w:i/>
          <w:iCs/>
          <w:sz w:val="24"/>
          <w:highlight w:val="none"/>
          <w:u w:val="single"/>
        </w:rPr>
        <w:t xml:space="preserve">（项目名称）</w:t>
      </w:r>
      <w:r>
        <w:rPr>
          <w:rFonts w:hint="eastAsia"/>
          <w:sz w:val="24"/>
          <w:highlight w:val="none"/>
        </w:rPr>
        <w:t xml:space="preserve">的采购活动，服务全部由符合政策要求的中小企业承接。相关企业（含联合体中的中小企业、签订分包意向协议的中小企业）的具体情况如下：</w:t>
      </w:r>
      <w:r>
        <w:rPr>
          <w:highlight w:val="none"/>
        </w:rPr>
      </w:r>
      <w:r/>
    </w:p>
    <w:p>
      <w:pPr>
        <w:numPr>
          <w:ilvl w:val="0"/>
          <w:numId w:val="2"/>
        </w:numPr>
        <w:ind w:firstLine="480"/>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rPr>
          <w:highlight w:val="none"/>
        </w:rPr>
      </w:r>
      <w:r/>
    </w:p>
    <w:p>
      <w:pPr>
        <w:numPr>
          <w:ilvl w:val="0"/>
          <w:numId w:val="2"/>
        </w:numPr>
        <w:ind w:firstLine="480"/>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rPr>
          <w:highlight w:val="none"/>
        </w:rPr>
      </w:r>
      <w:r/>
    </w:p>
    <w:p>
      <w:pPr>
        <w:ind w:firstLine="480"/>
        <w:spacing w:line="500" w:lineRule="exact"/>
        <w:rPr>
          <w:sz w:val="24"/>
          <w:highlight w:val="none"/>
        </w:rPr>
      </w:pPr>
      <w:r>
        <w:rPr>
          <w:rFonts w:hint="eastAsia"/>
          <w:sz w:val="24"/>
          <w:highlight w:val="none"/>
        </w:rPr>
        <w:t xml:space="preserve">……</w:t>
      </w:r>
      <w:r>
        <w:rPr>
          <w:highlight w:val="none"/>
        </w:rPr>
      </w: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rPr>
          <w:highlight w:val="none"/>
        </w:rPr>
      </w: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rPr>
          <w:highlight w:val="none"/>
        </w:rPr>
      </w:r>
      <w:r/>
    </w:p>
    <w:p>
      <w:pPr>
        <w:pStyle w:val="871"/>
        <w:ind w:right="720"/>
        <w:jc w:val="both"/>
        <w:spacing w:beforeAutospacing="0" w:afterAutospacing="0" w:line="0" w:lineRule="atLeast"/>
        <w:rPr>
          <w:highlight w:val="none"/>
        </w:rPr>
      </w:pPr>
      <w:r>
        <w:rPr>
          <w:highlight w:val="none"/>
        </w:rPr>
        <w:t xml:space="preserve"> </w:t>
      </w:r>
      <w:r>
        <w:rPr>
          <w:highlight w:val="none"/>
        </w:rPr>
      </w:r>
      <w:r/>
    </w:p>
    <w:p>
      <w:pPr>
        <w:pStyle w:val="871"/>
        <w:ind w:right="180" w:firstLine="480"/>
        <w:jc w:val="right"/>
        <w:spacing w:beforeAutospacing="0" w:afterAutospacing="0" w:line="0" w:lineRule="atLeast"/>
        <w:rPr>
          <w:highlight w:val="none"/>
        </w:rPr>
      </w:pPr>
      <w:r>
        <w:rPr>
          <w:rFonts w:hint="eastAsia" w:ascii="宋体" w:hAnsi="宋体" w:eastAsia="宋体" w:cs="宋体"/>
          <w:highlight w:val="none"/>
        </w:rPr>
        <w:t xml:space="preserve">企业名称（加盖CA电子公章）：</w:t>
      </w:r>
      <w:r>
        <w:rPr>
          <w:highlight w:val="none"/>
        </w:rPr>
      </w:r>
      <w:r/>
    </w:p>
    <w:p>
      <w:pPr>
        <w:pStyle w:val="871"/>
        <w:ind w:right="480" w:firstLine="480"/>
        <w:jc w:val="both"/>
        <w:spacing w:beforeAutospacing="0" w:afterAutospacing="0" w:line="0" w:lineRule="atLeast"/>
        <w:rPr>
          <w:highlight w:val="none"/>
        </w:rPr>
      </w:pPr>
      <w:r>
        <w:rPr>
          <w:rFonts w:hint="eastAsia" w:ascii="宋体" w:hAnsi="宋体" w:eastAsia="宋体" w:cs="宋体"/>
          <w:highlight w:val="none"/>
        </w:rPr>
        <w:t xml:space="preserve">日  期：</w:t>
      </w:r>
      <w:r>
        <w:rPr>
          <w:highlight w:val="none"/>
        </w:rPr>
      </w:r>
      <w:r/>
    </w:p>
    <w:p>
      <w:pPr>
        <w:pStyle w:val="871"/>
        <w:ind w:firstLine="480"/>
        <w:jc w:val="both"/>
        <w:spacing w:beforeAutospacing="0" w:afterAutospacing="0" w:line="0" w:lineRule="atLeast"/>
        <w:rPr>
          <w:highlight w:val="none"/>
        </w:rPr>
      </w:pPr>
      <w:r>
        <w:rPr>
          <w:highlight w:val="none"/>
        </w:rPr>
        <w:t xml:space="preserve"> </w:t>
      </w:r>
      <w:r>
        <w:rPr>
          <w:highlight w:val="none"/>
        </w:rPr>
      </w:r>
      <w:r/>
    </w:p>
    <w:p>
      <w:pPr>
        <w:pStyle w:val="871"/>
        <w:ind w:firstLine="480"/>
        <w:jc w:val="both"/>
        <w:spacing w:beforeAutospacing="0" w:afterAutospacing="0" w:line="0" w:lineRule="atLeast"/>
        <w:rPr>
          <w:highlight w:val="none"/>
        </w:rPr>
      </w:pPr>
      <w:r>
        <w:rPr>
          <w:rFonts w:hint="eastAsia" w:ascii="宋体" w:hAnsi="宋体" w:eastAsia="宋体" w:cs="宋体"/>
          <w:highlight w:val="none"/>
        </w:rPr>
        <w:t xml:space="preserve">备注1：从业人员、营业收入、资产总额填报上一年度数据，无上一年度数据的新成立企业可不填报。</w:t>
      </w:r>
      <w:r>
        <w:rPr>
          <w:highlight w:val="none"/>
        </w:rPr>
      </w:r>
      <w:r/>
    </w:p>
    <w:p>
      <w:pPr>
        <w:pStyle w:val="871"/>
        <w:ind w:firstLine="480"/>
        <w:jc w:val="both"/>
        <w:spacing w:beforeAutospacing="0" w:afterAutospacing="0" w:line="0" w:lineRule="atLeast"/>
        <w:rPr>
          <w:highlight w:val="none"/>
        </w:rPr>
      </w:pPr>
      <w:r>
        <w:rPr>
          <w:rFonts w:hint="eastAsia" w:ascii="宋体" w:hAnsi="宋体" w:eastAsia="宋体" w:cs="宋体"/>
          <w:highlight w:val="none"/>
        </w:rPr>
        <w:t xml:space="preserve">备注2：供应商如不提供此声明函，价格将不做相应扣除（如项目全面面向中小企业，则资格审查不通过）。</w:t>
      </w:r>
      <w:r>
        <w:rPr>
          <w:highlight w:val="none"/>
        </w:rPr>
      </w:r>
      <w:r/>
    </w:p>
    <w:p>
      <w:pPr>
        <w:pStyle w:val="871"/>
        <w:ind w:firstLine="643"/>
        <w:jc w:val="center"/>
        <w:spacing w:beforeAutospacing="0" w:afterAutospacing="0" w:line="0" w:lineRule="atLeast"/>
        <w:rPr>
          <w:highlight w:val="none"/>
        </w:rPr>
      </w:pPr>
      <w:r>
        <w:rPr>
          <w:rFonts w:hint="eastAsia" w:ascii="黑体" w:hAnsi="宋体" w:eastAsia="黑体" w:cs="黑体"/>
          <w:b/>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rPr>
          <w:highlight w:val="none"/>
        </w:rPr>
      </w:r>
      <w:r/>
    </w:p>
    <w:p>
      <w:pPr>
        <w:pStyle w:val="87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highlight w:val="none"/>
        </w:rPr>
        <w:t xml:space="preserve">JSZC-320922-YCSH-G2026-0006</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rPr>
          <w:highlight w:val="none"/>
        </w:rPr>
      </w:r>
      <w:r/>
    </w:p>
    <w:p>
      <w:pPr>
        <w:pStyle w:val="87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rPr>
          <w:highlight w:val="none"/>
        </w:rPr>
      </w:r>
      <w:r/>
    </w:p>
    <w:p>
      <w:pPr>
        <w:pStyle w:val="871"/>
        <w:ind w:firstLine="480"/>
        <w:jc w:val="both"/>
        <w:spacing w:beforeAutospacing="0" w:afterAutospacing="0" w:line="0" w:lineRule="atLeast"/>
        <w:rPr>
          <w:highlight w:val="none"/>
        </w:rPr>
      </w:pPr>
      <w:r>
        <w:rPr>
          <w:highlight w:val="none"/>
        </w:rPr>
        <w:t xml:space="preserve"> </w:t>
      </w:r>
      <w:r>
        <w:rPr>
          <w:highlight w:val="none"/>
        </w:rPr>
      </w:r>
      <w:r/>
    </w:p>
    <w:p>
      <w:pPr>
        <w:pStyle w:val="871"/>
        <w:ind w:firstLine="480"/>
        <w:jc w:val="both"/>
        <w:spacing w:beforeAutospacing="0" w:afterAutospacing="0" w:line="0" w:lineRule="atLeast"/>
        <w:rPr>
          <w:rFonts w:eastAsia="宋体"/>
          <w:highlight w:val="none"/>
        </w:rPr>
      </w:pPr>
      <w:r>
        <w:rPr>
          <w:rFonts w:hint="eastAsia" w:ascii="宋体" w:hAnsi="宋体" w:eastAsia="宋体" w:cs="宋体"/>
          <w:color w:val="000000"/>
          <w:highlight w:val="none"/>
        </w:rPr>
        <w:t xml:space="preserve">备注：1、供应商如不提供此声明函，价格将不做相应扣除（如项目全面面向中小企业，则资格审查不通过）。</w:t>
      </w:r>
      <w:r>
        <w:rPr>
          <w:highlight w:val="none"/>
        </w:rPr>
      </w:r>
      <w:r/>
    </w:p>
    <w:p>
      <w:pPr>
        <w:pStyle w:val="87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rPr>
          <w:highlight w:val="none"/>
        </w:rPr>
      </w:r>
      <w:r/>
    </w:p>
    <w:p>
      <w:pPr>
        <w:pStyle w:val="871"/>
        <w:ind w:firstLine="480"/>
        <w:jc w:val="both"/>
        <w:spacing w:beforeAutospacing="0" w:afterAutospacing="0" w:line="0" w:lineRule="atLeast"/>
        <w:rPr>
          <w:highlight w:val="none"/>
        </w:rPr>
      </w:pPr>
      <w:r>
        <w:rPr>
          <w:highlight w:val="none"/>
        </w:rPr>
        <w:t xml:space="preserve"> </w:t>
      </w:r>
      <w:r>
        <w:rPr>
          <w:highlight w:val="none"/>
        </w:rPr>
      </w:r>
      <w:r/>
    </w:p>
    <w:p>
      <w:pPr>
        <w:pStyle w:val="871"/>
        <w:ind w:right="1560" w:firstLine="600"/>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highlight w:val="none"/>
        </w:rPr>
      </w:r>
      <w:r/>
    </w:p>
    <w:p>
      <w:pPr>
        <w:pStyle w:val="871"/>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jc w:val="center"/>
        <w:spacing w:beforeAutospacing="0" w:afterAutospacing="0" w:line="0" w:lineRule="atLeast"/>
        <w:rPr>
          <w:highlight w:val="none"/>
        </w:rPr>
      </w:pPr>
      <w:r>
        <w:rPr>
          <w:highlight w:val="none"/>
        </w:rPr>
        <w:t xml:space="preserve"> </w:t>
      </w:r>
      <w:r>
        <w:rPr>
          <w:highlight w:val="none"/>
        </w:rPr>
      </w:r>
      <w:r/>
    </w:p>
    <w:p>
      <w:pPr>
        <w:pStyle w:val="871"/>
        <w:ind w:firstLine="643"/>
        <w:jc w:val="center"/>
        <w:spacing w:beforeAutospacing="0" w:afterAutospacing="0"/>
        <w:rPr>
          <w:highlight w:val="none"/>
        </w:rPr>
      </w:pPr>
      <w:r>
        <w:rPr>
          <w:rFonts w:hint="eastAsia" w:ascii="黑体" w:hAnsi="宋体" w:eastAsia="黑体" w:cs="黑体"/>
          <w:b/>
          <w:color w:val="000000"/>
          <w:sz w:val="32"/>
          <w:szCs w:val="32"/>
          <w:highlight w:val="none"/>
        </w:rPr>
        <w:t xml:space="preserve">十一、投标分项报价表</w:t>
      </w:r>
      <w:r>
        <w:rPr>
          <w:highlight w:val="none"/>
        </w:rPr>
      </w:r>
      <w:r/>
    </w:p>
    <w:tbl>
      <w:tblPr>
        <w:tblStyle w:val="86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6</w:t>
            </w:r>
            <w:r>
              <w:rPr>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rPr>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rPr>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rPr>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rPr>
                <w:highlight w:val="none"/>
              </w:rPr>
            </w:r>
            <w:r/>
          </w:p>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rPr>
                <w:highlight w:val="none"/>
              </w:rPr>
            </w:r>
            <w:r/>
          </w:p>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rPr>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1"/>
              <w:jc w:val="center"/>
              <w:spacing w:beforeAutospacing="0" w:afterAutospacing="0" w:line="0" w:lineRule="atLeast"/>
              <w:rPr>
                <w:highlight w:val="none"/>
              </w:rPr>
            </w:pPr>
            <w:r>
              <w:rPr>
                <w:highlight w:val="none"/>
              </w:rPr>
              <w:t xml:space="preserve"> </w:t>
            </w:r>
            <w:r>
              <w:rPr>
                <w:highlight w:val="none"/>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71"/>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1"/>
              <w:jc w:val="both"/>
              <w:spacing w:beforeAutospacing="0" w:afterAutospacing="0" w:line="0" w:lineRule="atLeast"/>
              <w:rPr>
                <w:highlight w:val="none"/>
              </w:rPr>
            </w:pPr>
            <w:r>
              <w:rPr>
                <w:highlight w:val="none"/>
              </w:rPr>
              <w:t xml:space="preserve"> </w:t>
            </w:r>
            <w:r>
              <w:rPr>
                <w:highlight w:val="none"/>
              </w:rPr>
            </w:r>
            <w:r/>
          </w:p>
        </w:tc>
      </w:tr>
    </w:tbl>
    <w:p>
      <w:pPr>
        <w:pStyle w:val="871"/>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highlight w:val="none"/>
        </w:rPr>
      </w:r>
      <w:r/>
    </w:p>
    <w:p>
      <w:pPr>
        <w:pStyle w:val="871"/>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备注：该表仅适用于项目采用货币报价的情形。项目采用折扣率报价的，如需要填写投标分项报价表，请项目经办人自行设计表格。招标文件定稿后该备注删除。</w:t>
      </w:r>
      <w:r>
        <w:rPr>
          <w:highlight w:val="none"/>
        </w:rPr>
      </w:r>
      <w:r/>
    </w:p>
    <w:p>
      <w:pPr>
        <w:ind w:firstLine="643"/>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rPr>
          <w:highlight w:val="none"/>
        </w:rPr>
      </w:r>
      <w:r/>
    </w:p>
    <w:p>
      <w:pPr>
        <w:pStyle w:val="871"/>
        <w:ind w:firstLine="643"/>
        <w:jc w:val="center"/>
        <w:spacing w:beforeAutospacing="0" w:afterAutospacing="0"/>
        <w:rPr>
          <w:highlight w:val="none"/>
        </w:rPr>
      </w:pPr>
      <w:r>
        <w:rPr>
          <w:rFonts w:hint="eastAsia" w:ascii="黑体" w:hAnsi="宋体" w:eastAsia="黑体" w:cs="黑体"/>
          <w:b/>
          <w:color w:val="000000"/>
          <w:sz w:val="32"/>
          <w:szCs w:val="32"/>
          <w:highlight w:val="none"/>
        </w:rPr>
        <w:t xml:space="preserve">十二、技术要求响应及偏离表</w:t>
      </w:r>
      <w:r>
        <w:rPr>
          <w:highlight w:val="none"/>
        </w:rPr>
      </w:r>
      <w:r/>
    </w:p>
    <w:tbl>
      <w:tblPr>
        <w:tblStyle w:val="8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none"/>
              </w:rPr>
            </w:pPr>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871"/>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bl>
    <w:p>
      <w:pPr>
        <w:pStyle w:val="871"/>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r/>
    </w:p>
    <w:p>
      <w:pPr>
        <w:pStyle w:val="871"/>
        <w:jc w:val="center"/>
        <w:spacing w:beforeAutospacing="0" w:afterAutospacing="0"/>
        <w:rPr>
          <w:highlight w:val="none"/>
        </w:rPr>
      </w:pPr>
      <w:r>
        <w:rPr>
          <w:highlight w:val="none"/>
        </w:rPr>
        <w:t xml:space="preserve"> </w:t>
      </w:r>
      <w:r>
        <w:rPr>
          <w:highlight w:val="none"/>
        </w:rPr>
      </w:r>
      <w:r/>
    </w:p>
    <w:p>
      <w:pPr>
        <w:pStyle w:val="871"/>
        <w:jc w:val="center"/>
        <w:spacing w:beforeAutospacing="0" w:afterAutospacing="0"/>
        <w:rPr>
          <w:highlight w:val="none"/>
        </w:rPr>
      </w:pPr>
      <w:r>
        <w:rPr>
          <w:highlight w:val="none"/>
        </w:rPr>
        <w:t xml:space="preserve"> </w:t>
      </w:r>
      <w:r>
        <w:rPr>
          <w:highlight w:val="none"/>
        </w:rPr>
      </w:r>
      <w:r/>
    </w:p>
    <w:p>
      <w:pPr>
        <w:pStyle w:val="871"/>
        <w:jc w:val="center"/>
        <w:spacing w:beforeAutospacing="0" w:afterAutospacing="0"/>
        <w:rPr>
          <w:highlight w:val="none"/>
        </w:rPr>
      </w:pPr>
      <w:r>
        <w:rPr>
          <w:highlight w:val="none"/>
        </w:rPr>
        <w:t xml:space="preserve"> </w:t>
      </w:r>
      <w:r>
        <w:rPr>
          <w:highlight w:val="none"/>
        </w:rPr>
      </w:r>
      <w:r/>
    </w:p>
    <w:p>
      <w:pPr>
        <w:pStyle w:val="871"/>
        <w:jc w:val="center"/>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ind w:firstLine="643"/>
        <w:jc w:val="center"/>
        <w:spacing w:beforeAutospacing="0" w:afterAutospacing="0"/>
        <w:rPr>
          <w:highlight w:val="none"/>
        </w:rPr>
      </w:pPr>
      <w:r>
        <w:rPr>
          <w:highlight w:val="none"/>
        </w:rPr>
      </w:r>
      <w:bookmarkStart w:id="190" w:name="_Hlt26955054"/>
      <w:r>
        <w:rPr>
          <w:rFonts w:hint="eastAsia" w:ascii="黑体" w:hAnsi="宋体" w:eastAsia="黑体" w:cs="黑体"/>
          <w:b/>
          <w:color w:val="000000"/>
          <w:sz w:val="32"/>
          <w:szCs w:val="32"/>
          <w:highlight w:val="none"/>
        </w:rPr>
        <w:t xml:space="preserve">十三、商务要求响应及偏离表</w:t>
      </w:r>
      <w:r>
        <w:rPr>
          <w:highlight w:val="none"/>
        </w:rPr>
      </w:r>
      <w:r/>
    </w:p>
    <w:tbl>
      <w:tblPr>
        <w:tblStyle w:val="8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1"/>
              <w:jc w:val="center"/>
              <w:spacing w:beforeAutospacing="0" w:afterAutospacing="0"/>
              <w:rPr>
                <w:highlight w:val="none"/>
              </w:rPr>
            </w:pPr>
            <w:r>
              <w:rPr>
                <w:highlight w:val="none"/>
              </w:rPr>
            </w:r>
            <w:bookmarkStart w:id="191" w:name="_Hlt26782999"/>
            <w:r>
              <w:rPr>
                <w:highlight w:val="none"/>
              </w:rPr>
            </w:r>
            <w:bookmarkStart w:id="192" w:name="_Hlt26955056"/>
            <w:r>
              <w:rPr>
                <w:highlight w:val="none"/>
              </w:rPr>
            </w:r>
            <w:bookmarkStart w:id="193" w:name="_Hlt26955064"/>
            <w:r>
              <w:rPr>
                <w:highlight w:val="none"/>
              </w:rPr>
            </w:r>
            <w:bookmarkStart w:id="194" w:name="_Hlt26580838"/>
            <w:r>
              <w:rPr>
                <w:highlight w:val="none"/>
              </w:rPr>
            </w:r>
            <w:bookmarkStart w:id="195" w:name="_Hlt24879081"/>
            <w:r>
              <w:rPr>
                <w:highlight w:val="none"/>
              </w:rPr>
            </w:r>
            <w:bookmarkStart w:id="196" w:name="_Hlt26609391"/>
            <w:r>
              <w:rPr>
                <w:highlight w:val="none"/>
              </w:rPr>
            </w:r>
            <w:bookmarkStart w:id="197" w:name="_Hlt26671343"/>
            <w:r>
              <w:rPr>
                <w:highlight w:val="none"/>
              </w:rPr>
            </w:r>
            <w:bookmarkStart w:id="198" w:name="_Hlt26671372"/>
            <w:r>
              <w:rPr>
                <w:rFonts w:hint="eastAsia" w:ascii="宋体" w:hAnsi="宋体" w:eastAsia="宋体" w:cs="宋体"/>
                <w:color w:val="000000"/>
                <w:highlight w:val="none"/>
              </w:rPr>
              <w:t xml:space="preserve">序号</w:t>
            </w:r>
            <w:bookmarkEnd w:id="191"/>
            <w:r/>
            <w:bookmarkEnd w:id="192"/>
            <w:r/>
            <w:bookmarkEnd w:id="193"/>
            <w:r/>
            <w:bookmarkEnd w:id="194"/>
            <w:r/>
            <w:bookmarkEnd w:id="195"/>
            <w:r/>
            <w:bookmarkEnd w:id="196"/>
            <w:r/>
            <w:bookmarkEnd w:id="197"/>
            <w:r/>
            <w:bookmarkEnd w:id="198"/>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1"/>
              <w:jc w:val="center"/>
              <w:spacing w:beforeAutospacing="0" w:afterAutospacing="0"/>
              <w:rPr>
                <w:highlight w:val="none"/>
              </w:rPr>
            </w:pPr>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1"/>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1"/>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1"/>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871"/>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1"/>
              <w:jc w:val="center"/>
              <w:spacing w:beforeAutospacing="0" w:afterAutospacing="0"/>
              <w:rPr>
                <w:highlight w:val="none"/>
              </w:rPr>
            </w:pPr>
            <w:r>
              <w:rPr>
                <w:highlight w:val="none"/>
              </w:rPr>
              <w:t xml:space="preserve"> </w:t>
            </w:r>
            <w:r>
              <w:rPr>
                <w:highlight w:val="none"/>
              </w:rPr>
            </w:r>
            <w:r/>
          </w:p>
        </w:tc>
      </w:tr>
    </w:tbl>
    <w:p>
      <w:pPr>
        <w:pStyle w:val="871"/>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r/>
    </w:p>
    <w:p>
      <w:pPr>
        <w:pStyle w:val="871"/>
        <w:jc w:val="both"/>
        <w:spacing w:beforeAutospacing="0" w:afterAutospacing="0" w:line="480" w:lineRule="auto"/>
        <w:rPr>
          <w:highlight w:val="none"/>
        </w:rPr>
      </w:pPr>
      <w:r>
        <w:rPr>
          <w:highlight w:val="none"/>
        </w:rPr>
        <w:t xml:space="preserve"> </w:t>
      </w:r>
      <w:r>
        <w:rPr>
          <w:highlight w:val="none"/>
        </w:rPr>
      </w:r>
      <w:r/>
    </w:p>
    <w:p>
      <w:pPr>
        <w:pStyle w:val="871"/>
        <w:jc w:val="both"/>
        <w:spacing w:beforeAutospacing="0" w:afterAutospacing="0" w:line="480" w:lineRule="auto"/>
        <w:rPr>
          <w:highlight w:val="none"/>
        </w:rPr>
      </w:pPr>
      <w:r>
        <w:rPr>
          <w:highlight w:val="none"/>
        </w:rPr>
        <w:t xml:space="preserve"> </w:t>
      </w:r>
      <w:r>
        <w:rPr>
          <w:highlight w:val="none"/>
        </w:rPr>
      </w:r>
      <w:r/>
    </w:p>
    <w:p>
      <w:pPr>
        <w:pStyle w:val="871"/>
        <w:jc w:val="center"/>
        <w:spacing w:beforeAutospacing="0" w:afterAutospacing="0"/>
        <w:rPr>
          <w:highlight w:val="none"/>
        </w:rPr>
      </w:pPr>
      <w:r>
        <w:rPr>
          <w:highlight w:val="none"/>
        </w:rPr>
      </w:r>
      <w:bookmarkStart w:id="199" w:name="_Hlt26671374"/>
      <w:r>
        <w:rPr>
          <w:highlight w:val="none"/>
        </w:rPr>
      </w:r>
      <w:bookmarkStart w:id="200" w:name="_Hlt26609389"/>
      <w:r>
        <w:rPr>
          <w:highlight w:val="none"/>
        </w:rPr>
      </w:r>
      <w:bookmarkStart w:id="201" w:name="_Hlt26955066"/>
      <w:r>
        <w:rPr>
          <w:highlight w:val="none"/>
        </w:rPr>
      </w:r>
      <w:bookmarkStart w:id="202" w:name="_格式2__法定代表人授权书"/>
      <w:r>
        <w:rPr>
          <w:highlight w:val="none"/>
        </w:rPr>
      </w:r>
      <w:bookmarkStart w:id="203" w:name="_Toc462564146"/>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t xml:space="preserve"> </w:t>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jc w:val="both"/>
        <w:spacing w:beforeAutospacing="0" w:afterAutospacing="0"/>
        <w:rPr>
          <w:highlight w:val="none"/>
        </w:rPr>
      </w:pPr>
      <w:r>
        <w:rPr>
          <w:highlight w:val="none"/>
        </w:rPr>
      </w:r>
      <w:r>
        <w:rPr>
          <w:highlight w:val="none"/>
        </w:rPr>
      </w:r>
      <w:r/>
    </w:p>
    <w:p>
      <w:pPr>
        <w:pStyle w:val="871"/>
        <w:ind w:firstLine="643"/>
        <w:jc w:val="center"/>
        <w:spacing w:beforeAutospacing="0" w:afterAutospacing="0"/>
        <w:rPr>
          <w:highlight w:val="none"/>
        </w:rPr>
      </w:pPr>
      <w:r>
        <w:rPr>
          <w:rFonts w:hint="eastAsia" w:ascii="黑体" w:hAnsi="宋体" w:eastAsia="黑体" w:cs="黑体"/>
          <w:b/>
          <w:i/>
          <w:sz w:val="32"/>
          <w:szCs w:val="32"/>
          <w:highlight w:val="none"/>
          <w:u w:val="single"/>
        </w:rPr>
        <w:t xml:space="preserve">十四、开标一览表</w:t>
      </w:r>
      <w:r>
        <w:rPr>
          <w:highlight w:val="none"/>
        </w:rPr>
      </w:r>
      <w:r/>
    </w:p>
    <w:p>
      <w:pPr>
        <w:pStyle w:val="871"/>
        <w:ind w:firstLine="480"/>
        <w:jc w:val="both"/>
        <w:spacing w:beforeAutospacing="0" w:afterAutospacing="0"/>
        <w:rPr>
          <w:highlight w:val="none"/>
        </w:rPr>
      </w:pPr>
      <w:r>
        <w:rPr>
          <w:rFonts w:hint="eastAsia" w:ascii="宋体" w:hAnsi="宋体" w:eastAsia="宋体" w:cs="宋体"/>
          <w:highlight w:val="none"/>
        </w:rPr>
        <w:t xml:space="preserve">投标人全称（加盖CA电子签章）：</w:t>
      </w:r>
      <w:r>
        <w:rPr>
          <w:highlight w:val="none"/>
        </w:rPr>
      </w:r>
      <w:r/>
    </w:p>
    <w:p>
      <w:pPr>
        <w:pStyle w:val="871"/>
        <w:ind w:firstLine="480"/>
        <w:jc w:val="both"/>
        <w:spacing w:beforeAutospacing="0" w:afterAutospacing="0"/>
        <w:rPr>
          <w:highlight w:val="none"/>
        </w:rPr>
      </w:pPr>
      <w:r>
        <w:rPr>
          <w:rFonts w:hint="eastAsia" w:ascii="宋体" w:hAnsi="宋体" w:eastAsia="宋体" w:cs="宋体"/>
          <w:highlight w:val="none"/>
        </w:rPr>
        <w:t xml:space="preserve">项目名称：</w:t>
      </w:r>
      <w:r>
        <w:rPr>
          <w:highlight w:val="none"/>
        </w:rPr>
      </w:r>
      <w:r/>
    </w:p>
    <w:p>
      <w:pPr>
        <w:pStyle w:val="871"/>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项目编号：</w:t>
      </w:r>
      <w:r>
        <w:rPr>
          <w:highlight w:val="none"/>
        </w:rPr>
      </w:r>
      <w:r/>
    </w:p>
    <w:p>
      <w:pPr>
        <w:pStyle w:val="871"/>
        <w:ind w:firstLine="480"/>
        <w:jc w:val="both"/>
        <w:spacing w:beforeAutospacing="0" w:afterAutospacing="0"/>
        <w:rPr>
          <w:highlight w:val="none"/>
        </w:rPr>
      </w:pPr>
      <w:r>
        <w:rPr>
          <w:rFonts w:hint="eastAsia" w:ascii="宋体" w:hAnsi="宋体" w:eastAsia="宋体" w:cs="宋体"/>
          <w:highlight w:val="none"/>
        </w:rPr>
        <w:t xml:space="preserve">分包号：</w:t>
      </w:r>
      <w:r>
        <w:rPr>
          <w:highlight w:val="none"/>
        </w:rPr>
      </w:r>
      <w:r/>
    </w:p>
    <w:tbl>
      <w:tblPr>
        <w:tblStyle w:val="86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71"/>
              <w:jc w:val="center"/>
              <w:spacing w:beforeAutospacing="0" w:afterAutospacing="0"/>
              <w:rPr>
                <w:highlight w:val="none"/>
              </w:rPr>
            </w:pPr>
            <w:r>
              <w:rPr>
                <w:rFonts w:hint="eastAsia" w:ascii="宋体" w:hAnsi="宋体" w:eastAsia="宋体" w:cs="宋体"/>
                <w:highlight w:val="none"/>
              </w:rPr>
              <w:t xml:space="preserve">投标总报价</w:t>
            </w:r>
            <w:r>
              <w:rPr>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71"/>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大写：</w:t>
            </w:r>
            <w:r>
              <w:rPr>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71"/>
              <w:spacing w:beforeAutospacing="0" w:afterAutospacing="0" w:line="0" w:lineRule="atLeast"/>
              <w:rPr>
                <w:highlight w:val="none"/>
              </w:rPr>
            </w:pPr>
            <w:r>
              <w:rPr>
                <w:rFonts w:hint="eastAsia" w:ascii="宋体" w:hAnsi="宋体" w:eastAsia="宋体" w:cs="宋体"/>
                <w:highlight w:val="none"/>
              </w:rPr>
              <w:t xml:space="preserve">小写：                        （人民币：元）</w:t>
            </w:r>
            <w:r>
              <w:rPr>
                <w:highlight w:val="none"/>
              </w:rPr>
            </w:r>
            <w:r/>
          </w:p>
        </w:tc>
      </w:tr>
    </w:tbl>
    <w:p>
      <w:pPr>
        <w:pStyle w:val="871"/>
        <w:jc w:val="both"/>
        <w:spacing w:beforeAutospacing="0" w:afterAutospacing="0"/>
        <w:rPr>
          <w:highlight w:val="none"/>
        </w:rPr>
      </w:pPr>
      <w:r>
        <w:rPr>
          <w:highlight w:val="none"/>
        </w:rPr>
        <w:t xml:space="preserve"> </w:t>
      </w:r>
      <w:r>
        <w:rPr>
          <w:highlight w:val="none"/>
        </w:rPr>
      </w:r>
      <w:r/>
    </w:p>
    <w:p>
      <w:pPr>
        <w:pStyle w:val="871"/>
        <w:ind w:firstLine="480"/>
        <w:jc w:val="both"/>
        <w:spacing w:beforeAutospacing="0" w:afterAutospacing="0"/>
        <w:rPr>
          <w:highlight w:val="none"/>
        </w:rPr>
      </w:pPr>
      <w:r>
        <w:rPr>
          <w:rFonts w:hint="eastAsia" w:ascii="宋体" w:hAnsi="宋体" w:eastAsia="宋体" w:cs="宋体"/>
          <w:highlight w:val="none"/>
        </w:rPr>
        <w:t xml:space="preserve">                                              日期：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w:t>
      </w:r>
      <w:r>
        <w:rPr>
          <w:highlight w:val="none"/>
        </w:rPr>
      </w:r>
      <w:r/>
    </w:p>
    <w:p>
      <w:pPr>
        <w:pStyle w:val="871"/>
        <w:ind w:firstLine="480"/>
        <w:jc w:val="both"/>
        <w:spacing w:beforeAutospacing="0" w:afterAutospacing="0"/>
        <w:rPr>
          <w:highlight w:val="none"/>
        </w:rPr>
      </w:pPr>
      <w:r>
        <w:rPr>
          <w:highlight w:val="none"/>
        </w:rPr>
        <w:t xml:space="preserve"> </w:t>
      </w:r>
      <w:r>
        <w:rPr>
          <w:highlight w:val="none"/>
        </w:rPr>
      </w:r>
      <w:r/>
    </w:p>
    <w:p>
      <w:pPr>
        <w:ind w:firstLine="480"/>
        <w:jc w:val="center"/>
        <w:spacing w:before="50" w:after="50"/>
        <w:rPr>
          <w:highlight w:val="none"/>
        </w:rPr>
      </w:pPr>
      <w:r>
        <w:rPr>
          <w:highlight w:val="none"/>
        </w:rPr>
        <w:tab/>
      </w:r>
      <w:r>
        <w:rPr>
          <w:highlight w:val="none"/>
        </w:rPr>
      </w:r>
      <w:r/>
    </w:p>
    <w:p>
      <w:pPr>
        <w:ind w:firstLine="480"/>
        <w:jc w:val="center"/>
        <w:spacing w:before="50" w:after="50"/>
        <w:rPr>
          <w:highlight w:val="none"/>
        </w:rPr>
      </w:pPr>
      <w:r>
        <w:rPr>
          <w:highlight w:val="none"/>
        </w:rPr>
      </w:r>
      <w:r>
        <w:rPr>
          <w:highlight w:val="none"/>
        </w:rPr>
      </w:r>
      <w:r/>
    </w:p>
    <w:p>
      <w:pPr>
        <w:ind w:firstLine="643"/>
        <w:jc w:val="center"/>
        <w:spacing w:before="50" w:after="50"/>
        <w:rPr>
          <w:rFonts w:hint="eastAsia"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十五、技术方案、服务承诺等</w:t>
      </w:r>
      <w:r>
        <w:rPr>
          <w:highlight w:val="none"/>
        </w:rPr>
      </w:r>
      <w:r/>
    </w:p>
    <w:p>
      <w:pPr>
        <w:pStyle w:val="871"/>
        <w:jc w:val="both"/>
        <w:spacing w:beforeAutospacing="0" w:afterAutospacing="0"/>
        <w:tabs>
          <w:tab w:val="left" w:pos="2160" w:leader="none"/>
        </w:tabs>
        <w:rPr>
          <w:highlight w:val="none"/>
        </w:rPr>
      </w:pPr>
      <w:r>
        <w:rPr>
          <w:highlight w:val="none"/>
        </w:rPr>
      </w:r>
      <w:r>
        <w:rPr>
          <w:highlight w:val="none"/>
        </w:rPr>
      </w: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r/>
    </w:p>
    <w:p>
      <w:pPr>
        <w:ind w:firstLine="640"/>
        <w:spacing w:line="499" w:lineRule="atLeas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highlight w:val="none"/>
        </w:rPr>
      </w:r>
      <w:r/>
    </w:p>
    <w:p>
      <w:pPr>
        <w:ind w:firstLine="643"/>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highlight w:val="none"/>
        </w:rPr>
      </w:r>
      <w:r/>
    </w:p>
    <w:p>
      <w:pPr>
        <w:ind w:firstLine="643"/>
        <w:spacing w:line="499" w:lineRule="atLeast"/>
        <w:rPr>
          <w:rFonts w:hint="eastAsia"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十六、盐城市政府采购事前信用承诺书</w:t>
      </w:r>
      <w:r>
        <w:rPr>
          <w:highlight w:val="none"/>
        </w:rPr>
      </w:r>
      <w:r/>
    </w:p>
    <w:p>
      <w:pPr>
        <w:ind w:firstLine="640"/>
        <w:jc w:val="left"/>
        <w:spacing w:line="499" w:lineRule="atLeast"/>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 </w:t>
      </w:r>
      <w:r>
        <w:rPr>
          <w:highlight w:val="none"/>
        </w:rPr>
      </w:r>
      <w:r/>
    </w:p>
    <w:p>
      <w:pPr>
        <w:ind w:firstLine="480"/>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highlight w:val="none"/>
        </w:rPr>
      </w: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highlight w:val="none"/>
        </w:rPr>
      </w:r>
      <w:r/>
    </w:p>
    <w:p>
      <w:pPr>
        <w:ind w:firstLine="480"/>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highlight w:val="none"/>
        </w:rPr>
      </w: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highlight w:val="none"/>
        </w:rPr>
      </w: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（四）严格遵守即时信息公示规定，及时维护和更新盐城市政府采购网中与本单位相关的信息；</w:t>
      </w:r>
      <w:r>
        <w:rPr>
          <w:highlight w:val="none"/>
        </w:rPr>
      </w: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highlight w:val="none"/>
        </w:rPr>
      </w: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rPr>
          <w:highlight w:val="none"/>
        </w:rPr>
      </w:r>
      <w:r/>
    </w:p>
    <w:p>
      <w:pPr>
        <w:ind w:firstLine="480"/>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highlight w:val="none"/>
        </w:rPr>
      </w: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highlight w:val="none"/>
        </w:rPr>
      </w:r>
      <w:r/>
    </w:p>
    <w:p>
      <w:pPr>
        <w:jc w:val="left"/>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rPr>
          <w:highlight w:val="none"/>
        </w:rPr>
      </w:r>
      <w:r/>
    </w:p>
    <w:p>
      <w:pPr>
        <w:jc w:val="center"/>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rPr>
          <w:highlight w:val="none"/>
        </w:rPr>
      </w:r>
      <w:r/>
    </w:p>
    <w:p>
      <w:pPr>
        <w:jc w:val="center"/>
        <w:spacing w:line="499" w:lineRule="atLeast"/>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年月日</w:t>
      </w:r>
      <w:r>
        <w:rPr>
          <w:highlight w:val="none"/>
        </w:rPr>
      </w:r>
      <w:r/>
    </w:p>
    <w:p>
      <w:pPr>
        <w:pStyle w:val="871"/>
        <w:jc w:val="center"/>
        <w:spacing w:beforeAutospacing="0" w:afterAutospacing="0"/>
        <w:rPr>
          <w:highlight w:val="none"/>
        </w:rPr>
      </w:pPr>
      <w:r>
        <w:rPr>
          <w:highlight w:val="none"/>
        </w:rPr>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7"/>
      <w:r/>
      <w:bookmarkEnd w:id="180"/>
      <w:r/>
      <w:bookmarkEnd w:id="184"/>
      <w:r/>
      <w:bookmarkEnd w:id="185"/>
      <w:r/>
      <w:bookmarkEnd w:id="187"/>
      <w:r/>
      <w:bookmarkEnd w:id="188"/>
      <w:r/>
      <w:bookmarkEnd w:id="189"/>
      <w:r/>
      <w:bookmarkEnd w:id="190"/>
      <w:r/>
      <w:bookmarkEnd w:id="199"/>
      <w:r/>
      <w:bookmarkEnd w:id="200"/>
      <w:r/>
      <w:bookmarkEnd w:id="201"/>
      <w:r/>
      <w:bookmarkEnd w:id="202"/>
      <w:r/>
      <w:bookmarkEnd w:id="203"/>
      <w:r>
        <w:rPr>
          <w:highlight w:val="none"/>
        </w:rPr>
      </w:r>
      <w:r/>
    </w:p>
    <w:p>
      <w:pPr>
        <w:ind w:firstLine="480"/>
        <w:rPr>
          <w:highlight w:val="none"/>
        </w:rPr>
      </w:pPr>
      <w:r>
        <w:rPr>
          <w:highlight w:val="none"/>
        </w:rPr>
      </w:r>
      <w:r>
        <w:rPr>
          <w:highlight w:val="none"/>
        </w:rPr>
      </w:r>
      <w:r/>
    </w:p>
    <w:p>
      <w:pPr>
        <w:pStyle w:val="871"/>
        <w:ind w:firstLine="64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highlight w:val="none"/>
        </w:rPr>
      </w:r>
      <w:r/>
    </w:p>
    <w:p>
      <w:pPr>
        <w:pStyle w:val="871"/>
        <w:jc w:val="both"/>
        <w:spacing w:before="290"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highlight w:val="none"/>
        </w:rPr>
      </w:r>
      <w:r/>
    </w:p>
    <w:p>
      <w:pPr>
        <w:pStyle w:val="871"/>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highlight w:val="none"/>
        </w:rPr>
      </w:r>
      <w:r/>
    </w:p>
    <w:p>
      <w:pPr>
        <w:pStyle w:val="871"/>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highlight w:val="none"/>
        </w:rPr>
      </w:r>
      <w:r/>
    </w:p>
    <w:p>
      <w:pPr>
        <w:pStyle w:val="871"/>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rPr>
          <w:highlight w:val="none"/>
        </w:rPr>
      </w:r>
      <w:r/>
    </w:p>
    <w:p>
      <w:pPr>
        <w:pStyle w:val="871"/>
        <w:ind w:firstLine="482"/>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rPr>
          <w:highlight w:val="none"/>
        </w:rPr>
      </w:r>
      <w:r/>
    </w:p>
    <w:p>
      <w:pPr>
        <w:pStyle w:val="871"/>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highlight w:val="none"/>
        </w:rPr>
      </w:r>
      <w:r/>
    </w:p>
    <w:p>
      <w:pPr>
        <w:pStyle w:val="871"/>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r/>
    </w:p>
    <w:p>
      <w:pPr>
        <w:pStyle w:val="871"/>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highlight w:val="none"/>
        </w:rPr>
      </w:r>
      <w:r/>
    </w:p>
    <w:p>
      <w:pPr>
        <w:pStyle w:val="871"/>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highlight w:val="none"/>
        </w:rPr>
      </w:r>
      <w:r/>
    </w:p>
    <w:p>
      <w:pPr>
        <w:pStyle w:val="871"/>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highlight w:val="none"/>
        </w:rPr>
      </w:r>
      <w:r/>
    </w:p>
    <w:p>
      <w:pPr>
        <w:pStyle w:val="871"/>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871"/>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highlight w:val="none"/>
        </w:rPr>
      </w:r>
      <w:r/>
    </w:p>
    <w:p>
      <w:pPr>
        <w:ind w:firstLine="480"/>
        <w:rPr>
          <w:highlight w:val="none"/>
        </w:rPr>
      </w:pPr>
      <w:r>
        <w:rPr>
          <w:highlight w:val="none"/>
        </w:rPr>
      </w:r>
      <w:r>
        <w:rPr>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方正仿宋简体">
    <w:panose1 w:val="020B0503020202020204"/>
  </w:font>
  <w:font w:name="等线">
    <w:panose1 w:val="02010600030101010101"/>
  </w:font>
  <w:font w:name="仿宋">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eastAsia"/>
        <w:sz w:val="32"/>
        <w:szCs w:val="32"/>
      </w:r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rPr>
        <w:rFonts w:hint="eastAsia"/>
        <w:b/>
        <w:bCs/>
        <w:i w:val="0"/>
        <w:iCs w:val="0"/>
        <w:caps w:val="0"/>
        <w:smallCaps w:val="0"/>
        <w:strike w:val="0"/>
        <w:vanish w:val="0"/>
        <w:color w:val="000000"/>
        <w:spacing w:val="0"/>
        <w:position w:val="0"/>
        <w:u w:val="none"/>
        <w:vertAlign w:val="baseline"/>
      </w:rPr>
    </w:lvl>
    <w:lvl w:ilvl="3">
      <w:start w:val="1"/>
      <w:numFmt w:val="decimal"/>
      <w:isLgl w:val="false"/>
      <w:suff w:val="space"/>
      <w:lvlText w:val="%1.%2.%3.%4"/>
      <w:lvlJc w:val="left"/>
      <w:pPr>
        <w:ind w:left="0" w:firstLine="0"/>
      </w:pPr>
      <w:rPr>
        <w:rFonts w:hint="eastAsia"/>
        <w:b/>
        <w:bCs/>
        <w:i w:val="0"/>
        <w:iCs w:val="0"/>
        <w:caps w:val="0"/>
        <w:smallCaps w:val="0"/>
        <w:strike w:val="0"/>
        <w:vanish w:val="0"/>
        <w:color w:val="000000"/>
        <w:spacing w:val="0"/>
        <w:position w:val="0"/>
        <w:u w:val="none"/>
        <w:vertAlign w:val="baseline"/>
      </w:rPr>
    </w:lvl>
    <w:lvl w:ilvl="4">
      <w:start w:val="1"/>
      <w:numFmt w:val="decimal"/>
      <w:lvlRestart w:val="1"/>
      <w:isLgl w:val="false"/>
      <w:suff w:val="space"/>
      <w:lvlText w:val="图 %1-%5"/>
      <w:lvlJc w:val="left"/>
      <w:pPr>
        <w:ind w:left="5246" w:firstLine="0"/>
      </w:pPr>
      <w:rPr>
        <w:rFonts w:hint="eastAsia"/>
        <w:b/>
        <w:bCs w:val="0"/>
        <w:i w:val="0"/>
        <w:iCs w:val="0"/>
        <w:caps w:val="0"/>
        <w:smallCaps w:val="0"/>
        <w:strike w:val="0"/>
        <w:vanish w:val="0"/>
        <w:color w:val="000000"/>
        <w:spacing w:val="0"/>
        <w:position w:val="0"/>
        <w:u w:val="none"/>
        <w:vertAlign w:val="baseline"/>
      </w:rPr>
    </w:lvl>
    <w:lvl w:ilvl="5">
      <w:start w:val="1"/>
      <w:numFmt w:val="decimal"/>
      <w:lvlRestart w:val="1"/>
      <w:isLgl w:val="false"/>
      <w:suff w:val="space"/>
      <w:lvlText w:val="表 %1-%6"/>
      <w:lvlJc w:val="left"/>
      <w:pPr>
        <w:ind w:left="0" w:firstLine="0"/>
      </w:pPr>
      <w:rPr>
        <w:rFonts w:hint="eastAsia"/>
        <w:b/>
        <w:bCs w:val="0"/>
        <w:i w:val="0"/>
        <w:iCs w:val="0"/>
        <w:caps w:val="0"/>
        <w:smallCaps w:val="0"/>
        <w:strike w:val="0"/>
        <w:vanish w:val="0"/>
        <w:color w:val="000000"/>
        <w:spacing w:val="0"/>
        <w:position w:val="0"/>
        <w:u w:val="none"/>
        <w:vertAlign w:val="baseline"/>
        <w:lang w:val="en-US"/>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num w:numId="1">
    <w:abstractNumId w:val="1"/>
    <w:lvlOverride w:ilvl="0">
      <w:lvl w:ilvl="0">
        <w:start w:val="1"/>
        <w:numFmt w:val="decimal"/>
        <w:isLgl w:val="false"/>
        <w:suff w:val="space"/>
        <w:lvlText w:val="%1"/>
        <w:lvlJc w:val="left"/>
        <w:pPr>
          <w:ind w:left="3544" w:firstLine="0"/>
        </w:pPr>
        <w:rPr>
          <w:rFonts w:hint="eastAsia"/>
          <w:sz w:val="32"/>
          <w:szCs w:val="32"/>
        </w:rPr>
      </w:lvl>
    </w:lvlOverride>
    <w:lvlOverride w:ilvl="1">
      <w:lvl w:ilvl="1">
        <w:start w:val="1"/>
        <w:numFmt w:val="decimal"/>
        <w:isLgl w:val="false"/>
        <w:suff w:val="space"/>
        <w:lvlText w:val="%1.%2"/>
        <w:lvlJc w:val="left"/>
        <w:pPr>
          <w:ind w:left="3544" w:firstLine="0"/>
        </w:pPr>
      </w:lvl>
    </w:lvlOverride>
    <w:lvlOverride w:ilvl="2">
      <w:lvl w:ilvl="2">
        <w:start w:val="1"/>
        <w:numFmt w:val="decimal"/>
        <w:isLgl w:val="false"/>
        <w:suff w:val="space"/>
        <w:lvlText w:val="%1.%2.%3"/>
        <w:lvlJc w:val="left"/>
        <w:pPr>
          <w:ind w:left="3544" w:firstLine="0"/>
        </w:pPr>
        <w:rPr>
          <w:rFonts w:hint="eastAsia"/>
          <w:b/>
          <w:bCs/>
          <w:i w:val="0"/>
          <w:iCs w:val="0"/>
          <w:caps w:val="0"/>
          <w:smallCaps w:val="0"/>
          <w:strike w:val="0"/>
          <w:vanish w:val="0"/>
          <w:color w:val="000000"/>
          <w:spacing w:val="0"/>
          <w:position w:val="0"/>
          <w:u w:val="none"/>
          <w:vertAlign w:val="baseline"/>
        </w:rPr>
      </w:lvl>
    </w:lvlOverride>
    <w:lvlOverride w:ilvl="3">
      <w:lvl w:ilvl="3">
        <w:start w:val="1"/>
        <w:numFmt w:val="decimal"/>
        <w:isLgl w:val="false"/>
        <w:suff w:val="space"/>
        <w:lvlText w:val="%1.%2.%3.%4"/>
        <w:lvlJc w:val="left"/>
        <w:pPr>
          <w:ind w:left="3544" w:firstLine="0"/>
        </w:pPr>
        <w:rPr>
          <w:rFonts w:hint="eastAsia"/>
          <w:b/>
          <w:bCs/>
          <w:i w:val="0"/>
          <w:iCs w:val="0"/>
          <w:caps w:val="0"/>
          <w:smallCaps w:val="0"/>
          <w:strike w:val="0"/>
          <w:vanish w:val="0"/>
          <w:color w:val="000000"/>
          <w:spacing w:val="0"/>
          <w:position w:val="0"/>
          <w:u w:val="none"/>
          <w:vertAlign w:val="baseline"/>
        </w:rPr>
      </w:lvl>
    </w:lvlOverride>
    <w:lvlOverride w:ilvl="4">
      <w:lvl w:ilvl="4">
        <w:start w:val="1"/>
        <w:numFmt w:val="decimal"/>
        <w:lvlRestart w:val="1"/>
        <w:pStyle w:val="886"/>
        <w:isLgl w:val="false"/>
        <w:suff w:val="space"/>
        <w:lvlText w:val="图 %1-%5"/>
        <w:lvlJc w:val="left"/>
        <w:pPr>
          <w:ind w:left="8790" w:firstLine="0"/>
        </w:pPr>
        <w:rPr>
          <w:rFonts w:hint="eastAsia"/>
          <w:b/>
          <w:bCs w:val="0"/>
          <w:i w:val="0"/>
          <w:iCs w:val="0"/>
          <w:caps w:val="0"/>
          <w:smallCaps w:val="0"/>
          <w:strike w:val="0"/>
          <w:vanish w:val="0"/>
          <w:color w:val="000000"/>
          <w:spacing w:val="0"/>
          <w:position w:val="0"/>
          <w:u w:val="none"/>
          <w:vertAlign w:val="baseline"/>
        </w:rPr>
      </w:lvl>
    </w:lvlOverride>
    <w:lvlOverride w:ilvl="5">
      <w:lvl w:ilvl="5">
        <w:start w:val="1"/>
        <w:numFmt w:val="decimal"/>
        <w:lvlRestart w:val="1"/>
        <w:isLgl w:val="false"/>
        <w:suff w:val="space"/>
        <w:lvlText w:val="表 %1-%6"/>
        <w:lvlJc w:val="left"/>
        <w:pPr>
          <w:ind w:left="3544" w:firstLine="0"/>
        </w:pPr>
        <w:rPr>
          <w:rFonts w:hint="eastAsia"/>
          <w:b/>
          <w:bCs w:val="0"/>
          <w:i w:val="0"/>
          <w:iCs w:val="0"/>
          <w:caps w:val="0"/>
          <w:smallCaps w:val="0"/>
          <w:strike w:val="0"/>
          <w:vanish w:val="0"/>
          <w:color w:val="000000"/>
          <w:spacing w:val="0"/>
          <w:position w:val="0"/>
          <w:u w:val="none"/>
          <w:vertAlign w:val="baseline"/>
          <w:lang w:val="en-US"/>
        </w:rPr>
      </w:lvl>
    </w:lvlOverride>
    <w:lvlOverride w:ilvl="6">
      <w:lvl w:ilvl="6">
        <w:start w:val="1"/>
        <w:numFmt w:val="decimal"/>
        <w:isLgl w:val="false"/>
        <w:suff w:val="tab"/>
        <w:lvlText w:val="%1.%2.%3.%4.%5.%6.%7"/>
        <w:lvlJc w:val="left"/>
        <w:pPr>
          <w:ind w:left="3544" w:firstLine="0"/>
        </w:pPr>
        <w:rPr>
          <w:rFonts w:hint="eastAsia"/>
        </w:rPr>
      </w:lvl>
    </w:lvlOverride>
    <w:lvlOverride w:ilvl="7">
      <w:lvl w:ilvl="7">
        <w:start w:val="1"/>
        <w:numFmt w:val="decimal"/>
        <w:isLgl w:val="false"/>
        <w:suff w:val="tab"/>
        <w:lvlText w:val="%1.%2.%3.%4.%5.%6.%7.%8"/>
        <w:lvlJc w:val="left"/>
        <w:pPr>
          <w:ind w:left="3544" w:firstLine="0"/>
        </w:pPr>
        <w:rPr>
          <w:rFonts w:hint="eastAsia"/>
        </w:rPr>
      </w:lvl>
    </w:lvlOverride>
    <w:lvlOverride w:ilvl="8">
      <w:lvl w:ilvl="8">
        <w:start w:val="1"/>
        <w:numFmt w:val="decimal"/>
        <w:isLgl w:val="false"/>
        <w:suff w:val="tab"/>
        <w:lvlText w:val="%1.%2.%3.%4.%5.%6.%7.%8.%9"/>
        <w:lvlJc w:val="left"/>
        <w:pPr>
          <w:ind w:left="3544" w:firstLine="0"/>
        </w:pPr>
        <w:rPr>
          <w:rFonts w:hint="eastAsia"/>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57"/>
    <w:next w:val="857"/>
    <w:link w:val="684"/>
    <w:uiPriority w:val="9"/>
    <w:qFormat/>
    <w:pPr>
      <w:keepLines/>
      <w:keepNext/>
      <w:spacing w:before="480" w:after="200"/>
      <w:outlineLvl w:val="0"/>
    </w:pPr>
    <w:rPr>
      <w:rFonts w:ascii="Arial" w:hAnsi="Arial" w:eastAsia="Arial" w:cs="Arial"/>
      <w:sz w:val="40"/>
      <w:szCs w:val="40"/>
    </w:rPr>
  </w:style>
  <w:style w:type="character" w:styleId="684">
    <w:name w:val="Heading 1 Char"/>
    <w:basedOn w:val="859"/>
    <w:link w:val="683"/>
    <w:uiPriority w:val="9"/>
    <w:rPr>
      <w:rFonts w:ascii="Arial" w:hAnsi="Arial" w:eastAsia="Arial" w:cs="Arial"/>
      <w:sz w:val="40"/>
      <w:szCs w:val="40"/>
    </w:rPr>
  </w:style>
  <w:style w:type="character" w:styleId="685">
    <w:name w:val="Heading 2 Char"/>
    <w:basedOn w:val="859"/>
    <w:link w:val="858"/>
    <w:uiPriority w:val="9"/>
    <w:rPr>
      <w:rFonts w:ascii="Arial" w:hAnsi="Arial" w:eastAsia="Arial" w:cs="Arial"/>
      <w:sz w:val="34"/>
    </w:rPr>
  </w:style>
  <w:style w:type="paragraph" w:styleId="686">
    <w:name w:val="Heading 3"/>
    <w:basedOn w:val="857"/>
    <w:next w:val="857"/>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basedOn w:val="859"/>
    <w:link w:val="686"/>
    <w:uiPriority w:val="9"/>
    <w:rPr>
      <w:rFonts w:ascii="Arial" w:hAnsi="Arial" w:eastAsia="Arial" w:cs="Arial"/>
      <w:sz w:val="30"/>
      <w:szCs w:val="30"/>
    </w:rPr>
  </w:style>
  <w:style w:type="paragraph" w:styleId="688">
    <w:name w:val="Heading 4"/>
    <w:basedOn w:val="857"/>
    <w:next w:val="857"/>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basedOn w:val="859"/>
    <w:link w:val="688"/>
    <w:uiPriority w:val="9"/>
    <w:rPr>
      <w:rFonts w:ascii="Arial" w:hAnsi="Arial" w:eastAsia="Arial" w:cs="Arial"/>
      <w:b/>
      <w:bCs/>
      <w:sz w:val="26"/>
      <w:szCs w:val="26"/>
    </w:rPr>
  </w:style>
  <w:style w:type="paragraph" w:styleId="690">
    <w:name w:val="Heading 5"/>
    <w:basedOn w:val="857"/>
    <w:next w:val="857"/>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59"/>
    <w:link w:val="690"/>
    <w:uiPriority w:val="9"/>
    <w:rPr>
      <w:rFonts w:ascii="Arial" w:hAnsi="Arial" w:eastAsia="Arial" w:cs="Arial"/>
      <w:b/>
      <w:bCs/>
      <w:sz w:val="24"/>
      <w:szCs w:val="24"/>
    </w:rPr>
  </w:style>
  <w:style w:type="paragraph" w:styleId="692">
    <w:name w:val="Heading 6"/>
    <w:basedOn w:val="857"/>
    <w:next w:val="857"/>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59"/>
    <w:link w:val="692"/>
    <w:uiPriority w:val="9"/>
    <w:rPr>
      <w:rFonts w:ascii="Arial" w:hAnsi="Arial" w:eastAsia="Arial" w:cs="Arial"/>
      <w:b/>
      <w:bCs/>
      <w:sz w:val="22"/>
      <w:szCs w:val="22"/>
    </w:rPr>
  </w:style>
  <w:style w:type="paragraph" w:styleId="694">
    <w:name w:val="Heading 7"/>
    <w:basedOn w:val="857"/>
    <w:next w:val="857"/>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59"/>
    <w:link w:val="694"/>
    <w:uiPriority w:val="9"/>
    <w:rPr>
      <w:rFonts w:ascii="Arial" w:hAnsi="Arial" w:eastAsia="Arial" w:cs="Arial"/>
      <w:b/>
      <w:bCs/>
      <w:i/>
      <w:iCs/>
      <w:sz w:val="22"/>
      <w:szCs w:val="22"/>
    </w:rPr>
  </w:style>
  <w:style w:type="paragraph" w:styleId="696">
    <w:name w:val="Heading 8"/>
    <w:basedOn w:val="857"/>
    <w:next w:val="857"/>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59"/>
    <w:link w:val="696"/>
    <w:uiPriority w:val="9"/>
    <w:rPr>
      <w:rFonts w:ascii="Arial" w:hAnsi="Arial" w:eastAsia="Arial" w:cs="Arial"/>
      <w:i/>
      <w:iCs/>
      <w:sz w:val="22"/>
      <w:szCs w:val="22"/>
    </w:rPr>
  </w:style>
  <w:style w:type="paragraph" w:styleId="698">
    <w:name w:val="Heading 9"/>
    <w:basedOn w:val="857"/>
    <w:next w:val="857"/>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59"/>
    <w:link w:val="698"/>
    <w:uiPriority w:val="9"/>
    <w:rPr>
      <w:rFonts w:ascii="Arial" w:hAnsi="Arial" w:eastAsia="Arial" w:cs="Arial"/>
      <w:i/>
      <w:iCs/>
      <w:sz w:val="21"/>
      <w:szCs w:val="21"/>
    </w:rPr>
  </w:style>
  <w:style w:type="paragraph" w:styleId="700">
    <w:name w:val="List Paragraph"/>
    <w:basedOn w:val="857"/>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57"/>
    <w:next w:val="857"/>
    <w:link w:val="703"/>
    <w:uiPriority w:val="10"/>
    <w:qFormat/>
    <w:pPr>
      <w:contextualSpacing/>
      <w:spacing w:before="300" w:after="200"/>
    </w:pPr>
    <w:rPr>
      <w:sz w:val="48"/>
      <w:szCs w:val="48"/>
    </w:rPr>
  </w:style>
  <w:style w:type="character" w:styleId="703">
    <w:name w:val="Title Char"/>
    <w:basedOn w:val="859"/>
    <w:link w:val="702"/>
    <w:uiPriority w:val="10"/>
    <w:rPr>
      <w:sz w:val="48"/>
      <w:szCs w:val="48"/>
    </w:rPr>
  </w:style>
  <w:style w:type="paragraph" w:styleId="704">
    <w:name w:val="Subtitle"/>
    <w:basedOn w:val="857"/>
    <w:next w:val="857"/>
    <w:link w:val="705"/>
    <w:uiPriority w:val="11"/>
    <w:qFormat/>
    <w:pPr>
      <w:spacing w:before="200" w:after="200"/>
    </w:pPr>
    <w:rPr>
      <w:sz w:val="24"/>
      <w:szCs w:val="24"/>
    </w:rPr>
  </w:style>
  <w:style w:type="character" w:styleId="705">
    <w:name w:val="Subtitle Char"/>
    <w:basedOn w:val="859"/>
    <w:link w:val="704"/>
    <w:uiPriority w:val="11"/>
    <w:rPr>
      <w:sz w:val="24"/>
      <w:szCs w:val="24"/>
    </w:rPr>
  </w:style>
  <w:style w:type="paragraph" w:styleId="706">
    <w:name w:val="Quote"/>
    <w:basedOn w:val="857"/>
    <w:next w:val="857"/>
    <w:link w:val="707"/>
    <w:uiPriority w:val="29"/>
    <w:qFormat/>
    <w:pPr>
      <w:ind w:left="720" w:right="720"/>
    </w:pPr>
    <w:rPr>
      <w:i/>
    </w:rPr>
  </w:style>
  <w:style w:type="character" w:styleId="707">
    <w:name w:val="Quote Char"/>
    <w:link w:val="706"/>
    <w:uiPriority w:val="29"/>
    <w:rPr>
      <w:i/>
    </w:rPr>
  </w:style>
  <w:style w:type="paragraph" w:styleId="708">
    <w:name w:val="Intense Quote"/>
    <w:basedOn w:val="857"/>
    <w:next w:val="857"/>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9"/>
    <w:link w:val="869"/>
    <w:uiPriority w:val="99"/>
  </w:style>
  <w:style w:type="character" w:styleId="711">
    <w:name w:val="Footer Char"/>
    <w:basedOn w:val="859"/>
    <w:link w:val="868"/>
    <w:uiPriority w:val="99"/>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868"/>
    <w:uiPriority w:val="99"/>
  </w:style>
  <w:style w:type="table" w:styleId="714">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0">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4">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9">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6">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6">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0">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3">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7">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9"/>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9"/>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8">
    <w:name w:val="Heading 2"/>
    <w:basedOn w:val="857"/>
    <w:next w:val="85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Normal Indent"/>
    <w:basedOn w:val="857"/>
    <w:uiPriority w:val="0"/>
    <w:qFormat/>
    <w:pPr>
      <w:ind w:firstLine="420"/>
      <w:jc w:val="left"/>
      <w:spacing w:line="315" w:lineRule="atLeast"/>
    </w:pPr>
    <w:rPr>
      <w:rFonts w:ascii="宋体" w:hAnsi="Times New Roman" w:eastAsia="宋体" w:cs="Times New Roman"/>
      <w:szCs w:val="20"/>
    </w:rPr>
  </w:style>
  <w:style w:type="paragraph" w:styleId="862">
    <w:name w:val="annotation text"/>
    <w:basedOn w:val="857"/>
    <w:link w:val="898"/>
    <w:uiPriority w:val="0"/>
    <w:qFormat/>
    <w:pPr>
      <w:jc w:val="left"/>
    </w:pPr>
  </w:style>
  <w:style w:type="paragraph" w:styleId="863">
    <w:name w:val="Body Text"/>
    <w:basedOn w:val="857"/>
    <w:uiPriority w:val="0"/>
    <w:semiHidden/>
    <w:qFormat/>
    <w:rPr>
      <w:rFonts w:ascii="仿宋" w:hAnsi="仿宋" w:eastAsia="仿宋" w:cs="仿宋"/>
      <w:sz w:val="31"/>
      <w:szCs w:val="31"/>
      <w:lang w:eastAsia="en-US"/>
    </w:rPr>
  </w:style>
  <w:style w:type="paragraph" w:styleId="864">
    <w:name w:val="Body Text Indent"/>
    <w:basedOn w:val="857"/>
    <w:next w:val="865"/>
    <w:uiPriority w:val="0"/>
    <w:qFormat/>
    <w:pPr>
      <w:ind w:left="570"/>
      <w:spacing w:line="520" w:lineRule="exact"/>
    </w:pPr>
    <w:rPr>
      <w:rFonts w:ascii="方正仿宋简体" w:hAnsi="创艺简仿宋" w:eastAsia="方正仿宋简体"/>
      <w:sz w:val="24"/>
      <w:szCs w:val="20"/>
    </w:rPr>
  </w:style>
  <w:style w:type="paragraph" w:styleId="865">
    <w:name w:val="envelope return"/>
    <w:basedOn w:val="857"/>
    <w:uiPriority w:val="0"/>
    <w:qFormat/>
    <w:rPr>
      <w:rFonts w:ascii="Arial" w:hAnsi="Arial" w:eastAsia="楷体_GB2312"/>
      <w:sz w:val="26"/>
      <w:szCs w:val="20"/>
    </w:rPr>
  </w:style>
  <w:style w:type="paragraph" w:styleId="866">
    <w:name w:val="Plain Text"/>
    <w:basedOn w:val="857"/>
    <w:next w:val="867"/>
    <w:uiPriority w:val="0"/>
    <w:qFormat/>
    <w:pPr>
      <w:jc w:val="left"/>
      <w:widowControl/>
    </w:pPr>
    <w:rPr>
      <w:rFonts w:hAnsi="Courier New"/>
      <w:szCs w:val="20"/>
    </w:rPr>
  </w:style>
  <w:style w:type="paragraph" w:styleId="867" w:customStyle="1">
    <w:name w:val="目录 71"/>
    <w:next w:val="857"/>
    <w:uiPriority w:val="0"/>
    <w:qFormat/>
    <w:pPr>
      <w:ind w:left="2125"/>
      <w:jc w:val="both"/>
    </w:pPr>
    <w:rPr>
      <w:rFonts w:ascii="Times New Roman" w:hAnsi="Times New Roman" w:eastAsia="宋体" w:cs="Times New Roman"/>
      <w:sz w:val="21"/>
      <w:lang w:val="en-US" w:eastAsia="zh-CN" w:bidi="ar-SA"/>
    </w:rPr>
  </w:style>
  <w:style w:type="paragraph" w:styleId="868">
    <w:name w:val="Footer"/>
    <w:basedOn w:val="857"/>
    <w:next w:val="857"/>
    <w:link w:val="878"/>
    <w:uiPriority w:val="0"/>
    <w:qFormat/>
    <w:pPr>
      <w:jc w:val="left"/>
      <w:tabs>
        <w:tab w:val="center" w:pos="4153" w:leader="none"/>
        <w:tab w:val="right" w:pos="8306" w:leader="none"/>
      </w:tabs>
    </w:pPr>
    <w:rPr>
      <w:sz w:val="18"/>
      <w:szCs w:val="18"/>
    </w:rPr>
  </w:style>
  <w:style w:type="paragraph" w:styleId="869">
    <w:name w:val="Header"/>
    <w:basedOn w:val="857"/>
    <w:link w:val="877"/>
    <w:uiPriority w:val="0"/>
    <w:qFormat/>
    <w:pPr>
      <w:jc w:val="center"/>
      <w:tabs>
        <w:tab w:val="center" w:pos="4153" w:leader="none"/>
        <w:tab w:val="right" w:pos="8306" w:leader="none"/>
      </w:tabs>
      <w:pBdr>
        <w:bottom w:val="single" w:color="auto" w:sz="6" w:space="1"/>
      </w:pBdr>
    </w:pPr>
    <w:rPr>
      <w:sz w:val="18"/>
      <w:szCs w:val="18"/>
    </w:rPr>
  </w:style>
  <w:style w:type="paragraph" w:styleId="870">
    <w:name w:val="Body Text Indent 3"/>
    <w:basedOn w:val="857"/>
    <w:next w:val="857"/>
    <w:uiPriority w:val="0"/>
    <w:qFormat/>
    <w:pPr>
      <w:ind w:firstLine="480"/>
      <w:jc w:val="left"/>
      <w:spacing w:line="440" w:lineRule="atLeast"/>
    </w:pPr>
    <w:rPr>
      <w:rFonts w:ascii="Times New Roman" w:hAnsi="Times New Roman" w:eastAsia="宋体" w:cs="Times New Roman"/>
      <w:sz w:val="24"/>
    </w:rPr>
  </w:style>
  <w:style w:type="paragraph" w:styleId="871">
    <w:name w:val="Normal (Web)"/>
    <w:basedOn w:val="857"/>
    <w:uiPriority w:val="0"/>
    <w:qFormat/>
    <w:pPr>
      <w:jc w:val="left"/>
      <w:spacing w:beforeAutospacing="1" w:afterAutospacing="1"/>
    </w:pPr>
    <w:rPr>
      <w:rFonts w:cs="Times New Roman"/>
      <w:sz w:val="24"/>
    </w:rPr>
  </w:style>
  <w:style w:type="paragraph" w:styleId="872">
    <w:name w:val="annotation subject"/>
    <w:basedOn w:val="862"/>
    <w:next w:val="862"/>
    <w:link w:val="899"/>
    <w:uiPriority w:val="0"/>
    <w:qFormat/>
    <w:rPr>
      <w:b/>
      <w:bCs/>
    </w:rPr>
  </w:style>
  <w:style w:type="table" w:styleId="873">
    <w:name w:val="Table Grid"/>
    <w:basedOn w:val="8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Emphasis"/>
    <w:uiPriority w:val="0"/>
    <w:qFormat/>
    <w:rPr>
      <w:i/>
    </w:rPr>
  </w:style>
  <w:style w:type="character" w:styleId="875">
    <w:name w:val="annotation reference"/>
    <w:basedOn w:val="859"/>
    <w:uiPriority w:val="0"/>
    <w:qFormat/>
    <w:rPr>
      <w:sz w:val="21"/>
      <w:szCs w:val="21"/>
    </w:rPr>
  </w:style>
  <w:style w:type="paragraph" w:styleId="876" w:customStyle="1">
    <w:name w:val="Default"/>
    <w:basedOn w:val="857"/>
    <w:uiPriority w:val="0"/>
    <w:semiHidden/>
    <w:qFormat/>
    <w:pPr>
      <w:jc w:val="left"/>
    </w:pPr>
    <w:rPr>
      <w:rFonts w:ascii="宋体" w:hAnsi="Calibri" w:cs="宋体"/>
      <w:color w:val="000000"/>
      <w:sz w:val="24"/>
    </w:rPr>
  </w:style>
  <w:style w:type="character" w:styleId="877" w:customStyle="1">
    <w:name w:val="页眉 字符"/>
    <w:basedOn w:val="859"/>
    <w:link w:val="869"/>
    <w:uiPriority w:val="0"/>
    <w:qFormat/>
    <w:rPr>
      <w:rFonts w:asciiTheme="minorHAnsi" w:hAnsiTheme="minorHAnsi" w:eastAsiaTheme="minorEastAsia" w:cstheme="minorBidi"/>
      <w:sz w:val="18"/>
      <w:szCs w:val="18"/>
    </w:rPr>
  </w:style>
  <w:style w:type="character" w:styleId="878" w:customStyle="1">
    <w:name w:val="页脚 字符"/>
    <w:basedOn w:val="859"/>
    <w:link w:val="868"/>
    <w:uiPriority w:val="0"/>
    <w:qFormat/>
    <w:rPr>
      <w:rFonts w:asciiTheme="minorHAnsi" w:hAnsiTheme="minorHAnsi" w:eastAsiaTheme="minorEastAsia" w:cstheme="minorBidi"/>
      <w:sz w:val="18"/>
      <w:szCs w:val="18"/>
    </w:rPr>
  </w:style>
  <w:style w:type="paragraph" w:styleId="879" w:customStyle="1">
    <w:name w:val="普通正文"/>
    <w:basedOn w:val="857"/>
    <w:uiPriority w:val="0"/>
    <w:qFormat/>
    <w:pPr>
      <w:ind w:firstLine="480"/>
      <w:jc w:val="left"/>
      <w:spacing w:before="120" w:after="120" w:line="360" w:lineRule="auto"/>
    </w:pPr>
    <w:rPr>
      <w:rFonts w:ascii="Arial" w:hAnsi="Arial" w:eastAsia="等线" w:cs="Arial"/>
      <w:sz w:val="24"/>
    </w:rPr>
  </w:style>
  <w:style w:type="paragraph" w:styleId="880" w:customStyle="1">
    <w:name w:val="正文首行缩进 21"/>
    <w:basedOn w:val="881"/>
    <w:uiPriority w:val="0"/>
    <w:qFormat/>
    <w:pPr>
      <w:ind w:firstLine="420"/>
    </w:pPr>
  </w:style>
  <w:style w:type="paragraph" w:styleId="881" w:customStyle="1">
    <w:name w:val="正文文本缩进1"/>
    <w:basedOn w:val="857"/>
    <w:uiPriority w:val="0"/>
    <w:qFormat/>
    <w:pPr>
      <w:ind w:left="420"/>
      <w:spacing w:after="120"/>
    </w:pPr>
  </w:style>
  <w:style w:type="paragraph" w:styleId="882" w:customStyle="1">
    <w:name w:val="JSEP表文字"/>
    <w:basedOn w:val="857"/>
    <w:next w:val="857"/>
    <w:uiPriority w:val="0"/>
    <w:qFormat/>
    <w:pPr>
      <w:jc w:val="center"/>
      <w:spacing w:line="360" w:lineRule="exact"/>
    </w:pPr>
    <w:rPr>
      <w:rFonts w:eastAsia="仿宋_GB2312"/>
      <w:sz w:val="24"/>
      <w:szCs w:val="22"/>
    </w:rPr>
  </w:style>
  <w:style w:type="paragraph" w:styleId="883" w:customStyle="1">
    <w:name w:val="正文(首行缩进)"/>
    <w:uiPriority w:val="0"/>
    <w:qFormat/>
    <w:pPr>
      <w:ind w:firstLine="200"/>
      <w:jc w:val="both"/>
      <w:spacing w:after="200" w:line="420" w:lineRule="atLeast"/>
    </w:pPr>
    <w:rPr>
      <w:rFonts w:eastAsia="仿宋_GB2312" w:asciiTheme="minorHAnsi" w:hAnsiTheme="minorHAnsi" w:cstheme="minorBidi"/>
      <w:spacing w:val="2"/>
      <w:sz w:val="24"/>
      <w:szCs w:val="22"/>
      <w:lang w:val="en-US" w:eastAsia="zh-CN" w:bidi="ar-SA"/>
    </w:rPr>
  </w:style>
  <w:style w:type="paragraph" w:styleId="884" w:customStyle="1">
    <w:name w:val="JSEP正文"/>
    <w:basedOn w:val="857"/>
    <w:uiPriority w:val="0"/>
    <w:qFormat/>
    <w:pPr>
      <w:ind w:firstLine="200"/>
      <w:spacing w:line="360" w:lineRule="auto"/>
    </w:pPr>
    <w:rPr>
      <w:rFonts w:ascii="Times New Roman" w:hAnsi="Times New Roman" w:eastAsia="仿宋_GB2312"/>
      <w:sz w:val="28"/>
    </w:rPr>
  </w:style>
  <w:style w:type="paragraph" w:styleId="885" w:customStyle="1">
    <w:name w:val="JSEP图格式"/>
    <w:basedOn w:val="857"/>
    <w:next w:val="886"/>
    <w:uiPriority w:val="0"/>
    <w:qFormat/>
    <w:pPr>
      <w:jc w:val="center"/>
      <w:keepNext/>
      <w:tabs>
        <w:tab w:val="center" w:pos="4253" w:leader="none"/>
        <w:tab w:val="right" w:pos="8222" w:leader="none"/>
      </w:tabs>
    </w:pPr>
    <w:rPr>
      <w:rFonts w:ascii="Times New Roman" w:hAnsi="Times New Roman" w:eastAsia="仿宋_GB2312"/>
      <w:sz w:val="24"/>
    </w:rPr>
  </w:style>
  <w:style w:type="paragraph" w:styleId="886" w:customStyle="1">
    <w:name w:val="JSEP图标题"/>
    <w:basedOn w:val="857"/>
    <w:next w:val="884"/>
    <w:uiPriority w:val="0"/>
    <w:qFormat/>
    <w:pPr>
      <w:numPr>
        <w:ilvl w:val="4"/>
        <w:numId w:val="1"/>
      </w:numPr>
      <w:ind w:left="0"/>
      <w:jc w:val="center"/>
      <w:spacing w:line="500" w:lineRule="exact"/>
    </w:pPr>
    <w:rPr>
      <w:rFonts w:ascii="Times New Roman" w:hAnsi="Times New Roman" w:eastAsia="仿宋_GB2312"/>
      <w:b/>
      <w:sz w:val="28"/>
    </w:rPr>
  </w:style>
  <w:style w:type="paragraph" w:styleId="887" w:customStyle="1">
    <w:name w:val="表格首行"/>
    <w:basedOn w:val="857"/>
    <w:uiPriority w:val="0"/>
    <w:qFormat/>
    <w:pPr>
      <w:jc w:val="center"/>
      <w:spacing w:line="360" w:lineRule="exact"/>
    </w:pPr>
    <w:rPr>
      <w:rFonts w:ascii="Times New Roman" w:hAnsi="Times New Roman" w:eastAsia="仿宋_GB2312" w:cs="Times New Roman"/>
      <w:b/>
      <w:sz w:val="24"/>
      <w:szCs w:val="22"/>
    </w:rPr>
  </w:style>
  <w:style w:type="paragraph" w:styleId="888" w:customStyle="1">
    <w:name w:val="图片"/>
    <w:basedOn w:val="857"/>
    <w:uiPriority w:val="0"/>
    <w:qFormat/>
    <w:pPr>
      <w:jc w:val="center"/>
    </w:pPr>
    <w:rPr>
      <w:rFonts w:ascii="Times New Roman" w:hAnsi="Times New Roman" w:eastAsia="仿宋_GB2312" w:cs="Times New Roman"/>
      <w:sz w:val="28"/>
      <w:szCs w:val="22"/>
    </w:rPr>
  </w:style>
  <w:style w:type="table" w:styleId="889" w:customStyle="1">
    <w:name w:val="(环评报告表）1"/>
    <w:basedOn w:val="860"/>
    <w:uiPriority w:val="0"/>
    <w:qFormat/>
    <w:rPr>
      <w:rFonts w:ascii="等线" w:hAnsi="等线" w:eastAsia="等线"/>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0" w:customStyle="1">
    <w:name w:val="表内"/>
    <w:basedOn w:val="857"/>
    <w:uiPriority w:val="0"/>
    <w:qFormat/>
    <w:pPr>
      <w:jc w:val="center"/>
      <w:spacing w:line="360" w:lineRule="exact"/>
    </w:pPr>
    <w:rPr>
      <w:rFonts w:ascii="Times New Roman" w:hAnsi="Times New Roman" w:eastAsia="仿宋_GB2312" w:cs="Times New Roman"/>
      <w:sz w:val="24"/>
      <w:szCs w:val="22"/>
    </w:rPr>
  </w:style>
  <w:style w:type="paragraph" w:styleId="891" w:customStyle="1">
    <w:name w:val="目录 51"/>
    <w:next w:val="857"/>
    <w:uiPriority w:val="0"/>
    <w:qFormat/>
    <w:pPr>
      <w:ind w:left="1275"/>
      <w:jc w:val="both"/>
    </w:pPr>
    <w:rPr>
      <w:rFonts w:ascii="Times New Roman" w:hAnsi="Times New Roman" w:eastAsia="宋体" w:cs="Times New Roman"/>
      <w:sz w:val="21"/>
      <w:lang w:val="en-US" w:eastAsia="zh-CN" w:bidi="ar-SA"/>
    </w:rPr>
  </w:style>
  <w:style w:type="paragraph" w:styleId="892" w:customStyle="1">
    <w:name w:val="纯文本1"/>
    <w:basedOn w:val="857"/>
    <w:uiPriority w:val="0"/>
    <w:qFormat/>
    <w:rPr>
      <w:rFonts w:hAnsi="Courier New" w:eastAsia="楷体_GB2312"/>
      <w:sz w:val="26"/>
    </w:rPr>
  </w:style>
  <w:style w:type="character" w:styleId="893" w:customStyle="1">
    <w:name w:val="font11"/>
    <w:basedOn w:val="859"/>
    <w:uiPriority w:val="0"/>
    <w:qFormat/>
    <w:rPr>
      <w:rFonts w:hint="eastAsia" w:ascii="宋体" w:hAnsi="宋体" w:eastAsia="宋体" w:cs="宋体"/>
      <w:color w:val="ff0000"/>
      <w:sz w:val="22"/>
      <w:szCs w:val="22"/>
      <w:u w:val="none"/>
    </w:rPr>
  </w:style>
  <w:style w:type="character" w:styleId="894" w:customStyle="1">
    <w:name w:val="font01"/>
    <w:basedOn w:val="859"/>
    <w:uiPriority w:val="0"/>
    <w:qFormat/>
    <w:rPr>
      <w:rFonts w:hint="eastAsia" w:ascii="宋体" w:hAnsi="宋体" w:eastAsia="宋体" w:cs="宋体"/>
      <w:color w:val="000000"/>
      <w:sz w:val="22"/>
      <w:szCs w:val="22"/>
      <w:u w:val="none"/>
    </w:rPr>
  </w:style>
  <w:style w:type="character" w:styleId="895" w:customStyle="1">
    <w:name w:val="font41"/>
    <w:basedOn w:val="859"/>
    <w:uiPriority w:val="0"/>
    <w:qFormat/>
    <w:rPr>
      <w:rFonts w:hint="default" w:ascii="Times New Roman" w:hAnsi="Times New Roman" w:cs="Times New Roman"/>
      <w:color w:val="000000"/>
      <w:sz w:val="22"/>
      <w:szCs w:val="22"/>
      <w:u w:val="none"/>
    </w:rPr>
  </w:style>
  <w:style w:type="character" w:styleId="896" w:customStyle="1">
    <w:name w:val="font31"/>
    <w:basedOn w:val="859"/>
    <w:uiPriority w:val="0"/>
    <w:qFormat/>
    <w:rPr>
      <w:rFonts w:hint="eastAsia" w:ascii="宋体" w:hAnsi="宋体" w:eastAsia="宋体" w:cs="宋体"/>
      <w:color w:val="ff0000"/>
      <w:sz w:val="22"/>
      <w:szCs w:val="22"/>
      <w:u w:val="none"/>
    </w:rPr>
  </w:style>
  <w:style w:type="table" w:styleId="897" w:customStyle="1">
    <w:name w:val="Table 11"/>
    <w:basedOn w:val="860"/>
    <w:uiPriority w:val="0"/>
    <w:qFormat/>
    <w:pPr>
      <w:jc w:val="center"/>
    </w:pPr>
    <w:rPr>
      <w:rFonts w:eastAsia="仿宋_GB2312"/>
      <w:sz w:val="21"/>
      <w14:ligatures w14:val="standardContextual"/>
    </w:rPr>
    <w:tblPr>
      <w:tblBorders>
        <w:top w:val="single" w:color="000000" w:sz="12" w:space="0"/>
        <w:bottom w:val="single" w:color="000000" w:sz="12" w:space="0"/>
        <w:insideH w:val="single" w:color="000000" w:sz="4" w:space="0"/>
        <w:insideV w:val="single" w:color="000000" w:sz="4" w:space="0"/>
      </w:tblBorders>
    </w:tblPr>
    <w:tcPr>
      <w:vAlign w:val="center"/>
    </w:tcPr>
    <w:tblStylePr w:type="firstRow">
      <w:rPr>
        <w:b/>
      </w:rPr>
    </w:tblStylePr>
  </w:style>
  <w:style w:type="character" w:styleId="898" w:customStyle="1">
    <w:name w:val="批注文字 字符"/>
    <w:basedOn w:val="859"/>
    <w:link w:val="862"/>
    <w:uiPriority w:val="0"/>
    <w:qFormat/>
    <w:rPr>
      <w:rFonts w:asciiTheme="minorHAnsi" w:hAnsiTheme="minorHAnsi" w:eastAsiaTheme="minorEastAsia" w:cstheme="minorBidi"/>
      <w:sz w:val="21"/>
      <w:szCs w:val="24"/>
    </w:rPr>
  </w:style>
  <w:style w:type="character" w:styleId="899" w:customStyle="1">
    <w:name w:val="批注主题 字符"/>
    <w:basedOn w:val="898"/>
    <w:link w:val="872"/>
    <w:uiPriority w:val="0"/>
    <w:qFormat/>
    <w:rPr>
      <w:rFonts w:asciiTheme="minorHAnsi" w:hAnsiTheme="minorHAnsi" w:eastAsiaTheme="minorEastAsia" w:cstheme="minorBidi"/>
      <w:b/>
      <w:bCs/>
      <w:sz w:val="21"/>
      <w:szCs w:val="24"/>
    </w:rPr>
  </w:style>
  <w:style w:type="paragraph" w:styleId="900" w:customStyle="1">
    <w:name w:val="修订1"/>
    <w:hidden/>
    <w:uiPriority w:val="99"/>
    <w:unhideWhenUsed/>
    <w:qFormat/>
    <w:rPr>
      <w:rFonts w:asciiTheme="minorHAnsi" w:hAnsiTheme="minorHAnsi" w:eastAsiaTheme="minorEastAsia" w:cstheme="minorBidi"/>
      <w:sz w:val="21"/>
      <w:szCs w:val="24"/>
      <w:lang w:val="en-US" w:eastAsia="zh-CN" w:bidi="ar-SA"/>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盐城市弘盛业务</cp:lastModifiedBy>
  <cp:revision>33</cp:revision>
  <dcterms:created xsi:type="dcterms:W3CDTF">2014-10-29T12:08:00Z</dcterms:created>
  <dcterms:modified xsi:type="dcterms:W3CDTF">2026-09-20T07:16:20Z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FD6870D9DC374561AEAA332A1634FC37_13</vt:lpwstr>
  </property>
  <property fmtid="{D5CDD505-2E9C-101B-9397-08002B2CF9AE}" pid="4" name="KSOTemplateDocerSaveRecord">
    <vt:lpwstr>eyJoZGlkIjoiMmIwN2I0N2VmMTcyZjlkMzM2YWY4NDViZDQ4ZjRiMjAiLCJ1c2VySWQiOiI0MDY4NzMzMTIifQ==</vt:lpwstr>
  </property>
</Properties>
</file>