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ind w:firstLine="0"/>
        <w:rPr>
          <w:rFonts w:hint="eastAsia" w:eastAsia="黑体"/>
          <w:b/>
          <w:bCs/>
          <w:sz w:val="84"/>
        </w:rPr>
      </w:pPr>
      <w:r>
        <w:rPr>
          <w:rFonts w:hint="eastAsia" w:eastAsia="黑体"/>
          <w:b/>
          <w:bCs/>
          <w:sz w:val="84"/>
        </w:rPr>
      </w:r>
      <w:r/>
    </w:p>
    <w:p>
      <w:pPr>
        <w:pStyle w:val="836"/>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836"/>
        <w:ind w:firstLine="1968"/>
        <w:spacing w:line="400" w:lineRule="exact"/>
        <w:rPr>
          <w:rFonts w:hint="eastAsia"/>
          <w:b/>
          <w:bCs/>
          <w:sz w:val="28"/>
          <w:szCs w:val="28"/>
        </w:rPr>
      </w:pPr>
      <w:r>
        <w:rPr>
          <w:rFonts w:hint="eastAsia"/>
          <w:b/>
          <w:bCs/>
          <w:sz w:val="28"/>
          <w:szCs w:val="28"/>
        </w:rPr>
      </w:r>
      <w:r/>
    </w:p>
    <w:p>
      <w:pPr>
        <w:pStyle w:val="748"/>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项目名称：江苏省发展和改革委员会相关平台国产化适配改造</w:t>
      </w:r>
      <w:r/>
    </w:p>
    <w:p>
      <w:pPr>
        <w:pStyle w:val="748"/>
        <w:jc w:val="center"/>
        <w:spacing w:before="120" w:after="120" w:line="400" w:lineRule="exact"/>
        <w:rPr>
          <w:rFonts w:hint="eastAsia"/>
          <w:b/>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w:t>
      </w:r>
      <w:r>
        <w:rPr>
          <w:rFonts w:hint="eastAsia" w:eastAsia="方正黑体_GBK"/>
          <w:sz w:val="28"/>
          <w:szCs w:val="28"/>
        </w:rPr>
        <w:t xml:space="preserve">459</w:t>
      </w:r>
      <w:r>
        <w:rPr>
          <w:rFonts w:hint="eastAsia"/>
          <w:b/>
          <w:sz w:val="28"/>
          <w:szCs w:val="28"/>
        </w:rPr>
      </w:r>
      <w:r/>
    </w:p>
    <w:p>
      <w:pPr>
        <w:pStyle w:val="748"/>
        <w:ind w:firstLine="56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748"/>
        <w:jc w:val="center"/>
        <w:rPr>
          <w:rFonts w:hint="eastAsia"/>
          <w:b/>
          <w:sz w:val="28"/>
          <w:szCs w:val="28"/>
        </w:rPr>
      </w:pPr>
      <w:r>
        <w:rPr>
          <w:rFonts w:hint="eastAsia"/>
          <w:b/>
          <w:sz w:val="28"/>
          <w:szCs w:val="28"/>
        </w:rPr>
      </w:r>
      <w:r/>
    </w:p>
    <w:p>
      <w:pPr>
        <w:pStyle w:val="836"/>
        <w:ind w:firstLine="0"/>
        <w:spacing w:before="0" w:after="0"/>
        <w:rPr>
          <w:rFonts w:hint="eastAsia" w:ascii="宋体" w:hAnsi="宋体"/>
          <w:sz w:val="28"/>
          <w:szCs w:val="28"/>
        </w:rPr>
      </w:pPr>
      <w:r>
        <w:rPr>
          <w:rFonts w:hint="eastAsia" w:ascii="宋体" w:hAnsi="宋体"/>
          <w:sz w:val="28"/>
          <w:szCs w:val="28"/>
        </w:rPr>
      </w:r>
      <w:r/>
    </w:p>
    <w:p>
      <w:pPr>
        <w:pStyle w:val="836"/>
        <w:ind w:firstLine="0"/>
        <w:spacing w:before="0" w:after="0"/>
        <w:rPr>
          <w:rFonts w:hint="eastAsia" w:ascii="宋体" w:hAnsi="宋体"/>
          <w:sz w:val="28"/>
          <w:szCs w:val="28"/>
        </w:rPr>
      </w:pPr>
      <w:r>
        <w:rPr>
          <w:rFonts w:hint="eastAsia" w:ascii="宋体" w:hAnsi="宋体"/>
          <w:sz w:val="28"/>
          <w:szCs w:val="28"/>
        </w:rPr>
      </w:r>
      <w:r/>
    </w:p>
    <w:p>
      <w:pPr>
        <w:pStyle w:val="836"/>
        <w:ind w:firstLine="0"/>
        <w:spacing w:before="0" w:after="0"/>
        <w:rPr>
          <w:rFonts w:hint="eastAsia" w:ascii="宋体" w:hAnsi="宋体"/>
          <w:sz w:val="28"/>
          <w:szCs w:val="28"/>
        </w:rPr>
      </w:pPr>
      <w:r>
        <w:rPr>
          <w:rFonts w:hint="eastAsia" w:ascii="宋体" w:hAnsi="宋体"/>
          <w:sz w:val="28"/>
          <w:szCs w:val="28"/>
        </w:rPr>
      </w:r>
      <w:r/>
    </w:p>
    <w:p>
      <w:pPr>
        <w:pStyle w:val="836"/>
        <w:ind w:firstLine="0"/>
        <w:spacing w:before="0" w:after="0"/>
        <w:rPr>
          <w:rFonts w:hint="eastAsia" w:ascii="宋体" w:hAnsi="宋体"/>
          <w:sz w:val="28"/>
          <w:szCs w:val="28"/>
        </w:rPr>
      </w:pPr>
      <w:r>
        <w:rPr>
          <w:rFonts w:hint="eastAsia" w:ascii="宋体" w:hAnsi="宋体"/>
          <w:sz w:val="28"/>
          <w:szCs w:val="28"/>
        </w:rPr>
      </w:r>
      <w:r/>
    </w:p>
    <w:p>
      <w:pPr>
        <w:pStyle w:val="836"/>
        <w:ind w:firstLine="0"/>
        <w:spacing w:before="0" w:after="0"/>
        <w:rPr>
          <w:rFonts w:hint="eastAsia" w:ascii="宋体" w:hAnsi="宋体"/>
          <w:sz w:val="28"/>
          <w:szCs w:val="28"/>
        </w:rPr>
      </w:pPr>
      <w:r>
        <w:rPr>
          <w:rFonts w:hint="eastAsia" w:ascii="宋体" w:hAnsi="宋体"/>
          <w:sz w:val="28"/>
          <w:szCs w:val="28"/>
        </w:rPr>
      </w:r>
      <w:r/>
    </w:p>
    <w:p>
      <w:pPr>
        <w:pStyle w:val="836"/>
        <w:ind w:firstLine="0"/>
        <w:spacing w:before="0" w:after="0"/>
        <w:rPr>
          <w:rFonts w:hint="eastAsia" w:ascii="宋体" w:hAnsi="宋体"/>
          <w:sz w:val="28"/>
          <w:szCs w:val="28"/>
        </w:rPr>
      </w:pPr>
      <w:r>
        <w:rPr>
          <w:rFonts w:hint="eastAsia" w:ascii="宋体" w:hAnsi="宋体"/>
          <w:sz w:val="28"/>
          <w:szCs w:val="28"/>
        </w:rPr>
      </w:r>
      <w:r/>
    </w:p>
    <w:p>
      <w:pPr>
        <w:pStyle w:val="836"/>
        <w:ind w:firstLine="0"/>
        <w:spacing w:before="0" w:after="0"/>
        <w:rPr>
          <w:rFonts w:hint="eastAsia" w:ascii="宋体" w:hAnsi="宋体"/>
          <w:sz w:val="28"/>
          <w:szCs w:val="28"/>
        </w:rPr>
      </w:pPr>
      <w:r>
        <w:rPr>
          <w:rFonts w:hint="eastAsia" w:ascii="宋体" w:hAnsi="宋体"/>
          <w:sz w:val="28"/>
          <w:szCs w:val="28"/>
        </w:rPr>
      </w:r>
      <w:r/>
    </w:p>
    <w:p>
      <w:pPr>
        <w:pStyle w:val="748"/>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748"/>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2026年9月</w:t>
      </w:r>
      <w:r/>
    </w:p>
    <w:p>
      <w:pPr>
        <w:pStyle w:val="836"/>
        <w:ind w:firstLine="0"/>
        <w:rPr>
          <w:rFonts w:hint="eastAsia"/>
          <w:u w:val="single"/>
        </w:rPr>
      </w:pPr>
      <w:r>
        <w:rPr>
          <w:rFonts w:hint="eastAsia"/>
        </w:rPr>
        <w:t xml:space="preserve">                        </w:t>
      </w:r>
      <w:r>
        <w:rPr>
          <w:rFonts w:hint="eastAsia"/>
          <w:u w:val="single"/>
        </w:rPr>
      </w:r>
      <w:r/>
    </w:p>
    <w:p>
      <w:pPr>
        <w:pStyle w:val="836"/>
        <w:ind w:firstLine="0"/>
        <w:jc w:val="center"/>
        <w:rPr>
          <w:rFonts w:hint="eastAsia"/>
        </w:rPr>
      </w:pPr>
      <w:r>
        <w:rPr>
          <w:rFonts w:hint="eastAsia"/>
        </w:rPr>
      </w:r>
      <w:r/>
    </w:p>
    <w:p>
      <w:pPr>
        <w:pStyle w:val="748"/>
        <w:jc w:val="center"/>
        <w:spacing w:line="400" w:lineRule="exact"/>
        <w:rPr>
          <w:rFonts w:hint="eastAsia" w:ascii="黑体" w:hAnsi="Arial" w:eastAsia="黑体"/>
          <w:b/>
          <w:sz w:val="28"/>
          <w:szCs w:val="28"/>
        </w:rPr>
        <w:outlineLvl w:val="0"/>
      </w:pPr>
      <w: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Cs/>
          <w:sz w:val="28"/>
          <w:szCs w:val="28"/>
        </w:rPr>
        <w:t xml:space="preserve">总  目  录</w:t>
      </w:r>
      <w:r>
        <w:rPr>
          <w:rFonts w:hint="eastAsia" w:ascii="黑体" w:hAnsi="Arial" w:eastAsia="黑体"/>
          <w:b/>
          <w:sz w:val="28"/>
          <w:szCs w:val="28"/>
        </w:rPr>
      </w:r>
      <w:r/>
    </w:p>
    <w:p>
      <w:pPr>
        <w:pStyle w:val="748"/>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r>
      <w:r/>
    </w:p>
    <w:p>
      <w:pPr>
        <w:pStyle w:val="748"/>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投标邀请……………………………………3</w:t>
      </w:r>
      <w:r/>
    </w:p>
    <w:p>
      <w:pPr>
        <w:pStyle w:val="748"/>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第二章 投标人须知…………………………………7</w:t>
      </w:r>
      <w:r/>
    </w:p>
    <w:p>
      <w:pPr>
        <w:pStyle w:val="748"/>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第三章 合同文本……………………………………17</w:t>
      </w:r>
      <w:r/>
    </w:p>
    <w:p>
      <w:pPr>
        <w:pStyle w:val="748"/>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第四章 采购需求……………………………………22</w:t>
      </w:r>
      <w:r/>
    </w:p>
    <w:p>
      <w:pPr>
        <w:pStyle w:val="748"/>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第五章 评标方法与评标标准………………………94</w:t>
      </w:r>
      <w:r/>
    </w:p>
    <w:p>
      <w:pPr>
        <w:pStyle w:val="748"/>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第六章 投标文件格式………………………………119</w:t>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jc w:val="center"/>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w:t>
      </w:r>
      <w:bookmarkEnd w:id="0"/>
      <w:r>
        <w:rPr>
          <w:rFonts w:hint="eastAsia" w:ascii="方正黑体_GBK" w:hAnsi="方正黑体_GBK" w:eastAsia="方正黑体_GBK" w:cs="方正黑体_GBK"/>
          <w:sz w:val="28"/>
          <w:szCs w:val="28"/>
        </w:rPr>
        <w:t xml:space="preserve">投标邀请</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受江苏省发展和改革委员会的委托，江苏省政府采购中心就江苏省发展和改革委员会相关平台国产化适配改造项目（</w:t>
      </w:r>
      <w:r>
        <w:rPr>
          <w:rFonts w:ascii="方正仿宋_GBK" w:hAnsi="方正仿宋_GBK" w:eastAsia="方正仿宋_GBK" w:cs="方正仿宋_GBK"/>
          <w:sz w:val="28"/>
          <w:szCs w:val="28"/>
        </w:rPr>
        <w:t xml:space="preserve">JSZC-320000-SCZX-G2026-0</w:t>
      </w:r>
      <w:r>
        <w:rPr>
          <w:rFonts w:hint="eastAsia" w:ascii="方正仿宋_GBK" w:hAnsi="方正仿宋_GBK" w:eastAsia="方正仿宋_GBK" w:cs="方正仿宋_GBK"/>
          <w:sz w:val="28"/>
          <w:szCs w:val="28"/>
        </w:rPr>
        <w:t xml:space="preserve">459）进行公开招标采购，欢迎符合条件的供应商投标。</w:t>
      </w:r>
      <w:r/>
    </w:p>
    <w:p>
      <w:pPr>
        <w:pStyle w:val="748"/>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748"/>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江苏省发展和改革委员会相关平台国产化适配改造</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10</w:t>
      </w:r>
      <w:r>
        <w:rPr>
          <w:rFonts w:hint="eastAsia" w:ascii="方正仿宋_GBK" w:hAnsi="方正仿宋_GBK" w:eastAsia="方正仿宋_GBK" w:cs="方正仿宋_GBK"/>
          <w:bCs/>
          <w:sz w:val="28"/>
          <w:szCs w:val="28"/>
        </w:rPr>
        <w:t xml:space="preserve">月</w:t>
      </w:r>
      <w:r>
        <w:rPr>
          <w:rFonts w:hint="eastAsia" w:eastAsia="方正仿宋_GBK"/>
          <w:sz w:val="28"/>
          <w:szCs w:val="28"/>
        </w:rPr>
        <w:t xml:space="preserve">20</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bookmarkStart w:id="6" w:name="_Toc28359002"/>
      <w:r/>
      <w:bookmarkStart w:id="7" w:name="_Toc35393621"/>
      <w:r/>
      <w:bookmarkStart w:id="8" w:name="_Toc38985263"/>
      <w:r/>
      <w:bookmarkStart w:id="9" w:name="_Toc35393790"/>
      <w:r/>
      <w:bookmarkStart w:id="10" w:name="_Toc28359079"/>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仿宋_GBK"/>
          <w:sz w:val="28"/>
          <w:szCs w:val="28"/>
        </w:rPr>
        <w:t xml:space="preserve">：</w:t>
      </w:r>
      <w:r>
        <w:rPr>
          <w:rFonts w:eastAsia="方正仿宋_GBK"/>
          <w:sz w:val="28"/>
          <w:szCs w:val="28"/>
        </w:rPr>
        <w:t xml:space="preserve">JSZC-320000-SCZX-G2026-0</w:t>
      </w:r>
      <w:r>
        <w:rPr>
          <w:rFonts w:hint="eastAsia" w:eastAsia="方正仿宋_GBK"/>
          <w:sz w:val="28"/>
          <w:szCs w:val="28"/>
        </w:rPr>
        <w:t xml:space="preserve">459 </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bookmarkStart w:id="12" w:name="OLE_LINK8"/>
      <w:r/>
      <w:bookmarkStart w:id="13" w:name="OLE_LINK7"/>
      <w:r>
        <w:rPr>
          <w:rFonts w:hint="eastAsia" w:eastAsia="方正仿宋_GBK"/>
          <w:sz w:val="28"/>
          <w:szCs w:val="28"/>
        </w:rPr>
        <w:t xml:space="preserve">江苏省发展和改革委员会</w:t>
      </w:r>
      <w:bookmarkEnd w:id="12"/>
      <w:r/>
      <w:bookmarkEnd w:id="13"/>
      <w:r>
        <w:rPr>
          <w:rFonts w:hint="eastAsia" w:eastAsia="方正仿宋_GBK"/>
          <w:sz w:val="28"/>
          <w:szCs w:val="28"/>
        </w:rPr>
        <w:t xml:space="preserve">相关平台国产化适配改造</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4678"/>
        <w:gridCol w:w="2551"/>
      </w:tblGrid>
      <w:tr>
        <w:trPr/>
        <w:tc>
          <w:tcPr>
            <w:tcW w:w="956"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678"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采购包名称</w:t>
            </w:r>
            <w:r/>
          </w:p>
        </w:tc>
        <w:tc>
          <w:tcPr>
            <w:tcW w:w="2551"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956" w:type="dxa"/>
            <w:vAlign w:val="top"/>
            <w:textDirection w:val="lrTb"/>
            <w:noWrap w:val="false"/>
          </w:tcPr>
          <w:p>
            <w:pPr>
              <w:pStyle w:val="748"/>
              <w:ind w:firstLine="280"/>
              <w:spacing w:line="400" w:lineRule="exact"/>
              <w:rPr>
                <w:rFonts w:hint="eastAsia" w:ascii="方正仿宋_GBK" w:hAnsi="方正仿宋_GBK" w:eastAsia="方正仿宋_GBK" w:cs="方正仿宋_GBK"/>
                <w:sz w:val="28"/>
                <w:szCs w:val="28"/>
              </w:rPr>
            </w:pPr>
            <w:r/>
            <w:bookmarkStart w:id="14" w:name="OLE_LINK9"/>
            <w:r/>
            <w:bookmarkStart w:id="15" w:name="_Hlk233119537"/>
            <w:r/>
            <w:bookmarkStart w:id="16" w:name="OLE_LINK186"/>
            <w:r/>
            <w:bookmarkStart w:id="17" w:name="OLE_LINK185"/>
            <w:r>
              <w:rPr>
                <w:rFonts w:hint="eastAsia" w:ascii="方正仿宋_GBK" w:hAnsi="方正仿宋_GBK" w:eastAsia="方正仿宋_GBK" w:cs="方正仿宋_GBK"/>
                <w:sz w:val="28"/>
                <w:szCs w:val="28"/>
              </w:rPr>
              <w:t xml:space="preserve">1</w:t>
            </w:r>
            <w:r/>
          </w:p>
        </w:tc>
        <w:tc>
          <w:tcPr>
            <w:tcW w:w="4678" w:type="dxa"/>
            <w:vAlign w:val="top"/>
            <w:textDirection w:val="lrTb"/>
            <w:noWrap w:val="false"/>
          </w:tcPr>
          <w:p>
            <w:pPr>
              <w:pStyle w:val="748"/>
              <w:spacing w:line="400" w:lineRule="exact"/>
              <w:rPr>
                <w:rFonts w:hint="eastAsia" w:ascii="方正仿宋_GBK" w:hAnsi="方正仿宋_GBK" w:eastAsia="方正仿宋_GBK" w:cs="方正仿宋_GBK"/>
                <w:sz w:val="28"/>
                <w:szCs w:val="28"/>
              </w:rPr>
            </w:pPr>
            <w:r/>
            <w:bookmarkStart w:id="18" w:name="OLE_LINK60"/>
            <w:r/>
            <w:bookmarkStart w:id="19" w:name="OLE_LINK61"/>
            <w:r>
              <w:rPr>
                <w:rFonts w:ascii="Segoe UI" w:hAnsi="Segoe UI" w:cs="Segoe UI"/>
                <w:shd w:val="clear" w:color="auto" w:fill="fafafa"/>
              </w:rPr>
              <w:t xml:space="preserve">江苏省服务业公共服务云平台国产化适配改造</w:t>
            </w:r>
            <w:bookmarkEnd w:id="18"/>
            <w:r/>
            <w:bookmarkEnd w:id="19"/>
            <w:r>
              <w:rPr>
                <w:rFonts w:hint="eastAsia" w:ascii="方正仿宋_GBK" w:hAnsi="方正仿宋_GBK" w:eastAsia="方正仿宋_GBK" w:cs="方正仿宋_GBK"/>
                <w:sz w:val="28"/>
                <w:szCs w:val="28"/>
              </w:rPr>
            </w:r>
            <w:r/>
          </w:p>
        </w:tc>
        <w:tc>
          <w:tcPr>
            <w:tcW w:w="2551"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96.32</w:t>
            </w:r>
            <w:r/>
          </w:p>
        </w:tc>
      </w:tr>
      <w:tr>
        <w:trPr/>
        <w:tc>
          <w:tcPr>
            <w:tcW w:w="956" w:type="dxa"/>
            <w:vAlign w:val="top"/>
            <w:textDirection w:val="lrTb"/>
            <w:noWrap w:val="false"/>
          </w:tcPr>
          <w:p>
            <w:pPr>
              <w:pStyle w:val="748"/>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4678" w:type="dxa"/>
            <w:vAlign w:val="top"/>
            <w:textDirection w:val="lrTb"/>
            <w:noWrap w:val="false"/>
          </w:tcPr>
          <w:p>
            <w:pPr>
              <w:pStyle w:val="748"/>
              <w:spacing w:line="400" w:lineRule="exact"/>
              <w:rPr>
                <w:rFonts w:ascii="方正仿宋_GBK" w:hAnsi="方正仿宋_GBK" w:eastAsia="方正仿宋_GBK" w:cs="方正仿宋_GBK"/>
                <w:sz w:val="28"/>
                <w:szCs w:val="28"/>
              </w:rPr>
            </w:pPr>
            <w:r/>
            <w:bookmarkStart w:id="20" w:name="OLE_LINK62"/>
            <w:r/>
            <w:bookmarkStart w:id="21" w:name="OLE_LINK63"/>
            <w:r>
              <w:rPr>
                <w:rFonts w:ascii="Segoe UI" w:hAnsi="Segoe UI" w:cs="Segoe UI"/>
                <w:shd w:val="clear" w:color="auto" w:fill="fafafa"/>
              </w:rPr>
              <w:t xml:space="preserve">江苏省重大项目服务管理平台国产化适配改造</w:t>
            </w:r>
            <w:bookmarkEnd w:id="20"/>
            <w:r/>
            <w:bookmarkEnd w:id="21"/>
            <w:r>
              <w:rPr>
                <w:rFonts w:ascii="方正仿宋_GBK" w:hAnsi="方正仿宋_GBK" w:eastAsia="方正仿宋_GBK" w:cs="方正仿宋_GBK"/>
                <w:sz w:val="28"/>
                <w:szCs w:val="28"/>
              </w:rPr>
            </w:r>
            <w:r/>
          </w:p>
        </w:tc>
        <w:tc>
          <w:tcPr>
            <w:tcW w:w="2551" w:type="dxa"/>
            <w:vAlign w:val="center"/>
            <w:textDirection w:val="lrTb"/>
            <w:noWrap w:val="false"/>
          </w:tcPr>
          <w:p>
            <w:pPr>
              <w:pStyle w:val="74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w:t>
            </w:r>
            <w:r>
              <w:rPr>
                <w:rFonts w:ascii="方正仿宋_GBK" w:hAnsi="方正仿宋_GBK" w:eastAsia="方正仿宋_GBK" w:cs="方正仿宋_GBK"/>
                <w:sz w:val="28"/>
                <w:szCs w:val="28"/>
              </w:rPr>
            </w:r>
            <w:r/>
          </w:p>
        </w:tc>
      </w:tr>
      <w:tr>
        <w:trPr/>
        <w:tc>
          <w:tcPr>
            <w:tcW w:w="956" w:type="dxa"/>
            <w:vAlign w:val="top"/>
            <w:textDirection w:val="lrTb"/>
            <w:noWrap w:val="false"/>
          </w:tcPr>
          <w:p>
            <w:pPr>
              <w:pStyle w:val="748"/>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4678" w:type="dxa"/>
            <w:vAlign w:val="top"/>
            <w:textDirection w:val="lrTb"/>
            <w:noWrap w:val="false"/>
          </w:tcPr>
          <w:p>
            <w:pPr>
              <w:pStyle w:val="748"/>
              <w:spacing w:line="400" w:lineRule="exact"/>
              <w:rPr>
                <w:rFonts w:ascii="方正仿宋_GBK" w:hAnsi="方正仿宋_GBK" w:eastAsia="方正仿宋_GBK" w:cs="方正仿宋_GBK"/>
                <w:sz w:val="28"/>
                <w:szCs w:val="28"/>
              </w:rPr>
            </w:pPr>
            <w:r>
              <w:rPr>
                <w:rFonts w:hint="eastAsia" w:ascii="Segoe UI" w:hAnsi="Segoe UI" w:cs="Segoe UI"/>
                <w:shd w:val="clear" w:color="auto" w:fill="fafafa"/>
              </w:rPr>
              <w:t xml:space="preserve">省发改委语音通知系统</w:t>
            </w:r>
            <w:bookmarkStart w:id="22" w:name="OLE_LINK64"/>
            <w:r/>
            <w:bookmarkStart w:id="23" w:name="OLE_LINK65"/>
            <w:r>
              <w:rPr>
                <w:rFonts w:ascii="Segoe UI" w:hAnsi="Segoe UI" w:cs="Segoe UI"/>
                <w:shd w:val="clear" w:color="auto" w:fill="fafafa"/>
              </w:rPr>
              <w:t xml:space="preserve">国产化</w:t>
            </w:r>
            <w:r>
              <w:rPr>
                <w:rFonts w:hint="eastAsia" w:ascii="Segoe UI" w:hAnsi="Segoe UI" w:cs="Segoe UI"/>
                <w:shd w:val="clear" w:color="auto" w:fill="fafafa"/>
              </w:rPr>
              <w:t xml:space="preserve">适配</w:t>
            </w:r>
            <w:r>
              <w:rPr>
                <w:rFonts w:ascii="Segoe UI" w:hAnsi="Segoe UI" w:cs="Segoe UI"/>
                <w:shd w:val="clear" w:color="auto" w:fill="fafafa"/>
              </w:rPr>
              <w:t xml:space="preserve">改造</w:t>
            </w:r>
            <w:bookmarkEnd w:id="22"/>
            <w:r/>
            <w:bookmarkEnd w:id="23"/>
            <w:r>
              <w:rPr>
                <w:rFonts w:ascii="方正仿宋_GBK" w:hAnsi="方正仿宋_GBK" w:eastAsia="方正仿宋_GBK" w:cs="方正仿宋_GBK"/>
                <w:sz w:val="28"/>
                <w:szCs w:val="28"/>
              </w:rPr>
            </w:r>
            <w:r/>
          </w:p>
        </w:tc>
        <w:tc>
          <w:tcPr>
            <w:tcW w:w="2551" w:type="dxa"/>
            <w:vAlign w:val="center"/>
            <w:textDirection w:val="lrTb"/>
            <w:noWrap w:val="false"/>
          </w:tcPr>
          <w:p>
            <w:pPr>
              <w:pStyle w:val="74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w:t>
            </w:r>
            <w:r>
              <w:rPr>
                <w:rFonts w:ascii="方正仿宋_GBK" w:hAnsi="方正仿宋_GBK" w:eastAsia="方正仿宋_GBK" w:cs="方正仿宋_GBK"/>
                <w:sz w:val="28"/>
                <w:szCs w:val="28"/>
              </w:rPr>
            </w:r>
            <w:r/>
          </w:p>
        </w:tc>
      </w:tr>
      <w:tr>
        <w:trPr/>
        <w:tc>
          <w:tcPr>
            <w:tcW w:w="956" w:type="dxa"/>
            <w:vAlign w:val="top"/>
            <w:textDirection w:val="lrTb"/>
            <w:noWrap w:val="false"/>
          </w:tcPr>
          <w:p>
            <w:pPr>
              <w:pStyle w:val="748"/>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4678" w:type="dxa"/>
            <w:vAlign w:val="top"/>
            <w:textDirection w:val="lrTb"/>
            <w:noWrap w:val="false"/>
          </w:tcPr>
          <w:p>
            <w:pPr>
              <w:pStyle w:val="748"/>
              <w:spacing w:line="400" w:lineRule="exact"/>
              <w:rPr>
                <w:rFonts w:ascii="方正仿宋_GBK" w:hAnsi="方正仿宋_GBK" w:eastAsia="方正仿宋_GBK" w:cs="方正仿宋_GBK"/>
                <w:sz w:val="28"/>
                <w:szCs w:val="28"/>
              </w:rPr>
            </w:pPr>
            <w:r/>
            <w:bookmarkStart w:id="24" w:name="OLE_LINK70"/>
            <w:r/>
            <w:bookmarkStart w:id="25" w:name="OLE_LINK69"/>
            <w:r>
              <w:rPr>
                <w:rFonts w:hint="eastAsia" w:ascii="Segoe UI" w:hAnsi="Segoe UI" w:cs="Segoe UI"/>
                <w:shd w:val="clear" w:color="auto" w:fill="fafafa"/>
              </w:rPr>
              <w:t xml:space="preserve">江苏</w:t>
            </w:r>
            <w:r>
              <w:rPr>
                <w:rFonts w:ascii="Segoe UI" w:hAnsi="Segoe UI" w:cs="Segoe UI"/>
                <w:shd w:val="clear" w:color="auto" w:fill="fafafa"/>
              </w:rPr>
              <w:t xml:space="preserve">省</w:t>
            </w:r>
            <w:r>
              <w:rPr>
                <w:rFonts w:hint="eastAsia" w:ascii="Segoe UI" w:hAnsi="Segoe UI" w:cs="Segoe UI"/>
                <w:shd w:val="clear" w:color="auto" w:fill="fafafa"/>
              </w:rPr>
              <w:t xml:space="preserve">收费动态监管服务系统</w:t>
            </w:r>
            <w:r>
              <w:rPr>
                <w:rFonts w:ascii="Segoe UI" w:hAnsi="Segoe UI" w:cs="Segoe UI"/>
                <w:shd w:val="clear" w:color="auto" w:fill="fafafa"/>
              </w:rPr>
              <w:t xml:space="preserve">国产化适配改造</w:t>
            </w:r>
            <w:bookmarkEnd w:id="24"/>
            <w:r/>
            <w:bookmarkEnd w:id="25"/>
            <w:r>
              <w:rPr>
                <w:rFonts w:ascii="方正仿宋_GBK" w:hAnsi="方正仿宋_GBK" w:eastAsia="方正仿宋_GBK" w:cs="方正仿宋_GBK"/>
                <w:sz w:val="28"/>
                <w:szCs w:val="28"/>
              </w:rPr>
            </w:r>
            <w:r/>
          </w:p>
        </w:tc>
        <w:tc>
          <w:tcPr>
            <w:tcW w:w="2551" w:type="dxa"/>
            <w:vAlign w:val="center"/>
            <w:textDirection w:val="lrTb"/>
            <w:noWrap w:val="false"/>
          </w:tcPr>
          <w:p>
            <w:pPr>
              <w:pStyle w:val="74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19.4</w:t>
            </w:r>
            <w:r>
              <w:rPr>
                <w:rFonts w:ascii="方正仿宋_GBK" w:hAnsi="方正仿宋_GBK" w:eastAsia="方正仿宋_GBK" w:cs="方正仿宋_GBK"/>
                <w:sz w:val="28"/>
                <w:szCs w:val="28"/>
              </w:rPr>
            </w:r>
            <w:r/>
          </w:p>
        </w:tc>
      </w:tr>
      <w:tr>
        <w:trPr/>
        <w:tc>
          <w:tcPr>
            <w:tcW w:w="956" w:type="dxa"/>
            <w:vAlign w:val="top"/>
            <w:textDirection w:val="lrTb"/>
            <w:noWrap w:val="false"/>
          </w:tcPr>
          <w:p>
            <w:pPr>
              <w:pStyle w:val="748"/>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4678" w:type="dxa"/>
            <w:vAlign w:val="top"/>
            <w:textDirection w:val="lrTb"/>
            <w:noWrap w:val="false"/>
          </w:tcPr>
          <w:p>
            <w:pPr>
              <w:pStyle w:val="748"/>
              <w:spacing w:line="400" w:lineRule="exact"/>
              <w:rPr>
                <w:rFonts w:ascii="方正仿宋_GBK" w:hAnsi="方正仿宋_GBK" w:eastAsia="方正仿宋_GBK" w:cs="方正仿宋_GBK"/>
                <w:sz w:val="28"/>
                <w:szCs w:val="28"/>
              </w:rPr>
            </w:pPr>
            <w:r/>
            <w:bookmarkStart w:id="26" w:name="OLE_LINK76"/>
            <w:r/>
            <w:bookmarkStart w:id="27" w:name="OLE_LINK75"/>
            <w:r>
              <w:rPr>
                <w:rFonts w:ascii="Segoe UI" w:hAnsi="Segoe UI" w:cs="Segoe UI"/>
                <w:shd w:val="clear" w:color="auto" w:fill="fafafa"/>
              </w:rPr>
              <w:t xml:space="preserve">江苏省经济运行企业调查平台国产化适配改造</w:t>
            </w:r>
            <w:bookmarkEnd w:id="26"/>
            <w:r/>
            <w:bookmarkEnd w:id="27"/>
            <w:r>
              <w:rPr>
                <w:rFonts w:ascii="方正仿宋_GBK" w:hAnsi="方正仿宋_GBK" w:eastAsia="方正仿宋_GBK" w:cs="方正仿宋_GBK"/>
                <w:sz w:val="28"/>
                <w:szCs w:val="28"/>
              </w:rPr>
            </w:r>
            <w:r/>
          </w:p>
        </w:tc>
        <w:tc>
          <w:tcPr>
            <w:tcW w:w="2551" w:type="dxa"/>
            <w:vAlign w:val="center"/>
            <w:textDirection w:val="lrTb"/>
            <w:noWrap w:val="false"/>
          </w:tcPr>
          <w:p>
            <w:pPr>
              <w:pStyle w:val="74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w:t>
            </w:r>
            <w:r>
              <w:rPr>
                <w:rFonts w:ascii="方正仿宋_GBK" w:hAnsi="方正仿宋_GBK" w:eastAsia="方正仿宋_GBK" w:cs="方正仿宋_GBK"/>
                <w:sz w:val="28"/>
                <w:szCs w:val="28"/>
              </w:rPr>
            </w:r>
            <w:r/>
          </w:p>
        </w:tc>
      </w:tr>
      <w:tr>
        <w:trPr/>
        <w:tc>
          <w:tcPr>
            <w:tcW w:w="956" w:type="dxa"/>
            <w:vAlign w:val="top"/>
            <w:textDirection w:val="lrTb"/>
            <w:noWrap w:val="false"/>
          </w:tcPr>
          <w:p>
            <w:pPr>
              <w:pStyle w:val="748"/>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4678" w:type="dxa"/>
            <w:vAlign w:val="top"/>
            <w:textDirection w:val="lrTb"/>
            <w:noWrap w:val="false"/>
          </w:tcPr>
          <w:p>
            <w:pPr>
              <w:pStyle w:val="748"/>
              <w:spacing w:line="400" w:lineRule="exact"/>
              <w:rPr>
                <w:rFonts w:ascii="方正仿宋_GBK" w:hAnsi="方正仿宋_GBK" w:eastAsia="方正仿宋_GBK" w:cs="方正仿宋_GBK"/>
                <w:sz w:val="28"/>
                <w:szCs w:val="28"/>
              </w:rPr>
            </w:pPr>
            <w:r/>
            <w:bookmarkStart w:id="28" w:name="OLE_LINK78"/>
            <w:r/>
            <w:bookmarkStart w:id="29" w:name="OLE_LINK77"/>
            <w:r>
              <w:rPr>
                <w:rFonts w:ascii="Segoe UI" w:hAnsi="Segoe UI" w:cs="Segoe UI"/>
                <w:shd w:val="clear" w:color="auto" w:fill="fafafa"/>
              </w:rPr>
              <w:t xml:space="preserve">江苏省物流公共服务平台国产化适配改造</w:t>
            </w:r>
            <w:bookmarkEnd w:id="28"/>
            <w:r/>
            <w:bookmarkEnd w:id="29"/>
            <w:r>
              <w:rPr>
                <w:rFonts w:ascii="方正仿宋_GBK" w:hAnsi="方正仿宋_GBK" w:eastAsia="方正仿宋_GBK" w:cs="方正仿宋_GBK"/>
                <w:sz w:val="28"/>
                <w:szCs w:val="28"/>
              </w:rPr>
            </w:r>
            <w:r/>
          </w:p>
        </w:tc>
        <w:tc>
          <w:tcPr>
            <w:tcW w:w="2551" w:type="dxa"/>
            <w:vAlign w:val="center"/>
            <w:textDirection w:val="lrTb"/>
            <w:noWrap w:val="false"/>
          </w:tcPr>
          <w:p>
            <w:pPr>
              <w:pStyle w:val="74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w:t>
            </w:r>
            <w:r>
              <w:rPr>
                <w:rFonts w:ascii="方正仿宋_GBK" w:hAnsi="方正仿宋_GBK" w:eastAsia="方正仿宋_GBK" w:cs="方正仿宋_GBK"/>
                <w:sz w:val="28"/>
                <w:szCs w:val="28"/>
              </w:rPr>
            </w:r>
            <w:r/>
          </w:p>
        </w:tc>
      </w:tr>
    </w:tbl>
    <w:p>
      <w:pPr>
        <w:pStyle w:val="748"/>
        <w:ind w:firstLine="560"/>
        <w:spacing w:line="400" w:lineRule="exact"/>
        <w:rPr>
          <w:rFonts w:hint="eastAsia" w:ascii="方正仿宋_GBK" w:hAnsi="方正仿宋_GBK" w:eastAsia="方正仿宋_GBK" w:cs="方正仿宋_GBK"/>
          <w:sz w:val="28"/>
          <w:szCs w:val="28"/>
        </w:rPr>
      </w:pPr>
      <w:r/>
      <w:bookmarkEnd w:id="14"/>
      <w:r/>
      <w:bookmarkEnd w:id="15"/>
      <w:r/>
      <w:bookmarkEnd w:id="16"/>
      <w:r/>
      <w:bookmarkEnd w:id="17"/>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bookmarkStart w:id="30" w:name="OLE_LINK2"/>
            <w:r>
              <w:rPr>
                <w:rFonts w:hint="eastAsia" w:ascii="方正仿宋_GBK" w:hAnsi="方正仿宋_GBK" w:eastAsia="方正仿宋_GBK" w:cs="方正仿宋_GBK"/>
                <w:sz w:val="28"/>
                <w:szCs w:val="28"/>
              </w:rPr>
              <w:t xml:space="preserve">采购</w:t>
            </w:r>
            <w:r/>
          </w:p>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vAlign w:val="center"/>
            <w:textDirection w:val="lrTb"/>
            <w:noWrap w:val="false"/>
          </w:tcPr>
          <w:p>
            <w:pPr>
              <w:pStyle w:val="74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96.32</w:t>
            </w:r>
            <w:r>
              <w:rPr>
                <w:rFonts w:ascii="方正仿宋_GBK" w:hAnsi="方正仿宋_GBK" w:eastAsia="方正仿宋_GBK" w:cs="方正仿宋_GBK"/>
                <w:sz w:val="28"/>
                <w:szCs w:val="28"/>
              </w:rPr>
            </w:r>
            <w:r/>
          </w:p>
        </w:tc>
      </w:tr>
      <w:tr>
        <w:trPr/>
        <w:tc>
          <w:tcPr>
            <w:tcW w:w="1148"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233" w:type="dxa"/>
            <w:vAlign w:val="center"/>
            <w:textDirection w:val="lrTb"/>
            <w:noWrap w:val="false"/>
          </w:tcPr>
          <w:p>
            <w:pPr>
              <w:pStyle w:val="74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w:t>
            </w:r>
            <w:r>
              <w:rPr>
                <w:rFonts w:ascii="方正仿宋_GBK" w:hAnsi="方正仿宋_GBK" w:eastAsia="方正仿宋_GBK" w:cs="方正仿宋_GBK"/>
                <w:sz w:val="28"/>
                <w:szCs w:val="28"/>
              </w:rPr>
            </w:r>
            <w:r/>
          </w:p>
        </w:tc>
      </w:tr>
      <w:tr>
        <w:trPr/>
        <w:tc>
          <w:tcPr>
            <w:tcW w:w="1148"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3233" w:type="dxa"/>
            <w:vAlign w:val="center"/>
            <w:textDirection w:val="lrTb"/>
            <w:noWrap w:val="false"/>
          </w:tcPr>
          <w:p>
            <w:pPr>
              <w:pStyle w:val="74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w:t>
            </w:r>
            <w:r>
              <w:rPr>
                <w:rFonts w:ascii="方正仿宋_GBK" w:hAnsi="方正仿宋_GBK" w:eastAsia="方正仿宋_GBK" w:cs="方正仿宋_GBK"/>
                <w:sz w:val="28"/>
                <w:szCs w:val="28"/>
              </w:rPr>
            </w:r>
            <w:r/>
          </w:p>
        </w:tc>
      </w:tr>
      <w:tr>
        <w:trPr/>
        <w:tc>
          <w:tcPr>
            <w:tcW w:w="1148"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3233" w:type="dxa"/>
            <w:vAlign w:val="center"/>
            <w:textDirection w:val="lrTb"/>
            <w:noWrap w:val="false"/>
          </w:tcPr>
          <w:p>
            <w:pPr>
              <w:pStyle w:val="74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19.4</w:t>
            </w:r>
            <w:r>
              <w:rPr>
                <w:rFonts w:ascii="方正仿宋_GBK" w:hAnsi="方正仿宋_GBK" w:eastAsia="方正仿宋_GBK" w:cs="方正仿宋_GBK"/>
                <w:sz w:val="28"/>
                <w:szCs w:val="28"/>
              </w:rPr>
            </w:r>
            <w:r/>
          </w:p>
        </w:tc>
      </w:tr>
      <w:tr>
        <w:trPr/>
        <w:tc>
          <w:tcPr>
            <w:tcW w:w="1148"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3233" w:type="dxa"/>
            <w:vAlign w:val="center"/>
            <w:textDirection w:val="lrTb"/>
            <w:noWrap w:val="false"/>
          </w:tcPr>
          <w:p>
            <w:pPr>
              <w:pStyle w:val="74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w:t>
            </w:r>
            <w:r>
              <w:rPr>
                <w:rFonts w:ascii="方正仿宋_GBK" w:hAnsi="方正仿宋_GBK" w:eastAsia="方正仿宋_GBK" w:cs="方正仿宋_GBK"/>
                <w:sz w:val="28"/>
                <w:szCs w:val="28"/>
              </w:rPr>
            </w:r>
            <w:r/>
          </w:p>
        </w:tc>
      </w:tr>
      <w:tr>
        <w:trPr/>
        <w:tc>
          <w:tcPr>
            <w:tcW w:w="1148"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3233" w:type="dxa"/>
            <w:vAlign w:val="center"/>
            <w:textDirection w:val="lrTb"/>
            <w:noWrap w:val="false"/>
          </w:tcPr>
          <w:p>
            <w:pPr>
              <w:pStyle w:val="748"/>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w:t>
            </w:r>
            <w:r>
              <w:rPr>
                <w:rFonts w:ascii="方正仿宋_GBK" w:hAnsi="方正仿宋_GBK" w:eastAsia="方正仿宋_GBK" w:cs="方正仿宋_GBK"/>
                <w:sz w:val="28"/>
                <w:szCs w:val="28"/>
              </w:rPr>
            </w:r>
            <w:r/>
          </w:p>
        </w:tc>
      </w:tr>
    </w:tbl>
    <w:p>
      <w:pPr>
        <w:pStyle w:val="748"/>
        <w:ind w:firstLine="560"/>
        <w:spacing w:line="400" w:lineRule="exact"/>
        <w:rPr>
          <w:rFonts w:hint="eastAsia" w:ascii="方正仿宋_GBK" w:hAnsi="方正仿宋_GBK" w:eastAsia="方正仿宋_GBK" w:cs="方正仿宋_GBK"/>
          <w:sz w:val="28"/>
          <w:szCs w:val="28"/>
          <w:u w:val="single"/>
        </w:rPr>
      </w:pPr>
      <w:r/>
      <w:bookmarkEnd w:id="30"/>
      <w:r/>
      <w:bookmarkStart w:id="31" w:name="_Toc28359080"/>
      <w:r/>
      <w:bookmarkStart w:id="32" w:name="_Toc35393791"/>
      <w:r/>
      <w:bookmarkStart w:id="33" w:name="_Toc35393622"/>
      <w:r/>
      <w:bookmarkStart w:id="34" w:name="_Toc28359003"/>
      <w:r/>
      <w:bookmarkStart w:id="35" w:name="_Toc38985264"/>
      <w:r>
        <w:rPr>
          <w:rFonts w:hint="eastAsia" w:ascii="方正仿宋_GBK" w:hAnsi="方正仿宋_GBK" w:eastAsia="方正仿宋_GBK" w:cs="方正仿宋_GBK"/>
          <w:sz w:val="28"/>
          <w:szCs w:val="28"/>
        </w:rPr>
        <w:t xml:space="preserve">5.采购需求(简介)：</w:t>
      </w:r>
      <w:r>
        <w:rPr>
          <w:rFonts w:eastAsia="方正仿宋_GBK"/>
          <w:sz w:val="28"/>
          <w:szCs w:val="28"/>
        </w:rPr>
        <w:t xml:space="preserve">本项目采购</w:t>
      </w:r>
      <w:r>
        <w:rPr>
          <w:rFonts w:hint="eastAsia" w:eastAsia="方正仿宋_GBK"/>
          <w:sz w:val="28"/>
          <w:szCs w:val="28"/>
        </w:rPr>
        <w:t xml:space="preserve">六个平台的国产化适配改造。</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w:t>
      </w:r>
      <w:bookmarkStart w:id="36" w:name="OLE_LINK3"/>
      <w:r>
        <w:rPr>
          <w:rFonts w:hint="eastAsia" w:ascii="方正仿宋_GBK" w:hAnsi="方正仿宋_GBK" w:eastAsia="方正仿宋_GBK" w:cs="方正仿宋_GBK"/>
          <w:sz w:val="28"/>
          <w:szCs w:val="28"/>
        </w:rPr>
      </w:r>
      <w:r/>
      <w:r>
        <w:rPr>
          <w:rFonts w:hint="eastAsia" w:ascii="方正仿宋_GBK" w:hAnsi="方正仿宋_GBK" w:eastAsia="方正仿宋_GBK" w:cs="方正仿宋_GBK"/>
          <w:b/>
          <w:sz w:val="28"/>
          <w:szCs w:val="28"/>
        </w:rPr>
        <w:t xml:space="preserve">采购包1-6</w:t>
      </w:r>
      <w:r>
        <w:rPr>
          <w:rFonts w:hint="eastAsia" w:ascii="方正仿宋_GBK" w:hAnsi="方正仿宋_GBK" w:eastAsia="方正仿宋_GBK" w:cs="方正仿宋_GBK"/>
          <w:sz w:val="28"/>
          <w:szCs w:val="28"/>
        </w:rPr>
        <w:t xml:space="preserve">：</w:t>
      </w:r>
      <w:r>
        <w:rPr>
          <w:rFonts w:hint="eastAsia" w:eastAsia="方正仿宋_GBK"/>
          <w:sz w:val="28"/>
          <w:szCs w:val="28"/>
        </w:rPr>
        <w:t xml:space="preserve">自合同签订后至2026年12月底前完成系统的国产化适配改造、上线运行和验收等工作</w:t>
      </w:r>
      <w:r>
        <w:rPr>
          <w:rFonts w:hint="eastAsia" w:eastAsia="方正仿宋_GBK"/>
          <w:sz w:val="28"/>
          <w:szCs w:val="28"/>
        </w:rPr>
        <w:t xml:space="preserve">。</w:t>
      </w:r>
      <w:bookmarkEnd w:id="36"/>
      <w:r>
        <w:rPr>
          <w:rFonts w:hint="eastAsia" w:eastAsia="方正仿宋_GBK"/>
          <w:sz w:val="28"/>
          <w:szCs w:val="28"/>
        </w:rPr>
      </w:r>
      <w:r/>
      <w:r>
        <w:rPr>
          <w:rFonts w:hint="eastAsia" w:ascii="方正仿宋_GBK" w:hAnsi="方正仿宋_GBK" w:eastAsia="方正仿宋_GBK" w:cs="方正仿宋_GBK"/>
          <w:sz w:val="28"/>
          <w:szCs w:val="28"/>
        </w:rP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二、申请人的资格要求</w:t>
      </w:r>
      <w:bookmarkEnd w:id="31"/>
      <w:r/>
      <w:bookmarkEnd w:id="32"/>
      <w:r/>
      <w:bookmarkEnd w:id="33"/>
      <w:r/>
      <w:bookmarkEnd w:id="34"/>
      <w:r/>
      <w:bookmarkEnd w:id="35"/>
      <w:r>
        <w:rPr>
          <w:rFonts w:hint="eastAsia" w:ascii="方正黑体_GBK" w:hAnsi="方正黑体_GBK" w:eastAsia="方正黑体_GBK" w:cs="方正黑体_GBK"/>
          <w:sz w:val="28"/>
          <w:szCs w:val="28"/>
        </w:rPr>
      </w:r>
      <w:r/>
    </w:p>
    <w:p>
      <w:pPr>
        <w:pStyle w:val="748"/>
        <w:ind w:firstLine="560"/>
        <w:spacing w:line="400" w:lineRule="exact"/>
        <w:rPr>
          <w:rFonts w:hint="eastAsia" w:ascii="方正楷体_GBK" w:hAnsi="方正楷体_GBK" w:eastAsia="方正楷体_GBK" w:cs="方正楷体_GBK"/>
          <w:sz w:val="28"/>
          <w:szCs w:val="28"/>
        </w:rPr>
      </w:pPr>
      <w:r/>
      <w:bookmarkStart w:id="37" w:name="_Toc35393623"/>
      <w:r/>
      <w:bookmarkStart w:id="38" w:name="_Toc35393792"/>
      <w:r/>
      <w:bookmarkStart w:id="39" w:name="_Toc38985265"/>
      <w:r/>
      <w:bookmarkStart w:id="40" w:name="_Toc28359004"/>
      <w:r/>
      <w:bookmarkStart w:id="41" w:name="_Toc28359081"/>
      <w:r>
        <w:rPr>
          <w:rFonts w:hint="eastAsia" w:ascii="方正楷体_GBK" w:hAnsi="方正楷体_GBK" w:eastAsia="方正楷体_GBK" w:cs="方正楷体_GBK"/>
          <w:sz w:val="28"/>
          <w:szCs w:val="28"/>
        </w:rPr>
        <w:t xml:space="preserve">（一）通用资格要求</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1.1法人或者其他组织的营业执照等证明文件，自然人的身份证明；</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4.本项目不接受联合体投标。</w:t>
      </w:r>
      <w:r/>
    </w:p>
    <w:p>
      <w:pPr>
        <w:pStyle w:val="748"/>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bookmarkEnd w:id="37"/>
      <w:r/>
      <w:bookmarkEnd w:id="38"/>
      <w:r/>
      <w:bookmarkEnd w:id="39"/>
      <w:r/>
      <w:bookmarkEnd w:id="40"/>
      <w:r/>
      <w:bookmarkEnd w:id="41"/>
      <w:r/>
      <w:bookmarkStart w:id="42" w:name="_Toc35393794"/>
      <w:r/>
      <w:bookmarkStart w:id="43" w:name="_Toc28359007"/>
      <w:r/>
      <w:bookmarkStart w:id="44" w:name="_Toc35393625"/>
      <w:r/>
      <w:bookmarkStart w:id="45" w:name="_Toc38985267"/>
      <w:r/>
      <w:bookmarkStart w:id="46" w:name="_Toc28359084"/>
      <w:r/>
      <w:bookmarkStart w:id="47" w:name="_Toc28359082"/>
      <w:r/>
      <w:bookmarkStart w:id="48" w:name="_Toc28359005"/>
      <w:r/>
      <w:bookmarkStart w:id="49" w:name="_Toc35393624"/>
      <w:r/>
      <w:bookmarkStart w:id="50" w:name="_Toc35393793"/>
      <w:r/>
      <w:bookmarkStart w:id="51" w:name="_Toc38985266"/>
      <w:r>
        <w:rPr>
          <w:rFonts w:hint="eastAsia" w:ascii="方正黑体_GBK" w:hAnsi="方正黑体_GBK" w:eastAsia="方正黑体_GBK" w:cs="方正黑体_GBK"/>
          <w:sz w:val="28"/>
          <w:szCs w:val="28"/>
        </w:rPr>
        <w:t xml:space="preserve">四、提交投标文件</w:t>
      </w:r>
      <w:bookmarkEnd w:id="47"/>
      <w:r/>
      <w:bookmarkEnd w:id="48"/>
      <w:r>
        <w:rPr>
          <w:rFonts w:hint="eastAsia" w:ascii="方正黑体_GBK" w:hAnsi="方正黑体_GBK" w:eastAsia="方正黑体_GBK" w:cs="方正黑体_GBK"/>
          <w:sz w:val="28"/>
          <w:szCs w:val="28"/>
        </w:rPr>
        <w:t xml:space="preserve">截止时间、开标时间和地点</w:t>
      </w:r>
      <w:bookmarkEnd w:id="49"/>
      <w:r/>
      <w:bookmarkEnd w:id="50"/>
      <w:r/>
      <w:bookmarkEnd w:id="51"/>
      <w:r>
        <w:rPr>
          <w:rFonts w:hint="eastAsia" w:ascii="方正黑体_GBK" w:hAnsi="方正黑体_GBK" w:eastAsia="方正黑体_GBK" w:cs="方正黑体_GBK"/>
          <w:sz w:val="28"/>
          <w:szCs w:val="28"/>
        </w:rPr>
      </w:r>
      <w:r/>
    </w:p>
    <w:p>
      <w:pPr>
        <w:pStyle w:val="748"/>
        <w:ind w:firstLine="560"/>
        <w:spacing w:line="400" w:lineRule="exact"/>
        <w:rPr>
          <w:rFonts w:ascii="宋体" w:hAnsi="宋体"/>
          <w:bCs/>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10</w:t>
      </w:r>
      <w:r>
        <w:rPr>
          <w:rFonts w:hint="eastAsia" w:ascii="方正仿宋_GBK" w:hAnsi="方正仿宋_GBK" w:eastAsia="方正仿宋_GBK" w:cs="方正仿宋_GBK"/>
          <w:bCs/>
          <w:sz w:val="28"/>
          <w:szCs w:val="28"/>
        </w:rPr>
        <w:t xml:space="preserve">月</w:t>
      </w:r>
      <w:r>
        <w:rPr>
          <w:rFonts w:hint="eastAsia" w:eastAsia="方正仿宋_GBK"/>
          <w:sz w:val="28"/>
          <w:szCs w:val="28"/>
        </w:rPr>
        <w:t xml:space="preserve">20</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sz w:val="28"/>
          <w:szCs w:val="28"/>
          <w:u w:val="single"/>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bookmarkEnd w:id="42"/>
      <w:r/>
      <w:bookmarkEnd w:id="43"/>
      <w:r/>
      <w:bookmarkEnd w:id="44"/>
      <w:r/>
      <w:bookmarkEnd w:id="45"/>
      <w:r/>
      <w:bookmarkEnd w:id="46"/>
      <w:r/>
      <w:bookmarkStart w:id="52" w:name="_Toc35393626"/>
      <w:r/>
      <w:bookmarkStart w:id="53" w:name="_Toc35393795"/>
      <w:r/>
      <w:bookmarkStart w:id="54" w:name="_Toc38985268"/>
      <w:r>
        <w:rPr>
          <w:rFonts w:hint="eastAsia" w:ascii="方正黑体_GBK" w:hAnsi="方正黑体_GBK" w:eastAsia="方正黑体_GBK" w:cs="方正黑体_GBK"/>
          <w:sz w:val="28"/>
          <w:szCs w:val="28"/>
        </w:rPr>
        <w:t xml:space="preserve">五、公告期限</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bookmarkEnd w:id="52"/>
      <w:r/>
      <w:bookmarkEnd w:id="53"/>
      <w:r/>
      <w:bookmarkEnd w:id="54"/>
      <w:r/>
      <w:bookmarkStart w:id="55" w:name="_Toc38985269"/>
      <w:r/>
      <w:bookmarkStart w:id="56" w:name="_Toc35393627"/>
      <w:r/>
      <w:bookmarkStart w:id="57" w:name="_Toc28359085"/>
      <w:r/>
      <w:bookmarkStart w:id="58" w:name="_Toc28359008"/>
      <w:r/>
      <w:bookmarkStart w:id="59" w:name="_Toc35393796"/>
      <w:r>
        <w:rPr>
          <w:rFonts w:hint="eastAsia" w:ascii="方正黑体_GBK" w:hAnsi="方正黑体_GBK" w:eastAsia="方正黑体_GBK" w:cs="方正黑体_GBK"/>
          <w:sz w:val="28"/>
          <w:szCs w:val="28"/>
        </w:rPr>
        <w:t xml:space="preserve">六、其他补充事宜</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bookmarkEnd w:id="55"/>
      <w:r/>
      <w:bookmarkEnd w:id="56"/>
      <w:r/>
      <w:bookmarkEnd w:id="57"/>
      <w:r/>
      <w:bookmarkEnd w:id="58"/>
      <w:r/>
      <w:bookmarkEnd w:id="59"/>
      <w:r>
        <w:rPr>
          <w:rFonts w:hint="eastAsia" w:ascii="方正黑体_GBK" w:hAnsi="方正黑体_GBK" w:eastAsia="方正黑体_GBK" w:cs="方正黑体_GBK"/>
          <w:sz w:val="28"/>
          <w:szCs w:val="28"/>
        </w:rPr>
        <w:t xml:space="preserve">七、本次招标联系方式</w:t>
      </w:r>
      <w:r/>
    </w:p>
    <w:p>
      <w:pPr>
        <w:pStyle w:val="748"/>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江苏省发展和改革委员会</w:t>
      </w:r>
      <w:r>
        <w:rPr>
          <w:rFonts w:hint="eastAsia" w:ascii="方正仿宋_GBK" w:hAnsi="方正仿宋_GBK" w:eastAsia="方正仿宋_GBK" w:cs="方正仿宋_GBK"/>
          <w:sz w:val="28"/>
          <w:szCs w:val="28"/>
        </w:rPr>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南京市浦江路30号1号楼</w:t>
      </w:r>
      <w:r>
        <w:rPr>
          <w:rFonts w:hint="eastAsia" w:ascii="方正仿宋_GBK" w:hAnsi="方正仿宋_GBK" w:eastAsia="方正仿宋_GBK" w:cs="方正仿宋_GBK"/>
          <w:sz w:val="28"/>
          <w:szCs w:val="28"/>
        </w:rPr>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陈俊     </w:t>
      </w:r>
      <w:r/>
    </w:p>
    <w:p>
      <w:pPr>
        <w:pStyle w:val="748"/>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025-83390155　　　　　　　　</w:t>
      </w:r>
      <w:bookmarkStart w:id="60" w:name="_Toc28359009"/>
      <w:r/>
      <w:bookmarkStart w:id="61" w:name="_Toc28359086"/>
      <w:r>
        <w:rPr>
          <w:rFonts w:hint="eastAsia" w:ascii="方正仿宋_GBK" w:hAnsi="方正仿宋_GBK" w:eastAsia="方正仿宋_GBK" w:cs="方正仿宋_GBK"/>
          <w:sz w:val="28"/>
          <w:szCs w:val="28"/>
          <w:u w:val="single"/>
        </w:rPr>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60"/>
      <w:r/>
      <w:bookmarkEnd w:id="61"/>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南京市汉中门大街145号省政务中心二期3楼南区</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张文怡、王烨</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w:t>
      </w:r>
      <w:bookmarkStart w:id="62" w:name="_Toc28359010"/>
      <w:r/>
      <w:bookmarkStart w:id="63" w:name="_Toc28359087"/>
      <w:r>
        <w:rPr>
          <w:rFonts w:hint="eastAsia" w:ascii="方正仿宋_GBK" w:hAnsi="方正仿宋_GBK" w:eastAsia="方正仿宋_GBK" w:cs="方正仿宋_GBK"/>
          <w:sz w:val="28"/>
          <w:szCs w:val="28"/>
          <w:u w:val="single"/>
        </w:rPr>
        <w:t xml:space="preserve">025-83668505、025-83668550</w:t>
      </w:r>
      <w:r>
        <w:rPr>
          <w:rFonts w:hint="eastAsia" w:ascii="方正仿宋_GBK" w:hAnsi="方正仿宋_GBK" w:eastAsia="方正仿宋_GBK" w:cs="方正仿宋_GBK"/>
          <w:sz w:val="28"/>
          <w:szCs w:val="28"/>
        </w:rPr>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bookmarkEnd w:id="62"/>
      <w:r/>
      <w:bookmarkEnd w:id="63"/>
      <w:r>
        <w:rPr>
          <w:rFonts w:hint="eastAsia" w:ascii="方正黑体_GBK" w:hAnsi="方正黑体_GBK" w:eastAsia="方正黑体_GBK" w:cs="方正黑体_GBK"/>
          <w:sz w:val="28"/>
          <w:szCs w:val="28"/>
        </w:rPr>
        <w:t xml:space="preserve">八、其他</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748"/>
        <w:ind w:right="839"/>
        <w:jc w:val="center"/>
        <w:spacing w:line="400" w:lineRule="exact"/>
        <w:rPr>
          <w:rFonts w:hint="eastAsia" w:ascii="宋体" w:hAnsi="宋体"/>
          <w:sz w:val="28"/>
          <w:szCs w:val="28"/>
        </w:rPr>
      </w:pPr>
      <w:r>
        <w:rPr>
          <w:rFonts w:ascii="宋体" w:hAnsi="宋体"/>
          <w:sz w:val="24"/>
          <w:szCs w:val="24"/>
        </w:rPr>
        <w:br w:type="page" w:clear="all"/>
      </w:r>
      <w:bookmarkStart w:id="64" w:name="_Toc120614211"/>
      <w:r>
        <w:rPr>
          <w:rFonts w:hint="eastAsia" w:ascii="方正黑体_GBK" w:hAnsi="方正黑体_GBK" w:eastAsia="方正黑体_GBK" w:cs="方正黑体_GBK"/>
          <w:sz w:val="28"/>
          <w:szCs w:val="28"/>
        </w:rPr>
        <w:t xml:space="preserve">第二章  </w:t>
      </w:r>
      <w:bookmarkEnd w:id="1"/>
      <w:r/>
      <w:bookmarkEnd w:id="2"/>
      <w:r/>
      <w:bookmarkEnd w:id="3"/>
      <w:r/>
      <w:bookmarkEnd w:id="4"/>
      <w:r/>
      <w:bookmarkEnd w:id="5"/>
      <w:r/>
      <w:bookmarkEnd w:id="64"/>
      <w:r/>
      <w:bookmarkStart w:id="65" w:name="_Toc513029202"/>
      <w:r/>
      <w:bookmarkStart w:id="66" w:name="_Toc20823274"/>
      <w:r/>
      <w:bookmarkStart w:id="67" w:name="_Toc120614213"/>
      <w:r/>
      <w:bookmarkStart w:id="68" w:name="_Toc16938518"/>
      <w:r>
        <w:rPr>
          <w:rFonts w:hint="eastAsia" w:ascii="方正黑体_GBK" w:hAnsi="方正黑体_GBK" w:eastAsia="方正黑体_GBK" w:cs="方正黑体_GBK"/>
          <w:sz w:val="28"/>
          <w:szCs w:val="28"/>
        </w:rPr>
        <w:t xml:space="preserve">投标人须知</w:t>
      </w:r>
      <w:bookmarkEnd w:id="65"/>
      <w:r/>
      <w:bookmarkEnd w:id="66"/>
      <w:r/>
      <w:bookmarkEnd w:id="67"/>
      <w:r/>
      <w:bookmarkEnd w:id="68"/>
      <w:r>
        <w:rPr>
          <w:rFonts w:hint="eastAsia" w:ascii="宋体" w:hAnsi="宋体"/>
          <w:sz w:val="28"/>
          <w:szCs w:val="28"/>
        </w:rPr>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一、总则</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748"/>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二、招标文件</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74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bookmarkStart w:id="69" w:name="_Toc120614216"/>
      <w:r/>
      <w:bookmarkStart w:id="70" w:name="_Toc20823285"/>
      <w:r/>
      <w:bookmarkStart w:id="71" w:name="_Toc513029213"/>
      <w:r/>
      <w:bookmarkStart w:id="72" w:name="_Toc462564072"/>
      <w:r/>
      <w:bookmarkStart w:id="73" w:name="_Toc16938529"/>
      <w:r>
        <w:rPr>
          <w:rFonts w:hint="eastAsia" w:ascii="方正黑体_GBK" w:hAnsi="方正黑体_GBK" w:eastAsia="方正黑体_GBK" w:cs="方正黑体_GBK"/>
          <w:sz w:val="28"/>
          <w:szCs w:val="28"/>
        </w:rPr>
        <w:t xml:space="preserve">三、投标文件的编制</w:t>
      </w:r>
      <w:bookmarkEnd w:id="69"/>
      <w:r/>
      <w:bookmarkEnd w:id="70"/>
      <w:r/>
      <w:bookmarkEnd w:id="71"/>
      <w:r/>
      <w:bookmarkEnd w:id="72"/>
      <w:r/>
      <w:bookmarkEnd w:id="73"/>
      <w:r>
        <w:rPr>
          <w:rFonts w:hint="eastAsia" w:ascii="方正黑体_GBK" w:hAnsi="方正黑体_GBK" w:eastAsia="方正黑体_GBK" w:cs="方正黑体_GBK"/>
          <w:sz w:val="28"/>
          <w:szCs w:val="28"/>
        </w:rPr>
      </w:r>
      <w:r/>
    </w:p>
    <w:p>
      <w:pPr>
        <w:pStyle w:val="752"/>
        <w:ind w:firstLine="560"/>
        <w:spacing w:before="0" w:after="0" w:line="400" w:lineRule="exact"/>
        <w:rPr>
          <w:rFonts w:hint="eastAsia" w:ascii="方正仿宋_GBK" w:hAnsi="方正仿宋_GBK" w:eastAsia="方正仿宋_GBK" w:cs="方正仿宋_GBK"/>
          <w:bCs w:val="0"/>
        </w:rPr>
      </w:pPr>
      <w:r/>
      <w:bookmarkStart w:id="74" w:name="_Toc462564073"/>
      <w:r/>
      <w:bookmarkStart w:id="75" w:name="_Toc513029214"/>
      <w:r/>
      <w:bookmarkStart w:id="76" w:name="_Toc16938530"/>
      <w:r/>
      <w:bookmarkStart w:id="77" w:name="_Toc20823286"/>
      <w:r>
        <w:rPr>
          <w:rFonts w:hint="eastAsia" w:ascii="方正仿宋_GBK" w:hAnsi="方正仿宋_GBK" w:eastAsia="方正仿宋_GBK" w:cs="方正仿宋_GBK"/>
          <w:b w:val="0"/>
          <w:bCs w:val="0"/>
        </w:rPr>
        <w:t xml:space="preserve">8.投标文件的语言及度量衡单位</w:t>
      </w:r>
      <w:bookmarkEnd w:id="74"/>
      <w:r/>
      <w:bookmarkEnd w:id="75"/>
      <w:r/>
      <w:bookmarkEnd w:id="76"/>
      <w:r/>
      <w:bookmarkEnd w:id="77"/>
      <w:r>
        <w:rPr>
          <w:rFonts w:hint="eastAsia" w:ascii="方正仿宋_GBK" w:hAnsi="方正仿宋_GBK" w:eastAsia="方正仿宋_GBK" w:cs="方正仿宋_GBK"/>
          <w:bCs w:val="0"/>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752"/>
        <w:ind w:firstLine="560"/>
        <w:spacing w:before="0" w:after="0" w:line="400" w:lineRule="exact"/>
        <w:rPr>
          <w:rFonts w:hint="eastAsia" w:ascii="方正仿宋_GBK" w:hAnsi="方正仿宋_GBK" w:eastAsia="方正仿宋_GBK" w:cs="方正仿宋_GBK"/>
          <w:b w:val="0"/>
          <w:bCs w:val="0"/>
        </w:rPr>
      </w:pPr>
      <w:r/>
      <w:bookmarkStart w:id="78" w:name="_Toc462564074"/>
      <w:r/>
      <w:bookmarkStart w:id="79" w:name="_Toc513029215"/>
      <w:r/>
      <w:bookmarkStart w:id="80" w:name="_Toc16938531"/>
      <w:r/>
      <w:bookmarkStart w:id="81" w:name="_Toc20823287"/>
      <w:r>
        <w:rPr>
          <w:rFonts w:hint="eastAsia" w:ascii="方正仿宋_GBK" w:hAnsi="方正仿宋_GBK" w:eastAsia="方正仿宋_GBK" w:cs="方正仿宋_GBK"/>
          <w:b w:val="0"/>
          <w:bCs w:val="0"/>
        </w:rPr>
        <w:t xml:space="preserve">9.投标文件构成</w:t>
      </w:r>
      <w:bookmarkEnd w:id="78"/>
      <w:r/>
      <w:bookmarkEnd w:id="79"/>
      <w:r/>
      <w:bookmarkEnd w:id="80"/>
      <w:r/>
      <w:bookmarkEnd w:id="81"/>
      <w:r>
        <w:rPr>
          <w:rFonts w:hint="eastAsia" w:ascii="方正仿宋_GBK" w:hAnsi="方正仿宋_GBK" w:eastAsia="方正仿宋_GBK" w:cs="方正仿宋_GBK"/>
          <w:b w:val="0"/>
          <w:bCs w:val="0"/>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752"/>
        <w:ind w:firstLine="560"/>
        <w:spacing w:before="0" w:after="0" w:line="400" w:lineRule="exact"/>
        <w:rPr>
          <w:rFonts w:hint="eastAsia" w:ascii="方正仿宋_GBK" w:hAnsi="方正仿宋_GBK" w:eastAsia="方正仿宋_GBK" w:cs="方正仿宋_GBK"/>
          <w:b w:val="0"/>
          <w:bCs w:val="0"/>
        </w:rPr>
      </w:pPr>
      <w:r/>
      <w:bookmarkStart w:id="82" w:name="_Hlt26954838"/>
      <w:r/>
      <w:bookmarkEnd w:id="82"/>
      <w:r/>
      <w:bookmarkStart w:id="83" w:name="_Hlt26668975"/>
      <w:r/>
      <w:bookmarkEnd w:id="83"/>
      <w:r/>
      <w:bookmarkStart w:id="84" w:name="_Hlt26670360"/>
      <w:r/>
      <w:bookmarkEnd w:id="84"/>
      <w:r/>
      <w:bookmarkStart w:id="85" w:name="_Toc49090509"/>
      <w:r/>
      <w:bookmarkStart w:id="86" w:name="_Toc513029219"/>
      <w:r/>
      <w:bookmarkStart w:id="87" w:name="_Toc14577357"/>
      <w:r/>
      <w:bookmarkStart w:id="88" w:name="_Toc49090507"/>
      <w:r/>
      <w:bookmarkStart w:id="89" w:name="_Toc14577354"/>
      <w:r/>
      <w:bookmarkStart w:id="90" w:name="_Toc513029216"/>
      <w:r>
        <w:rPr>
          <w:rFonts w:hint="eastAsia" w:ascii="方正仿宋_GBK" w:hAnsi="方正仿宋_GBK" w:eastAsia="方正仿宋_GBK" w:cs="方正仿宋_GBK"/>
          <w:b w:val="0"/>
          <w:bCs w:val="0"/>
        </w:rPr>
        <w:t xml:space="preserve">10.证明投标人及投标标的符合招标文件规定的文件</w:t>
      </w:r>
      <w:bookmarkEnd w:id="85"/>
      <w:r/>
      <w:bookmarkEnd w:id="86"/>
      <w:r/>
      <w:bookmarkEnd w:id="87"/>
      <w:r>
        <w:rPr>
          <w:rFonts w:hint="eastAsia" w:ascii="方正仿宋_GBK" w:hAnsi="方正仿宋_GBK" w:eastAsia="方正仿宋_GBK" w:cs="方正仿宋_GBK"/>
          <w:b w:val="0"/>
          <w:bCs w:val="0"/>
        </w:rPr>
      </w:r>
      <w:r/>
    </w:p>
    <w:p>
      <w:pPr>
        <w:pStyle w:val="748"/>
        <w:ind w:firstLine="560"/>
        <w:spacing w:line="400" w:lineRule="exact"/>
        <w:rPr>
          <w:rFonts w:hint="eastAsia" w:ascii="方正仿宋_GBK" w:hAnsi="方正仿宋_GBK" w:eastAsia="方正仿宋_GBK" w:cs="方正仿宋_GBK"/>
          <w:sz w:val="28"/>
          <w:szCs w:val="28"/>
        </w:rPr>
      </w:pPr>
      <w:r/>
      <w:bookmarkEnd w:id="88"/>
      <w:r/>
      <w:bookmarkEnd w:id="89"/>
      <w:r/>
      <w:bookmarkEnd w:id="90"/>
      <w:r/>
      <w:bookmarkStart w:id="91" w:name="_Toc14577355"/>
      <w:r/>
      <w:bookmarkStart w:id="9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752"/>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91"/>
      <w:r/>
      <w:bookmarkStart w:id="93" w:name="_Hlt26670373"/>
      <w:r/>
      <w:bookmarkEnd w:id="93"/>
      <w:r>
        <w:rPr>
          <w:rFonts w:hint="eastAsia" w:ascii="方正仿宋_GBK" w:hAnsi="方正仿宋_GBK" w:eastAsia="方正仿宋_GBK" w:cs="方正仿宋_GBK"/>
          <w:b w:val="0"/>
          <w:bCs w:val="0"/>
        </w:rPr>
        <w:t xml:space="preserve">表</w:t>
      </w:r>
      <w:bookmarkEnd w:id="92"/>
      <w:r>
        <w:rPr>
          <w:rFonts w:hint="eastAsia" w:ascii="方正仿宋_GBK" w:hAnsi="方正仿宋_GBK" w:eastAsia="方正仿宋_GBK" w:cs="方正仿宋_GBK"/>
          <w:b w:val="0"/>
          <w:bCs w:val="0"/>
        </w:rPr>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94" w:name="_Hlt26954840"/>
      <w:r/>
      <w:bookmarkEnd w:id="94"/>
      <w:r>
        <w:rPr>
          <w:rFonts w:hint="eastAsia" w:ascii="方正仿宋_GBK" w:hAnsi="方正仿宋_GBK" w:eastAsia="方正仿宋_GBK" w:cs="方正仿宋_GBK"/>
          <w:sz w:val="28"/>
          <w:szCs w:val="28"/>
        </w:rPr>
        <w:t xml:space="preserve">标人按照招标文件规定格式填报投标分项报价表</w:t>
      </w:r>
      <w:bookmarkStart w:id="95" w:name="_Hlt26670399"/>
      <w:r/>
      <w:bookmarkEnd w:id="9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752"/>
        <w:ind w:firstLine="560"/>
        <w:spacing w:before="0" w:after="0" w:line="400" w:lineRule="exact"/>
        <w:rPr>
          <w:rFonts w:hint="eastAsia" w:ascii="方正仿宋_GBK" w:hAnsi="方正仿宋_GBK" w:eastAsia="方正仿宋_GBK" w:cs="方正仿宋_GBK"/>
          <w:b w:val="0"/>
          <w:bCs w:val="0"/>
        </w:rPr>
      </w:pPr>
      <w:r/>
      <w:bookmarkStart w:id="96" w:name="_Hlt26668983"/>
      <w:r/>
      <w:bookmarkEnd w:id="96"/>
      <w:r/>
      <w:bookmarkStart w:id="97" w:name="_Hlt26670486"/>
      <w:r/>
      <w:bookmarkEnd w:id="97"/>
      <w:r/>
      <w:bookmarkStart w:id="98" w:name="_Hlt26670482"/>
      <w:r/>
      <w:bookmarkEnd w:id="98"/>
      <w:r/>
      <w:bookmarkStart w:id="99" w:name="_Hlt26954848"/>
      <w:r/>
      <w:bookmarkEnd w:id="99"/>
      <w:r/>
      <w:bookmarkStart w:id="100" w:name="_Hlt26954844"/>
      <w:r/>
      <w:bookmarkEnd w:id="100"/>
      <w:r/>
      <w:bookmarkStart w:id="101" w:name="_Hlt26954846"/>
      <w:r/>
      <w:bookmarkEnd w:id="101"/>
      <w:r/>
      <w:bookmarkStart w:id="102" w:name="_Hlt26954731"/>
      <w:r/>
      <w:bookmarkEnd w:id="102"/>
      <w:r/>
      <w:bookmarkStart w:id="103" w:name="_Hlt26670403"/>
      <w:r/>
      <w:bookmarkEnd w:id="103"/>
      <w:r/>
      <w:bookmarkStart w:id="104" w:name="_Hlt26954842"/>
      <w:r/>
      <w:bookmarkEnd w:id="104"/>
      <w:r/>
      <w:bookmarkStart w:id="105" w:name="_Hlt26670425"/>
      <w:r/>
      <w:bookmarkEnd w:id="105"/>
      <w:r>
        <w:rPr>
          <w:rFonts w:hint="eastAsia" w:ascii="方正仿宋_GBK" w:hAnsi="方正仿宋_GBK" w:eastAsia="方正仿宋_GBK" w:cs="方正仿宋_GBK"/>
          <w:b w:val="0"/>
          <w:bCs w:val="0"/>
        </w:rPr>
        <w:t xml:space="preserve">12.技术要求响应及偏离表、商务要求响应及偏离表</w:t>
      </w:r>
      <w:r/>
    </w:p>
    <w:p>
      <w:pPr>
        <w:pStyle w:val="748"/>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748"/>
        <w:ind w:firstLine="560"/>
        <w:spacing w:line="400" w:lineRule="exact"/>
        <w:rPr>
          <w:rFonts w:hint="eastAsia" w:ascii="方正仿宋_GBK" w:hAnsi="方正仿宋_GBK" w:eastAsia="方正仿宋_GBK" w:cs="方正仿宋_GBK"/>
          <w:sz w:val="28"/>
          <w:szCs w:val="28"/>
          <w:lang w:val="zh-CN"/>
        </w:rPr>
      </w:pPr>
      <w:r/>
      <w:bookmarkStart w:id="106" w:name="_Toc14577359"/>
      <w:r/>
      <w:bookmarkStart w:id="107"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752"/>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752"/>
        <w:ind w:firstLine="560"/>
        <w:spacing w:before="0" w:after="0" w:line="400" w:lineRule="exact"/>
        <w:rPr>
          <w:rFonts w:hint="eastAsia" w:ascii="方正仿宋_GBK" w:hAnsi="方正仿宋_GBK" w:eastAsia="方正仿宋_GBK" w:cs="方正仿宋_GBK"/>
          <w:b w:val="0"/>
          <w:bCs w:val="0"/>
        </w:rPr>
      </w:pPr>
      <w:r/>
      <w:bookmarkEnd w:id="106"/>
      <w:r/>
      <w:bookmarkEnd w:id="107"/>
      <w:r/>
      <w:bookmarkStart w:id="108" w:name="_Hlt26670489"/>
      <w:r/>
      <w:bookmarkEnd w:id="108"/>
      <w:r/>
      <w:bookmarkStart w:id="109" w:name="_Hlt26954734"/>
      <w:r/>
      <w:bookmarkEnd w:id="109"/>
      <w:r/>
      <w:bookmarkStart w:id="110" w:name="_Hlt26954850"/>
      <w:r/>
      <w:bookmarkEnd w:id="110"/>
      <w:r/>
      <w:bookmarkStart w:id="111" w:name="_Toc49090511"/>
      <w:r/>
      <w:bookmarkStart w:id="112" w:name="_Toc14577360"/>
      <w:r>
        <w:rPr>
          <w:rFonts w:hint="eastAsia" w:ascii="方正仿宋_GBK" w:hAnsi="方正仿宋_GBK" w:eastAsia="方正仿宋_GBK" w:cs="方正仿宋_GBK"/>
          <w:b w:val="0"/>
          <w:bCs w:val="0"/>
        </w:rPr>
        <w:t xml:space="preserve">14.投标有效期</w:t>
      </w:r>
      <w:bookmarkEnd w:id="111"/>
      <w:r/>
      <w:bookmarkEnd w:id="112"/>
      <w:r>
        <w:rPr>
          <w:rFonts w:hint="eastAsia" w:ascii="方正仿宋_GBK" w:hAnsi="方正仿宋_GBK" w:eastAsia="方正仿宋_GBK" w:cs="方正仿宋_GBK"/>
          <w:b w:val="0"/>
          <w:bCs w:val="0"/>
        </w:rPr>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752"/>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bookmarkStart w:id="113" w:name="_Hlt26954852"/>
      <w:r/>
      <w:bookmarkEnd w:id="113"/>
      <w:r/>
      <w:bookmarkStart w:id="114" w:name="_Hlt26954739"/>
      <w:r/>
      <w:bookmarkEnd w:id="114"/>
      <w:r/>
      <w:bookmarkStart w:id="115" w:name="_Toc120614217"/>
      <w:r/>
      <w:bookmarkStart w:id="116" w:name="_Toc16938540"/>
      <w:r/>
      <w:bookmarkStart w:id="117" w:name="_Toc20823296"/>
      <w:r/>
      <w:bookmarkStart w:id="118" w:name="_Toc513029224"/>
      <w:r>
        <w:rPr>
          <w:rFonts w:hint="eastAsia" w:ascii="方正黑体_GBK" w:hAnsi="方正黑体_GBK" w:eastAsia="方正黑体_GBK" w:cs="方正黑体_GBK"/>
          <w:sz w:val="28"/>
          <w:szCs w:val="28"/>
        </w:rPr>
        <w:t xml:space="preserve">四、投标文件的递交</w:t>
      </w:r>
      <w:bookmarkEnd w:id="115"/>
      <w:r/>
      <w:bookmarkEnd w:id="116"/>
      <w:r/>
      <w:bookmarkEnd w:id="117"/>
      <w:r/>
      <w:bookmarkEnd w:id="118"/>
      <w:r>
        <w:rPr>
          <w:rFonts w:hint="eastAsia" w:ascii="方正黑体_GBK" w:hAnsi="方正黑体_GBK" w:eastAsia="方正黑体_GBK" w:cs="方正黑体_GBK"/>
          <w:sz w:val="28"/>
          <w:szCs w:val="28"/>
        </w:rPr>
      </w:r>
      <w:r/>
    </w:p>
    <w:p>
      <w:pPr>
        <w:pStyle w:val="752"/>
        <w:ind w:firstLine="560"/>
        <w:spacing w:before="0" w:after="0" w:line="400" w:lineRule="exact"/>
        <w:rPr>
          <w:rFonts w:hint="eastAsia" w:ascii="方正仿宋_GBK" w:hAnsi="方正仿宋_GBK" w:eastAsia="方正仿宋_GBK" w:cs="方正仿宋_GBK"/>
          <w:b w:val="0"/>
          <w:bCs w:val="0"/>
        </w:rPr>
      </w:pPr>
      <w:r/>
      <w:bookmarkStart w:id="119" w:name="_Toc16938541"/>
      <w:r/>
      <w:bookmarkStart w:id="120" w:name="_Toc20823297"/>
      <w:r/>
      <w:bookmarkStart w:id="121" w:name="_Toc513029225"/>
      <w:r/>
      <w:bookmarkStart w:id="122" w:name="_Toc462564084"/>
      <w:r>
        <w:rPr>
          <w:rFonts w:hint="eastAsia" w:ascii="方正仿宋_GBK" w:hAnsi="方正仿宋_GBK" w:eastAsia="方正仿宋_GBK" w:cs="方正仿宋_GBK"/>
          <w:b w:val="0"/>
          <w:bCs w:val="0"/>
        </w:rPr>
        <w:t xml:space="preserve">16.投标文件</w:t>
      </w:r>
      <w:bookmarkEnd w:id="119"/>
      <w:r/>
      <w:bookmarkEnd w:id="120"/>
      <w:r/>
      <w:bookmarkEnd w:id="121"/>
      <w:r/>
      <w:bookmarkEnd w:id="122"/>
      <w:r>
        <w:rPr>
          <w:rFonts w:hint="eastAsia" w:ascii="方正仿宋_GBK" w:hAnsi="方正仿宋_GBK" w:eastAsia="方正仿宋_GBK" w:cs="方正仿宋_GBK"/>
          <w:b w:val="0"/>
          <w:bCs w:val="0"/>
        </w:rPr>
        <w:t xml:space="preserve">的递交</w:t>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86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23" w:name="_Toc20823298"/>
      <w:r/>
      <w:bookmarkStart w:id="124" w:name="_Toc16938542"/>
      <w:r/>
      <w:bookmarkStart w:id="125" w:name="_Toc513029226"/>
      <w:r>
        <w:rPr>
          <w:rFonts w:hint="eastAsia" w:ascii="方正仿宋_GBK" w:hAnsi="方正仿宋_GBK" w:eastAsia="方正仿宋_GBK" w:cs="方正仿宋_GBK"/>
          <w:bCs/>
          <w:sz w:val="28"/>
          <w:szCs w:val="28"/>
        </w:rPr>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23"/>
      <w:r/>
      <w:bookmarkEnd w:id="124"/>
      <w:r/>
      <w:bookmarkEnd w:id="125"/>
      <w:r>
        <w:rPr>
          <w:rFonts w:hint="eastAsia" w:ascii="方正仿宋_GBK" w:hAnsi="方正仿宋_GBK" w:eastAsia="方正仿宋_GBK" w:cs="方正仿宋_GBK"/>
          <w:bCs/>
          <w:sz w:val="28"/>
          <w:szCs w:val="28"/>
        </w:rPr>
        <w:t xml:space="preserve">时间</w:t>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52"/>
        <w:ind w:firstLine="560"/>
        <w:spacing w:before="0" w:after="0" w:line="400" w:lineRule="exact"/>
        <w:rPr>
          <w:rFonts w:hint="eastAsia" w:ascii="方正仿宋_GBK" w:hAnsi="方正仿宋_GBK" w:eastAsia="方正仿宋_GBK" w:cs="方正仿宋_GBK"/>
          <w:b w:val="0"/>
          <w:bCs w:val="0"/>
        </w:rPr>
      </w:pPr>
      <w:r/>
      <w:bookmarkStart w:id="126" w:name="_Toc513029227"/>
      <w:r/>
      <w:bookmarkStart w:id="127" w:name="_Toc16938543"/>
      <w:r/>
      <w:bookmarkStart w:id="128" w:name="_Toc20823299"/>
      <w:r>
        <w:rPr>
          <w:rFonts w:hint="eastAsia" w:ascii="方正仿宋_GBK" w:hAnsi="方正仿宋_GBK" w:eastAsia="方正仿宋_GBK" w:cs="方正仿宋_GBK"/>
          <w:b w:val="0"/>
          <w:bCs w:val="0"/>
        </w:rPr>
        <w:t xml:space="preserve">18.投标文件</w:t>
      </w:r>
      <w:bookmarkEnd w:id="126"/>
      <w:r/>
      <w:bookmarkEnd w:id="127"/>
      <w:r/>
      <w:bookmarkEnd w:id="128"/>
      <w:r>
        <w:rPr>
          <w:rFonts w:hint="eastAsia" w:ascii="方正仿宋_GBK" w:hAnsi="方正仿宋_GBK" w:eastAsia="方正仿宋_GBK" w:cs="方正仿宋_GBK"/>
          <w:b w:val="0"/>
          <w:bCs w:val="0"/>
        </w:rPr>
        <w:t xml:space="preserve">的拒收</w:t>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752"/>
        <w:ind w:firstLine="560"/>
        <w:spacing w:before="0" w:after="0" w:line="400" w:lineRule="exact"/>
        <w:rPr>
          <w:rFonts w:hint="eastAsia" w:ascii="方正仿宋_GBK" w:hAnsi="方正仿宋_GBK" w:eastAsia="方正仿宋_GBK" w:cs="方正仿宋_GBK"/>
          <w:b w:val="0"/>
          <w:bCs w:val="0"/>
        </w:rPr>
      </w:pPr>
      <w:r/>
      <w:bookmarkStart w:id="129" w:name="_Toc513029228"/>
      <w:r/>
      <w:bookmarkStart w:id="130" w:name="_Toc16938544"/>
      <w:r/>
      <w:bookmarkStart w:id="131" w:name="_Toc20823300"/>
      <w:r>
        <w:rPr>
          <w:rFonts w:hint="eastAsia" w:ascii="方正仿宋_GBK" w:hAnsi="方正仿宋_GBK" w:eastAsia="方正仿宋_GBK" w:cs="方正仿宋_GBK"/>
          <w:b w:val="0"/>
          <w:bCs w:val="0"/>
        </w:rPr>
        <w:t xml:space="preserve">19.投标文件的撤回和修改</w:t>
      </w:r>
      <w:bookmarkEnd w:id="129"/>
      <w:r/>
      <w:bookmarkEnd w:id="130"/>
      <w:r/>
      <w:bookmarkEnd w:id="131"/>
      <w:r>
        <w:rPr>
          <w:rFonts w:hint="eastAsia" w:ascii="方正仿宋_GBK" w:hAnsi="方正仿宋_GBK" w:eastAsia="方正仿宋_GBK" w:cs="方正仿宋_GBK"/>
          <w:b w:val="0"/>
          <w:bCs w:val="0"/>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bookmarkStart w:id="132" w:name="_Toc20823301"/>
      <w:r/>
      <w:bookmarkStart w:id="133" w:name="_Toc120614218"/>
      <w:r/>
      <w:bookmarkStart w:id="134" w:name="_Toc513029229"/>
      <w:r/>
      <w:bookmarkStart w:id="135" w:name="_Toc16938545"/>
      <w:r>
        <w:rPr>
          <w:rFonts w:hint="eastAsia" w:ascii="方正黑体_GBK" w:hAnsi="方正黑体_GBK" w:eastAsia="方正黑体_GBK" w:cs="方正黑体_GBK"/>
          <w:sz w:val="28"/>
          <w:szCs w:val="28"/>
        </w:rPr>
        <w:t xml:space="preserve">五、开标与评标</w:t>
      </w:r>
      <w:bookmarkEnd w:id="132"/>
      <w:r/>
      <w:bookmarkEnd w:id="133"/>
      <w:r/>
      <w:bookmarkEnd w:id="134"/>
      <w:r/>
      <w:bookmarkEnd w:id="135"/>
      <w:r>
        <w:rPr>
          <w:rFonts w:hint="eastAsia" w:ascii="方正黑体_GBK" w:hAnsi="方正黑体_GBK" w:eastAsia="方正黑体_GBK" w:cs="方正黑体_GBK"/>
          <w:sz w:val="28"/>
          <w:szCs w:val="28"/>
        </w:rPr>
      </w:r>
      <w:r/>
    </w:p>
    <w:p>
      <w:pPr>
        <w:pStyle w:val="748"/>
        <w:ind w:firstLine="560"/>
        <w:spacing w:line="400" w:lineRule="exact"/>
        <w:rPr>
          <w:rFonts w:hint="eastAsia" w:ascii="方正仿宋_GBK" w:hAnsi="方正仿宋_GBK" w:eastAsia="方正仿宋_GBK" w:cs="方正仿宋_GBK"/>
          <w:sz w:val="28"/>
          <w:szCs w:val="28"/>
        </w:rPr>
      </w:pPr>
      <w:r/>
      <w:bookmarkStart w:id="136" w:name="_Toc16938546"/>
      <w:r/>
      <w:bookmarkStart w:id="137" w:name="_Toc20823302"/>
      <w:r/>
      <w:bookmarkStart w:id="138" w:name="_Toc513029230"/>
      <w:r>
        <w:rPr>
          <w:rFonts w:hint="eastAsia" w:ascii="方正仿宋_GBK" w:hAnsi="方正仿宋_GBK" w:eastAsia="方正仿宋_GBK" w:cs="方正仿宋_GBK"/>
          <w:sz w:val="28"/>
          <w:szCs w:val="28"/>
        </w:rPr>
        <w:t xml:space="preserve">20.开标</w:t>
      </w:r>
      <w:bookmarkEnd w:id="136"/>
      <w:r/>
      <w:bookmarkEnd w:id="137"/>
      <w:r/>
      <w:bookmarkEnd w:id="138"/>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748"/>
        <w:ind w:firstLine="560"/>
        <w:spacing w:line="400" w:lineRule="exact"/>
        <w:rPr>
          <w:rFonts w:hint="eastAsia" w:ascii="方正仿宋_GBK" w:hAnsi="方正仿宋_GBK" w:eastAsia="方正仿宋_GBK" w:cs="方正仿宋_GBK"/>
          <w:sz w:val="28"/>
          <w:szCs w:val="28"/>
        </w:rPr>
      </w:pPr>
      <w:r/>
      <w:bookmarkStart w:id="139" w:name="_Toc20823303"/>
      <w:r/>
      <w:bookmarkStart w:id="140" w:name="_Toc513029231"/>
      <w:r/>
      <w:bookmarkStart w:id="141" w:name="_Toc16938547"/>
      <w:r>
        <w:rPr>
          <w:rFonts w:hint="eastAsia" w:ascii="方正仿宋_GBK" w:hAnsi="方正仿宋_GBK" w:eastAsia="方正仿宋_GBK" w:cs="方正仿宋_GBK"/>
          <w:sz w:val="28"/>
          <w:szCs w:val="28"/>
        </w:rPr>
        <w:t xml:space="preserve">21.评标委员会</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748"/>
        <w:ind w:firstLine="560"/>
        <w:spacing w:line="400" w:lineRule="exact"/>
        <w:rPr>
          <w:rFonts w:hint="eastAsia" w:ascii="方正仿宋_GBK" w:hAnsi="方正仿宋_GBK" w:eastAsia="方正仿宋_GBK" w:cs="方正仿宋_GBK"/>
          <w:sz w:val="28"/>
          <w:szCs w:val="28"/>
        </w:rPr>
      </w:pPr>
      <w:r/>
      <w:bookmarkEnd w:id="139"/>
      <w:r/>
      <w:bookmarkEnd w:id="140"/>
      <w:r/>
      <w:bookmarkEnd w:id="14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748"/>
        <w:ind w:firstLine="560"/>
        <w:spacing w:line="400" w:lineRule="exact"/>
        <w:rPr>
          <w:rFonts w:hint="eastAsia" w:ascii="方正仿宋_GBK" w:hAnsi="方正仿宋_GBK" w:eastAsia="方正仿宋_GBK" w:cs="方正仿宋_GBK"/>
          <w:sz w:val="28"/>
          <w:szCs w:val="28"/>
        </w:rPr>
      </w:pPr>
      <w:r/>
      <w:bookmarkStart w:id="142" w:name="_Toc20823304"/>
      <w:r/>
      <w:bookmarkStart w:id="143" w:name="_Toc513029232"/>
      <w:r/>
      <w:bookmarkStart w:id="144" w:name="_Toc16938548"/>
      <w:r>
        <w:rPr>
          <w:rFonts w:hint="eastAsia" w:ascii="方正仿宋_GBK" w:hAnsi="方正仿宋_GBK" w:eastAsia="方正仿宋_GBK" w:cs="方正仿宋_GBK"/>
          <w:sz w:val="28"/>
          <w:szCs w:val="28"/>
        </w:rPr>
        <w:t xml:space="preserve">23.投标文件的澄清</w:t>
      </w:r>
      <w:bookmarkEnd w:id="142"/>
      <w:r/>
      <w:bookmarkEnd w:id="143"/>
      <w:r/>
      <w:bookmarkEnd w:id="144"/>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748"/>
        <w:ind w:firstLine="560"/>
        <w:spacing w:line="400" w:lineRule="exact"/>
        <w:rPr>
          <w:rFonts w:hint="eastAsia" w:ascii="方正仿宋_GBK" w:hAnsi="方正仿宋_GBK" w:eastAsia="方正仿宋_GBK" w:cs="方正仿宋_GBK"/>
          <w:sz w:val="28"/>
          <w:szCs w:val="28"/>
        </w:rPr>
      </w:pPr>
      <w:r/>
      <w:bookmarkStart w:id="145" w:name="_Toc20823305"/>
      <w:r/>
      <w:bookmarkStart w:id="146" w:name="_Toc16938549"/>
      <w:r/>
      <w:bookmarkStart w:id="147" w:name="_Toc513029233"/>
      <w:r>
        <w:rPr>
          <w:rFonts w:hint="eastAsia" w:ascii="方正仿宋_GBK" w:hAnsi="方正仿宋_GBK" w:eastAsia="方正仿宋_GBK" w:cs="方正仿宋_GBK"/>
          <w:sz w:val="28"/>
          <w:szCs w:val="28"/>
        </w:rPr>
        <w:t xml:space="preserve">24.对投标文件的初审</w:t>
      </w:r>
      <w:bookmarkEnd w:id="145"/>
      <w:r/>
      <w:bookmarkEnd w:id="146"/>
      <w:r/>
      <w:bookmarkEnd w:id="147"/>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748"/>
        <w:ind w:firstLine="560"/>
        <w:spacing w:line="400" w:lineRule="exact"/>
        <w:rPr>
          <w:rFonts w:hint="eastAsia" w:ascii="方正仿宋_GBK" w:hAnsi="方正仿宋_GBK" w:eastAsia="方正仿宋_GBK" w:cs="方正仿宋_GBK"/>
          <w:sz w:val="28"/>
          <w:szCs w:val="28"/>
        </w:rPr>
      </w:pPr>
      <w:r/>
      <w:bookmarkStart w:id="148" w:name="_Toc20823306"/>
      <w:r/>
      <w:bookmarkStart w:id="149" w:name="_Toc513029234"/>
      <w:r/>
      <w:bookmarkStart w:id="150" w:name="_Toc16938550"/>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根据《关于推动解决政府采购异常低价问题的通知》（财库〔2026〕2号）规定，采购人可以结合具体项目实际情况，提高上述第（1）项至第（3）项中启动异常低价投标审查的数值标准，但是最高不得超过65%。项目经办人与采购人确认具体数值后，该备注删除)。</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48"/>
      <w:r/>
      <w:bookmarkEnd w:id="149"/>
      <w:r/>
      <w:bookmarkEnd w:id="150"/>
      <w:r>
        <w:rPr>
          <w:rFonts w:hint="eastAsia" w:ascii="方正仿宋_GBK" w:hAnsi="方正仿宋_GBK" w:eastAsia="方正仿宋_GBK" w:cs="方正仿宋_GBK"/>
          <w:sz w:val="28"/>
          <w:szCs w:val="28"/>
        </w:rPr>
        <w:t xml:space="preserve">.无效投标条款和废标条款</w:t>
      </w:r>
      <w:r/>
    </w:p>
    <w:p>
      <w:pPr>
        <w:pStyle w:val="748"/>
        <w:ind w:firstLine="560"/>
        <w:spacing w:line="400" w:lineRule="exact"/>
        <w:rPr>
          <w:rFonts w:hint="eastAsia" w:ascii="方正仿宋_GBK" w:hAnsi="方正仿宋_GBK" w:eastAsia="方正仿宋_GBK" w:cs="方正仿宋_GBK"/>
          <w:sz w:val="28"/>
          <w:szCs w:val="28"/>
        </w:rPr>
      </w:pPr>
      <w:r/>
      <w:bookmarkStart w:id="151" w:name="_Toc513029235"/>
      <w:r/>
      <w:bookmarkStart w:id="152" w:name="_Toc20823307"/>
      <w:r/>
      <w:bookmarkStart w:id="153" w:name="_Toc16938551"/>
      <w:r>
        <w:rPr>
          <w:rFonts w:hint="eastAsia" w:ascii="方正仿宋_GBK" w:hAnsi="方正仿宋_GBK" w:eastAsia="方正仿宋_GBK" w:cs="方正仿宋_GBK"/>
          <w:sz w:val="28"/>
          <w:szCs w:val="28"/>
        </w:rPr>
        <w:t xml:space="preserve">25.1无效投标条款</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748"/>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748"/>
        <w:ind w:firstLine="560"/>
        <w:spacing w:line="400" w:lineRule="exact"/>
        <w:rPr>
          <w:rFonts w:hint="eastAsia" w:ascii="方正仿宋_GBK" w:hAnsi="方正仿宋_GBK" w:eastAsia="方正仿宋_GBK" w:cs="方正仿宋_GBK"/>
          <w:sz w:val="28"/>
          <w:szCs w:val="28"/>
        </w:rPr>
      </w:pPr>
      <w:r/>
      <w:bookmarkStart w:id="154" w:name="OLE_LINK4"/>
      <w:r>
        <w:rPr>
          <w:rFonts w:hint="eastAsia" w:ascii="方正仿宋_GBK" w:hAnsi="方正仿宋_GBK" w:eastAsia="方正仿宋_GBK" w:cs="方正仿宋_GBK"/>
          <w:sz w:val="28"/>
          <w:szCs w:val="28"/>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13。</w:t>
      </w:r>
      <w:r/>
    </w:p>
    <w:p>
      <w:pPr>
        <w:pStyle w:val="748"/>
        <w:ind w:firstLine="560"/>
        <w:spacing w:line="400" w:lineRule="exact"/>
        <w:rPr>
          <w:rFonts w:hint="eastAsia" w:ascii="方正仿宋_GBK" w:hAnsi="方正仿宋_GBK" w:eastAsia="方正仿宋_GBK" w:cs="方正仿宋_GBK"/>
          <w:sz w:val="28"/>
          <w:szCs w:val="28"/>
        </w:rPr>
      </w:pPr>
      <w:r/>
      <w:bookmarkEnd w:id="154"/>
      <w:r>
        <w:rPr>
          <w:rFonts w:hint="eastAsia" w:ascii="方正仿宋_GBK" w:hAnsi="方正仿宋_GBK" w:eastAsia="方正仿宋_GBK" w:cs="方正仿宋_GBK"/>
          <w:sz w:val="28"/>
          <w:szCs w:val="28"/>
        </w:rPr>
        <w:t xml:space="preserve">25.2废标条款</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bookmarkStart w:id="155" w:name="_Toc120614219"/>
      <w:r>
        <w:rPr>
          <w:rFonts w:hint="eastAsia" w:ascii="方正黑体_GBK" w:hAnsi="方正黑体_GBK" w:eastAsia="方正黑体_GBK" w:cs="方正黑体_GBK"/>
          <w:sz w:val="28"/>
          <w:szCs w:val="28"/>
        </w:rPr>
        <w:t xml:space="preserve">六、</w:t>
      </w:r>
      <w:bookmarkEnd w:id="151"/>
      <w:r/>
      <w:bookmarkEnd w:id="152"/>
      <w:r/>
      <w:bookmarkEnd w:id="153"/>
      <w:r>
        <w:rPr>
          <w:rFonts w:hint="eastAsia" w:ascii="方正黑体_GBK" w:hAnsi="方正黑体_GBK" w:eastAsia="方正黑体_GBK" w:cs="方正黑体_GBK"/>
          <w:sz w:val="28"/>
          <w:szCs w:val="28"/>
        </w:rPr>
        <w:t xml:space="preserve">定标</w:t>
      </w:r>
      <w:bookmarkEnd w:id="155"/>
      <w:r>
        <w:rPr>
          <w:rFonts w:hint="eastAsia" w:ascii="方正黑体_GBK" w:hAnsi="方正黑体_GBK" w:eastAsia="方正黑体_GBK" w:cs="方正黑体_GBK"/>
          <w:sz w:val="28"/>
          <w:szCs w:val="28"/>
        </w:rPr>
      </w:r>
      <w:r/>
    </w:p>
    <w:p>
      <w:pPr>
        <w:pStyle w:val="748"/>
        <w:ind w:firstLine="560"/>
        <w:spacing w:line="400" w:lineRule="exact"/>
        <w:rPr>
          <w:rFonts w:hint="eastAsia" w:ascii="方正仿宋_GBK" w:hAnsi="方正仿宋_GBK" w:eastAsia="方正仿宋_GBK" w:cs="方正仿宋_GBK"/>
          <w:sz w:val="28"/>
          <w:szCs w:val="28"/>
        </w:rPr>
      </w:pPr>
      <w:r/>
      <w:bookmarkStart w:id="156" w:name="_Toc513029238"/>
      <w:r/>
      <w:bookmarkStart w:id="157" w:name="_Toc16938554"/>
      <w:r/>
      <w:bookmarkStart w:id="158" w:name="_Toc20823310"/>
      <w:r>
        <w:rPr>
          <w:rFonts w:hint="eastAsia" w:ascii="方正仿宋_GBK" w:hAnsi="方正仿宋_GBK" w:eastAsia="方正仿宋_GBK" w:cs="方正仿宋_GBK"/>
          <w:sz w:val="28"/>
          <w:szCs w:val="28"/>
        </w:rPr>
        <w:t xml:space="preserve">26</w:t>
      </w:r>
      <w:bookmarkEnd w:id="156"/>
      <w:r>
        <w:rPr>
          <w:rFonts w:hint="eastAsia" w:ascii="方正仿宋_GBK" w:hAnsi="方正仿宋_GBK" w:eastAsia="方正仿宋_GBK" w:cs="方正仿宋_GBK"/>
          <w:sz w:val="28"/>
          <w:szCs w:val="28"/>
        </w:rPr>
        <w:t xml:space="preserve">.确定</w:t>
      </w:r>
      <w:bookmarkEnd w:id="157"/>
      <w:r/>
      <w:bookmarkEnd w:id="158"/>
      <w:r>
        <w:rPr>
          <w:rFonts w:hint="eastAsia" w:ascii="方正仿宋_GBK" w:hAnsi="方正仿宋_GBK" w:eastAsia="方正仿宋_GBK" w:cs="方正仿宋_GBK"/>
          <w:sz w:val="28"/>
          <w:szCs w:val="28"/>
        </w:rPr>
        <w:t xml:space="preserve">中标单位</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748"/>
        <w:ind w:firstLine="560"/>
        <w:spacing w:line="400" w:lineRule="exact"/>
        <w:rPr>
          <w:rFonts w:hint="eastAsia" w:ascii="方正仿宋_GBK" w:hAnsi="方正仿宋_GBK" w:eastAsia="方正仿宋_GBK" w:cs="方正仿宋_GBK"/>
          <w:sz w:val="28"/>
          <w:szCs w:val="28"/>
        </w:rPr>
      </w:pPr>
      <w:r/>
      <w:bookmarkStart w:id="159"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59"/>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748"/>
        <w:ind w:firstLine="560"/>
        <w:jc w:val="left"/>
        <w:keepNext/>
        <w:spacing w:line="400" w:lineRule="exact"/>
        <w:rPr>
          <w:rFonts w:hint="eastAsia" w:ascii="方正黑体_GBK" w:hAnsi="方正黑体_GBK" w:eastAsia="方正黑体_GBK" w:cs="方正黑体_GBK"/>
          <w:sz w:val="28"/>
          <w:szCs w:val="28"/>
        </w:rPr>
        <w:outlineLvl w:val="0"/>
      </w:pPr>
      <w:r/>
      <w:bookmarkStart w:id="160" w:name="_Toc120614220"/>
      <w:r/>
      <w:bookmarkStart w:id="161" w:name="_Toc20823308"/>
      <w:r/>
      <w:bookmarkStart w:id="162" w:name="_Toc513029236"/>
      <w:r/>
      <w:bookmarkStart w:id="163" w:name="_Toc16938552"/>
      <w:r>
        <w:rPr>
          <w:rFonts w:hint="eastAsia" w:ascii="方正黑体_GBK" w:hAnsi="方正黑体_GBK" w:eastAsia="方正黑体_GBK" w:cs="方正黑体_GBK"/>
          <w:sz w:val="28"/>
          <w:szCs w:val="28"/>
        </w:rPr>
        <w:t xml:space="preserve">七、授予合同</w:t>
      </w:r>
      <w:bookmarkEnd w:id="160"/>
      <w:r>
        <w:rPr>
          <w:rFonts w:hint="eastAsia" w:ascii="方正黑体_GBK" w:hAnsi="方正黑体_GBK" w:eastAsia="方正黑体_GBK" w:cs="方正黑体_GBK"/>
          <w:sz w:val="28"/>
          <w:szCs w:val="28"/>
        </w:rPr>
      </w:r>
      <w:r/>
    </w:p>
    <w:p>
      <w:pPr>
        <w:pStyle w:val="748"/>
        <w:ind w:firstLine="560"/>
        <w:spacing w:line="400" w:lineRule="exact"/>
        <w:rPr>
          <w:rFonts w:hint="eastAsia" w:ascii="方正仿宋_GBK" w:hAnsi="方正仿宋_GBK" w:eastAsia="方正仿宋_GBK" w:cs="方正仿宋_GBK"/>
          <w:sz w:val="28"/>
          <w:szCs w:val="28"/>
        </w:rPr>
      </w:pPr>
      <w:r/>
      <w:bookmarkEnd w:id="161"/>
      <w:r/>
      <w:bookmarkEnd w:id="162"/>
      <w:r/>
      <w:bookmarkEnd w:id="163"/>
      <w:r/>
      <w:bookmarkStart w:id="164" w:name="_Toc513029237"/>
      <w:r/>
      <w:bookmarkStart w:id="165" w:name="_Toc20823309"/>
      <w:r/>
      <w:bookmarkStart w:id="166" w:name="_Toc16938553"/>
      <w:r>
        <w:rPr>
          <w:rFonts w:hint="eastAsia" w:ascii="方正仿宋_GBK" w:hAnsi="方正仿宋_GBK" w:eastAsia="方正仿宋_GBK" w:cs="方正仿宋_GBK"/>
          <w:sz w:val="28"/>
          <w:szCs w:val="28"/>
        </w:rPr>
        <w:t xml:space="preserve">29.签订合同</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48"/>
        <w:ind w:firstLine="560"/>
        <w:spacing w:line="400" w:lineRule="exact"/>
        <w:rPr>
          <w:rFonts w:hint="eastAsia" w:ascii="方正仿宋_GBK" w:hAnsi="方正仿宋_GBK" w:eastAsia="方正仿宋_GBK" w:cs="方正仿宋_GBK"/>
          <w:sz w:val="28"/>
          <w:szCs w:val="28"/>
        </w:rPr>
      </w:pPr>
      <w:r/>
      <w:bookmarkEnd w:id="164"/>
      <w:r/>
      <w:bookmarkEnd w:id="165"/>
      <w:r/>
      <w:bookmarkEnd w:id="166"/>
      <w:r/>
      <w:bookmarkStart w:id="167" w:name="_Toc20823314"/>
      <w:r/>
      <w:bookmarkStart w:id="168" w:name="_Toc120614221"/>
      <w:r/>
      <w:bookmarkStart w:id="169" w:name="_Toc479757207"/>
      <w:r/>
      <w:bookmarkStart w:id="170" w:name="_Toc513029242"/>
      <w:r/>
      <w:bookmarkStart w:id="171" w:name="_Toc16938558"/>
      <w:r>
        <w:rPr>
          <w:rFonts w:hint="eastAsia" w:ascii="方正仿宋_GBK" w:hAnsi="方正仿宋_GBK" w:eastAsia="方正仿宋_GBK" w:cs="方正仿宋_GBK"/>
          <w:sz w:val="28"/>
          <w:szCs w:val="28"/>
        </w:rPr>
        <w:t xml:space="preserve">31.政府采购履约资金扶持政策</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763"/>
        <w:spacing w:line="400" w:lineRule="exact"/>
        <w:rPr>
          <w:rFonts w:hint="eastAsia" w:ascii="宋体" w:hAnsi="宋体"/>
          <w:bCs/>
          <w:sz w:val="24"/>
        </w:rPr>
      </w:pPr>
      <w:r>
        <w:rPr>
          <w:rFonts w:hint="eastAsia" w:ascii="宋体" w:hAnsi="宋体"/>
          <w:bCs/>
          <w:sz w:val="24"/>
        </w:rPr>
      </w:r>
      <w:r/>
    </w:p>
    <w:p>
      <w:pPr>
        <w:pStyle w:val="763"/>
        <w:spacing w:line="400" w:lineRule="exact"/>
        <w:rPr>
          <w:rFonts w:hint="eastAsia" w:ascii="宋体" w:hAnsi="宋体"/>
          <w:bCs/>
          <w:sz w:val="24"/>
        </w:rPr>
      </w:pPr>
      <w:r>
        <w:rPr>
          <w:rFonts w:ascii="宋体" w:hAnsi="宋体"/>
          <w:bCs/>
          <w:sz w:val="24"/>
        </w:rPr>
        <w:br w:type="page" w:clear="all"/>
      </w:r>
      <w:r>
        <w:rPr>
          <w:rFonts w:hint="eastAsia" w:ascii="宋体" w:hAnsi="宋体"/>
          <w:bCs/>
          <w:sz w:val="24"/>
        </w:rPr>
      </w:r>
      <w:r/>
    </w:p>
    <w:p>
      <w:pPr>
        <w:pStyle w:val="748"/>
        <w:ind w:right="83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第三章  合同</w:t>
      </w:r>
      <w:bookmarkEnd w:id="167"/>
      <w:r/>
      <w:bookmarkEnd w:id="168"/>
      <w:r/>
      <w:bookmarkEnd w:id="169"/>
      <w:r/>
      <w:bookmarkEnd w:id="170"/>
      <w:r/>
      <w:bookmarkEnd w:id="171"/>
      <w:r>
        <w:rPr>
          <w:rFonts w:hint="eastAsia" w:ascii="方正黑体_GBK" w:hAnsi="方正黑体_GBK" w:eastAsia="方正黑体_GBK" w:cs="方正黑体_GBK"/>
          <w:sz w:val="28"/>
          <w:szCs w:val="28"/>
        </w:rPr>
        <w:t xml:space="preserve">文本</w:t>
      </w:r>
      <w:r/>
    </w:p>
    <w:p>
      <w:pPr>
        <w:pStyle w:val="780"/>
        <w:jc w:val="center"/>
        <w:spacing w:line="400" w:lineRule="exact"/>
        <w:rPr>
          <w:rFonts w:hint="eastAsia" w:ascii="方正黑体_GBK" w:hAnsi="方正黑体_GBK" w:eastAsia="方正黑体_GBK" w:cs="方正黑体_GBK"/>
          <w:spacing w:val="-20"/>
        </w:rPr>
      </w:pPr>
      <w:r/>
      <w:bookmarkStart w:id="172" w:name="_Toc20823315"/>
      <w:r/>
      <w:bookmarkStart w:id="173" w:name="_Toc513029243"/>
      <w:r/>
      <w:bookmarkStart w:id="174" w:name="_Toc16938559"/>
      <w:r>
        <w:rPr>
          <w:rFonts w:hint="eastAsia" w:ascii="方正黑体_GBK" w:hAnsi="方正黑体_GBK" w:eastAsia="方正黑体_GBK" w:cs="方正黑体_GBK"/>
          <w:spacing w:val="-20"/>
        </w:rPr>
      </w:r>
      <w:r/>
    </w:p>
    <w:p>
      <w:pPr>
        <w:pStyle w:val="780"/>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74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eastAsia="方正仿宋_GBK"/>
          <w:sz w:val="28"/>
          <w:szCs w:val="28"/>
        </w:rPr>
        <w:t xml:space="preserve">XXXX </w:t>
      </w:r>
      <w:r>
        <w:rPr>
          <w:rFonts w:hint="eastAsia" w:ascii="方正仿宋_GBK" w:hAnsi="方正仿宋_GBK" w:eastAsia="方正仿宋_GBK" w:cs="方正仿宋_GBK"/>
          <w:sz w:val="28"/>
          <w:szCs w:val="28"/>
        </w:rPr>
        <w:t xml:space="preserve">                  </w:t>
      </w:r>
      <w:r/>
    </w:p>
    <w:p>
      <w:pPr>
        <w:pStyle w:val="74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74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787"/>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78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bCs/>
          <w:sz w:val="28"/>
          <w:szCs w:val="28"/>
        </w:rPr>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787"/>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rPr>
        <w:t xml:space="preserve">XXXX</w:t>
      </w:r>
      <w:r>
        <w:rPr>
          <w:rFonts w:ascii="方正仿宋_GBK" w:hAnsi="方正仿宋_GBK" w:eastAsia="方正仿宋_GBK" w:cs="方正仿宋_GBK"/>
          <w:sz w:val="28"/>
          <w:szCs w:val="28"/>
        </w:rPr>
      </w:r>
      <w:r/>
    </w:p>
    <w:p>
      <w:pPr>
        <w:pStyle w:val="787"/>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rPr>
        <w:t xml:space="preserve">XXXX</w:t>
      </w:r>
      <w:r>
        <w:rPr>
          <w:rFonts w:ascii="方正仿宋_GBK" w:hAnsi="方正仿宋_GBK" w:eastAsia="方正仿宋_GBK" w:cs="方正仿宋_GBK"/>
          <w:sz w:val="28"/>
          <w:szCs w:val="28"/>
        </w:rPr>
      </w:r>
      <w:r/>
    </w:p>
    <w:p>
      <w:pPr>
        <w:pStyle w:val="787"/>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rPr>
        <w:t xml:space="preserve">XXXX</w:t>
      </w:r>
      <w:r>
        <w:rPr>
          <w:rFonts w:ascii="方正仿宋_GBK" w:hAnsi="方正仿宋_GBK" w:eastAsia="方正仿宋_GBK" w:cs="方正仿宋_GBK"/>
          <w:sz w:val="28"/>
          <w:szCs w:val="28"/>
        </w:rPr>
      </w:r>
      <w:r/>
    </w:p>
    <w:p>
      <w:pPr>
        <w:pStyle w:val="78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rPr>
        <w:t xml:space="preserve">XXXX</w:t>
      </w:r>
      <w:r>
        <w:rPr>
          <w:rFonts w:hint="eastAsia" w:ascii="方正仿宋_GBK" w:hAnsi="方正仿宋_GBK" w:eastAsia="方正仿宋_GBK" w:cs="方正仿宋_GBK"/>
          <w:bCs/>
          <w:sz w:val="28"/>
          <w:szCs w:val="28"/>
        </w:rPr>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8.1合同款项的支付方式及进度安排（具体见采购需求对应分包的付款方式）</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预付款支付时间：合同签订并收到供应商发票后10</w:t>
      </w:r>
      <w:r>
        <w:rPr>
          <w:rFonts w:hint="eastAsia" w:ascii="Times New Roman" w:hAnsi="Times New Roman" w:eastAsia="方正仿宋_GBK" w:cs="Times New Roman"/>
          <w:sz w:val="28"/>
          <w:szCs w:val="28"/>
        </w:rPr>
        <w:t xml:space="preserve">个</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sz w:val="28"/>
          <w:szCs w:val="28"/>
          <w:u w:val="single"/>
        </w:rPr>
        <w:t xml:space="preserve">80 </w:t>
      </w:r>
      <w:r>
        <w:rPr>
          <w:rFonts w:hint="eastAsia" w:ascii="方正仿宋_GBK" w:hAnsi="方正仿宋_GBK" w:eastAsia="方正仿宋_GBK" w:cs="方正仿宋_GBK"/>
          <w:sz w:val="28"/>
          <w:szCs w:val="28"/>
        </w:rPr>
        <w:t xml:space="preserve">%。</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8.1.2尾款支付时间：采购人验收通过并收到发票后10个工作日内，尾款支付比例：合同金额的</w:t>
      </w:r>
      <w:r>
        <w:rPr>
          <w:rFonts w:hint="eastAsia" w:ascii="Times New Roman" w:hAnsi="Times New Roman" w:eastAsia="方正仿宋_GBK" w:cs="Times New Roman"/>
          <w:sz w:val="28"/>
          <w:szCs w:val="28"/>
          <w:u w:val="single"/>
        </w:rPr>
        <w:t xml:space="preserve">20 </w:t>
      </w:r>
      <w:r>
        <w:rPr>
          <w:rFonts w:hint="eastAsia" w:ascii="方正仿宋_GBK" w:hAnsi="方正仿宋_GBK" w:eastAsia="方正仿宋_GBK" w:cs="方正仿宋_GBK"/>
          <w:sz w:val="28"/>
          <w:szCs w:val="28"/>
        </w:rPr>
        <w:t xml:space="preserve">%。</w:t>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787"/>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78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787"/>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787"/>
        <w:jc w:val="center"/>
        <w:spacing w:before="120" w:after="120" w:line="400" w:lineRule="exact"/>
        <w:rPr>
          <w:sz w:val="28"/>
          <w:szCs w:val="28"/>
        </w:rPr>
      </w:pPr>
      <w:r>
        <w:rPr>
          <w:rFonts w:hint="eastAsia"/>
          <w:sz w:val="28"/>
          <w:szCs w:val="28"/>
        </w:rPr>
        <w:t xml:space="preserve">                                         </w:t>
      </w:r>
      <w:r>
        <w:rPr>
          <w:sz w:val="28"/>
          <w:szCs w:val="28"/>
        </w:rPr>
      </w:r>
      <w:r/>
    </w:p>
    <w:p>
      <w:pPr>
        <w:pStyle w:val="787"/>
        <w:jc w:val="right"/>
        <w:spacing w:before="120" w:after="120" w:line="400" w:lineRule="exact"/>
        <w:rPr>
          <w:sz w:val="28"/>
          <w:szCs w:val="28"/>
        </w:rPr>
      </w:pPr>
      <w:r>
        <w:rPr>
          <w:rFonts w:hint="eastAsia"/>
          <w:sz w:val="28"/>
          <w:szCs w:val="28"/>
        </w:rPr>
        <w:t xml:space="preserve"> </w:t>
      </w:r>
      <w:r>
        <w:rPr>
          <w:sz w:val="28"/>
          <w:szCs w:val="28"/>
        </w:rPr>
      </w:r>
      <w:r/>
    </w:p>
    <w:p>
      <w:pPr>
        <w:pStyle w:val="787"/>
        <w:jc w:val="center"/>
        <w:spacing w:before="120" w:after="120" w:line="40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72"/>
      <w:r/>
      <w:bookmarkEnd w:id="173"/>
      <w:r/>
      <w:bookmarkEnd w:id="174"/>
      <w:r/>
      <w:bookmarkStart w:id="175" w:name="_Hlt16619369"/>
      <w:r/>
      <w:bookmarkEnd w:id="175"/>
      <w:r/>
      <w:bookmarkStart w:id="176" w:name="_Hlt16619350"/>
      <w:r/>
      <w:bookmarkStart w:id="177" w:name="_Toc20823346"/>
      <w:r/>
      <w:bookmarkStart w:id="178" w:name="_Toc120614244"/>
      <w:r/>
      <w:bookmarkStart w:id="179" w:name="_Toc16938590"/>
      <w:r/>
      <w:bookmarkStart w:id="180" w:name="_Toc462564139"/>
      <w:r/>
      <w:bookmarkStart w:id="181" w:name="_Toc479757211"/>
      <w:r>
        <w:rPr>
          <w:rFonts w:ascii="黑体" w:eastAsia="黑体"/>
          <w:bCs/>
          <w:sz w:val="28"/>
          <w:szCs w:val="28"/>
        </w:rPr>
        <w:br w:type="page" w:clear="all"/>
      </w:r>
      <w:r>
        <w:rPr>
          <w:rFonts w:hint="eastAsia" w:ascii="方正黑体_GBK" w:hAnsi="方正黑体_GBK" w:eastAsia="方正黑体_GBK" w:cs="方正黑体_GBK"/>
          <w:sz w:val="28"/>
          <w:szCs w:val="28"/>
        </w:rPr>
        <w:t xml:space="preserve">第</w:t>
      </w:r>
      <w:bookmarkEnd w:id="176"/>
      <w:r>
        <w:rPr>
          <w:rFonts w:hint="eastAsia" w:ascii="方正黑体_GBK" w:hAnsi="方正黑体_GBK" w:eastAsia="方正黑体_GBK" w:cs="方正黑体_GBK"/>
          <w:sz w:val="28"/>
          <w:szCs w:val="28"/>
        </w:rPr>
        <w:t xml:space="preserve">四章 采购需求</w:t>
      </w:r>
      <w:bookmarkEnd w:id="177"/>
      <w:r/>
      <w:bookmarkEnd w:id="178"/>
      <w:r/>
      <w:bookmarkEnd w:id="179"/>
      <w:r>
        <w:rPr>
          <w:rFonts w:hint="eastAsia" w:ascii="方正黑体_GBK" w:hAnsi="方正黑体_GBK" w:eastAsia="方正黑体_GBK" w:cs="方正黑体_GBK"/>
          <w:bCs/>
          <w:sz w:val="28"/>
          <w:szCs w:val="28"/>
        </w:rPr>
      </w:r>
      <w:r/>
    </w:p>
    <w:p>
      <w:pPr>
        <w:pStyle w:val="787"/>
        <w:ind w:firstLine="560"/>
        <w:spacing w:before="120" w:after="120" w:line="400" w:lineRule="exact"/>
        <w:rPr>
          <w:rFonts w:hint="eastAsia" w:ascii="方正黑体_GBK" w:hAnsi="方正黑体_GBK" w:eastAsia="方正黑体_GBK" w:cs="方正黑体_GBK"/>
          <w:bCs/>
          <w:sz w:val="28"/>
          <w:szCs w:val="28"/>
        </w:rPr>
      </w:pPr>
      <w:r/>
      <w:bookmarkStart w:id="182" w:name="_Toc49090575"/>
      <w:r/>
      <w:bookmarkStart w:id="183" w:name="_Toc26554093"/>
      <w:r>
        <w:rPr>
          <w:rFonts w:hint="eastAsia" w:ascii="方正黑体_GBK" w:hAnsi="方正黑体_GBK" w:eastAsia="方正黑体_GBK" w:cs="方正黑体_GBK"/>
          <w:bCs/>
          <w:sz w:val="28"/>
          <w:szCs w:val="28"/>
        </w:rPr>
        <w:t xml:space="preserve">一、采购内容</w:t>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本项目共分为6个标段。</w:t>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4590"/>
        <w:gridCol w:w="2438"/>
      </w:tblGrid>
      <w:tr>
        <w:trPr>
          <w:cantSplit/>
          <w:trHeight w:val="701"/>
        </w:trPr>
        <w:tc>
          <w:tcPr>
            <w:tcW w:w="912"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59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912"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4590" w:type="dxa"/>
            <w:vAlign w:val="top"/>
            <w:textDirection w:val="lrTb"/>
            <w:noWrap w:val="false"/>
          </w:tcPr>
          <w:p>
            <w:pPr>
              <w:pStyle w:val="748"/>
              <w:rPr>
                <w:rFonts w:hint="eastAsia"/>
              </w:rPr>
            </w:pPr>
            <w:r>
              <w:rPr>
                <w:rFonts w:hint="eastAsia"/>
              </w:rPr>
              <w:t xml:space="preserve">江苏省服务业公共服务云平台国产化适配改造</w:t>
            </w:r>
            <w:r/>
          </w:p>
        </w:tc>
        <w:tc>
          <w:tcPr>
            <w:tcW w:w="2438" w:type="dxa"/>
            <w:vAlign w:val="top"/>
            <w:textDirection w:val="lrTb"/>
            <w:noWrap w:val="false"/>
          </w:tcPr>
          <w:p>
            <w:pPr>
              <w:pStyle w:val="748"/>
              <w:rPr>
                <w:rFonts w:hint="eastAsia"/>
              </w:rPr>
            </w:pPr>
            <w:r>
              <w:rPr>
                <w:rFonts w:hint="eastAsia"/>
              </w:rPr>
              <w:t xml:space="preserve">软件与信息技术服务业</w:t>
            </w:r>
            <w:r/>
          </w:p>
        </w:tc>
      </w:tr>
      <w:tr>
        <w:trPr>
          <w:cantSplit/>
          <w:trHeight w:val="235"/>
        </w:trPr>
        <w:tc>
          <w:tcPr>
            <w:tcW w:w="912"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4590" w:type="dxa"/>
            <w:vAlign w:val="top"/>
            <w:textDirection w:val="lrTb"/>
            <w:noWrap w:val="false"/>
          </w:tcPr>
          <w:p>
            <w:pPr>
              <w:pStyle w:val="748"/>
              <w:rPr>
                <w:rFonts w:hint="eastAsia"/>
              </w:rPr>
            </w:pPr>
            <w:r/>
            <w:bookmarkStart w:id="184" w:name="OLE_LINK27"/>
            <w:r>
              <w:rPr>
                <w:rFonts w:hint="eastAsia"/>
              </w:rPr>
              <w:t xml:space="preserve">江苏省重大项目服务管理平台国产化适配改造</w:t>
            </w:r>
            <w:bookmarkEnd w:id="184"/>
            <w:r>
              <w:rPr>
                <w:rFonts w:hint="eastAsia"/>
              </w:rPr>
            </w:r>
            <w:r/>
          </w:p>
        </w:tc>
        <w:tc>
          <w:tcPr>
            <w:tcW w:w="2438" w:type="dxa"/>
            <w:vAlign w:val="top"/>
            <w:textDirection w:val="lrTb"/>
            <w:noWrap w:val="false"/>
          </w:tcPr>
          <w:p>
            <w:pPr>
              <w:pStyle w:val="748"/>
              <w:rPr>
                <w:rFonts w:hint="eastAsia"/>
              </w:rPr>
            </w:pPr>
            <w:r>
              <w:rPr>
                <w:rFonts w:hint="eastAsia"/>
              </w:rPr>
              <w:t xml:space="preserve">软件与信息技术服务业</w:t>
            </w:r>
            <w:r/>
          </w:p>
        </w:tc>
      </w:tr>
      <w:tr>
        <w:trPr>
          <w:cantSplit/>
          <w:trHeight w:val="222"/>
        </w:trPr>
        <w:tc>
          <w:tcPr>
            <w:tcW w:w="912"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4590" w:type="dxa"/>
            <w:vAlign w:val="top"/>
            <w:textDirection w:val="lrTb"/>
            <w:noWrap w:val="false"/>
          </w:tcPr>
          <w:p>
            <w:pPr>
              <w:pStyle w:val="748"/>
              <w:rPr>
                <w:rFonts w:hint="eastAsia"/>
              </w:rPr>
            </w:pPr>
            <w:r/>
            <w:bookmarkStart w:id="185" w:name="OLE_LINK29"/>
            <w:r/>
            <w:bookmarkStart w:id="186" w:name="OLE_LINK28"/>
            <w:r>
              <w:rPr>
                <w:rFonts w:hint="eastAsia"/>
              </w:rPr>
              <w:t xml:space="preserve">省发改委语音通知系统国产化适配改造</w:t>
            </w:r>
            <w:bookmarkEnd w:id="185"/>
            <w:r/>
            <w:bookmarkEnd w:id="186"/>
            <w:r>
              <w:rPr>
                <w:rFonts w:hint="eastAsia"/>
              </w:rPr>
            </w:r>
            <w:r/>
          </w:p>
        </w:tc>
        <w:tc>
          <w:tcPr>
            <w:tcW w:w="2438" w:type="dxa"/>
            <w:vAlign w:val="top"/>
            <w:textDirection w:val="lrTb"/>
            <w:noWrap w:val="false"/>
          </w:tcPr>
          <w:p>
            <w:pPr>
              <w:pStyle w:val="748"/>
              <w:rPr>
                <w:rFonts w:hint="eastAsia"/>
              </w:rPr>
            </w:pPr>
            <w:r>
              <w:rPr>
                <w:rFonts w:hint="eastAsia"/>
              </w:rPr>
              <w:t xml:space="preserve">软件与信息技术服务业</w:t>
            </w:r>
            <w:r/>
          </w:p>
        </w:tc>
      </w:tr>
      <w:tr>
        <w:trPr>
          <w:cantSplit/>
          <w:trHeight w:val="222"/>
        </w:trPr>
        <w:tc>
          <w:tcPr>
            <w:tcW w:w="912"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4590" w:type="dxa"/>
            <w:vAlign w:val="top"/>
            <w:textDirection w:val="lrTb"/>
            <w:noWrap w:val="false"/>
          </w:tcPr>
          <w:p>
            <w:pPr>
              <w:pStyle w:val="748"/>
              <w:rPr>
                <w:rFonts w:hint="eastAsia"/>
              </w:rPr>
            </w:pPr>
            <w:r>
              <w:rPr>
                <w:rFonts w:hint="eastAsia"/>
              </w:rPr>
              <w:t xml:space="preserve">江苏省收费动态监管服务系统国产化适配改造</w:t>
            </w:r>
            <w:r/>
          </w:p>
        </w:tc>
        <w:tc>
          <w:tcPr>
            <w:tcW w:w="2438" w:type="dxa"/>
            <w:vAlign w:val="top"/>
            <w:textDirection w:val="lrTb"/>
            <w:noWrap w:val="false"/>
          </w:tcPr>
          <w:p>
            <w:pPr>
              <w:pStyle w:val="748"/>
              <w:rPr>
                <w:rFonts w:hint="eastAsia"/>
              </w:rPr>
            </w:pPr>
            <w:r>
              <w:rPr>
                <w:rFonts w:hint="eastAsia"/>
              </w:rPr>
              <w:t xml:space="preserve">软件与信息技术服务业</w:t>
            </w:r>
            <w:r/>
          </w:p>
        </w:tc>
      </w:tr>
      <w:tr>
        <w:trPr>
          <w:cantSplit/>
          <w:trHeight w:val="222"/>
        </w:trPr>
        <w:tc>
          <w:tcPr>
            <w:tcW w:w="912"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4590" w:type="dxa"/>
            <w:vAlign w:val="top"/>
            <w:textDirection w:val="lrTb"/>
            <w:noWrap w:val="false"/>
          </w:tcPr>
          <w:p>
            <w:pPr>
              <w:pStyle w:val="748"/>
              <w:rPr>
                <w:rFonts w:hint="eastAsia"/>
              </w:rPr>
            </w:pPr>
            <w:r>
              <w:rPr>
                <w:rFonts w:hint="eastAsia"/>
              </w:rPr>
              <w:t xml:space="preserve">江苏省经济运行企业调查平台国产化适配改造</w:t>
            </w:r>
            <w:r/>
          </w:p>
        </w:tc>
        <w:tc>
          <w:tcPr>
            <w:tcW w:w="2438" w:type="dxa"/>
            <w:vAlign w:val="top"/>
            <w:textDirection w:val="lrTb"/>
            <w:noWrap w:val="false"/>
          </w:tcPr>
          <w:p>
            <w:pPr>
              <w:pStyle w:val="748"/>
              <w:rPr>
                <w:rFonts w:hint="eastAsia"/>
              </w:rPr>
            </w:pPr>
            <w:r>
              <w:rPr>
                <w:rFonts w:hint="eastAsia"/>
              </w:rPr>
              <w:t xml:space="preserve">软件与信息技术服务业</w:t>
            </w:r>
            <w:r/>
          </w:p>
        </w:tc>
      </w:tr>
      <w:tr>
        <w:trPr>
          <w:cantSplit/>
          <w:trHeight w:val="222"/>
        </w:trPr>
        <w:tc>
          <w:tcPr>
            <w:tcW w:w="912"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4590" w:type="dxa"/>
            <w:vAlign w:val="top"/>
            <w:textDirection w:val="lrTb"/>
            <w:noWrap w:val="false"/>
          </w:tcPr>
          <w:p>
            <w:pPr>
              <w:pStyle w:val="748"/>
              <w:rPr>
                <w:rFonts w:hint="eastAsia"/>
              </w:rPr>
            </w:pPr>
            <w:r>
              <w:rPr>
                <w:rFonts w:hint="eastAsia"/>
              </w:rPr>
              <w:t xml:space="preserve">江苏省物流公共服务平台国产化适配改造</w:t>
            </w:r>
            <w:r/>
          </w:p>
        </w:tc>
        <w:tc>
          <w:tcPr>
            <w:tcW w:w="2438" w:type="dxa"/>
            <w:vAlign w:val="top"/>
            <w:textDirection w:val="lrTb"/>
            <w:noWrap w:val="false"/>
          </w:tcPr>
          <w:p>
            <w:pPr>
              <w:pStyle w:val="748"/>
            </w:pPr>
            <w:r>
              <w:rPr>
                <w:rFonts w:hint="eastAsia"/>
              </w:rPr>
              <w:t xml:space="preserve">软件与信息技术服务业</w:t>
            </w:r>
            <w:r/>
          </w:p>
        </w:tc>
      </w:tr>
    </w:tbl>
    <w:p>
      <w:pPr>
        <w:pStyle w:val="748"/>
        <w:ind w:firstLine="482"/>
        <w:spacing w:line="0" w:lineRule="atLeast"/>
        <w:rPr>
          <w:rFonts w:ascii="宋体" w:hAnsi="宋体"/>
          <w:b/>
          <w:sz w:val="24"/>
          <w:szCs w:val="24"/>
        </w:rPr>
      </w:pPr>
      <w:r>
        <w:rPr>
          <w:rFonts w:ascii="宋体" w:hAnsi="宋体"/>
          <w:b/>
          <w:sz w:val="24"/>
          <w:szCs w:val="24"/>
        </w:rPr>
        <w:t xml:space="preserve">项目属性：服务类项目</w:t>
      </w:r>
      <w:r/>
    </w:p>
    <w:p>
      <w:pPr>
        <w:pStyle w:val="748"/>
        <w:ind w:firstLine="482"/>
        <w:spacing w:line="0" w:lineRule="atLeast"/>
        <w:rPr>
          <w:rFonts w:hint="eastAsia" w:ascii="方正黑体_GBK" w:hAnsi="方正黑体_GBK" w:eastAsia="方正黑体_GBK" w:cs="方正黑体_GBK"/>
          <w:bCs/>
          <w:sz w:val="28"/>
          <w:szCs w:val="28"/>
        </w:rPr>
      </w:pPr>
      <w:r>
        <w:rPr>
          <w:rFonts w:hint="eastAsia" w:ascii="宋体" w:hAnsi="宋体"/>
          <w:b/>
          <w:sz w:val="24"/>
          <w:szCs w:val="24"/>
        </w:rPr>
        <w:t xml:space="preserve">本项目不接受进口产品参加投标。</w:t>
      </w:r>
      <w:r>
        <w:rPr>
          <w:rFonts w:hint="eastAsia" w:ascii="方正黑体_GBK" w:hAnsi="方正黑体_GBK" w:eastAsia="方正黑体_GBK" w:cs="方正黑体_GBK"/>
          <w:bCs/>
          <w:sz w:val="28"/>
          <w:szCs w:val="28"/>
        </w:rPr>
      </w:r>
      <w:r/>
    </w:p>
    <w:p>
      <w:pPr>
        <w:pStyle w:val="78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（本项目不涉及货物采购）</w:t>
      </w:r>
      <w:r/>
    </w:p>
    <w:p>
      <w:pPr>
        <w:pStyle w:val="748"/>
        <w:ind w:firstLine="56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三、采购要求</w:t>
      </w:r>
      <w:r/>
    </w:p>
    <w:p>
      <w:pPr>
        <w:pStyle w:val="748"/>
        <w:jc w:val="center"/>
        <w:spacing w:line="400" w:lineRule="exact"/>
        <w:rPr>
          <w:rFonts w:hint="eastAsia"/>
          <w:b/>
          <w:sz w:val="24"/>
          <w:szCs w:val="24"/>
          <w:lang w:val="zh-CN"/>
        </w:rPr>
      </w:pPr>
      <w:r/>
      <w:bookmarkStart w:id="187" w:name="OLE_LINK90"/>
      <w:r/>
      <w:bookmarkStart w:id="188" w:name="OLE_LINK89"/>
      <w:r/>
      <w:bookmarkStart w:id="189" w:name="OLE_LINK11"/>
      <w:r>
        <w:rPr>
          <w:b/>
          <w:sz w:val="24"/>
          <w:szCs w:val="24"/>
          <w:lang w:val="zh-CN"/>
        </w:rPr>
        <w:br w:type="page" w:clear="all"/>
      </w:r>
      <w:bookmarkEnd w:id="187"/>
      <w:r/>
      <w:bookmarkEnd w:id="188"/>
      <w:r>
        <w:rPr>
          <w:rFonts w:hint="eastAsia"/>
          <w:b/>
          <w:sz w:val="24"/>
          <w:szCs w:val="24"/>
          <w:lang w:val="zh-CN"/>
        </w:rPr>
        <w:t xml:space="preserve">采购包一：江苏省服务业公共服务云平台国产化适配改造</w:t>
      </w:r>
      <w:r/>
    </w:p>
    <w:p>
      <w:pPr>
        <w:pStyle w:val="748"/>
        <w:numPr>
          <w:ilvl w:val="0"/>
          <w:numId w:val="4"/>
        </w:numPr>
        <w:ind w:left="-142"/>
        <w:spacing w:line="400" w:lineRule="exact"/>
        <w:widowControl/>
        <w:rPr>
          <w:rFonts w:ascii="宋体" w:hAnsi="Calibri" w:cs="Courier New"/>
          <w:b/>
          <w:bCs/>
          <w:szCs w:val="24"/>
        </w:rPr>
      </w:pPr>
      <w:r>
        <w:rPr>
          <w:rFonts w:ascii="宋体" w:hAnsi="Calibri" w:cs="Courier New"/>
          <w:b/>
          <w:bCs/>
          <w:szCs w:val="24"/>
        </w:rPr>
        <w:t xml:space="preserve">项目概述</w:t>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2.1</w:t>
      </w:r>
      <w:r>
        <w:rPr>
          <w:rFonts w:ascii="宋体" w:hAnsi="Calibri" w:cs="Courier New"/>
          <w:b/>
          <w:bCs/>
          <w:szCs w:val="24"/>
        </w:rPr>
        <w:t xml:space="preserve">项目背景</w:t>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为深入贯彻网络强国、数字中国及关键核心技术自主可控国家战略，全面落实《数字中国建设整体布局规划》、《数字中国建设2025年行动方案》，以及江苏省《关于加快统筹推进数字政府高质量建设的实施意见》、《江苏省数字经济高质量发展三年行动计划（2025－2027年）》等政策要求，切实筑牢政务服务领域信息安全防线、提升自主可控水平，按照单位信息化系统国产化工作部署，计划对江苏省服务业公共服务云平台实施全面国产化替代。</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江苏省服务业公共服务云平台是支撑全省服务业高质量发展的核心政务信息系统，承担着服务业运行监测、行业监管、产业结构分析等关键职能，为省发改委科学制定区域发展年度计划与长期规划、引导产业健康绿色发展提供全量企业数据支撑与决策依据。当前平台部署于政务云非国产化环境，存在潜在安全风险与技术依赖，难以适配数字政府建设对信息系统安全可控的刚性要求，亟需通过系统性国产化改造，构建安全、高效、自主可控的政务服务平台底座。</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2.2建设目标</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建成全栈国产化、安全可靠、性能达标、平滑演进的江苏省服务业公共服务云平台，实现核心基础设施、基础软件、应用系统的自主可控，显著提升平台安全防护水平和持续服务保障能力。具体目标：</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国产化率100%：实现平台服务器、操作系统、浏览器、数据库、中间件、应用系统、办公组件等全栈组件国产化替代。</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安全合规：满足国家信息安全等级保护二级、密码应用测评三级相关规定。</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平稳迁移：确保业务系统迁移过程平滑、数据完整准确，用户体验无感或提升。</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性能保障：国产化平台整体性能不低于现有水平，关键业务响应时间满足政务服务、业务办理时效要求。</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2.3信息化现状</w:t>
      </w:r>
      <w:r>
        <w:rPr>
          <w:rFonts w:ascii="宋体" w:hAnsi="Calibri" w:cs="Courier New"/>
          <w:b/>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1.系统建设层面</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江苏省服务业公共服务云平台作为全省服务业的重要信息化抓手，经过多年建设发展，已形成较为完善的五大业务系统，包括：</w:t>
      </w:r>
      <w:r>
        <w:rPr>
          <w:rFonts w:ascii="宋体" w:hAnsi="Calibri" w:cs="Courier New"/>
          <w:szCs w:val="24"/>
        </w:rPr>
      </w:r>
      <w:r/>
    </w:p>
    <w:p>
      <w:pPr>
        <w:pStyle w:val="748"/>
        <w:ind w:firstLine="422"/>
        <w:spacing w:line="400" w:lineRule="exact"/>
        <w:widowControl/>
        <w:rPr>
          <w:rFonts w:ascii="宋体" w:hAnsi="Calibri" w:cs="Courier New"/>
          <w:szCs w:val="24"/>
        </w:rPr>
      </w:pPr>
      <w:r>
        <w:rPr>
          <w:rFonts w:hint="eastAsia" w:ascii="宋体" w:hAnsi="Calibri" w:cs="Courier New"/>
          <w:b/>
          <w:bCs/>
          <w:szCs w:val="24"/>
        </w:rPr>
        <w:t xml:space="preserve">重点项目管理系统：</w:t>
      </w:r>
      <w:r>
        <w:rPr>
          <w:rFonts w:hint="eastAsia" w:ascii="宋体" w:hAnsi="Calibri" w:cs="Courier New"/>
          <w:szCs w:val="24"/>
        </w:rPr>
        <w:t xml:space="preserve">构建覆盖项目储备、项目申报、进度控制、监督管理等环节的重大项目管理和监督的信息化应用。开发项目储备、重大项目在线申报、审核、分库管理、跟踪管理、任务督办、项目档案库管理和统计分析等应用功能。实现基于重大项目的数字化档案管理，对重大项目进行在线全过程、全方位、多层次的管理和多维度跟踪分析。</w:t>
      </w:r>
      <w:r>
        <w:rPr>
          <w:rFonts w:ascii="宋体" w:hAnsi="Calibri" w:cs="Courier New"/>
          <w:szCs w:val="24"/>
        </w:rPr>
      </w:r>
      <w:r/>
    </w:p>
    <w:p>
      <w:pPr>
        <w:pStyle w:val="748"/>
        <w:ind w:firstLine="422"/>
        <w:spacing w:line="400" w:lineRule="exact"/>
        <w:widowControl/>
        <w:rPr>
          <w:rFonts w:ascii="宋体" w:hAnsi="Calibri" w:cs="Courier New"/>
          <w:szCs w:val="24"/>
        </w:rPr>
      </w:pPr>
      <w:r>
        <w:rPr>
          <w:rFonts w:hint="eastAsia" w:ascii="宋体" w:hAnsi="Calibri" w:cs="Courier New"/>
          <w:b/>
          <w:bCs/>
          <w:szCs w:val="24"/>
        </w:rPr>
        <w:t xml:space="preserve">重点企业管理系统：</w:t>
      </w:r>
      <w:r>
        <w:rPr>
          <w:rFonts w:hint="eastAsia" w:ascii="宋体" w:hAnsi="Calibri" w:cs="Courier New"/>
          <w:szCs w:val="24"/>
        </w:rPr>
        <w:t xml:space="preserve">构建覆盖企业经营情况、创新情况、品牌建设情况等方面的服务业重点企业管理信息化应用，开发服务业重点企业培育库、重点企业在线申报认定、企业发展及业态创新情况上报跟踪、企业档案库和企业发展数据统计分析等应用功能。实现基于“一企一档”的服务业企业基础数据综合管理和企业发展情况的多维分析，创新服务业企业数据直报模式。</w:t>
      </w:r>
      <w:r>
        <w:rPr>
          <w:rFonts w:ascii="宋体" w:hAnsi="Calibri" w:cs="Courier New"/>
          <w:szCs w:val="24"/>
        </w:rPr>
      </w:r>
      <w:r/>
    </w:p>
    <w:p>
      <w:pPr>
        <w:pStyle w:val="748"/>
        <w:ind w:firstLine="422"/>
        <w:spacing w:line="400" w:lineRule="exact"/>
        <w:widowControl/>
        <w:rPr>
          <w:rFonts w:ascii="宋体" w:hAnsi="Calibri" w:cs="Courier New"/>
          <w:szCs w:val="24"/>
        </w:rPr>
      </w:pPr>
      <w:r>
        <w:rPr>
          <w:rFonts w:hint="eastAsia" w:ascii="宋体" w:hAnsi="Calibri" w:cs="Courier New"/>
          <w:b/>
          <w:bCs/>
          <w:szCs w:val="24"/>
        </w:rPr>
        <w:t xml:space="preserve">集聚区管理系统：</w:t>
      </w:r>
      <w:r>
        <w:rPr>
          <w:rFonts w:hint="eastAsia" w:ascii="宋体" w:hAnsi="Calibri" w:cs="Courier New"/>
          <w:szCs w:val="24"/>
        </w:rPr>
        <w:t xml:space="preserve">构建覆盖服务业集聚区园区管理、资格认定、运营情况跟踪、绩效考核等方面的集聚区管理信息化应用。开发集聚区在线申报、推荐、审核、驻区企业管理、在建项目管理、公共服务平台管理、集聚区运营建设目标跟踪、集聚区绩效考核、集聚区档案库管理、统计分析等应用功能。实现对集聚区运营情况的数据采集和线上管理，直观展现包括集聚区内产业结构、基础设施建设、空间布局规划等方面的集聚区规划、建设和发展情况。</w:t>
      </w:r>
      <w:r>
        <w:rPr>
          <w:rFonts w:ascii="宋体" w:hAnsi="Calibri" w:cs="Courier New"/>
          <w:szCs w:val="24"/>
        </w:rPr>
      </w:r>
      <w:r/>
    </w:p>
    <w:p>
      <w:pPr>
        <w:pStyle w:val="748"/>
        <w:ind w:firstLine="422"/>
        <w:spacing w:line="400" w:lineRule="exact"/>
        <w:widowControl/>
        <w:rPr>
          <w:rFonts w:ascii="宋体" w:hAnsi="Calibri" w:cs="Courier New"/>
          <w:szCs w:val="24"/>
        </w:rPr>
      </w:pPr>
      <w:r>
        <w:rPr>
          <w:rFonts w:hint="eastAsia" w:ascii="宋体" w:hAnsi="Calibri" w:cs="Courier New"/>
          <w:b/>
          <w:bCs/>
          <w:szCs w:val="24"/>
        </w:rPr>
        <w:t xml:space="preserve">苏服贷管理系统：</w:t>
      </w:r>
      <w:r>
        <w:rPr>
          <w:rFonts w:hint="eastAsia" w:ascii="宋体" w:hAnsi="Calibri" w:cs="Courier New"/>
          <w:szCs w:val="24"/>
        </w:rPr>
        <w:t xml:space="preserve">建设苏服贷企业库，提供中小服务业企业入库申请、推荐、审核、银行放贷情况跟踪、贷款情况统计分析等功能，有助于管理部门跟踪掌握服务业企业融资需求以及贷款政策的执行成效情况。</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平台用户主要为省、市、县发展改革委工作人员、服务业企业、银行、集聚区管委会等，约超10000人。</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2.系统技术层面</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平台采用JAVA开发语言，采用面向服务（SOA）体系架构，通过面向对象的模块化方式设计，构建了基于B/S架构的多层应用部署体系。前端主要采用jQuery技术实现交互，后端基于SpringMVC框架进行业务逻辑处理与服务封装。。</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3.系统部署层面</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系统部署环境，平台目前部署在江苏省政务云互联网区包括：3台应用服务器（2台应用服务器，1台文件服务器），2台数据库服务器（2个数据库一主一从）。</w:t>
      </w:r>
      <w:r>
        <w:rPr>
          <w:rFonts w:ascii="宋体" w:hAnsi="Calibri" w:cs="Courier New"/>
          <w:szCs w:val="24"/>
        </w:rPr>
      </w:r>
      <w:r/>
    </w:p>
    <w:p>
      <w:pPr>
        <w:pStyle w:val="748"/>
        <w:numPr>
          <w:ilvl w:val="0"/>
          <w:numId w:val="4"/>
        </w:numPr>
        <w:ind w:left="-142"/>
        <w:spacing w:line="400" w:lineRule="exact"/>
        <w:widowControl/>
        <w:rPr>
          <w:rFonts w:ascii="宋体" w:hAnsi="Calibri" w:cs="Courier New"/>
          <w:b/>
          <w:bCs/>
          <w:szCs w:val="24"/>
        </w:rPr>
      </w:pPr>
      <w:r>
        <w:rPr>
          <w:rFonts w:hint="eastAsia" w:ascii="宋体" w:hAnsi="Calibri" w:cs="Courier New"/>
          <w:b/>
          <w:bCs/>
          <w:szCs w:val="24"/>
        </w:rPr>
        <w:t xml:space="preserve">建设内容</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本次江苏省服务业公共服务云平台适配改造项目建设需要完成应用系统国产化适配开发、历史数据迁移、数智发改”平台对接</w:t>
      </w:r>
      <w:r>
        <w:rPr>
          <w:rFonts w:ascii="宋体" w:hAnsi="宋体" w:cs="宋体"/>
          <w:sz w:val="24"/>
          <w:szCs w:val="22"/>
          <w:u w:val="single"/>
        </w:rPr>
        <w:t xml:space="preserve">、</w:t>
      </w:r>
      <w:r>
        <w:rPr>
          <w:rFonts w:hint="eastAsia" w:ascii="宋体" w:hAnsi="Calibri" w:cs="Courier New"/>
          <w:szCs w:val="24"/>
        </w:rPr>
        <w:t xml:space="preserve">安全体系加固四项工作，分别是：</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3.1应用系统国产化适配开发</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本次江苏省服务业公共服务云平台适配改造共计5个，包括重点监测项目管理系统、重点企业管理系统、集聚区管理系统、苏服贷管理系统以及应用支撑平台的适配改造。具体适配改造功能清单如下：</w:t>
      </w:r>
      <w:r>
        <w:rPr>
          <w:rFonts w:ascii="宋体" w:hAnsi="Calibri" w:cs="Courier New"/>
          <w:szCs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2136"/>
        <w:gridCol w:w="2856"/>
        <w:gridCol w:w="3956"/>
      </w:tblGrid>
      <w:tr>
        <w:trPr>
          <w:trHeight w:val="615"/>
        </w:trPr>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子系统</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功能模块</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功能描述</w:t>
            </w:r>
            <w:r>
              <w:rPr>
                <w:rFonts w:ascii="宋体" w:hAnsi="Calibri" w:cs="Courier New"/>
                <w:szCs w:val="24"/>
              </w:rPr>
            </w:r>
            <w:r/>
          </w:p>
        </w:tc>
      </w:tr>
      <w:tr>
        <w:trPr>
          <w:cantSplit/>
          <w:trHeight w:val="628"/>
        </w:trPr>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重点监测项目管理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项目储备</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提供项目储备库管理功能</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ascii="宋体" w:hAnsi="宋体" w:cs="宋体"/>
                <w:sz w:val="24"/>
                <w:szCs w:val="22"/>
              </w:rPr>
              <w:t xml:space="preserve">▲</w:t>
            </w:r>
            <w:r>
              <w:rPr>
                <w:rFonts w:hint="eastAsia" w:ascii="宋体" w:hAnsi="Calibri" w:cs="Courier New"/>
                <w:szCs w:val="24"/>
              </w:rPr>
              <w:t xml:space="preserve">项目入库</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提供项目申报入库以及入库审核功能</w:t>
            </w:r>
            <w:r>
              <w:rPr>
                <w:rFonts w:ascii="宋体" w:hAnsi="Calibri" w:cs="Courier New"/>
                <w:szCs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进度跟踪</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提供入库项目的进度情况跟踪</w:t>
            </w:r>
            <w:r>
              <w:rPr>
                <w:rFonts w:ascii="宋体" w:hAnsi="Calibri" w:cs="Courier New"/>
                <w:szCs w:val="24"/>
              </w:rPr>
            </w:r>
            <w:r/>
          </w:p>
        </w:tc>
      </w:tr>
      <w:tr>
        <w:trPr>
          <w:cantSplit/>
          <w:trHeight w:val="720"/>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项目申报时间配置管理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提供项目申报周期管理功能，动态配置各类事项周期</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问题管理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提供项目单位上报问题以及主管部门问题答复管理</w:t>
            </w:r>
            <w:r>
              <w:rPr>
                <w:rFonts w:ascii="宋体" w:hAnsi="Calibri" w:cs="Courier New"/>
                <w:szCs w:val="24"/>
              </w:rPr>
            </w:r>
            <w:r/>
          </w:p>
        </w:tc>
      </w:tr>
      <w:tr>
        <w:trPr>
          <w:cantSplit/>
          <w:trHeight w:val="564"/>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ascii="宋体" w:hAnsi="宋体" w:cs="宋体"/>
                <w:sz w:val="24"/>
                <w:szCs w:val="22"/>
              </w:rPr>
              <w:t xml:space="preserve">▲</w:t>
            </w:r>
            <w:r>
              <w:rPr>
                <w:rFonts w:hint="eastAsia" w:ascii="宋体" w:hAnsi="Calibri" w:cs="Courier New"/>
                <w:szCs w:val="24"/>
              </w:rPr>
              <w:t xml:space="preserve">项目统计分析</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提供项目多维度的统计分析功能</w:t>
            </w:r>
            <w:r>
              <w:rPr>
                <w:rFonts w:ascii="宋体" w:hAnsi="Calibri" w:cs="Courier New"/>
                <w:szCs w:val="24"/>
              </w:rPr>
            </w:r>
            <w:r/>
          </w:p>
        </w:tc>
      </w:tr>
      <w:tr>
        <w:trPr>
          <w:cantSplit/>
          <w:trHeight w:val="563"/>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监督督办</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提供重点督办项目的督办管理功能</w:t>
            </w:r>
            <w:r>
              <w:rPr>
                <w:rFonts w:ascii="宋体" w:hAnsi="Calibri" w:cs="Courier New"/>
                <w:szCs w:val="24"/>
              </w:rPr>
            </w:r>
            <w:r/>
          </w:p>
        </w:tc>
      </w:tr>
      <w:tr>
        <w:trPr>
          <w:cantSplit/>
          <w:trHeight w:val="1075"/>
        </w:trPr>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重点企业管理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企业注册</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用户通过填写企业注册登记表单进行服务业平台的账号注册，实现了企业的线上注册信息化</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企业审核</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提供构建注册审核功能，实现了企业的线上注册审核全过程信息化管理</w:t>
            </w:r>
            <w:r>
              <w:rPr>
                <w:rFonts w:ascii="宋体" w:hAnsi="Calibri" w:cs="Courier New"/>
                <w:szCs w:val="24"/>
              </w:rPr>
            </w:r>
            <w:r/>
          </w:p>
        </w:tc>
      </w:tr>
      <w:tr>
        <w:trPr>
          <w:cantSplit/>
          <w:trHeight w:val="1118"/>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企业申报时间配置管理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提供重点企业申报周期管理、重点企业进展上报周期管理等功能，动态配置各类事项周期</w:t>
            </w:r>
            <w:r>
              <w:rPr>
                <w:rFonts w:ascii="宋体" w:hAnsi="Calibri" w:cs="Courier New"/>
                <w:szCs w:val="24"/>
              </w:rPr>
            </w:r>
            <w:r/>
          </w:p>
        </w:tc>
      </w:tr>
      <w:tr>
        <w:trPr>
          <w:cantSplit/>
          <w:trHeight w:val="466"/>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企业经营情况上报及跟踪</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负责审核运营进展数据的服务业管理部门对上报数据的报送情况进行跟踪，对上报数据进行审核，对未及时上报运营进展数据的情况发起催报</w:t>
            </w:r>
            <w:r>
              <w:rPr>
                <w:rFonts w:ascii="宋体" w:hAnsi="Calibri" w:cs="Courier New"/>
                <w:szCs w:val="24"/>
              </w:rPr>
            </w:r>
            <w:r/>
          </w:p>
        </w:tc>
      </w:tr>
      <w:tr>
        <w:trPr>
          <w:cantSplit/>
          <w:trHeight w:val="1152"/>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ascii="宋体" w:hAnsi="宋体" w:cs="宋体"/>
                <w:sz w:val="24"/>
                <w:szCs w:val="22"/>
              </w:rPr>
              <w:t xml:space="preserve">▲</w:t>
            </w:r>
            <w:r>
              <w:rPr>
                <w:rFonts w:hint="eastAsia" w:ascii="宋体" w:hAnsi="Calibri" w:cs="Courier New"/>
                <w:szCs w:val="24"/>
              </w:rPr>
              <w:t xml:space="preserve">企业档案库</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服务业管理部门可对本地重点企业档案库中的各类型重点企业进行分类管理，系统提供综合查询、企业信息查看、自定义排序、企业信息模板导出等功能</w:t>
            </w:r>
            <w:r>
              <w:rPr>
                <w:rFonts w:ascii="宋体" w:hAnsi="Calibri" w:cs="Courier New"/>
                <w:szCs w:val="24"/>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问题上报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需支持重点企业向所在地区上报目前存在的问题情况，同时支持各级发改委对该问题的回复</w:t>
            </w:r>
            <w:r>
              <w:rPr>
                <w:rFonts w:ascii="宋体" w:hAnsi="Calibri" w:cs="Courier New"/>
                <w:szCs w:val="24"/>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ascii="宋体" w:hAnsi="宋体" w:cs="宋体"/>
                <w:sz w:val="24"/>
                <w:szCs w:val="22"/>
              </w:rPr>
              <w:t xml:space="preserve">▲</w:t>
            </w:r>
            <w:r>
              <w:rPr>
                <w:rFonts w:hint="eastAsia" w:ascii="宋体" w:hAnsi="Calibri" w:cs="Courier New"/>
                <w:szCs w:val="24"/>
              </w:rPr>
              <w:t xml:space="preserve">发展数据统计分析</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服务业管理部门可对本地重点企业的分布情况、审核进度情况、进展上报情况、运营进展跟踪情况进行统计分析</w:t>
            </w:r>
            <w:r>
              <w:rPr>
                <w:rFonts w:ascii="宋体" w:hAnsi="Calibri" w:cs="Courier New"/>
                <w:szCs w:val="24"/>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示范单位（企业）</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按照示范单位的管理办法，建设示范单位（企业）模块，涵盖申报事项、相关单位注册、审批流程、入库管理、统计分析等功能。</w:t>
            </w:r>
            <w:r>
              <w:rPr>
                <w:rFonts w:ascii="宋体" w:hAnsi="Calibri" w:cs="Courier New"/>
                <w:szCs w:val="24"/>
              </w:rPr>
            </w:r>
            <w:r/>
          </w:p>
        </w:tc>
      </w:tr>
      <w:tr>
        <w:trPr>
          <w:cantSplit/>
          <w:trHeight w:val="576"/>
        </w:trPr>
        <w:tc>
          <w:tcPr>
            <w:tcBorders>
              <w:top w:val="single" w:color="000000" w:sz="4" w:space="0"/>
              <w:left w:val="single" w:color="000000" w:sz="4" w:space="0"/>
              <w:right w:val="single" w:color="000000" w:sz="4" w:space="0"/>
            </w:tcBorders>
            <w:tcW w:w="2136" w:type="dxa"/>
            <w:vAlign w:val="center"/>
            <w:vMerge w:val="restart"/>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集聚区管理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集聚区信息管理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提供构建注册审核功能，实现了集聚区的线上注册审核全过程信息化管理</w:t>
            </w:r>
            <w:r>
              <w:rPr>
                <w:rFonts w:ascii="宋体" w:hAnsi="Calibri" w:cs="Courier New"/>
                <w:szCs w:val="24"/>
              </w:rPr>
            </w:r>
            <w:r/>
          </w:p>
        </w:tc>
      </w:tr>
      <w:tr>
        <w:trPr>
          <w:cantSplit/>
          <w:trHeight w:val="864"/>
        </w:trPr>
        <w:tc>
          <w:tcPr>
            <w:tcBorders>
              <w:left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集聚区申报时间配置管理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提供集聚区申报周期管理、集聚区进展上报周期管理等功能，动态配置各类事项周期。</w:t>
            </w:r>
            <w:r>
              <w:rPr>
                <w:rFonts w:ascii="宋体" w:hAnsi="Calibri" w:cs="Courier New"/>
                <w:szCs w:val="24"/>
              </w:rPr>
            </w:r>
            <w:r/>
          </w:p>
        </w:tc>
      </w:tr>
      <w:tr>
        <w:trPr>
          <w:cantSplit/>
          <w:trHeight w:val="864"/>
        </w:trPr>
        <w:tc>
          <w:tcPr>
            <w:tcBorders>
              <w:left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运营情况跟踪</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提供集聚区运营进展数据的定期上报、集聚区主管部门逐级审核、上报情况跟踪统计等功能</w:t>
            </w:r>
            <w:r>
              <w:rPr>
                <w:rFonts w:ascii="宋体" w:hAnsi="Calibri" w:cs="Courier New"/>
                <w:szCs w:val="24"/>
              </w:rPr>
            </w:r>
            <w:r/>
          </w:p>
        </w:tc>
      </w:tr>
      <w:tr>
        <w:trPr>
          <w:cantSplit/>
          <w:trHeight w:val="288"/>
        </w:trPr>
        <w:tc>
          <w:tcPr>
            <w:tcBorders>
              <w:left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ascii="宋体" w:hAnsi="宋体" w:cs="宋体"/>
                <w:sz w:val="24"/>
                <w:szCs w:val="22"/>
              </w:rPr>
              <w:t xml:space="preserve">▲</w:t>
            </w:r>
            <w:r>
              <w:rPr>
                <w:rFonts w:hint="eastAsia" w:ascii="宋体" w:hAnsi="Calibri" w:cs="Courier New"/>
                <w:szCs w:val="24"/>
              </w:rPr>
              <w:t xml:space="preserve">集聚区档案库管理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面向集聚区提供集聚区档案库管理。</w:t>
            </w:r>
            <w:r>
              <w:rPr>
                <w:rFonts w:ascii="宋体" w:hAnsi="Calibri" w:cs="Courier New"/>
                <w:szCs w:val="24"/>
              </w:rPr>
            </w:r>
            <w:r/>
          </w:p>
        </w:tc>
      </w:tr>
      <w:tr>
        <w:trPr>
          <w:cantSplit/>
          <w:trHeight w:val="1152"/>
        </w:trPr>
        <w:tc>
          <w:tcPr>
            <w:tcBorders>
              <w:left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ascii="宋体" w:hAnsi="宋体" w:cs="宋体"/>
                <w:sz w:val="24"/>
                <w:szCs w:val="22"/>
              </w:rPr>
              <w:t xml:space="preserve">▲</w:t>
            </w:r>
            <w:r>
              <w:rPr>
                <w:rFonts w:hint="eastAsia" w:ascii="宋体" w:hAnsi="Calibri" w:cs="Courier New"/>
                <w:szCs w:val="24"/>
              </w:rPr>
              <w:t xml:space="preserve">GIS服务平台</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基于地理信息系统（GIS），构建覆盖规划布局、产业结构、企业分布、服务平台建设、基础设施配套等方面的全省集聚区电子地图服务应用</w:t>
            </w:r>
            <w:r>
              <w:rPr>
                <w:rFonts w:ascii="宋体" w:hAnsi="Calibri" w:cs="Courier New"/>
                <w:szCs w:val="24"/>
              </w:rPr>
            </w:r>
            <w:r/>
          </w:p>
        </w:tc>
      </w:tr>
      <w:tr>
        <w:trPr>
          <w:cantSplit/>
          <w:trHeight w:val="2016"/>
        </w:trPr>
        <w:tc>
          <w:tcPr>
            <w:tcBorders>
              <w:left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统计分析</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服务业集聚区管理部门对本地区服务业集聚区的地域分布、行业分布、主导产业发展情况、年度目标完成情况、集聚区公共服务平台建设及分布情况、集聚区在建项目的进展情况、集聚区入区企业的入驻及发展情况等内容进行统计分析</w:t>
            </w:r>
            <w:r>
              <w:rPr>
                <w:rFonts w:ascii="宋体" w:hAnsi="Calibri" w:cs="Courier New"/>
                <w:szCs w:val="24"/>
              </w:rPr>
            </w:r>
            <w:r/>
          </w:p>
        </w:tc>
      </w:tr>
      <w:tr>
        <w:trPr>
          <w:cantSplit/>
          <w:trHeight w:val="1740"/>
        </w:trPr>
        <w:tc>
          <w:tcPr>
            <w:tcBorders>
              <w:left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示范单位（集聚区）</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按照示范单位的管理办法，建设示范单位（集聚区）模块，涵盖申报事项、相关单位注册、审批流程、入库管理、统计分析等功能。</w:t>
            </w:r>
            <w:r>
              <w:rPr>
                <w:rFonts w:ascii="宋体" w:hAnsi="Calibri" w:cs="Courier New"/>
                <w:szCs w:val="24"/>
              </w:rPr>
            </w:r>
            <w:r/>
          </w:p>
        </w:tc>
      </w:tr>
      <w:tr>
        <w:trPr>
          <w:cantSplit/>
          <w:trHeight w:val="1510"/>
        </w:trPr>
        <w:tc>
          <w:tcPr>
            <w:tcBorders>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示范单位（县市区）</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按照示范单位的管理办法，建设示范单位（县市区）模块，涵盖申报事项、相关单位注册、审批流程、入库管理、统计分析等功能。</w:t>
            </w:r>
            <w:r>
              <w:rPr>
                <w:rFonts w:ascii="宋体" w:hAnsi="Calibri" w:cs="Courier New"/>
                <w:szCs w:val="24"/>
              </w:rPr>
            </w:r>
            <w:r/>
          </w:p>
        </w:tc>
      </w:tr>
      <w:tr>
        <w:trPr>
          <w:cantSplit/>
          <w:trHeight w:val="453"/>
        </w:trPr>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苏服贷管理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入库申请</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提供中小企业的苏服贷入库申请</w:t>
            </w:r>
            <w:r>
              <w:rPr>
                <w:rFonts w:ascii="宋体" w:hAnsi="Calibri" w:cs="Courier New"/>
                <w:szCs w:val="24"/>
              </w:rPr>
            </w:r>
            <w:r/>
          </w:p>
        </w:tc>
      </w:tr>
      <w:tr>
        <w:trPr>
          <w:cantSplit/>
          <w:trHeight w:val="518"/>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ascii="宋体" w:hAnsi="宋体" w:cs="宋体"/>
                <w:sz w:val="24"/>
                <w:szCs w:val="22"/>
              </w:rPr>
              <w:t xml:space="preserve">▲</w:t>
            </w:r>
            <w:r>
              <w:rPr>
                <w:rFonts w:hint="eastAsia" w:ascii="宋体" w:hAnsi="Calibri" w:cs="Courier New"/>
                <w:szCs w:val="24"/>
              </w:rPr>
              <w:t xml:space="preserve">入库推荐</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提供银行针对中小企业的入库推荐</w:t>
            </w:r>
            <w:r>
              <w:rPr>
                <w:rFonts w:ascii="宋体" w:hAnsi="Calibri" w:cs="Courier New"/>
                <w:szCs w:val="24"/>
              </w:rPr>
            </w:r>
            <w:r/>
          </w:p>
        </w:tc>
      </w:tr>
      <w:tr>
        <w:trPr>
          <w:cantSplit/>
          <w:trHeight w:val="410"/>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入库审核</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提供银行、发改委的入库审核管理</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ascii="宋体" w:hAnsi="宋体" w:cs="宋体"/>
                <w:sz w:val="24"/>
                <w:szCs w:val="22"/>
              </w:rPr>
              <w:t xml:space="preserve">▲</w:t>
            </w:r>
            <w:r>
              <w:rPr>
                <w:rFonts w:hint="eastAsia" w:ascii="宋体" w:hAnsi="Calibri" w:cs="Courier New"/>
                <w:szCs w:val="24"/>
              </w:rPr>
              <w:t xml:space="preserve">统计分析</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为银行、发改委提供权限范围内的多维度统计分析，包括申请情况、入库情况、贷款需求情况等维度。</w:t>
            </w:r>
            <w:r>
              <w:rPr>
                <w:rFonts w:ascii="宋体" w:hAnsi="Calibri" w:cs="Courier New"/>
                <w:szCs w:val="24"/>
              </w:rPr>
            </w:r>
            <w:r/>
          </w:p>
        </w:tc>
      </w:tr>
      <w:tr>
        <w:trPr>
          <w:cantSplit/>
          <w:trHeight w:val="1152"/>
        </w:trPr>
        <w:tc>
          <w:tcPr>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应用支撑平台</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统一用户应用管理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为实现系统内用户的统一登录、注册以及所有应用功能权限和应用资源的统一分配、应用功能服务注册，应用支撑平台提供统一用户应用管理基础服务</w:t>
            </w:r>
            <w:r>
              <w:rPr>
                <w:rFonts w:ascii="宋体" w:hAnsi="Calibri" w:cs="Courier New"/>
                <w:szCs w:val="24"/>
              </w:rPr>
            </w:r>
            <w:r/>
          </w:p>
        </w:tc>
      </w:tr>
      <w:tr>
        <w:trPr>
          <w:cantSplit/>
          <w:trHeight w:val="475"/>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统一权限管理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实现系统的统一权限管理</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统一通知组件</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针对系统中的各应用，提供统一的通知组件用于支撑各种通知消息的发送</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统一日志管理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系统提供日志服务对系统中发生的事件进行全程跟踪和查询回顾</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短信平台对接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和用户方现有的短信平台实现对接</w:t>
            </w:r>
            <w:r>
              <w:rPr>
                <w:rFonts w:ascii="宋体" w:hAnsi="Calibri" w:cs="Courier New"/>
                <w:szCs w:val="24"/>
              </w:rPr>
            </w:r>
            <w:r/>
          </w:p>
        </w:tc>
      </w:tr>
    </w:tbl>
    <w:p>
      <w:pPr>
        <w:pStyle w:val="748"/>
        <w:ind w:firstLine="420"/>
        <w:spacing w:line="400" w:lineRule="exact"/>
        <w:widowControl/>
        <w:rPr>
          <w:rFonts w:ascii="宋体" w:hAnsi="Calibri" w:cs="Courier New"/>
          <w:szCs w:val="24"/>
        </w:rPr>
      </w:pP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主要适配改造内容包括：</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1.前端国产化适配改造</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基于本次系统国产化改造工作，需从界面风格、前端运行脚本、功能变更、客户端性能支持等方面进行代码适配，从而保障改造后的系统能高效、安全、稳定地运行在国产化终端和现有X86终端两类设备。</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前端页面框架需运行到国产化的终端和服务端，需对其改造适配。</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（1）界面调整适配</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B/S的Web系统，会出现多个浏览器显示差异的问题，即跨浏览器不兼容的问题。基于本次国产化改造工作要求，对于页面展示、资源树框架、默认边距问题、表格内容居中显示问题、垂直居中问题、UI标签边距问题和页面的最小宽度适配问题进行适配改造；针对页面弹出框定位布局问题进行适配处理。</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（2）系统并发性能适配改造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基于国产化硬件基础进行系统功能适配改造，查询、统计、申办等场景存在多并发、大数据量的情况。因此在国产化资源基础上进行适配验证，确保查询、下载、应用端能够实现多并发适场景应用。</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（3）前端运行脚本适配改造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浏览器之间JavaScript的语法解析存在差异，需要针对不同浏览器语法兼容上做对应适配，包括语法兼容问题、事件绑定问题、事件对象问题等内容，消除不同浏览器系统功能无法正常解析或不能执行正确结果情况。</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（4）依赖客户端重大变更功能适配改造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在国产化终端浏览器做功能适配的同时，因客户端无法支持现有技术实现的，需对应用系统的功能进行业务需求代码逻辑改造，以满足现有业务应用需求。</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（5）客户端性能支持改造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在国产化终端环境中，需要满足在不同操作系统、浏览器数据处理的时耗能满足客户的场景需求，避免客户端界面卡顿、假死情况，造成不友好的界面操作，针对平台中多页签、大数据量调用读取以及数据渲染等页面性能问题进行适配升级。</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（6）页面框架集成适配改造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平台中的子系统大部分页面间通过消息方式传递。在国产化终端环境下需要进一步适配，避免页面加载空白或者异常情况。</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（7）外部交互（接口、中间库）适配改造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系统查询部分国产化改造涉及大量外部交互接口，包括单位内部其他平台（如省数智发改平台、3698旗舰店）等平台间各类接口交互。因系统框架及开发逻辑需配合国产化要求进行调整，所以需要梳理所有外部接口交互情况，并且根据交互技术路线进行国产化适配改造，确保与外部系统间的共享交互保持正常。</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（8）大数据展示页面性能支持改造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平台中涉及大数据量查询页面和数据展示界面，并且业务数据与功能和第三方系统（如省数智发改平台、3698旗舰店）之间有很强的交互性，因此需要在查询页面和大数据展示集成方面进行国产化适配改造，确保功能展示性能符合要求。</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2.部署端国产化适配开发</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适配的内容包含搭建服务端国产化运行环境、国产操作系统适配、国产化数据库适配、文档附件存储适配、国产应用中间件适配。</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（1）搭建服务端国产化运行环境</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根据国产化部署要求，设计国产化部署整体架构。在国产化环境中安装对应的软件和实施相应的部署工作，搭建统一运行环境的省服务业公共服务云平台（包含多个子系统），保障全省范围内应用。部署实施涉及的内容从服务端操作系统、国产数据库、文件存储、应用中间件以及本次建设的应用程序。</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（2）国产数据库适配</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国产化改造系统的各类数据都将通过分析并迁移至选定的国产数据库中。需要保证系统在数据关联查询、系统各功能应用、数据管理运维等操作都达到实际应用要求，系统需要基于国产数据库驱动进行开发和适配，特别是在数据库SQL语句及函数调整中进行大量的适配改造和测试验证工作。初期评估需调整和验证的内容为以下六大类别：</w:t>
      </w:r>
      <w:r>
        <w:rPr>
          <w:rFonts w:ascii="宋体" w:hAnsi="Calibri" w:cs="Courier New"/>
          <w:szCs w:val="24"/>
        </w:rPr>
      </w:r>
      <w:r/>
    </w:p>
    <w:p>
      <w:pPr>
        <w:pStyle w:val="748"/>
        <w:numPr>
          <w:ilvl w:val="0"/>
          <w:numId w:val="5"/>
        </w:numPr>
        <w:ind w:firstLine="420"/>
        <w:spacing w:line="400" w:lineRule="exact"/>
        <w:widowControl/>
        <w:rPr>
          <w:rFonts w:ascii="宋体" w:hAnsi="Calibri" w:cs="Courier New"/>
          <w:szCs w:val="24"/>
        </w:rPr>
      </w:pPr>
      <w:r>
        <w:rPr>
          <w:rFonts w:hint="eastAsia" w:ascii="宋体" w:hAnsi="Calibri" w:cs="Courier New"/>
          <w:szCs w:val="24"/>
        </w:rPr>
        <w:t xml:space="preserve">SQL语句的统一与优化，语句中表名和字段名需全部调整为国产数据库要求格式，参数传递方式需要统一，严禁参数拼接；</w:t>
      </w:r>
      <w:r>
        <w:rPr>
          <w:rFonts w:ascii="宋体" w:hAnsi="Calibri" w:cs="Courier New"/>
          <w:szCs w:val="24"/>
        </w:rPr>
      </w:r>
      <w:r/>
    </w:p>
    <w:p>
      <w:pPr>
        <w:pStyle w:val="748"/>
        <w:numPr>
          <w:ilvl w:val="0"/>
          <w:numId w:val="5"/>
        </w:numPr>
        <w:ind w:firstLine="420"/>
        <w:spacing w:line="400" w:lineRule="exact"/>
        <w:widowControl/>
        <w:rPr>
          <w:rFonts w:ascii="宋体" w:hAnsi="Calibri" w:cs="Courier New"/>
          <w:szCs w:val="24"/>
        </w:rPr>
      </w:pPr>
      <w:r>
        <w:rPr>
          <w:rFonts w:hint="eastAsia" w:ascii="宋体" w:hAnsi="Calibri" w:cs="Courier New"/>
          <w:szCs w:val="24"/>
        </w:rPr>
        <w:t xml:space="preserve">数据类型严格匹配，字符串类型必须使用引号；</w:t>
      </w:r>
      <w:r>
        <w:rPr>
          <w:rFonts w:ascii="宋体" w:hAnsi="Calibri" w:cs="Courier New"/>
          <w:szCs w:val="24"/>
        </w:rPr>
      </w:r>
      <w:r/>
    </w:p>
    <w:p>
      <w:pPr>
        <w:pStyle w:val="748"/>
        <w:numPr>
          <w:ilvl w:val="0"/>
          <w:numId w:val="5"/>
        </w:numPr>
        <w:ind w:firstLine="420"/>
        <w:spacing w:line="400" w:lineRule="exact"/>
        <w:widowControl/>
        <w:rPr>
          <w:rFonts w:ascii="宋体" w:hAnsi="Calibri" w:cs="Courier New"/>
          <w:szCs w:val="24"/>
        </w:rPr>
      </w:pPr>
      <w:r>
        <w:rPr>
          <w:rFonts w:hint="eastAsia" w:ascii="宋体" w:hAnsi="Calibri" w:cs="Courier New"/>
          <w:szCs w:val="24"/>
        </w:rPr>
        <w:t xml:space="preserve">使用子查询、嵌套SQL语句时，必须添加别名且语法规范强调取别名应加入“AS”特定标准格式；</w:t>
      </w:r>
      <w:r>
        <w:rPr>
          <w:rFonts w:ascii="宋体" w:hAnsi="Calibri" w:cs="Courier New"/>
          <w:szCs w:val="24"/>
        </w:rPr>
      </w:r>
      <w:r/>
    </w:p>
    <w:p>
      <w:pPr>
        <w:pStyle w:val="748"/>
        <w:numPr>
          <w:ilvl w:val="0"/>
          <w:numId w:val="5"/>
        </w:numPr>
        <w:ind w:firstLine="420"/>
        <w:spacing w:line="400" w:lineRule="exact"/>
        <w:widowControl/>
        <w:rPr>
          <w:rFonts w:ascii="宋体" w:hAnsi="Calibri" w:cs="Courier New"/>
          <w:szCs w:val="24"/>
        </w:rPr>
      </w:pPr>
      <w:r>
        <w:rPr>
          <w:rFonts w:hint="eastAsia" w:ascii="宋体" w:hAnsi="Calibri" w:cs="Courier New"/>
          <w:szCs w:val="24"/>
        </w:rPr>
        <w:t xml:space="preserve">递归查询Oracle中START/WITH/CONNECT BY在国产数据库中可以使用WITH RECURSIVE替代；</w:t>
      </w:r>
      <w:r>
        <w:rPr>
          <w:rFonts w:ascii="宋体" w:hAnsi="Calibri" w:cs="Courier New"/>
          <w:szCs w:val="24"/>
        </w:rPr>
      </w:r>
      <w:r/>
    </w:p>
    <w:p>
      <w:pPr>
        <w:pStyle w:val="748"/>
        <w:numPr>
          <w:ilvl w:val="0"/>
          <w:numId w:val="5"/>
        </w:numPr>
        <w:ind w:firstLine="420"/>
        <w:spacing w:line="400" w:lineRule="exact"/>
        <w:widowControl/>
        <w:rPr>
          <w:rFonts w:ascii="宋体" w:hAnsi="Calibri" w:cs="Courier New"/>
          <w:szCs w:val="24"/>
        </w:rPr>
      </w:pPr>
      <w:r>
        <w:rPr>
          <w:rFonts w:hint="eastAsia" w:ascii="宋体" w:hAnsi="Calibri" w:cs="Courier New"/>
          <w:szCs w:val="24"/>
        </w:rPr>
        <w:t xml:space="preserve">国产数据库与现有数据库对于空字符串与null的判定不同，因此需要梳理并调整所有的判空处理；</w:t>
      </w:r>
      <w:r>
        <w:rPr>
          <w:rFonts w:ascii="宋体" w:hAnsi="Calibri" w:cs="Courier New"/>
          <w:szCs w:val="24"/>
        </w:rPr>
      </w:r>
      <w:r/>
    </w:p>
    <w:p>
      <w:pPr>
        <w:pStyle w:val="748"/>
        <w:numPr>
          <w:ilvl w:val="0"/>
          <w:numId w:val="5"/>
        </w:numPr>
        <w:ind w:firstLine="420"/>
        <w:spacing w:line="400" w:lineRule="exact"/>
        <w:widowControl/>
        <w:rPr>
          <w:rFonts w:ascii="宋体" w:hAnsi="Calibri" w:cs="Courier New"/>
          <w:szCs w:val="24"/>
        </w:rPr>
      </w:pPr>
      <w:r>
        <w:rPr>
          <w:rFonts w:hint="eastAsia" w:ascii="宋体" w:hAnsi="Calibri" w:cs="Courier New"/>
          <w:szCs w:val="24"/>
        </w:rPr>
        <w:t xml:space="preserve">部分函数无法对字符串使用，需要对时间、数字字段做格式化处理。</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（3）文档附件存储适配</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本次国产化改造系统的材料、附件计划采用分布式存储的模式，基于</w:t>
      </w:r>
      <w:r>
        <w:rPr>
          <w:rFonts w:ascii="宋体" w:hAnsi="Calibri" w:cs="Courier New"/>
          <w:szCs w:val="24"/>
        </w:rPr>
        <w:t xml:space="preserve">FastDFS</w:t>
      </w:r>
      <w:r>
        <w:rPr>
          <w:rFonts w:hint="eastAsia" w:ascii="宋体" w:hAnsi="Calibri" w:cs="Courier New"/>
          <w:szCs w:val="24"/>
        </w:rPr>
        <w:t xml:space="preserve">进行附件及各类格式文件存储开展部署验证，确定在国产化平台的适应性。同时需要验证存储模式与程序结合的操作场景下是否正常稳定运行。平台子系统中存在大量查询、上传、下载、删除文件附件等操作，代码需要重点验证此类操作，确保系统在工作时间内正常运行，能够保证相应用户操作需要。</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（4）国产应用中间件适配</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建设的服务端系统需运行在国产化环境下，需要对选定的应用中间件进行适配验证。验证包含相关技术组件更新和适配、代码兼容设置、开发框架（如JDK）运行的适应性。以JavaWeb在Tomcat上运行为参考对象验证Web特性，调优系统参数、设置相应使用参数配置如日志。确保系统发挥最大性能，得到程序稳定运行，以保障系统能够在容器中可正常运行。</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3.终端国产化适配开发</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根据系统应用场景需求，在完成系统功能国产化改造后，需要支持各项终端与前端进行适配，主要包括PDF文件、文本文件、单网页文件预览、图片文件、OFD文件预览、高拍仪、摄像头、打印机等内容，最终建立统一的终端使用环境。</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（1）OFD文件预览适配改造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本次OFD文件预览适配改造需满足OFD、PDF文件预览、下载、文件放大缩小、文件关键字查找、关键字高亮显示等功能，具体需从兼容性、文件加载性能、文件字体格式等方面考虑本次适配工作，主要适配过程如下：</w:t>
      </w:r>
      <w:r>
        <w:rPr>
          <w:rFonts w:ascii="宋体" w:hAnsi="Calibri" w:cs="Courier New"/>
          <w:szCs w:val="24"/>
        </w:rPr>
      </w:r>
      <w:r/>
    </w:p>
    <w:p>
      <w:pPr>
        <w:pStyle w:val="748"/>
        <w:numPr>
          <w:ilvl w:val="0"/>
          <w:numId w:val="5"/>
        </w:numPr>
        <w:ind w:firstLine="420"/>
        <w:spacing w:line="400" w:lineRule="exact"/>
        <w:widowControl/>
        <w:rPr>
          <w:rFonts w:ascii="宋体" w:hAnsi="Calibri" w:cs="Courier New"/>
          <w:szCs w:val="24"/>
        </w:rPr>
      </w:pPr>
      <w:r>
        <w:rPr>
          <w:rFonts w:hint="eastAsia" w:ascii="宋体" w:hAnsi="Calibri" w:cs="Courier New"/>
          <w:szCs w:val="24"/>
        </w:rPr>
        <w:t xml:space="preserve">查看PDF插件依赖JavaScript库版本；</w:t>
      </w:r>
      <w:r>
        <w:rPr>
          <w:rFonts w:ascii="宋体" w:hAnsi="Calibri" w:cs="Courier New"/>
          <w:szCs w:val="24"/>
        </w:rPr>
      </w:r>
      <w:r/>
    </w:p>
    <w:p>
      <w:pPr>
        <w:pStyle w:val="748"/>
        <w:numPr>
          <w:ilvl w:val="0"/>
          <w:numId w:val="5"/>
        </w:numPr>
        <w:ind w:firstLine="420"/>
        <w:spacing w:line="400" w:lineRule="exact"/>
        <w:widowControl/>
        <w:rPr>
          <w:rFonts w:ascii="宋体" w:hAnsi="Calibri" w:cs="Courier New"/>
          <w:szCs w:val="24"/>
        </w:rPr>
      </w:pPr>
      <w:r>
        <w:rPr>
          <w:rFonts w:hint="eastAsia" w:ascii="宋体" w:hAnsi="Calibri" w:cs="Courier New"/>
          <w:szCs w:val="24"/>
        </w:rPr>
        <w:t xml:space="preserve">验证适配JavaScript脚本的兼容性；</w:t>
      </w:r>
      <w:r>
        <w:rPr>
          <w:rFonts w:ascii="宋体" w:hAnsi="Calibri" w:cs="Courier New"/>
          <w:szCs w:val="24"/>
        </w:rPr>
      </w:r>
      <w:r/>
    </w:p>
    <w:p>
      <w:pPr>
        <w:pStyle w:val="748"/>
        <w:numPr>
          <w:ilvl w:val="0"/>
          <w:numId w:val="5"/>
        </w:numPr>
        <w:ind w:firstLine="420"/>
        <w:spacing w:line="400" w:lineRule="exact"/>
        <w:widowControl/>
        <w:rPr>
          <w:rFonts w:ascii="宋体" w:hAnsi="Calibri" w:cs="Courier New"/>
          <w:szCs w:val="24"/>
        </w:rPr>
      </w:pPr>
      <w:r>
        <w:rPr>
          <w:rFonts w:hint="eastAsia" w:ascii="宋体" w:hAnsi="Calibri" w:cs="Courier New"/>
          <w:szCs w:val="24"/>
        </w:rPr>
        <w:t xml:space="preserve">升级PDF插件；</w:t>
      </w:r>
      <w:r>
        <w:rPr>
          <w:rFonts w:ascii="宋体" w:hAnsi="Calibri" w:cs="Courier New"/>
          <w:szCs w:val="24"/>
        </w:rPr>
      </w:r>
      <w:r/>
    </w:p>
    <w:p>
      <w:pPr>
        <w:pStyle w:val="748"/>
        <w:numPr>
          <w:ilvl w:val="0"/>
          <w:numId w:val="5"/>
        </w:numPr>
        <w:ind w:firstLine="420"/>
        <w:spacing w:line="400" w:lineRule="exact"/>
        <w:widowControl/>
        <w:rPr>
          <w:rFonts w:ascii="宋体" w:hAnsi="Calibri" w:cs="Courier New"/>
          <w:szCs w:val="24"/>
        </w:rPr>
      </w:pPr>
      <w:r>
        <w:rPr>
          <w:rFonts w:hint="eastAsia" w:ascii="宋体" w:hAnsi="Calibri" w:cs="Courier New"/>
          <w:szCs w:val="24"/>
        </w:rPr>
        <w:t xml:space="preserve">对功能进行适配验证；</w:t>
      </w:r>
      <w:r>
        <w:rPr>
          <w:rFonts w:ascii="宋体" w:hAnsi="Calibri" w:cs="Courier New"/>
          <w:szCs w:val="24"/>
        </w:rPr>
      </w:r>
      <w:r/>
    </w:p>
    <w:p>
      <w:pPr>
        <w:pStyle w:val="748"/>
        <w:numPr>
          <w:ilvl w:val="0"/>
          <w:numId w:val="5"/>
        </w:numPr>
        <w:ind w:firstLine="420"/>
        <w:spacing w:line="400" w:lineRule="exact"/>
        <w:widowControl/>
        <w:rPr>
          <w:rFonts w:ascii="宋体" w:hAnsi="Calibri" w:cs="Courier New"/>
          <w:szCs w:val="24"/>
        </w:rPr>
      </w:pPr>
      <w:r>
        <w:rPr>
          <w:rFonts w:hint="eastAsia" w:ascii="宋体" w:hAnsi="Calibri" w:cs="Courier New"/>
          <w:szCs w:val="24"/>
        </w:rPr>
        <w:t xml:space="preserve">通过本次改造，对于文件无法展示、放大缩小、文件关键字查找不存在、卡顿现象等进行解决。</w:t>
      </w:r>
      <w:r>
        <w:rPr>
          <w:rFonts w:ascii="宋体" w:hAnsi="Calibri" w:cs="Courier New"/>
          <w:szCs w:val="24"/>
        </w:rPr>
      </w:r>
      <w:r/>
    </w:p>
    <w:p>
      <w:pPr>
        <w:pStyle w:val="748"/>
        <w:numPr>
          <w:ilvl w:val="0"/>
          <w:numId w:val="6"/>
        </w:numPr>
        <w:ind w:firstLine="420"/>
        <w:spacing w:line="400" w:lineRule="exact"/>
        <w:widowControl/>
        <w:rPr>
          <w:rFonts w:ascii="宋体" w:hAnsi="Calibri" w:cs="Courier New"/>
          <w:szCs w:val="24"/>
        </w:rPr>
      </w:pPr>
      <w:r>
        <w:rPr>
          <w:rFonts w:hint="eastAsia" w:ascii="宋体" w:hAnsi="Calibri" w:cs="Courier New"/>
          <w:szCs w:val="24"/>
        </w:rPr>
        <w:t xml:space="preserve">集成OFD组件，从兼容性、文件加载性能、签章签名加载等方面考虑本次适配工作，保证OFD文件内容正常预览。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（2）文本文件在线查看适配改造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文本文件预览适配改造需从兼容性、文件加载性能等方面考虑本次适配工作，保证文本文件能够正常预览。</w:t>
      </w:r>
      <w:r>
        <w:rPr>
          <w:rFonts w:ascii="宋体" w:hAnsi="Calibri" w:cs="Courier New"/>
          <w:szCs w:val="24"/>
        </w:rPr>
      </w:r>
      <w:r/>
    </w:p>
    <w:p>
      <w:pPr>
        <w:pStyle w:val="748"/>
        <w:numPr>
          <w:ilvl w:val="0"/>
          <w:numId w:val="7"/>
        </w:numPr>
        <w:ind w:firstLine="420"/>
        <w:spacing w:line="400" w:lineRule="exact"/>
        <w:widowControl/>
        <w:rPr>
          <w:rFonts w:ascii="宋体" w:hAnsi="Calibri" w:cs="Courier New"/>
          <w:szCs w:val="24"/>
        </w:rPr>
      </w:pPr>
      <w:r>
        <w:rPr>
          <w:rFonts w:hint="eastAsia" w:ascii="宋体" w:hAnsi="Calibri" w:cs="Courier New"/>
          <w:szCs w:val="24"/>
        </w:rPr>
        <w:t xml:space="preserve">查看预览插件依赖JavaScript库版本；</w:t>
      </w:r>
      <w:r>
        <w:rPr>
          <w:rFonts w:ascii="宋体" w:hAnsi="Calibri" w:cs="Courier New"/>
          <w:szCs w:val="24"/>
        </w:rPr>
      </w:r>
      <w:r/>
    </w:p>
    <w:p>
      <w:pPr>
        <w:pStyle w:val="748"/>
        <w:numPr>
          <w:ilvl w:val="0"/>
          <w:numId w:val="7"/>
        </w:numPr>
        <w:ind w:firstLine="420"/>
        <w:spacing w:line="400" w:lineRule="exact"/>
        <w:widowControl/>
        <w:rPr>
          <w:rFonts w:ascii="宋体" w:hAnsi="Calibri" w:cs="Courier New"/>
          <w:szCs w:val="24"/>
        </w:rPr>
      </w:pPr>
      <w:r>
        <w:rPr>
          <w:rFonts w:hint="eastAsia" w:ascii="宋体" w:hAnsi="Calibri" w:cs="Courier New"/>
          <w:szCs w:val="24"/>
        </w:rPr>
        <w:t xml:space="preserve">验证适配JavaScript脚本的兼容性；</w:t>
      </w:r>
      <w:r>
        <w:rPr>
          <w:rFonts w:ascii="宋体" w:hAnsi="Calibri" w:cs="Courier New"/>
          <w:szCs w:val="24"/>
        </w:rPr>
      </w:r>
      <w:r/>
    </w:p>
    <w:p>
      <w:pPr>
        <w:pStyle w:val="748"/>
        <w:numPr>
          <w:ilvl w:val="0"/>
          <w:numId w:val="7"/>
        </w:numPr>
        <w:ind w:firstLine="420"/>
        <w:spacing w:line="400" w:lineRule="exact"/>
        <w:widowControl/>
        <w:rPr>
          <w:rFonts w:ascii="宋体" w:hAnsi="Calibri" w:cs="Courier New"/>
          <w:szCs w:val="24"/>
        </w:rPr>
      </w:pPr>
      <w:r>
        <w:rPr>
          <w:rFonts w:hint="eastAsia" w:ascii="宋体" w:hAnsi="Calibri" w:cs="Courier New"/>
          <w:szCs w:val="24"/>
        </w:rPr>
        <w:t xml:space="preserve">对功能进行适配验证；</w:t>
      </w:r>
      <w:r>
        <w:rPr>
          <w:rFonts w:ascii="宋体" w:hAnsi="Calibri" w:cs="Courier New"/>
          <w:szCs w:val="24"/>
        </w:rPr>
      </w:r>
      <w:r/>
    </w:p>
    <w:p>
      <w:pPr>
        <w:pStyle w:val="748"/>
        <w:numPr>
          <w:ilvl w:val="0"/>
          <w:numId w:val="7"/>
        </w:numPr>
        <w:ind w:firstLine="420"/>
        <w:spacing w:line="400" w:lineRule="exact"/>
        <w:widowControl/>
        <w:rPr>
          <w:rFonts w:ascii="宋体" w:hAnsi="Calibri" w:cs="Courier New"/>
          <w:szCs w:val="24"/>
        </w:rPr>
      </w:pPr>
      <w:r>
        <w:rPr>
          <w:rFonts w:hint="eastAsia" w:ascii="宋体" w:hAnsi="Calibri" w:cs="Courier New"/>
          <w:szCs w:val="24"/>
        </w:rPr>
        <w:t xml:space="preserve">通过本次改造，需对文件能够正常预览、下载等。</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（3）单网页文件在线浏览适配改造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单网页文件预览适配改造需从兼容性、文件加载性能、页面样式等方面考虑本次适配工作，保证单网页文件能够正常预览。</w:t>
      </w:r>
      <w:r>
        <w:rPr>
          <w:rFonts w:ascii="宋体" w:hAnsi="Calibri" w:cs="Courier New"/>
          <w:szCs w:val="24"/>
        </w:rPr>
      </w:r>
      <w:r/>
    </w:p>
    <w:p>
      <w:pPr>
        <w:pStyle w:val="748"/>
        <w:numPr>
          <w:ilvl w:val="0"/>
          <w:numId w:val="8"/>
        </w:numPr>
        <w:ind w:firstLine="420"/>
        <w:spacing w:line="400" w:lineRule="exact"/>
        <w:widowControl/>
        <w:rPr>
          <w:rFonts w:ascii="宋体" w:hAnsi="Calibri" w:cs="Courier New"/>
          <w:szCs w:val="24"/>
        </w:rPr>
      </w:pPr>
      <w:r>
        <w:rPr>
          <w:rFonts w:hint="eastAsia" w:ascii="宋体" w:hAnsi="Calibri" w:cs="Courier New"/>
          <w:szCs w:val="24"/>
        </w:rPr>
        <w:t xml:space="preserve">查看预览插件依赖JavaScript库版本；</w:t>
      </w:r>
      <w:r>
        <w:rPr>
          <w:rFonts w:ascii="宋体" w:hAnsi="Calibri" w:cs="Courier New"/>
          <w:szCs w:val="24"/>
        </w:rPr>
      </w:r>
      <w:r/>
    </w:p>
    <w:p>
      <w:pPr>
        <w:pStyle w:val="748"/>
        <w:numPr>
          <w:ilvl w:val="0"/>
          <w:numId w:val="8"/>
        </w:numPr>
        <w:ind w:firstLine="420"/>
        <w:spacing w:line="400" w:lineRule="exact"/>
        <w:widowControl/>
        <w:rPr>
          <w:rFonts w:ascii="宋体" w:hAnsi="Calibri" w:cs="Courier New"/>
          <w:szCs w:val="24"/>
        </w:rPr>
      </w:pPr>
      <w:r>
        <w:rPr>
          <w:rFonts w:hint="eastAsia" w:ascii="宋体" w:hAnsi="Calibri" w:cs="Courier New"/>
          <w:szCs w:val="24"/>
        </w:rPr>
        <w:t xml:space="preserve">验证适配JavaScript脚本的兼容性；</w:t>
      </w:r>
      <w:r>
        <w:rPr>
          <w:rFonts w:ascii="宋体" w:hAnsi="Calibri" w:cs="Courier New"/>
          <w:szCs w:val="24"/>
        </w:rPr>
      </w:r>
      <w:r/>
    </w:p>
    <w:p>
      <w:pPr>
        <w:pStyle w:val="748"/>
        <w:numPr>
          <w:ilvl w:val="0"/>
          <w:numId w:val="8"/>
        </w:numPr>
        <w:ind w:firstLine="420"/>
        <w:spacing w:line="400" w:lineRule="exact"/>
        <w:widowControl/>
        <w:rPr>
          <w:rFonts w:ascii="宋体" w:hAnsi="Calibri" w:cs="Courier New"/>
          <w:szCs w:val="24"/>
        </w:rPr>
      </w:pPr>
      <w:r>
        <w:rPr>
          <w:rFonts w:hint="eastAsia" w:ascii="宋体" w:hAnsi="Calibri" w:cs="Courier New"/>
          <w:szCs w:val="24"/>
        </w:rPr>
        <w:t xml:space="preserve">适配不同浏览器兼容性问题；</w:t>
      </w:r>
      <w:r>
        <w:rPr>
          <w:rFonts w:ascii="宋体" w:hAnsi="Calibri" w:cs="Courier New"/>
          <w:szCs w:val="24"/>
        </w:rPr>
      </w:r>
      <w:r/>
    </w:p>
    <w:p>
      <w:pPr>
        <w:pStyle w:val="748"/>
        <w:numPr>
          <w:ilvl w:val="0"/>
          <w:numId w:val="8"/>
        </w:numPr>
        <w:ind w:firstLine="420"/>
        <w:spacing w:line="400" w:lineRule="exact"/>
        <w:widowControl/>
        <w:rPr>
          <w:rFonts w:ascii="宋体" w:hAnsi="Calibri" w:cs="Courier New"/>
          <w:szCs w:val="24"/>
        </w:rPr>
      </w:pPr>
      <w:r>
        <w:rPr>
          <w:rFonts w:hint="eastAsia" w:ascii="宋体" w:hAnsi="Calibri" w:cs="Courier New"/>
          <w:szCs w:val="24"/>
        </w:rPr>
        <w:t xml:space="preserve">对功能进行适配验证；</w:t>
      </w:r>
      <w:r>
        <w:rPr>
          <w:rFonts w:ascii="宋体" w:hAnsi="Calibri" w:cs="Courier New"/>
          <w:szCs w:val="24"/>
        </w:rPr>
      </w:r>
      <w:r/>
    </w:p>
    <w:p>
      <w:pPr>
        <w:pStyle w:val="748"/>
        <w:numPr>
          <w:ilvl w:val="0"/>
          <w:numId w:val="8"/>
        </w:numPr>
        <w:ind w:firstLine="420"/>
        <w:spacing w:line="400" w:lineRule="exact"/>
        <w:widowControl/>
        <w:rPr>
          <w:rFonts w:ascii="宋体" w:hAnsi="Calibri" w:cs="Courier New"/>
          <w:szCs w:val="24"/>
        </w:rPr>
      </w:pPr>
      <w:r>
        <w:rPr>
          <w:rFonts w:hint="eastAsia" w:ascii="宋体" w:hAnsi="Calibri" w:cs="Courier New"/>
          <w:szCs w:val="24"/>
        </w:rPr>
        <w:t xml:space="preserve">通过本次适配，需对文件能够正常预览、下载等。</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（4）图片文件在线查看适配改造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图片文件预览适配改造需从兼容性、文件加载性能、图片格式等方面考虑本次适配工作，保证文件能够正常预览。</w:t>
      </w:r>
      <w:r>
        <w:rPr>
          <w:rFonts w:ascii="宋体" w:hAnsi="Calibri" w:cs="Courier New"/>
          <w:szCs w:val="24"/>
        </w:rPr>
      </w:r>
      <w:r/>
    </w:p>
    <w:p>
      <w:pPr>
        <w:pStyle w:val="748"/>
        <w:numPr>
          <w:ilvl w:val="0"/>
          <w:numId w:val="9"/>
        </w:numPr>
        <w:ind w:firstLine="420"/>
        <w:spacing w:line="400" w:lineRule="exact"/>
        <w:widowControl/>
        <w:rPr>
          <w:rFonts w:ascii="宋体" w:hAnsi="Calibri" w:cs="Courier New"/>
          <w:szCs w:val="24"/>
        </w:rPr>
      </w:pPr>
      <w:r>
        <w:rPr>
          <w:rFonts w:hint="eastAsia" w:ascii="宋体" w:hAnsi="Calibri" w:cs="Courier New"/>
          <w:szCs w:val="24"/>
        </w:rPr>
        <w:t xml:space="preserve">查看预览插件依赖JavaScript库版本；</w:t>
      </w:r>
      <w:r>
        <w:rPr>
          <w:rFonts w:ascii="宋体" w:hAnsi="Calibri" w:cs="Courier New"/>
          <w:szCs w:val="24"/>
        </w:rPr>
      </w:r>
      <w:r/>
    </w:p>
    <w:p>
      <w:pPr>
        <w:pStyle w:val="748"/>
        <w:numPr>
          <w:ilvl w:val="0"/>
          <w:numId w:val="9"/>
        </w:numPr>
        <w:ind w:firstLine="420"/>
        <w:spacing w:line="400" w:lineRule="exact"/>
        <w:widowControl/>
        <w:rPr>
          <w:rFonts w:ascii="宋体" w:hAnsi="Calibri" w:cs="Courier New"/>
          <w:szCs w:val="24"/>
        </w:rPr>
      </w:pPr>
      <w:r>
        <w:rPr>
          <w:rFonts w:hint="eastAsia" w:ascii="宋体" w:hAnsi="Calibri" w:cs="Courier New"/>
          <w:szCs w:val="24"/>
        </w:rPr>
        <w:t xml:space="preserve">验证适配JavaScript脚本的兼容性；</w:t>
      </w:r>
      <w:r>
        <w:rPr>
          <w:rFonts w:ascii="宋体" w:hAnsi="Calibri" w:cs="Courier New"/>
          <w:szCs w:val="24"/>
        </w:rPr>
      </w:r>
      <w:r/>
    </w:p>
    <w:p>
      <w:pPr>
        <w:pStyle w:val="748"/>
        <w:numPr>
          <w:ilvl w:val="0"/>
          <w:numId w:val="9"/>
        </w:numPr>
        <w:ind w:firstLine="420"/>
        <w:spacing w:line="400" w:lineRule="exact"/>
        <w:widowControl/>
        <w:rPr>
          <w:rFonts w:ascii="宋体" w:hAnsi="Calibri" w:cs="Courier New"/>
          <w:szCs w:val="24"/>
        </w:rPr>
      </w:pPr>
      <w:r>
        <w:rPr>
          <w:rFonts w:hint="eastAsia" w:ascii="宋体" w:hAnsi="Calibri" w:cs="Courier New"/>
          <w:szCs w:val="24"/>
        </w:rPr>
        <w:t xml:space="preserve">升级适配图片在线预览插件；</w:t>
      </w:r>
      <w:r>
        <w:rPr>
          <w:rFonts w:ascii="宋体" w:hAnsi="Calibri" w:cs="Courier New"/>
          <w:szCs w:val="24"/>
        </w:rPr>
      </w:r>
      <w:r/>
    </w:p>
    <w:p>
      <w:pPr>
        <w:pStyle w:val="748"/>
        <w:numPr>
          <w:ilvl w:val="0"/>
          <w:numId w:val="9"/>
        </w:numPr>
        <w:ind w:firstLine="420"/>
        <w:spacing w:line="400" w:lineRule="exact"/>
        <w:widowControl/>
        <w:rPr>
          <w:rFonts w:ascii="宋体" w:hAnsi="Calibri" w:cs="Courier New"/>
          <w:szCs w:val="24"/>
        </w:rPr>
      </w:pPr>
      <w:r>
        <w:rPr>
          <w:rFonts w:hint="eastAsia" w:ascii="宋体" w:hAnsi="Calibri" w:cs="Courier New"/>
          <w:szCs w:val="24"/>
        </w:rPr>
        <w:t xml:space="preserve">对功能进行适配验证；</w:t>
      </w:r>
      <w:r>
        <w:rPr>
          <w:rFonts w:ascii="宋体" w:hAnsi="Calibri" w:cs="Courier New"/>
          <w:szCs w:val="24"/>
        </w:rPr>
      </w:r>
      <w:r/>
    </w:p>
    <w:p>
      <w:pPr>
        <w:pStyle w:val="748"/>
        <w:numPr>
          <w:ilvl w:val="0"/>
          <w:numId w:val="9"/>
        </w:numPr>
        <w:ind w:firstLine="420"/>
        <w:spacing w:line="400" w:lineRule="exact"/>
        <w:widowControl/>
        <w:rPr>
          <w:rFonts w:ascii="宋体" w:hAnsi="Calibri" w:cs="Courier New"/>
          <w:szCs w:val="24"/>
        </w:rPr>
      </w:pPr>
      <w:r>
        <w:rPr>
          <w:rFonts w:hint="eastAsia" w:ascii="宋体" w:hAnsi="Calibri" w:cs="Courier New"/>
          <w:szCs w:val="24"/>
        </w:rPr>
        <w:t xml:space="preserve">通过本次适配，需满足各类格式图片在线预览、放大缩小、下载功能。</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（5）流式组件适配改造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客户端流式组件将采用国产化品牌（如WPS或永中OFFICE），应用系统通过流式组件客户端提供程序，支持在浏览器中实现对Office的新建、打开、保存、关闭等基本操作功能，以及对Office的基本对象文档、字体、段落、表格等对象的属性和方法的调用，从而实现上层应用创建办公业务表单。此外，考虑到终端电脑环境的差异，需要提供环境识别与组件切换的功能，支持根据客户端环境分别提供国产化或非国产化流式组件的调用功能。</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客</w:t>
      </w:r>
      <w:r>
        <w:rPr>
          <w:rFonts w:hint="eastAsia" w:ascii="宋体" w:hAnsi="Calibri" w:cs="Courier New"/>
          <w:szCs w:val="24"/>
        </w:rPr>
        <w:t xml:space="preserve">户端流式组件将采用国产化品牌（如WPS或永中OFFICE），应用系统通过流式组件客户端提供程序，进行在浏览器中来实现对Office的基本操作功能，其中包括Office的新建、打开、保存、关闭以及对Office的基本对象文档、字体、段落、表格等对象的属性和方法的调用，从而实现上层应用创建办公业务表单；在线编辑、文档不落地、在线生成PDF、在线签章、一键排版、一键清稿、插入水印等功能。此外，考虑到终端电脑环境的差异，需要提供环境识别与组件切换的功能，支持根据客户端环境分别提供国产化或非国产化流式组件的调用功能。</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（6）建立统一的终端使用环境</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基于现有国产化验证经验和实际使用效果，持续推进国产化终端使用环境的统一和应用推广。结合管理要求对国产化终端环境进行统一设置，形成一致的操作场景，提高日常办公效率。</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统一国产化终端使用环境包括操作系统默认设置、防火墙以及杀毒软件设置、浏览器的安装和配置、客户端日常办公软件的验证和设置、客户端插件的安装和设置等，以及其他满足要求的设置。</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4.性能调优</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协调数据库、中间件厂商，结合应用系统进行性能调优，其中：</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数据库调优涉及数据库索引优化、SQL优化、架构调整以及资源分配策略调整。</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中间件调优涉及：采用高可用集群功能、内置负载军很、高性能session、数据库缓存机制。</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应用软件优化涉及：应用软件代码优化、API接口优化、减少http请求，合理设置http缓存、使用浏览器缓存、CSS Sprites调整、图片压缩、JS加载调整、加入延迟加载策略、减少cookice传输、异步请求Callback等。</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3.2历史数据迁移</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将现有平台迁移至新平台环境，实施过程中需制定周密的数据迁移方案，确保历史数据完整、准确、安全迁移至国产数据库。加强数据治理，优化数据结构，提升在国产环境下的数据利用效率与质量。</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3.3“数智发改”平台对接</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深入对接“数智发改”平台，严格按照《“数智发改”平台标准规范》接入统一门户、统一组织、统一权限等，待系统改造项目结束后，整合纳入“数智发改”综合服务平台体系运行。</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3.4安全体系加固</w:t>
      </w:r>
      <w:r>
        <w:rPr>
          <w:rFonts w:ascii="宋体" w:hAnsi="Calibri" w:cs="Courier New"/>
          <w:b/>
          <w:bCs/>
          <w:szCs w:val="24"/>
        </w:rPr>
      </w:r>
      <w:r/>
    </w:p>
    <w:p>
      <w:pPr>
        <w:pStyle w:val="748"/>
        <w:ind w:firstLine="480"/>
        <w:spacing w:line="360" w:lineRule="auto"/>
        <w:rPr>
          <w:rFonts w:ascii="宋体" w:hAnsi="Calibri" w:cs="Courier New"/>
          <w:szCs w:val="24"/>
        </w:rPr>
      </w:pPr>
      <w:r>
        <w:rPr>
          <w:rFonts w:ascii="宋体" w:hAnsi="Calibri" w:cs="Courier New"/>
          <w:szCs w:val="24"/>
        </w:rPr>
        <w:t xml:space="preserve">在国产化基础环境之上，对平台进行全栈安全适配与加固。完成国密算法应用建设，确保改造后的平台在省政务云平台下同时满足等保二级和密评二级的全部合规要求。具体建设内容包括但不限于：</w:t>
      </w:r>
      <w:r/>
    </w:p>
    <w:p>
      <w:pPr>
        <w:pStyle w:val="748"/>
        <w:ind w:firstLine="480"/>
        <w:spacing w:line="360" w:lineRule="auto"/>
        <w:rPr>
          <w:rFonts w:ascii="宋体" w:hAnsi="Calibri" w:cs="Courier New"/>
          <w:szCs w:val="24"/>
        </w:rPr>
      </w:pPr>
      <w:r>
        <w:rPr>
          <w:rFonts w:ascii="宋体" w:hAnsi="Calibri" w:cs="Courier New"/>
          <w:szCs w:val="24"/>
        </w:rPr>
        <w:t xml:space="preserve">（1）应用层国密算法深度适配</w:t>
      </w:r>
      <w:r/>
    </w:p>
    <w:p>
      <w:pPr>
        <w:pStyle w:val="748"/>
        <w:ind w:firstLine="480"/>
        <w:spacing w:line="360" w:lineRule="auto"/>
        <w:rPr>
          <w:rFonts w:ascii="宋体" w:hAnsi="Calibri" w:cs="Courier New"/>
          <w:szCs w:val="24"/>
        </w:rPr>
      </w:pPr>
      <w:r>
        <w:rPr>
          <w:rFonts w:ascii="宋体" w:hAnsi="Calibri" w:cs="Courier New"/>
          <w:szCs w:val="24"/>
        </w:rPr>
        <w:t xml:space="preserve">对应用系统进行代码级的国密化适配，确保国密算法（SM2/SM3/SM4）在业务逻辑中的原生支持与高效运行，包含应用系统身份鉴别改造、应用系统访问控制信息和敏感标记完整性改造、应用系统数据传输机密性改造、应用系统数据存储机密性改造、应用系统数据传输完整性改造、应用系统数据存储完整性改造、系统日志记录完整性改造和抗抵赖改造。</w:t>
      </w:r>
      <w:r/>
    </w:p>
    <w:p>
      <w:pPr>
        <w:pStyle w:val="748"/>
        <w:ind w:firstLine="480"/>
        <w:spacing w:line="360" w:lineRule="auto"/>
        <w:rPr>
          <w:rFonts w:ascii="宋体" w:hAnsi="Calibri" w:cs="Courier New"/>
          <w:szCs w:val="24"/>
        </w:rPr>
      </w:pPr>
      <w:r>
        <w:rPr>
          <w:rFonts w:ascii="宋体" w:hAnsi="Calibri" w:cs="Courier New"/>
          <w:szCs w:val="24"/>
        </w:rPr>
        <w:t xml:space="preserve">（2）国产化环境下应用安全加固</w:t>
      </w:r>
      <w:r/>
    </w:p>
    <w:p>
      <w:pPr>
        <w:pStyle w:val="748"/>
        <w:ind w:firstLine="422"/>
        <w:spacing w:line="400" w:lineRule="exact"/>
        <w:widowControl/>
        <w:rPr>
          <w:rFonts w:ascii="宋体" w:hAnsi="Calibri" w:cs="Courier New"/>
          <w:szCs w:val="24"/>
        </w:rPr>
      </w:pPr>
      <w:r>
        <w:rPr>
          <w:rFonts w:ascii="宋体" w:hAnsi="Calibri" w:cs="Courier New"/>
          <w:szCs w:val="24"/>
        </w:rPr>
        <w:t xml:space="preserve">针对国产化基础软硬件环境（国产芯片、操作系统、数据库、中间件）的特性，对应用系统进行深度的安全适配与加固，消除因架构迁移带来的安全机制失效或兼容性风险，确保系统在国产化环境下的内生安全，包括身份鉴别与访问控制适配、数据库安全与防注入加固、剩余信息保护与内存安全、安全审计与日志适配</w:t>
      </w:r>
      <w:r>
        <w:rPr>
          <w:rFonts w:hint="eastAsia" w:ascii="宋体" w:hAnsi="Calibri" w:cs="Courier New"/>
          <w:szCs w:val="24"/>
        </w:rPr>
        <w:t xml:space="preserve">。</w:t>
      </w:r>
      <w:r>
        <w:rPr>
          <w:rFonts w:ascii="宋体" w:hAnsi="Calibri" w:cs="Courier New"/>
          <w:szCs w:val="24"/>
        </w:rPr>
      </w:r>
      <w:r/>
    </w:p>
    <w:p>
      <w:pPr>
        <w:pStyle w:val="748"/>
        <w:numPr>
          <w:ilvl w:val="0"/>
          <w:numId w:val="4"/>
        </w:numPr>
        <w:ind w:left="-142"/>
        <w:spacing w:line="400" w:lineRule="exact"/>
        <w:widowControl/>
        <w:rPr>
          <w:rFonts w:ascii="宋体" w:hAnsi="Calibri" w:cs="Courier New"/>
          <w:b/>
          <w:bCs/>
          <w:szCs w:val="24"/>
        </w:rPr>
      </w:pPr>
      <w:r>
        <w:rPr>
          <w:rFonts w:hint="eastAsia" w:ascii="宋体" w:hAnsi="Calibri" w:cs="Courier New"/>
          <w:b/>
          <w:bCs/>
          <w:szCs w:val="24"/>
        </w:rPr>
        <w:t xml:space="preserve">技术要求</w:t>
      </w:r>
      <w:r>
        <w:rPr>
          <w:rFonts w:ascii="宋体" w:hAnsi="Calibri" w:cs="Courier New"/>
          <w:b/>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4.1功能性要求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系统功能完整实现需求规格说明书中定义的所有功能，功能实现率达到100%。核心业务功能正确性达到100%，一般功能正确率不低于98%。系统各模块之间接口正确性达到100%，数据交换准确性达到100%。系统业务流程符合业务规则要求，处理逻辑正确无误。用户界面元素完整，操作流程符合设计规范。</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4.2性能要求</w:t>
      </w:r>
      <w:r>
        <w:rPr>
          <w:rFonts w:ascii="宋体" w:hAnsi="Calibri" w:cs="Courier New"/>
          <w:b/>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系统设计须综合考虑用户量、业务量、数据量、服务器负载，通过负载均衡、资源弹性加载等性能优化策略，尽可能降低服务业公共服务云平台负载，降低用户操作响应时限，增强用户使用体验。具体性能要求如下：</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在不低于100M 局域网环境下进行增、删、改业务（不含大对象数据类型）响应时间在2 秒以内；</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系统支持同时在线用户数大于2000，并发用户数大于200，可实现分布式部署，并能通过扩展服务器达到无限用户数的性能要求；</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在网络稳定的环境下，界面单一操作的系统响应时间小于1.5秒；</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在网络稳定的环境下，精确查询（包括请求服务）响应时间≤1.5秒，模糊查询响应时间≤2.5秒，各种统计分析复杂事务处理响应时间≤4.5秒；</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在业务高峰期间，系统平均响应时间要求不超过非业务高峰期间平均响应时间的1.5倍。</w:t>
      </w:r>
      <w:r>
        <w:rPr>
          <w:rFonts w:ascii="宋体" w:hAnsi="Calibri" w:cs="Courier New"/>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4.3安全标准要求</w:t>
      </w:r>
      <w:r>
        <w:rPr>
          <w:rFonts w:ascii="宋体" w:hAnsi="Calibri" w:cs="Courier New"/>
          <w:b/>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投标人须按照网络安全等级保护二级的防护要求进行项目实施交付，配合采购人完成网络安全等保二级测评，并根据测评结果进行整改，直至通过；投标人须按照《信息安全技术信息系统密码应用基本要求》（GB/T39786-2021）等标准中第二级的相关要求进行项目实施交付，并根据评估结果进行整改，直至通过。</w:t>
      </w:r>
      <w:r>
        <w:rPr>
          <w:rFonts w:ascii="宋体" w:hAnsi="Calibri" w:cs="Courier New"/>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4.4系统稳定性要求</w:t>
      </w:r>
      <w:r>
        <w:rPr>
          <w:rFonts w:ascii="宋体" w:hAnsi="Calibri" w:cs="Courier New"/>
          <w:b/>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整个系统须能够连续7×24小时不间断工作，不会因系统资源的耗尽而停机。系统须保证数据的一致性，完整性，准确性要求达到99.99%。对人工输入的数据以及来自不同接口的数据须进行合法性检查，确保流程的通畅性，并且能够对错误数据进行自动纠错处理。须制定数据存储备份策略，确保平台平稳迁移。</w:t>
      </w:r>
      <w:r>
        <w:rPr>
          <w:rFonts w:ascii="宋体" w:hAnsi="Calibri" w:cs="Courier New"/>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4.5系统灵活性要求</w:t>
      </w:r>
      <w:r>
        <w:rPr>
          <w:rFonts w:ascii="宋体" w:hAnsi="Calibri" w:cs="Courier New"/>
          <w:b/>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系统须具有快速适应业务变化的能力，应采用灵活的架构和技术手段，如扩大对不同数据格式的支持等。系统应具有良好的可扩展性，支持功能模块及处理能力的有效扩展和整合集成。</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基于SOA架构建设，并采用构件化、面向对象思想设计。采用三层或多层架构的体系结构，充分考虑到平台纵向、横向的平滑扩展能力。系统设计具有良好的可扩充性和可移植性。</w:t>
      </w:r>
      <w:r>
        <w:rPr>
          <w:rFonts w:ascii="宋体" w:hAnsi="Calibri" w:cs="Courier New"/>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4.6系统扩展性要求</w:t>
      </w:r>
      <w:r>
        <w:rPr>
          <w:rFonts w:ascii="宋体" w:hAnsi="Calibri" w:cs="Courier New"/>
          <w:b/>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当系统容量和性能发生变化时，应能通过软硬件各个层次的扩展，保证系统合理的响应时间和吞吐量，支持负载的划分与均衡。</w:t>
      </w:r>
      <w:r>
        <w:rPr>
          <w:rFonts w:ascii="宋体" w:hAnsi="Calibri" w:cs="Courier New"/>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4.7系统开放性要求</w:t>
      </w:r>
      <w:r>
        <w:rPr>
          <w:rFonts w:ascii="宋体" w:hAnsi="Calibri" w:cs="Courier New"/>
          <w:b/>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须充分考虑软件的开放性，充分考虑对不同业务数据和其他数据异构性的兼容。</w:t>
      </w:r>
      <w:r>
        <w:rPr>
          <w:rFonts w:ascii="宋体" w:hAnsi="Calibri" w:cs="Courier New"/>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4.8适配改造技术要求</w:t>
      </w:r>
      <w:r>
        <w:rPr>
          <w:rFonts w:ascii="宋体" w:hAnsi="Calibri" w:cs="Courier New"/>
          <w:b/>
          <w:bCs/>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71"/>
        <w:gridCol w:w="1840"/>
        <w:gridCol w:w="3803"/>
      </w:tblGrid>
      <w:tr>
        <w:trPr>
          <w:trHeight w:val="280"/>
        </w:trPr>
        <w:tc>
          <w:tcPr>
            <w:shd w:val="clear" w:color="000000" w:fill="e6e7e7"/>
            <w:tcMar>
              <w:left w:w="15" w:type="dxa"/>
              <w:top w:w="15" w:type="dxa"/>
              <w:right w:w="15" w:type="dxa"/>
              <w:bottom w:w="0" w:type="dxa"/>
            </w:tcMar>
            <w:tcW w:w="1571" w:type="dxa"/>
            <w:vAlign w:val="center"/>
            <w:textDirection w:val="lrTb"/>
            <w:noWrap w:val="false"/>
          </w:tcPr>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技术层级</w:t>
            </w:r>
            <w:r>
              <w:rPr>
                <w:rFonts w:ascii="宋体" w:hAnsi="Calibri" w:cs="Courier New"/>
                <w:b/>
                <w:bCs/>
                <w:szCs w:val="24"/>
              </w:rPr>
            </w:r>
            <w:r/>
          </w:p>
        </w:tc>
        <w:tc>
          <w:tcPr>
            <w:shd w:val="clear" w:color="000000" w:fill="e6e7e7"/>
            <w:tcMar>
              <w:left w:w="15" w:type="dxa"/>
              <w:top w:w="15" w:type="dxa"/>
              <w:right w:w="15" w:type="dxa"/>
              <w:bottom w:w="0" w:type="dxa"/>
            </w:tcMar>
            <w:tcW w:w="1840" w:type="dxa"/>
            <w:vAlign w:val="center"/>
            <w:textDirection w:val="lrTb"/>
            <w:noWrap w:val="false"/>
          </w:tcPr>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技术分类</w:t>
            </w:r>
            <w:r>
              <w:rPr>
                <w:rFonts w:ascii="宋体" w:hAnsi="Calibri" w:cs="Courier New"/>
                <w:b/>
                <w:bCs/>
                <w:szCs w:val="24"/>
              </w:rPr>
            </w:r>
            <w:r/>
          </w:p>
        </w:tc>
        <w:tc>
          <w:tcPr>
            <w:shd w:val="clear" w:color="000000" w:fill="e6e7e7"/>
            <w:tcW w:w="3803" w:type="dxa"/>
            <w:vAlign w:val="top"/>
            <w:textDirection w:val="lrTb"/>
            <w:noWrap w:val="false"/>
          </w:tcPr>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适配要求</w:t>
            </w:r>
            <w:r>
              <w:rPr>
                <w:rFonts w:ascii="宋体" w:hAnsi="Calibri" w:cs="Courier New"/>
                <w:b/>
                <w:bCs/>
                <w:szCs w:val="24"/>
              </w:rPr>
            </w:r>
            <w:r/>
          </w:p>
        </w:tc>
      </w:tr>
      <w:tr>
        <w:trPr>
          <w:cantSplit/>
          <w:trHeight w:val="445"/>
        </w:trPr>
        <w:tc>
          <w:tcPr>
            <w:tcMar>
              <w:left w:w="15" w:type="dxa"/>
              <w:top w:w="15" w:type="dxa"/>
              <w:right w:w="15" w:type="dxa"/>
              <w:bottom w:w="0" w:type="dxa"/>
            </w:tcMar>
            <w:tcW w:w="1571" w:type="dxa"/>
            <w:vAlign w:val="center"/>
            <w:vMerge w:val="restart"/>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服务器层</w:t>
            </w:r>
            <w:r>
              <w:rPr>
                <w:rFonts w:ascii="宋体" w:hAnsi="Calibri" w:cs="Courier New"/>
                <w:szCs w:val="24"/>
              </w:rPr>
            </w:r>
            <w:r/>
          </w:p>
        </w:tc>
        <w:tc>
          <w:tcPr>
            <w:tcMar>
              <w:left w:w="15" w:type="dxa"/>
              <w:top w:w="15" w:type="dxa"/>
              <w:right w:w="15" w:type="dxa"/>
              <w:bottom w:w="0" w:type="dxa"/>
            </w:tcMar>
            <w:tcW w:w="1840" w:type="dxa"/>
            <w:vAlign w:val="center"/>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操作系统</w:t>
            </w:r>
            <w:r>
              <w:rPr>
                <w:rFonts w:ascii="宋体" w:hAnsi="Calibri" w:cs="Courier New"/>
                <w:szCs w:val="24"/>
              </w:rPr>
            </w:r>
            <w:r/>
          </w:p>
        </w:tc>
        <w:tc>
          <w:tcPr>
            <w:tcW w:w="3803" w:type="dxa"/>
            <w:vAlign w:val="top"/>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兼容麒麟操作系统、统信UOS、深度操作系统等主流国产化操作系统</w:t>
            </w:r>
            <w:r>
              <w:rPr>
                <w:rFonts w:ascii="宋体" w:hAnsi="Calibri" w:cs="Courier New"/>
                <w:szCs w:val="24"/>
              </w:rPr>
            </w:r>
            <w:r/>
          </w:p>
        </w:tc>
      </w:tr>
      <w:tr>
        <w:trPr>
          <w:cantSplit/>
          <w:trHeight w:val="280"/>
        </w:trPr>
        <w:tc>
          <w:tcPr>
            <w:tcW w:w="1571" w:type="dxa"/>
            <w:vAlign w:val="center"/>
            <w:vMerge w:val="continue"/>
            <w:textDirection w:val="lrTb"/>
            <w:noWrap w:val="false"/>
          </w:tcPr>
          <w:p>
            <w:pPr>
              <w:pStyle w:val="748"/>
              <w:ind w:firstLine="420"/>
              <w:spacing w:line="400" w:lineRule="exact"/>
              <w:widowControl/>
              <w:rPr>
                <w:rFonts w:ascii="宋体" w:hAnsi="Calibri" w:cs="Courier New"/>
                <w:szCs w:val="24"/>
              </w:rPr>
            </w:pPr>
            <w:r>
              <w:rPr>
                <w:rFonts w:ascii="宋体" w:hAnsi="Calibri" w:cs="Courier New"/>
                <w:szCs w:val="24"/>
              </w:rPr>
            </w:r>
            <w:r/>
          </w:p>
        </w:tc>
        <w:tc>
          <w:tcPr>
            <w:tcMar>
              <w:left w:w="15" w:type="dxa"/>
              <w:top w:w="15" w:type="dxa"/>
              <w:right w:w="15" w:type="dxa"/>
              <w:bottom w:w="0" w:type="dxa"/>
            </w:tcMar>
            <w:tcW w:w="1840" w:type="dxa"/>
            <w:vAlign w:val="center"/>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服务器硬件</w:t>
            </w:r>
            <w:r>
              <w:rPr>
                <w:rFonts w:ascii="宋体" w:hAnsi="Calibri" w:cs="Courier New"/>
                <w:szCs w:val="24"/>
              </w:rPr>
            </w:r>
            <w:r/>
          </w:p>
        </w:tc>
        <w:tc>
          <w:tcPr>
            <w:tcW w:w="3803" w:type="dxa"/>
            <w:vAlign w:val="top"/>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适配C86架构</w:t>
            </w:r>
            <w:r>
              <w:rPr>
                <w:rFonts w:ascii="宋体" w:hAnsi="Calibri" w:cs="Courier New"/>
                <w:szCs w:val="24"/>
              </w:rPr>
            </w:r>
            <w:r/>
          </w:p>
        </w:tc>
      </w:tr>
      <w:tr>
        <w:trPr>
          <w:trHeight w:val="300"/>
        </w:trPr>
        <w:tc>
          <w:tcPr>
            <w:tcMar>
              <w:left w:w="15" w:type="dxa"/>
              <w:top w:w="15" w:type="dxa"/>
              <w:right w:w="15" w:type="dxa"/>
              <w:bottom w:w="0" w:type="dxa"/>
            </w:tcMar>
            <w:tcW w:w="1571" w:type="dxa"/>
            <w:vAlign w:val="center"/>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应用中间件</w:t>
            </w:r>
            <w:r>
              <w:rPr>
                <w:rFonts w:ascii="宋体" w:hAnsi="Calibri" w:cs="Courier New"/>
                <w:szCs w:val="24"/>
              </w:rPr>
            </w:r>
            <w:r/>
          </w:p>
        </w:tc>
        <w:tc>
          <w:tcPr>
            <w:tcMar>
              <w:left w:w="15" w:type="dxa"/>
              <w:top w:w="15" w:type="dxa"/>
              <w:right w:w="15" w:type="dxa"/>
              <w:bottom w:w="0" w:type="dxa"/>
            </w:tcMar>
            <w:tcW w:w="1840" w:type="dxa"/>
            <w:vAlign w:val="center"/>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应用服务器</w:t>
            </w:r>
            <w:r>
              <w:rPr>
                <w:rFonts w:ascii="宋体" w:hAnsi="Calibri" w:cs="Courier New"/>
                <w:szCs w:val="24"/>
              </w:rPr>
            </w:r>
            <w:r/>
          </w:p>
        </w:tc>
        <w:tc>
          <w:tcPr>
            <w:tcW w:w="3803" w:type="dxa"/>
            <w:vAlign w:val="top"/>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兼容宝蓝德、金蝶、普元等主流国产化中间件</w:t>
            </w:r>
            <w:r>
              <w:rPr>
                <w:rFonts w:ascii="宋体" w:hAnsi="Calibri" w:cs="Courier New"/>
                <w:szCs w:val="24"/>
              </w:rPr>
            </w:r>
            <w:r/>
          </w:p>
        </w:tc>
      </w:tr>
      <w:tr>
        <w:trPr>
          <w:trHeight w:val="280"/>
        </w:trPr>
        <w:tc>
          <w:tcPr>
            <w:tcMar>
              <w:left w:w="15" w:type="dxa"/>
              <w:top w:w="15" w:type="dxa"/>
              <w:right w:w="15" w:type="dxa"/>
              <w:bottom w:w="0" w:type="dxa"/>
            </w:tcMar>
            <w:tcW w:w="1571" w:type="dxa"/>
            <w:vAlign w:val="center"/>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数据库层</w:t>
            </w:r>
            <w:r>
              <w:rPr>
                <w:rFonts w:ascii="宋体" w:hAnsi="Calibri" w:cs="Courier New"/>
                <w:szCs w:val="24"/>
              </w:rPr>
            </w:r>
            <w:r/>
          </w:p>
        </w:tc>
        <w:tc>
          <w:tcPr>
            <w:tcMar>
              <w:left w:w="15" w:type="dxa"/>
              <w:top w:w="15" w:type="dxa"/>
              <w:right w:w="15" w:type="dxa"/>
              <w:bottom w:w="0" w:type="dxa"/>
            </w:tcMar>
            <w:tcW w:w="1840" w:type="dxa"/>
            <w:vAlign w:val="center"/>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关系型数据库</w:t>
            </w:r>
            <w:r>
              <w:rPr>
                <w:rFonts w:ascii="宋体" w:hAnsi="Calibri" w:cs="Courier New"/>
                <w:szCs w:val="24"/>
              </w:rPr>
            </w:r>
            <w:r/>
          </w:p>
        </w:tc>
        <w:tc>
          <w:tcPr>
            <w:tcW w:w="3803" w:type="dxa"/>
            <w:vAlign w:val="top"/>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兼容达梦、电科金仓、南大通用等主流国产化数据库</w:t>
            </w:r>
            <w:r>
              <w:rPr>
                <w:rFonts w:ascii="宋体" w:hAnsi="Calibri" w:cs="Courier New"/>
                <w:szCs w:val="24"/>
              </w:rPr>
            </w:r>
            <w:r/>
          </w:p>
        </w:tc>
      </w:tr>
      <w:tr>
        <w:trPr>
          <w:cantSplit/>
          <w:trHeight w:val="280"/>
        </w:trPr>
        <w:tc>
          <w:tcPr>
            <w:tcMar>
              <w:left w:w="15" w:type="dxa"/>
              <w:top w:w="15" w:type="dxa"/>
              <w:right w:w="15" w:type="dxa"/>
              <w:bottom w:w="0" w:type="dxa"/>
            </w:tcMar>
            <w:tcW w:w="1571" w:type="dxa"/>
            <w:vAlign w:val="center"/>
            <w:vMerge w:val="restart"/>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终端设备</w:t>
            </w:r>
            <w:r>
              <w:rPr>
                <w:rFonts w:ascii="宋体" w:hAnsi="Calibri" w:cs="Courier New"/>
                <w:szCs w:val="24"/>
              </w:rPr>
            </w:r>
            <w:r/>
          </w:p>
        </w:tc>
        <w:tc>
          <w:tcPr>
            <w:tcMar>
              <w:left w:w="15" w:type="dxa"/>
              <w:top w:w="15" w:type="dxa"/>
              <w:right w:w="15" w:type="dxa"/>
              <w:bottom w:w="0" w:type="dxa"/>
            </w:tcMar>
            <w:tcW w:w="1840" w:type="dxa"/>
            <w:vAlign w:val="center"/>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桌面操作系统</w:t>
            </w:r>
            <w:r>
              <w:rPr>
                <w:rFonts w:ascii="宋体" w:hAnsi="Calibri" w:cs="Courier New"/>
                <w:szCs w:val="24"/>
              </w:rPr>
            </w:r>
            <w:r/>
          </w:p>
        </w:tc>
        <w:tc>
          <w:tcPr>
            <w:tcW w:w="3803" w:type="dxa"/>
            <w:vAlign w:val="top"/>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兼容麒麟、统信UOS等主流国产化操作系统</w:t>
            </w:r>
            <w:r>
              <w:rPr>
                <w:rFonts w:ascii="宋体" w:hAnsi="Calibri" w:cs="Courier New"/>
                <w:szCs w:val="24"/>
              </w:rPr>
            </w:r>
            <w:r/>
          </w:p>
        </w:tc>
      </w:tr>
      <w:tr>
        <w:trPr>
          <w:cantSplit/>
          <w:trHeight w:val="280"/>
        </w:trPr>
        <w:tc>
          <w:tcPr>
            <w:tcW w:w="1571" w:type="dxa"/>
            <w:vAlign w:val="center"/>
            <w:vMerge w:val="continue"/>
            <w:textDirection w:val="lrTb"/>
            <w:noWrap w:val="false"/>
          </w:tcPr>
          <w:p>
            <w:pPr>
              <w:pStyle w:val="748"/>
              <w:ind w:firstLine="420"/>
              <w:spacing w:line="400" w:lineRule="exact"/>
              <w:widowControl/>
              <w:rPr>
                <w:rFonts w:ascii="宋体" w:hAnsi="Calibri" w:cs="Courier New"/>
                <w:szCs w:val="24"/>
              </w:rPr>
            </w:pPr>
            <w:r>
              <w:rPr>
                <w:rFonts w:ascii="宋体" w:hAnsi="Calibri" w:cs="Courier New"/>
                <w:szCs w:val="24"/>
              </w:rPr>
            </w:r>
            <w:r/>
          </w:p>
        </w:tc>
        <w:tc>
          <w:tcPr>
            <w:tcMar>
              <w:left w:w="15" w:type="dxa"/>
              <w:top w:w="15" w:type="dxa"/>
              <w:right w:w="15" w:type="dxa"/>
              <w:bottom w:w="0" w:type="dxa"/>
            </w:tcMar>
            <w:tcW w:w="1840" w:type="dxa"/>
            <w:vAlign w:val="center"/>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浏览器</w:t>
            </w:r>
            <w:r>
              <w:rPr>
                <w:rFonts w:ascii="宋体" w:hAnsi="Calibri" w:cs="Courier New"/>
                <w:szCs w:val="24"/>
              </w:rPr>
            </w:r>
            <w:r/>
          </w:p>
        </w:tc>
        <w:tc>
          <w:tcPr>
            <w:tcW w:w="3803" w:type="dxa"/>
            <w:vAlign w:val="top"/>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兼容奇安信安全浏览器</w:t>
            </w:r>
            <w:r>
              <w:rPr>
                <w:rFonts w:ascii="宋体" w:hAnsi="Calibri" w:cs="Courier New"/>
                <w:szCs w:val="24"/>
              </w:rPr>
            </w:r>
            <w:r/>
          </w:p>
        </w:tc>
      </w:tr>
      <w:tr>
        <w:trPr>
          <w:cantSplit/>
          <w:trHeight w:val="280"/>
        </w:trPr>
        <w:tc>
          <w:tcPr>
            <w:tcW w:w="1571" w:type="dxa"/>
            <w:vAlign w:val="center"/>
            <w:vMerge w:val="continue"/>
            <w:textDirection w:val="lrTb"/>
            <w:noWrap w:val="false"/>
          </w:tcPr>
          <w:p>
            <w:pPr>
              <w:pStyle w:val="748"/>
              <w:ind w:firstLine="420"/>
              <w:spacing w:line="400" w:lineRule="exact"/>
              <w:widowControl/>
              <w:rPr>
                <w:rFonts w:ascii="宋体" w:hAnsi="Calibri" w:cs="Courier New"/>
                <w:szCs w:val="24"/>
              </w:rPr>
            </w:pPr>
            <w:r>
              <w:rPr>
                <w:rFonts w:ascii="宋体" w:hAnsi="Calibri" w:cs="Courier New"/>
                <w:szCs w:val="24"/>
              </w:rPr>
            </w:r>
            <w:r/>
          </w:p>
        </w:tc>
        <w:tc>
          <w:tcPr>
            <w:tcMar>
              <w:left w:w="15" w:type="dxa"/>
              <w:top w:w="15" w:type="dxa"/>
              <w:right w:w="15" w:type="dxa"/>
              <w:bottom w:w="0" w:type="dxa"/>
            </w:tcMar>
            <w:tcW w:w="1840" w:type="dxa"/>
            <w:vAlign w:val="center"/>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办公软件</w:t>
            </w:r>
            <w:r>
              <w:rPr>
                <w:rFonts w:ascii="宋体" w:hAnsi="Calibri" w:cs="Courier New"/>
                <w:szCs w:val="24"/>
              </w:rPr>
            </w:r>
            <w:r/>
          </w:p>
        </w:tc>
        <w:tc>
          <w:tcPr>
            <w:tcW w:w="3803" w:type="dxa"/>
            <w:vAlign w:val="center"/>
            <w:textDirection w:val="lrTb"/>
            <w:noWrap w:val="false"/>
          </w:tcPr>
          <w:p>
            <w:pPr>
              <w:pStyle w:val="748"/>
              <w:ind w:firstLine="420"/>
              <w:spacing w:line="400" w:lineRule="exact"/>
              <w:widowControl/>
              <w:rPr>
                <w:rFonts w:ascii="宋体" w:hAnsi="Calibri" w:cs="Courier New"/>
                <w:szCs w:val="24"/>
              </w:rPr>
            </w:pPr>
            <w:r>
              <w:rPr>
                <w:rFonts w:hint="eastAsia" w:ascii="宋体" w:hAnsi="Calibri" w:cs="Courier New"/>
                <w:szCs w:val="24"/>
              </w:rPr>
              <w:t xml:space="preserve">兼容WPS、永中Office</w:t>
            </w:r>
            <w:r>
              <w:rPr>
                <w:rFonts w:ascii="宋体" w:hAnsi="Calibri" w:cs="Courier New"/>
                <w:szCs w:val="24"/>
              </w:rPr>
            </w:r>
            <w:r/>
          </w:p>
        </w:tc>
      </w:tr>
    </w:tbl>
    <w:p>
      <w:pPr>
        <w:pStyle w:val="748"/>
        <w:ind w:firstLine="420"/>
        <w:spacing w:line="400" w:lineRule="exact"/>
        <w:widowControl/>
        <w:rPr>
          <w:rFonts w:ascii="宋体" w:hAnsi="Calibri" w:cs="Courier New"/>
          <w:szCs w:val="24"/>
        </w:rPr>
      </w:pPr>
      <w:r>
        <w:rPr>
          <w:rFonts w:hint="eastAsia" w:ascii="宋体" w:hAnsi="Calibri" w:cs="Courier New"/>
          <w:szCs w:val="24"/>
        </w:rPr>
        <w:t xml:space="preserve">注：最终适配产品选型将依据“政务云资源统筹”与“业务系统适配最优”双重原则确定，投标人须配合采购人完成在最终指定环境下的适配与部署工作。</w:t>
      </w:r>
      <w:r>
        <w:rPr>
          <w:rFonts w:ascii="宋体" w:hAnsi="Calibri" w:cs="Courier New"/>
          <w:szCs w:val="24"/>
        </w:rPr>
      </w:r>
      <w:r/>
    </w:p>
    <w:p>
      <w:pPr>
        <w:pStyle w:val="748"/>
        <w:numPr>
          <w:ilvl w:val="0"/>
          <w:numId w:val="4"/>
        </w:numPr>
        <w:ind w:left="-142"/>
        <w:spacing w:line="400" w:lineRule="exact"/>
        <w:widowControl/>
        <w:rPr>
          <w:rFonts w:ascii="宋体" w:hAnsi="Calibri" w:cs="Courier New"/>
          <w:b/>
          <w:bCs/>
          <w:szCs w:val="24"/>
        </w:rPr>
      </w:pPr>
      <w:r>
        <w:rPr>
          <w:rFonts w:ascii="宋体" w:hAnsi="Calibri" w:cs="Courier New"/>
          <w:b/>
          <w:bCs/>
          <w:szCs w:val="24"/>
        </w:rPr>
        <w:t xml:space="preserve">服务要求</w:t>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5.1</w:t>
      </w:r>
      <w:r>
        <w:rPr>
          <w:rFonts w:ascii="宋体" w:hAnsi="Calibri" w:cs="Courier New"/>
          <w:b/>
          <w:bCs/>
          <w:szCs w:val="24"/>
        </w:rPr>
        <w:t xml:space="preserve">项目工期要求</w:t>
      </w:r>
      <w:r/>
    </w:p>
    <w:p>
      <w:pPr>
        <w:pStyle w:val="748"/>
        <w:ind w:firstLine="420"/>
        <w:spacing w:line="400" w:lineRule="exact"/>
        <w:widowControl/>
        <w:rPr>
          <w:rFonts w:ascii="宋体" w:hAnsi="Calibri" w:cs="Courier New"/>
          <w:szCs w:val="24"/>
        </w:rPr>
      </w:pPr>
      <w:r/>
      <w:bookmarkStart w:id="190" w:name="OLE_LINK17"/>
      <w:r>
        <w:rPr>
          <w:rFonts w:hint="eastAsia" w:ascii="宋体" w:hAnsi="Calibri" w:cs="Courier New"/>
          <w:szCs w:val="24"/>
        </w:rPr>
        <w:t xml:space="preserve">自合同签订后至2026年12月底前完成系统的国产化适配改造、上线运行和验收等工作；</w:t>
      </w:r>
      <w:bookmarkEnd w:id="190"/>
      <w:r>
        <w:rPr>
          <w:rFonts w:ascii="宋体" w:hAnsi="Calibri" w:cs="Courier New"/>
          <w:szCs w:val="24"/>
        </w:rPr>
        <w:t xml:space="preserve">供应商须提供详细的进度安排计划。</w:t>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5.2</w:t>
      </w:r>
      <w:r>
        <w:rPr>
          <w:rFonts w:ascii="宋体" w:hAnsi="Calibri" w:cs="Courier New"/>
          <w:b/>
          <w:bCs/>
          <w:szCs w:val="24"/>
        </w:rPr>
        <w:t xml:space="preserve">项目实施团队要求</w:t>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为保障项目的顺利实施，供应商应合理组建本项目的实施团队，确保有效人力和物力的投入。</w:t>
      </w:r>
      <w:r>
        <w:rPr>
          <w:rFonts w:ascii="宋体" w:hAnsi="宋体" w:cs="宋体"/>
          <w:sz w:val="24"/>
          <w:szCs w:val="22"/>
        </w:rPr>
        <w:t xml:space="preserve">本项目实施阶段项目团队人员至少为6人，包括项目经理、技术负责人、信息安全负责人和项目实施其他团队成员</w:t>
      </w:r>
      <w:r>
        <w:rPr>
          <w:rFonts w:hint="eastAsia" w:ascii="宋体" w:hAnsi="Calibri" w:cs="Courier New"/>
          <w:szCs w:val="24"/>
        </w:rPr>
        <w:t xml:space="preserve">。</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其中项目经理、技术负责人、安全负责人每个岗位配置1名人员，不得一岗多人。项目经理、技术负责人、安全负责人等项目组核心人员不得无故更换，如确需变更需征得采购人书面批准。具体要求如下：</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（1）项目经理</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主要负责制定并执行项目整体计划，包括项目进度计划、质量管理计划、风险管理计划、沟通计划等，并根据项目实施情况采用不同实施策略进行项目资源管理，确保项目按时按质完成交付。</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具有人力资源和社会保障部门评审或认定的通信工程或电子信息工程专业副高级及以上职称证书，软考信息系统项目管理师（高级）证书。</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（2）技术负责人</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主要负责开发范围的讨论与确定，负责开发工作的详细计划的制定与控制。</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具有软考信息系统项目管理师（高级）证书，软考系统架构设计师（高级）证书。</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（3）其他团队成员</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除项目经理、技术负责人之外，投标人提供的其他团队成员具有软考系统分析师（高级）证书，工业和信息化部教育与考试中心颁发的</w:t>
      </w:r>
      <w:bookmarkStart w:id="191" w:name="OLE_LINK68"/>
      <w:r>
        <w:rPr>
          <w:rFonts w:hint="eastAsia" w:ascii="宋体" w:hAnsi="Calibri" w:cs="Courier New"/>
          <w:szCs w:val="24"/>
        </w:rPr>
        <w:t xml:space="preserve">高级软件工程师</w:t>
      </w:r>
      <w:bookmarkEnd w:id="191"/>
      <w:r>
        <w:rPr>
          <w:rFonts w:hint="eastAsia" w:ascii="宋体" w:hAnsi="Calibri" w:cs="Courier New"/>
          <w:szCs w:val="24"/>
        </w:rPr>
        <w:t xml:space="preserve">，中国信息安全测评中心颁发的注册信息安全人员证书（CISP），软考信息系统项目管理师（高级）证书，软考软件设计师（中级）证书，软考</w:t>
      </w:r>
      <w:bookmarkStart w:id="192" w:name="OLE_LINK67"/>
      <w:r>
        <w:rPr>
          <w:rFonts w:hint="eastAsia" w:ascii="宋体" w:hAnsi="Calibri" w:cs="Courier New"/>
          <w:szCs w:val="24"/>
        </w:rPr>
        <w:t xml:space="preserve">信息系统管理工程师</w:t>
      </w:r>
      <w:bookmarkEnd w:id="192"/>
      <w:r>
        <w:rPr>
          <w:rFonts w:hint="eastAsia" w:ascii="宋体" w:hAnsi="Calibri" w:cs="Courier New"/>
          <w:szCs w:val="24"/>
        </w:rPr>
        <w:t xml:space="preserve">证书，软考系统集成项目管理工程师（中级）证书，软考软件评测师证书。</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5.3</w:t>
      </w:r>
      <w:r>
        <w:rPr>
          <w:rFonts w:ascii="宋体" w:hAnsi="Calibri" w:cs="Courier New"/>
          <w:b/>
          <w:bCs/>
          <w:szCs w:val="24"/>
        </w:rPr>
        <w:t xml:space="preserve">项目</w:t>
      </w:r>
      <w:r>
        <w:rPr>
          <w:rFonts w:hint="eastAsia" w:ascii="宋体" w:hAnsi="Calibri" w:cs="Courier New"/>
          <w:b/>
          <w:bCs/>
          <w:szCs w:val="24"/>
        </w:rPr>
        <w:t xml:space="preserve">实施</w:t>
      </w:r>
      <w:r>
        <w:rPr>
          <w:rFonts w:ascii="宋体" w:hAnsi="Calibri" w:cs="Courier New"/>
          <w:b/>
          <w:bCs/>
          <w:szCs w:val="24"/>
        </w:rPr>
        <w:t xml:space="preserve">管理要求</w:t>
      </w:r>
      <w:r/>
    </w:p>
    <w:p>
      <w:pPr>
        <w:pStyle w:val="748"/>
        <w:ind w:firstLine="420"/>
        <w:spacing w:line="400" w:lineRule="exact"/>
        <w:widowControl/>
        <w:rPr>
          <w:rFonts w:ascii="宋体" w:hAnsi="Calibri" w:cs="Courier New"/>
          <w:b/>
          <w:bCs/>
          <w:szCs w:val="24"/>
        </w:rPr>
      </w:pPr>
      <w:r>
        <w:rPr>
          <w:rFonts w:hint="eastAsia" w:ascii="宋体" w:hAnsi="Calibri" w:cs="Courier New"/>
          <w:bCs/>
          <w:szCs w:val="24"/>
        </w:rPr>
        <w:t xml:space="preserve">供应商须提供详细的项目实施方案，建立健全保障项目顺利实施的各项管理制度和质量保证体系，需包含项目进度管理、项目质量管理、项目沟通管理、项目变更管理、项目风险管理，严格按照计划进度保质保量完成工作。</w:t>
      </w:r>
      <w:r>
        <w:rPr>
          <w:rFonts w:ascii="宋体" w:hAnsi="Calibri" w:cs="Courier New"/>
          <w:b/>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5.4</w:t>
      </w:r>
      <w:r>
        <w:rPr>
          <w:rFonts w:ascii="宋体" w:hAnsi="Calibri" w:cs="Courier New"/>
          <w:b/>
          <w:bCs/>
          <w:szCs w:val="24"/>
        </w:rPr>
        <w:t xml:space="preserve">项目培训要求</w:t>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供应商须免费向建设单位及指定的培训对象提供相关培训，以便工作人员对平台可熟练操作。具体培训要求包括：</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1.供应商必须提供具有相应专业知识、实际工作和教学经验的培训人员，供应商所提供的人员必须具有2年以上的培训工作经验。</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2.供应商应为采购人提供包括但不限于下列几个方面的培训：（1）系统业务操作培训；（2）系统管理、维护工具培训；（3）供应商认为必要的其他培训。</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3.供应商负责提供培训所需计划和电子版资料，培训教材包括WORD用户手册、培训PPT，培训所使用的语言和教材必须是中文。用户单位有权在系统内部使用这些培训资料。</w:t>
      </w:r>
      <w:r>
        <w:rPr>
          <w:rFonts w:ascii="宋体" w:hAnsi="Calibri" w:cs="Courier New"/>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5.5</w:t>
      </w:r>
      <w:r>
        <w:rPr>
          <w:rFonts w:ascii="宋体" w:hAnsi="Calibri" w:cs="Courier New"/>
          <w:b/>
          <w:bCs/>
          <w:szCs w:val="24"/>
        </w:rPr>
        <w:t xml:space="preserve">项目验收要求</w:t>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1.验收条件</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①中标人在项目验收前必须通过等保二级测评、商用密码安全性评估，并以测评机构出具的测评报告、评估报告作为验收申请依据。</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②中标人在项目验收前必须通过第三方的软件测试，并以第三方出具的测试报告作为验收申请依据。</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2.验收成果要求</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验收成果资料包括但不限于项目实施方案、国产化适配方案、需求规格说明书、系统设计说明书、数据库设计说明书、系统接口说明书、系统上线部署说明、数据迁移方案、用户手册、培训材料及培训记录、源代码、运维方案、建设成果确认单、项目总结报告等。</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3.验收标准</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采购人按照《江苏省政府采购履约验收管理办法》（苏财规〔2024〕7号）要求进行验收，验收情况作为支付货款的依据。</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中标人全面完成本项目全部开发、部署、调试，达到合同约定全部功能及性能指标，完成文档移交并满足采购人上线试运行要求后，向采购人提出初验申请，采购人组织验收，初验通过后进入试运行阶段。试运行期间中标人须完成问题修改和功能完善，完成项目应用培训，确保交付资料齐全完整。平台连续稳定运行满3个月后，中标人向采购人提出终验申请，终验由采购人组织专家参与，验收不合格的，中标人应在15个工作日内完成整改并重新申请验收。</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5.6</w:t>
      </w:r>
      <w:r>
        <w:rPr>
          <w:rFonts w:ascii="宋体" w:hAnsi="Calibri" w:cs="Courier New"/>
          <w:b/>
          <w:bCs/>
          <w:szCs w:val="24"/>
        </w:rPr>
        <w:t xml:space="preserve">售后服务要求</w:t>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1.质保期限与服务范围</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质保期限：自项目最终验收合格之日起，提供2年的免费质保服务。</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服务范围：质保期内，供应商须对因国产化环境适配、代码迁移改造、国密算法集成、数据迁移等工作引发的系统故障、性能异常、兼容性问题承担全部责任，提供无偿修复与优化服务。</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2.兼容性兜底承诺</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在质保期内，若因国产基础软件（操作系统、数据库、中间件）厂商发布补丁、升级版本或安全加固，导致本平台出现不兼容、运行异常或性能下降，供应商须无条件负责系统的适配调整与修复，不得拒绝服务或额外收费。</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3.故障响应要求</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供应商须建立7×24小时故障响应机制，针对国产化环境特有的兼容性问题（如数据库死锁、内存溢出、国密证书失效、中间件配置异常等），须在1小时内响应，8小时提供解决方案，24小时内完成修复。</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4.技术移交与知识转移</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供应商须交付《国产化环境运维手册》，内容包含：国产数据库日常巡检要点、操作系统日志分析方法、国密设备常见故障排查指南、系统“禁忌操作”清单（如严禁在GaussDB中使用的特定函数），确保后续运维团队能够高效、准确地开展日常工作。</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5.定期健康检查</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质保期内，供应商须每半年对系统进行一次全栈性能健康检查，重点监测国产CPU负载、国产数据库连接池效率、国密算法加解密耗时等指标，</w:t>
      </w:r>
      <w:r>
        <w:rPr>
          <w:rFonts w:ascii="宋体" w:hAnsi="Calibri" w:cs="Courier New"/>
          <w:szCs w:val="24"/>
        </w:rPr>
        <w:t xml:space="preserve">若核心业务接口的平均响应时间较项目验收时延长超过20%，视为性能衰减，供应商须免费进行代码级优化或参数调优</w:t>
      </w:r>
      <w:r>
        <w:rPr>
          <w:rFonts w:hint="eastAsia" w:ascii="宋体" w:hAnsi="Calibri" w:cs="Courier New"/>
          <w:szCs w:val="24"/>
        </w:rPr>
        <w:t xml:space="preserve">。</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5.7</w:t>
      </w:r>
      <w:r>
        <w:rPr>
          <w:rFonts w:ascii="宋体" w:hAnsi="Calibri" w:cs="Courier New"/>
          <w:b/>
          <w:bCs/>
          <w:szCs w:val="24"/>
        </w:rPr>
        <w:t xml:space="preserve">保密要求</w:t>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1.供应商</w:t>
      </w:r>
      <w:r>
        <w:rPr>
          <w:rFonts w:ascii="宋体" w:hAnsi="Calibri" w:cs="Courier New"/>
          <w:szCs w:val="24"/>
        </w:rPr>
        <w:t xml:space="preserve">应对项目技术文件以及由采购人提供的所有内部资料、技术文档、数据和信息予以保密；中标人应与采购人签订保密协议并严格遵守，未经采购人书面许可，中标人不得以任何形式向第三方透露本项目标书、技术方案等内容。</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2.供应商服务</w:t>
      </w:r>
      <w:r>
        <w:rPr>
          <w:rFonts w:ascii="宋体" w:hAnsi="Calibri" w:cs="Courier New"/>
          <w:szCs w:val="24"/>
        </w:rPr>
        <w:t xml:space="preserve">人员应签订保密</w:t>
      </w:r>
      <w:r>
        <w:rPr>
          <w:rFonts w:hint="eastAsia" w:ascii="宋体" w:hAnsi="Calibri" w:cs="Courier New"/>
          <w:szCs w:val="24"/>
        </w:rPr>
        <w:t xml:space="preserve">协议</w:t>
      </w:r>
      <w:r>
        <w:rPr>
          <w:rFonts w:ascii="宋体" w:hAnsi="Calibri" w:cs="Courier New"/>
          <w:szCs w:val="24"/>
        </w:rPr>
        <w:t xml:space="preserve">，</w:t>
      </w:r>
      <w:r>
        <w:rPr>
          <w:rFonts w:hint="eastAsia" w:ascii="宋体" w:hAnsi="Calibri" w:cs="Courier New"/>
          <w:szCs w:val="24"/>
        </w:rPr>
        <w:t xml:space="preserve">协议</w:t>
      </w:r>
      <w:r>
        <w:rPr>
          <w:rFonts w:ascii="宋体" w:hAnsi="Calibri" w:cs="Courier New"/>
          <w:szCs w:val="24"/>
        </w:rPr>
        <w:t xml:space="preserve">内容需得到采购人认可，并与合同一并提交给采购人。</w:t>
      </w:r>
      <w:r>
        <w:rPr>
          <w:rFonts w:hint="eastAsia"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3.供应商须与现有系统原厂商进行技术对接、协调、联调等，涉及的所有成本已纳入投标报价。</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5.8付款方式</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（1）合同签订后，乙方向甲方提供符合甲方财务要求的发票，甲方收到发票后10个工作日内向乙方支付首付款（合同总价的80%）。</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（2）通过验收后，乙方向甲方提供符合甲方财务要求的发票，甲方收到发票后10个工作日内向乙方支付项目尾款（合同总价的20%）</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5.9 方案要求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（1）现状和需求分析方案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投标人应对本项目现状进行全面梳理，深入开展需求分析，准确阐述平台业务定位、国产化改造政策背景及建设目标，方案至少包含现状分析、需求分析、重难点分析内容。</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现状分析：</w:t>
      </w:r>
      <w:r>
        <w:rPr>
          <w:rFonts w:hint="eastAsia" w:ascii="Calibri" w:hAnsi="Calibri" w:cs="Arial"/>
          <w:szCs w:val="22"/>
        </w:rPr>
        <w:t xml:space="preserve">对平台现有技术架构、部署环境、网络安全、运行维护及功能模块进行分析，识别与国产化环境的差距</w:t>
      </w:r>
      <w:r>
        <w:rPr>
          <w:rFonts w:hint="eastAsia" w:ascii="宋体" w:hAnsi="Calibri" w:cs="Courier New"/>
          <w:szCs w:val="24"/>
        </w:rPr>
        <w:t xml:space="preserve">；</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需求分析：</w:t>
      </w:r>
      <w:r>
        <w:rPr>
          <w:rFonts w:hint="eastAsia" w:ascii="Calibri" w:hAnsi="Calibri" w:cs="Arial"/>
          <w:szCs w:val="22"/>
        </w:rPr>
        <w:t xml:space="preserve">对本章“3、建设内容”全部条款逐项分析，确保无遗漏</w:t>
      </w:r>
      <w:r>
        <w:rPr>
          <w:rFonts w:hint="eastAsia" w:ascii="宋体" w:hAnsi="Calibri" w:cs="Courier New"/>
          <w:szCs w:val="24"/>
        </w:rPr>
        <w:t xml:space="preserve">；</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项目重难点分析：</w:t>
      </w:r>
      <w:r>
        <w:rPr>
          <w:rFonts w:hint="eastAsia" w:ascii="Calibri" w:hAnsi="Calibri" w:cs="Arial"/>
          <w:szCs w:val="22"/>
        </w:rPr>
        <w:t xml:space="preserve">一是重难点识别至少识别全栈国产化适配、历史数据迁移完整性、业务连续性保障等三项以上重难点；二是技术应对措施：针对每项重难点提出可操作的技术应对措施。</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（2）总体设计方案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投标人应基于本项目建设目标和现状，从总体架构与系统架构、数据架构、系统部署等方面，提供完整的总体设计方案。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总体架构与技术架构设计：覆盖服务器、操作系统、数据库、中间件、浏览器等全栈国产化技术选型与架构设计；</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数据架构设计：包含符合本项目实际的数据模型、数据源、数据流向、数据存储及数据安全设计；</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系统部署设计：包含国产化环境部署拓扑、网络区域划分及总体性能设计。</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（3）功能响应与保障方案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投标人应对照采购需求3.1中“适配改造清单”提供系统功能响应、功能测试方案与保障方案。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系统功能响应：响应的系统包含重点监测项目管理、重点企业管理、集聚区管理、苏服贷管理及应用支撑平台中未标注▲的技术功能模块。</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功能测试方案：包含测试目标、功能完整性测试、测试环境与风险应对。</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保障方案：包含保障目标、保障措施、保障计划</w:t>
      </w:r>
      <w:r>
        <w:rPr>
          <w:rFonts w:hint="eastAsia" w:ascii="Calibri" w:hAnsi="Calibri" w:cs="Arial"/>
        </w:rPr>
        <w:t xml:space="preserve">及保障资源</w:t>
      </w:r>
      <w:r>
        <w:rPr>
          <w:rFonts w:hint="eastAsia" w:ascii="宋体" w:hAnsi="Calibri" w:cs="Courier New"/>
          <w:szCs w:val="24"/>
        </w:rPr>
        <w:t xml:space="preserve">，其中保障措施不少于3项，保障资源安排合理。</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（4）适配改造方案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投标人应针对采购需求“3.1应用系统国产化适配开发”，从前端国产化适配设计、部署端国产化适配设计、终端国产化适配设计、性能调优等方面制定详细的适配改造方案。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前端国产化适配设计方案：包含界面调整适配、系统并发性能适配改造、前端运行脚本适配改造、依赖客户端重大变更功能适配改造、客户端性能支持改造、页面框架集成适配改造、外部交互（接口、中间库）适配改造、大数据展示页面性能支持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部署端适配设计方案：应基于与现有系统的兼容性、性能、稳定性及安全性的综合考量，明确推荐具体的国产数据库产品型号（如：达梦、人大金仓等），需提供选型理由，阐述所选产品如何满足系统在高并发、复杂查询、数据一致性等方面的业务需求；明确推荐具体的国产中间件产品型号，需提供选型论证，阐述所选产品如何满足系统在高并发请求处理、负载均衡、故障转移及与国产化基础环境深度适配等方面的关键需求，确保系统的高可用性与持续服务能力。</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终端国产化适配设计方案：包含OFD文件预览适配改造、文本文件在线查看适配改造、单网页文件在线浏览适配改造、图片文件在线查看适配改造、流式组件适配改造、建立统一的终端使用环境。</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性能调优方案：应具有多种调优方式，包括中间件调优、数据库调优、应用软件调优等。</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（5）安全设计方案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投标人应对照采购需求“安全体系加固”、“安全要求”，从网络安全和密码应用两方面，提供完整的安全设计方案。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网络安全设计方案应符合等级保护二级标准，至少包含安全现状分析、安全需求分析、安全技术方案、安全管理方案等内容；密码应用方案应包含密码应用需求分析、密码应用设计、安全管理方案、安全与合规性分析、实施保障方案等内容。</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（6）数据迁移方案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投标人应针对现有系统数据向国产化环境迁移，从迁移策略、适配转换、测试验证等方面，制定详细的数据迁移方案。提供科学完整的数据迁移策略，应明确数据迁移路径、迁移方式及迁移工具选型；提供科学完整的适配转换方案，应针对不同数据库之间的结构差异制定数据转换规则；提供科学完整的测试验证方案，应包含数据完整性校验、性能测试及回归测试等测试内容，确保迁移过程平稳可控，不影响现有业务正常运行。</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（7）项目实施方案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投标人应对照采购需求“项目工期要求、项目实施团队要求、项目实施管理要求、项目验收要求等”从项目组织管理、实施进度管理、需求变更管理、项目文档管理、项目风险管理、项目验收管理</w:t>
      </w:r>
      <w:r>
        <w:rPr>
          <w:rFonts w:hint="eastAsia" w:ascii="宋体" w:hAnsi="Calibri" w:cs="Courier New"/>
          <w:szCs w:val="24"/>
        </w:rPr>
        <w:t xml:space="preserve">等方面，提供完整、可执行的项目实施方案。方案应明确项目团队结构及职责分工，建立项目例会、周报月报等沟通协调机制；制定详细的实施进度计划，明确各阶段起止时间、里程碑节点和交付物；制定规范的需求变更管理流程和变更管理机制；编制项目文档编写规范，统一文档模板和编写标准，建立版本管理机制，提供完整的项目交付物清单，包括需求规格说明书、系统设计说明书、数据库设计说明书、系统接口设计说明书、测试计划和测试报告、用户手册等；全面识别项目实施过程中可能面临的各类风险，制定相应的风险预防管理措施；制定项目验收标准和验收流程。</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（8）售后服务方案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投标人应对照采购需求“售后服务要求”从服务组织体系、服务响应机制、服务保障措施等方面，提供完善的售后服务方案。方案应明确售后服务团队组织架构、人员配置、岗位职责分工及本地化支持安排；制定故障分级响应标准（紧急/重大/一般），明确各级故障的响应时间和解决时限制，以及故障解决的措施方案；提供具有针对性的服务保障措施方案，制定定期巡检计划，明确巡检频次及内容，制定灾难恢复方案，与省政务云运维团队建立协同保障机制，确保平台长期稳定运行、业务连续可控。</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（9）培训服务方案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投标人应对照采购需求“项目培训要求”从培训目标、培训内容、培训计划、培训形式、培训师资、培训效果评估等方面编制培训方案。培训方案应明确培训总体目标，设定量化考核指标，确保培训合格率达到100%；培训内容须分层细化：平台运维人员</w:t>
      </w:r>
      <w:r>
        <w:rPr>
          <w:rFonts w:hint="eastAsia" w:ascii="宋体" w:hAnsi="Calibri" w:cs="Courier New"/>
          <w:szCs w:val="24"/>
        </w:rPr>
        <w:t xml:space="preserve">培训应涵盖平台技术架构、服务器/数据库/中间件运维、故障排查、安全防护、数据备份与恢复、国产化环境适配维护等内容，重点通过实操演练掌握故障处置、性能优化、安全漏洞修复等关键技能；业务管理人员培训应涵盖各系统功能操作、业务流程处理、系统配置管理、权限管理等内容，确保其熟练掌握各系统使用和管控技能；制定可执行的培训计划，明确培训总课时、培训批次，确保在系统上线前完成全部培训；明确培训形式，包括现场集中授课、实操演练、远程视频指导等；配备具有相关项目经验的培训师资；建立培训效果评估机制，明确考核方式、评分标准等。</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5.9企业履约能力</w:t>
      </w:r>
      <w:r>
        <w:rPr>
          <w:rFonts w:ascii="宋体" w:hAnsi="Calibri" w:cs="Courier New"/>
          <w:b/>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要求投标人具有与类似本项目建设的实施经验或拥有与本项目相关的软件著作权证书。</w:t>
      </w:r>
      <w:r>
        <w:rPr>
          <w:rFonts w:ascii="宋体" w:hAnsi="Calibri" w:cs="Courier New"/>
          <w:b/>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5.10其他</w:t>
      </w:r>
      <w:r>
        <w:rPr>
          <w:rFonts w:ascii="宋体" w:hAnsi="Calibri" w:cs="Courier New"/>
          <w:b/>
          <w:bCs/>
          <w:szCs w:val="24"/>
        </w:rPr>
        <w:t xml:space="preserve">要求</w:t>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项目实施过程中，在需求调研、代码开发、历史数据迁移、第三方数据对接等环节所涉及的费用均包含在此次招标费用中，采购方不再另行支付相关经费。</w:t>
      </w:r>
      <w:r>
        <w:rPr>
          <w:rFonts w:ascii="宋体" w:hAnsi="Calibri" w:cs="Courier New"/>
          <w:szCs w:val="24"/>
        </w:rPr>
      </w:r>
      <w:r/>
    </w:p>
    <w:p>
      <w:pPr>
        <w:pStyle w:val="748"/>
        <w:jc w:val="center"/>
        <w:spacing w:line="400" w:lineRule="exact"/>
        <w:widowControl/>
        <w:rPr>
          <w:rFonts w:hint="eastAsia" w:ascii="宋体" w:hAnsi="Calibri" w:cs="Courier New"/>
          <w:szCs w:val="24"/>
        </w:rPr>
        <w:outlineLvl w:val="1"/>
      </w:pPr>
      <w:r>
        <w:rPr>
          <w:rFonts w:hint="eastAsia" w:ascii="宋体" w:hAnsi="Calibri" w:cs="Courier New"/>
          <w:szCs w:val="24"/>
        </w:rPr>
      </w:r>
      <w:r/>
    </w:p>
    <w:p>
      <w:pPr>
        <w:pStyle w:val="748"/>
        <w:jc w:val="center"/>
        <w:spacing w:line="400" w:lineRule="exact"/>
        <w:rPr>
          <w:rFonts w:hint="eastAsia"/>
          <w:b/>
          <w:sz w:val="24"/>
          <w:szCs w:val="24"/>
          <w:lang w:val="zh-CN"/>
        </w:rPr>
      </w:pPr>
      <w:r/>
      <w:bookmarkEnd w:id="189"/>
      <w:r>
        <w:rPr>
          <w:rFonts w:hint="eastAsia"/>
          <w:b/>
          <w:sz w:val="24"/>
          <w:szCs w:val="24"/>
          <w:lang w:val="zh-CN"/>
        </w:rPr>
      </w:r>
      <w:r/>
    </w:p>
    <w:p>
      <w:pPr>
        <w:pStyle w:val="748"/>
        <w:jc w:val="center"/>
        <w:spacing w:line="400" w:lineRule="exact"/>
        <w:rPr>
          <w:rFonts w:hint="eastAsia"/>
          <w:b/>
          <w:sz w:val="24"/>
          <w:szCs w:val="24"/>
          <w:lang w:val="zh-CN"/>
        </w:rPr>
      </w:pPr>
      <w:r>
        <w:rPr>
          <w:rFonts w:hint="eastAsia"/>
          <w:b/>
          <w:sz w:val="24"/>
          <w:szCs w:val="24"/>
          <w:lang w:val="zh-CN"/>
        </w:rPr>
        <w:t xml:space="preserve">采购包二：江苏省重大项目服务管理平台国产化适配改造</w:t>
      </w:r>
      <w:r/>
    </w:p>
    <w:p>
      <w:pPr>
        <w:pStyle w:val="748"/>
        <w:ind w:firstLine="422"/>
        <w:spacing w:line="400" w:lineRule="exact"/>
        <w:widowControl/>
        <w:rPr>
          <w:rFonts w:ascii="宋体" w:hAnsi="Calibri" w:cs="Courier New"/>
          <w:b/>
          <w:szCs w:val="24"/>
        </w:rPr>
      </w:pPr>
      <w:r>
        <w:rPr>
          <w:rFonts w:hint="eastAsia" w:ascii="宋体" w:hAnsi="Calibri" w:cs="Courier New"/>
          <w:b/>
          <w:szCs w:val="24"/>
        </w:rPr>
        <w:t xml:space="preserve">一、项目概述</w:t>
      </w:r>
      <w:r>
        <w:rPr>
          <w:rFonts w:ascii="宋体" w:hAnsi="Calibri" w:cs="Courier New"/>
          <w:b/>
          <w:szCs w:val="24"/>
        </w:rPr>
      </w:r>
      <w:r/>
    </w:p>
    <w:p>
      <w:pPr>
        <w:pStyle w:val="748"/>
        <w:ind w:firstLine="422"/>
        <w:spacing w:line="400" w:lineRule="exact"/>
        <w:widowControl/>
        <w:rPr>
          <w:rFonts w:ascii="宋体" w:hAnsi="Calibri" w:cs="Courier New"/>
          <w:b/>
          <w:szCs w:val="24"/>
        </w:rPr>
      </w:pPr>
      <w:r>
        <w:rPr>
          <w:rFonts w:hint="eastAsia" w:ascii="宋体" w:hAnsi="Calibri" w:cs="Courier New"/>
          <w:b/>
          <w:szCs w:val="24"/>
        </w:rPr>
        <w:t xml:space="preserve">（一）项目背景</w:t>
      </w:r>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江苏省重大项目服务管理平台建设于2020年初，于当年7月上线，12月验收，系统主要功能包括项目管理，进度管理，节点管理，考核管理，市县项目管理，民间投资项目管理，统计分析等模块。经过多年的使用升级迭代，系统已成为全省重大项目管理调度服务的重要工作支撑平台，为响应国家和省级相关信创要求，现需要对系统进行国产化适配改造。</w:t>
      </w:r>
      <w:r>
        <w:rPr>
          <w:rFonts w:ascii="宋体" w:hAnsi="Calibri" w:cs="Courier New"/>
          <w:szCs w:val="24"/>
        </w:rPr>
      </w:r>
      <w:r/>
    </w:p>
    <w:p>
      <w:pPr>
        <w:pStyle w:val="748"/>
        <w:ind w:firstLine="422"/>
        <w:spacing w:line="400" w:lineRule="exact"/>
        <w:widowControl/>
        <w:rPr>
          <w:rFonts w:ascii="宋体" w:hAnsi="Calibri" w:cs="Courier New"/>
          <w:b/>
          <w:szCs w:val="24"/>
        </w:rPr>
      </w:pPr>
      <w:r>
        <w:rPr>
          <w:rFonts w:hint="eastAsia" w:ascii="宋体" w:hAnsi="Calibri" w:cs="Courier New"/>
          <w:b/>
          <w:szCs w:val="24"/>
        </w:rPr>
        <w:t xml:space="preserve">（二）建设目标</w:t>
      </w:r>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项目旨在构建一个高度自主可控、安全稳固、性能优良且广泛兼容的重大项目服务管理平台，通过全面实现从核心基础设施、操作系统到数据库及中间件的国产化替代，深度筑牢系统的安全防线，从而根本性地跃升其安全防护能级与持续稳定的服务保障能力，为业务的连续性与数据安全提供坚实的数字化底座。</w:t>
      </w:r>
      <w:r>
        <w:rPr>
          <w:rFonts w:ascii="宋体" w:hAnsi="Calibri" w:cs="Courier New"/>
          <w:szCs w:val="24"/>
        </w:rPr>
      </w:r>
      <w:r/>
    </w:p>
    <w:p>
      <w:pPr>
        <w:pStyle w:val="748"/>
        <w:ind w:firstLine="422"/>
        <w:spacing w:line="400" w:lineRule="exact"/>
        <w:widowControl/>
        <w:rPr>
          <w:rFonts w:ascii="宋体" w:hAnsi="Calibri" w:cs="Courier New"/>
          <w:b/>
          <w:szCs w:val="24"/>
        </w:rPr>
      </w:pPr>
      <w:r>
        <w:rPr>
          <w:rFonts w:hint="eastAsia" w:ascii="宋体" w:hAnsi="Calibri" w:cs="Courier New"/>
          <w:b/>
          <w:szCs w:val="24"/>
        </w:rPr>
        <w:t xml:space="preserve">（三）信息化现状</w:t>
      </w:r>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重大项目服务管理平台面向省、市、县（区）三级重大项目管理业务条线工作人员以及省级相关部门人员，主要功能包括项目管理，进度管理，节点管理，考核管理，市县项目管理，民间投资项目管理，统计分析等模块。</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技术方面，重大项目服务管理平台使用JAVA开发语言，采用面向服务（SOA）体系架构，通过面向对象的模块化方式设计，构建了基于B/S架构的多层应用部署体系。前端主要采用VUE技术实现交互，后端基于SpringBoot框架进行业务逻辑处理与服务封装，中间件为Tomcat。</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部署与基础环境方面，重大项目服务管理平台目前部署在江苏省政务云，操作系统为Windows server2016，共有两台服务器，一台数据库服务器，一台应用服务器。</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安全方面，重大项目服务管理平台已严格按照信息系统等保二级标准建设并通过测评，具备较高的基础安全防护能力。</w:t>
      </w:r>
      <w:bookmarkStart w:id="193" w:name="_Toc445969702"/>
      <w:r/>
      <w:bookmarkEnd w:id="193"/>
      <w:r>
        <w:rPr>
          <w:rFonts w:ascii="宋体" w:hAnsi="Calibri" w:cs="Courier New"/>
          <w:szCs w:val="24"/>
        </w:rPr>
      </w:r>
      <w:r/>
    </w:p>
    <w:p>
      <w:pPr>
        <w:pStyle w:val="748"/>
        <w:ind w:firstLine="422"/>
        <w:spacing w:line="400" w:lineRule="exact"/>
        <w:widowControl/>
        <w:rPr>
          <w:rFonts w:ascii="宋体" w:hAnsi="Calibri" w:cs="Courier New"/>
          <w:b/>
          <w:szCs w:val="24"/>
        </w:rPr>
      </w:pPr>
      <w:r>
        <w:rPr>
          <w:rFonts w:hint="eastAsia" w:ascii="宋体" w:hAnsi="Calibri" w:cs="Courier New"/>
          <w:b/>
          <w:szCs w:val="24"/>
        </w:rPr>
        <w:t xml:space="preserve">二、建设内容</w:t>
      </w:r>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本次建设需完成重大项目服务管理平台国产化适配开发、数据迁移和安全体系加固与合规适配三项工作。</w:t>
      </w:r>
      <w:r>
        <w:rPr>
          <w:rFonts w:ascii="宋体" w:hAnsi="Calibri" w:cs="Courier New"/>
          <w:szCs w:val="24"/>
        </w:rPr>
      </w:r>
      <w:r/>
    </w:p>
    <w:p>
      <w:pPr>
        <w:pStyle w:val="748"/>
        <w:ind w:firstLine="422"/>
        <w:spacing w:line="400" w:lineRule="exact"/>
        <w:widowControl/>
        <w:rPr>
          <w:rFonts w:ascii="宋体" w:hAnsi="Calibri" w:cs="Courier New"/>
          <w:b/>
          <w:szCs w:val="24"/>
        </w:rPr>
      </w:pPr>
      <w:r/>
      <w:bookmarkStart w:id="194" w:name="_Toc124322898"/>
      <w:r>
        <w:rPr>
          <w:rFonts w:hint="eastAsia" w:ascii="宋体" w:hAnsi="Calibri" w:cs="Courier New"/>
          <w:b/>
          <w:szCs w:val="24"/>
        </w:rPr>
        <w:t xml:space="preserve">（一）重大项目服务管理平台国产化适配开发</w:t>
      </w:r>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完成重大项目服务管理平台的适配改造，确保在国产化环境下功能完整、性能达标，包括页面正常显示、操作流畅、数据交互无误，以及满足各项安全性能要求。</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主要内容包括：</w:t>
      </w:r>
      <w:r>
        <w:rPr>
          <w:rFonts w:ascii="宋体" w:hAnsi="Calibri" w:cs="Courier New"/>
          <w:szCs w:val="24"/>
        </w:rPr>
      </w:r>
      <w:r/>
    </w:p>
    <w:p>
      <w:pPr>
        <w:pStyle w:val="748"/>
        <w:numPr>
          <w:ilvl w:val="0"/>
          <w:numId w:val="10"/>
        </w:numPr>
        <w:ind w:firstLine="422"/>
        <w:spacing w:line="400" w:lineRule="exact"/>
        <w:widowControl/>
        <w:rPr>
          <w:rFonts w:ascii="宋体" w:hAnsi="Calibri" w:cs="Courier New"/>
          <w:b/>
          <w:bCs/>
          <w:szCs w:val="24"/>
        </w:rPr>
      </w:pPr>
      <w:r>
        <w:rPr>
          <w:rFonts w:hint="eastAsia" w:ascii="宋体" w:hAnsi="Calibri" w:cs="Courier New"/>
          <w:b/>
          <w:bCs/>
          <w:szCs w:val="24"/>
        </w:rPr>
        <w:t xml:space="preserve">前端国产化适配开发</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本次国产化适配改造，从界面风格、前端运行脚本、功能变更、客户端性能支持等方面进行代码适配，保障改造后的系统能高效、安全、稳定的运行在国产化终端和现有x86终端两类设备。</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（1）界面调整适配</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B/S架构的Web系统，国产化替代过程中可能会出现多个浏览器显示差异的问题，即跨浏览器不兼容的问题。供应商须对页面展示、资源树框架、默认边距问题、表格内容居中显示问题、垂直居中问题、UI标签边距问题和页面的最小宽度适配问题进行适配改造，并针对页面弹出框定位布局问题进行适配处理。</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（2）系统并发性能适配改造</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基于国产化硬件基础进行适配改造过程中，可能会出现多并发、大数据量查询、统计等场景系统性能下降。供应商须进行适配验证和性能优化，确保实现多并发查询、下载、应用等场景性能提升。</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（3）前端运行脚本适配改造</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浏览器之间JavaScript的语法解析存在差异，供应商须针对不同浏览器语法兼容上做对应适配，包括语法兼容问题、事件绑定问题、事件对象问题等内容，消除不同浏览器系统功能无法正常解析或不能执行正确结果情况。</w:t>
      </w:r>
      <w:r>
        <w:rPr>
          <w:rFonts w:ascii="宋体" w:hAnsi="Calibri" w:cs="Courier New"/>
          <w:szCs w:val="24"/>
        </w:rPr>
      </w:r>
      <w:r/>
    </w:p>
    <w:p>
      <w:pPr>
        <w:pStyle w:val="748"/>
        <w:ind w:firstLine="422"/>
        <w:spacing w:line="400" w:lineRule="exact"/>
        <w:widowControl/>
        <w:rPr>
          <w:rFonts w:ascii="宋体" w:hAnsi="Calibri" w:cs="Courier New"/>
          <w:szCs w:val="24"/>
        </w:rPr>
      </w:pPr>
      <w:r>
        <w:rPr>
          <w:rFonts w:hint="eastAsia" w:ascii="宋体" w:hAnsi="Calibri" w:cs="Courier New"/>
          <w:b/>
          <w:bCs/>
          <w:szCs w:val="24"/>
        </w:rPr>
        <w:t xml:space="preserve">（4）依赖客户端重大变更功能适配改造</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基于国产化终端浏览器环境对现有技术实现可能不支持，供应商须对应用系统的功能进行业务代码逻辑改造，以在适配浏览器的同时满足现有业务应用需求。</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（5）客户端性能支持改造</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在国产化终端环境中跨操作系统与浏览器的数据处理时效要求，以及针对多页签、大数据量调用渲染等可能会导致的界面卡顿与交互体验问题，供应商须对页面性能进行专项适配升级，以确保满足相关场景下的流畅度要求。</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（6）页面框架集成适配改造</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基于重大项目服务管理平台大部分页面间通过消息方式传递，以及在国产化终端环境下可能会出现页面加载空白或异常问题，供应商须对相关页面框架集成适配改造。</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（7）外部交互（接口、中间库）适配改造</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基于重大项目服务管理平台系统查询部分国产化改造涉及大量外部交互接口，供应商须全面梳理所有外部接口交互情况，并且根据交互技术路线进行国产化适配改造，确保与外部系统间的共享交互保持正常。</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（8）数据展示页面性能支持改造</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重大项目服务管理平台涉及数据量查询页面和数据展示界面，且业务数据与功能和第三方系统之间有很强的交互性，供应商须要对查询页面和数据展示集成页面进行国产化适配改造，确保功能展示性能符合要求。</w:t>
      </w:r>
      <w:r>
        <w:rPr>
          <w:rFonts w:ascii="宋体" w:hAnsi="Calibri" w:cs="Courier New"/>
          <w:szCs w:val="24"/>
        </w:rPr>
      </w:r>
      <w:r/>
    </w:p>
    <w:p>
      <w:pPr>
        <w:pStyle w:val="748"/>
        <w:numPr>
          <w:ilvl w:val="0"/>
          <w:numId w:val="10"/>
        </w:numPr>
        <w:ind w:firstLine="422"/>
        <w:spacing w:line="400" w:lineRule="exact"/>
        <w:widowControl/>
        <w:rPr>
          <w:rFonts w:ascii="宋体" w:hAnsi="Calibri" w:cs="Courier New"/>
          <w:b/>
          <w:bCs/>
          <w:szCs w:val="24"/>
        </w:rPr>
      </w:pPr>
      <w:r>
        <w:rPr>
          <w:rFonts w:hint="eastAsia" w:ascii="宋体" w:hAnsi="Calibri" w:cs="Courier New"/>
          <w:b/>
          <w:bCs/>
          <w:szCs w:val="24"/>
        </w:rPr>
        <w:t xml:space="preserve">部署端国产化适配开发</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适配的内容包含搭建服务端国产化运行环境、国产操作系统适配、国产化数据库适配、文档附件存储适配、国产应用中间件适配。</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（1）搭建服务端国产化运行环境</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在国产化环境中安装对应的软件和实施相应的部署工作。部署实施涉及的内容从服务端操作系统、国产数据库、文件存储、应用中间件以及本次建设的应用程序等。</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（2）国产数据库适配</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国产化改造涉及的重大项目服务管理平台中的各类数据，供应商须通过分析、处理，并按照合理策略迁移至选定的国产数据库中；基于国产数据库驱动进行深度开发和适配；须重点针对SQL语句及函数差异进行改造，并开展大量的测试验证工作，确保数据关联查询及系统功能满足实际应用要求。</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（3）文档附件存储适配</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国产化改造涉及的重大项目服务管理平台中的材料、附件，供应商须进行附件及各类格式文件存储开展部署验证，并确定在国产化环境的适应性。同时，供应商须要验证存储模式与程序结合的操作场景下是否正常稳定运行。重大项目服务管理平台的子系统中存在大量查询、上传、下载、删除文件附件等操作，供应商须要重点验证此类操作。</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（4）国产应用中间件适配</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建设的服务端系统运行在国产化环境下，供应商须对选定的应用中间件进行适配验证。验证内容包含：相关技术组件更新与适配、代码兼容性设置、以及开发框架（如JDK）的运行适应性。以JavaWeb在Tomcat上运行为参考对象验证Web特性，调优系统参数、设置相应使用参数配置如日志。确保系统发挥最大性能，得到程序稳定运行，以保障系统能够在容器中可正常运行。</w:t>
      </w:r>
      <w:r>
        <w:rPr>
          <w:rFonts w:ascii="宋体" w:hAnsi="Calibri" w:cs="Courier New"/>
          <w:szCs w:val="24"/>
        </w:rPr>
      </w:r>
      <w:r/>
    </w:p>
    <w:p>
      <w:pPr>
        <w:pStyle w:val="748"/>
        <w:numPr>
          <w:ilvl w:val="0"/>
          <w:numId w:val="10"/>
        </w:numPr>
        <w:ind w:firstLine="422"/>
        <w:spacing w:line="400" w:lineRule="exact"/>
        <w:widowControl/>
        <w:rPr>
          <w:rFonts w:ascii="宋体" w:hAnsi="Calibri" w:cs="Courier New"/>
          <w:b/>
          <w:bCs/>
          <w:szCs w:val="24"/>
        </w:rPr>
      </w:pPr>
      <w:r>
        <w:rPr>
          <w:rFonts w:hint="eastAsia" w:ascii="宋体" w:hAnsi="Calibri" w:cs="Courier New"/>
          <w:b/>
          <w:bCs/>
          <w:szCs w:val="24"/>
        </w:rPr>
        <w:t xml:space="preserve">终端国产化适配开发</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重大项目服务管理平台完成系统功能适配改造后，须要满足支持各项终端与前端适配，主要包括文件预览适配改造、文本文件在线查看适配改造、单网页文件在线浏览适配改造、图片文件在线查看适配改造、流式组件适配改造、建立统一的终端使用环境等内容。</w:t>
      </w:r>
      <w:r>
        <w:rPr>
          <w:rFonts w:ascii="宋体" w:hAnsi="Calibri" w:cs="Courier New"/>
          <w:szCs w:val="24"/>
        </w:rPr>
      </w:r>
      <w:r/>
    </w:p>
    <w:tbl>
      <w:tblPr>
        <w:tblpPr w:horzAnchor="page" w:tblpX="1887" w:vertAnchor="text" w:tblpY="405" w:leftFromText="180" w:topFromText="0" w:rightFromText="180" w:bottomFromText="0"/>
        <w:tblW w:w="8945" w:type="dxa"/>
        <w:tblInd w:w="0" w:type="dxa"/>
        <w:tblLayout w:type="fixed"/>
        <w:tblCellMar>
          <w:left w:w="108" w:type="dxa"/>
          <w:top w:w="0" w:type="dxa"/>
          <w:right w:w="108" w:type="dxa"/>
          <w:bottom w:w="0" w:type="dxa"/>
        </w:tblCellMar>
        <w:tblLook w:val="04A0" w:firstRow="1" w:lastRow="0" w:firstColumn="1" w:lastColumn="0" w:noHBand="0" w:noVBand="1"/>
      </w:tblPr>
      <w:tblGrid>
        <w:gridCol w:w="1692"/>
        <w:gridCol w:w="1483"/>
        <w:gridCol w:w="5770"/>
      </w:tblGrid>
      <w:tr>
        <w:trPr>
          <w:cantSplit/>
          <w:trHeight w:val="400"/>
        </w:trPr>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模块名称</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功能名称</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功能描述</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项目申报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区县账号填报年初项目清单和年中中期调整的项目，同时可以根据筛选项导出和查找对应的项目信息。</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项目审核</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上级部门对区县账号填报的年初项目清单和年中中期调整项目进行审核，包括通过、驳回操作，并可查看项目详细信息。</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进度管理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进度申报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项目责任单位定期填报项目建设进度信息，包括形象进度、投资完成情况、主要建设内容进展等，支持暂存和提交操作。</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进度审核</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上级管理部门对项目责任单位报送的项目进度信息进行审核验证，可查看进度详情、核实进度真实性，执行通过或驳回操作。</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节点管理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项目预警</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系统自动监控项目关键节点完成情况，对即将超期或已超期的节点进行预警提示，支持查看预警项目列表和具体预警原因。</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审核开工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管理部门对项目开工条件进行审核确认，核实项目前期准备工作完成情况，审核通过后方可正式开工建设。</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工期倒排</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根据项目开工的前置要求，支持用户倒排项目各关键节点的时间计划，明确各节点完成时限，辅助项目进度管控。</w:t>
            </w:r>
            <w:r>
              <w:rPr>
                <w:rFonts w:ascii="宋体" w:hAnsi="Calibri" w:cs="Courier New"/>
                <w:szCs w:val="24"/>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困难问题管理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基本情况填报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组织各项目责任单位对需要省级以上部门协同解决的困难问题进行梳理上报，通过系统填报到平台，包括问题类型，需要协调部门，问题描述，与责任部门沟通情况，前置要件的办理情况，恳请协调解决情况等。</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推进进展情况</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项目责任单位更新困难问题的协调推进进展，记录问题解决过程中的关键节点和进展情况，便于跟踪问题解决状态。</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协调解决情况</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记录困难问题最终协调解决结果，包括解决方式、解决时间、解决效果等信息，形成问题解决闭环管理。</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困难问题交办</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上级部门将梳理后的困难问题交办给相关责任部门，明确办理时限和工作要求，支持跟踪交办任务的办理进度。</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考核管理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考核申报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项目责任单位根据考核要求，申报项目建设相关的考核指标完成情况，包括各项考核数据的填报和证明材料上传。</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考核管理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考核管理部门对项目责任单位的考核申报数据进行审核、查看、导出。</w:t>
            </w:r>
            <w:r>
              <w:rPr>
                <w:rFonts w:ascii="宋体" w:hAnsi="Calibri" w:cs="Courier New"/>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文件通知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文件通知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文件通知相关的文件通知操作管理，包括文件上传、查看、导出等基础功能。</w:t>
            </w:r>
            <w:r>
              <w:rPr>
                <w:rFonts w:ascii="宋体" w:hAnsi="Calibri" w:cs="Courier New"/>
                <w:szCs w:val="24"/>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项目简报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信息报送</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每个月在填报任务开启后报送重大项目的当月建设进展情况相关工作动态、经验交流、项目进展，主要包括标题，内容，填报完成可以进行送审或者暂存，当未提交或者上级退回时可以修改信息重新提交。</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信息审核</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项目简报相关的信息审核操作管理，显示当前项目简报是否采纳。</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市县项目</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项目申报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市县项目的项目申报操作管理，包括数据填报、查询、导出，修改等功能。</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进度审核</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市县项目相关的进度审核操作管理，包括进度数据填报、进度数据审核、导出等功能。</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进度报表</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市县项目的汇总表，可根据分行业、分地区的维度进行展示和导出数据。</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退出库</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保证市县项目的全周期管理，退出的项目会统一放入到退出库中，支持追溯和导出查看。</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项目编制</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编制发起</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用于新增和修改编制信息和修改编制的时间相关的配置</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项目预选</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用于年初编制项目的预选页面，可将项目按照不同的状态进行分类处理。</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项目打包</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可以将多条项目打包合成一个项目</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项目库管理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项目总库</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展示历年来全部的项目信息，支持查看、导出和分不同维度的筛选展示。</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企业库</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展示目前项目系统全部的投资主体信息和项目公司信息，支持查看和导出。</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移出库</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用于存放项目建设期间由于问题而停止建设的项目。</w:t>
            </w:r>
            <w:r>
              <w:rPr>
                <w:rFonts w:ascii="宋体" w:hAnsi="Calibri" w:cs="Courier New"/>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在线监管平台库</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在线监管平台库</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从发改委的投资在线监管平台获取的数据，统一存放在“在线监管平台库”</w:t>
            </w:r>
            <w:r>
              <w:rPr>
                <w:rFonts w:ascii="宋体" w:hAnsi="Calibri" w:cs="Courier New"/>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数据云图</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项目概况</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展示实施项目和储备项目的数量，当年计划开工的项目和年度计划投资、年度完成投资信息。</w:t>
            </w:r>
            <w:r>
              <w:rPr>
                <w:rFonts w:ascii="宋体" w:hAnsi="Calibri" w:cs="Courier New"/>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各市项目概况</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按照柱状图的形式展示各市项目信息</w:t>
            </w:r>
            <w:r>
              <w:rPr>
                <w:rFonts w:ascii="宋体" w:hAnsi="Calibri" w:cs="Courier New"/>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重点类别项目进度情况</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按照重大项目的项目类型展示当前的年度计划投资、计划新开工数量和完成情况</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统计分析</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地区情况汇总表</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展示省重大项目1-X月进展情况汇总表（分地区）数据，可通过查看简表和详细表进行切换展示，支持查询和导出</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行业情况汇总表</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展示省重大项目1-X月进展情况汇总表（分行业）数据，可通过查看简表和详细表进行切换展示，支持查询和导出</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开工情况汇总表</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展示省重大项目1-X月开工情况数据，支持分月份的查询和导出。</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投资主体汇总表</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展示省重大项目1-X月投资主体情况数据，支持分月份的查询和导出。</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简报信息汇总表</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展示省重大项目1-X月简报信息数据，支持分月份的查询和导出。</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后台管理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基础数据</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后台管理相关的数据操作管理，包括必填字段维护、项目类型、年度设置、问题选项、区域管理、项目性质等功能。</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业务设置</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后台管理相关的业务设置操作管理，包括进度任务管理、要素任务管理、产值任务管理、专家配置、统计等功能。</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云图设置</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后台管理相关的云图设置操作管理，包括分类别、时序进度管理、省市配置、地图块配置等功能。</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自定义配置</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后台管理相关的自定义配置操作管理，包括默认列配置、汇总行配置、配置管理、白名单设置、注释设置等功能。</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restart"/>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系统设定</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权限管理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系统设定相关的权限管理操作管理，包括用户管理、单位管理、角色管理、授权管理、区域授权、单位区域授权等功能。</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系统参数</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系统设定相关的系统参数操作管理，包括首页设置、集团决策、专项决策、登录页面设置、系统日志、异常锁定用户、ip封禁等功能。</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审批流</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系统设定相关的审批流操作管理，包括设计审批流、审批流绑定、待办页面、已办页面、审批消息、审批开关等功能。</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1692" w:type="dxa"/>
            <w:vAlign w:val="center"/>
            <w:vMerge w:val="continue"/>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定时任务</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748"/>
              <w:spacing w:line="400" w:lineRule="exact"/>
              <w:widowControl/>
              <w:rPr>
                <w:rFonts w:ascii="宋体" w:hAnsi="Calibri" w:cs="Courier New"/>
                <w:szCs w:val="24"/>
              </w:rPr>
              <w:framePr w:hSpace="180" w:wrap="around" w:vAnchor="text" w:hAnchor="page" w:x="1887" w:y="405"/>
            </w:pPr>
            <w:r>
              <w:rPr>
                <w:rFonts w:hint="eastAsia" w:ascii="宋体" w:hAnsi="Calibri" w:cs="Courier New"/>
                <w:szCs w:val="24"/>
              </w:rPr>
              <w:t xml:space="preserve">系统设定相关的定时任务操作管理，包括定时任务管理、定时任务日志等功能。</w:t>
            </w:r>
            <w:r>
              <w:rPr>
                <w:rFonts w:ascii="宋体" w:hAnsi="Calibri" w:cs="Courier New"/>
                <w:szCs w:val="24"/>
              </w:rPr>
            </w:r>
            <w:r/>
          </w:p>
        </w:tc>
      </w:tr>
    </w:tbl>
    <w:p>
      <w:pPr>
        <w:pStyle w:val="748"/>
        <w:ind w:firstLine="420"/>
        <w:spacing w:line="400" w:lineRule="exact"/>
        <w:widowControl/>
        <w:rPr>
          <w:rFonts w:ascii="宋体" w:hAnsi="Calibri" w:cs="Courier New"/>
          <w:szCs w:val="24"/>
        </w:rPr>
      </w:pPr>
      <w:r>
        <w:rPr>
          <w:rFonts w:hint="eastAsia" w:ascii="宋体" w:hAnsi="Calibri" w:cs="Courier New"/>
          <w:szCs w:val="24"/>
        </w:rPr>
        <w:t xml:space="preserve">备注：国产化适配改造包含重大项目服务管理平台全部功能模块（包括但不限于表格中列出的功能模块）。</w:t>
      </w:r>
      <w:r>
        <w:rPr>
          <w:rFonts w:ascii="宋体" w:hAnsi="Calibri" w:cs="Courier New"/>
          <w:szCs w:val="24"/>
        </w:rPr>
      </w:r>
      <w:r/>
    </w:p>
    <w:p>
      <w:pPr>
        <w:pStyle w:val="748"/>
        <w:ind w:firstLine="422"/>
        <w:spacing w:line="400" w:lineRule="exact"/>
        <w:widowControl/>
        <w:rPr>
          <w:rFonts w:ascii="宋体" w:hAnsi="Calibri" w:cs="Courier New"/>
          <w:bCs/>
          <w:szCs w:val="24"/>
        </w:rPr>
      </w:pPr>
      <w:r>
        <w:rPr>
          <w:rFonts w:hint="eastAsia" w:ascii="宋体" w:hAnsi="Calibri" w:cs="Courier New"/>
          <w:b/>
          <w:szCs w:val="24"/>
        </w:rPr>
        <w:t xml:space="preserve">（二）数据迁移</w:t>
      </w:r>
      <w:r>
        <w:rPr>
          <w:rFonts w:ascii="宋体" w:hAnsi="Calibri" w:cs="Courier New"/>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 </w:t>
      </w:r>
      <w:r>
        <w:rPr>
          <w:rFonts w:hint="eastAsia" w:ascii="宋体" w:hAnsi="Calibri" w:cs="Courier New"/>
          <w:b/>
          <w:bCs/>
          <w:szCs w:val="24"/>
        </w:rPr>
        <w:t xml:space="preserve">迁移方案制定</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供应商须在迁移实施前，对现有重大项目服务管理平台进行全面调研，制定详细的《数据迁移实施方案》。方案需明确迁移策略（全量/增量）、技术路线、进度计划及应急预案，并报采购人审核确认后方可执行。</w:t>
      </w:r>
      <w:r>
        <w:rPr>
          <w:rFonts w:ascii="宋体" w:hAnsi="Calibri" w:cs="Courier New"/>
          <w:szCs w:val="24"/>
        </w:rPr>
      </w:r>
      <w:r/>
    </w:p>
    <w:p>
      <w:pPr>
        <w:pStyle w:val="748"/>
        <w:numPr>
          <w:ilvl w:val="0"/>
          <w:numId w:val="11"/>
        </w:numPr>
        <w:ind w:firstLine="422"/>
        <w:spacing w:line="400" w:lineRule="exact"/>
        <w:widowControl/>
        <w:rPr>
          <w:rFonts w:ascii="宋体" w:hAnsi="Calibri" w:cs="Courier New"/>
          <w:b/>
          <w:bCs/>
          <w:szCs w:val="24"/>
        </w:rPr>
      </w:pPr>
      <w:r>
        <w:rPr>
          <w:rFonts w:hint="eastAsia" w:ascii="宋体" w:hAnsi="Calibri" w:cs="Courier New"/>
          <w:b/>
          <w:bCs/>
          <w:szCs w:val="24"/>
        </w:rPr>
        <w:t xml:space="preserve">数据迁移实施</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完整性与准确性：供应商须确保历史业务数据、基础配置数据等无遗漏、无失真地迁移至国产化环境。须提供数据校验报告，确保源端与目标端数据一致。</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安全性与备份：迁移过程中须采取严格的安全保密措施，实施前须对源系统和目标系统进行全量备份，确保具备故障回滚能力。</w:t>
      </w:r>
      <w:r>
        <w:rPr>
          <w:rFonts w:ascii="宋体" w:hAnsi="Calibri" w:cs="Courier New"/>
          <w:szCs w:val="24"/>
        </w:rPr>
      </w:r>
      <w:r/>
    </w:p>
    <w:p>
      <w:pPr>
        <w:pStyle w:val="748"/>
        <w:numPr>
          <w:ilvl w:val="0"/>
          <w:numId w:val="11"/>
        </w:numPr>
        <w:ind w:firstLine="422"/>
        <w:spacing w:line="400" w:lineRule="exact"/>
        <w:widowControl/>
        <w:rPr>
          <w:rFonts w:ascii="宋体" w:hAnsi="Calibri" w:cs="Courier New"/>
          <w:b/>
          <w:bCs/>
          <w:szCs w:val="24"/>
        </w:rPr>
      </w:pPr>
      <w:r>
        <w:rPr>
          <w:rFonts w:hint="eastAsia" w:ascii="宋体" w:hAnsi="Calibri" w:cs="Courier New"/>
          <w:b/>
          <w:bCs/>
          <w:szCs w:val="24"/>
        </w:rPr>
        <w:t xml:space="preserve">数据治理与优化</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迁移完成后，供应商须结合国产化数据库特性，对目标平台数据进行清洗、去重及标准化处理。同时，须优化数据表结构与索引，解决异构数据库兼容性问题，确保在国产环境下的数据查询效率与系统性能满足业务需求。</w:t>
      </w:r>
      <w:r>
        <w:rPr>
          <w:rFonts w:ascii="宋体" w:hAnsi="Calibri" w:cs="Courier New"/>
          <w:szCs w:val="24"/>
        </w:rPr>
      </w:r>
      <w:r/>
    </w:p>
    <w:p>
      <w:pPr>
        <w:pStyle w:val="748"/>
        <w:ind w:firstLine="422"/>
        <w:spacing w:line="400" w:lineRule="exact"/>
        <w:widowControl/>
        <w:rPr>
          <w:rFonts w:ascii="宋体" w:hAnsi="Calibri" w:cs="Courier New"/>
          <w:b/>
          <w:szCs w:val="24"/>
        </w:rPr>
      </w:pPr>
      <w:r>
        <w:rPr>
          <w:rFonts w:hint="eastAsia" w:ascii="宋体" w:hAnsi="Calibri" w:cs="Courier New"/>
          <w:b/>
          <w:szCs w:val="24"/>
        </w:rPr>
        <w:t xml:space="preserve">（三）安全体系加固与合规适配</w:t>
      </w:r>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在国产化基础环境之上，供应商须对重大项目服务管理平台进行全栈深度安全适配与加固。建设目标不仅是实现系统的功能迁移，更要消除因基础软硬件替换带来的安全机制失效风险，确保系统在国产化环境下满足等保及密评的最新合规要求。</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供应商须将安全适配工作融入系统迁移与重构的全过程，具体建设内容包括但不限于：</w:t>
      </w:r>
      <w:r>
        <w:rPr>
          <w:rFonts w:ascii="宋体" w:hAnsi="Calibri" w:cs="Courier New"/>
          <w:szCs w:val="24"/>
        </w:rPr>
      </w:r>
      <w:r/>
    </w:p>
    <w:p>
      <w:pPr>
        <w:pStyle w:val="748"/>
        <w:numPr>
          <w:ilvl w:val="0"/>
          <w:numId w:val="12"/>
        </w:numPr>
        <w:ind w:firstLine="422"/>
        <w:spacing w:line="400" w:lineRule="exact"/>
        <w:widowControl/>
        <w:rPr>
          <w:rFonts w:ascii="宋体" w:hAnsi="Calibri" w:cs="Courier New"/>
          <w:b/>
          <w:bCs/>
          <w:szCs w:val="24"/>
        </w:rPr>
      </w:pPr>
      <w:r>
        <w:rPr>
          <w:rFonts w:hint="eastAsia" w:ascii="宋体" w:hAnsi="Calibri" w:cs="Courier New"/>
          <w:b/>
          <w:bCs/>
          <w:szCs w:val="24"/>
        </w:rPr>
        <w:t xml:space="preserve">应用层国密算法深度适配与改造</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供应商须对应用系统进行代码级的国密化重构，确保国密算法（SM2/SM3/SM4）在业务逻辑中的原生支持与高效运行，包含应用系统身份鉴别改造、应用系统访问控制信息和敏感标记完整性改造、应用系统数据传输机密性改造、应用系统数据存储机密性改造、应用系统数据传输完整性改造、应用系统数据存储完整性改造、系统日志记录完整性改造和抗抵赖改造。</w:t>
      </w:r>
      <w:r>
        <w:rPr>
          <w:rFonts w:ascii="宋体" w:hAnsi="Calibri" w:cs="Courier New"/>
          <w:szCs w:val="24"/>
        </w:rPr>
      </w:r>
      <w:r/>
    </w:p>
    <w:p>
      <w:pPr>
        <w:pStyle w:val="748"/>
        <w:numPr>
          <w:ilvl w:val="0"/>
          <w:numId w:val="12"/>
        </w:numPr>
        <w:ind w:firstLine="422"/>
        <w:spacing w:line="400" w:lineRule="exact"/>
        <w:widowControl/>
        <w:rPr>
          <w:rFonts w:ascii="宋体" w:hAnsi="Calibri" w:cs="Courier New"/>
          <w:b/>
          <w:bCs/>
          <w:szCs w:val="24"/>
        </w:rPr>
      </w:pPr>
      <w:r>
        <w:rPr>
          <w:rFonts w:hint="eastAsia" w:ascii="宋体" w:hAnsi="Calibri" w:cs="Courier New"/>
          <w:b/>
          <w:bCs/>
          <w:szCs w:val="24"/>
        </w:rPr>
        <w:t xml:space="preserve">国产化环境下应用安全加固</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供应商须针对国产化基础软硬件环境（国产芯片、操作系统、数据库、中间件）的特性，对应用系统进行深度的安全适配与加固，消除因架构迁移带来的安全机制失效或兼容性风险，确保系统在国产化环境下的内生安全，包括身份鉴别与访问控制适配、数据库安全与防注入加固、剩余信息保护与内存安全、安全审计与日志适配。</w:t>
      </w:r>
      <w:r>
        <w:rPr>
          <w:rFonts w:ascii="宋体" w:hAnsi="Calibri" w:cs="Courier New"/>
          <w:szCs w:val="24"/>
        </w:rPr>
      </w:r>
      <w:r/>
    </w:p>
    <w:p>
      <w:pPr>
        <w:pStyle w:val="748"/>
        <w:ind w:firstLine="420"/>
        <w:spacing w:line="400" w:lineRule="exact"/>
        <w:widowControl/>
        <w:rPr>
          <w:rFonts w:ascii="Calibri" w:hAnsi="Calibri" w:cs="Arial"/>
          <w:szCs w:val="22"/>
        </w:rPr>
      </w:pPr>
      <w:r>
        <w:rPr>
          <w:rFonts w:hint="eastAsia" w:ascii="宋体" w:hAnsi="Calibri" w:cs="Courier New"/>
          <w:szCs w:val="24"/>
        </w:rPr>
        <w:t xml:space="preserve">供应商须负责配合采购人委托的第三方测评机构进行等保三级与密评三级测评，并针对测评中发现的安全问题（如代码漏洞、配置缺陷、算法不合规等）进行无偿整改，直至获取合格的测评报告。</w:t>
      </w:r>
      <w:r>
        <w:rPr>
          <w:rFonts w:ascii="Calibri" w:hAnsi="Calibri" w:cs="Arial"/>
          <w:szCs w:val="22"/>
        </w:rPr>
      </w:r>
      <w:r/>
    </w:p>
    <w:p>
      <w:pPr>
        <w:pStyle w:val="748"/>
        <w:ind w:firstLine="422"/>
        <w:spacing w:line="400" w:lineRule="exact"/>
        <w:widowControl/>
        <w:rPr>
          <w:rFonts w:ascii="宋体" w:hAnsi="Calibri" w:cs="Courier New"/>
          <w:b/>
          <w:szCs w:val="24"/>
        </w:rPr>
      </w:pPr>
      <w:r>
        <w:rPr>
          <w:rFonts w:hint="eastAsia" w:ascii="宋体" w:hAnsi="Calibri" w:cs="Courier New"/>
          <w:b/>
          <w:szCs w:val="24"/>
        </w:rPr>
        <w:t xml:space="preserve">三、技术要求</w:t>
      </w:r>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重大项目服务管理平台国产化改造完成后，系统须满足以下技术要求：</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（一）系统性能要求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系统设计须综合考虑用户量、业务量、数据量、服务器负载，通过负载均衡、资源弹性加载等性能优化策略，尽可能降低重大项目服务管理平台负载，降低用户操作响应时限，增强用户使用体验。具体性能要求如下：</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在不低于100M 局域网环境下进行增、删、改业务（不含大对象数据类型）响应时间在2 秒以内；</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系统支持同时在线用户数大于300，并发用户数大于 50；</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在网络稳定的环境下，界面单一操作的系统响应时间小于2秒；</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在网络稳定的环境下，精确查询（包括请求服务）响应时间≤2秒，模糊查询响应时间≤3秒，各种统计分析复杂事务处理响应时间≤5秒；</w:t>
      </w:r>
      <w:r>
        <w:rPr>
          <w:rFonts w:ascii="宋体" w:hAnsi="Calibri" w:cs="Courier New"/>
          <w:szCs w:val="24"/>
        </w:rPr>
      </w:r>
      <w:r/>
    </w:p>
    <w:p>
      <w:pPr>
        <w:pStyle w:val="748"/>
        <w:ind w:firstLine="420"/>
        <w:spacing w:line="400" w:lineRule="exact"/>
        <w:widowControl/>
        <w:rPr>
          <w:rFonts w:ascii="宋体" w:hAnsi="Calibri" w:cs="Courier New"/>
          <w:bCs/>
          <w:szCs w:val="24"/>
        </w:rPr>
      </w:pPr>
      <w:r>
        <w:rPr>
          <w:rFonts w:hint="eastAsia" w:ascii="宋体" w:hAnsi="Calibri" w:cs="Courier New"/>
          <w:szCs w:val="24"/>
        </w:rPr>
        <w:t xml:space="preserve">在业务高峰期间，系统平均响应时间要求不超过非业务高峰期间平均响应时间的1.5倍。</w:t>
      </w:r>
      <w:r>
        <w:rPr>
          <w:rFonts w:ascii="宋体" w:hAnsi="Calibri" w:cs="Courier New"/>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（二）兼容性要求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系统应能对接江苏省发展和改革委员会“数智发改”平台，严格按照《“数智发改”平台规范标准》接入统一用户、统一组织、统一权限等，可整合纳入“数智发改”综合服务平台体系运行。</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（三）灵活性要求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系统须具有快速适应业务变化的能力，应采用灵活的架构和技术手段，如扩大对不同数据格式的支持等。系统应具有良好的可扩展性，支持功能模块及处理能力的有效扩展和整合集成。</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基于SOA架构建设，并采用构件化、面向对象思想设计。采用三层或多层架构的体系结构，充分考虑到重大项目服务管理平台纵向、横向的平滑扩展能力。系统设计具有良好的可扩充性和可移植性。</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（四）扩展性要求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当系统容量和性能发生变化时，应能通过软硬件各个层次的扩展，保证系统合理的响应时间和吞吐量，支持负载的划分与均衡。</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（五）开放性要求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须充分考虑软件的开放性，充分考虑对不同业务数据和其他数据异构性的兼容。</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（六）稳定性要求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整个系统须能够连续7×24小时不间断工作，不会因系统资源的耗尽而停机。系统须保证数据的一致性，完整性，准确性要求达到99.99%。对人工输入的数据以及来自不同接口的数据须进行合法性检查，确保流程的通畅性，并且能够对错误数据进行自动纠错处理。须制定数据存储备份策略，确保在重大项目服务管理平台平稳迁移。</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（七）适配改造技术要求</w:t>
      </w:r>
      <w:r>
        <w:rPr>
          <w:rFonts w:ascii="宋体" w:hAnsi="Calibri" w:cs="Courier New"/>
          <w:b/>
          <w:bCs/>
          <w:szCs w:val="24"/>
        </w:rPr>
      </w:r>
      <w:r/>
    </w:p>
    <w:tbl>
      <w:tblPr>
        <w:tblW w:w="83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76"/>
        <w:gridCol w:w="1846"/>
        <w:gridCol w:w="2506"/>
        <w:gridCol w:w="2388"/>
      </w:tblGrid>
      <w:tr>
        <w:trPr>
          <w:trHeight w:val="280"/>
        </w:trPr>
        <w:tc>
          <w:tcPr>
            <w:shd w:val="clear" w:color="000000" w:fill="e6e7e7"/>
            <w:tcMar>
              <w:left w:w="15" w:type="dxa"/>
              <w:top w:w="15" w:type="dxa"/>
              <w:right w:w="15" w:type="dxa"/>
              <w:bottom w:w="0" w:type="dxa"/>
            </w:tcMar>
            <w:tcW w:w="1576" w:type="dxa"/>
            <w:vAlign w:val="center"/>
            <w:textDirection w:val="lrTb"/>
            <w:noWrap w:val="false"/>
          </w:tcPr>
          <w:p>
            <w:pPr>
              <w:pStyle w:val="748"/>
              <w:spacing w:line="400" w:lineRule="exact"/>
              <w:widowControl/>
              <w:rPr>
                <w:rFonts w:ascii="宋体" w:hAnsi="Calibri" w:cs="Courier New"/>
                <w:b/>
                <w:bCs/>
                <w:szCs w:val="24"/>
              </w:rPr>
            </w:pPr>
            <w:r>
              <w:rPr>
                <w:rFonts w:hint="eastAsia" w:ascii="宋体" w:hAnsi="Calibri" w:cs="Courier New"/>
                <w:b/>
                <w:bCs/>
                <w:szCs w:val="24"/>
              </w:rPr>
              <w:t xml:space="preserve">技术层级</w:t>
            </w:r>
            <w:r>
              <w:rPr>
                <w:rFonts w:ascii="宋体" w:hAnsi="Calibri" w:cs="Courier New"/>
                <w:b/>
                <w:bCs/>
                <w:szCs w:val="24"/>
              </w:rPr>
            </w:r>
            <w:r/>
          </w:p>
        </w:tc>
        <w:tc>
          <w:tcPr>
            <w:shd w:val="clear" w:color="000000" w:fill="e6e7e7"/>
            <w:tcMar>
              <w:left w:w="15" w:type="dxa"/>
              <w:top w:w="15" w:type="dxa"/>
              <w:right w:w="15" w:type="dxa"/>
              <w:bottom w:w="0" w:type="dxa"/>
            </w:tcMar>
            <w:tcW w:w="1846" w:type="dxa"/>
            <w:vAlign w:val="center"/>
            <w:textDirection w:val="lrTb"/>
            <w:noWrap w:val="false"/>
          </w:tcPr>
          <w:p>
            <w:pPr>
              <w:pStyle w:val="748"/>
              <w:spacing w:line="400" w:lineRule="exact"/>
              <w:widowControl/>
              <w:rPr>
                <w:rFonts w:ascii="宋体" w:hAnsi="Calibri" w:cs="Courier New"/>
                <w:b/>
                <w:bCs/>
                <w:szCs w:val="24"/>
              </w:rPr>
            </w:pPr>
            <w:r>
              <w:rPr>
                <w:rFonts w:hint="eastAsia" w:ascii="宋体" w:hAnsi="Calibri" w:cs="Courier New"/>
                <w:b/>
                <w:bCs/>
                <w:szCs w:val="24"/>
              </w:rPr>
              <w:t xml:space="preserve">技术分类</w:t>
            </w:r>
            <w:r>
              <w:rPr>
                <w:rFonts w:ascii="宋体" w:hAnsi="Calibri" w:cs="Courier New"/>
                <w:b/>
                <w:bCs/>
                <w:szCs w:val="24"/>
              </w:rPr>
            </w:r>
            <w:r/>
          </w:p>
        </w:tc>
        <w:tc>
          <w:tcPr>
            <w:shd w:val="clear" w:color="000000" w:fill="e6e7e7"/>
            <w:tcMar>
              <w:left w:w="15" w:type="dxa"/>
              <w:top w:w="15" w:type="dxa"/>
              <w:right w:w="15" w:type="dxa"/>
              <w:bottom w:w="0" w:type="dxa"/>
            </w:tcMar>
            <w:tcW w:w="2506" w:type="dxa"/>
            <w:vAlign w:val="center"/>
            <w:textDirection w:val="lrTb"/>
            <w:noWrap w:val="false"/>
          </w:tcPr>
          <w:p>
            <w:pPr>
              <w:pStyle w:val="748"/>
              <w:spacing w:line="400" w:lineRule="exact"/>
              <w:widowControl/>
              <w:rPr>
                <w:rFonts w:ascii="宋体" w:hAnsi="Calibri" w:cs="Courier New"/>
                <w:b/>
                <w:bCs/>
                <w:szCs w:val="24"/>
              </w:rPr>
            </w:pPr>
            <w:r>
              <w:rPr>
                <w:rFonts w:hint="eastAsia" w:ascii="宋体" w:hAnsi="Calibri" w:cs="Courier New"/>
                <w:b/>
                <w:bCs/>
                <w:szCs w:val="24"/>
              </w:rPr>
              <w:t xml:space="preserve">当前产品</w:t>
            </w:r>
            <w:r>
              <w:rPr>
                <w:rFonts w:ascii="宋体" w:hAnsi="Calibri" w:cs="Courier New"/>
                <w:b/>
                <w:bCs/>
                <w:szCs w:val="24"/>
              </w:rPr>
            </w:r>
            <w:r/>
          </w:p>
        </w:tc>
        <w:tc>
          <w:tcPr>
            <w:shd w:val="clear" w:color="000000" w:fill="e6e7e7"/>
            <w:tcW w:w="2388" w:type="dxa"/>
            <w:vAlign w:val="top"/>
            <w:textDirection w:val="lrTb"/>
            <w:noWrap w:val="false"/>
          </w:tcPr>
          <w:p>
            <w:pPr>
              <w:pStyle w:val="748"/>
              <w:spacing w:line="400" w:lineRule="exact"/>
              <w:widowControl/>
              <w:rPr>
                <w:rFonts w:ascii="宋体" w:hAnsi="Calibri" w:cs="Courier New"/>
                <w:b/>
                <w:bCs/>
                <w:szCs w:val="24"/>
              </w:rPr>
            </w:pPr>
            <w:r>
              <w:rPr>
                <w:rFonts w:hint="eastAsia" w:ascii="宋体" w:hAnsi="Calibri" w:cs="Courier New"/>
                <w:b/>
                <w:bCs/>
                <w:szCs w:val="24"/>
              </w:rPr>
              <w:t xml:space="preserve">适配要求</w:t>
            </w:r>
            <w:r>
              <w:rPr>
                <w:rFonts w:ascii="宋体" w:hAnsi="Calibri" w:cs="Courier New"/>
                <w:b/>
                <w:bCs/>
                <w:szCs w:val="24"/>
              </w:rPr>
            </w:r>
            <w:r/>
          </w:p>
        </w:tc>
      </w:tr>
      <w:tr>
        <w:trPr>
          <w:cantSplit/>
          <w:trHeight w:val="445"/>
        </w:trPr>
        <w:tc>
          <w:tcPr>
            <w:tcMar>
              <w:left w:w="15" w:type="dxa"/>
              <w:top w:w="15" w:type="dxa"/>
              <w:right w:w="15" w:type="dxa"/>
              <w:bottom w:w="0" w:type="dxa"/>
            </w:tcMar>
            <w:tcW w:w="1576" w:type="dxa"/>
            <w:vAlign w:val="center"/>
            <w:vMerge w:val="restart"/>
            <w:textDirection w:val="lrTb"/>
            <w:noWrap w:val="false"/>
          </w:tcPr>
          <w:p>
            <w:pPr>
              <w:pStyle w:val="748"/>
              <w:spacing w:line="400" w:lineRule="exact"/>
              <w:widowControl/>
              <w:rPr>
                <w:rFonts w:ascii="宋体" w:hAnsi="Calibri" w:cs="Courier New"/>
                <w:b/>
                <w:bCs/>
                <w:szCs w:val="24"/>
              </w:rPr>
            </w:pPr>
            <w:r>
              <w:rPr>
                <w:rFonts w:hint="eastAsia" w:ascii="宋体" w:hAnsi="Calibri" w:cs="Courier New"/>
                <w:b/>
                <w:bCs/>
                <w:szCs w:val="24"/>
              </w:rPr>
              <w:t xml:space="preserve">服务器层</w:t>
            </w:r>
            <w:r>
              <w:rPr>
                <w:rFonts w:ascii="宋体" w:hAnsi="Calibri" w:cs="Courier New"/>
                <w:b/>
                <w:bCs/>
                <w:szCs w:val="24"/>
              </w:rPr>
            </w:r>
            <w:r/>
          </w:p>
        </w:tc>
        <w:tc>
          <w:tcPr>
            <w:tcMar>
              <w:left w:w="15" w:type="dxa"/>
              <w:top w:w="15" w:type="dxa"/>
              <w:right w:w="15" w:type="dxa"/>
              <w:bottom w:w="0" w:type="dxa"/>
            </w:tcMar>
            <w:tcW w:w="184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操作系统</w:t>
            </w:r>
            <w:r>
              <w:rPr>
                <w:rFonts w:ascii="宋体" w:hAnsi="Calibri" w:cs="Courier New"/>
                <w:szCs w:val="24"/>
              </w:rPr>
            </w:r>
            <w:r/>
          </w:p>
        </w:tc>
        <w:tc>
          <w:tcPr>
            <w:tcMar>
              <w:left w:w="15" w:type="dxa"/>
              <w:top w:w="15" w:type="dxa"/>
              <w:right w:w="15" w:type="dxa"/>
              <w:bottom w:w="0" w:type="dxa"/>
            </w:tcMar>
            <w:tcW w:w="250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Windows Server（2套）</w:t>
            </w:r>
            <w:r>
              <w:rPr>
                <w:rFonts w:ascii="宋体" w:hAnsi="Calibri" w:cs="Courier New"/>
                <w:szCs w:val="24"/>
              </w:rPr>
            </w:r>
            <w:r/>
          </w:p>
        </w:tc>
        <w:tc>
          <w:tcPr>
            <w:tcW w:w="2388" w:type="dxa"/>
            <w:vAlign w:val="top"/>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适配麒麟操作系统、统信UOS、深度操作系统等主流国产化操作系统</w:t>
            </w:r>
            <w:r>
              <w:rPr>
                <w:rFonts w:ascii="宋体" w:hAnsi="Calibri" w:cs="Courier New"/>
                <w:szCs w:val="24"/>
              </w:rPr>
            </w:r>
            <w:r/>
          </w:p>
        </w:tc>
      </w:tr>
      <w:tr>
        <w:trPr>
          <w:cantSplit/>
          <w:trHeight w:val="280"/>
        </w:trPr>
        <w:tc>
          <w:tcPr>
            <w:tcW w:w="1576" w:type="dxa"/>
            <w:vAlign w:val="center"/>
            <w:vMerge w:val="continue"/>
            <w:textDirection w:val="lrTb"/>
            <w:noWrap w:val="false"/>
          </w:tcPr>
          <w:p>
            <w:pPr>
              <w:pStyle w:val="748"/>
              <w:spacing w:line="400" w:lineRule="exact"/>
              <w:widowControl/>
              <w:rPr>
                <w:rFonts w:ascii="宋体" w:hAnsi="Calibri" w:cs="Courier New"/>
                <w:b/>
                <w:bCs/>
                <w:szCs w:val="24"/>
              </w:rPr>
            </w:pPr>
            <w:r>
              <w:rPr>
                <w:rFonts w:ascii="宋体" w:hAnsi="Calibri" w:cs="Courier New"/>
                <w:b/>
                <w:bCs/>
                <w:szCs w:val="24"/>
              </w:rPr>
            </w:r>
            <w:r/>
          </w:p>
        </w:tc>
        <w:tc>
          <w:tcPr>
            <w:tcMar>
              <w:left w:w="15" w:type="dxa"/>
              <w:top w:w="15" w:type="dxa"/>
              <w:right w:w="15" w:type="dxa"/>
              <w:bottom w:w="0" w:type="dxa"/>
            </w:tcMar>
            <w:tcW w:w="184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服务器硬件</w:t>
            </w:r>
            <w:r>
              <w:rPr>
                <w:rFonts w:ascii="宋体" w:hAnsi="Calibri" w:cs="Courier New"/>
                <w:szCs w:val="24"/>
              </w:rPr>
            </w:r>
            <w:r/>
          </w:p>
        </w:tc>
        <w:tc>
          <w:tcPr>
            <w:tcMar>
              <w:left w:w="15" w:type="dxa"/>
              <w:top w:w="15" w:type="dxa"/>
              <w:right w:w="15" w:type="dxa"/>
              <w:bottom w:w="0" w:type="dxa"/>
            </w:tcMar>
            <w:tcW w:w="250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x86架构（3台）</w:t>
            </w:r>
            <w:r>
              <w:rPr>
                <w:rFonts w:ascii="宋体" w:hAnsi="Calibri" w:cs="Courier New"/>
                <w:szCs w:val="24"/>
              </w:rPr>
            </w:r>
            <w:r/>
          </w:p>
        </w:tc>
        <w:tc>
          <w:tcPr>
            <w:tcW w:w="2388" w:type="dxa"/>
            <w:vAlign w:val="top"/>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适配C86等主流国产化架构</w:t>
            </w:r>
            <w:r>
              <w:rPr>
                <w:rFonts w:ascii="宋体" w:hAnsi="Calibri" w:cs="Courier New"/>
                <w:szCs w:val="24"/>
              </w:rPr>
            </w:r>
            <w:r/>
          </w:p>
        </w:tc>
      </w:tr>
      <w:tr>
        <w:trPr>
          <w:trHeight w:val="300"/>
        </w:trPr>
        <w:tc>
          <w:tcPr>
            <w:tcMar>
              <w:left w:w="15" w:type="dxa"/>
              <w:top w:w="15" w:type="dxa"/>
              <w:right w:w="15" w:type="dxa"/>
              <w:bottom w:w="0" w:type="dxa"/>
            </w:tcMar>
            <w:tcW w:w="1576" w:type="dxa"/>
            <w:vAlign w:val="center"/>
            <w:textDirection w:val="lrTb"/>
            <w:noWrap w:val="false"/>
          </w:tcPr>
          <w:p>
            <w:pPr>
              <w:pStyle w:val="748"/>
              <w:spacing w:line="400" w:lineRule="exact"/>
              <w:widowControl/>
              <w:rPr>
                <w:rFonts w:ascii="宋体" w:hAnsi="Calibri" w:cs="Courier New"/>
                <w:b/>
                <w:bCs/>
                <w:szCs w:val="24"/>
              </w:rPr>
            </w:pPr>
            <w:r>
              <w:rPr>
                <w:rFonts w:hint="eastAsia" w:ascii="宋体" w:hAnsi="Calibri" w:cs="Courier New"/>
                <w:b/>
                <w:bCs/>
                <w:szCs w:val="24"/>
              </w:rPr>
              <w:t xml:space="preserve">应用中间件</w:t>
            </w:r>
            <w:r>
              <w:rPr>
                <w:rFonts w:ascii="宋体" w:hAnsi="Calibri" w:cs="Courier New"/>
                <w:b/>
                <w:bCs/>
                <w:szCs w:val="24"/>
              </w:rPr>
            </w:r>
            <w:r/>
          </w:p>
        </w:tc>
        <w:tc>
          <w:tcPr>
            <w:tcMar>
              <w:left w:w="15" w:type="dxa"/>
              <w:top w:w="15" w:type="dxa"/>
              <w:right w:w="15" w:type="dxa"/>
              <w:bottom w:w="0" w:type="dxa"/>
            </w:tcMar>
            <w:tcW w:w="184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应用服务器</w:t>
            </w:r>
            <w:r>
              <w:rPr>
                <w:rFonts w:ascii="宋体" w:hAnsi="Calibri" w:cs="Courier New"/>
                <w:szCs w:val="24"/>
              </w:rPr>
            </w:r>
            <w:r/>
          </w:p>
        </w:tc>
        <w:tc>
          <w:tcPr>
            <w:tcMar>
              <w:left w:w="15" w:type="dxa"/>
              <w:top w:w="15" w:type="dxa"/>
              <w:right w:w="15" w:type="dxa"/>
              <w:bottom w:w="0" w:type="dxa"/>
            </w:tcMar>
            <w:tcW w:w="250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Tomcat</w:t>
            </w:r>
            <w:r>
              <w:rPr>
                <w:rFonts w:ascii="宋体" w:hAnsi="Calibri" w:cs="Courier New"/>
                <w:szCs w:val="24"/>
              </w:rPr>
            </w:r>
            <w:r/>
          </w:p>
        </w:tc>
        <w:tc>
          <w:tcPr>
            <w:tcW w:w="2388" w:type="dxa"/>
            <w:vAlign w:val="top"/>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适配宝蓝德、金蝶、普元等主流国产化中间件</w:t>
            </w:r>
            <w:r>
              <w:rPr>
                <w:rFonts w:ascii="宋体" w:hAnsi="Calibri" w:cs="Courier New"/>
                <w:szCs w:val="24"/>
              </w:rPr>
            </w:r>
            <w:r/>
          </w:p>
        </w:tc>
      </w:tr>
      <w:tr>
        <w:trPr>
          <w:trHeight w:val="280"/>
        </w:trPr>
        <w:tc>
          <w:tcPr>
            <w:tcMar>
              <w:left w:w="15" w:type="dxa"/>
              <w:top w:w="15" w:type="dxa"/>
              <w:right w:w="15" w:type="dxa"/>
              <w:bottom w:w="0" w:type="dxa"/>
            </w:tcMar>
            <w:tcW w:w="1576" w:type="dxa"/>
            <w:vAlign w:val="center"/>
            <w:textDirection w:val="lrTb"/>
            <w:noWrap w:val="false"/>
          </w:tcPr>
          <w:p>
            <w:pPr>
              <w:pStyle w:val="748"/>
              <w:spacing w:line="400" w:lineRule="exact"/>
              <w:widowControl/>
              <w:rPr>
                <w:rFonts w:ascii="宋体" w:hAnsi="Calibri" w:cs="Courier New"/>
                <w:b/>
                <w:bCs/>
                <w:szCs w:val="24"/>
              </w:rPr>
            </w:pPr>
            <w:r>
              <w:rPr>
                <w:rFonts w:hint="eastAsia" w:ascii="宋体" w:hAnsi="Calibri" w:cs="Courier New"/>
                <w:b/>
                <w:bCs/>
                <w:szCs w:val="24"/>
              </w:rPr>
              <w:t xml:space="preserve">数据库层</w:t>
            </w:r>
            <w:r>
              <w:rPr>
                <w:rFonts w:ascii="宋体" w:hAnsi="Calibri" w:cs="Courier New"/>
                <w:b/>
                <w:bCs/>
                <w:szCs w:val="24"/>
              </w:rPr>
            </w:r>
            <w:r/>
          </w:p>
        </w:tc>
        <w:tc>
          <w:tcPr>
            <w:tcMar>
              <w:left w:w="15" w:type="dxa"/>
              <w:top w:w="15" w:type="dxa"/>
              <w:right w:w="15" w:type="dxa"/>
              <w:bottom w:w="0" w:type="dxa"/>
            </w:tcMar>
            <w:tcW w:w="184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关系型数据库</w:t>
            </w:r>
            <w:r>
              <w:rPr>
                <w:rFonts w:ascii="宋体" w:hAnsi="Calibri" w:cs="Courier New"/>
                <w:szCs w:val="24"/>
              </w:rPr>
            </w:r>
            <w:r/>
          </w:p>
        </w:tc>
        <w:tc>
          <w:tcPr>
            <w:tcMar>
              <w:left w:w="15" w:type="dxa"/>
              <w:top w:w="15" w:type="dxa"/>
              <w:right w:w="15" w:type="dxa"/>
              <w:bottom w:w="0" w:type="dxa"/>
            </w:tcMar>
            <w:tcW w:w="250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Oracle/MySQL</w:t>
            </w:r>
            <w:r>
              <w:rPr>
                <w:rFonts w:ascii="宋体" w:hAnsi="Calibri" w:cs="Courier New"/>
                <w:szCs w:val="24"/>
              </w:rPr>
            </w:r>
            <w:r/>
          </w:p>
        </w:tc>
        <w:tc>
          <w:tcPr>
            <w:tcW w:w="2388" w:type="dxa"/>
            <w:vAlign w:val="top"/>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适配达梦、人大金仓、南大通用等主流国产化数据库</w:t>
            </w:r>
            <w:r>
              <w:rPr>
                <w:rFonts w:ascii="宋体" w:hAnsi="Calibri" w:cs="Courier New"/>
                <w:szCs w:val="24"/>
              </w:rPr>
            </w:r>
            <w:r/>
          </w:p>
        </w:tc>
      </w:tr>
      <w:tr>
        <w:trPr>
          <w:cantSplit/>
          <w:trHeight w:val="280"/>
        </w:trPr>
        <w:tc>
          <w:tcPr>
            <w:tcMar>
              <w:left w:w="15" w:type="dxa"/>
              <w:top w:w="15" w:type="dxa"/>
              <w:right w:w="15" w:type="dxa"/>
              <w:bottom w:w="0" w:type="dxa"/>
            </w:tcMar>
            <w:tcW w:w="1576" w:type="dxa"/>
            <w:vAlign w:val="center"/>
            <w:vMerge w:val="restart"/>
            <w:textDirection w:val="lrTb"/>
            <w:noWrap w:val="false"/>
          </w:tcPr>
          <w:p>
            <w:pPr>
              <w:pStyle w:val="748"/>
              <w:spacing w:line="400" w:lineRule="exact"/>
              <w:widowControl/>
              <w:rPr>
                <w:rFonts w:ascii="宋体" w:hAnsi="Calibri" w:cs="Courier New"/>
                <w:b/>
                <w:bCs/>
                <w:szCs w:val="24"/>
              </w:rPr>
            </w:pPr>
            <w:r>
              <w:rPr>
                <w:rFonts w:hint="eastAsia" w:ascii="宋体" w:hAnsi="Calibri" w:cs="Courier New"/>
                <w:b/>
                <w:bCs/>
                <w:szCs w:val="24"/>
              </w:rPr>
              <w:t xml:space="preserve">终端设备</w:t>
            </w:r>
            <w:r>
              <w:rPr>
                <w:rFonts w:ascii="宋体" w:hAnsi="Calibri" w:cs="Courier New"/>
                <w:b/>
                <w:bCs/>
                <w:szCs w:val="24"/>
              </w:rPr>
            </w:r>
            <w:r/>
          </w:p>
        </w:tc>
        <w:tc>
          <w:tcPr>
            <w:tcMar>
              <w:left w:w="15" w:type="dxa"/>
              <w:top w:w="15" w:type="dxa"/>
              <w:right w:w="15" w:type="dxa"/>
              <w:bottom w:w="0" w:type="dxa"/>
            </w:tcMar>
            <w:tcW w:w="184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桌面操作系统</w:t>
            </w:r>
            <w:r>
              <w:rPr>
                <w:rFonts w:ascii="宋体" w:hAnsi="Calibri" w:cs="Courier New"/>
                <w:szCs w:val="24"/>
              </w:rPr>
            </w:r>
            <w:r/>
          </w:p>
        </w:tc>
        <w:tc>
          <w:tcPr>
            <w:tcMar>
              <w:left w:w="15" w:type="dxa"/>
              <w:top w:w="15" w:type="dxa"/>
              <w:right w:w="15" w:type="dxa"/>
              <w:bottom w:w="0" w:type="dxa"/>
            </w:tcMar>
            <w:tcW w:w="250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Windows</w:t>
            </w:r>
            <w:r>
              <w:rPr>
                <w:rFonts w:ascii="宋体" w:hAnsi="Calibri" w:cs="Courier New"/>
                <w:szCs w:val="24"/>
              </w:rPr>
            </w:r>
            <w:r/>
          </w:p>
        </w:tc>
        <w:tc>
          <w:tcPr>
            <w:tcW w:w="2388" w:type="dxa"/>
            <w:vAlign w:val="top"/>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适配麒麟和统信UOS等主流国产化操作系统</w:t>
            </w:r>
            <w:r>
              <w:rPr>
                <w:rFonts w:ascii="宋体" w:hAnsi="Calibri" w:cs="Courier New"/>
                <w:szCs w:val="24"/>
              </w:rPr>
            </w:r>
            <w:r/>
          </w:p>
        </w:tc>
      </w:tr>
      <w:tr>
        <w:trPr>
          <w:cantSplit/>
          <w:trHeight w:val="280"/>
        </w:trPr>
        <w:tc>
          <w:tcPr>
            <w:tcW w:w="1576" w:type="dxa"/>
            <w:vAlign w:val="center"/>
            <w:vMerge w:val="continue"/>
            <w:textDirection w:val="lrTb"/>
            <w:noWrap w:val="false"/>
          </w:tcPr>
          <w:p>
            <w:pPr>
              <w:pStyle w:val="748"/>
              <w:spacing w:line="400" w:lineRule="exact"/>
              <w:widowControl/>
              <w:rPr>
                <w:rFonts w:ascii="宋体" w:hAnsi="Calibri" w:cs="Courier New"/>
                <w:b/>
                <w:bCs/>
                <w:szCs w:val="24"/>
              </w:rPr>
            </w:pPr>
            <w:r>
              <w:rPr>
                <w:rFonts w:ascii="宋体" w:hAnsi="Calibri" w:cs="Courier New"/>
                <w:b/>
                <w:bCs/>
                <w:szCs w:val="24"/>
              </w:rPr>
            </w:r>
            <w:r/>
          </w:p>
        </w:tc>
        <w:tc>
          <w:tcPr>
            <w:tcMar>
              <w:left w:w="15" w:type="dxa"/>
              <w:top w:w="15" w:type="dxa"/>
              <w:right w:w="15" w:type="dxa"/>
              <w:bottom w:w="0" w:type="dxa"/>
            </w:tcMar>
            <w:tcW w:w="184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浏览器</w:t>
            </w:r>
            <w:r>
              <w:rPr>
                <w:rFonts w:ascii="宋体" w:hAnsi="Calibri" w:cs="Courier New"/>
                <w:szCs w:val="24"/>
              </w:rPr>
            </w:r>
            <w:r/>
          </w:p>
        </w:tc>
        <w:tc>
          <w:tcPr>
            <w:tcMar>
              <w:left w:w="15" w:type="dxa"/>
              <w:top w:w="15" w:type="dxa"/>
              <w:right w:w="15" w:type="dxa"/>
              <w:bottom w:w="0" w:type="dxa"/>
            </w:tcMar>
            <w:tcW w:w="250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Chrome/360</w:t>
            </w:r>
            <w:r>
              <w:rPr>
                <w:rFonts w:ascii="宋体" w:hAnsi="Calibri" w:cs="Courier New"/>
                <w:szCs w:val="24"/>
              </w:rPr>
            </w:r>
            <w:r/>
          </w:p>
        </w:tc>
        <w:tc>
          <w:tcPr>
            <w:tcW w:w="2388" w:type="dxa"/>
            <w:vAlign w:val="top"/>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适配奇安信安全浏览器等主流国产化浏览器</w:t>
            </w:r>
            <w:r>
              <w:rPr>
                <w:rFonts w:ascii="宋体" w:hAnsi="Calibri" w:cs="Courier New"/>
                <w:szCs w:val="24"/>
              </w:rPr>
            </w:r>
            <w:r/>
          </w:p>
        </w:tc>
      </w:tr>
      <w:tr>
        <w:trPr>
          <w:cantSplit/>
          <w:trHeight w:val="280"/>
        </w:trPr>
        <w:tc>
          <w:tcPr>
            <w:tcW w:w="1576" w:type="dxa"/>
            <w:vAlign w:val="center"/>
            <w:vMerge w:val="continue"/>
            <w:textDirection w:val="lrTb"/>
            <w:noWrap w:val="false"/>
          </w:tcPr>
          <w:p>
            <w:pPr>
              <w:pStyle w:val="748"/>
              <w:spacing w:line="400" w:lineRule="exact"/>
              <w:widowControl/>
              <w:rPr>
                <w:rFonts w:ascii="宋体" w:hAnsi="Calibri" w:cs="Courier New"/>
                <w:b/>
                <w:bCs/>
                <w:szCs w:val="24"/>
              </w:rPr>
            </w:pPr>
            <w:r>
              <w:rPr>
                <w:rFonts w:ascii="宋体" w:hAnsi="Calibri" w:cs="Courier New"/>
                <w:b/>
                <w:bCs/>
                <w:szCs w:val="24"/>
              </w:rPr>
            </w:r>
            <w:r/>
          </w:p>
        </w:tc>
        <w:tc>
          <w:tcPr>
            <w:tcMar>
              <w:left w:w="15" w:type="dxa"/>
              <w:top w:w="15" w:type="dxa"/>
              <w:right w:w="15" w:type="dxa"/>
              <w:bottom w:w="0" w:type="dxa"/>
            </w:tcMar>
            <w:tcW w:w="184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办公软件</w:t>
            </w:r>
            <w:r>
              <w:rPr>
                <w:rFonts w:ascii="宋体" w:hAnsi="Calibri" w:cs="Courier New"/>
                <w:szCs w:val="24"/>
              </w:rPr>
            </w:r>
            <w:r/>
          </w:p>
        </w:tc>
        <w:tc>
          <w:tcPr>
            <w:tcMar>
              <w:left w:w="15" w:type="dxa"/>
              <w:top w:w="15" w:type="dxa"/>
              <w:right w:w="15" w:type="dxa"/>
              <w:bottom w:w="0" w:type="dxa"/>
            </w:tcMar>
            <w:tcW w:w="250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MS Office/NTKO/WPS</w:t>
            </w:r>
            <w:r>
              <w:rPr>
                <w:rFonts w:ascii="宋体" w:hAnsi="Calibri" w:cs="Courier New"/>
                <w:szCs w:val="24"/>
              </w:rPr>
            </w:r>
            <w:r/>
          </w:p>
        </w:tc>
        <w:tc>
          <w:tcPr>
            <w:tcW w:w="2388"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适配WPS、永中Office等主流国产化办公软件</w:t>
            </w:r>
            <w:r>
              <w:rPr>
                <w:rFonts w:ascii="宋体" w:hAnsi="Calibri" w:cs="Courier New"/>
                <w:szCs w:val="24"/>
              </w:rPr>
            </w:r>
            <w:r/>
          </w:p>
        </w:tc>
      </w:tr>
    </w:tbl>
    <w:p>
      <w:pPr>
        <w:pStyle w:val="748"/>
        <w:ind w:firstLine="420"/>
        <w:spacing w:line="400" w:lineRule="exact"/>
        <w:widowControl/>
        <w:rPr>
          <w:rFonts w:ascii="宋体" w:hAnsi="Calibri" w:cs="Courier New"/>
          <w:szCs w:val="24"/>
        </w:rPr>
      </w:pPr>
      <w:r>
        <w:rPr>
          <w:rFonts w:hint="eastAsia" w:ascii="宋体" w:hAnsi="Calibri" w:cs="Courier New"/>
          <w:szCs w:val="24"/>
        </w:rPr>
        <w:t xml:space="preserve">备注：最终适配产品选型须依据“省政务云资源统筹”与“业务系统适配最优”双重原则确定，供应商须配合采购人完成在最终指定环境下的适配与部署工作。重大项目服务管理平台适配改造完成后需支持Windows等非国产化操作系统访问使用。</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四、服务要求</w:t>
      </w:r>
      <w:r>
        <w:rPr>
          <w:rFonts w:ascii="宋体" w:hAnsi="Calibri" w:cs="Courier New"/>
          <w:b/>
          <w:bCs/>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（一）保密要求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ascii="宋体" w:hAnsi="Calibri" w:cs="Courier New"/>
          <w:szCs w:val="24"/>
        </w:rPr>
        <w:t xml:space="preserve">1.</w:t>
      </w:r>
      <w:r>
        <w:rPr>
          <w:rFonts w:hint="eastAsia" w:ascii="宋体" w:hAnsi="Calibri" w:cs="Courier New"/>
          <w:szCs w:val="24"/>
        </w:rPr>
        <w:t xml:space="preserve">资料保密：供应商应对项目技术文件以及由采购人提供的所有内部资料、技术文档、数据和信息予以保密；供应商须与采购人签订保密协议并严格遵守，未经采购人书面许可，供应商不得以任何形式向第三方透露本项目标书、技术方案等内容。</w:t>
      </w:r>
      <w:r>
        <w:rPr>
          <w:rFonts w:ascii="宋体" w:hAnsi="Calibri" w:cs="Courier New"/>
          <w:szCs w:val="24"/>
        </w:rPr>
      </w:r>
      <w:r/>
    </w:p>
    <w:p>
      <w:pPr>
        <w:pStyle w:val="748"/>
        <w:ind w:firstLine="420"/>
        <w:spacing w:line="400" w:lineRule="exact"/>
        <w:widowControl/>
        <w:rPr>
          <w:rFonts w:ascii="宋体" w:hAnsi="Calibri" w:cs="Courier New"/>
          <w:szCs w:val="24"/>
        </w:rPr>
      </w:pPr>
      <w:r>
        <w:rPr>
          <w:rFonts w:ascii="宋体" w:hAnsi="Calibri" w:cs="Courier New"/>
          <w:szCs w:val="24"/>
        </w:rPr>
        <w:t xml:space="preserve">2.</w:t>
      </w:r>
      <w:r>
        <w:rPr>
          <w:rFonts w:hint="eastAsia" w:ascii="宋体" w:hAnsi="Calibri" w:cs="Courier New"/>
          <w:szCs w:val="24"/>
        </w:rPr>
        <w:t xml:space="preserve">保密协议：供应商服务人员应签订保密协议，协议内容须得到采购人认可，并与合同一并提交给采购人。</w:t>
      </w:r>
      <w:r>
        <w:rPr>
          <w:rFonts w:ascii="宋体" w:hAnsi="Calibri" w:cs="Courier New"/>
          <w:szCs w:val="24"/>
        </w:rPr>
      </w:r>
      <w:r/>
    </w:p>
    <w:p>
      <w:pPr>
        <w:pStyle w:val="748"/>
        <w:ind w:firstLine="420"/>
        <w:spacing w:line="400" w:lineRule="exact"/>
        <w:widowControl/>
        <w:rPr>
          <w:rFonts w:ascii="宋体" w:hAnsi="Calibri" w:cs="Courier New"/>
          <w:szCs w:val="24"/>
        </w:rPr>
      </w:pPr>
      <w:r>
        <w:rPr>
          <w:rFonts w:ascii="宋体" w:hAnsi="Calibri" w:cs="Courier New"/>
          <w:szCs w:val="24"/>
        </w:rPr>
        <w:t xml:space="preserve">3.</w:t>
      </w:r>
      <w:r>
        <w:rPr>
          <w:rFonts w:hint="eastAsia" w:ascii="宋体" w:hAnsi="Calibri" w:cs="Courier New"/>
          <w:szCs w:val="24"/>
        </w:rPr>
        <w:t xml:space="preserve">对接协调：供应商须与现有系统原厂商进行技术对接、协调、联调等，涉及的所有成本已纳入投标报价。</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（二）项目工期要求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2026年12月底前完成适配改造、实施部署、上线运行和履约验收等工作。合同生效且收到发票后10个工作日内预付80%，最终验收合格且收到发票后10个工作日内付20%。</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（三）项目实施团队要求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投标人具有类似项目业绩，具有重大项目管理系统方面的成熟软件，具有软件著作权证书。为保障项目的顺利实施，供应商应合理组建本项目的实施团队，确保有效人力和物力的投入。项目实施团队应由项目负责人、</w:t>
      </w:r>
      <w:r>
        <w:rPr>
          <w:rFonts w:ascii="宋体" w:hAnsi="宋体" w:cs="宋体"/>
          <w:szCs w:val="22"/>
        </w:rPr>
        <w:t xml:space="preserve">项目经理</w:t>
      </w:r>
      <w:r>
        <w:rPr>
          <w:rFonts w:hint="eastAsia" w:ascii="宋体" w:hAnsi="Calibri" w:cs="Courier New"/>
          <w:szCs w:val="24"/>
        </w:rPr>
        <w:t xml:space="preserve">和项目实施其他团队成员组成。</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项目经理须具有丰富的项目管理工作经验，项目经理全程负责本项目工作，不得无故更换，项目组核心成员一经确认，如需变更须征得采购人书面批准。</w:t>
      </w:r>
      <w:r>
        <w:rPr>
          <w:rFonts w:ascii="宋体" w:hAnsi="Calibri" w:cs="Courier New"/>
          <w:szCs w:val="24"/>
        </w:rPr>
      </w:r>
      <w:r/>
    </w:p>
    <w:p>
      <w:pPr>
        <w:pStyle w:val="748"/>
        <w:ind w:firstLine="420"/>
        <w:rPr>
          <w:rFonts w:ascii="Calibri" w:hAnsi="Calibri" w:cs="Arial"/>
          <w:szCs w:val="22"/>
        </w:rPr>
      </w:pPr>
      <w:r>
        <w:rPr>
          <w:rFonts w:ascii="宋体" w:hAnsi="宋体" w:cs="宋体"/>
          <w:szCs w:val="22"/>
        </w:rPr>
        <w:t xml:space="preserve">1、项目负责人证书：</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（1）具有IT服务项目经理证书；</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（2）具有CISP注册信息安全工程师。</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2、项目经理（除项目负责人外）</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（1）具有CISP注册信息安全工程师；</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（2）具有工业互联网工程中级或以上级别专业技术职称证书。</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3、项目组成员（除项目负责人、项目经理外）</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（1）具有信息系统项目管理师证书，</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（2）具有DCMM数据管理师证书，</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（3）具有软件设计师证书，</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（4）具有系统分析师证书，</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（5）具有数据库工程师证书，</w:t>
      </w:r>
      <w:r>
        <w:rPr>
          <w:rFonts w:ascii="Calibri" w:hAnsi="Calibri" w:cs="Arial"/>
          <w:szCs w:val="22"/>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（四）项目管理要求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供应商须提供详细的项目实施方案，建立健全保障项目顺利实施的各项管理制度和质量保证体系，须包含项目进度管理、项目质量管理、项目沟通管理、项目变更管理、项目风险管理。</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（五）项目培训要求</w:t>
      </w:r>
      <w:r>
        <w:rPr>
          <w:rFonts w:ascii="宋体" w:hAnsi="Calibri" w:cs="Courier New"/>
          <w:b/>
          <w:bCs/>
          <w:szCs w:val="24"/>
        </w:rPr>
      </w:r>
      <w:r/>
    </w:p>
    <w:p>
      <w:pPr>
        <w:pStyle w:val="748"/>
        <w:ind w:firstLine="420"/>
        <w:spacing w:line="400" w:lineRule="exact"/>
        <w:widowControl/>
        <w:rPr>
          <w:rFonts w:ascii="宋体" w:hAnsi="Calibri" w:cs="Courier New"/>
          <w:szCs w:val="24"/>
        </w:rPr>
      </w:pPr>
      <w:r/>
      <w:bookmarkStart w:id="195" w:name="_Hlk162012699"/>
      <w:r>
        <w:rPr>
          <w:rFonts w:hint="eastAsia" w:ascii="宋体" w:hAnsi="Calibri" w:cs="Courier New"/>
          <w:szCs w:val="24"/>
        </w:rPr>
        <w:t xml:space="preserve">供应商须免费向采购人及指定的培训对象提供相关培训，以便相关人员熟悉重大项目服务管理平台操作。具体培训要求包括：</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1.培训人员要求：供应商须提供具有相应专业知识、实际工作和教学经验的培训人员，供应商所提供的人员必须具有2年以上的培训工作经验。</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2.培训内容：供应商须为采购人提供包括但不限于下列几个方面的培训：（1）系统业务操作培训；（2）系统管理、维护工具培训；（3）供应商认为必要的其他培训。</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3.培训资料：供应商须负责提供培训所需计划和电子版资料，培训教材包括WORD用户手册、培训PPT，培训所使用的语言和教材必须是中文。用户单位有权在系统内部使用这些培训资料。</w:t>
      </w:r>
      <w:r>
        <w:rPr>
          <w:rFonts w:ascii="宋体" w:hAnsi="Calibri" w:cs="Courier New"/>
          <w:szCs w:val="24"/>
        </w:rPr>
      </w:r>
      <w:r/>
    </w:p>
    <w:p>
      <w:pPr>
        <w:pStyle w:val="748"/>
        <w:ind w:firstLine="422"/>
        <w:spacing w:line="400" w:lineRule="exact"/>
        <w:widowControl/>
        <w:rPr>
          <w:rFonts w:ascii="宋体" w:hAnsi="Calibri" w:cs="Courier New"/>
          <w:b/>
          <w:bCs/>
          <w:szCs w:val="24"/>
        </w:rPr>
      </w:pPr>
      <w:r/>
      <w:bookmarkEnd w:id="195"/>
      <w:r>
        <w:rPr>
          <w:rFonts w:hint="eastAsia" w:ascii="宋体" w:hAnsi="Calibri" w:cs="Courier New"/>
          <w:b/>
          <w:bCs/>
          <w:szCs w:val="24"/>
        </w:rPr>
        <w:t xml:space="preserve">（六）项目验收要求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验收遵循下列标准：</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1.依据采购文件，响应文件以及双方签订的合同进行验收。</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2.提交验收材料，包括：项目实施方案、需求规格说明书、开发概要设计、开发详细设计、数据库设计、用户使用手册、部署手册、系统测试计划、系统测试报告、系统培训计划。</w:t>
      </w:r>
      <w:r>
        <w:rPr>
          <w:rFonts w:ascii="宋体" w:hAnsi="Calibri" w:cs="Courier New"/>
          <w:szCs w:val="24"/>
        </w:rPr>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（七）售后服务要求</w:t>
      </w:r>
      <w:r>
        <w:rPr>
          <w:rFonts w:ascii="宋体" w:hAnsi="Calibri" w:cs="Courier New"/>
          <w:b/>
          <w:bCs/>
          <w:szCs w:val="24"/>
        </w:rPr>
      </w:r>
      <w:r/>
    </w:p>
    <w:p>
      <w:pPr>
        <w:pStyle w:val="748"/>
        <w:ind w:firstLine="420"/>
        <w:spacing w:line="400" w:lineRule="exact"/>
        <w:widowControl/>
        <w:rPr>
          <w:rFonts w:ascii="宋体" w:hAnsi="Calibri" w:cs="Courier New"/>
          <w:szCs w:val="24"/>
        </w:rPr>
      </w:pPr>
      <w:r>
        <w:rPr>
          <w:rFonts w:ascii="宋体" w:hAnsi="Calibri" w:cs="Courier New"/>
          <w:szCs w:val="24"/>
        </w:rPr>
        <w:t xml:space="preserve">1.</w:t>
      </w:r>
      <w:r>
        <w:rPr>
          <w:rFonts w:hint="eastAsia" w:ascii="宋体" w:hAnsi="Calibri" w:cs="Courier New"/>
          <w:szCs w:val="24"/>
        </w:rPr>
        <w:t xml:space="preserve">质保期限与服务范围</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质保期限：自项目最终验收合格之日起，提供1年的免费质保服务。</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服务范围：质保期内，供应商须对因国产化环境适配、代码迁移改造、国密算法集成、数据迁移等工作引发的系统故障、性能异常、兼容性问题承担全部责任，提供无偿修复与优化服务。</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在质保期内，若因国产基础软件（操作系统、数据库、中间件）厂商发布补丁、升级版本或安全加固，导致重大项目服务管理平台出现不兼容、运行异常或性能下降，供应商须无条件负责系统的适配调整与修复，不得拒绝服务或额外收费。</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w:t>
      </w:r>
      <w:r>
        <w:rPr>
          <w:rFonts w:ascii="宋体" w:hAnsi="Calibri" w:cs="Courier New"/>
          <w:szCs w:val="24"/>
        </w:rPr>
        <w:t xml:space="preserve">.</w:t>
      </w:r>
      <w:r>
        <w:rPr>
          <w:rFonts w:hint="eastAsia" w:ascii="宋体" w:hAnsi="Calibri" w:cs="Courier New"/>
          <w:szCs w:val="24"/>
        </w:rPr>
        <w:t xml:space="preserve">故障响应要求</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供应商须建立7×24小时故障响应机制，针对国产化环境特有的兼容性问题（如数据库死锁、内存溢出、国密证书失效、中间件配置异常等），须在1小时内响应，8小时提供解决方案，24小时内完成修复。</w:t>
      </w:r>
      <w:bookmarkEnd w:id="194"/>
      <w:r>
        <w:rPr>
          <w:rFonts w:ascii="宋体" w:hAnsi="Calibri" w:cs="Courier New"/>
          <w:szCs w:val="24"/>
        </w:rPr>
      </w:r>
      <w:r/>
    </w:p>
    <w:p>
      <w:pPr>
        <w:pStyle w:val="748"/>
        <w:ind w:firstLine="422"/>
        <w:jc w:val="left"/>
        <w:keepLines/>
        <w:keepNext/>
        <w:spacing w:line="360" w:lineRule="auto"/>
        <w:rPr>
          <w:rFonts w:ascii="宋体" w:hAnsi="宋体" w:cs="宋体"/>
          <w:b/>
          <w:szCs w:val="22"/>
        </w:rPr>
        <w:outlineLvl w:val="0"/>
      </w:pPr>
      <w:r>
        <w:rPr>
          <w:rFonts w:hint="eastAsia" w:ascii="宋体" w:hAnsi="宋体" w:cs="宋体"/>
          <w:b/>
          <w:szCs w:val="22"/>
        </w:rPr>
        <w:t xml:space="preserve">五</w:t>
      </w:r>
      <w:r>
        <w:rPr>
          <w:rFonts w:ascii="宋体" w:hAnsi="宋体" w:cs="宋体"/>
          <w:b/>
          <w:szCs w:val="22"/>
        </w:rPr>
        <w:t xml:space="preserve">、项目方案要求</w:t>
      </w:r>
      <w:r/>
    </w:p>
    <w:p>
      <w:pPr>
        <w:pStyle w:val="748"/>
        <w:ind w:firstLine="422"/>
        <w:jc w:val="left"/>
        <w:spacing w:line="360" w:lineRule="auto"/>
        <w:rPr>
          <w:rFonts w:ascii="宋体" w:hAnsi="宋体" w:cs="宋体"/>
          <w:szCs w:val="22"/>
        </w:rPr>
      </w:pPr>
      <w:r>
        <w:rPr>
          <w:rFonts w:ascii="宋体" w:hAnsi="宋体" w:cs="宋体"/>
          <w:b/>
          <w:szCs w:val="22"/>
        </w:rPr>
        <w:t xml:space="preserve">（一）现有业务理解</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1.</w:t>
      </w:r>
      <w:r>
        <w:rPr>
          <w:rFonts w:ascii="宋体" w:hAnsi="宋体" w:cs="宋体"/>
          <w:szCs w:val="22"/>
        </w:rPr>
        <w:t xml:space="preserve">对现有系统业务需求</w:t>
      </w:r>
      <w:r>
        <w:rPr>
          <w:rFonts w:hint="eastAsia" w:ascii="宋体" w:hAnsi="宋体" w:cs="宋体"/>
          <w:szCs w:val="22"/>
        </w:rPr>
        <w:t xml:space="preserve">理解：对平台现有业务充分理解并阐述；</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2.对</w:t>
      </w:r>
      <w:r>
        <w:rPr>
          <w:rFonts w:ascii="宋体" w:hAnsi="宋体" w:cs="宋体"/>
          <w:szCs w:val="22"/>
        </w:rPr>
        <w:t xml:space="preserve">建设思路理解</w:t>
      </w:r>
      <w:r>
        <w:rPr>
          <w:rFonts w:hint="eastAsia" w:ascii="宋体" w:hAnsi="宋体" w:cs="宋体"/>
          <w:szCs w:val="22"/>
        </w:rPr>
        <w:t xml:space="preserve">：对现有平台建设背景，建设必要性等逐项阐述；</w:t>
      </w:r>
      <w:r>
        <w:rPr>
          <w:rFonts w:ascii="宋体" w:hAnsi="宋体" w:cs="宋体"/>
          <w:szCs w:val="22"/>
        </w:rPr>
      </w:r>
      <w:r/>
    </w:p>
    <w:p>
      <w:pPr>
        <w:pStyle w:val="748"/>
        <w:ind w:firstLine="420"/>
        <w:jc w:val="left"/>
        <w:spacing w:line="360" w:lineRule="auto"/>
        <w:rPr>
          <w:rFonts w:ascii="Calibri" w:hAnsi="Calibri" w:cs="Arial"/>
          <w:szCs w:val="22"/>
        </w:rPr>
      </w:pPr>
      <w:r>
        <w:rPr>
          <w:rFonts w:hint="eastAsia" w:ascii="宋体" w:hAnsi="宋体" w:cs="宋体"/>
          <w:szCs w:val="22"/>
        </w:rPr>
        <w:t xml:space="preserve">3.对平台技术架构</w:t>
      </w:r>
      <w:r>
        <w:rPr>
          <w:rFonts w:ascii="宋体" w:hAnsi="宋体" w:cs="宋体"/>
          <w:szCs w:val="22"/>
        </w:rPr>
        <w:t xml:space="preserve">理解</w:t>
      </w:r>
      <w:r>
        <w:rPr>
          <w:rFonts w:hint="eastAsia" w:ascii="宋体" w:hAnsi="宋体" w:cs="宋体"/>
          <w:szCs w:val="22"/>
        </w:rPr>
        <w:t xml:space="preserve">：对现有平台技术架构，操作系统，数据库等现状分析逐项阐述；</w:t>
      </w:r>
      <w:r>
        <w:rPr>
          <w:rFonts w:ascii="Calibri" w:hAnsi="Calibri" w:cs="Arial"/>
          <w:szCs w:val="22"/>
        </w:rPr>
      </w:r>
      <w:r/>
    </w:p>
    <w:p>
      <w:pPr>
        <w:pStyle w:val="748"/>
        <w:ind w:firstLine="422"/>
        <w:jc w:val="left"/>
        <w:spacing w:line="360" w:lineRule="auto"/>
        <w:rPr>
          <w:rFonts w:ascii="宋体" w:hAnsi="宋体" w:cs="宋体"/>
          <w:szCs w:val="22"/>
        </w:rPr>
      </w:pPr>
      <w:r>
        <w:rPr>
          <w:rFonts w:ascii="宋体" w:hAnsi="宋体" w:cs="宋体"/>
          <w:b/>
          <w:szCs w:val="22"/>
        </w:rPr>
        <w:t xml:space="preserve">（二）总体设计方案</w:t>
      </w:r>
      <w:r>
        <w:rPr>
          <w:rFonts w:ascii="宋体" w:hAnsi="宋体" w:cs="宋体"/>
          <w:szCs w:val="22"/>
        </w:rPr>
      </w:r>
      <w:r/>
    </w:p>
    <w:p>
      <w:pPr>
        <w:pStyle w:val="748"/>
        <w:ind w:firstLine="420"/>
        <w:jc w:val="left"/>
        <w:spacing w:line="360" w:lineRule="auto"/>
        <w:rPr>
          <w:rFonts w:ascii="宋体" w:hAnsi="宋体" w:cs="宋体"/>
          <w:szCs w:val="22"/>
        </w:rPr>
      </w:pPr>
      <w:r>
        <w:rPr>
          <w:rFonts w:ascii="宋体" w:hAnsi="宋体" w:cs="宋体"/>
          <w:szCs w:val="22"/>
        </w:rPr>
        <w:t xml:space="preserve">总体设计方案需要包括</w:t>
      </w:r>
      <w:r>
        <w:rPr>
          <w:rFonts w:hint="eastAsia" w:ascii="宋体" w:hAnsi="宋体" w:cs="宋体"/>
          <w:szCs w:val="22"/>
        </w:rPr>
        <w:t xml:space="preserve">架构设计</w:t>
      </w:r>
      <w:r>
        <w:rPr>
          <w:rFonts w:ascii="宋体" w:hAnsi="宋体" w:cs="宋体"/>
          <w:szCs w:val="22"/>
        </w:rPr>
        <w:t xml:space="preserve">、</w:t>
      </w:r>
      <w:r>
        <w:rPr>
          <w:rFonts w:hint="eastAsia" w:ascii="宋体" w:hAnsi="宋体" w:cs="宋体"/>
          <w:szCs w:val="22"/>
        </w:rPr>
        <w:t xml:space="preserve">数据库设计</w:t>
      </w:r>
      <w:r>
        <w:rPr>
          <w:rFonts w:ascii="宋体" w:hAnsi="宋体" w:cs="宋体"/>
          <w:szCs w:val="22"/>
        </w:rPr>
        <w:t xml:space="preserve">、</w:t>
      </w:r>
      <w:r>
        <w:rPr>
          <w:rFonts w:hint="eastAsia" w:ascii="宋体" w:hAnsi="宋体" w:cs="宋体"/>
          <w:szCs w:val="22"/>
        </w:rPr>
        <w:t xml:space="preserve">功能模块设计</w:t>
      </w:r>
      <w:r>
        <w:rPr>
          <w:rFonts w:ascii="宋体" w:hAnsi="宋体" w:cs="宋体"/>
          <w:szCs w:val="22"/>
        </w:rPr>
        <w:t xml:space="preserve">等</w:t>
      </w:r>
      <w:r>
        <w:rPr>
          <w:rFonts w:hint="eastAsia" w:ascii="宋体" w:hAnsi="宋体" w:cs="宋体"/>
          <w:szCs w:val="22"/>
        </w:rPr>
        <w:t xml:space="preserve">。</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1.架构设计：对系统的逻辑与分层架构，技术选型，部署架构等进行阐述；</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2.数据库设计：对数据库表结构，数据流向，数据备份等进行阐述；</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3.系统部署设计：对系统网络架构，部署方式等进行阐述；</w:t>
      </w:r>
      <w:r>
        <w:rPr>
          <w:rFonts w:ascii="宋体" w:hAnsi="宋体" w:cs="宋体"/>
          <w:szCs w:val="22"/>
        </w:rPr>
      </w:r>
      <w:r/>
    </w:p>
    <w:p>
      <w:pPr>
        <w:pStyle w:val="748"/>
        <w:ind w:firstLine="422"/>
        <w:jc w:val="left"/>
        <w:spacing w:line="360" w:lineRule="auto"/>
        <w:rPr>
          <w:rFonts w:ascii="宋体" w:hAnsi="宋体" w:cs="宋体"/>
          <w:szCs w:val="22"/>
        </w:rPr>
      </w:pPr>
      <w:r>
        <w:rPr>
          <w:rFonts w:ascii="宋体" w:hAnsi="宋体" w:cs="宋体"/>
          <w:b/>
          <w:szCs w:val="22"/>
        </w:rPr>
        <w:t xml:space="preserve">（三）功能设计方案</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1.功能界面设计：对本分包采购需求第二部分建设内容第三小节终端国产化适配开发中所罗列的所有功能点的功能界面设计进行逐条响应；</w:t>
      </w:r>
      <w:r>
        <w:rPr>
          <w:rFonts w:ascii="宋体" w:hAnsi="宋体" w:cs="宋体"/>
          <w:szCs w:val="22"/>
        </w:rPr>
      </w:r>
      <w:r/>
    </w:p>
    <w:p>
      <w:pPr>
        <w:pStyle w:val="748"/>
        <w:ind w:firstLine="420"/>
        <w:jc w:val="left"/>
        <w:spacing w:line="360" w:lineRule="auto"/>
        <w:rPr>
          <w:rFonts w:ascii="Calibri" w:hAnsi="Calibri" w:cs="Arial"/>
          <w:szCs w:val="22"/>
        </w:rPr>
      </w:pPr>
      <w:r>
        <w:rPr>
          <w:rFonts w:hint="eastAsia" w:ascii="宋体" w:hAnsi="宋体" w:cs="宋体"/>
          <w:szCs w:val="22"/>
        </w:rPr>
        <w:t xml:space="preserve">2.功能实现：对本分包采购需求第二部分建设内容第三小节终端国产化适配开发中所罗列的所有功能点的功能实现进行逐条响应；</w:t>
      </w:r>
      <w:r>
        <w:rPr>
          <w:rFonts w:ascii="Calibri" w:hAnsi="Calibri" w:cs="Arial"/>
          <w:szCs w:val="22"/>
        </w:rPr>
      </w:r>
      <w:r/>
    </w:p>
    <w:p>
      <w:pPr>
        <w:pStyle w:val="748"/>
        <w:ind w:firstLine="422"/>
        <w:jc w:val="left"/>
        <w:spacing w:line="360" w:lineRule="auto"/>
        <w:rPr>
          <w:rFonts w:ascii="宋体" w:hAnsi="宋体" w:cs="宋体"/>
          <w:szCs w:val="22"/>
        </w:rPr>
      </w:pPr>
      <w:r>
        <w:rPr>
          <w:rFonts w:ascii="宋体" w:hAnsi="宋体" w:cs="宋体"/>
          <w:b/>
          <w:szCs w:val="22"/>
        </w:rPr>
        <w:t xml:space="preserve">（四）安全设计方案</w:t>
      </w:r>
      <w:r>
        <w:rPr>
          <w:rFonts w:ascii="宋体" w:hAnsi="宋体" w:cs="宋体"/>
          <w:szCs w:val="22"/>
        </w:rPr>
      </w:r>
      <w:r/>
    </w:p>
    <w:p>
      <w:pPr>
        <w:pStyle w:val="748"/>
        <w:ind w:left="420"/>
        <w:jc w:val="left"/>
        <w:spacing w:line="360" w:lineRule="auto"/>
        <w:rPr>
          <w:rFonts w:ascii="宋体" w:hAnsi="宋体" w:cs="宋体"/>
          <w:szCs w:val="22"/>
        </w:rPr>
      </w:pPr>
      <w:r>
        <w:rPr>
          <w:rFonts w:ascii="宋体" w:hAnsi="宋体" w:cs="宋体"/>
          <w:szCs w:val="22"/>
        </w:rPr>
        <w:t xml:space="preserve">保证平台的系统安全和数据安全，提供的权限管理、身份鉴别、数据加密、安全审计、备份与恢复等设计，是否符合信息系统分级保护、密码应用要求</w:t>
      </w:r>
      <w:r/>
    </w:p>
    <w:p>
      <w:pPr>
        <w:pStyle w:val="748"/>
        <w:ind w:firstLine="420"/>
        <w:jc w:val="left"/>
        <w:spacing w:line="360" w:lineRule="auto"/>
        <w:rPr>
          <w:rFonts w:ascii="宋体" w:hAnsi="宋体" w:cs="宋体"/>
          <w:szCs w:val="22"/>
        </w:rPr>
      </w:pPr>
      <w:r>
        <w:rPr>
          <w:rFonts w:hint="eastAsia" w:ascii="宋体" w:hAnsi="宋体" w:cs="宋体"/>
          <w:szCs w:val="22"/>
        </w:rPr>
        <w:t xml:space="preserve">1.权限管理：针对不同的层级不用的用户进行严格的权限控制；</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2.数据加密：采用数据分级分类传输加密，满足密评要求；</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3.等保要求：</w:t>
      </w:r>
      <w:r>
        <w:rPr>
          <w:rFonts w:hint="eastAsia" w:ascii="宋体" w:hAnsi="Calibri" w:cs="Courier New"/>
          <w:szCs w:val="24"/>
        </w:rPr>
        <w:t xml:space="preserve">满足国家信息安全等级保护三级要求的安全防护体系设计</w:t>
      </w:r>
      <w:r>
        <w:rPr>
          <w:rFonts w:hint="eastAsia" w:ascii="宋体" w:hAnsi="宋体" w:cs="宋体"/>
          <w:szCs w:val="22"/>
        </w:rPr>
        <w:t xml:space="preserve">；</w:t>
      </w:r>
      <w:r>
        <w:rPr>
          <w:rFonts w:ascii="宋体" w:hAnsi="宋体" w:cs="宋体"/>
          <w:szCs w:val="22"/>
        </w:rPr>
      </w:r>
      <w:r/>
    </w:p>
    <w:p>
      <w:pPr>
        <w:pStyle w:val="748"/>
        <w:ind w:firstLine="422"/>
        <w:jc w:val="left"/>
        <w:spacing w:line="360" w:lineRule="auto"/>
        <w:rPr>
          <w:rFonts w:ascii="宋体" w:hAnsi="宋体" w:cs="宋体"/>
          <w:szCs w:val="22"/>
        </w:rPr>
      </w:pPr>
      <w:r>
        <w:rPr>
          <w:rFonts w:ascii="宋体" w:hAnsi="宋体" w:cs="宋体"/>
          <w:b/>
          <w:szCs w:val="22"/>
        </w:rPr>
        <w:t xml:space="preserve">（五）数据迁移方案</w:t>
      </w:r>
      <w:r>
        <w:rPr>
          <w:rFonts w:ascii="宋体" w:hAnsi="宋体" w:cs="宋体"/>
          <w:szCs w:val="22"/>
        </w:rPr>
      </w:r>
      <w:r/>
    </w:p>
    <w:p>
      <w:pPr>
        <w:pStyle w:val="748"/>
        <w:ind w:left="420"/>
        <w:jc w:val="left"/>
        <w:spacing w:line="360" w:lineRule="auto"/>
        <w:rPr>
          <w:rFonts w:ascii="宋体" w:hAnsi="宋体" w:cs="宋体"/>
          <w:szCs w:val="22"/>
        </w:rPr>
      </w:pPr>
      <w:r>
        <w:rPr>
          <w:rFonts w:ascii="宋体" w:hAnsi="宋体" w:cs="宋体"/>
          <w:szCs w:val="22"/>
        </w:rPr>
        <w:t xml:space="preserve">提供的数据迁移方案，保证数据完整、顺利迁移</w:t>
      </w:r>
      <w:r/>
    </w:p>
    <w:p>
      <w:pPr>
        <w:pStyle w:val="748"/>
        <w:ind w:firstLine="420"/>
        <w:jc w:val="left"/>
        <w:spacing w:line="360" w:lineRule="auto"/>
        <w:rPr>
          <w:rFonts w:ascii="宋体" w:hAnsi="宋体" w:cs="宋体"/>
          <w:szCs w:val="22"/>
        </w:rPr>
      </w:pPr>
      <w:r>
        <w:rPr>
          <w:rFonts w:hint="eastAsia" w:ascii="宋体" w:hAnsi="宋体" w:cs="宋体"/>
          <w:szCs w:val="22"/>
        </w:rPr>
        <w:t xml:space="preserve">1.迁移方案：包含数据现状梳理，数据迁移策略；</w:t>
      </w:r>
      <w:r>
        <w:rPr>
          <w:rFonts w:ascii="宋体" w:hAnsi="宋体" w:cs="宋体"/>
          <w:szCs w:val="22"/>
        </w:rPr>
      </w:r>
      <w:r/>
    </w:p>
    <w:p>
      <w:pPr>
        <w:pStyle w:val="748"/>
        <w:ind w:firstLine="420"/>
        <w:jc w:val="left"/>
        <w:spacing w:line="360" w:lineRule="auto"/>
        <w:rPr>
          <w:rFonts w:ascii="Calibri" w:hAnsi="Calibri" w:cs="Arial"/>
          <w:szCs w:val="22"/>
        </w:rPr>
      </w:pPr>
      <w:r>
        <w:rPr>
          <w:rFonts w:hint="eastAsia" w:ascii="宋体" w:hAnsi="宋体" w:cs="宋体"/>
          <w:szCs w:val="22"/>
        </w:rPr>
        <w:t xml:space="preserve">2.迁移保障：包含数据验证方案，安全测试与回退机制；</w:t>
      </w:r>
      <w:r>
        <w:rPr>
          <w:rFonts w:ascii="Calibri" w:hAnsi="Calibri" w:cs="Arial"/>
          <w:szCs w:val="22"/>
        </w:rPr>
      </w:r>
      <w:r/>
    </w:p>
    <w:p>
      <w:pPr>
        <w:pStyle w:val="748"/>
        <w:ind w:firstLine="422"/>
        <w:jc w:val="left"/>
        <w:spacing w:line="360" w:lineRule="auto"/>
        <w:rPr>
          <w:rFonts w:ascii="宋体" w:hAnsi="宋体" w:cs="宋体"/>
          <w:szCs w:val="22"/>
        </w:rPr>
      </w:pPr>
      <w:r>
        <w:rPr>
          <w:rFonts w:ascii="宋体" w:hAnsi="宋体" w:cs="宋体"/>
          <w:b/>
          <w:szCs w:val="22"/>
        </w:rPr>
        <w:t xml:space="preserve">（六）项目实施方案</w:t>
      </w:r>
      <w:r>
        <w:rPr>
          <w:rFonts w:ascii="宋体" w:hAnsi="宋体" w:cs="宋体"/>
          <w:szCs w:val="22"/>
        </w:rPr>
      </w:r>
      <w:r/>
    </w:p>
    <w:p>
      <w:pPr>
        <w:pStyle w:val="748"/>
        <w:ind w:left="420"/>
        <w:jc w:val="left"/>
        <w:spacing w:line="360" w:lineRule="auto"/>
        <w:rPr>
          <w:rFonts w:ascii="宋体" w:hAnsi="宋体" w:cs="宋体"/>
          <w:szCs w:val="22"/>
        </w:rPr>
      </w:pPr>
      <w:r>
        <w:rPr>
          <w:rFonts w:ascii="宋体" w:hAnsi="宋体" w:cs="宋体"/>
          <w:szCs w:val="22"/>
        </w:rPr>
        <w:t xml:space="preserve">包括项目组织管理、项目计划、质量管理、风险管理等</w:t>
      </w:r>
      <w:r/>
    </w:p>
    <w:p>
      <w:pPr>
        <w:pStyle w:val="748"/>
        <w:ind w:firstLine="420"/>
        <w:jc w:val="left"/>
        <w:spacing w:line="360" w:lineRule="auto"/>
        <w:rPr>
          <w:rFonts w:ascii="宋体" w:hAnsi="宋体" w:cs="宋体"/>
          <w:szCs w:val="22"/>
        </w:rPr>
      </w:pPr>
      <w:r>
        <w:rPr>
          <w:rFonts w:hint="eastAsia" w:ascii="宋体" w:hAnsi="宋体" w:cs="宋体"/>
          <w:szCs w:val="22"/>
        </w:rPr>
        <w:t xml:space="preserve">1.组织管理：对项目组织管理方案进行阐述；</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2.项目计划：制定规范的项目计划，确保项目如期交付；</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4.质量管理：制定质量管理方案，确保项目保质保量完成；</w:t>
      </w:r>
      <w:r>
        <w:rPr>
          <w:rFonts w:ascii="宋体" w:hAnsi="宋体" w:cs="宋体"/>
          <w:szCs w:val="22"/>
        </w:rPr>
      </w:r>
      <w:r/>
    </w:p>
    <w:p>
      <w:pPr>
        <w:pStyle w:val="748"/>
        <w:ind w:firstLine="420"/>
        <w:jc w:val="left"/>
        <w:spacing w:line="360" w:lineRule="auto"/>
        <w:rPr>
          <w:rFonts w:ascii="Calibri" w:hAnsi="Calibri" w:cs="Arial"/>
          <w:szCs w:val="22"/>
        </w:rPr>
      </w:pPr>
      <w:r>
        <w:rPr>
          <w:rFonts w:hint="eastAsia" w:ascii="宋体" w:hAnsi="宋体" w:cs="宋体"/>
          <w:szCs w:val="22"/>
        </w:rPr>
        <w:t xml:space="preserve">4.风险管理：制定风险管理应对计划；</w:t>
      </w:r>
      <w:r>
        <w:rPr>
          <w:rFonts w:ascii="Calibri" w:hAnsi="Calibri" w:cs="Arial"/>
          <w:szCs w:val="22"/>
        </w:rPr>
      </w:r>
      <w:r/>
    </w:p>
    <w:p>
      <w:pPr>
        <w:pStyle w:val="748"/>
        <w:ind w:firstLine="422"/>
        <w:jc w:val="left"/>
        <w:spacing w:line="360" w:lineRule="auto"/>
        <w:rPr>
          <w:rFonts w:ascii="宋体" w:hAnsi="宋体" w:cs="宋体"/>
          <w:szCs w:val="22"/>
        </w:rPr>
      </w:pPr>
      <w:r>
        <w:rPr>
          <w:rFonts w:ascii="宋体" w:hAnsi="宋体" w:cs="宋体"/>
          <w:b/>
          <w:szCs w:val="22"/>
        </w:rPr>
        <w:t xml:space="preserve">（七）售后服务方案</w:t>
      </w:r>
      <w:r>
        <w:rPr>
          <w:rFonts w:ascii="宋体" w:hAnsi="宋体" w:cs="宋体"/>
          <w:szCs w:val="22"/>
        </w:rPr>
      </w:r>
      <w:r/>
    </w:p>
    <w:p>
      <w:pPr>
        <w:pStyle w:val="748"/>
        <w:ind w:left="420"/>
        <w:jc w:val="left"/>
        <w:spacing w:line="360" w:lineRule="auto"/>
        <w:rPr>
          <w:rFonts w:ascii="宋体" w:hAnsi="宋体" w:cs="宋体"/>
          <w:szCs w:val="22"/>
        </w:rPr>
      </w:pPr>
      <w:r>
        <w:rPr>
          <w:rFonts w:hint="eastAsia" w:ascii="宋体" w:hAnsi="宋体" w:cs="宋体"/>
          <w:szCs w:val="22"/>
        </w:rPr>
        <w:t xml:space="preserve">根据第四章采购需求第四项服务要求中“（七）售后服务要求”响应本项目的售后服务方案</w:t>
      </w:r>
      <w:r>
        <w:rPr>
          <w:rFonts w:ascii="宋体" w:hAnsi="宋体" w:cs="宋体"/>
          <w:szCs w:val="22"/>
        </w:rPr>
      </w:r>
      <w:r/>
    </w:p>
    <w:p>
      <w:pPr>
        <w:pStyle w:val="748"/>
        <w:ind w:firstLine="420"/>
        <w:spacing w:line="400" w:lineRule="exact"/>
        <w:widowControl/>
        <w:rPr>
          <w:rFonts w:ascii="宋体" w:hAnsi="Calibri" w:cs="Courier New"/>
          <w:szCs w:val="24"/>
        </w:rPr>
      </w:pPr>
      <w:r>
        <w:rPr>
          <w:rFonts w:ascii="宋体" w:hAnsi="Calibri" w:cs="Courier New"/>
          <w:szCs w:val="24"/>
        </w:rPr>
        <w:t xml:space="preserve">1.</w:t>
      </w:r>
      <w:r>
        <w:rPr>
          <w:rFonts w:hint="eastAsia" w:ascii="宋体" w:hAnsi="Calibri" w:cs="Courier New"/>
          <w:szCs w:val="24"/>
        </w:rPr>
        <w:t xml:space="preserve">质保期限与服务范围</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质保期限：自项目最终验收合格之日起，提供1年的免费质保服务。</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服务范围：质保期内，供应商须对因国产化环境适配、代码迁移改造、国密算法集成、数据迁移等工作引发的系统故障、性能异常、兼容性问题承担全部责任，提供无偿修复与优化服务。</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在质保期内，若因国产基础软件（操作系统、数据库、中间件）厂商发布补丁、升级版本或安全加固，导致重大项目服务管理平台出现不兼容、运行异常或性能下降，供应商须无条件负责系统的适配调整与修复，不得拒绝服务或额外收费。</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w:t>
      </w:r>
      <w:r>
        <w:rPr>
          <w:rFonts w:ascii="宋体" w:hAnsi="Calibri" w:cs="Courier New"/>
          <w:szCs w:val="24"/>
        </w:rPr>
        <w:t xml:space="preserve">.</w:t>
      </w:r>
      <w:r>
        <w:rPr>
          <w:rFonts w:hint="eastAsia" w:ascii="宋体" w:hAnsi="Calibri" w:cs="Courier New"/>
          <w:szCs w:val="24"/>
        </w:rPr>
        <w:t xml:space="preserve">故障响应要求</w:t>
      </w:r>
      <w:r>
        <w:rPr>
          <w:rFonts w:ascii="宋体" w:hAnsi="Calibri" w:cs="Courier New"/>
          <w:szCs w:val="24"/>
        </w:rPr>
      </w:r>
      <w:r/>
    </w:p>
    <w:p>
      <w:pPr>
        <w:pStyle w:val="748"/>
        <w:ind w:firstLine="420"/>
        <w:spacing w:line="400" w:lineRule="exact"/>
        <w:widowControl/>
        <w:rPr>
          <w:rFonts w:ascii="Calibri" w:hAnsi="Calibri" w:cs="Arial"/>
          <w:szCs w:val="22"/>
        </w:rPr>
      </w:pPr>
      <w:r>
        <w:rPr>
          <w:rFonts w:hint="eastAsia" w:ascii="宋体" w:hAnsi="Calibri" w:cs="Courier New"/>
          <w:szCs w:val="24"/>
        </w:rPr>
        <w:t xml:space="preserve">供应商须建立7×24小时故障响应机制，针对国产化环境特有的兼容性问题（如数据库死锁、内存溢出、国密证书失效、中间件配置异常等），须在1小时内响应，8小时提供解决方案，24小时内完成修复。</w:t>
      </w:r>
      <w:r>
        <w:rPr>
          <w:rFonts w:ascii="Calibri" w:hAnsi="Calibri" w:cs="Arial"/>
          <w:szCs w:val="22"/>
        </w:rPr>
      </w:r>
      <w:r/>
    </w:p>
    <w:p>
      <w:pPr>
        <w:pStyle w:val="748"/>
        <w:ind w:firstLine="422"/>
        <w:jc w:val="left"/>
        <w:spacing w:line="360" w:lineRule="auto"/>
        <w:rPr>
          <w:rFonts w:ascii="宋体" w:hAnsi="宋体" w:cs="宋体"/>
          <w:szCs w:val="22"/>
        </w:rPr>
      </w:pPr>
      <w:r>
        <w:rPr>
          <w:rFonts w:ascii="宋体" w:hAnsi="宋体" w:cs="宋体"/>
          <w:b/>
          <w:szCs w:val="22"/>
        </w:rPr>
        <w:t xml:space="preserve">（八）人员管理方案</w:t>
      </w:r>
      <w:r>
        <w:rPr>
          <w:rFonts w:ascii="宋体" w:hAnsi="宋体" w:cs="宋体"/>
          <w:szCs w:val="22"/>
        </w:rPr>
      </w:r>
      <w:r/>
    </w:p>
    <w:p>
      <w:pPr>
        <w:pStyle w:val="748"/>
        <w:ind w:left="420"/>
        <w:jc w:val="left"/>
        <w:spacing w:line="360" w:lineRule="auto"/>
        <w:rPr>
          <w:rFonts w:ascii="宋体" w:hAnsi="宋体" w:cs="宋体"/>
          <w:szCs w:val="22"/>
        </w:rPr>
      </w:pPr>
      <w:r>
        <w:rPr>
          <w:rFonts w:hint="eastAsia" w:ascii="宋体" w:hAnsi="宋体" w:cs="宋体"/>
          <w:szCs w:val="22"/>
        </w:rPr>
        <w:t xml:space="preserve">根据第四章采购需求第四项服务要求中“（三）项目实施团队要求”响应本项目的人员管理方案</w:t>
      </w:r>
      <w:r>
        <w:rPr>
          <w:rFonts w:ascii="宋体" w:hAnsi="宋体" w:cs="宋体"/>
          <w:szCs w:val="22"/>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1.人员配备：项目实施团队应由项目负责人、项目经理和项目实施其他团队成员组成。请就人员数量、职务及具体工作职责任务提出详尽的分配方案，明确组织架构。</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人员管理：项目经理须具有丰富的项目管理工作经验，项目经理全程负责本项目工作，不得无故更换，项目组核心成员一经确认，如需变更须征得采购人书面批准。同时，提出完备的针对本项目的人员管理制度措施。</w:t>
      </w:r>
      <w:r>
        <w:rPr>
          <w:rFonts w:ascii="宋体" w:hAnsi="Calibri" w:cs="Courier New"/>
          <w:szCs w:val="24"/>
        </w:rPr>
      </w:r>
      <w:r/>
    </w:p>
    <w:p>
      <w:pPr>
        <w:pStyle w:val="748"/>
        <w:ind w:firstLine="422"/>
        <w:jc w:val="left"/>
        <w:spacing w:line="360" w:lineRule="auto"/>
        <w:rPr>
          <w:rFonts w:ascii="宋体" w:hAnsi="宋体" w:cs="宋体"/>
          <w:szCs w:val="22"/>
        </w:rPr>
      </w:pPr>
      <w:r>
        <w:rPr>
          <w:rFonts w:ascii="宋体" w:hAnsi="宋体" w:cs="宋体"/>
          <w:b/>
          <w:szCs w:val="22"/>
        </w:rPr>
        <w:t xml:space="preserve">（九）培训方案</w:t>
      </w:r>
      <w:r>
        <w:rPr>
          <w:rFonts w:ascii="宋体" w:hAnsi="宋体" w:cs="宋体"/>
          <w:szCs w:val="22"/>
        </w:rPr>
      </w:r>
      <w:r/>
    </w:p>
    <w:p>
      <w:pPr>
        <w:pStyle w:val="748"/>
        <w:ind w:left="420"/>
        <w:jc w:val="left"/>
        <w:spacing w:line="360" w:lineRule="auto"/>
        <w:rPr>
          <w:rFonts w:ascii="宋体" w:hAnsi="宋体" w:cs="宋体"/>
          <w:szCs w:val="22"/>
        </w:rPr>
      </w:pPr>
      <w:r>
        <w:rPr>
          <w:rFonts w:hint="eastAsia" w:ascii="宋体" w:hAnsi="宋体" w:cs="宋体"/>
          <w:szCs w:val="22"/>
        </w:rPr>
        <w:t xml:space="preserve">根据第四章采购需求第四项服务要求中“（五）项目培训要求”响应本项目的培训管理方案；</w:t>
      </w:r>
      <w:r>
        <w:rPr>
          <w:rFonts w:ascii="宋体" w:hAnsi="宋体" w:cs="宋体"/>
          <w:szCs w:val="22"/>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供应商须免费向采购人及指定的培训对象提供相关培训，以便相关人员熟悉重大项目服务管理平台操作。具体培训要求包括：</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1.培训人员要求：供应商须提供具有相应专业知识、实际工作和教学经验的培训人员，供应商所提供的人员必须具有2年以上的培训工作经验。</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2.培训内容：供应商须为采购人提供包括但不限于下列几个方面的培训：（1）系统业务操作培训；（2）系统管理、维护工具培训；（3）供应商认为必要的其他培训。</w:t>
      </w:r>
      <w:r>
        <w:rPr>
          <w:rFonts w:ascii="宋体" w:hAnsi="Calibri" w:cs="Courier New"/>
          <w:szCs w:val="24"/>
        </w:rPr>
      </w:r>
      <w:r/>
    </w:p>
    <w:p>
      <w:pPr>
        <w:pStyle w:val="748"/>
        <w:ind w:firstLine="420"/>
        <w:spacing w:line="400" w:lineRule="exact"/>
        <w:widowControl/>
        <w:rPr>
          <w:rFonts w:ascii="Calibri" w:hAnsi="Calibri" w:cs="Arial"/>
          <w:szCs w:val="22"/>
        </w:rPr>
      </w:pPr>
      <w:r>
        <w:rPr>
          <w:rFonts w:hint="eastAsia" w:ascii="宋体" w:hAnsi="Calibri" w:cs="Courier New"/>
          <w:szCs w:val="24"/>
        </w:rPr>
        <w:t xml:space="preserve">3.培训资料：供应商须负责提供培训所需计划和电子版资料，培训教材包括WORD用户手册、培训PPT，培训所使用的语言和教材必须是中文。用户单位有权在系统内部使用这些培训资料。</w:t>
      </w:r>
      <w:r>
        <w:rPr>
          <w:rFonts w:ascii="Calibri" w:hAnsi="Calibri" w:cs="Arial"/>
          <w:szCs w:val="22"/>
        </w:rPr>
      </w:r>
      <w:r/>
    </w:p>
    <w:p>
      <w:pPr>
        <w:pStyle w:val="748"/>
        <w:ind w:firstLine="422"/>
        <w:jc w:val="left"/>
        <w:spacing w:line="360" w:lineRule="auto"/>
        <w:rPr>
          <w:rFonts w:ascii="宋体" w:hAnsi="宋体" w:cs="宋体"/>
          <w:szCs w:val="22"/>
        </w:rPr>
      </w:pPr>
      <w:r>
        <w:rPr>
          <w:rFonts w:ascii="宋体" w:hAnsi="宋体" w:cs="宋体"/>
          <w:b/>
          <w:szCs w:val="22"/>
        </w:rPr>
        <w:t xml:space="preserve">（十）保密方案</w:t>
      </w:r>
      <w:r>
        <w:rPr>
          <w:rFonts w:ascii="宋体" w:hAnsi="宋体" w:cs="宋体"/>
          <w:szCs w:val="22"/>
        </w:rPr>
      </w:r>
      <w:r/>
    </w:p>
    <w:p>
      <w:pPr>
        <w:pStyle w:val="748"/>
        <w:ind w:left="420"/>
        <w:jc w:val="left"/>
        <w:spacing w:line="360" w:lineRule="auto"/>
        <w:rPr>
          <w:rFonts w:ascii="宋体" w:hAnsi="宋体" w:cs="宋体"/>
          <w:szCs w:val="22"/>
        </w:rPr>
      </w:pPr>
      <w:r>
        <w:rPr>
          <w:rFonts w:hint="eastAsia" w:ascii="宋体" w:hAnsi="宋体" w:cs="宋体"/>
          <w:szCs w:val="22"/>
        </w:rPr>
        <w:t xml:space="preserve">根据第四章采购需求第四项服务要求中“（一）保密要求”响应本项目的保密方案；</w:t>
      </w:r>
      <w:r>
        <w:rPr>
          <w:rFonts w:ascii="宋体" w:hAnsi="宋体" w:cs="宋体"/>
          <w:szCs w:val="22"/>
        </w:rPr>
      </w:r>
      <w:r/>
    </w:p>
    <w:p>
      <w:pPr>
        <w:pStyle w:val="748"/>
        <w:ind w:firstLine="420"/>
        <w:spacing w:line="400" w:lineRule="exact"/>
        <w:widowControl/>
        <w:rPr>
          <w:rFonts w:ascii="宋体" w:hAnsi="Calibri" w:cs="Courier New"/>
          <w:szCs w:val="24"/>
        </w:rPr>
      </w:pPr>
      <w:r>
        <w:rPr>
          <w:rFonts w:ascii="宋体" w:hAnsi="Calibri" w:cs="Courier New"/>
          <w:szCs w:val="24"/>
        </w:rPr>
        <w:t xml:space="preserve">1.</w:t>
      </w:r>
      <w:r>
        <w:rPr>
          <w:rFonts w:hint="eastAsia" w:ascii="宋体" w:hAnsi="Calibri" w:cs="Courier New"/>
          <w:szCs w:val="24"/>
        </w:rPr>
        <w:t xml:space="preserve">资料保密：供应商应对项目技术文件以及由采购人提供的所有内部资料、技术文档、数据和信息予以保密；供应商须与采购人签订保密协议并严格遵守，未经采购人书面许可，供应商不得以任何形式向第三方透露本项目标书、技术方案等内容。</w:t>
      </w:r>
      <w:r>
        <w:rPr>
          <w:rFonts w:ascii="宋体" w:hAnsi="Calibri" w:cs="Courier New"/>
          <w:szCs w:val="24"/>
        </w:rPr>
      </w:r>
      <w:r/>
    </w:p>
    <w:p>
      <w:pPr>
        <w:pStyle w:val="748"/>
        <w:ind w:firstLine="420"/>
        <w:spacing w:line="400" w:lineRule="exact"/>
        <w:widowControl/>
        <w:rPr>
          <w:rFonts w:ascii="宋体" w:hAnsi="Calibri" w:cs="Courier New"/>
          <w:szCs w:val="24"/>
        </w:rPr>
      </w:pPr>
      <w:r>
        <w:rPr>
          <w:rFonts w:ascii="宋体" w:hAnsi="Calibri" w:cs="Courier New"/>
          <w:szCs w:val="24"/>
        </w:rPr>
        <w:t xml:space="preserve">2.</w:t>
      </w:r>
      <w:r>
        <w:rPr>
          <w:rFonts w:hint="eastAsia" w:ascii="宋体" w:hAnsi="Calibri" w:cs="Courier New"/>
          <w:szCs w:val="24"/>
        </w:rPr>
        <w:t xml:space="preserve">保密协议：供应商服务人员应签订保密协议，协议内容须得到采购人认可，并与合同一并提交给采购人。</w:t>
      </w:r>
      <w:r>
        <w:rPr>
          <w:rFonts w:ascii="宋体" w:hAnsi="Calibri" w:cs="Courier New"/>
          <w:szCs w:val="24"/>
        </w:rPr>
      </w:r>
      <w:r/>
    </w:p>
    <w:p>
      <w:pPr>
        <w:pStyle w:val="748"/>
        <w:ind w:firstLine="420"/>
        <w:spacing w:line="400" w:lineRule="exact"/>
        <w:widowControl/>
        <w:rPr>
          <w:rFonts w:ascii="Calibri" w:hAnsi="Calibri" w:cs="Arial"/>
          <w:szCs w:val="22"/>
        </w:rPr>
      </w:pPr>
      <w:r>
        <w:rPr>
          <w:rFonts w:ascii="宋体" w:hAnsi="Calibri" w:cs="Courier New"/>
          <w:szCs w:val="24"/>
        </w:rPr>
        <w:t xml:space="preserve">3.</w:t>
      </w:r>
      <w:r>
        <w:rPr>
          <w:rFonts w:hint="eastAsia" w:ascii="宋体" w:hAnsi="Calibri" w:cs="Courier New"/>
          <w:szCs w:val="24"/>
        </w:rPr>
        <w:t xml:space="preserve">对接协调：供应商须与现有系统原厂商进行技术对接、协调、联调等，涉及的所有成本已纳入投标报价。</w:t>
      </w:r>
      <w:r>
        <w:rPr>
          <w:rFonts w:ascii="Calibri" w:hAnsi="Calibri" w:cs="Arial"/>
          <w:szCs w:val="22"/>
        </w:rPr>
      </w:r>
      <w:r/>
    </w:p>
    <w:p>
      <w:pPr>
        <w:pStyle w:val="748"/>
        <w:ind w:firstLine="422"/>
        <w:jc w:val="left"/>
        <w:spacing w:line="360" w:lineRule="auto"/>
        <w:rPr>
          <w:rFonts w:ascii="宋体" w:hAnsi="宋体" w:cs="宋体"/>
          <w:szCs w:val="22"/>
        </w:rPr>
      </w:pPr>
      <w:r>
        <w:rPr>
          <w:rFonts w:ascii="宋体" w:hAnsi="宋体" w:cs="宋体"/>
          <w:b/>
          <w:szCs w:val="22"/>
        </w:rPr>
        <w:t xml:space="preserve">（十一）测试方案</w:t>
      </w:r>
      <w:r>
        <w:rPr>
          <w:rFonts w:ascii="宋体" w:hAnsi="宋体" w:cs="宋体"/>
          <w:szCs w:val="22"/>
        </w:rPr>
      </w:r>
      <w:r/>
    </w:p>
    <w:p>
      <w:pPr>
        <w:pStyle w:val="748"/>
        <w:ind w:left="420"/>
        <w:jc w:val="left"/>
        <w:spacing w:line="360" w:lineRule="auto"/>
        <w:rPr>
          <w:rFonts w:ascii="宋体" w:hAnsi="宋体" w:cs="宋体"/>
          <w:szCs w:val="22"/>
          <w:shd w:val="clear" w:color="auto" w:fill="ffffff"/>
        </w:rPr>
      </w:pPr>
      <w:r>
        <w:rPr>
          <w:rFonts w:ascii="宋体" w:hAnsi="宋体" w:cs="宋体"/>
          <w:szCs w:val="22"/>
          <w:shd w:val="clear" w:color="auto" w:fill="ffffff"/>
        </w:rPr>
        <w:t xml:space="preserve">包括测试目标，测试范围，测试流程，测试用例，测试结论等</w:t>
      </w:r>
      <w:r/>
    </w:p>
    <w:p>
      <w:pPr>
        <w:pStyle w:val="748"/>
        <w:ind w:firstLine="420"/>
        <w:jc w:val="left"/>
        <w:spacing w:line="360" w:lineRule="auto"/>
        <w:rPr>
          <w:rFonts w:ascii="宋体" w:hAnsi="宋体" w:cs="宋体"/>
          <w:szCs w:val="22"/>
        </w:rPr>
      </w:pPr>
      <w:r>
        <w:rPr>
          <w:rFonts w:hint="eastAsia" w:ascii="宋体" w:hAnsi="宋体" w:cs="宋体"/>
          <w:szCs w:val="22"/>
        </w:rPr>
        <w:t xml:space="preserve">1.测试目标：方案需明确本次测试达到的目标和衡量标准；</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2.测试范围：方案需明确本次测试的业务范围和数据范围；</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3.测试流程：制定科学的测试流程，确保测试的完整性；</w:t>
      </w:r>
      <w:r>
        <w:rPr>
          <w:rFonts w:ascii="宋体" w:hAnsi="宋体" w:cs="宋体"/>
          <w:szCs w:val="22"/>
        </w:rPr>
      </w:r>
      <w:r/>
    </w:p>
    <w:p>
      <w:pPr>
        <w:pStyle w:val="748"/>
        <w:ind w:firstLine="420"/>
        <w:jc w:val="left"/>
        <w:spacing w:line="360" w:lineRule="auto"/>
        <w:rPr>
          <w:rFonts w:ascii="宋体" w:hAnsi="宋体" w:cs="宋体"/>
          <w:szCs w:val="22"/>
        </w:rPr>
      </w:pPr>
      <w:r>
        <w:rPr>
          <w:rFonts w:hint="eastAsia" w:ascii="宋体" w:hAnsi="宋体" w:cs="宋体"/>
          <w:szCs w:val="22"/>
        </w:rPr>
        <w:t xml:space="preserve">4.测试用例：编制测试用例，覆盖所有测试场景；</w:t>
      </w:r>
      <w:r>
        <w:rPr>
          <w:rFonts w:ascii="宋体" w:hAnsi="宋体" w:cs="宋体"/>
          <w:szCs w:val="22"/>
        </w:rPr>
      </w:r>
      <w:r/>
    </w:p>
    <w:p>
      <w:pPr>
        <w:pStyle w:val="748"/>
        <w:ind w:firstLine="420"/>
        <w:jc w:val="left"/>
        <w:spacing w:line="360" w:lineRule="auto"/>
        <w:rPr>
          <w:rFonts w:ascii="Calibri" w:hAnsi="Calibri" w:cs="Arial"/>
          <w:szCs w:val="22"/>
        </w:rPr>
      </w:pPr>
      <w:r>
        <w:rPr>
          <w:rFonts w:hint="eastAsia" w:ascii="宋体" w:hAnsi="宋体" w:cs="宋体"/>
          <w:szCs w:val="22"/>
        </w:rPr>
        <w:t xml:space="preserve">5.测试结论：针对测试结果输出完整的测试报告；</w:t>
      </w:r>
      <w:r>
        <w:rPr>
          <w:rFonts w:ascii="Calibri" w:hAnsi="Calibri" w:cs="Arial"/>
          <w:szCs w:val="22"/>
        </w:rPr>
      </w:r>
      <w:r/>
    </w:p>
    <w:p>
      <w:pPr>
        <w:pStyle w:val="748"/>
        <w:ind w:firstLine="422"/>
        <w:jc w:val="left"/>
        <w:spacing w:line="360" w:lineRule="auto"/>
        <w:rPr>
          <w:rFonts w:ascii="宋体" w:hAnsi="宋体" w:cs="宋体"/>
          <w:szCs w:val="22"/>
        </w:rPr>
      </w:pPr>
      <w:r>
        <w:rPr>
          <w:rFonts w:ascii="宋体" w:hAnsi="宋体" w:cs="宋体"/>
          <w:b/>
          <w:szCs w:val="22"/>
        </w:rPr>
        <w:t xml:space="preserve">（十二）验收方案</w:t>
      </w:r>
      <w:r>
        <w:rPr>
          <w:rFonts w:ascii="宋体" w:hAnsi="宋体" w:cs="宋体"/>
          <w:szCs w:val="22"/>
        </w:rPr>
      </w:r>
      <w:r/>
    </w:p>
    <w:p>
      <w:pPr>
        <w:pStyle w:val="748"/>
        <w:ind w:left="420"/>
        <w:jc w:val="left"/>
        <w:spacing w:line="360" w:lineRule="auto"/>
        <w:rPr>
          <w:rFonts w:ascii="宋体" w:hAnsi="宋体" w:cs="宋体"/>
          <w:szCs w:val="22"/>
        </w:rPr>
      </w:pPr>
      <w:r>
        <w:rPr>
          <w:rFonts w:hint="eastAsia" w:ascii="宋体" w:hAnsi="宋体" w:cs="宋体"/>
          <w:szCs w:val="22"/>
        </w:rPr>
        <w:t xml:space="preserve">根据第四章采购需求第四项服务要求中“（六）项目验收要求”响应本项目的验收管理方案；</w:t>
      </w:r>
      <w:r>
        <w:rPr>
          <w:rFonts w:ascii="宋体" w:hAnsi="宋体" w:cs="宋体"/>
          <w:szCs w:val="22"/>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验收遵循下列标准：</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1.验收流程：依据采购文件，响应文件以及双方签订的合同规定的流程进行验收。</w:t>
      </w:r>
      <w:r>
        <w:rPr>
          <w:rFonts w:ascii="宋体" w:hAnsi="Calibri" w:cs="Courier New"/>
          <w:szCs w:val="24"/>
        </w:rPr>
      </w:r>
      <w:r/>
    </w:p>
    <w:p>
      <w:pPr>
        <w:pStyle w:val="748"/>
        <w:ind w:firstLine="420"/>
        <w:spacing w:line="400" w:lineRule="exact"/>
        <w:widowControl/>
        <w:rPr>
          <w:rFonts w:ascii="Calibri" w:hAnsi="Calibri" w:cs="Arial"/>
          <w:szCs w:val="22"/>
        </w:rPr>
      </w:pPr>
      <w:r>
        <w:rPr>
          <w:rFonts w:hint="eastAsia" w:ascii="宋体" w:hAnsi="Calibri" w:cs="Courier New"/>
          <w:szCs w:val="24"/>
        </w:rPr>
        <w:t xml:space="preserve">2.提交验收材料，包括：项目实施方案、需求规格说明书、开发概要设计、开发详细设计、数据库设计、用户使用手册、部署手册、系统测试计划、系统测试报告、系统培训计划。</w:t>
      </w:r>
      <w:r>
        <w:rPr>
          <w:rFonts w:ascii="Calibri" w:hAnsi="Calibri" w:cs="Arial"/>
          <w:szCs w:val="22"/>
        </w:rPr>
      </w:r>
      <w:r/>
    </w:p>
    <w:p>
      <w:pPr>
        <w:pStyle w:val="748"/>
        <w:ind w:firstLine="482"/>
        <w:jc w:val="left"/>
        <w:spacing w:line="400" w:lineRule="exact"/>
        <w:rPr>
          <w:rFonts w:hint="eastAsia"/>
          <w:b/>
          <w:sz w:val="24"/>
          <w:szCs w:val="24"/>
        </w:rPr>
      </w:pPr>
      <w:r>
        <w:rPr>
          <w:rFonts w:hint="eastAsia"/>
          <w:b/>
          <w:sz w:val="24"/>
          <w:szCs w:val="24"/>
        </w:rPr>
      </w:r>
      <w:r/>
    </w:p>
    <w:p>
      <w:pPr>
        <w:pStyle w:val="748"/>
        <w:jc w:val="center"/>
        <w:spacing w:line="400" w:lineRule="exact"/>
        <w:rPr>
          <w:rFonts w:hint="eastAsia"/>
          <w:b/>
          <w:sz w:val="24"/>
          <w:szCs w:val="24"/>
          <w:lang w:val="zh-CN"/>
        </w:rPr>
      </w:pPr>
      <w:r>
        <w:rPr>
          <w:rFonts w:hint="eastAsia"/>
          <w:b/>
          <w:sz w:val="24"/>
          <w:szCs w:val="24"/>
          <w:lang w:val="zh-CN"/>
        </w:rPr>
      </w:r>
      <w:r/>
    </w:p>
    <w:p>
      <w:pPr>
        <w:pStyle w:val="748"/>
        <w:jc w:val="center"/>
        <w:spacing w:line="400" w:lineRule="exact"/>
        <w:rPr>
          <w:rFonts w:hint="eastAsia"/>
          <w:b/>
          <w:sz w:val="24"/>
          <w:szCs w:val="24"/>
          <w:lang w:val="zh-CN"/>
        </w:rPr>
      </w:pPr>
      <w:r>
        <w:rPr>
          <w:rFonts w:hint="eastAsia"/>
          <w:b/>
          <w:sz w:val="24"/>
          <w:szCs w:val="24"/>
          <w:lang w:val="zh-CN"/>
        </w:rPr>
        <w:t xml:space="preserve">采购包三：省发改委语音通知系统国产化适配改造</w:t>
      </w:r>
      <w:r/>
    </w:p>
    <w:p>
      <w:pPr>
        <w:pStyle w:val="748"/>
        <w:ind w:firstLine="422"/>
        <w:spacing w:line="400" w:lineRule="exact"/>
        <w:widowControl/>
        <w:rPr>
          <w:rFonts w:ascii="宋体" w:hAnsi="Calibri" w:cs="Courier New"/>
          <w:b/>
          <w:bCs/>
          <w:szCs w:val="24"/>
        </w:rPr>
      </w:pPr>
      <w:r>
        <w:rPr>
          <w:rFonts w:hint="eastAsia" w:ascii="宋体" w:hAnsi="Calibri" w:cs="Courier New"/>
          <w:b/>
          <w:bCs/>
          <w:szCs w:val="24"/>
        </w:rPr>
        <w:t xml:space="preserve">1、项目概述</w:t>
      </w:r>
      <w:r>
        <w:rPr>
          <w:rFonts w:ascii="宋体" w:hAnsi="Calibri" w:cs="Courier New"/>
          <w:b/>
          <w:bCs/>
          <w:szCs w:val="24"/>
        </w:rPr>
      </w:r>
      <w:r/>
    </w:p>
    <w:p>
      <w:pPr>
        <w:pStyle w:val="748"/>
        <w:ind w:firstLine="422"/>
        <w:spacing w:line="400" w:lineRule="exact"/>
        <w:widowControl/>
        <w:rPr>
          <w:rFonts w:ascii="宋体" w:hAnsi="Calibri" w:cs="Courier New"/>
          <w:szCs w:val="24"/>
        </w:rPr>
      </w:pPr>
      <w:r>
        <w:rPr>
          <w:rFonts w:hint="eastAsia" w:ascii="宋体" w:hAnsi="Calibri" w:cs="Courier New"/>
          <w:szCs w:val="24"/>
        </w:rPr>
        <w:t xml:space="preserve">省发改委语音通知系统国产化适配改造工作主要涉及系统能在国产化基础软硬件环境、办公套件下正常运行。</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省发改委语音通知系统国产化适配，系统的客户终端需要使用国产化客户端，实际以当地采购目录中选定的国产化终端为准，预装由中国信息安全测评中心发布的安全可靠测评结果公告中列举的桌面操作系统，原省发改委语音通知系统运行环境因终端的变化，本次将从芯片、操作系统、浏览器、前台页面、中间件、数据库方面开始具体的改造工作。</w:t>
      </w:r>
      <w:r>
        <w:rPr>
          <w:rFonts w:ascii="宋体" w:hAnsi="Calibri" w:cs="Courier New"/>
          <w:szCs w:val="24"/>
        </w:rPr>
      </w:r>
      <w:r/>
    </w:p>
    <w:p>
      <w:pPr>
        <w:pStyle w:val="748"/>
        <w:ind w:firstLine="420"/>
        <w:spacing w:line="400" w:lineRule="exact"/>
        <w:widowControl/>
        <w:rPr>
          <w:rFonts w:ascii="宋体" w:hAnsi="Calibri" w:cs="Courier New"/>
          <w:b/>
          <w:bCs/>
          <w:szCs w:val="24"/>
        </w:rPr>
      </w:pPr>
      <w:r>
        <w:rPr>
          <w:rFonts w:ascii="宋体" w:hAnsi="Calibri" w:cs="Courier New"/>
          <w:b/>
          <w:bCs/>
          <w:szCs w:val="24"/>
        </w:rPr>
        <w:t xml:space="preserve">2</w:t>
      </w:r>
      <w:r>
        <w:rPr>
          <w:rFonts w:hint="eastAsia" w:ascii="宋体" w:hAnsi="Calibri" w:cs="Courier New"/>
          <w:b/>
          <w:bCs/>
          <w:szCs w:val="24"/>
        </w:rPr>
        <w:t xml:space="preserve">、适配需求</w:t>
      </w:r>
      <w:r>
        <w:rPr>
          <w:rFonts w:ascii="宋体" w:hAnsi="Calibri" w:cs="Courier New"/>
          <w:b/>
          <w:bCs/>
          <w:szCs w:val="24"/>
        </w:rPr>
      </w:r>
      <w:r/>
    </w:p>
    <w:p>
      <w:pPr>
        <w:pStyle w:val="748"/>
        <w:ind w:firstLine="422"/>
        <w:spacing w:line="400" w:lineRule="exact"/>
        <w:widowControl/>
        <w:rPr>
          <w:rFonts w:ascii="宋体" w:hAnsi="Calibri" w:cs="Courier New"/>
          <w:b/>
          <w:szCs w:val="24"/>
        </w:rPr>
      </w:pPr>
      <w:r/>
      <w:bookmarkStart w:id="196" w:name="OLE_LINK125"/>
      <w:r/>
      <w:bookmarkStart w:id="197" w:name="_Toc79681041"/>
      <w:r/>
      <w:bookmarkStart w:id="198" w:name="_Toc12644"/>
      <w:r/>
      <w:bookmarkStart w:id="199" w:name="OLE_LINK124"/>
      <w:r>
        <w:rPr>
          <w:rFonts w:hint="eastAsia" w:ascii="宋体" w:hAnsi="宋体" w:cs="Courier New"/>
          <w:b/>
          <w:szCs w:val="24"/>
        </w:rPr>
        <w:t xml:space="preserve">▲</w:t>
      </w:r>
      <w:bookmarkEnd w:id="196"/>
      <w:r/>
      <w:bookmarkEnd w:id="199"/>
      <w:r>
        <w:rPr>
          <w:rFonts w:hint="eastAsia" w:ascii="宋体" w:hAnsi="Calibri" w:cs="Courier New"/>
          <w:b/>
          <w:szCs w:val="24"/>
        </w:rPr>
        <w:t xml:space="preserve">（1）基础插件芯片架构适配</w:t>
      </w:r>
      <w:bookmarkEnd w:id="197"/>
      <w:r/>
      <w:bookmarkEnd w:id="198"/>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客户终端需支持由中国信息安全测评中心发布的安全可靠测评结果公告中列举的CPU，例如可以适配鲲鹏、龙芯或者兆芯芯片。</w:t>
      </w:r>
      <w:r>
        <w:rPr>
          <w:rFonts w:ascii="宋体" w:hAnsi="Calibri" w:cs="Courier New"/>
          <w:szCs w:val="24"/>
        </w:rPr>
      </w:r>
      <w:r/>
    </w:p>
    <w:p>
      <w:pPr>
        <w:pStyle w:val="748"/>
        <w:ind w:firstLine="422"/>
        <w:spacing w:line="400" w:lineRule="exact"/>
        <w:widowControl/>
        <w:rPr>
          <w:rFonts w:ascii="宋体" w:hAnsi="Calibri" w:cs="Courier New"/>
          <w:b/>
          <w:szCs w:val="24"/>
        </w:rPr>
      </w:pPr>
      <w:r/>
      <w:bookmarkStart w:id="200" w:name="_Toc17999"/>
      <w:r/>
      <w:bookmarkStart w:id="201" w:name="_Toc79681042"/>
      <w:r>
        <w:rPr>
          <w:rFonts w:hint="eastAsia" w:ascii="宋体" w:hAnsi="宋体" w:cs="Courier New"/>
          <w:b/>
          <w:szCs w:val="24"/>
        </w:rPr>
        <w:t xml:space="preserve">▲</w:t>
      </w:r>
      <w:r>
        <w:rPr>
          <w:rFonts w:hint="eastAsia" w:ascii="宋体" w:hAnsi="Calibri" w:cs="Courier New"/>
          <w:b/>
          <w:szCs w:val="24"/>
        </w:rPr>
        <w:t xml:space="preserve">（2）信息化平台国产化操作系统适配</w:t>
      </w:r>
      <w:bookmarkEnd w:id="200"/>
      <w:r/>
      <w:bookmarkEnd w:id="201"/>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客户终端需支持适配由中国信息安全测评中心发布的安全可靠测评结果公告中列举的桌面操作系统，例如统信UOSV20、银河麒麟桌面操作系统V10 SP1。</w:t>
      </w:r>
      <w:r>
        <w:rPr>
          <w:rFonts w:ascii="宋体" w:hAnsi="Calibri" w:cs="Courier New"/>
          <w:szCs w:val="24"/>
        </w:rPr>
      </w:r>
      <w:r/>
    </w:p>
    <w:p>
      <w:pPr>
        <w:pStyle w:val="748"/>
        <w:ind w:firstLine="422"/>
        <w:spacing w:line="400" w:lineRule="exact"/>
        <w:widowControl/>
        <w:rPr>
          <w:rFonts w:ascii="宋体" w:hAnsi="Calibri" w:cs="Courier New"/>
          <w:b/>
          <w:szCs w:val="24"/>
        </w:rPr>
      </w:pPr>
      <w:r/>
      <w:bookmarkStart w:id="202" w:name="_Toc79681043"/>
      <w:r/>
      <w:bookmarkStart w:id="203" w:name="_Toc15880"/>
      <w:r>
        <w:rPr>
          <w:rFonts w:hint="eastAsia" w:ascii="宋体" w:hAnsi="宋体" w:cs="Courier New"/>
          <w:b/>
          <w:szCs w:val="24"/>
        </w:rPr>
        <w:t xml:space="preserve">▲</w:t>
      </w:r>
      <w:r>
        <w:rPr>
          <w:rFonts w:hint="eastAsia" w:ascii="宋体" w:hAnsi="Calibri" w:cs="Courier New"/>
          <w:b/>
          <w:szCs w:val="24"/>
        </w:rPr>
        <w:t xml:space="preserve">（3）浏览器适配</w:t>
      </w:r>
      <w:bookmarkEnd w:id="202"/>
      <w:r/>
      <w:bookmarkEnd w:id="203"/>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浏览器是核心基础软件的关键一环，是几乎所有网络信息系统的终端入口和访问平台，也是X</w:t>
      </w:r>
      <w:r>
        <w:rPr>
          <w:rFonts w:ascii="宋体" w:hAnsi="Calibri" w:cs="Courier New"/>
          <w:szCs w:val="24"/>
        </w:rPr>
        <w:t xml:space="preserve">C</w:t>
      </w:r>
      <w:r>
        <w:rPr>
          <w:rFonts w:hint="eastAsia" w:ascii="宋体" w:hAnsi="Calibri" w:cs="Courier New"/>
          <w:szCs w:val="24"/>
        </w:rPr>
        <w:t xml:space="preserve">环境的重要组成部分。目前，通用浏览器存在的问题主要包括：不支持国产密码算法及我国密码的相关标准规范；不支持我国的SSL网络安全协议；不支持我国网络信任体系；未全面支持XC芯片及操作系统。</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省发改委语音通知系统主体均是采用微软IE浏览器实现访问登录，系统需要全面适配国产化浏览器，同时对原采用Activex实现的功能全部通过国产化技术路线实现。现将原先客户终端信息化平台运行的</w:t>
      </w:r>
      <w:r>
        <w:rPr>
          <w:rFonts w:ascii="宋体" w:hAnsi="Calibri" w:cs="Courier New"/>
          <w:szCs w:val="24"/>
        </w:rPr>
        <w:t xml:space="preserve">IE</w:t>
      </w:r>
      <w:r>
        <w:rPr>
          <w:rFonts w:hint="eastAsia" w:ascii="宋体" w:hAnsi="Calibri" w:cs="Courier New"/>
          <w:szCs w:val="24"/>
        </w:rPr>
        <w:t xml:space="preserve">浏览器替换为红莲花安全浏览器、3</w:t>
      </w:r>
      <w:r>
        <w:rPr>
          <w:rFonts w:ascii="宋体" w:hAnsi="Calibri" w:cs="Courier New"/>
          <w:szCs w:val="24"/>
        </w:rPr>
        <w:t xml:space="preserve">60</w:t>
      </w:r>
      <w:r>
        <w:rPr>
          <w:rFonts w:hint="eastAsia" w:ascii="宋体" w:hAnsi="Calibri" w:cs="Courier New"/>
          <w:szCs w:val="24"/>
        </w:rPr>
        <w:t xml:space="preserve">安全浏览器、火狐浏览器</w:t>
      </w:r>
      <w:r>
        <w:rPr>
          <w:rFonts w:ascii="宋体" w:hAnsi="Calibri" w:cs="Courier New"/>
          <w:szCs w:val="24"/>
        </w:rPr>
        <w:t xml:space="preserve">国产化</w:t>
      </w:r>
      <w:r>
        <w:rPr>
          <w:rFonts w:hint="eastAsia" w:ascii="宋体" w:hAnsi="Calibri" w:cs="Courier New"/>
          <w:szCs w:val="24"/>
        </w:rPr>
        <w:t xml:space="preserve">浏览器，并稳定运行。</w:t>
      </w:r>
      <w:r>
        <w:rPr>
          <w:rFonts w:ascii="宋体" w:hAnsi="Calibri" w:cs="Courier New"/>
          <w:szCs w:val="24"/>
        </w:rPr>
      </w:r>
      <w:r/>
    </w:p>
    <w:p>
      <w:pPr>
        <w:pStyle w:val="748"/>
        <w:ind w:firstLine="422"/>
        <w:spacing w:line="400" w:lineRule="exact"/>
        <w:widowControl/>
        <w:rPr>
          <w:rFonts w:ascii="宋体" w:hAnsi="Calibri" w:cs="Courier New"/>
          <w:b/>
          <w:szCs w:val="24"/>
        </w:rPr>
      </w:pPr>
      <w:r/>
      <w:bookmarkStart w:id="204" w:name="_Toc23450"/>
      <w:r>
        <w:rPr>
          <w:rFonts w:hint="eastAsia" w:ascii="宋体" w:hAnsi="宋体" w:cs="Courier New"/>
          <w:b/>
          <w:szCs w:val="24"/>
        </w:rPr>
        <w:t xml:space="preserve">▲</w:t>
      </w:r>
      <w:r>
        <w:rPr>
          <w:rFonts w:hint="eastAsia" w:ascii="宋体" w:hAnsi="Calibri" w:cs="Courier New"/>
          <w:b/>
          <w:szCs w:val="24"/>
        </w:rPr>
        <w:t xml:space="preserve">（4）前台页面H</w:t>
      </w:r>
      <w:r>
        <w:rPr>
          <w:rFonts w:ascii="宋体" w:hAnsi="Calibri" w:cs="Courier New"/>
          <w:b/>
          <w:szCs w:val="24"/>
        </w:rPr>
        <w:t xml:space="preserve">5</w:t>
      </w:r>
      <w:r>
        <w:rPr>
          <w:rFonts w:hint="eastAsia" w:ascii="宋体" w:hAnsi="Calibri" w:cs="Courier New"/>
          <w:b/>
          <w:szCs w:val="24"/>
        </w:rPr>
        <w:t xml:space="preserve">适配</w:t>
      </w:r>
      <w:bookmarkEnd w:id="204"/>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本次将适配国产化浏览器进行完整功能、性能测试。以替代微软IE浏览器，所有html/js/css前台代码和前端控件改造也将在符合H5/ES6/CSS3标准的前提下进行。</w:t>
      </w:r>
      <w:r>
        <w:rPr>
          <w:rFonts w:ascii="宋体" w:hAnsi="Calibri" w:cs="Courier New"/>
          <w:szCs w:val="24"/>
        </w:rPr>
      </w:r>
      <w:r/>
    </w:p>
    <w:tbl>
      <w:tblPr>
        <w:tblW w:w="83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65"/>
        <w:gridCol w:w="1162"/>
        <w:gridCol w:w="1594"/>
        <w:gridCol w:w="3706"/>
      </w:tblGrid>
      <w:tr>
        <w:trPr>
          <w:trHeight w:val="284"/>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748"/>
              <w:spacing w:line="400" w:lineRule="exact"/>
              <w:widowControl/>
              <w:rPr>
                <w:rFonts w:ascii="宋体" w:hAnsi="Calibri" w:cs="Courier New"/>
                <w:b/>
                <w:szCs w:val="24"/>
              </w:rPr>
            </w:pPr>
            <w:r>
              <w:rPr>
                <w:rFonts w:ascii="宋体" w:hAnsi="Calibri" w:cs="Courier New"/>
                <w:b/>
                <w:szCs w:val="24"/>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748"/>
              <w:spacing w:line="400" w:lineRule="exact"/>
              <w:widowControl/>
              <w:rPr>
                <w:rFonts w:ascii="宋体" w:hAnsi="Calibri" w:cs="Courier New"/>
                <w:b/>
                <w:szCs w:val="24"/>
              </w:rPr>
            </w:pPr>
            <w:r>
              <w:rPr>
                <w:rFonts w:ascii="宋体" w:hAnsi="Calibri" w:cs="Courier New"/>
                <w:b/>
                <w:szCs w:val="24"/>
              </w:rPr>
              <w:t xml:space="preserve">功能模块</w:t>
            </w:r>
            <w:r/>
          </w:p>
        </w:tc>
        <w:tc>
          <w:tcPr>
            <w:gridSpan w:val="2"/>
            <w:tcBorders>
              <w:top w:val="single" w:color="000000" w:sz="4" w:space="0"/>
              <w:left w:val="single" w:color="000000" w:sz="4" w:space="0"/>
              <w:bottom w:val="single" w:color="000000" w:sz="4" w:space="0"/>
              <w:right w:val="single" w:color="000000" w:sz="4" w:space="0"/>
            </w:tcBorders>
            <w:tcW w:w="2756" w:type="dxa"/>
            <w:vAlign w:val="center"/>
            <w:textDirection w:val="lrTb"/>
            <w:noWrap w:val="false"/>
          </w:tcPr>
          <w:p>
            <w:pPr>
              <w:pStyle w:val="748"/>
              <w:spacing w:line="400" w:lineRule="exact"/>
              <w:widowControl/>
              <w:rPr>
                <w:rFonts w:ascii="宋体" w:hAnsi="Calibri" w:cs="Courier New"/>
                <w:b/>
                <w:szCs w:val="24"/>
              </w:rPr>
            </w:pPr>
            <w:r>
              <w:rPr>
                <w:rFonts w:ascii="宋体" w:hAnsi="Calibri" w:cs="Courier New"/>
                <w:b/>
                <w:szCs w:val="24"/>
              </w:rPr>
              <w:t xml:space="preserve">详细功能</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b/>
                <w:szCs w:val="24"/>
              </w:rPr>
            </w:pPr>
            <w:r>
              <w:rPr>
                <w:rFonts w:ascii="宋体" w:hAnsi="Calibri" w:cs="Courier New"/>
                <w:b/>
                <w:szCs w:val="24"/>
              </w:rPr>
              <w:t xml:space="preserve">改造事项</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语音通知系统</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项目新建</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自动通知</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手动通知</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释放评委</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专家管理</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专家信息申请</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专家信息审核</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专家帐号管理</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专家证书key管理</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专家指纹录入管理</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专家请假审核管理</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专家单位管理</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专家培训公告</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专家培训记录</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专家专业设置</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专家Excel导入</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r>
        <w:trPr>
          <w:cantSplit/>
          <w:trHeight w:val="284"/>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专家评价</w:t>
            </w:r>
            <w:r/>
          </w:p>
        </w:tc>
        <w:tc>
          <w:tcPr>
            <w:tcBorders>
              <w:top w:val="single" w:color="000000" w:sz="4" w:space="0"/>
              <w:left w:val="single" w:color="000000" w:sz="4" w:space="0"/>
              <w:bottom w:val="single" w:color="000000" w:sz="4" w:space="0"/>
              <w:right w:val="single" w:color="000000" w:sz="4" w:space="0"/>
            </w:tcBorders>
            <w:tcW w:w="3706"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t xml:space="preserve">1、前端页面浏览器H5适配</w:t>
            </w:r>
            <w:r/>
          </w:p>
        </w:tc>
      </w:tr>
    </w:tbl>
    <w:p>
      <w:pPr>
        <w:pStyle w:val="748"/>
        <w:ind w:firstLine="420"/>
        <w:spacing w:line="400" w:lineRule="exact"/>
        <w:widowControl/>
        <w:rPr>
          <w:rFonts w:ascii="宋体" w:hAnsi="Calibri" w:cs="Courier New"/>
          <w:szCs w:val="24"/>
        </w:rPr>
      </w:pPr>
      <w:r>
        <w:rPr>
          <w:rFonts w:ascii="宋体" w:hAnsi="Calibri" w:cs="Courier New"/>
          <w:szCs w:val="24"/>
        </w:rPr>
      </w:r>
      <w:r/>
    </w:p>
    <w:p>
      <w:pPr>
        <w:pStyle w:val="748"/>
        <w:ind w:firstLine="422"/>
        <w:spacing w:line="400" w:lineRule="exact"/>
        <w:widowControl/>
        <w:rPr>
          <w:rFonts w:ascii="宋体" w:hAnsi="Calibri" w:cs="Courier New"/>
          <w:b/>
          <w:szCs w:val="24"/>
        </w:rPr>
      </w:pPr>
      <w:r/>
      <w:bookmarkStart w:id="205" w:name="_Toc24852"/>
      <w:r/>
      <w:bookmarkStart w:id="206" w:name="_Toc79681084"/>
      <w:r>
        <w:rPr>
          <w:rFonts w:hint="eastAsia" w:ascii="宋体" w:hAnsi="宋体" w:cs="Courier New"/>
          <w:b/>
          <w:szCs w:val="24"/>
        </w:rPr>
        <w:t xml:space="preserve">▲</w:t>
      </w:r>
      <w:r>
        <w:rPr>
          <w:rFonts w:hint="eastAsia" w:ascii="宋体" w:hAnsi="Calibri" w:cs="Courier New"/>
          <w:b/>
          <w:szCs w:val="24"/>
        </w:rPr>
        <w:t xml:space="preserve">（5）国产化容器中间件替代</w:t>
      </w:r>
      <w:bookmarkEnd w:id="205"/>
      <w:r/>
      <w:bookmarkEnd w:id="206"/>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将原先信息化平台部署使用的Tomcat替换为国产的中间件软件，例如东方通TongWeb中间件，对信息化平台进行改造适配，确保系统在替换后的中间件上稳定运行。</w:t>
      </w:r>
      <w:r>
        <w:rPr>
          <w:rFonts w:ascii="宋体" w:hAnsi="Calibri" w:cs="Courier New"/>
          <w:szCs w:val="24"/>
        </w:rPr>
      </w:r>
      <w:r/>
    </w:p>
    <w:p>
      <w:pPr>
        <w:pStyle w:val="748"/>
        <w:ind w:firstLine="422"/>
        <w:spacing w:line="400" w:lineRule="exact"/>
        <w:widowControl/>
        <w:rPr>
          <w:rFonts w:ascii="宋体" w:hAnsi="Calibri" w:cs="Courier New"/>
          <w:b/>
          <w:szCs w:val="24"/>
        </w:rPr>
      </w:pPr>
      <w:r/>
      <w:bookmarkStart w:id="207" w:name="_Toc13929"/>
      <w:r/>
      <w:bookmarkStart w:id="208" w:name="_Toc79681085"/>
      <w:r>
        <w:rPr>
          <w:rFonts w:hint="eastAsia" w:ascii="宋体" w:hAnsi="Calibri" w:cs="Courier New"/>
          <w:b/>
          <w:szCs w:val="24"/>
        </w:rPr>
        <w:t xml:space="preserve">（6）国产化数据库替代</w:t>
      </w:r>
      <w:bookmarkEnd w:id="207"/>
      <w:r/>
      <w:bookmarkEnd w:id="208"/>
      <w:r>
        <w:rPr>
          <w:rFonts w:ascii="宋体" w:hAnsi="Calibri" w:cs="Courier New"/>
          <w:b/>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本次省发改委语音通知系统国产化适配改造，需要将原先采用的SQLserver、Oracle、Mysql数据库迁移到符合要求的国产数据库，例如达梦数据库。</w:t>
      </w:r>
      <w:r>
        <w:rPr>
          <w:rFonts w:ascii="宋体" w:hAnsi="Calibri" w:cs="Courier New"/>
          <w:szCs w:val="24"/>
        </w:rPr>
      </w:r>
      <w:r/>
    </w:p>
    <w:p>
      <w:pPr>
        <w:pStyle w:val="748"/>
        <w:ind w:firstLine="422"/>
        <w:spacing w:line="400" w:lineRule="exact"/>
        <w:widowControl/>
        <w:rPr>
          <w:rFonts w:ascii="宋体" w:hAnsi="Calibri" w:cs="Courier New"/>
          <w:bCs/>
          <w:szCs w:val="24"/>
        </w:rPr>
      </w:pPr>
      <w:r>
        <w:rPr>
          <w:rFonts w:hint="eastAsia" w:ascii="宋体" w:hAnsi="宋体" w:cs="Courier New"/>
          <w:b/>
          <w:szCs w:val="24"/>
        </w:rPr>
        <w:t xml:space="preserve">▲</w:t>
      </w:r>
      <w:r>
        <w:rPr>
          <w:rFonts w:hint="eastAsia" w:ascii="宋体" w:hAnsi="Calibri" w:cs="Courier New"/>
          <w:bCs/>
          <w:szCs w:val="24"/>
        </w:rPr>
        <w:t xml:space="preserve">1）表结构适配</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本次改造涉及省发改委语音通知系统，系统数据库均有诸多数据库表，字段类型涵盖字符串、日期时间、数值、布尔和大字段类型。在迁移至达梦数据库的过程中，受达梦的字段长度和页大小的限制，字段类型在达梦数据库与SQLserver、Oracle、Mysql数据库中不一致，所以迁移的过程需要对每个系统数据库逐表核对，确保准确无误。</w:t>
      </w:r>
      <w:r>
        <w:rPr>
          <w:rFonts w:ascii="宋体" w:hAnsi="Calibri" w:cs="Courier New"/>
          <w:bCs/>
          <w:szCs w:val="24"/>
        </w:rPr>
      </w:r>
      <w:r/>
    </w:p>
    <w:p>
      <w:pPr>
        <w:pStyle w:val="748"/>
        <w:ind w:firstLine="422"/>
        <w:spacing w:line="400" w:lineRule="exact"/>
        <w:widowControl/>
        <w:rPr>
          <w:rFonts w:ascii="宋体" w:hAnsi="Calibri" w:cs="Courier New"/>
          <w:bCs/>
          <w:szCs w:val="24"/>
        </w:rPr>
      </w:pPr>
      <w:r>
        <w:rPr>
          <w:rFonts w:hint="eastAsia" w:ascii="宋体" w:hAnsi="宋体" w:cs="Courier New"/>
          <w:b/>
          <w:szCs w:val="24"/>
        </w:rPr>
        <w:t xml:space="preserve">▲</w:t>
      </w:r>
      <w:r>
        <w:rPr>
          <w:rFonts w:hint="eastAsia" w:ascii="宋体" w:hAnsi="Calibri" w:cs="Courier New"/>
          <w:bCs/>
          <w:szCs w:val="24"/>
        </w:rPr>
        <w:t xml:space="preserve">2）</w:t>
      </w:r>
      <w:r>
        <w:rPr>
          <w:rFonts w:ascii="宋体" w:hAnsi="Calibri" w:cs="Courier New"/>
          <w:bCs/>
          <w:szCs w:val="24"/>
        </w:rPr>
        <w:t xml:space="preserve">JDBC</w:t>
      </w:r>
      <w:r>
        <w:rPr>
          <w:rFonts w:hint="eastAsia" w:ascii="宋体" w:hAnsi="Calibri" w:cs="Courier New"/>
          <w:bCs/>
          <w:szCs w:val="24"/>
        </w:rPr>
        <w:t xml:space="preserve">包适配</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JDBC（Java</w:t>
      </w:r>
      <w:r>
        <w:rPr>
          <w:rFonts w:ascii="宋体" w:hAnsi="Calibri" w:cs="Courier New"/>
          <w:bCs/>
          <w:szCs w:val="24"/>
        </w:rPr>
        <w:t xml:space="preserve"> DataBase </w:t>
      </w:r>
      <w:r>
        <w:rPr>
          <w:rFonts w:hint="eastAsia" w:ascii="宋体" w:hAnsi="Calibri" w:cs="Courier New"/>
          <w:bCs/>
          <w:szCs w:val="24"/>
        </w:rPr>
        <w:t xml:space="preserve">Connectivity）是Java语言用来规范客户端访问数据库的应用程序接口，提供查询修改数据库数据的方法。原先的</w:t>
      </w:r>
      <w:r>
        <w:rPr>
          <w:rFonts w:ascii="宋体" w:hAnsi="Calibri" w:cs="Courier New"/>
          <w:bCs/>
          <w:szCs w:val="24"/>
        </w:rPr>
        <w:t xml:space="preserve">JDBC</w:t>
      </w:r>
      <w:r>
        <w:rPr>
          <w:rFonts w:hint="eastAsia" w:ascii="宋体" w:hAnsi="Calibri" w:cs="Courier New"/>
          <w:bCs/>
          <w:szCs w:val="24"/>
        </w:rPr>
        <w:t xml:space="preserve">包只适用于非国产化数据库，需要从框架底层将数据库的</w:t>
      </w:r>
      <w:r>
        <w:rPr>
          <w:rFonts w:ascii="宋体" w:hAnsi="Calibri" w:cs="Courier New"/>
          <w:bCs/>
          <w:szCs w:val="24"/>
        </w:rPr>
        <w:t xml:space="preserve">JDBC</w:t>
      </w:r>
      <w:r>
        <w:rPr>
          <w:rFonts w:hint="eastAsia" w:ascii="宋体" w:hAnsi="Calibri" w:cs="Courier New"/>
          <w:bCs/>
          <w:szCs w:val="24"/>
        </w:rPr>
        <w:t xml:space="preserve">驱动包适配整合，引入达梦</w:t>
      </w:r>
      <w:r>
        <w:rPr>
          <w:rFonts w:ascii="宋体" w:hAnsi="Calibri" w:cs="Courier New"/>
          <w:bCs/>
          <w:szCs w:val="24"/>
        </w:rPr>
        <w:t xml:space="preserve">JDBC</w:t>
      </w:r>
      <w:r>
        <w:rPr>
          <w:rFonts w:hint="eastAsia" w:ascii="宋体" w:hAnsi="Calibri" w:cs="Courier New"/>
          <w:bCs/>
          <w:szCs w:val="24"/>
        </w:rPr>
        <w:t xml:space="preserve">包后，需要对相关数据库访问逻辑进行测试，确保完全适配。</w:t>
      </w:r>
      <w:r>
        <w:rPr>
          <w:rFonts w:ascii="宋体" w:hAnsi="Calibri" w:cs="Courier New"/>
          <w:bCs/>
          <w:szCs w:val="24"/>
        </w:rPr>
      </w:r>
      <w:r/>
    </w:p>
    <w:p>
      <w:pPr>
        <w:pStyle w:val="748"/>
        <w:ind w:firstLine="422"/>
        <w:spacing w:line="400" w:lineRule="exact"/>
        <w:widowControl/>
        <w:rPr>
          <w:rFonts w:ascii="宋体" w:hAnsi="Calibri" w:cs="Courier New"/>
          <w:bCs/>
          <w:szCs w:val="24"/>
        </w:rPr>
      </w:pPr>
      <w:r>
        <w:rPr>
          <w:rFonts w:hint="eastAsia" w:ascii="宋体" w:hAnsi="宋体" w:cs="Courier New"/>
          <w:b/>
          <w:szCs w:val="24"/>
        </w:rPr>
        <w:t xml:space="preserve">▲</w:t>
      </w:r>
      <w:r>
        <w:rPr>
          <w:rFonts w:hint="eastAsia" w:ascii="宋体" w:hAnsi="Calibri" w:cs="Courier New"/>
          <w:bCs/>
          <w:szCs w:val="24"/>
        </w:rPr>
        <w:t xml:space="preserve">3）数据迁移</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本次适配工作，为保证业务的延续开展，需要将原来的数据全部迁移到达梦数据库中，但是迁移过程中会因为达梦的字段长度限制，单行数据只能由8000长度限制原因导致迁移失败，需对出错的字段逐一处理。</w:t>
      </w:r>
      <w:r>
        <w:rPr>
          <w:rFonts w:ascii="宋体" w:hAnsi="Calibri" w:cs="Courier New"/>
          <w:bCs/>
          <w:szCs w:val="24"/>
        </w:rPr>
      </w:r>
      <w:r/>
    </w:p>
    <w:p>
      <w:pPr>
        <w:pStyle w:val="748"/>
        <w:ind w:firstLine="422"/>
        <w:spacing w:line="400" w:lineRule="exact"/>
        <w:widowControl/>
        <w:rPr>
          <w:rFonts w:ascii="宋体" w:hAnsi="Calibri" w:cs="Courier New"/>
          <w:bCs/>
          <w:szCs w:val="24"/>
        </w:rPr>
      </w:pPr>
      <w:r>
        <w:rPr>
          <w:rFonts w:hint="eastAsia" w:ascii="宋体" w:hAnsi="宋体" w:cs="Courier New"/>
          <w:b/>
          <w:szCs w:val="24"/>
        </w:rPr>
        <w:t xml:space="preserve">▲</w:t>
      </w:r>
      <w:r>
        <w:rPr>
          <w:rFonts w:hint="eastAsia" w:ascii="宋体" w:hAnsi="Calibri" w:cs="Courier New"/>
          <w:bCs/>
          <w:szCs w:val="24"/>
        </w:rPr>
        <w:t xml:space="preserve">4）</w:t>
      </w:r>
      <w:r>
        <w:rPr>
          <w:rFonts w:ascii="宋体" w:hAnsi="Calibri" w:cs="Courier New"/>
          <w:bCs/>
          <w:szCs w:val="24"/>
        </w:rPr>
        <w:t xml:space="preserve">SQL</w:t>
      </w:r>
      <w:r>
        <w:rPr>
          <w:rFonts w:hint="eastAsia" w:ascii="宋体" w:hAnsi="Calibri" w:cs="Courier New"/>
          <w:bCs/>
          <w:szCs w:val="24"/>
        </w:rPr>
        <w:t xml:space="preserve">写法修改</w:t>
      </w:r>
      <w:r>
        <w:rPr>
          <w:rFonts w:ascii="宋体" w:hAnsi="Calibri" w:cs="Courier New"/>
          <w:bCs/>
          <w:szCs w:val="24"/>
        </w:rPr>
      </w:r>
      <w:r/>
    </w:p>
    <w:p>
      <w:pPr>
        <w:pStyle w:val="748"/>
        <w:ind w:firstLine="420"/>
        <w:spacing w:line="400" w:lineRule="exact"/>
        <w:widowControl/>
        <w:rPr>
          <w:rFonts w:ascii="宋体" w:hAnsi="Calibri" w:cs="Courier New"/>
          <w:bCs/>
          <w:szCs w:val="24"/>
        </w:rPr>
      </w:pPr>
      <w:r>
        <w:rPr>
          <w:rFonts w:hint="eastAsia" w:ascii="宋体" w:hAnsi="Calibri" w:cs="Courier New"/>
          <w:bCs/>
          <w:szCs w:val="24"/>
        </w:rPr>
        <w:t xml:space="preserve">达梦数据库的语法是以Oracle基础上衍生，现行的数据库迁移到达梦数据库需要对现有的SQL写法进行全盘检查并改写适配，其中在处理时间和使用函数上，需要对不同数据库写不同的</w:t>
      </w:r>
      <w:r>
        <w:rPr>
          <w:rFonts w:ascii="宋体" w:hAnsi="Calibri" w:cs="Courier New"/>
          <w:bCs/>
          <w:szCs w:val="24"/>
        </w:rPr>
        <w:t xml:space="preserve">SQL</w:t>
      </w:r>
      <w:r>
        <w:rPr>
          <w:rFonts w:hint="eastAsia" w:ascii="宋体" w:hAnsi="Calibri" w:cs="Courier New"/>
          <w:bCs/>
          <w:szCs w:val="24"/>
        </w:rPr>
        <w:t xml:space="preserve">。在中心端、会员端系统中，还需要对</w:t>
      </w:r>
      <w:r>
        <w:rPr>
          <w:rFonts w:ascii="宋体" w:hAnsi="Calibri" w:cs="Courier New"/>
          <w:bCs/>
          <w:szCs w:val="24"/>
        </w:rPr>
        <w:t xml:space="preserve">SQL</w:t>
      </w:r>
      <w:r>
        <w:rPr>
          <w:rFonts w:hint="eastAsia" w:ascii="宋体" w:hAnsi="Calibri" w:cs="Courier New"/>
          <w:bCs/>
          <w:szCs w:val="24"/>
        </w:rPr>
        <w:t xml:space="preserve">进行兼容性测试，保障每条</w:t>
      </w:r>
      <w:r>
        <w:rPr>
          <w:rFonts w:ascii="宋体" w:hAnsi="Calibri" w:cs="Courier New"/>
          <w:bCs/>
          <w:szCs w:val="24"/>
        </w:rPr>
        <w:t xml:space="preserve">SQL</w:t>
      </w:r>
      <w:r>
        <w:rPr>
          <w:rFonts w:hint="eastAsia" w:ascii="宋体" w:hAnsi="Calibri" w:cs="Courier New"/>
          <w:bCs/>
          <w:szCs w:val="24"/>
        </w:rPr>
        <w:t xml:space="preserve">都能在达梦数据库中正确执行。</w:t>
      </w:r>
      <w:r>
        <w:rPr>
          <w:rFonts w:ascii="宋体" w:hAnsi="Calibri" w:cs="Courier New"/>
          <w:bCs/>
          <w:szCs w:val="24"/>
        </w:rPr>
      </w:r>
      <w:r/>
    </w:p>
    <w:p>
      <w:pPr>
        <w:pStyle w:val="748"/>
        <w:ind w:firstLine="422"/>
        <w:spacing w:line="400" w:lineRule="exact"/>
        <w:widowControl/>
        <w:rPr>
          <w:rFonts w:ascii="宋体" w:hAnsi="Calibri" w:cs="Courier New"/>
          <w:bCs/>
          <w:szCs w:val="24"/>
        </w:rPr>
      </w:pPr>
      <w:r>
        <w:rPr>
          <w:rFonts w:hint="eastAsia" w:ascii="宋体" w:hAnsi="宋体" w:cs="Courier New"/>
          <w:b/>
          <w:szCs w:val="24"/>
        </w:rPr>
        <w:t xml:space="preserve">▲</w:t>
      </w:r>
      <w:r>
        <w:rPr>
          <w:rFonts w:hint="eastAsia" w:ascii="宋体" w:hAnsi="Calibri" w:cs="Courier New"/>
          <w:bCs/>
          <w:szCs w:val="24"/>
        </w:rPr>
        <w:t xml:space="preserve">5）存储过程和函数迁移</w:t>
      </w:r>
      <w:r>
        <w:rPr>
          <w:rFonts w:ascii="宋体" w:hAnsi="Calibri" w:cs="Courier New"/>
          <w:bCs/>
          <w:szCs w:val="24"/>
        </w:rPr>
      </w:r>
      <w:r/>
    </w:p>
    <w:p>
      <w:pPr>
        <w:pStyle w:val="748"/>
        <w:ind w:firstLine="420"/>
        <w:spacing w:line="400" w:lineRule="exact"/>
        <w:widowControl/>
        <w:rPr>
          <w:rFonts w:hint="eastAsia" w:ascii="宋体" w:hAnsi="Calibri" w:cs="Courier New"/>
          <w:bCs/>
          <w:szCs w:val="24"/>
        </w:rPr>
      </w:pPr>
      <w:r>
        <w:rPr>
          <w:rFonts w:hint="eastAsia" w:ascii="宋体" w:hAnsi="Calibri" w:cs="Courier New"/>
          <w:bCs/>
          <w:szCs w:val="24"/>
        </w:rPr>
        <w:t xml:space="preserve">达梦的迁移工具不能自动迁移存储过程和函数，需要对SQLserver、Oracle、Mysql数据库中的所有存储过程和函数进行手动迁移。迁移过程中，现行数据库的语法要适配达梦的语法，语法之间存在细节上的不同，</w:t>
      </w:r>
      <w:r>
        <w:rPr>
          <w:rFonts w:ascii="宋体" w:hAnsi="Calibri" w:cs="Courier New"/>
          <w:bCs/>
          <w:szCs w:val="24"/>
        </w:rPr>
        <w:t xml:space="preserve">SQLserver</w:t>
      </w:r>
      <w:r>
        <w:rPr>
          <w:rFonts w:hint="eastAsia" w:ascii="宋体" w:hAnsi="Calibri" w:cs="Courier New"/>
          <w:bCs/>
          <w:szCs w:val="24"/>
        </w:rPr>
        <w:t xml:space="preserve">和</w:t>
      </w:r>
      <w:r>
        <w:rPr>
          <w:rFonts w:ascii="宋体" w:hAnsi="Calibri" w:cs="Courier New"/>
          <w:bCs/>
          <w:szCs w:val="24"/>
        </w:rPr>
        <w:t xml:space="preserve">Mysql</w:t>
      </w:r>
      <w:r>
        <w:rPr>
          <w:rFonts w:hint="eastAsia" w:ascii="宋体" w:hAnsi="Calibri" w:cs="Courier New"/>
          <w:bCs/>
          <w:szCs w:val="24"/>
        </w:rPr>
        <w:t xml:space="preserve">的迁移改动较大。</w:t>
      </w:r>
      <w:r/>
    </w:p>
    <w:p>
      <w:pPr>
        <w:pStyle w:val="748"/>
        <w:ind w:firstLine="482"/>
        <w:spacing w:line="400" w:lineRule="exact"/>
        <w:widowControl/>
        <w:rPr>
          <w:rFonts w:ascii="宋体" w:hAnsi="Calibri" w:cs="Courier New"/>
          <w:bCs/>
          <w:szCs w:val="24"/>
        </w:rPr>
        <w:outlineLvl w:val="1"/>
      </w:pPr>
      <w:r>
        <w:rPr>
          <w:rFonts w:ascii="宋体" w:hAnsi="Calibri" w:cs="Courier New"/>
          <w:bCs/>
          <w:szCs w:val="24"/>
        </w:rPr>
        <w:t xml:space="preserve">（</w:t>
      </w:r>
      <w:r>
        <w:rPr>
          <w:rFonts w:hint="eastAsia" w:ascii="宋体" w:hAnsi="宋体" w:cs="宋体"/>
          <w:bCs/>
          <w:szCs w:val="22"/>
        </w:rPr>
        <w:t xml:space="preserve">如任意一条打“▲”的指标出现负偏离按评分标准作扣分处理。</w:t>
      </w:r>
      <w:r>
        <w:rPr>
          <w:rFonts w:ascii="宋体" w:hAnsi="Calibri" w:cs="Courier New"/>
          <w:bCs/>
          <w:szCs w:val="24"/>
        </w:rPr>
        <w:t xml:space="preserve">）</w:t>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3、其他要求</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3.1、保密要求</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投标人必须提供对本项目的保密承诺，签订保密协议，保证对项目实施过程中产生的各类技术文件、信息以及由采购人提供的所有内部资料、技术文档和信息予以保密；未经采购人书面许可，投标人不得以任何形式向第三方透露本项目标书以及本项目的任何内容。</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3.2、项目验收要求</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本项目软件信息化系统功能满足用户需求，系统运行稳定，数据处理正常，文档资料齐全，即可通过验收。</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4、投标人实力</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4.1、投标人需具有有效的ISO9001质量管理体系认证证书，提供证书复印件或扫描件；</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4.2、投标人需具有有效的ISO14001环境管理体系认证证书，提供证书复印件或扫描件；</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4.3、投标人需具有有效的ISO45001职业健康安全管理体系证书，提供证书复印件或扫描件；</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4.4、投标人需具有有效的数据管理能力成熟度证书，提供证书复印件或扫描件。</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4.5、投标人需具有有效的符合《商品售后服务评价体系》国家标准（GB/T27922-2011）的售后服务认证证书，提供证书复印件或扫描件。</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5、投标人业绩</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宋体"/>
          <w:szCs w:val="24"/>
        </w:rPr>
        <w:t xml:space="preserve">自2022年1月1日以来（以合同签订时间为准），投标人具有信息化项目业绩，须提供项目合同关键页复印件或扫描件并加盖投标人公章</w:t>
      </w:r>
      <w:r>
        <w:rPr>
          <w:rFonts w:hint="eastAsia" w:ascii="宋体" w:hAnsi="Calibri" w:cs="Courier New"/>
          <w:szCs w:val="24"/>
        </w:rPr>
        <w:t xml:space="preserve">。</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6、项目实施团队要求</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为保障项目的顺利实施，供应商应合理组建本项目的实施团队，确保有效人力和物力的投入。项目实施团队应由项目经理和项目实施其他团队成员组成，团队总人数不少于2人。</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项目经理须具有丰富的项目管理工作经验，项目经理全程负责本项目工作，不得无故更换，项目组核心成员一经确认，如需变更需征得采购人书面批准。</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项目经理应具有信息系统项目管理师证书，学历本科及以上。</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项目团队其他成员（不含项目经理）（1）本科及以上学历；</w:t>
      </w:r>
      <w:r>
        <w:rPr>
          <w:rFonts w:ascii="宋体" w:hAnsi="Calibri" w:cs="Courier New"/>
          <w:szCs w:val="24"/>
        </w:rPr>
        <w:t xml:space="preserve">（</w:t>
      </w:r>
      <w:r>
        <w:rPr>
          <w:rFonts w:hint="eastAsia" w:ascii="宋体" w:hAnsi="Calibri" w:cs="Courier New"/>
          <w:szCs w:val="24"/>
        </w:rPr>
        <w:t xml:space="preserve">2</w:t>
      </w:r>
      <w:r>
        <w:rPr>
          <w:rFonts w:ascii="宋体" w:hAnsi="Calibri" w:cs="Courier New"/>
          <w:szCs w:val="24"/>
        </w:rPr>
        <w:t xml:space="preserve">）具有</w:t>
      </w:r>
      <w:r>
        <w:rPr>
          <w:rFonts w:hint="eastAsia" w:ascii="宋体" w:hAnsi="Calibri" w:cs="Courier New"/>
          <w:szCs w:val="24"/>
        </w:rPr>
        <w:t xml:space="preserve">软考系统集成项目管理工程师证书或软考软件设计师证书或软考网络工程师证书。</w:t>
      </w:r>
      <w:r>
        <w:rPr>
          <w:rFonts w:ascii="宋体" w:hAnsi="Calibri" w:cs="Courier New"/>
          <w:szCs w:val="24"/>
        </w:rPr>
      </w:r>
      <w:r/>
    </w:p>
    <w:p>
      <w:pPr>
        <w:pStyle w:val="748"/>
        <w:numPr>
          <w:ilvl w:val="0"/>
          <w:numId w:val="13"/>
        </w:numPr>
        <w:ind w:firstLine="420"/>
        <w:spacing w:line="400" w:lineRule="exact"/>
        <w:widowControl/>
        <w:rPr>
          <w:rFonts w:ascii="宋体" w:hAnsi="Calibri" w:cs="Courier New"/>
          <w:szCs w:val="24"/>
        </w:rPr>
      </w:pPr>
      <w:r>
        <w:rPr>
          <w:rFonts w:hint="eastAsia" w:ascii="宋体" w:hAnsi="Calibri" w:cs="Courier New"/>
          <w:szCs w:val="24"/>
        </w:rPr>
        <w:t xml:space="preserve">投标方案编制要求</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供应商须在投标文件中按以下要求逐项编制响应方案，各方案须对照本章相关条款逐项响应，内容完整、细化、可量化。</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7.1、项目需求理解方案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（1）项目背景与建设目标理解：准确阐述平台业务定位、国产化改造政策背景及“合规适配、安全加固、业务稳定、性能优化、长效运维”的建设目标；</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（2）现状分析：对平台现有技术架构及各项功能模块现状进行分析，识别与国产化环境的差距；</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7.2、项目总体设计方案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（1）总体架构与技术架构设计：覆盖芯片、操作系统、浏览器、中间件、数据库等全栈国产化技术选型与架构设计；</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（2）系统部署设计：包含信创环境部署拓扑、网络区域划分及总体性能设计。</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7.4、项目实施方案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投标人须提供详细的项目实施方案，建立健全保障项目顺利实施的各项管理制度和质量保证体系。</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（1）进度计划：自合同签订后至2026年12月底前完成系统的国产化适配改造、上线运行和验收等工作；投标人需提供项目进度计划表，需明确各阶段工作内容、起止时间、交付物及责任人。</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（2）组织与人员分配：投标人需提供本项目组织结构、岗位职责及人员投入计划；</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（3）质量与风险管理：投标人需针对本项目可能存在的质量和风险情况，出具质量管理计划、风险识别与应对措施。</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7.5、项目培训方案</w:t>
      </w:r>
      <w:r>
        <w:rPr>
          <w:rFonts w:ascii="宋体" w:hAnsi="Calibri" w:cs="Courier New"/>
          <w:szCs w:val="24"/>
        </w:rPr>
      </w:r>
      <w:r/>
    </w:p>
    <w:p>
      <w:pPr>
        <w:pStyle w:val="748"/>
        <w:ind w:firstLine="420"/>
        <w:spacing w:line="400" w:lineRule="exact"/>
        <w:widowControl/>
        <w:rPr>
          <w:rFonts w:ascii="Calibri" w:hAnsi="Calibri" w:cs="Arial"/>
        </w:rPr>
      </w:pPr>
      <w:r>
        <w:rPr>
          <w:rFonts w:hint="eastAsia" w:ascii="宋体" w:hAnsi="Calibri" w:cs="Courier New"/>
          <w:szCs w:val="24"/>
        </w:rPr>
        <w:t xml:space="preserve">投标人须根据系统软件的功能和特点，针对不同用户角色进行不同培训，培训次数1次。在投标文件中提出详细的系统培训方案，需包括培训内容、培训目标成果、项目培训规划及培训进度安排、前期筹备工作及培训注意细节、培训区域规模。</w:t>
      </w:r>
      <w:r>
        <w:rPr>
          <w:rFonts w:ascii="Calibri" w:hAnsi="Calibri" w:cs="Arial"/>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培训内容：投标人须针对系统管理员、业务操作人员、系统维护技术人员等不同角色分类设计培训内容，至少包括系统功能操作、系统管理与配置、日常维护与常见故障处理、安全操作规范等；培训内容须与适配后交付的系统版本一致，并提供配套培训教材，免费提供给采购人。</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培训目标成果：投标人须明确各类角色的培训目标，确保参训人员经培训后能独立完成相应岗位操作；培训结束后须组织考核，考核合格率不低于90%，不合格人员须安排补训；培训结束后提交《培训总结报告》，包括参训记录、考核成绩及培训效果分析。</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项目培训规划：本次培训总次数为1次，培训时长不少于1天；方案中须明确理论授课、上机实操、考核测评的时间安排；培训须在系统试运行开始前完成，培训时间和地点经采购人确认后执行。</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前期筹备工作及培训注意细节：投标人须完成培训需求调研、培训方案及教材编制、培训环境搭建、场地设备准备等前期工作；安排熟悉系统的讲师授课，建立签到制度并做好培训过程记录归档；参训人员缺勤的须安排补训。</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培训区域规模：投标人须在方案中明确培训场地容量、网络及教学设备配置；参训人数超过单场容量时须制定分批次安排；培训地点由采购人确定，投标人须提前完成环境搭建和功能验证。</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7.6、售后服务方案</w:t>
      </w:r>
      <w:r>
        <w:rPr>
          <w:rFonts w:ascii="宋体" w:hAnsi="Calibri" w:cs="Courier New"/>
          <w:szCs w:val="24"/>
        </w:rPr>
      </w:r>
      <w:r/>
    </w:p>
    <w:p>
      <w:pPr>
        <w:pStyle w:val="748"/>
        <w:ind w:firstLine="420"/>
        <w:spacing w:line="400" w:lineRule="exact"/>
        <w:widowControl/>
        <w:rPr>
          <w:rFonts w:ascii="Calibri" w:hAnsi="Calibri" w:cs="Arial"/>
        </w:rPr>
      </w:pPr>
      <w:r>
        <w:rPr>
          <w:rFonts w:hint="eastAsia" w:ascii="宋体" w:hAnsi="Calibri" w:cs="Courier New"/>
          <w:szCs w:val="24"/>
        </w:rPr>
        <w:t xml:space="preserve">投标人需提供售后服务方案，应包括响应及维护体系、维护范围及内容、日常巡检、应急处理程序、保障措施。</w:t>
      </w:r>
      <w:r>
        <w:rPr>
          <w:rFonts w:ascii="Calibri" w:hAnsi="Calibri" w:cs="Arial"/>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响应及维护体系：投标人须设立专职售后服务团队，提供5</w:t>
      </w:r>
      <w:r>
        <w:rPr>
          <w:rFonts w:ascii="宋体" w:hAnsi="Calibri" w:cs="Courier New"/>
          <w:szCs w:val="24"/>
        </w:rPr>
        <w:t xml:space="preserve">×</w:t>
      </w:r>
      <w:r>
        <w:rPr>
          <w:rFonts w:hint="eastAsia" w:ascii="宋体" w:hAnsi="Calibri" w:cs="Courier New"/>
          <w:szCs w:val="24"/>
        </w:rPr>
        <w:t xml:space="preserve">8小时服务热线，并实行故障分级响应：紧急故障（系统无法运行、业务中断等）30分钟内响应、2小时内到达现场或远程接入处理；重要故障2小时内响应、8小时内提出处理方案；一般故障4小时内响应、24小时内解决。服务方式包括电话、远程、现场支持等。</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维护范围及内容：免费维护期自项目验收合格之日起不少于1年，维护范围覆盖系统应用软件及适配相关的操作系统、数据库、中间件配置和运行环境；维护内容包括故障修复、性能优化、补丁升级、数据备份恢复支持、安全漏洞修复及技术咨询；因投标人产品质量或适配问题导致的故障，费用由投标人承担。</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日常巡检：投标人须建立定期巡检制度，免费维护期内每月至少巡检1次，巡检内容包括系统运行状态、数据库及中间件运行状况、性能指标、日志、安全状况、备份执行情况等；每次巡检结束后7个工作日内提交《巡检报告》；重大活动及业务高峰期须安排专项巡检。</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应急处理程序：投标人须制定《系统应急预案》并报采购人备案，明确应急组织、响应流程、故障分级、处置措施和应急联系人；应急流程须覆盖故障申报、响应受理、故障定位、应急处理、原因分析、整改落实、复盘总结各环节；重大故障处理后7个工作日内提交《故障分析报告》；免费维护期内每年至少开展</w:t>
      </w:r>
      <w:r>
        <w:rPr>
          <w:rFonts w:ascii="宋体" w:hAnsi="Calibri" w:cs="Courier New"/>
          <w:szCs w:val="24"/>
        </w:rPr>
        <w:t xml:space="preserve"> 1 </w:t>
      </w:r>
      <w:r>
        <w:rPr>
          <w:rFonts w:hint="eastAsia" w:ascii="宋体" w:hAnsi="Calibri" w:cs="Courier New"/>
          <w:szCs w:val="24"/>
        </w:rPr>
        <w:t xml:space="preserve">次应急演练。</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保障措施：投标人须明确服务水平承诺，包括系统可用性不低于99%及各项响应时限，接受采购人监督考核；服务人员保持稳定并建立备岗机制；建立服务工单记录，按季度提交《服务情况报告》；免费维护期届满后须提供后续维护方案建议。</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7.7、保密承诺及措施</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供应商必须提供对本项目的保密承诺，签订保密协议，保证对项目实施过程中产生的各类技术文件、信息以及由采购人提供的所有内部资料、技术文档和信息予以保密；未经采购人书面许可，供应商不得以任何形式向第三方透露本项目标书以及本项目的任何内容。</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保密承诺及措施方案需包括：</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（1）保密承诺：提供对本项目的保密承诺函；</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（2）保密管理措施：人员保密管理、技术文档与数据分级管控措施；</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（3）保密协议：承诺中标后与采购人签订保密协议。</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7.8、项目重难点分析及应对方案</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（1）重难点识别：结合本项目全栈国产化改造实际，至少识别全栈国产化适配、历史数据迁移完整性、业务连续性保障、国产化环境性能保障等三项以上项目重难点，并逐项分析其成因与影响；</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（2）应对措施：针对每项识别出的重难点，逐一提出可操作、可验证的技术应对措施与实施步骤；</w:t>
      </w:r>
      <w:r>
        <w:rPr>
          <w:rFonts w:ascii="宋体" w:hAnsi="Calibri" w:cs="Courier New"/>
          <w:szCs w:val="24"/>
        </w:rPr>
      </w:r>
      <w:r/>
    </w:p>
    <w:p>
      <w:pPr>
        <w:pStyle w:val="748"/>
        <w:ind w:firstLine="420"/>
        <w:spacing w:line="400" w:lineRule="exact"/>
        <w:widowControl/>
        <w:rPr>
          <w:rFonts w:ascii="宋体" w:hAnsi="Calibri" w:cs="Courier New"/>
          <w:szCs w:val="24"/>
        </w:rPr>
      </w:pPr>
      <w:r>
        <w:rPr>
          <w:rFonts w:hint="eastAsia" w:ascii="宋体" w:hAnsi="Calibri" w:cs="Courier New"/>
          <w:szCs w:val="24"/>
        </w:rPr>
        <w:t xml:space="preserve">（3）保障机制：明确重难点应对工作的责任分工、跟踪验证方式及闭环管理机制。</w:t>
      </w:r>
      <w:r>
        <w:rPr>
          <w:rFonts w:ascii="宋体" w:hAnsi="Calibri" w:cs="Courier New"/>
          <w:szCs w:val="24"/>
        </w:rPr>
      </w:r>
      <w:r/>
    </w:p>
    <w:p>
      <w:pPr>
        <w:pStyle w:val="748"/>
        <w:ind w:firstLine="420"/>
        <w:spacing w:line="400" w:lineRule="exact"/>
        <w:widowControl/>
        <w:rPr>
          <w:rFonts w:ascii="Calibri" w:hAnsi="Calibri" w:cs="Arial"/>
          <w:szCs w:val="22"/>
        </w:rPr>
      </w:pPr>
      <w:r>
        <w:rPr>
          <w:rFonts w:hint="eastAsia" w:ascii="宋体" w:hAnsi="Calibri" w:cs="Courier New"/>
          <w:szCs w:val="24"/>
        </w:rPr>
        <w:t xml:space="preserve">8、项目付款方式</w:t>
      </w:r>
      <w:r>
        <w:rPr>
          <w:rFonts w:ascii="Calibri" w:hAnsi="Calibri" w:cs="Arial"/>
          <w:szCs w:val="22"/>
        </w:rPr>
      </w:r>
      <w:r/>
    </w:p>
    <w:p>
      <w:pPr>
        <w:pStyle w:val="748"/>
        <w:ind w:firstLine="420"/>
        <w:spacing w:line="400" w:lineRule="exact"/>
        <w:widowControl/>
        <w:rPr>
          <w:rFonts w:ascii="宋体" w:hAnsi="Calibri" w:cs="Courier New"/>
          <w:szCs w:val="24"/>
        </w:rPr>
      </w:pPr>
      <w:r>
        <w:rPr>
          <w:rFonts w:hint="eastAsia" w:ascii="Calibri" w:hAnsi="Calibri" w:cs="Arial"/>
          <w:szCs w:val="22"/>
        </w:rPr>
        <w:t xml:space="preserve">该项目付款方式如下：</w:t>
      </w:r>
      <w:r>
        <w:rPr>
          <w:rFonts w:hint="eastAsia" w:ascii="宋体" w:hAnsi="Calibri" w:cs="Courier New"/>
          <w:szCs w:val="24"/>
        </w:rPr>
        <w:t xml:space="preserve">合同签订并收到供应商提供的发票后10个工作日内，支付预付款，为合同总价款的80</w:t>
      </w:r>
      <w:r>
        <w:rPr>
          <w:rFonts w:ascii="宋体" w:hAnsi="Calibri" w:cs="Courier New"/>
          <w:szCs w:val="24"/>
        </w:rPr>
        <w:t xml:space="preserve">%</w:t>
      </w:r>
      <w:r>
        <w:rPr>
          <w:rFonts w:hint="eastAsia" w:ascii="宋体" w:hAnsi="Calibri" w:cs="Courier New"/>
          <w:szCs w:val="24"/>
        </w:rPr>
        <w:t xml:space="preserve">；系统验收并收到供应商提供的发票后10个工作日内，再支付总价款的20</w:t>
      </w:r>
      <w:r>
        <w:rPr>
          <w:rFonts w:ascii="宋体" w:hAnsi="Calibri" w:cs="Courier New"/>
          <w:szCs w:val="24"/>
        </w:rPr>
        <w:t xml:space="preserve">%</w:t>
      </w:r>
      <w:r>
        <w:rPr>
          <w:rFonts w:hint="eastAsia" w:ascii="宋体" w:hAnsi="Calibri" w:cs="Courier New"/>
          <w:szCs w:val="24"/>
        </w:rPr>
        <w:t xml:space="preserve">。</w:t>
      </w:r>
      <w:r>
        <w:rPr>
          <w:rFonts w:ascii="宋体" w:hAnsi="Calibri" w:cs="Courier New"/>
          <w:szCs w:val="24"/>
        </w:rPr>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8"/>
        <w:ind w:firstLine="482"/>
        <w:jc w:val="left"/>
        <w:spacing w:line="400" w:lineRule="exact"/>
        <w:rPr>
          <w:rFonts w:hint="eastAsia"/>
          <w:b/>
          <w:sz w:val="24"/>
          <w:szCs w:val="24"/>
        </w:rPr>
      </w:pPr>
      <w:r>
        <w:rPr>
          <w:rFonts w:hint="eastAsia"/>
          <w:b/>
          <w:sz w:val="24"/>
          <w:szCs w:val="24"/>
        </w:rPr>
      </w:r>
      <w:r/>
    </w:p>
    <w:p>
      <w:pPr>
        <w:pStyle w:val="748"/>
        <w:ind w:firstLine="482"/>
        <w:jc w:val="left"/>
        <w:spacing w:line="400" w:lineRule="exact"/>
        <w:rPr>
          <w:rFonts w:hint="eastAsia"/>
          <w:b/>
          <w:sz w:val="24"/>
          <w:szCs w:val="24"/>
        </w:rPr>
      </w:pPr>
      <w:r>
        <w:rPr>
          <w:rFonts w:hint="eastAsia"/>
          <w:b/>
          <w:sz w:val="24"/>
          <w:szCs w:val="24"/>
        </w:rPr>
      </w:r>
      <w:r/>
    </w:p>
    <w:p>
      <w:pPr>
        <w:pStyle w:val="748"/>
        <w:ind w:firstLine="482"/>
        <w:jc w:val="left"/>
        <w:spacing w:line="400" w:lineRule="exact"/>
        <w:rPr>
          <w:rFonts w:hint="eastAsia"/>
          <w:b/>
          <w:sz w:val="24"/>
          <w:szCs w:val="24"/>
          <w:lang w:val="zh-CN"/>
        </w:rPr>
      </w:pPr>
      <w:r>
        <w:rPr>
          <w:rFonts w:hint="eastAsia"/>
          <w:b/>
          <w:sz w:val="24"/>
          <w:szCs w:val="24"/>
          <w:lang w:val="zh-CN"/>
        </w:rPr>
      </w:r>
      <w:r/>
    </w:p>
    <w:p>
      <w:pPr>
        <w:pStyle w:val="748"/>
        <w:ind w:firstLine="482"/>
        <w:jc w:val="left"/>
        <w:spacing w:line="400" w:lineRule="exact"/>
        <w:rPr>
          <w:rFonts w:hint="eastAsia"/>
          <w:b/>
          <w:sz w:val="24"/>
          <w:szCs w:val="24"/>
          <w:lang w:val="zh-CN"/>
        </w:rPr>
      </w:pPr>
      <w:r>
        <w:rPr>
          <w:rFonts w:hint="eastAsia"/>
          <w:b/>
          <w:sz w:val="24"/>
          <w:szCs w:val="24"/>
          <w:lang w:val="zh-CN"/>
        </w:rPr>
      </w:r>
      <w:r/>
    </w:p>
    <w:p>
      <w:pPr>
        <w:pStyle w:val="748"/>
        <w:ind w:firstLine="482"/>
        <w:jc w:val="left"/>
        <w:spacing w:line="400" w:lineRule="exact"/>
        <w:rPr>
          <w:rFonts w:hint="eastAsia"/>
          <w:b/>
          <w:sz w:val="24"/>
          <w:szCs w:val="24"/>
          <w:lang w:val="zh-CN"/>
        </w:rPr>
      </w:pPr>
      <w:r>
        <w:rPr>
          <w:rFonts w:hint="eastAsia"/>
          <w:b/>
          <w:sz w:val="24"/>
          <w:szCs w:val="24"/>
          <w:lang w:val="zh-CN"/>
        </w:rPr>
      </w:r>
      <w:r/>
    </w:p>
    <w:p>
      <w:pPr>
        <w:pStyle w:val="748"/>
        <w:jc w:val="center"/>
        <w:spacing w:line="400" w:lineRule="exact"/>
        <w:rPr>
          <w:rFonts w:hint="eastAsia"/>
          <w:b/>
          <w:sz w:val="24"/>
          <w:szCs w:val="24"/>
          <w:lang w:val="zh-CN"/>
        </w:rPr>
      </w:pPr>
      <w:r>
        <w:rPr>
          <w:b/>
          <w:sz w:val="24"/>
          <w:szCs w:val="24"/>
          <w:lang w:val="zh-CN"/>
        </w:rPr>
        <w:br w:type="page" w:clear="all"/>
      </w:r>
      <w:r>
        <w:rPr>
          <w:rFonts w:hint="eastAsia"/>
          <w:b/>
          <w:sz w:val="24"/>
          <w:szCs w:val="24"/>
          <w:lang w:val="zh-CN"/>
        </w:rPr>
        <w:t xml:space="preserve">采购包四：江苏省收费动态监管服务系统国产化适配改造</w:t>
      </w:r>
      <w:r/>
    </w:p>
    <w:p>
      <w:pPr>
        <w:pStyle w:val="748"/>
        <w:ind w:firstLine="482"/>
        <w:keepLines/>
        <w:keepNext/>
        <w:spacing w:line="400" w:lineRule="exact"/>
        <w:rPr>
          <w:rFonts w:ascii="宋体" w:hAnsi="宋体" w:cs="宋体"/>
          <w:b/>
          <w:sz w:val="32"/>
          <w:szCs w:val="22"/>
        </w:rPr>
        <w:outlineLvl w:val="1"/>
      </w:pPr>
      <w:r/>
      <w:bookmarkStart w:id="209" w:name="OLE_LINK24"/>
      <w:r>
        <w:rPr>
          <w:rFonts w:ascii="宋体" w:hAnsi="宋体" w:cs="宋体"/>
          <w:b/>
          <w:sz w:val="24"/>
          <w:szCs w:val="22"/>
        </w:rPr>
        <w:t xml:space="preserve">1 项目目标</w:t>
      </w:r>
      <w:r>
        <w:rPr>
          <w:rFonts w:ascii="宋体" w:hAnsi="宋体" w:cs="宋体"/>
          <w:b/>
          <w:sz w:val="32"/>
          <w:szCs w:val="22"/>
        </w:rPr>
      </w:r>
      <w:r/>
    </w:p>
    <w:p>
      <w:pPr>
        <w:pStyle w:val="748"/>
        <w:ind w:firstLine="420"/>
        <w:spacing w:line="400" w:lineRule="exact"/>
        <w:rPr>
          <w:rFonts w:ascii="宋体" w:hAnsi="宋体" w:cs="宋体"/>
          <w:szCs w:val="22"/>
        </w:rPr>
      </w:pPr>
      <w:r>
        <w:rPr>
          <w:rFonts w:ascii="宋体" w:hAnsi="宋体" w:cs="宋体"/>
          <w:sz w:val="22"/>
          <w:szCs w:val="22"/>
        </w:rPr>
        <w:t xml:space="preserve">对“江苏省收费动态监管</w:t>
      </w:r>
      <w:r>
        <w:rPr>
          <w:rFonts w:hint="eastAsia" w:ascii="宋体" w:hAnsi="宋体" w:cs="宋体"/>
          <w:sz w:val="22"/>
          <w:szCs w:val="22"/>
        </w:rPr>
        <w:t xml:space="preserve">服务</w:t>
      </w:r>
      <w:r>
        <w:rPr>
          <w:rFonts w:ascii="宋体" w:hAnsi="宋体" w:cs="宋体"/>
          <w:sz w:val="22"/>
          <w:szCs w:val="22"/>
        </w:rPr>
        <w:t xml:space="preserve">系统”进行国产化适配改造，并确保业务工作平稳过渡和历史数据的连贯性。</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深入对接“数智发改”平台，严格按照《“数智发改”平台标准规范》接入统一用户、统一组织、统一权限等。</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严格依照网络安全等级保护二级和商用密码应用安全性评估相关要求实施部署。</w:t>
      </w:r>
      <w:r>
        <w:rPr>
          <w:rFonts w:ascii="宋体" w:hAnsi="宋体" w:cs="宋体"/>
          <w:szCs w:val="22"/>
        </w:rPr>
      </w:r>
      <w:r/>
    </w:p>
    <w:p>
      <w:pPr>
        <w:pStyle w:val="748"/>
        <w:ind w:firstLine="482"/>
        <w:keepLines/>
        <w:keepNext/>
        <w:spacing w:line="400" w:lineRule="exact"/>
        <w:rPr>
          <w:rFonts w:ascii="宋体" w:hAnsi="宋体" w:cs="宋体"/>
          <w:b/>
          <w:sz w:val="32"/>
          <w:szCs w:val="22"/>
        </w:rPr>
        <w:outlineLvl w:val="1"/>
      </w:pPr>
      <w:r>
        <w:rPr>
          <w:rFonts w:ascii="宋体" w:hAnsi="宋体" w:cs="宋体"/>
          <w:b/>
          <w:sz w:val="24"/>
          <w:szCs w:val="22"/>
        </w:rPr>
        <w:t xml:space="preserve">2 技术规格与参数要求</w:t>
      </w:r>
      <w:r>
        <w:rPr>
          <w:rFonts w:ascii="宋体" w:hAnsi="宋体" w:cs="宋体"/>
          <w:b/>
          <w:sz w:val="32"/>
          <w:szCs w:val="22"/>
        </w:rPr>
      </w:r>
      <w:r/>
    </w:p>
    <w:p>
      <w:pPr>
        <w:pStyle w:val="748"/>
        <w:ind w:firstLine="420"/>
        <w:spacing w:line="400" w:lineRule="exact"/>
        <w:rPr>
          <w:rFonts w:ascii="宋体" w:hAnsi="宋体" w:cs="宋体"/>
          <w:szCs w:val="22"/>
        </w:rPr>
      </w:pPr>
      <w:r>
        <w:rPr>
          <w:rFonts w:ascii="宋体" w:hAnsi="宋体" w:cs="宋体"/>
          <w:sz w:val="22"/>
          <w:szCs w:val="22"/>
        </w:rPr>
        <w:t xml:space="preserve">国产化适配要求：主要包括且不限于以下范围，具体以省政务云提供的国产化环境为准。</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（1）芯片：支持主流国产化架构（ARM、X86）芯片计算机、服务器，范围：飞腾、鲲鹏。</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（2）操作系统：支持主流国产化操作系统，范围：麒麟、欧拉。</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（3）数据库：支持主流国产化关系型数据库，范围：达梦、人大金仓、高斯。</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（4）中间件：Web服务器、应用服务器、消息队列等中间件支持主流国产化产品，范围：东方通、金蝶、华宇。</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（5）安全：网络安全、数据安全等支持主流国产化产品，范围：奇安信、深信服。</w:t>
      </w:r>
      <w:r>
        <w:rPr>
          <w:rFonts w:ascii="宋体" w:hAnsi="宋体" w:cs="宋体"/>
          <w:szCs w:val="22"/>
        </w:rPr>
      </w:r>
      <w:r/>
    </w:p>
    <w:p>
      <w:pPr>
        <w:pStyle w:val="748"/>
        <w:ind w:firstLine="482"/>
        <w:keepLines/>
        <w:keepNext/>
        <w:spacing w:line="400" w:lineRule="exact"/>
        <w:rPr>
          <w:rFonts w:ascii="宋体" w:hAnsi="宋体" w:cs="宋体"/>
          <w:b/>
          <w:sz w:val="32"/>
          <w:szCs w:val="22"/>
        </w:rPr>
        <w:outlineLvl w:val="1"/>
      </w:pPr>
      <w:r>
        <w:rPr>
          <w:rFonts w:ascii="宋体" w:hAnsi="宋体" w:cs="宋体"/>
          <w:b/>
          <w:sz w:val="24"/>
          <w:szCs w:val="22"/>
        </w:rPr>
        <w:t xml:space="preserve">3 服务内容与标准（服务范围、执行标准、服务期限）</w:t>
      </w:r>
      <w:r>
        <w:rPr>
          <w:rFonts w:ascii="宋体" w:hAnsi="宋体" w:cs="宋体"/>
          <w:b/>
          <w:sz w:val="32"/>
          <w:szCs w:val="22"/>
        </w:rPr>
      </w:r>
      <w:r/>
    </w:p>
    <w:p>
      <w:pPr>
        <w:pStyle w:val="748"/>
        <w:ind w:firstLine="420"/>
        <w:spacing w:line="400" w:lineRule="exact"/>
        <w:rPr>
          <w:rFonts w:ascii="宋体" w:hAnsi="宋体" w:cs="宋体"/>
          <w:szCs w:val="22"/>
        </w:rPr>
      </w:pPr>
      <w:r>
        <w:rPr>
          <w:rFonts w:ascii="宋体" w:hAnsi="宋体" w:cs="宋体"/>
          <w:sz w:val="22"/>
          <w:szCs w:val="22"/>
        </w:rPr>
        <w:t xml:space="preserve">申请人基于省发改委提供的国产化环境，对平台进行适配、改造并部署在其指定的国产化环境，整体适配改造部署服务包括平台的测试环境与正式环境。各环境服务内容明确如下：申请人需确保部署后系统稳定运行、兼容性达标，适配国产软硬件体系，满足使用需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为确保业务工作平稳过渡，系统国产化适配改造内容如下：</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江苏省收费动态监管服务系统由省、市、县三级价格主管部门和所属各级收费单位分级运行，实现省、市、县三级价格主管部门条线对收费项目、标准、政策依据的分级分类管理，归集全省政府定价收费动态信息，实现对收费单位的分级动态监管、收费的统计汇总与分析决策。</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整个收费系统包含3个子系统，1个数据中心。3个子系统指“价格部门监管子系统”、“收费单位报告子系统”、“收费信息发布子系统”，1个数据中心将各子系统的数据相互融合，构建查询、挖掘、分析、决策于一体的收费大数据。</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价格部门监管子系统，价格主管部门通过该子系统对收费单位的收费情况进行全过程动态监管，主要包含系统库内的收费政策、项目、标准等数据维护，实现日常收费报告、年度收费报告，信息公告，系统管理维护等。</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收费单位报告子系统，收费单位通过该子系统实现日常收费情况报告，维护本单位收费项目、标准、政策依据，主要包含日常收费情况报告、年度收费情况报告、自主定价收费项目、政策公告、单位基本信息维护等。</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收费信息发布子系统，通过该子系统及时向社会公众进行收费公示，对各收费单位开展年度收费报告情况，及时向社会公众公布。</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数据中心，实现收费大数据管理，并根据年度收费报告数据开展行政事业性收费统计分析，形成年度收费情况报告，为领导和机关实施收费管理提供科学决策。主要包含文件依据查询、收费项目查询、收费单位查询、单位收费报告查询、地区收费金额汇总表、收费分类统计表、收费项目金额统计表、部门收费金额汇总表（项目部门）、部门收费金额汇总表（单位部门）、收费单位年报统计表、单位收费较大变动统计表等。</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本次适配改造共计24个功能点，</w:t>
      </w:r>
      <w:r>
        <w:rPr>
          <w:rFonts w:ascii="宋体" w:hAnsi="宋体" w:cs="宋体"/>
          <w:b/>
          <w:sz w:val="22"/>
          <w:szCs w:val="22"/>
        </w:rPr>
        <w:t xml:space="preserve">具体功能清单</w:t>
      </w:r>
      <w:r>
        <w:rPr>
          <w:rFonts w:ascii="宋体" w:hAnsi="宋体" w:cs="宋体"/>
          <w:sz w:val="22"/>
          <w:szCs w:val="22"/>
        </w:rPr>
        <w:t xml:space="preserve">如下：</w:t>
      </w:r>
      <w:r>
        <w:rPr>
          <w:rFonts w:ascii="宋体" w:hAnsi="宋体" w:cs="宋体"/>
          <w:szCs w:val="2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125"/>
        <w:gridCol w:w="2115"/>
        <w:gridCol w:w="41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序号</w:t>
            </w:r>
            <w:r>
              <w:rPr>
                <w:rFonts w:ascii="宋体" w:hAnsi="宋体" w:cs="宋体"/>
                <w:szCs w:val="22"/>
              </w:rPr>
            </w:r>
            <w:r/>
          </w:p>
        </w:tc>
        <w:tc>
          <w:tcPr>
            <w:tcBorders>
              <w:top w:val="single" w:color="000000" w:sz="8"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模块</w:t>
            </w:r>
            <w:r>
              <w:rPr>
                <w:rFonts w:ascii="宋体" w:hAnsi="宋体" w:cs="宋体"/>
                <w:szCs w:val="22"/>
              </w:rPr>
            </w:r>
            <w:r/>
          </w:p>
        </w:tc>
        <w:tc>
          <w:tcPr>
            <w:tcBorders>
              <w:top w:val="single" w:color="000000" w:sz="8"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功能点</w:t>
            </w:r>
            <w:r>
              <w:rPr>
                <w:rFonts w:ascii="宋体" w:hAnsi="宋体" w:cs="宋体"/>
                <w:szCs w:val="22"/>
              </w:rPr>
            </w:r>
            <w:r/>
          </w:p>
        </w:tc>
        <w:tc>
          <w:tcPr>
            <w:tcBorders>
              <w:top w:val="single" w:color="000000" w:sz="8"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功能描述</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1</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restart"/>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价格部门监管子系统</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收费政策维护</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省、市、县三级价格主管部门，分别对本级文件依据进行新增、修改、删除等维护，支持关联收费单位及收费收费显示。</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2</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收费项目维护</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省价格主管部门，可对收费项目进行新增、变更、取消、暂停、恢复等操作，并能同步更新至所有涉及的收费单位项目信息。</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3</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收费标准维护</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省、市、县三级价格主管部门，根据标准制定权限维护收费标准，并能同步更新至所有涉及的收费单位项目信息。</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4</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日常收费报告</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省、市、县三级价格主管部门，分别对本级管理的收费单位新增、变更、注销收费报告申报进行审核办理。</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5</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年度收费报告</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省级价格主管部门启动年报，各级价格主管部门对本级收费单位已上报的收费年报进行审核，数据异常的可退回重新填报。</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6</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信息公告</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价格主管部门向收费单位发布收费政策、通知等。</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7</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系统管理维护</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可以对系统人员、工作组、权限分配、字典项进行管理设置。</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8</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restart"/>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收费单位报告子系统</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日常收费情况报告</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可进行日常收费情况报告提交、跟踪、历史报告查询。收费单位可以发起收费日常情况报告的预约报告，经价格主管部门审核办理后可领取收费日常情况变更报告表。</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9</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年度收费情况报告</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可进行年度报告提交、跟踪、历史年报查询。收费单位根据任务要求填写、上报年度收费情况报告表，并针对收费金额同比预警进行提醒。</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10</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自主定价收费项目</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收费单位可以新增、维护自主定价项目。</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11</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政策公告</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显示价格主管部门发布的收费政策信息，可以查看详情。</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12</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单位基本信息维护</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对本单位的基本信息进行维护。</w:t>
            </w:r>
            <w:r>
              <w:rPr>
                <w:rFonts w:ascii="宋体" w:hAnsi="宋体" w:cs="宋体"/>
                <w:szCs w:val="22"/>
              </w:rPr>
            </w:r>
            <w:r/>
          </w:p>
        </w:tc>
      </w:tr>
      <w:tr>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13</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收费信息发布子系统</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专题网页</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向社会公众进行收费单位收费公示、开展年度收费报告情况公示。</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14</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restart"/>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数据中心</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文件依据查询</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查询收费文件依据并查看附件详情，支持地区、时间段、文件状态、文件标题、文号等条件查询。</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15</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收费项目查询</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查询收费项目并查看详情，支持立项级别、项目类别、制标级别、项目名称、项目状态等条件查询。</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16</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收费单位查询</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查询收费单位并查看详情，支持所属地区、所属系统、单位状态、单位名称、有无项目信息等条件查询。</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17</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单位收费报告查询</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查询收费单位收费报告并查看详情，支持地区、报告表状态、报告编号、报告名称等条件查询。</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18</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地区收费金额汇总表</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按地区对年报数据进行统计分析，支持年度、地区、目录分类、单位性质、项目性质等条件统计；支持导出；支持直方图展示。</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19</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收费分类统计表</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按涉及、项目性质、管理权限、项目类别、单位性质等维度统计收费金额，支持年度、地区、目录分类、项目性质等条件统计；支持导出。</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20</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收费项目金额统计表</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按项目对年报数据进行统计分析，支持年度、地区、所属系统、项目名称、目录分类、单位性质、项目性质、项目级别等条件统计；支持本年度与上年度比对分析；支持项目金额下钻查询；支持导出。</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21</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部门收费金额汇总表（项目部门）</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按项目涉及部门对年报数据进行统计分析，支持年度、地区、目录分类、单位性质、项目性质等条件统计；支持直方图、饼图展示；支持导出。</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22</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部门收费金额汇总表（单位部门）</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按收费单位涉及部门对年报数据进行统计分析，支持年度、地区、目录分类、单位性质、项目性质等条件统计；支持直方图、饼图展示；支持导出。</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23</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收费单位年报统计表</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按收费单位对年报数据进行统计分析，支持年度、地区、收费部门、目录分类、单位性质、项目性质等条件统计；支持按收费部门、按本年度金额等排序显示；支持收费单位年报详情查看；支持导出。</w:t>
            </w:r>
            <w:r>
              <w:rPr>
                <w:rFonts w:ascii="宋体" w:hAnsi="宋体" w:cs="宋体"/>
                <w:szCs w:val="22"/>
              </w:rPr>
            </w:r>
            <w:r/>
          </w:p>
        </w:tc>
      </w:tr>
      <w:tr>
        <w:trPr>
          <w:cantSplit/>
        </w:trPr>
        <w:tc>
          <w:tcPr>
            <w:tcBorders>
              <w:top w:val="single" w:color="000000" w:sz="0"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24</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1125" w:type="dxa"/>
            <w:vAlign w:val="center"/>
            <w:vMerge w:val="continue"/>
            <w:textDirection w:val="lrTb"/>
            <w:noWrap w:val="false"/>
          </w:tcPr>
          <w:p>
            <w:pPr>
              <w:pStyle w:val="748"/>
              <w:jc w:val="center"/>
              <w:spacing w:line="400" w:lineRule="exact"/>
              <w:rPr>
                <w:rFonts w:ascii="宋体" w:hAnsi="宋体" w:cs="宋体"/>
                <w:szCs w:val="22"/>
              </w:rPr>
            </w:pP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pStyle w:val="748"/>
              <w:jc w:val="center"/>
              <w:spacing w:line="400" w:lineRule="exact"/>
              <w:rPr>
                <w:rFonts w:ascii="宋体" w:hAnsi="宋体" w:cs="宋体"/>
                <w:szCs w:val="22"/>
              </w:rPr>
            </w:pPr>
            <w:r>
              <w:rPr>
                <w:rFonts w:ascii="宋体" w:hAnsi="宋体" w:cs="宋体"/>
                <w:sz w:val="22"/>
                <w:szCs w:val="22"/>
              </w:rPr>
              <w:t xml:space="preserve">单位收费较大变动统计表</w:t>
            </w:r>
            <w:r>
              <w:rPr>
                <w:rFonts w:ascii="宋体" w:hAnsi="宋体" w:cs="宋体"/>
                <w:szCs w:val="22"/>
              </w:rPr>
            </w:r>
            <w:r/>
          </w:p>
        </w:tc>
        <w:tc>
          <w:tcPr>
            <w:tcBorders>
              <w:top w:val="single" w:color="000000" w:sz="0" w:space="0"/>
              <w:left w:val="single" w:color="000000" w:sz="0" w:space="0"/>
              <w:bottom w:val="single" w:color="000000" w:sz="8" w:space="0"/>
              <w:right w:val="single" w:color="000000" w:sz="8" w:space="0"/>
            </w:tcBorders>
            <w:tcMar>
              <w:left w:w="108" w:type="dxa"/>
              <w:top w:w="0" w:type="dxa"/>
              <w:right w:w="108" w:type="dxa"/>
              <w:bottom w:w="0" w:type="dxa"/>
            </w:tcMar>
            <w:tcW w:w="4185" w:type="dxa"/>
            <w:vAlign w:val="center"/>
            <w:textDirection w:val="lrTb"/>
            <w:noWrap w:val="false"/>
          </w:tcPr>
          <w:p>
            <w:pPr>
              <w:pStyle w:val="748"/>
              <w:jc w:val="left"/>
              <w:spacing w:line="400" w:lineRule="exact"/>
              <w:rPr>
                <w:rFonts w:ascii="宋体" w:hAnsi="宋体" w:cs="宋体"/>
                <w:szCs w:val="22"/>
              </w:rPr>
            </w:pPr>
            <w:r>
              <w:rPr>
                <w:rFonts w:ascii="宋体" w:hAnsi="宋体" w:cs="宋体"/>
                <w:sz w:val="22"/>
                <w:szCs w:val="22"/>
              </w:rPr>
              <w:t xml:space="preserve">根据变动幅度标准，对收费单位年报数据进行统计分析，支持年度、地区、项目列别、项目分类、单位性质、项目性质统计。</w:t>
            </w:r>
            <w:r>
              <w:rPr>
                <w:rFonts w:ascii="宋体" w:hAnsi="宋体" w:cs="宋体"/>
                <w:szCs w:val="22"/>
              </w:rPr>
            </w:r>
            <w:r/>
          </w:p>
        </w:tc>
      </w:tr>
    </w:tbl>
    <w:p>
      <w:pPr>
        <w:pStyle w:val="748"/>
        <w:spacing w:line="400" w:lineRule="exact"/>
        <w:rPr>
          <w:rFonts w:ascii="宋体" w:hAnsi="宋体" w:cs="宋体"/>
          <w:szCs w:val="22"/>
        </w:rPr>
      </w:pPr>
      <w:r>
        <w:rPr>
          <w:rFonts w:ascii="宋体" w:hAnsi="宋体" w:cs="宋体"/>
          <w:sz w:val="22"/>
          <w:szCs w:val="22"/>
        </w:rPr>
        <w:t xml:space="preserve"> </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为保证业务数据的连贯性，历史数据迁移至国产化数据库。按照省政府“一部门一系统”要求，本系统在本次国产化改造过程中，需深入对接“数智发改”平台，严格按照《“数智发改”平台标准规范》接入统一用户、统一组织、统一权限等，待系统改造项目结束后，整合纳入“数智发改”综合服务平台体系运行。</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本次国产化改造过程中，需提高安全意识，强化安全措施，确保网络和数据安全工作与国产化改造工作同部署、同推进、同落实。同时，信息系统国产化改造必须严格依照网络安全等级保护二级和商用密码应用安全性评估相关要求实施，所有系统均部署至省政务云环境运行， 进一步提高安全性。</w:t>
      </w:r>
      <w:r>
        <w:rPr>
          <w:rFonts w:ascii="宋体" w:hAnsi="宋体" w:cs="宋体"/>
          <w:szCs w:val="22"/>
        </w:rPr>
      </w:r>
      <w:r/>
    </w:p>
    <w:p>
      <w:pPr>
        <w:pStyle w:val="748"/>
        <w:ind w:firstLine="482"/>
        <w:keepLines/>
        <w:keepNext/>
        <w:spacing w:line="400" w:lineRule="exact"/>
        <w:rPr>
          <w:rFonts w:ascii="宋体" w:hAnsi="宋体" w:cs="宋体"/>
          <w:b/>
          <w:sz w:val="32"/>
          <w:szCs w:val="22"/>
        </w:rPr>
        <w:outlineLvl w:val="1"/>
      </w:pPr>
      <w:r>
        <w:rPr>
          <w:rFonts w:ascii="宋体" w:hAnsi="宋体" w:cs="宋体"/>
          <w:b/>
          <w:sz w:val="24"/>
          <w:szCs w:val="22"/>
        </w:rPr>
        <w:t xml:space="preserve">4 进度计划及验收要求</w:t>
      </w:r>
      <w:r>
        <w:rPr>
          <w:rFonts w:ascii="宋体" w:hAnsi="宋体" w:cs="宋体"/>
          <w:b/>
          <w:sz w:val="32"/>
          <w:szCs w:val="22"/>
        </w:rPr>
      </w:r>
      <w:r/>
    </w:p>
    <w:p>
      <w:pPr>
        <w:pStyle w:val="748"/>
        <w:ind w:firstLine="420"/>
        <w:spacing w:line="400" w:lineRule="exact"/>
        <w:rPr>
          <w:rFonts w:ascii="宋体" w:hAnsi="宋体" w:cs="宋体"/>
          <w:szCs w:val="22"/>
        </w:rPr>
      </w:pPr>
      <w:r>
        <w:rPr>
          <w:rFonts w:ascii="宋体" w:hAnsi="宋体" w:cs="宋体"/>
          <w:sz w:val="22"/>
          <w:szCs w:val="22"/>
        </w:rPr>
        <w:t xml:space="preserve">4.1项目进度与交付成果</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项目改造期自合同签订起至合同项下所有工作完成截止。</w:t>
      </w:r>
      <w:r>
        <w:rPr>
          <w:rFonts w:ascii="宋体" w:hAnsi="宋体" w:cs="宋体"/>
          <w:szCs w:val="22"/>
        </w:rPr>
      </w:r>
      <w:r/>
    </w:p>
    <w:p>
      <w:pPr>
        <w:pStyle w:val="748"/>
        <w:ind w:firstLine="420"/>
        <w:spacing w:line="400" w:lineRule="exact"/>
        <w:rPr>
          <w:rFonts w:ascii="宋体" w:hAnsi="宋体" w:cs="宋体"/>
          <w:b/>
          <w:bCs/>
          <w:szCs w:val="22"/>
        </w:rPr>
      </w:pPr>
      <w:r>
        <w:rPr>
          <w:rFonts w:hint="eastAsia" w:ascii="宋体" w:hAnsi="宋体" w:cs="宋体"/>
          <w:b/>
          <w:bCs/>
          <w:sz w:val="22"/>
          <w:szCs w:val="22"/>
        </w:rPr>
        <w:t xml:space="preserve">自合同签订后至2026年12月底前完成系统的国产化适配改造、上线运行和验收等工作；</w:t>
      </w:r>
      <w:r>
        <w:rPr>
          <w:rFonts w:ascii="宋体" w:hAnsi="宋体" w:cs="宋体"/>
          <w:b/>
          <w:bCs/>
          <w:szCs w:val="22"/>
        </w:rPr>
      </w:r>
      <w:r/>
    </w:p>
    <w:p>
      <w:pPr>
        <w:pStyle w:val="748"/>
        <w:ind w:firstLine="420"/>
        <w:spacing w:line="400" w:lineRule="exact"/>
        <w:rPr>
          <w:rFonts w:ascii="宋体" w:hAnsi="宋体" w:cs="宋体"/>
          <w:szCs w:val="22"/>
        </w:rPr>
      </w:pPr>
      <w:r>
        <w:rPr>
          <w:rFonts w:ascii="宋体" w:hAnsi="宋体" w:cs="宋体"/>
          <w:sz w:val="22"/>
          <w:szCs w:val="22"/>
        </w:rPr>
        <w:t xml:space="preserve">4.1.1项目进度</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（1）国产化适配改造及部署</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本阶段，申请人需依据采购要求，重点推进江苏省收费动态监管</w:t>
      </w:r>
      <w:r>
        <w:rPr>
          <w:rFonts w:hint="eastAsia" w:ascii="宋体" w:hAnsi="宋体" w:cs="宋体"/>
          <w:sz w:val="22"/>
          <w:szCs w:val="22"/>
        </w:rPr>
        <w:t xml:space="preserve">服务</w:t>
      </w:r>
      <w:r>
        <w:rPr>
          <w:rFonts w:ascii="宋体" w:hAnsi="宋体" w:cs="宋体"/>
          <w:sz w:val="22"/>
          <w:szCs w:val="22"/>
        </w:rPr>
        <w:t xml:space="preserve">系统各核心功能改造、部署及优化工作，完成正式环境国产化适配部署及原有数据的迁移，确保系统上线后稳定、高效运行，实现业务平滑切换；确保系统无重大故障，满足省发改委日常业务开展需求，确保数据迁移无缺失，测试后实现产品主体功能上线试运行。</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（2）项目试运行与验收</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本阶段，申请人需配合开展对接“数智发改”平台、安全等级保护二级、商用密码应用安全性评估、项目验收等工作，全面梳理项目全流程资料，重点整改试运行过程中提出的各服务模块相关问题，完成验收相关准备，确保项目所有功能符合省发改委监管要求及既定服务范围，顺利通过验收，保障平台全面投入使用。</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4.1.2交付成果：</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完成江苏省收费动态监管</w:t>
      </w:r>
      <w:r>
        <w:rPr>
          <w:rFonts w:hint="eastAsia" w:ascii="宋体" w:hAnsi="宋体" w:cs="宋体"/>
          <w:sz w:val="22"/>
          <w:szCs w:val="22"/>
        </w:rPr>
        <w:t xml:space="preserve">服务</w:t>
      </w:r>
      <w:r>
        <w:rPr>
          <w:rFonts w:ascii="宋体" w:hAnsi="宋体" w:cs="宋体"/>
          <w:sz w:val="22"/>
          <w:szCs w:val="22"/>
        </w:rPr>
        <w:t xml:space="preserve">系统国产化改造，对接“数智发改”平台，安全等级保护二级、商用密码应用安全性评估等。</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4.2验收要求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4.2.1验收依据</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本项目验收依据如下：采购文档、技术改造服务合同、功能测试报告相关技术文档。</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4.2.2项目测试</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各阶段国产化改造完成后申请人要对阶段成果进行测试。测试应重点验证系统是否满足预定的功能、性能、安全和兼容性标准。验收要求有详尽的测试报告，明确记录测试结果与预期目标的对比，以及任何发现的问题。</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4.2.3试运行与验收</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项目测试完成之日起，系统具备上线试运行条件，进入整体试运行期。</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试运行期间，省发改委提出意见或异议，申请人应就省发改委对项目提出的整改要求进行修改、更正，满足省发改委要求方可提交验收申请。</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申请人提供验收所需的全部材料，并通过省发改委组织的验收，项目满足合同约定及双方共同确认的技术要求，双方签署《项目验收报告》，项目验收通过。</w:t>
      </w:r>
      <w:r>
        <w:rPr>
          <w:rFonts w:ascii="宋体" w:hAnsi="宋体" w:cs="宋体"/>
          <w:szCs w:val="22"/>
        </w:rPr>
      </w:r>
      <w:r/>
    </w:p>
    <w:p>
      <w:pPr>
        <w:pStyle w:val="748"/>
        <w:ind w:firstLine="482"/>
        <w:keepLines/>
        <w:keepNext/>
        <w:spacing w:line="400" w:lineRule="exact"/>
        <w:rPr>
          <w:rFonts w:ascii="宋体" w:hAnsi="宋体" w:cs="宋体"/>
          <w:b/>
          <w:sz w:val="32"/>
          <w:szCs w:val="22"/>
        </w:rPr>
        <w:outlineLvl w:val="1"/>
      </w:pPr>
      <w:r>
        <w:rPr>
          <w:rFonts w:ascii="宋体" w:hAnsi="宋体" w:cs="宋体"/>
          <w:b/>
          <w:sz w:val="24"/>
          <w:szCs w:val="22"/>
        </w:rPr>
        <w:t xml:space="preserve">5 项目实施要求</w:t>
      </w:r>
      <w:r>
        <w:rPr>
          <w:rFonts w:ascii="宋体" w:hAnsi="宋体" w:cs="宋体"/>
          <w:b/>
          <w:sz w:val="32"/>
          <w:szCs w:val="22"/>
        </w:rPr>
      </w:r>
      <w:r/>
    </w:p>
    <w:p>
      <w:pPr>
        <w:pStyle w:val="748"/>
        <w:ind w:firstLine="420"/>
        <w:spacing w:line="400" w:lineRule="exact"/>
        <w:rPr>
          <w:rFonts w:ascii="宋体" w:hAnsi="宋体" w:cs="宋体"/>
          <w:szCs w:val="22"/>
        </w:rPr>
      </w:pPr>
      <w:r>
        <w:rPr>
          <w:rFonts w:ascii="宋体" w:hAnsi="宋体" w:cs="宋体"/>
          <w:sz w:val="22"/>
          <w:szCs w:val="22"/>
        </w:rPr>
        <w:t xml:space="preserve">5.1企业能力要求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供应商具有价格管理相关项目经验，具备相关关键技术软件著作权登记证书，如：价格信息管理、收费动态监管服务、价格综合监管等。</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5.2企业业绩要求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供应商具有承担过的类似项目业绩（</w:t>
      </w:r>
      <w:r>
        <w:rPr>
          <w:rFonts w:hint="eastAsia" w:ascii="宋体" w:hAnsi="宋体" w:cs="宋体"/>
          <w:sz w:val="22"/>
          <w:szCs w:val="22"/>
        </w:rPr>
        <w:t xml:space="preserve">2023年1月1日以来，</w:t>
      </w:r>
      <w:r>
        <w:rPr>
          <w:rFonts w:ascii="宋体" w:hAnsi="宋体" w:cs="宋体"/>
          <w:sz w:val="22"/>
          <w:szCs w:val="22"/>
        </w:rPr>
        <w:t xml:space="preserve">以合同签订日期为准）。</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5.3项目团队要求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为保障项目的顺利实施，供应商应合理组建本项目的实施团队，确保有效人力和物力的投入。项目实施团队应由</w:t>
      </w:r>
      <w:bookmarkStart w:id="210" w:name="OLE_LINK20"/>
      <w:r>
        <w:rPr>
          <w:rFonts w:ascii="宋体" w:hAnsi="宋体" w:cs="宋体"/>
          <w:sz w:val="22"/>
          <w:szCs w:val="22"/>
        </w:rPr>
        <w:t xml:space="preserve">项目经理</w:t>
      </w:r>
      <w:bookmarkEnd w:id="210"/>
      <w:r>
        <w:rPr>
          <w:rFonts w:ascii="宋体" w:hAnsi="宋体" w:cs="宋体"/>
          <w:sz w:val="22"/>
          <w:szCs w:val="22"/>
        </w:rPr>
        <w:t xml:space="preserve">、</w:t>
      </w:r>
      <w:bookmarkStart w:id="211" w:name="OLE_LINK21"/>
      <w:r>
        <w:rPr>
          <w:rFonts w:ascii="宋体" w:hAnsi="宋体" w:cs="宋体"/>
          <w:sz w:val="22"/>
          <w:szCs w:val="22"/>
        </w:rPr>
        <w:t xml:space="preserve">技术负责人</w:t>
      </w:r>
      <w:bookmarkEnd w:id="211"/>
      <w:r/>
      <w:bookmarkStart w:id="212" w:name="OLE_LINK22"/>
      <w:r>
        <w:rPr>
          <w:rFonts w:hint="eastAsia" w:ascii="宋体" w:hAnsi="宋体" w:cs="宋体"/>
          <w:sz w:val="22"/>
          <w:szCs w:val="22"/>
        </w:rPr>
        <w:t xml:space="preserve">、</w:t>
      </w:r>
      <w:r>
        <w:rPr>
          <w:rFonts w:ascii="宋体" w:hAnsi="宋体" w:cs="宋体"/>
          <w:sz w:val="22"/>
          <w:szCs w:val="22"/>
        </w:rPr>
        <w:t xml:space="preserve">其他团队成员</w:t>
      </w:r>
      <w:bookmarkEnd w:id="212"/>
      <w:r>
        <w:rPr>
          <w:rFonts w:ascii="宋体" w:hAnsi="宋体" w:cs="宋体"/>
          <w:sz w:val="22"/>
          <w:szCs w:val="22"/>
        </w:rPr>
        <w:t xml:space="preserve">组成，团队总人数不少于8人。</w:t>
      </w:r>
      <w:r>
        <w:rPr>
          <w:rFonts w:ascii="宋体" w:hAnsi="宋体" w:cs="宋体"/>
          <w:szCs w:val="2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4"/>
        <w:gridCol w:w="956"/>
        <w:gridCol w:w="2693"/>
        <w:gridCol w:w="2977"/>
      </w:tblGrid>
      <w:tr>
        <w:trPr/>
        <w:tc>
          <w:tcPr>
            <w:tcW w:w="1704" w:type="dxa"/>
            <w:vAlign w:val="top"/>
            <w:textDirection w:val="lrTb"/>
            <w:noWrap w:val="false"/>
          </w:tcPr>
          <w:p>
            <w:pPr>
              <w:pStyle w:val="748"/>
              <w:jc w:val="center"/>
              <w:spacing w:line="400" w:lineRule="exact"/>
              <w:rPr>
                <w:rFonts w:ascii="宋体" w:hAnsi="宋体" w:cs="宋体"/>
                <w:sz w:val="22"/>
                <w:szCs w:val="22"/>
              </w:rPr>
            </w:pPr>
            <w:r>
              <w:rPr>
                <w:rFonts w:hint="eastAsia" w:ascii="宋体" w:hAnsi="宋体" w:cs="宋体"/>
                <w:sz w:val="22"/>
                <w:szCs w:val="22"/>
              </w:rPr>
              <w:t xml:space="preserve">人员角色</w:t>
            </w:r>
            <w:r>
              <w:rPr>
                <w:rFonts w:ascii="宋体" w:hAnsi="宋体" w:cs="宋体"/>
                <w:sz w:val="22"/>
                <w:szCs w:val="22"/>
              </w:rPr>
            </w:r>
            <w:r/>
          </w:p>
        </w:tc>
        <w:tc>
          <w:tcPr>
            <w:tcW w:w="956" w:type="dxa"/>
            <w:vAlign w:val="top"/>
            <w:textDirection w:val="lrTb"/>
            <w:noWrap w:val="false"/>
          </w:tcPr>
          <w:p>
            <w:pPr>
              <w:pStyle w:val="748"/>
              <w:jc w:val="center"/>
              <w:spacing w:line="400" w:lineRule="exact"/>
              <w:rPr>
                <w:rFonts w:ascii="宋体" w:hAnsi="宋体" w:cs="宋体"/>
                <w:sz w:val="22"/>
                <w:szCs w:val="22"/>
              </w:rPr>
            </w:pPr>
            <w:r>
              <w:rPr>
                <w:rFonts w:hint="eastAsia" w:ascii="宋体" w:hAnsi="宋体" w:cs="宋体"/>
                <w:sz w:val="22"/>
                <w:szCs w:val="22"/>
              </w:rPr>
              <w:t xml:space="preserve">数量</w:t>
            </w:r>
            <w:r>
              <w:rPr>
                <w:rFonts w:ascii="宋体" w:hAnsi="宋体" w:cs="宋体"/>
                <w:sz w:val="22"/>
                <w:szCs w:val="22"/>
              </w:rPr>
            </w:r>
            <w:r/>
          </w:p>
        </w:tc>
        <w:tc>
          <w:tcPr>
            <w:tcW w:w="2693" w:type="dxa"/>
            <w:vAlign w:val="top"/>
            <w:textDirection w:val="lrTb"/>
            <w:noWrap w:val="false"/>
          </w:tcPr>
          <w:p>
            <w:pPr>
              <w:pStyle w:val="748"/>
              <w:jc w:val="center"/>
              <w:spacing w:line="400" w:lineRule="exact"/>
              <w:rPr>
                <w:rFonts w:ascii="宋体" w:hAnsi="宋体" w:cs="宋体"/>
                <w:sz w:val="22"/>
                <w:szCs w:val="22"/>
              </w:rPr>
            </w:pPr>
            <w:r>
              <w:rPr>
                <w:rFonts w:hint="eastAsia" w:ascii="宋体" w:hAnsi="宋体" w:cs="宋体"/>
                <w:sz w:val="22"/>
                <w:szCs w:val="22"/>
              </w:rPr>
              <w:t xml:space="preserve">职责</w:t>
            </w:r>
            <w:r>
              <w:rPr>
                <w:rFonts w:ascii="宋体" w:hAnsi="宋体" w:cs="宋体"/>
                <w:sz w:val="22"/>
                <w:szCs w:val="22"/>
              </w:rPr>
            </w:r>
            <w:r/>
          </w:p>
        </w:tc>
        <w:tc>
          <w:tcPr>
            <w:tcW w:w="2977" w:type="dxa"/>
            <w:vAlign w:val="top"/>
            <w:textDirection w:val="lrTb"/>
            <w:noWrap w:val="false"/>
          </w:tcPr>
          <w:p>
            <w:pPr>
              <w:pStyle w:val="748"/>
              <w:jc w:val="center"/>
              <w:spacing w:line="400" w:lineRule="exact"/>
              <w:rPr>
                <w:rFonts w:ascii="宋体" w:hAnsi="宋体" w:cs="宋体"/>
                <w:sz w:val="22"/>
                <w:szCs w:val="22"/>
              </w:rPr>
            </w:pPr>
            <w:r>
              <w:rPr>
                <w:rFonts w:hint="eastAsia" w:ascii="宋体" w:hAnsi="宋体" w:cs="宋体"/>
                <w:sz w:val="22"/>
                <w:szCs w:val="22"/>
              </w:rPr>
              <w:t xml:space="preserve">资质要求</w:t>
            </w:r>
            <w:r>
              <w:rPr>
                <w:rFonts w:ascii="宋体" w:hAnsi="宋体" w:cs="宋体"/>
                <w:sz w:val="22"/>
                <w:szCs w:val="22"/>
              </w:rPr>
            </w:r>
            <w:r/>
          </w:p>
        </w:tc>
      </w:tr>
      <w:tr>
        <w:trPr/>
        <w:tc>
          <w:tcPr>
            <w:tcW w:w="1704" w:type="dxa"/>
            <w:vAlign w:val="center"/>
            <w:textDirection w:val="lrTb"/>
            <w:noWrap w:val="false"/>
          </w:tcPr>
          <w:p>
            <w:pPr>
              <w:pStyle w:val="748"/>
              <w:jc w:val="center"/>
              <w:spacing w:line="400" w:lineRule="exact"/>
              <w:rPr>
                <w:rFonts w:ascii="宋体" w:hAnsi="宋体" w:cs="宋体"/>
                <w:sz w:val="22"/>
                <w:szCs w:val="22"/>
              </w:rPr>
            </w:pPr>
            <w:r>
              <w:rPr>
                <w:rFonts w:ascii="宋体" w:hAnsi="宋体" w:cs="宋体"/>
                <w:sz w:val="22"/>
                <w:szCs w:val="22"/>
              </w:rPr>
              <w:t xml:space="preserve">项目经理</w:t>
            </w:r>
            <w:r/>
          </w:p>
        </w:tc>
        <w:tc>
          <w:tcPr>
            <w:tcW w:w="956" w:type="dxa"/>
            <w:vAlign w:val="center"/>
            <w:textDirection w:val="lrTb"/>
            <w:noWrap w:val="false"/>
          </w:tcPr>
          <w:p>
            <w:pPr>
              <w:pStyle w:val="748"/>
              <w:jc w:val="center"/>
              <w:spacing w:line="400" w:lineRule="exact"/>
              <w:rPr>
                <w:rFonts w:ascii="宋体" w:hAnsi="宋体" w:cs="宋体"/>
                <w:sz w:val="22"/>
                <w:szCs w:val="22"/>
              </w:rPr>
            </w:pPr>
            <w:r>
              <w:rPr>
                <w:rFonts w:hint="eastAsia" w:ascii="宋体" w:hAnsi="宋体" w:cs="宋体"/>
                <w:sz w:val="22"/>
                <w:szCs w:val="22"/>
              </w:rPr>
              <w:t xml:space="preserve">1人</w:t>
            </w:r>
            <w:r>
              <w:rPr>
                <w:rFonts w:ascii="宋体" w:hAnsi="宋体" w:cs="宋体"/>
                <w:sz w:val="22"/>
                <w:szCs w:val="22"/>
              </w:rPr>
            </w:r>
            <w:r/>
          </w:p>
        </w:tc>
        <w:tc>
          <w:tcPr>
            <w:tcW w:w="2693" w:type="dxa"/>
            <w:vAlign w:val="center"/>
            <w:textDirection w:val="lrTb"/>
            <w:noWrap w:val="false"/>
          </w:tcPr>
          <w:p>
            <w:pPr>
              <w:pStyle w:val="748"/>
              <w:jc w:val="left"/>
              <w:spacing w:line="400" w:lineRule="exact"/>
              <w:rPr>
                <w:rFonts w:ascii="宋体" w:hAnsi="宋体" w:cs="宋体"/>
                <w:sz w:val="22"/>
                <w:szCs w:val="22"/>
              </w:rPr>
            </w:pPr>
            <w:r>
              <w:rPr>
                <w:rFonts w:ascii="宋体" w:hAnsi="宋体" w:cs="宋体"/>
                <w:sz w:val="22"/>
                <w:szCs w:val="22"/>
              </w:rPr>
              <w:t xml:space="preserve">项目总负责，</w:t>
            </w:r>
            <w:r>
              <w:rPr>
                <w:rFonts w:hint="eastAsia" w:ascii="宋体" w:hAnsi="宋体" w:cs="宋体"/>
                <w:sz w:val="22"/>
                <w:szCs w:val="22"/>
              </w:rPr>
              <w:t xml:space="preserve">负责项目</w:t>
            </w:r>
            <w:r>
              <w:rPr>
                <w:rFonts w:ascii="宋体" w:hAnsi="宋体" w:cs="宋体"/>
                <w:sz w:val="22"/>
                <w:szCs w:val="22"/>
              </w:rPr>
              <w:t xml:space="preserve">进度</w:t>
            </w:r>
            <w:r>
              <w:rPr>
                <w:rFonts w:hint="eastAsia" w:ascii="宋体" w:hAnsi="宋体" w:cs="宋体"/>
                <w:sz w:val="22"/>
                <w:szCs w:val="22"/>
              </w:rPr>
              <w:t xml:space="preserve">、</w:t>
            </w:r>
            <w:r>
              <w:rPr>
                <w:rFonts w:ascii="宋体" w:hAnsi="宋体" w:cs="宋体"/>
                <w:sz w:val="22"/>
                <w:szCs w:val="22"/>
              </w:rPr>
              <w:t xml:space="preserve">质量</w:t>
            </w:r>
            <w:r>
              <w:rPr>
                <w:rFonts w:hint="eastAsia" w:ascii="宋体" w:hAnsi="宋体" w:cs="宋体"/>
                <w:sz w:val="22"/>
                <w:szCs w:val="22"/>
              </w:rPr>
              <w:t xml:space="preserve">、</w:t>
            </w:r>
            <w:r>
              <w:rPr>
                <w:rFonts w:ascii="宋体" w:hAnsi="宋体" w:cs="宋体"/>
                <w:sz w:val="22"/>
                <w:szCs w:val="22"/>
              </w:rPr>
              <w:t xml:space="preserve">风险管控</w:t>
            </w:r>
            <w:r>
              <w:rPr>
                <w:rFonts w:hint="eastAsia" w:ascii="宋体" w:hAnsi="宋体" w:cs="宋体"/>
                <w:sz w:val="22"/>
                <w:szCs w:val="22"/>
              </w:rPr>
              <w:t xml:space="preserve">等。</w:t>
            </w:r>
            <w:r>
              <w:rPr>
                <w:rFonts w:ascii="宋体" w:hAnsi="宋体" w:cs="宋体"/>
                <w:sz w:val="22"/>
                <w:szCs w:val="22"/>
              </w:rPr>
            </w:r>
            <w:r/>
          </w:p>
        </w:tc>
        <w:tc>
          <w:tcPr>
            <w:tcW w:w="2977" w:type="dxa"/>
            <w:vAlign w:val="center"/>
            <w:textDirection w:val="lrTb"/>
            <w:noWrap w:val="false"/>
          </w:tcPr>
          <w:p>
            <w:pPr>
              <w:pStyle w:val="748"/>
              <w:jc w:val="left"/>
              <w:spacing w:line="400" w:lineRule="exact"/>
              <w:rPr>
                <w:rFonts w:ascii="宋体" w:hAnsi="宋体" w:cs="宋体"/>
                <w:sz w:val="22"/>
                <w:szCs w:val="22"/>
              </w:rPr>
            </w:pPr>
            <w:r/>
            <w:bookmarkStart w:id="213" w:name="OLE_LINK23"/>
            <w:r>
              <w:rPr>
                <w:rFonts w:hint="eastAsia" w:ascii="宋体" w:hAnsi="宋体" w:cs="宋体"/>
                <w:sz w:val="22"/>
                <w:szCs w:val="22"/>
              </w:rPr>
              <w:t xml:space="preserve">具备</w:t>
            </w:r>
            <w:r>
              <w:rPr>
                <w:rFonts w:ascii="宋体" w:hAnsi="宋体" w:cs="宋体"/>
                <w:sz w:val="22"/>
                <w:szCs w:val="22"/>
              </w:rPr>
              <w:t xml:space="preserve">5年以上同类项目管理经验</w:t>
            </w:r>
            <w:r>
              <w:rPr>
                <w:rFonts w:hint="eastAsia" w:ascii="宋体" w:hAnsi="宋体" w:cs="宋体"/>
                <w:sz w:val="22"/>
                <w:szCs w:val="22"/>
              </w:rPr>
              <w:t xml:space="preserve">。</w:t>
            </w:r>
            <w:bookmarkEnd w:id="213"/>
            <w:r>
              <w:rPr>
                <w:rFonts w:ascii="宋体" w:hAnsi="宋体" w:cs="宋体"/>
                <w:sz w:val="22"/>
                <w:szCs w:val="22"/>
              </w:rPr>
            </w:r>
            <w:r/>
          </w:p>
          <w:p>
            <w:pPr>
              <w:pStyle w:val="748"/>
              <w:jc w:val="left"/>
              <w:spacing w:line="400" w:lineRule="exact"/>
              <w:rPr>
                <w:rFonts w:ascii="宋体" w:hAnsi="宋体" w:cs="宋体"/>
                <w:sz w:val="22"/>
                <w:szCs w:val="22"/>
              </w:rPr>
            </w:pPr>
            <w:r/>
            <w:bookmarkStart w:id="214" w:name="OLE_LINK26"/>
            <w:r>
              <w:rPr>
                <w:rFonts w:hint="eastAsia" w:ascii="宋体" w:hAnsi="宋体" w:cs="宋体"/>
                <w:sz w:val="22"/>
                <w:szCs w:val="22"/>
              </w:rPr>
              <w:t xml:space="preserve">具备</w:t>
            </w:r>
            <w:r>
              <w:rPr>
                <w:rFonts w:ascii="宋体" w:hAnsi="宋体" w:cs="宋体"/>
                <w:sz w:val="22"/>
                <w:szCs w:val="22"/>
              </w:rPr>
              <w:t xml:space="preserve">信息系统项目管理师</w:t>
            </w:r>
            <w:r>
              <w:rPr>
                <w:rFonts w:hint="eastAsia" w:ascii="宋体" w:hAnsi="宋体" w:cs="宋体"/>
                <w:sz w:val="22"/>
                <w:szCs w:val="22"/>
              </w:rPr>
              <w:t xml:space="preserve">证书</w:t>
            </w:r>
            <w:bookmarkEnd w:id="214"/>
            <w:r>
              <w:rPr>
                <w:rFonts w:hint="eastAsia" w:ascii="宋体" w:hAnsi="宋体" w:cs="宋体"/>
                <w:sz w:val="22"/>
                <w:szCs w:val="22"/>
              </w:rPr>
              <w:t xml:space="preserve">。</w:t>
            </w:r>
            <w:r>
              <w:rPr>
                <w:rFonts w:ascii="宋体" w:hAnsi="宋体" w:cs="宋体"/>
                <w:sz w:val="22"/>
                <w:szCs w:val="22"/>
              </w:rPr>
            </w:r>
            <w:r/>
          </w:p>
        </w:tc>
      </w:tr>
      <w:tr>
        <w:trPr/>
        <w:tc>
          <w:tcPr>
            <w:tcW w:w="1704" w:type="dxa"/>
            <w:vAlign w:val="center"/>
            <w:textDirection w:val="lrTb"/>
            <w:noWrap w:val="false"/>
          </w:tcPr>
          <w:p>
            <w:pPr>
              <w:pStyle w:val="748"/>
              <w:jc w:val="center"/>
              <w:spacing w:line="400" w:lineRule="exact"/>
              <w:rPr>
                <w:rFonts w:ascii="宋体" w:hAnsi="宋体" w:cs="宋体"/>
                <w:sz w:val="22"/>
                <w:szCs w:val="22"/>
              </w:rPr>
            </w:pPr>
            <w:r>
              <w:rPr>
                <w:rFonts w:ascii="宋体" w:hAnsi="宋体" w:cs="宋体"/>
                <w:sz w:val="22"/>
                <w:szCs w:val="22"/>
              </w:rPr>
              <w:t xml:space="preserve">技术负责人</w:t>
            </w:r>
            <w:r/>
          </w:p>
        </w:tc>
        <w:tc>
          <w:tcPr>
            <w:tcW w:w="956" w:type="dxa"/>
            <w:vAlign w:val="center"/>
            <w:textDirection w:val="lrTb"/>
            <w:noWrap w:val="false"/>
          </w:tcPr>
          <w:p>
            <w:pPr>
              <w:pStyle w:val="748"/>
              <w:jc w:val="center"/>
              <w:spacing w:line="400" w:lineRule="exact"/>
              <w:rPr>
                <w:rFonts w:ascii="宋体" w:hAnsi="宋体" w:cs="宋体"/>
                <w:sz w:val="22"/>
                <w:szCs w:val="22"/>
              </w:rPr>
            </w:pPr>
            <w:r>
              <w:rPr>
                <w:rFonts w:hint="eastAsia" w:ascii="宋体" w:hAnsi="宋体" w:cs="宋体"/>
                <w:sz w:val="22"/>
                <w:szCs w:val="22"/>
              </w:rPr>
              <w:t xml:space="preserve">1人</w:t>
            </w:r>
            <w:r>
              <w:rPr>
                <w:rFonts w:ascii="宋体" w:hAnsi="宋体" w:cs="宋体"/>
                <w:sz w:val="22"/>
                <w:szCs w:val="22"/>
              </w:rPr>
            </w:r>
            <w:r/>
          </w:p>
        </w:tc>
        <w:tc>
          <w:tcPr>
            <w:tcW w:w="2693" w:type="dxa"/>
            <w:vAlign w:val="center"/>
            <w:textDirection w:val="lrTb"/>
            <w:noWrap w:val="false"/>
          </w:tcPr>
          <w:p>
            <w:pPr>
              <w:pStyle w:val="748"/>
              <w:jc w:val="left"/>
              <w:spacing w:line="400" w:lineRule="exact"/>
              <w:rPr>
                <w:rFonts w:ascii="宋体" w:hAnsi="宋体" w:cs="宋体"/>
                <w:sz w:val="22"/>
                <w:szCs w:val="22"/>
              </w:rPr>
            </w:pPr>
            <w:r>
              <w:rPr>
                <w:rFonts w:hint="eastAsia" w:ascii="宋体" w:hAnsi="宋体" w:cs="宋体"/>
                <w:sz w:val="22"/>
                <w:szCs w:val="22"/>
              </w:rPr>
              <w:t xml:space="preserve">负责系统集成</w:t>
            </w:r>
            <w:r>
              <w:rPr>
                <w:rFonts w:ascii="宋体" w:hAnsi="宋体" w:cs="宋体"/>
                <w:sz w:val="22"/>
                <w:szCs w:val="22"/>
              </w:rPr>
              <w:t xml:space="preserve">、异构对接与整体联调</w:t>
            </w:r>
            <w:r>
              <w:rPr>
                <w:rFonts w:hint="eastAsia" w:ascii="宋体" w:hAnsi="宋体" w:cs="宋体"/>
                <w:sz w:val="22"/>
                <w:szCs w:val="22"/>
              </w:rPr>
              <w:t xml:space="preserve">等工作。</w:t>
            </w:r>
            <w:r>
              <w:rPr>
                <w:rFonts w:ascii="宋体" w:hAnsi="宋体" w:cs="宋体"/>
                <w:sz w:val="22"/>
                <w:szCs w:val="22"/>
              </w:rPr>
            </w:r>
            <w:r/>
          </w:p>
        </w:tc>
        <w:tc>
          <w:tcPr>
            <w:tcW w:w="2977" w:type="dxa"/>
            <w:vAlign w:val="center"/>
            <w:textDirection w:val="lrTb"/>
            <w:noWrap w:val="false"/>
          </w:tcPr>
          <w:p>
            <w:pPr>
              <w:pStyle w:val="748"/>
              <w:jc w:val="left"/>
              <w:spacing w:line="400" w:lineRule="exact"/>
              <w:rPr>
                <w:rFonts w:ascii="宋体" w:hAnsi="宋体" w:cs="宋体"/>
                <w:sz w:val="22"/>
                <w:szCs w:val="22"/>
              </w:rPr>
            </w:pPr>
            <w:r>
              <w:rPr>
                <w:rFonts w:hint="eastAsia" w:ascii="宋体" w:hAnsi="宋体" w:cs="宋体"/>
                <w:sz w:val="22"/>
                <w:szCs w:val="22"/>
              </w:rPr>
              <w:t xml:space="preserve">具备5</w:t>
            </w:r>
            <w:r>
              <w:rPr>
                <w:rFonts w:ascii="宋体" w:hAnsi="宋体" w:cs="宋体"/>
                <w:sz w:val="22"/>
                <w:szCs w:val="22"/>
              </w:rPr>
              <w:t xml:space="preserve">年以上</w:t>
            </w:r>
            <w:r>
              <w:rPr>
                <w:rFonts w:hint="eastAsia" w:ascii="宋体" w:hAnsi="宋体" w:cs="宋体"/>
                <w:sz w:val="22"/>
                <w:szCs w:val="22"/>
              </w:rPr>
              <w:t xml:space="preserve">同类项目工作</w:t>
            </w:r>
            <w:r>
              <w:rPr>
                <w:rFonts w:ascii="宋体" w:hAnsi="宋体" w:cs="宋体"/>
                <w:sz w:val="22"/>
                <w:szCs w:val="22"/>
              </w:rPr>
              <w:t xml:space="preserve">经验。</w:t>
            </w:r>
            <w:r/>
          </w:p>
          <w:p>
            <w:pPr>
              <w:pStyle w:val="748"/>
              <w:jc w:val="left"/>
              <w:spacing w:line="400" w:lineRule="exact"/>
              <w:rPr>
                <w:rFonts w:ascii="宋体" w:hAnsi="宋体" w:cs="宋体"/>
                <w:sz w:val="22"/>
                <w:szCs w:val="22"/>
              </w:rPr>
            </w:pPr>
            <w:r>
              <w:rPr>
                <w:rFonts w:hint="eastAsia" w:ascii="宋体" w:hAnsi="宋体" w:cs="宋体"/>
                <w:sz w:val="22"/>
                <w:szCs w:val="22"/>
              </w:rPr>
              <w:t xml:space="preserve">具备</w:t>
            </w:r>
            <w:bookmarkStart w:id="215" w:name="OLE_LINK25"/>
            <w:r>
              <w:rPr>
                <w:rFonts w:ascii="宋体" w:hAnsi="宋体" w:cs="宋体"/>
                <w:sz w:val="22"/>
                <w:szCs w:val="22"/>
              </w:rPr>
              <w:t xml:space="preserve">系统集成</w:t>
            </w:r>
            <w:bookmarkEnd w:id="215"/>
            <w:r>
              <w:rPr>
                <w:rFonts w:ascii="宋体" w:hAnsi="宋体" w:cs="宋体"/>
                <w:sz w:val="22"/>
                <w:szCs w:val="22"/>
              </w:rPr>
              <w:t xml:space="preserve">项目管理工程师</w:t>
            </w:r>
            <w:r>
              <w:rPr>
                <w:rFonts w:hint="eastAsia" w:ascii="宋体" w:hAnsi="宋体" w:cs="宋体"/>
                <w:sz w:val="22"/>
                <w:szCs w:val="22"/>
              </w:rPr>
              <w:t xml:space="preserve">证书。</w:t>
            </w:r>
            <w:r>
              <w:rPr>
                <w:rFonts w:ascii="宋体" w:hAnsi="宋体" w:cs="宋体"/>
                <w:sz w:val="22"/>
                <w:szCs w:val="22"/>
              </w:rPr>
            </w:r>
            <w:r/>
          </w:p>
        </w:tc>
      </w:tr>
      <w:tr>
        <w:trPr/>
        <w:tc>
          <w:tcPr>
            <w:tcW w:w="1704" w:type="dxa"/>
            <w:vAlign w:val="center"/>
            <w:textDirection w:val="lrTb"/>
            <w:noWrap w:val="false"/>
          </w:tcPr>
          <w:p>
            <w:pPr>
              <w:pStyle w:val="748"/>
              <w:jc w:val="center"/>
              <w:spacing w:line="400" w:lineRule="exact"/>
              <w:rPr>
                <w:rFonts w:ascii="宋体" w:hAnsi="宋体" w:cs="宋体"/>
                <w:sz w:val="22"/>
                <w:szCs w:val="22"/>
              </w:rPr>
            </w:pPr>
            <w:r>
              <w:rPr>
                <w:rFonts w:ascii="宋体" w:hAnsi="宋体" w:cs="宋体"/>
                <w:sz w:val="22"/>
                <w:szCs w:val="22"/>
              </w:rPr>
              <w:t xml:space="preserve">其他团队成员</w:t>
            </w:r>
            <w:r/>
          </w:p>
        </w:tc>
        <w:tc>
          <w:tcPr>
            <w:tcW w:w="956" w:type="dxa"/>
            <w:vAlign w:val="center"/>
            <w:textDirection w:val="lrTb"/>
            <w:noWrap w:val="false"/>
          </w:tcPr>
          <w:p>
            <w:pPr>
              <w:pStyle w:val="748"/>
              <w:jc w:val="center"/>
              <w:spacing w:line="400" w:lineRule="exact"/>
              <w:rPr>
                <w:rFonts w:ascii="宋体" w:hAnsi="宋体" w:cs="宋体"/>
                <w:sz w:val="22"/>
                <w:szCs w:val="22"/>
              </w:rPr>
            </w:pPr>
            <w:r>
              <w:rPr>
                <w:rFonts w:ascii="宋体" w:hAnsi="宋体" w:cs="宋体"/>
                <w:sz w:val="22"/>
                <w:szCs w:val="22"/>
              </w:rPr>
              <w:t xml:space="preserve">≥</w:t>
            </w:r>
            <w:r>
              <w:rPr>
                <w:rFonts w:hint="eastAsia" w:ascii="宋体" w:hAnsi="宋体" w:cs="宋体"/>
                <w:sz w:val="22"/>
                <w:szCs w:val="22"/>
              </w:rPr>
              <w:t xml:space="preserve">6</w:t>
            </w:r>
            <w:r>
              <w:rPr>
                <w:rFonts w:ascii="宋体" w:hAnsi="宋体" w:cs="宋体"/>
                <w:sz w:val="22"/>
                <w:szCs w:val="22"/>
              </w:rPr>
              <w:t xml:space="preserve">人</w:t>
            </w:r>
            <w:r/>
          </w:p>
        </w:tc>
        <w:tc>
          <w:tcPr>
            <w:tcW w:w="2693" w:type="dxa"/>
            <w:vAlign w:val="center"/>
            <w:textDirection w:val="lrTb"/>
            <w:noWrap w:val="false"/>
          </w:tcPr>
          <w:p>
            <w:pPr>
              <w:pStyle w:val="748"/>
              <w:jc w:val="left"/>
              <w:spacing w:line="400" w:lineRule="exact"/>
              <w:rPr>
                <w:rFonts w:ascii="宋体" w:hAnsi="宋体" w:cs="宋体"/>
                <w:sz w:val="22"/>
                <w:szCs w:val="22"/>
              </w:rPr>
            </w:pPr>
            <w:r>
              <w:rPr>
                <w:rFonts w:hint="eastAsia" w:ascii="宋体" w:hAnsi="宋体" w:cs="宋体"/>
                <w:sz w:val="22"/>
                <w:szCs w:val="22"/>
              </w:rPr>
              <w:t xml:space="preserve">负责</w:t>
            </w:r>
            <w:r>
              <w:rPr>
                <w:rFonts w:ascii="宋体" w:hAnsi="宋体" w:cs="宋体"/>
                <w:sz w:val="22"/>
                <w:szCs w:val="22"/>
              </w:rPr>
              <w:t xml:space="preserve">开发、测试、部署、数据迁移、文档编制等具体执行工作</w:t>
            </w:r>
            <w:r>
              <w:rPr>
                <w:rFonts w:hint="eastAsia" w:ascii="宋体" w:hAnsi="宋体" w:cs="宋体"/>
                <w:sz w:val="22"/>
                <w:szCs w:val="22"/>
              </w:rPr>
              <w:t xml:space="preserve">。</w:t>
            </w:r>
            <w:r>
              <w:rPr>
                <w:rFonts w:ascii="宋体" w:hAnsi="宋体" w:cs="宋体"/>
                <w:sz w:val="22"/>
                <w:szCs w:val="22"/>
              </w:rPr>
            </w:r>
            <w:r/>
          </w:p>
        </w:tc>
        <w:tc>
          <w:tcPr>
            <w:tcW w:w="2977" w:type="dxa"/>
            <w:vAlign w:val="center"/>
            <w:textDirection w:val="lrTb"/>
            <w:noWrap w:val="false"/>
          </w:tcPr>
          <w:p>
            <w:pPr>
              <w:pStyle w:val="748"/>
              <w:jc w:val="left"/>
              <w:spacing w:line="400" w:lineRule="exact"/>
              <w:rPr>
                <w:rFonts w:ascii="宋体" w:hAnsi="宋体" w:cs="宋体"/>
                <w:sz w:val="22"/>
                <w:szCs w:val="22"/>
              </w:rPr>
            </w:pPr>
            <w:r>
              <w:rPr>
                <w:rFonts w:hint="eastAsia" w:ascii="宋体" w:hAnsi="宋体" w:cs="宋体"/>
                <w:sz w:val="22"/>
                <w:szCs w:val="22"/>
              </w:rPr>
              <w:t xml:space="preserve">具备3</w:t>
            </w:r>
            <w:r>
              <w:rPr>
                <w:rFonts w:ascii="宋体" w:hAnsi="宋体" w:cs="宋体"/>
                <w:sz w:val="22"/>
                <w:szCs w:val="22"/>
              </w:rPr>
              <w:t xml:space="preserve">年以上</w:t>
            </w:r>
            <w:r>
              <w:rPr>
                <w:rFonts w:hint="eastAsia" w:ascii="宋体" w:hAnsi="宋体" w:cs="宋体"/>
                <w:sz w:val="22"/>
                <w:szCs w:val="22"/>
              </w:rPr>
              <w:t xml:space="preserve">同类项目工作</w:t>
            </w:r>
            <w:r>
              <w:rPr>
                <w:rFonts w:ascii="宋体" w:hAnsi="宋体" w:cs="宋体"/>
                <w:sz w:val="22"/>
                <w:szCs w:val="22"/>
              </w:rPr>
              <w:t xml:space="preserve">经验。</w:t>
            </w:r>
            <w:r/>
          </w:p>
        </w:tc>
      </w:tr>
    </w:tbl>
    <w:p>
      <w:pPr>
        <w:pStyle w:val="748"/>
        <w:spacing w:line="400" w:lineRule="exact"/>
        <w:rPr>
          <w:rFonts w:ascii="宋体" w:hAnsi="宋体" w:cs="宋体"/>
          <w:sz w:val="22"/>
          <w:szCs w:val="22"/>
        </w:rPr>
      </w:pPr>
      <w:r>
        <w:rPr>
          <w:rFonts w:ascii="宋体" w:hAnsi="宋体" w:cs="宋体"/>
          <w:sz w:val="22"/>
          <w:szCs w:val="22"/>
        </w:rPr>
      </w:r>
      <w:r/>
    </w:p>
    <w:p>
      <w:pPr>
        <w:pStyle w:val="748"/>
        <w:ind w:firstLine="420"/>
        <w:spacing w:line="400" w:lineRule="exact"/>
        <w:rPr>
          <w:rFonts w:ascii="宋体" w:hAnsi="宋体" w:cs="宋体"/>
          <w:szCs w:val="22"/>
        </w:rPr>
      </w:pPr>
      <w:r/>
      <w:bookmarkStart w:id="216" w:name="OLE_LINK109"/>
      <w:r>
        <w:rPr>
          <w:rFonts w:ascii="宋体" w:hAnsi="宋体" w:cs="宋体"/>
          <w:sz w:val="22"/>
          <w:szCs w:val="22"/>
        </w:rPr>
        <w:t xml:space="preserve">5.</w:t>
      </w:r>
      <w:r>
        <w:rPr>
          <w:rFonts w:hint="eastAsia" w:ascii="宋体" w:hAnsi="宋体" w:cs="宋体"/>
          <w:sz w:val="22"/>
          <w:szCs w:val="22"/>
        </w:rPr>
        <w:t xml:space="preserve">4</w:t>
      </w:r>
      <w:r>
        <w:rPr>
          <w:rFonts w:ascii="宋体" w:hAnsi="宋体" w:cs="宋体"/>
          <w:sz w:val="22"/>
          <w:szCs w:val="22"/>
        </w:rPr>
        <w:t xml:space="preserve">培训要求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供应商须根据系统软件的功能和特点，针对不同用户角色进行不同培训，在投标文件中提出详细的系统培训方案。</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5.</w:t>
      </w:r>
      <w:r>
        <w:rPr>
          <w:rFonts w:hint="eastAsia" w:ascii="宋体" w:hAnsi="宋体" w:cs="宋体"/>
          <w:sz w:val="22"/>
          <w:szCs w:val="22"/>
        </w:rPr>
        <w:t xml:space="preserve">5</w:t>
      </w:r>
      <w:r>
        <w:rPr>
          <w:rFonts w:ascii="宋体" w:hAnsi="宋体" w:cs="宋体"/>
          <w:sz w:val="22"/>
          <w:szCs w:val="22"/>
        </w:rPr>
        <w:t xml:space="preserve">保密要求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供应商必须提供对本项目的保密承诺，签订保密协议，保证对项目实施过程中产生的各类技术文件、信息以及由采购人提供的所有内部资料、技术文档和信息予以保密；未经采购人书面许可，供应商不得以任何形式向第三方透露本项目标书以及本项目的任何内容。</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5.</w:t>
      </w:r>
      <w:r>
        <w:rPr>
          <w:rFonts w:hint="eastAsia" w:ascii="宋体" w:hAnsi="宋体" w:cs="宋体"/>
          <w:sz w:val="22"/>
          <w:szCs w:val="22"/>
        </w:rPr>
        <w:t xml:space="preserve">6</w:t>
      </w:r>
      <w:r>
        <w:rPr>
          <w:rFonts w:ascii="宋体" w:hAnsi="宋体" w:cs="宋体"/>
          <w:sz w:val="22"/>
          <w:szCs w:val="22"/>
        </w:rPr>
        <w:t xml:space="preserve">售后服务要求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（1）服务范围</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供应商须对因国产化环境适配、代码迁移改造、国密算法集成、数据迁移等工作引发的系统故障、性能异常、兼容性问题承担全部责任，提供无偿修复与优化服务。</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（2）故障响应要求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供应商须建立7×24小时故障响应机制，针对国产化环境特有的兼容性问题（如数据库死锁、内存溢出、国密证书失效、中间件配置异常等），须在1小时内响应，8小时提供解决方案，24小时内完成修复。</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5.</w:t>
      </w:r>
      <w:r>
        <w:rPr>
          <w:rFonts w:hint="eastAsia" w:ascii="宋体" w:hAnsi="宋体" w:cs="宋体"/>
          <w:sz w:val="22"/>
          <w:szCs w:val="22"/>
        </w:rPr>
        <w:t xml:space="preserve">7</w:t>
      </w:r>
      <w:r>
        <w:rPr>
          <w:rFonts w:ascii="宋体" w:hAnsi="宋体" w:cs="宋体"/>
          <w:sz w:val="22"/>
          <w:szCs w:val="22"/>
        </w:rPr>
        <w:t xml:space="preserve">性能要求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系统应达到或优于以下基本要求：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（1）系统运行能满足100个以上用户并发使用。</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（2）系统能够7×24小时连续运行，平均年故障时间≤1天，平均故障修复时间≤30分钟。</w:t>
      </w:r>
      <w:r>
        <w:rPr>
          <w:rFonts w:ascii="宋体" w:hAnsi="宋体" w:cs="宋体"/>
          <w:szCs w:val="22"/>
        </w:rPr>
      </w:r>
      <w:r/>
    </w:p>
    <w:p>
      <w:pPr>
        <w:pStyle w:val="748"/>
        <w:ind w:firstLine="420"/>
        <w:spacing w:line="400" w:lineRule="exact"/>
        <w:rPr>
          <w:rFonts w:ascii="宋体" w:hAnsi="宋体" w:cs="宋体"/>
          <w:sz w:val="22"/>
          <w:szCs w:val="22"/>
        </w:rPr>
      </w:pPr>
      <w:r>
        <w:rPr>
          <w:rFonts w:ascii="宋体" w:hAnsi="宋体" w:cs="宋体"/>
          <w:sz w:val="22"/>
          <w:szCs w:val="22"/>
        </w:rPr>
        <w:t xml:space="preserve">（3）在硬件和网络环境达标的前提下，在最大并发访问的情况下，系统操作界面响应时间≤3秒；数据查询效率：一般性数据查询平均响应时间≤3秒；在执行大数据量查询、统计、分析等耗时操作时，应给予进度指示或明确请求用户等待的状态提示。</w:t>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5.8设计方案要求</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5.8.1 需求分析方案</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供应商须提供详细的需求分析方案，对江苏省收费管理系统以下方面进行分析：</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（1）总体思路分析：对江苏省收费管理系统总体建设思路理解深刻，能够准确把握系统定位、建设目标；</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（2）业务流程分析：对江苏省收费管理系统业务流程（含日常收费报告、年度收费报告）理解深刻、分析全面；</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（3）业务需求分析：对江苏省收费管理系统业务需求（含价格主管部门、收费单位、社会公众三类用户的业务需求）理解深刻、分析全面。</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5.8.2 总体设计方案</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供应商须提供详细的总体设计方案，对系统以下方面进行设计：</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（1）总体架构设计：对系统总体架构（含分层架构、技术体系）设计有详细描述；</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（2）技术架构设计：对系统技术架构（含前后端框架、技术路线）设计有详细描述；</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（3）数据架构设计：对系统数据架构（含数据模型、数据流转）设计有详细描述；</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（4）系统部署设计：对系统部署架构（含网络拓扑、服务器配置）设计有详细描述；</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（5）总体性能设计：对系统总体性能指标（含并发能力、响应时间）有详细描述。</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5.8.3 适配改造方案</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供应商须提供详细的国产化适配改造方案，按以下方面分别提出要求：</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（1）适配范围：明确国产化适配范围，包括目标芯片（飞腾、鲲鹏）、操作系统（麒麟、欧拉）、数据库（达梦、人大金仓、高斯）、中间件（东方通、金蝶、华宇）等的目标版本及兼容性要求；</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（2）适配实施：明确适配实施步骤，包括代码迁移、数据迁移等具体实施内容；</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（3）适配验证：明确适配测试验证方法，包括功能测试、性能测试（100 并发、响应时间≤3 秒）等。</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5.8.4 迁移服务方案</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供应商须提供详细的迁移服务方案，按以下方面分别提出要求：</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（1）系统数据现状分析：包括数据规模、数据类型等现状分析；</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（2）数据迁移原则与策略：明确迁移的总体原则、迁移策略；</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（3）数据迁移过程：明确迁移的具体步骤、迁移工具、时间安排；</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（4）迁移保障：明确数据迁移的质量保障措施、风险管控措施及应急预案。</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5.8.5 安全设计方案</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供应商须提供详细的安全设计方案，按以下方面分别提出要求：</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（1）信息系统安全设计方案：包括物理安全、网络安全、主机安全、应用安全、数据安全等设计方案；</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（2）密码应用解决方案：包括密码应用技术方案、密码应用安全性评估（密评）方案等。</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5.8.6 项目实施方案</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供应商须提供详细的项目实施方案，按以下方面分别提出要求：</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（1）项目目标和范围：明确项目实施目标、实施范围及边界；</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（2）组织结构和人员分配：明确项目组织架构、岗位职责、人员分配方案；</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（3）时间计划和进度安排：明确项目实施各阶段（含适配改造、试运行、验收）的时间节点、里程碑及进度保障措施。</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5.8.7 项目培训方案</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供应商须提供详细的项目培训方案，按以下方面分别提出要求：</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（1）培训计划：明确培训目标、培训对象、培训时间、培训方式等计划内容；</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（2）培训流程：包括培训方案制定、培训教材编制、培训实施等流程；</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（3）培训内容：包括系统操作培训、常见问题处理等内容。</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5.8.8 售后服务方案</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供应商须提供详细的售后服务方案，按以下方面分别提出要求：</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（1）故障响应：包括响应时间（7×24 小时，1 小时内响应）、响应方式；</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（2）故障定位：包括故障分析方法、定位流程；</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（3）故障处理：包括处理流程（8 小时提供解决方案、24 小时内完成修复）、解决方案输出、问题闭环。</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5.8.9 保密承诺及措施</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供应商须提供详细的保密承诺及措施，按以下方面分别提出要求：</w:t>
      </w:r>
      <w:r>
        <w:rPr>
          <w:rFonts w:ascii="宋体" w:hAnsi="宋体" w:cs="宋体"/>
          <w:sz w:val="22"/>
          <w:szCs w:val="22"/>
        </w:rPr>
      </w:r>
      <w:r/>
    </w:p>
    <w:p>
      <w:pPr>
        <w:pStyle w:val="748"/>
        <w:ind w:firstLine="420"/>
        <w:spacing w:line="400" w:lineRule="exact"/>
        <w:rPr>
          <w:rFonts w:ascii="宋体" w:hAnsi="宋体" w:cs="宋体"/>
          <w:sz w:val="22"/>
          <w:szCs w:val="22"/>
        </w:rPr>
      </w:pPr>
      <w:r>
        <w:rPr>
          <w:rFonts w:hint="eastAsia" w:ascii="宋体" w:hAnsi="宋体" w:cs="宋体"/>
          <w:sz w:val="22"/>
          <w:szCs w:val="22"/>
        </w:rPr>
        <w:t xml:space="preserve">（1）保密承诺：承诺对项目实施过程中产生的各类技术文件、信息以及由采购人提供的所有内部资料、技术文档和信息予以保密；未经采购人书面许可，不得以任何形式向第三方透露本项目标书以及本项目的任何内容；</w:t>
      </w:r>
      <w:r>
        <w:rPr>
          <w:rFonts w:ascii="宋体" w:hAnsi="宋体" w:cs="宋体"/>
          <w:sz w:val="22"/>
          <w:szCs w:val="22"/>
        </w:rPr>
      </w:r>
      <w:r/>
    </w:p>
    <w:p>
      <w:pPr>
        <w:pStyle w:val="748"/>
        <w:ind w:firstLine="420"/>
        <w:spacing w:line="400" w:lineRule="exact"/>
        <w:rPr>
          <w:rFonts w:ascii="宋体" w:hAnsi="宋体" w:cs="宋体"/>
          <w:szCs w:val="22"/>
        </w:rPr>
      </w:pPr>
      <w:r>
        <w:rPr>
          <w:rFonts w:hint="eastAsia" w:ascii="宋体" w:hAnsi="宋体" w:cs="宋体"/>
          <w:sz w:val="22"/>
          <w:szCs w:val="22"/>
        </w:rPr>
        <w:t xml:space="preserve">（2）保密措施：明确保密管理制度、保密培训等具体措施。</w:t>
      </w:r>
      <w:r>
        <w:rPr>
          <w:rFonts w:ascii="宋体" w:hAnsi="宋体" w:cs="宋体"/>
          <w:szCs w:val="22"/>
        </w:rPr>
      </w:r>
      <w:r/>
    </w:p>
    <w:p>
      <w:pPr>
        <w:pStyle w:val="748"/>
        <w:ind w:firstLine="482"/>
        <w:keepLines/>
        <w:keepNext/>
        <w:spacing w:line="400" w:lineRule="exact"/>
        <w:rPr>
          <w:rFonts w:ascii="宋体" w:hAnsi="宋体" w:cs="宋体"/>
          <w:b/>
          <w:sz w:val="32"/>
          <w:szCs w:val="22"/>
        </w:rPr>
        <w:outlineLvl w:val="1"/>
      </w:pPr>
      <w:r/>
      <w:bookmarkEnd w:id="216"/>
      <w:r>
        <w:rPr>
          <w:rFonts w:ascii="宋体" w:hAnsi="宋体" w:cs="宋体"/>
          <w:b/>
          <w:sz w:val="24"/>
          <w:szCs w:val="22"/>
        </w:rPr>
        <w:t xml:space="preserve">6 付款方式</w:t>
      </w:r>
      <w:r>
        <w:rPr>
          <w:rFonts w:ascii="宋体" w:hAnsi="宋体" w:cs="宋体"/>
          <w:b/>
          <w:sz w:val="32"/>
          <w:szCs w:val="22"/>
        </w:rPr>
      </w:r>
      <w:r/>
    </w:p>
    <w:p>
      <w:pPr>
        <w:pStyle w:val="748"/>
        <w:ind w:firstLine="420"/>
        <w:spacing w:line="400" w:lineRule="exact"/>
        <w:rPr>
          <w:rFonts w:ascii="宋体" w:hAnsi="宋体" w:cs="宋体"/>
          <w:szCs w:val="22"/>
        </w:rPr>
      </w:pPr>
      <w:r>
        <w:rPr>
          <w:rFonts w:ascii="宋体" w:hAnsi="宋体" w:cs="宋体"/>
          <w:sz w:val="22"/>
          <w:szCs w:val="22"/>
        </w:rPr>
        <w:t xml:space="preserve">（1）合同签订后，乙方向甲方提供符合甲方财务要求的发票，甲方收到发票后</w:t>
      </w:r>
      <w:r>
        <w:rPr>
          <w:rFonts w:hint="eastAsia" w:ascii="宋体" w:hAnsi="宋体" w:cs="宋体"/>
          <w:sz w:val="22"/>
          <w:szCs w:val="22"/>
        </w:rPr>
        <w:t xml:space="preserve">10</w:t>
      </w:r>
      <w:r>
        <w:rPr>
          <w:rFonts w:ascii="宋体" w:hAnsi="宋体" w:cs="宋体"/>
          <w:sz w:val="22"/>
          <w:szCs w:val="22"/>
        </w:rPr>
        <w:t xml:space="preserve">个工作日内向乙方支付首付款（合同总价的80%）。</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（2）通过验收后，乙方向甲方提供符合甲方财务要求的发票，甲方收到发票后</w:t>
      </w:r>
      <w:r>
        <w:rPr>
          <w:rFonts w:hint="eastAsia" w:ascii="宋体" w:hAnsi="宋体" w:cs="宋体"/>
          <w:sz w:val="22"/>
          <w:szCs w:val="22"/>
        </w:rPr>
        <w:t xml:space="preserve">10</w:t>
      </w:r>
      <w:r>
        <w:rPr>
          <w:rFonts w:ascii="宋体" w:hAnsi="宋体" w:cs="宋体"/>
          <w:sz w:val="22"/>
          <w:szCs w:val="22"/>
        </w:rPr>
        <w:t xml:space="preserve">个工作日内向乙方支付项目尾款（合同总价的20%）</w:t>
      </w:r>
      <w:r>
        <w:rPr>
          <w:rFonts w:ascii="宋体" w:hAnsi="宋体" w:cs="宋体"/>
          <w:szCs w:val="22"/>
        </w:rPr>
      </w:r>
      <w:r/>
    </w:p>
    <w:p>
      <w:pPr>
        <w:pStyle w:val="748"/>
        <w:ind w:firstLine="482"/>
        <w:keepLines/>
        <w:keepNext/>
        <w:spacing w:line="400" w:lineRule="exact"/>
        <w:rPr>
          <w:rFonts w:ascii="宋体" w:hAnsi="宋体" w:cs="宋体"/>
          <w:b/>
          <w:sz w:val="32"/>
          <w:szCs w:val="22"/>
        </w:rPr>
        <w:outlineLvl w:val="1"/>
      </w:pPr>
      <w:r>
        <w:rPr>
          <w:rFonts w:ascii="宋体" w:hAnsi="宋体" w:cs="宋体"/>
          <w:b/>
          <w:sz w:val="24"/>
          <w:szCs w:val="22"/>
        </w:rPr>
        <w:t xml:space="preserve">7 现场条件、配合要求及安全规范</w:t>
      </w:r>
      <w:r>
        <w:rPr>
          <w:rFonts w:ascii="宋体" w:hAnsi="宋体" w:cs="宋体"/>
          <w:b/>
          <w:sz w:val="32"/>
          <w:szCs w:val="22"/>
        </w:rPr>
      </w:r>
      <w:r/>
    </w:p>
    <w:p>
      <w:pPr>
        <w:pStyle w:val="748"/>
        <w:ind w:firstLine="420"/>
        <w:spacing w:line="400" w:lineRule="exact"/>
        <w:rPr>
          <w:rFonts w:ascii="宋体" w:hAnsi="宋体" w:cs="宋体"/>
          <w:szCs w:val="22"/>
        </w:rPr>
      </w:pPr>
      <w:r>
        <w:rPr>
          <w:rFonts w:ascii="宋体" w:hAnsi="宋体" w:cs="宋体"/>
          <w:sz w:val="22"/>
          <w:szCs w:val="22"/>
        </w:rPr>
        <w:t xml:space="preserve">为保障江苏省收费动态监管</w:t>
      </w:r>
      <w:r>
        <w:rPr>
          <w:rFonts w:hint="eastAsia" w:ascii="宋体" w:hAnsi="宋体" w:cs="宋体"/>
          <w:sz w:val="22"/>
          <w:szCs w:val="22"/>
        </w:rPr>
        <w:t xml:space="preserve">服务</w:t>
      </w:r>
      <w:r>
        <w:rPr>
          <w:rFonts w:ascii="宋体" w:hAnsi="宋体" w:cs="宋体"/>
          <w:sz w:val="22"/>
          <w:szCs w:val="22"/>
        </w:rPr>
        <w:t xml:space="preserve">系统国产化改造项目顺利实施、安全交付，明确各方现场条件、协作配合及安全管理要求如下：</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7.1 现场条件要求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7.1.1 实施环境保障</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（1）省发改委需按项目实施计划，为申请人提供满足系统部署、调试、测试需求的基础环境。</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（2）实施环境需满足平台运行的安全合规要求，具备基础的网络安全防护、访问控制、日志审计能力，保障系统部署与数据传输过程的安全性。</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（3）如需现场部署、调试或运维，省发改委需提前协调场地，提供稳定的电力供应、网络接口及必要的办公设备，确保现场工作不受干扰。</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7.1.2 数据与资料支持</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（1）省发改委需按项目进度，及时、完整提供系统建设所需的基础业务数据、政策文件、业务流程说明、现有系统接口规范等资料，确保申请人能准确理解业务需求，推进系统改造工作。</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（2）提供的业务数据需真实、有效、合规，符合国家及地方行业数据管理相关规定，申请人需对获取的业务数据承担保密责任。</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7.2 配合要求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7.2.1 双方协作配合</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（1）项目实施期间，省发改委需指定专人作为项目联络人，负责协调内部资源、反馈业务需求、确认项目阶段成果，及时响应申请人提出的协作需求，确保项目沟通渠道畅通。</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（2）申请人需按项目实施计划，提前 3 个工作日向省发改委提交现场实施、系统调试、用户培训等工作的时间安排及所需配合事项，省发改委需在合理范围内予以配合。</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7.2.2 实施过程配合</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（1）系统部署、升级、集成及重大运维操作前，申请人需提前向省发改委提交实施方案与风险评估报告，省发改委需组织相关部门确认操作时间与配合事项，确保操作过程不影响现有业务正常开展。</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（2）项目实施过程中，如因政策调整、业务需求变更等因素需调整项目计划，双方需及时沟通协商，形成书面变更记录，明确调整内容、进度影响及配合要求。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（3）系统测试、试运行及验收阶段，省发改委需组织相关业务人员参与功能测试、数据验证及使用反馈，配合申请人完成问题整改与优化工作，确保项目成果符合业务需求。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7.3 安全规范要求</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7.3.1 信息安全管理</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1）申请人需严格遵守国家及地方信息安全相关法律法规，建立完善的信息安全管理制度，对项目实施过程中接触的省发改委业务数据、用户信息、系统配置信息等承担保密责任，未经省发改委书面许可，不得向第三方泄露或用于本项目以外的用途。</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（2）系统改造、部署及运维过程中，申请人需采取必要的安全防护措施，包括但不限于数据加密、访问控制、漏洞扫描、日志审计等，防范数据泄露、篡改、丢失及系统被非法入侵等安全风险。</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（3）涉及用户隐私数据、敏感业务数据的处理，需符合《中华人民共和国个人信息保护法》《数据安全法》等相关规定，确保数据处理活动合法合规。</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7.3.2 现场实施安全规范</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（1）申请人现场实施人员需遵守省发改委现场管理规定，服从场地管理人员的指挥，未经许可不得进入非授权区域，不得擅自操作与项目无关的设备或系统。</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（2）现场实施过程中，需严格遵守电力、网络、机房等相关安全操作规程，规范使用设备工具，避免因操作不当造成设备损坏、数据丢失或安全事故。</w:t>
      </w:r>
      <w:r>
        <w:rPr>
          <w:rFonts w:ascii="宋体" w:hAnsi="宋体" w:cs="宋体"/>
          <w:szCs w:val="22"/>
        </w:rPr>
      </w:r>
      <w:r/>
    </w:p>
    <w:p>
      <w:pPr>
        <w:pStyle w:val="748"/>
        <w:ind w:firstLine="420"/>
        <w:spacing w:line="400" w:lineRule="exact"/>
        <w:rPr>
          <w:rFonts w:ascii="宋体" w:hAnsi="宋体" w:cs="宋体"/>
          <w:szCs w:val="22"/>
        </w:rPr>
      </w:pPr>
      <w:r>
        <w:rPr>
          <w:rFonts w:ascii="宋体" w:hAnsi="宋体" w:cs="宋体"/>
          <w:sz w:val="22"/>
          <w:szCs w:val="22"/>
        </w:rPr>
        <w:t xml:space="preserve">（3）实施过程中如发生安全事件（如数据异常、系统故障、安全漏洞等），申请人需第一时间向省发改委报告，并采取有效措施控制事态发展，配合开展事件调查与处置工作。</w:t>
      </w:r>
      <w:r>
        <w:rPr>
          <w:rFonts w:ascii="宋体" w:hAnsi="宋体" w:cs="宋体"/>
          <w:szCs w:val="22"/>
        </w:rPr>
      </w:r>
      <w:r/>
    </w:p>
    <w:p>
      <w:pPr>
        <w:pStyle w:val="748"/>
        <w:ind w:firstLine="482"/>
        <w:jc w:val="left"/>
        <w:spacing w:line="400" w:lineRule="exact"/>
        <w:rPr>
          <w:rFonts w:hint="eastAsia"/>
          <w:b/>
          <w:sz w:val="24"/>
          <w:szCs w:val="24"/>
        </w:rPr>
      </w:pPr>
      <w:r/>
      <w:bookmarkEnd w:id="209"/>
      <w:r>
        <w:rPr>
          <w:rFonts w:hint="eastAsia"/>
          <w:b/>
          <w:sz w:val="24"/>
          <w:szCs w:val="24"/>
        </w:rPr>
      </w:r>
      <w:r/>
    </w:p>
    <w:p>
      <w:pPr>
        <w:pStyle w:val="748"/>
        <w:ind w:firstLine="482"/>
        <w:jc w:val="left"/>
        <w:spacing w:line="400" w:lineRule="exact"/>
        <w:rPr>
          <w:rFonts w:hint="eastAsia"/>
          <w:b/>
          <w:sz w:val="24"/>
          <w:szCs w:val="24"/>
        </w:rPr>
      </w:pPr>
      <w:r>
        <w:rPr>
          <w:rFonts w:hint="eastAsia"/>
          <w:b/>
          <w:sz w:val="24"/>
          <w:szCs w:val="24"/>
        </w:rPr>
      </w:r>
      <w:r/>
    </w:p>
    <w:p>
      <w:pPr>
        <w:pStyle w:val="748"/>
        <w:jc w:val="center"/>
        <w:spacing w:line="400" w:lineRule="exact"/>
        <w:widowControl/>
        <w:rPr>
          <w:b/>
          <w:sz w:val="24"/>
          <w:szCs w:val="24"/>
          <w:lang w:val="zh-CN"/>
        </w:rPr>
        <w:outlineLvl w:val="1"/>
      </w:pPr>
      <w:r>
        <w:rPr>
          <w:rFonts w:hint="eastAsia"/>
          <w:b/>
          <w:sz w:val="24"/>
          <w:szCs w:val="24"/>
          <w:lang w:val="zh-CN"/>
        </w:rPr>
        <w:t xml:space="preserve">采购包五</w:t>
      </w:r>
      <w:r>
        <w:rPr>
          <w:b/>
          <w:sz w:val="24"/>
          <w:szCs w:val="24"/>
          <w:lang w:val="zh-CN"/>
        </w:rPr>
        <w:t xml:space="preserve"> </w:t>
      </w:r>
      <w:r>
        <w:rPr>
          <w:rFonts w:hint="eastAsia"/>
          <w:b/>
          <w:sz w:val="24"/>
          <w:szCs w:val="24"/>
          <w:lang w:val="zh-CN"/>
        </w:rPr>
        <w:t xml:space="preserve">江苏省经济运行企业调查平台国产化适配改造项目</w:t>
      </w:r>
      <w:r>
        <w:rPr>
          <w:b/>
          <w:sz w:val="24"/>
          <w:szCs w:val="24"/>
          <w:lang w:val="zh-CN"/>
        </w:rPr>
      </w:r>
      <w:r/>
    </w:p>
    <w:p>
      <w:pPr>
        <w:pStyle w:val="748"/>
        <w:spacing w:line="400" w:lineRule="exact"/>
        <w:widowControl/>
        <w:rPr>
          <w:rFonts w:ascii="宋体" w:hAnsi="Calibri" w:cs="Courier New"/>
          <w:b/>
          <w:bCs/>
          <w:szCs w:val="24"/>
        </w:rPr>
      </w:pPr>
      <w:r>
        <w:rPr>
          <w:rFonts w:hint="eastAsia" w:ascii="宋体" w:hAnsi="Calibri" w:cs="Courier New"/>
          <w:b/>
          <w:bCs/>
          <w:szCs w:val="24"/>
        </w:rPr>
        <w:t xml:space="preserve">1、项目概况</w:t>
      </w:r>
      <w:r>
        <w:rPr>
          <w:rFonts w:ascii="宋体" w:hAnsi="Calibri" w:cs="Courier New"/>
          <w:b/>
          <w:bCs/>
          <w:szCs w:val="24"/>
        </w:rPr>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江苏省经济运行企业调查平台（以下简称“平台”）主要功能是通过问卷调查方式持续开展样本企业运行监测，设置管理端与企业端两大端口，具备问卷设计、企业填报、进度跟踪、数据分析等核心功能。平台固定于每季度末月组织开展当季企业专项调查，严格将问卷收集周期控制在一周以内，确保在季度正式结束前完成数据校验、指数测算、形势分析等全部工作，保障调查报告按时保质上报，为全省季度经济研判抢占时间窗口。</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当前平台部署于政务云非国产化环境，存在潜在安全风险与技术依赖，难以适配数字政府建设对信息系统安全可控的刚性要求，亟需通过系统性国产化改造，构建安全、高效、自主可控的政务服务平台底座。按照单位信息化系统国产化工作部署，计划对江苏省经济运行企业调查平台实施全面国产化替代。</w:t>
      </w:r>
      <w:r/>
    </w:p>
    <w:p>
      <w:pPr>
        <w:pStyle w:val="748"/>
        <w:spacing w:line="400" w:lineRule="exact"/>
        <w:widowControl/>
        <w:rPr>
          <w:rFonts w:hint="eastAsia" w:ascii="宋体" w:hAnsi="Calibri" w:cs="Courier New"/>
          <w:b/>
          <w:bCs/>
          <w:szCs w:val="24"/>
        </w:rPr>
      </w:pPr>
      <w:r>
        <w:rPr>
          <w:rFonts w:hint="eastAsia" w:ascii="宋体" w:hAnsi="Calibri" w:cs="Courier New"/>
          <w:b/>
          <w:bCs/>
          <w:szCs w:val="24"/>
        </w:rPr>
        <w:t xml:space="preserve">2、建设目标</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建成全栈国产化、安全可靠、性能达标、平滑演进的江苏省经济运行企业调查平台，实现核心基础设施、基础软件、应用系统的自主可控，显著提升平台安全防护水平和持续服务保障能力。具体目标：</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国产化率100%：实现平台服务器、操作系统、浏览器、数据库、中间件、应用系统、办公组件等全栈组件国产化替代。</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安全合规：满足国家信息安全等级保护二级、密码应用测评三级相关规定。</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平稳迁移：确保业务系统迁移过程平滑、数据完整准确，用户体验无感或提升。</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性能保障：国产化平台整体性能不低于现有水平，关键业务响应时间满足政务服务、业务办理时效要求。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扩容建设：在原功能基础上新增包含样本企业运行监测，构建多元标注体系及样本企业意愿优先动态管理等内容。</w:t>
      </w:r>
      <w:r/>
    </w:p>
    <w:p>
      <w:pPr>
        <w:pStyle w:val="748"/>
        <w:spacing w:line="400" w:lineRule="exact"/>
        <w:widowControl/>
        <w:rPr>
          <w:rFonts w:hint="eastAsia" w:ascii="宋体" w:hAnsi="Calibri" w:cs="Courier New"/>
          <w:b/>
          <w:bCs/>
          <w:szCs w:val="24"/>
        </w:rPr>
      </w:pPr>
      <w:r>
        <w:rPr>
          <w:rFonts w:hint="eastAsia" w:ascii="宋体" w:hAnsi="Calibri" w:cs="Courier New"/>
          <w:b/>
          <w:bCs/>
          <w:szCs w:val="24"/>
        </w:rPr>
        <w:t xml:space="preserve">3、建设内容</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3.1应用系统国产化适配开发</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本次江苏省经济运行企业调查平台适配改造共计8个模块，包括调查公告、数据、调查、问卷统计、热点调查、开放问卷热点调查、企业web端及系统管理的适配改造。具体适配改造功能清单如下：</w:t>
      </w:r>
      <w:r/>
    </w:p>
    <w:tbl>
      <w:tblPr>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756"/>
        <w:gridCol w:w="1446"/>
        <w:gridCol w:w="1421"/>
        <w:gridCol w:w="4931"/>
      </w:tblGrid>
      <w:tr>
        <w:trPr>
          <w:trHeight w:val="520"/>
        </w:trPr>
        <w:tc>
          <w:tcPr>
            <w:shd w:val="clear" w:color="auto" w:fill="f2f2f2"/>
            <w:tcBorders>
              <w:top w:val="single" w:color="000000" w:sz="4" w:space="0"/>
              <w:left w:val="single" w:color="000000" w:sz="4" w:space="0"/>
              <w:bottom w:val="none" w:color="000000" w:sz="4" w:space="0"/>
              <w:right w:val="single" w:color="000000" w:sz="4" w:space="0"/>
            </w:tcBorders>
            <w:tcW w:w="756" w:type="dxa"/>
            <w:vAlign w:val="center"/>
            <w:textDirection w:val="lrTb"/>
            <w:noWrap/>
          </w:tcPr>
          <w:p>
            <w:pPr>
              <w:pStyle w:val="748"/>
              <w:spacing w:line="400" w:lineRule="exact"/>
              <w:widowControl/>
              <w:rPr>
                <w:rFonts w:ascii="宋体" w:hAnsi="Calibri" w:cs="Courier New"/>
                <w:b/>
                <w:bCs/>
                <w:szCs w:val="24"/>
              </w:rPr>
            </w:pPr>
            <w:r>
              <w:rPr>
                <w:rFonts w:hint="eastAsia" w:ascii="宋体" w:hAnsi="Calibri" w:cs="Courier New"/>
                <w:b/>
                <w:bCs/>
                <w:szCs w:val="24"/>
              </w:rPr>
              <w:t xml:space="preserve">序号</w:t>
            </w:r>
            <w:r>
              <w:rPr>
                <w:rFonts w:ascii="宋体" w:hAnsi="Calibri" w:cs="Courier New"/>
                <w:b/>
                <w:bCs/>
                <w:szCs w:val="24"/>
              </w:rPr>
            </w:r>
            <w:r/>
          </w:p>
        </w:tc>
        <w:tc>
          <w:tcPr>
            <w:shd w:val="clear" w:color="auto" w:fill="f2f2f2"/>
            <w:tcBorders>
              <w:top w:val="single" w:color="000000" w:sz="4" w:space="0"/>
              <w:left w:val="single" w:color="000000" w:sz="4" w:space="0"/>
              <w:bottom w:val="none" w:color="000000" w:sz="4" w:space="0"/>
              <w:right w:val="single" w:color="000000" w:sz="4" w:space="0"/>
            </w:tcBorders>
            <w:tcW w:w="1446" w:type="dxa"/>
            <w:vAlign w:val="center"/>
            <w:textDirection w:val="lrTb"/>
            <w:noWrap/>
          </w:tcPr>
          <w:p>
            <w:pPr>
              <w:pStyle w:val="748"/>
              <w:spacing w:line="400" w:lineRule="exact"/>
              <w:widowControl/>
              <w:rPr>
                <w:rFonts w:ascii="宋体" w:hAnsi="Calibri" w:cs="Courier New"/>
                <w:b/>
                <w:bCs/>
                <w:szCs w:val="24"/>
              </w:rPr>
            </w:pPr>
            <w:r>
              <w:rPr>
                <w:rFonts w:hint="eastAsia" w:ascii="宋体" w:hAnsi="Calibri" w:cs="Courier New"/>
                <w:b/>
                <w:bCs/>
                <w:szCs w:val="24"/>
              </w:rPr>
              <w:t xml:space="preserve">一级菜单</w:t>
            </w:r>
            <w:r>
              <w:rPr>
                <w:rFonts w:ascii="宋体" w:hAnsi="Calibri" w:cs="Courier New"/>
                <w:b/>
                <w:bCs/>
                <w:szCs w:val="24"/>
              </w:rPr>
            </w:r>
            <w:r/>
          </w:p>
        </w:tc>
        <w:tc>
          <w:tcPr>
            <w:shd w:val="clear" w:color="auto" w:fill="f2f2f2"/>
            <w:tcBorders>
              <w:top w:val="single" w:color="000000" w:sz="4" w:space="0"/>
              <w:left w:val="single" w:color="000000" w:sz="4" w:space="0"/>
              <w:bottom w:val="none" w:color="000000" w:sz="4" w:space="0"/>
              <w:right w:val="single" w:color="000000" w:sz="4" w:space="0"/>
            </w:tcBorders>
            <w:tcW w:w="1421" w:type="dxa"/>
            <w:vAlign w:val="center"/>
            <w:textDirection w:val="lrTb"/>
            <w:noWrap/>
          </w:tcPr>
          <w:p>
            <w:pPr>
              <w:pStyle w:val="748"/>
              <w:spacing w:line="400" w:lineRule="exact"/>
              <w:widowControl/>
              <w:rPr>
                <w:rFonts w:ascii="宋体" w:hAnsi="Calibri" w:cs="Courier New"/>
                <w:b/>
                <w:bCs/>
                <w:szCs w:val="24"/>
              </w:rPr>
            </w:pPr>
            <w:r>
              <w:rPr>
                <w:rFonts w:hint="eastAsia" w:ascii="宋体" w:hAnsi="Calibri" w:cs="Courier New"/>
                <w:b/>
                <w:bCs/>
                <w:szCs w:val="24"/>
              </w:rPr>
              <w:t xml:space="preserve">二级菜单</w:t>
            </w:r>
            <w:r>
              <w:rPr>
                <w:rFonts w:ascii="宋体" w:hAnsi="Calibri" w:cs="Courier New"/>
                <w:b/>
                <w:bCs/>
                <w:szCs w:val="24"/>
              </w:rPr>
            </w:r>
            <w:r/>
          </w:p>
        </w:tc>
        <w:tc>
          <w:tcPr>
            <w:shd w:val="clear" w:color="auto" w:fill="f2f2f2"/>
            <w:tcBorders>
              <w:top w:val="single" w:color="000000" w:sz="4" w:space="0"/>
              <w:left w:val="single" w:color="000000" w:sz="4" w:space="0"/>
              <w:bottom w:val="none" w:color="000000" w:sz="4" w:space="0"/>
              <w:right w:val="single" w:color="000000" w:sz="4" w:space="0"/>
            </w:tcBorders>
            <w:tcW w:w="4931" w:type="dxa"/>
            <w:vAlign w:val="center"/>
            <w:textDirection w:val="lrTb"/>
            <w:noWrap/>
          </w:tcPr>
          <w:p>
            <w:pPr>
              <w:pStyle w:val="748"/>
              <w:spacing w:line="400" w:lineRule="exact"/>
              <w:widowControl/>
              <w:rPr>
                <w:rFonts w:ascii="宋体" w:hAnsi="Calibri" w:cs="Courier New"/>
                <w:b/>
                <w:bCs/>
                <w:szCs w:val="24"/>
              </w:rPr>
            </w:pPr>
            <w:r>
              <w:rPr>
                <w:rFonts w:hint="eastAsia" w:ascii="宋体" w:hAnsi="Calibri" w:cs="Courier New"/>
                <w:b/>
                <w:bCs/>
                <w:szCs w:val="24"/>
              </w:rPr>
              <w:t xml:space="preserve">功能描述</w:t>
            </w:r>
            <w:r>
              <w:rPr>
                <w:rFonts w:ascii="宋体" w:hAnsi="Calibri" w:cs="Courier New"/>
                <w:b/>
                <w:bCs/>
                <w:szCs w:val="24"/>
              </w:rPr>
            </w:r>
            <w:r/>
          </w:p>
        </w:tc>
      </w:tr>
      <w:tr>
        <w:trPr>
          <w:cantSplit/>
          <w:trHeight w:val="90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1</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restart"/>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调查公告</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公告管理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登记信息包含（公告名称、公告内容、开始日期、结束日志、年份、季度及开通区域控制）；支持公告的查询、新增、修改和删除；</w:t>
            </w:r>
            <w:r>
              <w:rPr>
                <w:rFonts w:ascii="宋体" w:hAnsi="Calibri" w:cs="Courier New"/>
                <w:szCs w:val="24"/>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2</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调查进度</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支持按照公告名称查询省及十三个市的企业调查研究进度情况，用图表方式直观展示进度百分比，用表格方式展示具体调查数据、完成数据、未完成数据及完成比例。</w:t>
            </w:r>
            <w:r>
              <w:rPr>
                <w:rFonts w:ascii="宋体" w:hAnsi="Calibri" w:cs="Courier New"/>
                <w:szCs w:val="24"/>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3</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restart"/>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数据</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行业分类</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支持行业分类查询、新增、修改和删除。</w:t>
            </w:r>
            <w:r>
              <w:rPr>
                <w:rFonts w:ascii="宋体" w:hAnsi="Calibri" w:cs="Courier New"/>
                <w:szCs w:val="24"/>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4</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地区代码</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支持江苏省内地区编码的查询、新增、修改和删除；使用“数智发改”外网门户的统一地区编码信息，根据业务需求再添加大区归属、是否沿海等属性信息。</w:t>
            </w:r>
            <w:r>
              <w:rPr>
                <w:rFonts w:ascii="宋体" w:hAnsi="Calibri" w:cs="Courier New"/>
                <w:szCs w:val="24"/>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5</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行业规模</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行业规模信息包含行业名称、指标名称（从业人员、营业收入）、指标上限、指标下限、归类名称（大型、中型、小型、微型）；支持行业规模的查询、新增、修改和删除。</w:t>
            </w:r>
            <w:r>
              <w:rPr>
                <w:rFonts w:ascii="宋体" w:hAnsi="Calibri" w:cs="Courier New"/>
                <w:szCs w:val="24"/>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6</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所有制类型</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所有制名称（国有经济、集体经济、私营经济、个体经济、联营经济、股份制经济、外商投资经济、港澳台投资经济、其他经济）；支持所有制类型的查询、新增、修改和删除。</w:t>
            </w:r>
            <w:r>
              <w:rPr>
                <w:rFonts w:ascii="宋体" w:hAnsi="Calibri" w:cs="Courier New"/>
                <w:szCs w:val="24"/>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7</w:t>
            </w:r>
            <w:r>
              <w:rPr>
                <w:rFonts w:ascii="宋体" w:hAnsi="Calibri" w:cs="Courier New"/>
                <w:szCs w:val="24"/>
              </w:rPr>
            </w:r>
            <w:r/>
          </w:p>
        </w:tc>
        <w:tc>
          <w:tcPr>
            <w:tcBorders>
              <w:top w:val="single" w:color="000000" w:sz="4" w:space="0"/>
              <w:left w:val="single" w:color="000000" w:sz="4" w:space="0"/>
              <w:bottom w:val="none" w:color="000000" w:sz="4" w:space="0"/>
              <w:right w:val="single" w:color="000000" w:sz="4" w:space="0"/>
            </w:tcBorders>
            <w:tcW w:w="1446" w:type="dxa"/>
            <w:vAlign w:val="center"/>
            <w:vMerge w:val="restart"/>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调查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工业指标</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指标信息包含指标编号、一级编号、一级指标、二级编号、二级指标、二级计算权重、三级编号、三级指标、三级计算权重、指标行业归属等；支持工业指标的查询、新增、修改和删除。</w:t>
            </w:r>
            <w:r>
              <w:rPr>
                <w:rFonts w:ascii="宋体" w:hAnsi="Calibri" w:cs="Courier New"/>
                <w:szCs w:val="24"/>
              </w:rPr>
            </w:r>
            <w:r/>
          </w:p>
        </w:tc>
      </w:tr>
      <w:tr>
        <w:trPr>
          <w:cantSplit/>
          <w:trHeight w:val="90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8</w:t>
            </w:r>
            <w:r>
              <w:rPr>
                <w:rFonts w:ascii="宋体" w:hAnsi="Calibri" w:cs="Courier New"/>
                <w:szCs w:val="24"/>
              </w:rPr>
            </w:r>
            <w:r/>
          </w:p>
        </w:tc>
        <w:tc>
          <w:tcPr>
            <w:tcBorders>
              <w:top w:val="single" w:color="000000" w:sz="4" w:space="0"/>
              <w:left w:val="single" w:color="000000" w:sz="4" w:space="0"/>
              <w:bottom w:val="non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服务业指标</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支持服务业指标的查询、新增、修改和删除；建议和工业指标合并成指标权重管理，因为字段内容和工业指标一致。</w:t>
            </w:r>
            <w:r>
              <w:rPr>
                <w:rFonts w:ascii="宋体" w:hAnsi="Calibri" w:cs="Courier New"/>
                <w:szCs w:val="24"/>
              </w:rPr>
            </w:r>
            <w:r/>
          </w:p>
        </w:tc>
      </w:tr>
      <w:tr>
        <w:trPr>
          <w:cantSplit/>
          <w:trHeight w:val="115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9</w:t>
            </w:r>
            <w:r>
              <w:rPr>
                <w:rFonts w:ascii="宋体" w:hAnsi="Calibri" w:cs="Courier New"/>
                <w:szCs w:val="24"/>
              </w:rPr>
            </w:r>
            <w:r/>
          </w:p>
        </w:tc>
        <w:tc>
          <w:tcPr>
            <w:tcBorders>
              <w:top w:val="single" w:color="000000" w:sz="4" w:space="0"/>
              <w:left w:val="single" w:color="000000" w:sz="4" w:space="0"/>
              <w:bottom w:val="non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指标与参数</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配置每年度、季度工业、服务业指标（发展环境指数和 企业经营指数）权重参数；支持指标与参数的查询、新增、修改和删除。</w:t>
            </w:r>
            <w:r>
              <w:rPr>
                <w:rFonts w:hint="eastAsia" w:ascii="宋体" w:hAnsi="Calibri" w:cs="Courier New"/>
                <w:szCs w:val="24"/>
              </w:rPr>
              <w:br w:type="textWrapping" w:clear="all"/>
            </w:r>
            <w:r>
              <w:rPr>
                <w:rFonts w:hint="eastAsia" w:ascii="宋体" w:hAnsi="Calibri" w:cs="Courier New"/>
                <w:szCs w:val="24"/>
              </w:rPr>
              <w:t xml:space="preserve">增加指标计算功能，录入计算公式自动计算数值，设置指标荣枯线，低于荣枯线进行醒目提醒标识。</w:t>
            </w:r>
            <w:r>
              <w:rPr>
                <w:rFonts w:ascii="宋体" w:hAnsi="Calibri" w:cs="Courier New"/>
                <w:szCs w:val="24"/>
              </w:rPr>
            </w:r>
            <w:r/>
          </w:p>
        </w:tc>
      </w:tr>
      <w:tr>
        <w:trPr>
          <w:cantSplit/>
          <w:trHeight w:val="115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10</w:t>
            </w:r>
            <w:r>
              <w:rPr>
                <w:rFonts w:ascii="宋体" w:hAnsi="Calibri" w:cs="Courier New"/>
                <w:szCs w:val="24"/>
              </w:rPr>
            </w:r>
            <w:r/>
          </w:p>
        </w:tc>
        <w:tc>
          <w:tcPr>
            <w:tcBorders>
              <w:top w:val="single" w:color="000000" w:sz="4" w:space="0"/>
              <w:left w:val="single" w:color="000000" w:sz="4" w:space="0"/>
              <w:bottom w:val="non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问卷热点调查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支持调查问卷的管理；支持固定问卷和开发热点调查信息的查询、新增、修改和删除；参照问卷星功能进行设计，支持创建多种题型（单选题、多选题、填空题、判断题、主观题矩阵题等），提供逻辑跳转功能实现个性化问卷设计</w:t>
            </w:r>
            <w:r>
              <w:rPr>
                <w:rFonts w:ascii="宋体" w:hAnsi="Calibri" w:cs="Courier New"/>
                <w:szCs w:val="24"/>
              </w:rPr>
            </w:r>
            <w:r/>
          </w:p>
        </w:tc>
      </w:tr>
      <w:tr>
        <w:trPr>
          <w:cantSplit/>
          <w:trHeight w:val="74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11</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restart"/>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问卷统计</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统计汇总</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每个季度自动生成企业调查研究报告；支持图形化展示。支持统计数据EXL表导出。</w:t>
            </w:r>
            <w:r>
              <w:rPr>
                <w:rFonts w:ascii="宋体" w:hAnsi="Calibri" w:cs="Courier New"/>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12</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宏观环境判断</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宏观环境判断分析，根据查询条件自动生成图表信息。</w:t>
            </w:r>
            <w:r>
              <w:rPr>
                <w:rFonts w:ascii="宋体" w:hAnsi="Calibri" w:cs="Courier New"/>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13</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城市宏观环境判断</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城市宏观环境判断分析，根据查询条件自动生成图表信息。</w:t>
            </w:r>
            <w:r>
              <w:rPr>
                <w:rFonts w:ascii="宋体" w:hAnsi="Calibri" w:cs="Courier New"/>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14</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企业经营指数查询</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企业经济指数分析，根据查询条件自动生成图表信息。</w:t>
            </w:r>
            <w:r>
              <w:rPr>
                <w:rFonts w:ascii="宋体" w:hAnsi="Calibri" w:cs="Courier New"/>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15</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城市企业经营指数查询</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城市企业经济指数分析，根据查询条件自动生成图表信息。</w:t>
            </w:r>
            <w:r>
              <w:rPr>
                <w:rFonts w:ascii="宋体" w:hAnsi="Calibri" w:cs="Courier New"/>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16</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行业运行指数查询</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行业运行指数分析，根据查询条件自动生成图表信息。</w:t>
            </w:r>
            <w:r>
              <w:rPr>
                <w:rFonts w:ascii="宋体" w:hAnsi="Calibri" w:cs="Courier New"/>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17</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所有制宏观环境判断</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所有制宏观环境指数分析，根据查询条件自动生成图表信息。</w:t>
            </w:r>
            <w:r>
              <w:rPr>
                <w:rFonts w:ascii="宋体" w:hAnsi="Calibri" w:cs="Courier New"/>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18</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江苏经济指数</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江苏经济指数分析，根据查询条件自动生成图表信息。</w:t>
            </w:r>
            <w:r>
              <w:rPr>
                <w:rFonts w:ascii="宋体" w:hAnsi="Calibri" w:cs="Courier New"/>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19</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调查结果查询</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调查结果分析，根据查询条件自动生成图表信息。</w:t>
            </w:r>
            <w:r>
              <w:rPr>
                <w:rFonts w:ascii="宋体" w:hAnsi="Calibri" w:cs="Courier New"/>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20</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城市调查结果查询</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城市调查结果分析，根据查询条件自动生成图表信息。</w:t>
            </w:r>
            <w:r>
              <w:rPr>
                <w:rFonts w:ascii="宋体" w:hAnsi="Calibri" w:cs="Courier New"/>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21</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投资意向情况</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城市企业经济指数分析，根据查询条件自动生成图表信息。</w:t>
            </w:r>
            <w:r>
              <w:rPr>
                <w:rFonts w:ascii="宋体" w:hAnsi="Calibri" w:cs="Courier New"/>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22</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指标统计结果查询</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城市企业经济指数分析，根据查询条件自动生成图表信息。</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23</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主观题</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按调查问卷查询展示主观题的填写内容，信息包含标题、企业代码、企业名称、内容。</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24</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企业填报情况查询</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按调查问卷查询展示各企业调查问卷填写情况；暂时是否填报及填报详情。</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25</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restart"/>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热点调查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热点调查统计－选择题</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支持根据公告名称、问题所属地区、数据所属地区和行业分类等方式进行热点调查统计选择题类分析。</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26</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热点调查统计－排序题</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支持根据公告名称、问题所属地区、数据所属地区和行业分类等方式进行热点调查统计排序题类分析。</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27</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热点调查主观题</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支持根据公告名称、问题所属地区、数据所属地区和行业分类等方式进行热点调查主观题分析。</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28</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restart"/>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开放问卷热点调查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热点调查统计－选择题</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支持根据公告名称、问题所属地区、数据所属地区和行业分类等方式进行热点调查统计选择题类分析。</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29</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热点调查统计－排序题</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支持根据公告名称、问题所属地区、数据所属地区和行业分类等方式进行热点调查统计排序题类分析。</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30</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热点调查主观题</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支持根据公告名称、问题所属地区、数据所属地区和行业分类等方式进行热点调查主观题分析。</w:t>
            </w:r>
            <w:r>
              <w:rPr>
                <w:rFonts w:ascii="宋体" w:hAnsi="Calibri" w:cs="Courier New"/>
                <w:szCs w:val="24"/>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31</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restart"/>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系统管理</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管理短信接收用户</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1.支持用户的查询、新增、修改和删除</w:t>
            </w:r>
            <w:r>
              <w:rPr>
                <w:rFonts w:hint="eastAsia" w:ascii="宋体" w:hAnsi="Calibri" w:cs="Courier New"/>
                <w:szCs w:val="24"/>
              </w:rPr>
              <w:br w:type="textWrapping" w:clear="all"/>
            </w:r>
            <w:r>
              <w:rPr>
                <w:rFonts w:hint="eastAsia" w:ascii="宋体" w:hAnsi="Calibri" w:cs="Courier New"/>
                <w:szCs w:val="24"/>
              </w:rPr>
              <w:t xml:space="preserve">2.支持根据不同的用户类型（市级管理员、省级领导、市级领导）给相应人员发送短信提醒。</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32</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系统功能列表</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33</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系统日志</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34</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操作日志</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35</w:t>
            </w:r>
            <w:r>
              <w:rPr>
                <w:rFonts w:ascii="宋体" w:hAnsi="Calibri" w:cs="Courier New"/>
                <w:szCs w:val="24"/>
              </w:rPr>
            </w:r>
            <w:r/>
          </w:p>
        </w:tc>
        <w:tc>
          <w:tcPr>
            <w:shd w:val="clear" w:color="auto" w:fill="ffffff"/>
            <w:tcBorders>
              <w:top w:val="none" w:color="000000" w:sz="4" w:space="0"/>
              <w:left w:val="none" w:color="000000" w:sz="4" w:space="0"/>
              <w:bottom w:val="single" w:color="000000" w:sz="4" w:space="0"/>
              <w:right w:val="none" w:color="000000" w:sz="4" w:space="0"/>
            </w:tcBorders>
            <w:tcW w:w="1446" w:type="dxa"/>
            <w:vAlign w:val="center"/>
            <w:vMerge w:val="restart"/>
            <w:textDirection w:val="lrTb"/>
            <w:noWrap/>
          </w:tcPr>
          <w:p>
            <w:pPr>
              <w:pStyle w:val="748"/>
              <w:spacing w:line="400" w:lineRule="exact"/>
              <w:widowControl/>
              <w:rPr>
                <w:rFonts w:ascii="宋体" w:hAnsi="Calibri" w:cs="Courier New"/>
                <w:szCs w:val="24"/>
              </w:rPr>
            </w:pPr>
            <w:r>
              <w:rPr>
                <w:rFonts w:hint="eastAsia" w:ascii="宋体" w:hAnsi="Calibri" w:cs="Courier New"/>
                <w:szCs w:val="24"/>
              </w:rPr>
              <w:t xml:space="preserve">企业web端</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首页</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展示企业调查问卷的描述、常见问题以及最新调查问卷的专题显示入口。</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36</w:t>
            </w:r>
            <w:r>
              <w:rPr>
                <w:rFonts w:ascii="宋体" w:hAnsi="Calibri" w:cs="Courier New"/>
                <w:szCs w:val="24"/>
              </w:rPr>
            </w:r>
            <w:r/>
          </w:p>
        </w:tc>
        <w:tc>
          <w:tcPr>
            <w:tcBorders>
              <w:top w:val="none" w:color="000000" w:sz="4" w:space="0"/>
              <w:left w:val="none" w:color="000000" w:sz="4" w:space="0"/>
              <w:bottom w:val="single" w:color="000000" w:sz="4" w:space="0"/>
              <w:right w:val="non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参与调查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空，不知道具体内容</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37</w:t>
            </w:r>
            <w:r>
              <w:rPr>
                <w:rFonts w:ascii="宋体" w:hAnsi="Calibri" w:cs="Courier New"/>
                <w:szCs w:val="24"/>
              </w:rPr>
            </w:r>
            <w:r/>
          </w:p>
        </w:tc>
        <w:tc>
          <w:tcPr>
            <w:tcBorders>
              <w:top w:val="none" w:color="000000" w:sz="4" w:space="0"/>
              <w:left w:val="none" w:color="000000" w:sz="4" w:space="0"/>
              <w:bottom w:val="single" w:color="000000" w:sz="4" w:space="0"/>
              <w:right w:val="non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调查公告</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展示每个季度发布的调查公告内容，开始后点击可进行调查问卷，结束后提示调查已结束。</w:t>
            </w:r>
            <w:r>
              <w:rPr>
                <w:rFonts w:ascii="宋体" w:hAnsi="Calibri" w:cs="Courier New"/>
                <w:szCs w:val="24"/>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38</w:t>
            </w:r>
            <w:r>
              <w:rPr>
                <w:rFonts w:ascii="宋体" w:hAnsi="Calibri" w:cs="Courier New"/>
                <w:szCs w:val="24"/>
              </w:rPr>
            </w:r>
            <w:r/>
          </w:p>
        </w:tc>
        <w:tc>
          <w:tcPr>
            <w:tcBorders>
              <w:top w:val="none" w:color="000000" w:sz="4" w:space="0"/>
              <w:left w:val="none" w:color="000000" w:sz="4" w:space="0"/>
              <w:bottom w:val="single" w:color="000000" w:sz="4" w:space="0"/>
              <w:right w:val="non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调查内容</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本单位参与的所有调查问卷的内容列表，可查看详情。</w:t>
            </w:r>
            <w:r>
              <w:rPr>
                <w:rFonts w:ascii="宋体" w:hAnsi="Calibri" w:cs="Courier New"/>
                <w:szCs w:val="24"/>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39</w:t>
            </w:r>
            <w:r>
              <w:rPr>
                <w:rFonts w:ascii="宋体" w:hAnsi="Calibri" w:cs="Courier New"/>
                <w:szCs w:val="24"/>
              </w:rPr>
            </w:r>
            <w:r/>
          </w:p>
        </w:tc>
        <w:tc>
          <w:tcPr>
            <w:tcBorders>
              <w:top w:val="none" w:color="000000" w:sz="4" w:space="0"/>
              <w:left w:val="none" w:color="000000" w:sz="4" w:space="0"/>
              <w:bottom w:val="single" w:color="000000" w:sz="4" w:space="0"/>
              <w:right w:val="non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开放调查</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展示所有的开发调查内容，开始后点击可进行调查问卷，结束后提示调查已结束。</w:t>
            </w:r>
            <w:r>
              <w:rPr>
                <w:rFonts w:ascii="宋体" w:hAnsi="Calibri" w:cs="Courier New"/>
                <w:szCs w:val="24"/>
              </w:rPr>
            </w:r>
            <w:r/>
          </w:p>
        </w:tc>
      </w:tr>
      <w:tr>
        <w:trPr>
          <w:cantSplit/>
          <w:trHeight w:val="115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40</w:t>
            </w:r>
            <w:r>
              <w:rPr>
                <w:rFonts w:ascii="宋体" w:hAnsi="Calibri" w:cs="Courier New"/>
                <w:szCs w:val="24"/>
              </w:rPr>
            </w:r>
            <w:r/>
          </w:p>
        </w:tc>
        <w:tc>
          <w:tcPr>
            <w:tcBorders>
              <w:top w:val="none" w:color="000000" w:sz="4" w:space="0"/>
              <w:left w:val="none" w:color="000000" w:sz="4" w:space="0"/>
              <w:bottom w:val="single" w:color="000000" w:sz="4" w:space="0"/>
              <w:right w:val="none" w:color="000000" w:sz="4" w:space="0"/>
            </w:tcBorders>
            <w:tcW w:w="1446" w:type="dxa"/>
            <w:vAlign w:val="center"/>
            <w:vMerge w:val="continue"/>
            <w:textDirection w:val="lrTb"/>
            <w:noWrap w:val="false"/>
          </w:tcPr>
          <w:p>
            <w:pPr>
              <w:pStyle w:val="748"/>
              <w:jc w:val="left"/>
              <w:widowControl/>
              <w:rPr>
                <w:rFonts w:ascii="宋体" w:hAnsi="Calibri" w:cs="Courier New"/>
                <w:szCs w:val="24"/>
              </w:rPr>
            </w:pP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企业信息</w:t>
            </w:r>
            <w:r>
              <w:rPr>
                <w:rFonts w:ascii="宋体" w:hAnsi="Calibri" w:cs="Courier New"/>
                <w:szCs w:val="24"/>
              </w:rPr>
            </w:r>
            <w:r/>
          </w:p>
        </w:tc>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展示企业基本信息情况，企业账号可维护信息包含填报人、填报人手机、通讯地址、从属城市、从属区域、企业经济类型（国有经济、集体经济、私营经济……）、从属行业类型（工业、服务业）、企业所属行业、企业规模及密码；不可维护企业名称。</w:t>
            </w:r>
            <w:r>
              <w:rPr>
                <w:rFonts w:ascii="宋体" w:hAnsi="Calibri" w:cs="Courier New"/>
                <w:szCs w:val="24"/>
              </w:rPr>
            </w:r>
            <w:r/>
          </w:p>
        </w:tc>
      </w:tr>
    </w:tbl>
    <w:p>
      <w:pPr>
        <w:pStyle w:val="748"/>
        <w:ind w:firstLine="420"/>
        <w:spacing w:line="400" w:lineRule="exact"/>
        <w:widowControl/>
        <w:rPr>
          <w:rFonts w:hint="eastAsia" w:ascii="宋体" w:hAnsi="Calibri" w:cs="Courier New"/>
          <w:szCs w:val="24"/>
        </w:rPr>
      </w:pPr>
      <w:r>
        <w:rPr>
          <w:rFonts w:hint="eastAsia" w:ascii="宋体" w:hAnsi="Calibri" w:cs="Courier New"/>
          <w:szCs w:val="24"/>
        </w:rPr>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3.1.1UI界面调整适配</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对系统页面进行适配调整，遵循国产操作系统（如银河麒麟、统信UOS）的UI设计规范，包括字体、控件尺寸、间距、色彩等，确保界面美观、统一且操作友好。</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采用相对布局和动态计算控件尺寸，替代硬编码的绝对布局和尺寸，确保在不同分辨率、缩放比例及国产化桌面环境下显示正常。</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针对多语言环境，利用框架提供的国际化能力，支持LTR（从左到右）与RTL（从右到左）语言的镜像布局适配。</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3.1.2系统并发性能适配改造</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对耗时逻辑（如数据解析、计算）进行并行化改造，使用多线程技术将任务从主线程剥离，避免阻塞UI渲染，提升响应速度。</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实施请求限流、资源复用等策略，优化高并发场景下的处理能力，防止系统过载。</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3.1.3前端运行脚本适配改造</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使用Script组件等现代前端技术优化第三方或自定义脚本的加载策略，如异步加载、延迟加载，降低对页面渲染的阻塞程度。确保JavaScript代码在国产化浏览器（如奇安信、360安全浏览器国产版）中能正确解析和执行，处理可能的语法或API差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3.1.4客户端性能支持改造</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分析并优化应用冷启动耗时，将非必要的初始化操作改为异步执行，可通过非阻塞I/O操作、线程池、回调函数或Promise，或者在前端场景使用Web Worker这类多线程异步技术来减少主线程阻塞，同时可增加加载动效提升用户体验。利用预下载、预渲染、字节码缓存等技术，提前加载关键资源，减少用户等待时间。</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3.1.5页面框架集成适配改造</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支持多种前端框架（如React, Vue），可基于Web Components构建通用组件，再通过适配层封装为各框架专用组件，实现逻辑复用和统一维护。对于混合开发应用，利用JSBridge实现Native与WebView的双向通信，并通过同层渲染等技术增强Web组件的交互能力。</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3.1.6外部交互（接口、中间库）适配改造</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对调用后端服务的API接口进行适配，确保在信创网络环境下通信稳定，处理可能的加密协议或认证方式变更。可采用的认证方式包括Basic认证、摘要认证、OAuth 2.0、JWT等；可适配的加密协议涵盖SSL/TLS、HTTPS、SSH等。识别并替换依赖的第三方非国产中间库或客户端驱动，选用国产化替代产品或通过兼容层技术实现功能对接。</w:t>
      </w:r>
      <w:r/>
    </w:p>
    <w:p>
      <w:pPr>
        <w:pStyle w:val="748"/>
        <w:ind w:firstLine="420"/>
        <w:spacing w:line="400" w:lineRule="exact"/>
        <w:widowControl/>
        <w:rPr>
          <w:rFonts w:hint="eastAsia" w:ascii="宋体" w:hAnsi="Calibri" w:cs="Courier New"/>
          <w:szCs w:val="24"/>
        </w:rPr>
      </w:pPr>
      <w:r/>
      <w:bookmarkStart w:id="217" w:name="_Toc11474"/>
      <w:r>
        <w:rPr>
          <w:rFonts w:hint="eastAsia" w:ascii="宋体" w:hAnsi="Calibri" w:cs="Courier New"/>
          <w:szCs w:val="24"/>
        </w:rPr>
        <w:t xml:space="preserve">3.1.7部署端国产化适配</w:t>
      </w:r>
      <w:bookmarkEnd w:id="217"/>
      <w:r>
        <w:rPr>
          <w:rFonts w:hint="eastAsia" w:ascii="宋体" w:hAnsi="Calibri" w:cs="Courier New"/>
          <w:szCs w:val="24"/>
        </w:rPr>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适配的内容包含搭建服务端国产化运行环境、国产操作系统适配、国产化数据库适配、文档附件存储适配、国产应用中间件适配。</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（1）搭建服务端国产化运行环境</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根据国产化部署要求，设计国产化部署整体架构。在国产化环境中安装对应的软件和实施相应的部署工作，搭建江苏省经济运行企业调查平台。部署实施涉及的内容从服务端操作系统、国产数据库、文件存储、应用中间件以及本次建设的应用程序。</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（2）国产数据库适配</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系统目前使用的是mysql数据库，数据存储方式，数据的语法如：如分页、函数、存储过程等，会和国产化数据库存在差异，需要对应用系统的数据查询、存储、调用等脚本代码进行适配改造，使其能转换为目标国产数据库的兼容语法。</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（3）中间件适配</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信创适配需要使用采用国产中间件，该项目中需要将应用部署到选定的国产中间件，根据选定的中间件特性调整部署方式，调整应用代码，使系统可以在国产化环境中正常运行。</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（4）驱动程序与开发接口适配</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对应用系统目前所使用的驱动程序和开发接口进行国产化改造适配，适配国产服务器、存储等硬件的驱动程序。对依赖操作系统特定API的系统调用进行封装或替换，确保其在国产操作系统上正常运行。</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（5）APi适配</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对服务间调用的API进行适配，确保在信创环境中）的通信安全与稳定。如有外部系统对接，需提供符合信创安全标准的API接口。</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（6）性能优化</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在生产环境或高仿真环境中进行全链路压力测试，定位性能瓶颈对数据库（执行计划、索引）、中间件（线程池、连接数）、应用代码（算法、缓存）等进行针对性优化。</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3.2历史数据迁移</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数据迁移需要将原系统（MySQL）中的全量数据安全、完整、准确地迁移至指定的国产化数据库中。系统涉及大量历史经济监测调用问卷数据及复杂的关联关系，迁移工作需遵循</w:t>
      </w:r>
      <w:r>
        <w:rPr>
          <w:rFonts w:ascii="宋体" w:hAnsi="Calibri" w:cs="Courier New"/>
          <w:szCs w:val="24"/>
        </w:rPr>
        <w:t xml:space="preserve">“</w:t>
      </w:r>
      <w:r>
        <w:rPr>
          <w:rFonts w:hint="eastAsia" w:ascii="宋体" w:hAnsi="Calibri" w:cs="Courier New"/>
          <w:szCs w:val="24"/>
        </w:rPr>
        <w:t xml:space="preserve">先评估、后迁移、双轨验证、平滑切换</w:t>
      </w:r>
      <w:r>
        <w:rPr>
          <w:rFonts w:ascii="宋体" w:hAnsi="Calibri" w:cs="Courier New"/>
          <w:szCs w:val="24"/>
        </w:rPr>
        <w:t xml:space="preserve">”</w:t>
      </w:r>
      <w:r>
        <w:rPr>
          <w:rFonts w:hint="eastAsia" w:ascii="宋体" w:hAnsi="Calibri" w:cs="Courier New"/>
          <w:szCs w:val="24"/>
        </w:rPr>
        <w:t xml:space="preserve">的总体策略。我们将采用</w:t>
      </w:r>
      <w:r>
        <w:rPr>
          <w:rFonts w:ascii="宋体" w:hAnsi="Calibri" w:cs="Courier New"/>
          <w:szCs w:val="24"/>
        </w:rPr>
        <w:t xml:space="preserve">“</w:t>
      </w:r>
      <w:r>
        <w:rPr>
          <w:rFonts w:hint="eastAsia" w:ascii="宋体" w:hAnsi="Calibri" w:cs="Courier New"/>
          <w:szCs w:val="24"/>
        </w:rPr>
        <w:t xml:space="preserve">结构迁移+全量数据迁移+增量数据同步</w:t>
      </w:r>
      <w:r>
        <w:rPr>
          <w:rFonts w:ascii="宋体" w:hAnsi="Calibri" w:cs="Courier New"/>
          <w:szCs w:val="24"/>
        </w:rPr>
        <w:t xml:space="preserve">”</w:t>
      </w:r>
      <w:r>
        <w:rPr>
          <w:rFonts w:hint="eastAsia" w:ascii="宋体" w:hAnsi="Calibri" w:cs="Courier New"/>
          <w:szCs w:val="24"/>
        </w:rPr>
        <w:t xml:space="preserve">的组合方式，确保在系统停机窗口期内完成最终切换，最大限度降低对江苏省经济运行监测业务的影响。</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3.2.1源端与目标端评估分析</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对象盘点：对原数据库中的表空间、表结构、视图、存储过程、触发器及索引进行全面梳理。重点识别经济数据表（如工业指标表、服务业指标表）及大字段（如问卷主观题内容）。</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兼容性评估：分析SQL语法、数据类型及函数在国产数据库中的兼容性差异，生成评估报告。</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映射规则制定：制定数据类型映射标准，例如将原数据库的特有类型转换为国产数据库的标准类型，确保数值精度（特别是数字型和日期型）不丢失。</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3.3.2结构迁移与重构</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对象重构：针对不兼容的数据库对象进行手工改写。重点改造存储过程和复杂视图，确保原有的</w:t>
      </w:r>
      <w:r>
        <w:rPr>
          <w:rFonts w:ascii="宋体" w:hAnsi="Calibri" w:cs="Courier New"/>
          <w:szCs w:val="24"/>
        </w:rPr>
        <w:t xml:space="preserve">“</w:t>
      </w:r>
      <w:r>
        <w:rPr>
          <w:rFonts w:hint="eastAsia" w:ascii="宋体" w:hAnsi="Calibri" w:cs="Courier New"/>
          <w:szCs w:val="24"/>
        </w:rPr>
        <w:t xml:space="preserve">指标计算功能</w:t>
      </w:r>
      <w:r>
        <w:rPr>
          <w:rFonts w:ascii="宋体" w:hAnsi="Calibri" w:cs="Courier New"/>
          <w:szCs w:val="24"/>
        </w:rPr>
        <w:t xml:space="preserve">”“</w:t>
      </w:r>
      <w:r>
        <w:rPr>
          <w:rFonts w:hint="eastAsia" w:ascii="宋体" w:hAnsi="Calibri" w:cs="Courier New"/>
          <w:szCs w:val="24"/>
        </w:rPr>
        <w:t xml:space="preserve">汇总分析方法</w:t>
      </w:r>
      <w:r>
        <w:rPr>
          <w:rFonts w:ascii="宋体" w:hAnsi="Calibri" w:cs="Courier New"/>
          <w:szCs w:val="24"/>
        </w:rPr>
        <w:t xml:space="preserve">”</w:t>
      </w:r>
      <w:r>
        <w:rPr>
          <w:rFonts w:hint="eastAsia" w:ascii="宋体" w:hAnsi="Calibri" w:cs="Courier New"/>
          <w:szCs w:val="24"/>
        </w:rPr>
        <w:t xml:space="preserve">等业务逻辑在国产数据库中能正确执行。</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约束与索引重建：重新建立主外键约束、唯一索引及业务查询所需的普通索引，以保障数据一致性和查询性能。</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3.3.3全量数据迁移</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数据抽取与清洗：利用数据库自带迁移工具，从源端抽取数据。在抽取过程中，对历史遗留的脏数据（如编码不规范、空值异常）进行清洗和转换。</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并行加载：采用多线程并行加载技术，将清洗后的数据高速写入国产数据库，提高迁移效率。</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LOB数据处理：针对问卷主观题、调查公告内容等大文本字段，采用专用的流式处理机制，防止数据截断或乱码。</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3.3“数智发改”平台对接</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深入对接“数智发改”平台，严格按照《“数智发改”平台标准规范》接入统一门户、统一组织、统一权限等，待系统改造项目结束后，整合纳入“数智发改”综合服务平台体系运行。</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3.4扩容建设内容</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（一）样本扩容管理。支持样本库从2252家扩容至5000家的容量升级，优化大数据量下的系统性能。</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二）构建多元标注管理。围绕经济运行的前沿领域、重要变量，从企业产业规模、所有制性质，以及是否属于专精特新“小巨人”、数字经济核心企业、重点外贸企业、人工智能企业等维度出发，实施精细化标注，夯实专项调查、结构分析、产业研判的样本基础，以支撑分领域、精细化的分析需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（三）样本遴选推荐。在样本遴选环节，优先纳入配合度高、能够按时报送真实有效数据的企业，从源头降低监测工作推进难度，提升数据采集的完整性与时效性，确保监测体系高效运转。</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（四）样本动态管理机制。建立动态管理机制，每年第四季度企业调查结束后开展综合评估，根据评估结果及时剔除无效样本、增补合格样本，提升调查结果的准确性与连续性。</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（五）企业信息完善。提供标准化信息统计表模板，支持企业基础信息、经营信息的在线填报与批量导入。</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六）调查问卷指标调整。对原调查问卷指标进行调整，调查问卷指标体系设置1项总指标、5项二级指标、29项三级指标，同步设计企业投资意愿专项调查。围绕发展环境、生产经营、成本管控、市场销售、资金周转、投资意愿等六个方面，开展本季度现状及下季度走势调查。</w:t>
      </w:r>
      <w:r/>
    </w:p>
    <w:p>
      <w:pPr>
        <w:pStyle w:val="748"/>
        <w:spacing w:line="400" w:lineRule="exact"/>
        <w:widowControl/>
        <w:rPr>
          <w:rFonts w:hint="eastAsia" w:ascii="宋体" w:hAnsi="Calibri" w:cs="Courier New"/>
          <w:b/>
          <w:bCs/>
          <w:szCs w:val="24"/>
        </w:rPr>
      </w:pPr>
      <w:r>
        <w:rPr>
          <w:rFonts w:hint="eastAsia" w:ascii="宋体" w:hAnsi="Calibri" w:cs="Courier New"/>
          <w:b/>
          <w:bCs/>
          <w:szCs w:val="24"/>
        </w:rPr>
        <w:t xml:space="preserve">4、其他要求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4.1项目工期要求</w:t>
      </w:r>
      <w:r/>
    </w:p>
    <w:p>
      <w:pPr>
        <w:pStyle w:val="748"/>
        <w:ind w:firstLine="420"/>
        <w:spacing w:line="400" w:lineRule="exact"/>
        <w:widowControl/>
        <w:rPr>
          <w:rFonts w:hint="eastAsia" w:ascii="宋体" w:hAnsi="Calibri" w:cs="Courier New"/>
          <w:szCs w:val="24"/>
        </w:rPr>
      </w:pPr>
      <w:r/>
      <w:bookmarkStart w:id="218" w:name="OLE_LINK10"/>
      <w:r>
        <w:rPr>
          <w:rFonts w:hint="eastAsia" w:ascii="宋体" w:hAnsi="Calibri" w:cs="Courier New"/>
          <w:szCs w:val="24"/>
        </w:rPr>
        <w:t xml:space="preserve">自合同签订后至2026年12月底前完成系统的国产化适配改造、上线运行和验收等工作；</w:t>
      </w:r>
      <w:bookmarkEnd w:id="218"/>
      <w:r>
        <w:rPr>
          <w:rFonts w:hint="eastAsia" w:ascii="宋体" w:hAnsi="Calibri" w:cs="Courier New"/>
          <w:szCs w:val="24"/>
        </w:rPr>
        <w:t xml:space="preserve">供应商须提供详细的进度安排计划。</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4.2企业资质要求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供应商应具有ISO9001质量管理体系认证证书。</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4.3业绩</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供应商提供自2023年1月1日以来（以合同签订时间为准）与本项目类似的软件开发或国产化适配改造项目业绩。</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4.4项目实施团队要求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为保障项目的顺利实施，供应商应合理组建本项目的实施团队，确保有效人力和物力的投入。项目实施团队应由项目经理、技术负责人、信息安全服务负责人和项目实施其他团队成员组成，团队总人数不少于5人。</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项目经理须具有丰富的项目管理工作经验，项目经理全程负责本项目工作，不得无故更换，项目组核心成员一经确认，如需变更需征得采购人书面批准。</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项目经理应具有软考信息系统项目管理师证书。</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项目技术负责人应具有软考系统分析师证书。</w:t>
      </w:r>
      <w:r/>
    </w:p>
    <w:p>
      <w:pPr>
        <w:pStyle w:val="748"/>
        <w:ind w:firstLine="420"/>
        <w:widowControl/>
        <w:rPr>
          <w:rFonts w:hint="eastAsia" w:ascii="宋体" w:hAnsi="Calibri" w:cs="Courier New"/>
          <w:szCs w:val="24"/>
        </w:rPr>
      </w:pPr>
      <w:r>
        <w:rPr>
          <w:rFonts w:hint="eastAsia" w:ascii="宋体" w:hAnsi="Calibri" w:cs="Courier New"/>
          <w:szCs w:val="24"/>
        </w:rPr>
        <w:t xml:space="preserve">项目团队其他成员（不含项目经理及项目技术负责人）</w:t>
      </w:r>
      <w:r>
        <w:rPr>
          <w:rFonts w:hint="eastAsia" w:ascii="宋体" w:hAnsi="宋体" w:cs="宋体"/>
          <w:szCs w:val="22"/>
        </w:rPr>
        <w:t xml:space="preserve">（1）具有</w:t>
      </w:r>
      <w:r>
        <w:rPr>
          <w:rFonts w:hint="eastAsia" w:ascii="宋体" w:hAnsi="宋体" w:cs="宋体"/>
        </w:rPr>
        <w:t xml:space="preserve">软考系统集成项目管理工程师证书；</w:t>
      </w:r>
      <w:r>
        <w:rPr>
          <w:rFonts w:hint="eastAsia" w:ascii="宋体" w:hAnsi="宋体" w:cs="宋体"/>
          <w:szCs w:val="22"/>
        </w:rPr>
        <w:t xml:space="preserve">（2）具有</w:t>
      </w:r>
      <w:r>
        <w:rPr>
          <w:rFonts w:hint="eastAsia" w:ascii="宋体" w:hAnsi="宋体" w:cs="宋体"/>
        </w:rPr>
        <w:t xml:space="preserve">软考软件设计师证书；</w:t>
      </w:r>
      <w:r>
        <w:rPr>
          <w:rFonts w:hint="eastAsia" w:ascii="宋体" w:hAnsi="宋体" w:cs="宋体"/>
          <w:szCs w:val="22"/>
        </w:rPr>
        <w:t xml:space="preserve">（3）具有</w:t>
      </w:r>
      <w:r>
        <w:rPr>
          <w:rFonts w:hint="eastAsia" w:ascii="宋体" w:hAnsi="宋体" w:cs="宋体"/>
        </w:rPr>
        <w:t xml:space="preserve">软考网络工程师证书</w:t>
      </w:r>
      <w:r>
        <w:rPr>
          <w:rFonts w:hint="eastAsia" w:ascii="宋体" w:hAnsi="Calibri" w:cs="Courier New"/>
          <w:szCs w:val="24"/>
        </w:rPr>
        <w:t xml:space="preserve">。</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4.5项目管理要求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供应商须提供详细的项目实施方案，建立健全保障项目顺利实施的各项管理制度和质量保证体系，需包含项目进度管理、项目质量管理、项目沟通管理、项目变更管理、项目风险管理。</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4.6培训要求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供应商须根据系统软件的功能和特点，针对不同用户角色进行不同培训，在投标文件中提出详细的系统培训方案。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4.7保密要求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供应商必须提供对本项目的保密承诺，签订保密协议，保证对项目实施过程中产生的各类技术文件、信息以及由采购人提供的所有内部资料、技术文档和信息予以保密；未经采购人书面许可，供应商不得以任何形式向第三方透露本项目标书以及本项目的任何内容。</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4.8项目验收要求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1.验收遵循下列标准：</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（1）依据采购文件，响应文件以及双方签订的合同进行验收</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（2）提交验收材料，包括：项目实施方案、需求规格说明书、开发概要设计、开发详细设计、数据库设计、用户使用手册、部署手册、系统测试计划、系统测试报告、系统培训计划。</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4.9售后服务要求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1.质保期限与服务范围</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质保期限：自项目最终验收合格之日起，提供1年的免费质保服务。</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服务范围：质保期内，供应商须对因国产化环境适配、代码迁移改造、国密算法集成、数据迁移等工作引发的系统故障、性能异常、兼容性问题承担全部责任，提供无偿修复与优化服务。</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2.故障响应要求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供应商须建立7×24小时故障响应机制，针对国产化环境特有的兼容性问题（如数据库死锁、内存溢出、国密证书失效、中间件配置异常等），须在1小时内响应，8小时提供解决方案，24小时内完成修复。</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4.10性能要求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系统应达到或优于以下基本要求：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1）系统运行能满足100个以上用户并发使用。</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2）系统能够7×24小时连续运行，平均年故障时间≤1天，平均故障修复时间≤30分钟。</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在硬件和网络环境达标的前提下，在最大并发访问的情况下，系统操作界面响应时间≤3秒；数据查询效率：一般性数据查询平均响应时间≤3秒；在执行大数据量查询、统计、分析等耗时操作时，应给予进度指示或明确请求用户等待的状态提示。</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4.11付款方式</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1．合同签订后，供应商向采购人提供符合采购人财务要求的发票，采购人收到发票后10个工作日内向供应商支付首付款（中标价的80%）。</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2．通过验收后，供应商向采购人提供符合采购人财务要求的发票，采购人收到发票后10个工作日内向供应商支付项目尾款（中标价的20%）。如服务期内发生安全事故，则扣除相应价款后支付。</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3.如因财政资金拨付不到位等原因，由双方协商延迟付款。</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4.12 投标方案编制要求</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供应商须在投标文件中按以下要求逐项编制响应方案，各方案须对照本章相关条款逐项响应，内容完整、细化、可量化。</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4.12.1 项目需求理解方案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（1）项目背景与建设目标理解：准确阐述平台业务定位、国产化改造政策背景及“国产化率100%、安全合规、平稳迁移、性能保障、扩容建设”的建设目标；</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（2）现状分析：对平台现有技术架构（MySQL数据库、非国产化部署环境）及8个功能模块现状进行分析，识别与国产化环境的差距；</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（3）需求覆盖性分析：对本章“3、建设内容”全部条款逐项分析，确保无遗漏。</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4.12.2 项目总体设计方案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（1）总体架构与技术架构设计：覆盖服务器、操作系统、数据库、中间件、浏览器等全栈国产化技术选型与架构设计；</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（2）数据架构设计：包含数据模型、数据流向及指标计算逻辑设计；</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（3）系统部署设计：包含信创环境部署拓扑、网络区域划分及总体性能设计。</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4.12.3 系统功能响应方案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（1）功能逐项响应：对本章3.1节40项功能清单逐条响应，明确实现方式与改造内容；</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（2）扩容建设响应：对本章3.4节六项扩容建设内容逐项给出实现方案；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（3）界面与交互适配响应：对3.1.1节UI界面调整适配要求逐项响应，明确国产操作系统桌面环境下的显示与交互适配措施。</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4.12.4 国产化适配技术方案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（1）性能瓶颈分析与优化：分析国产化平台下存在的性能瓶颈并提出优化调整措施，优化结果须满足本章4.10节性能要求（100用户并发、界面响应时间≤3秒）；</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（2）数据库适配设计：针对MySQL语法（分页、函数、存储过程等）与国产数据库的差异，提出转换适配策略；</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（3）前端与部署适配设计：提出符合国产化平台实际的前端适配设计方案与部署设计方案。</w:t>
      </w:r>
      <w:r/>
    </w:p>
    <w:p>
      <w:pPr>
        <w:pStyle w:val="748"/>
        <w:ind w:firstLine="420"/>
        <w:spacing w:line="400" w:lineRule="exact"/>
        <w:widowControl/>
        <w:rPr>
          <w:rFonts w:hint="eastAsia" w:ascii="宋体" w:hAnsi="Calibri" w:cs="Courier New"/>
          <w:szCs w:val="24"/>
        </w:rPr>
      </w:pPr>
      <w:r/>
      <w:bookmarkStart w:id="219" w:name="OLE_LINK110"/>
      <w:r>
        <w:rPr>
          <w:rFonts w:hint="eastAsia" w:ascii="宋体" w:hAnsi="Calibri" w:cs="Courier New"/>
          <w:szCs w:val="24"/>
        </w:rPr>
        <w:t xml:space="preserve">4.12.5 测试验证方案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（1）测试验证方法：明确功能测试、性能测试（100并发、响应时间≤3秒）、兼容性测试的测试环境、工具与用例设计；</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（2）验证标准与整改机制：明确验证通过标准、缺陷分级及整改闭环流程；</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（3）适配验证报告：明确验证输出物（测试报告、适配验证报告）的内容与提交要求。</w:t>
      </w:r>
      <w:r/>
    </w:p>
    <w:p>
      <w:pPr>
        <w:pStyle w:val="748"/>
        <w:ind w:firstLine="420"/>
        <w:spacing w:line="400" w:lineRule="exact"/>
        <w:widowControl/>
        <w:rPr>
          <w:rFonts w:hint="eastAsia" w:ascii="宋体" w:hAnsi="Calibri" w:cs="Courier New"/>
          <w:szCs w:val="24"/>
        </w:rPr>
      </w:pPr>
      <w:r/>
      <w:bookmarkEnd w:id="219"/>
      <w:r>
        <w:rPr>
          <w:rFonts w:hint="eastAsia" w:ascii="宋体" w:hAnsi="Calibri" w:cs="Courier New"/>
          <w:szCs w:val="24"/>
        </w:rPr>
        <w:t xml:space="preserve">4.12.6 迁移服务方案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（1）迁移策略与过程：包含系统数据现状分析、数据迁移原则与策略、结构迁移、全量迁移、增量同步的实施步骤及停机窗口安排；</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（2）迁移保障：包含数据校验方案（迁移数据准确率100%、校验差异率为0）、安全测试及回退机制；</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（3）迁移承诺：提供保证实现历史数据完整迁移的承诺函并加盖公章。</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4.12.7 安全设计方案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（1）信息系统安全设计：满足国家信息安全等级保护三级要求的安全防护体系设计；</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（2）密码应用方案：满足密码应用测评三级要求的国密算法应用设计；</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（3）数据安全设计：经济数据分类分级及传输、存储加密设计。</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4.12.8 项目实施方案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（1）进度计划：工期内完成开发、实施部署、试运行、正式上线和验收的里程碑计划；</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（2）组织与人员分配：项目组织结构、岗位职责及人员投入计划；</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（3）质量与风险管理：质量管理计划、风险识别与应对措施。</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4.12.9 项目培训方案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供应商须根据系统软件的功能和特点，针对不同用户角色进行不同培训，在投标文件中提出详细的系统培训方案。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（1）培训对象与内容：针对系统管理员、业务操作人员等不同角色的培训课程设计；</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（2）培训方式与考核：培训方式、课时安排、培训教材及效果考核方式；</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（3）培训保障：培训师资、培训环境及培训后答疑支持安排。</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4.12.10 售后服务方案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根据4.9售后服务要求提供针对本项目的售后服务方案：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（1）故障响应机制：7×24小时故障响应，1小时内响应、8小时内提供解决方案、24小时内完成修复的服务流程（含故障定位、故障处理、技术交接、疑难问题排查）；</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（2）质保期服务：1年免费质保期内巡检、优化、升级等服务内容及国产化环境兼容性问题的无偿修复承诺；</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（3）服务承诺：提供售后服务承诺函并承诺接受采购人服务考核。</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4.12.11 保密承诺及措施</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根据4.7保密要求提供针对本项目的保密承诺及措施方案：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（1）保密承诺：提供对本项目的保密承诺函；</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（2）保密管理措施：人员保密管理、技术文档与数据分级管控措施；</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（3）保密协议：承诺中标后与采购人签订保密协议。</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4.12.12 项目重难点分析及应对方案</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1）重难点识别：结合本项目全栈国产化改造实际，至少识别全栈国产化适配、历史数据迁移完整性、业务连续性保障（停机窗口控制）、国产化环境性能保障等三项以上项目重难点，并逐项分析其成因与影响；</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（2）应对措施：针对每项识别出的重难点，逐一提出可操作、可验证的技术应对措施与实施步骤；</w:t>
      </w:r>
      <w:r/>
    </w:p>
    <w:p>
      <w:pPr>
        <w:pStyle w:val="748"/>
        <w:ind w:firstLine="420"/>
        <w:spacing w:line="400" w:lineRule="exact"/>
        <w:widowControl/>
        <w:rPr>
          <w:rFonts w:hint="eastAsia" w:ascii="宋体" w:hAnsi="Calibri" w:cs="Courier New"/>
          <w:szCs w:val="24"/>
        </w:rPr>
      </w:pPr>
      <w:r>
        <w:rPr>
          <w:rFonts w:hint="eastAsia" w:ascii="宋体" w:hAnsi="Calibri" w:cs="Courier New"/>
          <w:szCs w:val="24"/>
        </w:rPr>
        <w:t xml:space="preserve">（3）保障机制：明确重难点应对工作的责任分工、跟踪验证方式及闭环管理机制。</w:t>
      </w:r>
      <w:r/>
    </w:p>
    <w:p>
      <w:pPr>
        <w:pStyle w:val="748"/>
        <w:ind w:firstLine="482"/>
        <w:jc w:val="left"/>
        <w:spacing w:line="400" w:lineRule="exact"/>
        <w:rPr>
          <w:rFonts w:hint="eastAsia"/>
          <w:b/>
          <w:sz w:val="24"/>
          <w:szCs w:val="24"/>
        </w:rPr>
      </w:pPr>
      <w:r>
        <w:rPr>
          <w:rFonts w:hint="eastAsia"/>
          <w:b/>
          <w:sz w:val="24"/>
          <w:szCs w:val="24"/>
        </w:rPr>
      </w:r>
      <w:r/>
    </w:p>
    <w:p>
      <w:pPr>
        <w:pStyle w:val="748"/>
        <w:ind w:firstLine="482"/>
        <w:jc w:val="left"/>
        <w:spacing w:line="400" w:lineRule="exact"/>
        <w:rPr>
          <w:rFonts w:hint="eastAsia"/>
          <w:b/>
          <w:sz w:val="24"/>
          <w:szCs w:val="24"/>
          <w:lang w:val="zh-CN"/>
        </w:rPr>
      </w:pPr>
      <w:r>
        <w:rPr>
          <w:rFonts w:hint="eastAsia"/>
          <w:b/>
          <w:sz w:val="24"/>
          <w:szCs w:val="24"/>
          <w:lang w:val="zh-CN"/>
        </w:rPr>
      </w:r>
      <w:r/>
    </w:p>
    <w:p>
      <w:pPr>
        <w:pStyle w:val="748"/>
        <w:ind w:firstLine="482"/>
        <w:jc w:val="left"/>
        <w:spacing w:line="400" w:lineRule="exact"/>
        <w:rPr>
          <w:rFonts w:hint="eastAsia"/>
          <w:b/>
          <w:sz w:val="24"/>
          <w:szCs w:val="24"/>
          <w:lang w:val="zh-CN"/>
        </w:rPr>
      </w:pPr>
      <w:r>
        <w:rPr>
          <w:rFonts w:hint="eastAsia"/>
          <w:b/>
          <w:sz w:val="24"/>
          <w:szCs w:val="24"/>
          <w:lang w:val="zh-CN"/>
        </w:rPr>
      </w:r>
      <w:r/>
    </w:p>
    <w:p>
      <w:pPr>
        <w:pStyle w:val="748"/>
        <w:ind w:firstLine="482"/>
        <w:jc w:val="left"/>
        <w:spacing w:line="400" w:lineRule="exact"/>
        <w:rPr>
          <w:rFonts w:hint="eastAsia"/>
          <w:b/>
          <w:sz w:val="24"/>
          <w:szCs w:val="24"/>
          <w:lang w:val="zh-CN"/>
        </w:rPr>
      </w:pPr>
      <w:r>
        <w:rPr>
          <w:rFonts w:hint="eastAsia"/>
          <w:b/>
          <w:sz w:val="24"/>
          <w:szCs w:val="24"/>
          <w:lang w:val="zh-CN"/>
        </w:rPr>
      </w:r>
      <w:r/>
    </w:p>
    <w:p>
      <w:pPr>
        <w:pStyle w:val="748"/>
        <w:jc w:val="center"/>
        <w:spacing w:line="400" w:lineRule="exact"/>
        <w:rPr>
          <w:b/>
          <w:sz w:val="24"/>
          <w:szCs w:val="24"/>
          <w:lang w:val="zh-CN"/>
        </w:rPr>
      </w:pPr>
      <w:r>
        <w:rPr>
          <w:rFonts w:hint="eastAsia"/>
          <w:b/>
          <w:sz w:val="24"/>
          <w:szCs w:val="24"/>
          <w:lang w:val="zh-CN"/>
        </w:rPr>
        <w:t xml:space="preserve">采购包六：江苏省物流公共服务平台国产化适配改造</w:t>
      </w:r>
      <w:r>
        <w:rPr>
          <w:b/>
          <w:sz w:val="24"/>
          <w:szCs w:val="24"/>
          <w:lang w:val="zh-CN"/>
        </w:rPr>
      </w:r>
      <w:r/>
    </w:p>
    <w:p>
      <w:pPr>
        <w:pStyle w:val="748"/>
        <w:jc w:val="left"/>
        <w:spacing w:before="180" w:after="80" w:line="360" w:lineRule="auto"/>
        <w:widowControl/>
        <w:rPr>
          <w:rFonts w:ascii="宋体" w:hAnsi="宋体" w:cs="宋体"/>
          <w:sz w:val="22"/>
          <w:szCs w:val="22"/>
        </w:rPr>
      </w:pPr>
      <w:r>
        <w:rPr>
          <w:rFonts w:hint="eastAsia" w:ascii="宋体" w:hAnsi="宋体" w:cs="宋体"/>
          <w:b/>
          <w:sz w:val="25"/>
          <w:szCs w:val="22"/>
        </w:rPr>
        <w:t xml:space="preserve">1　项目概述</w:t>
      </w:r>
      <w:r>
        <w:rPr>
          <w:rFonts w:ascii="宋体" w:hAnsi="宋体" w:cs="宋体"/>
          <w:sz w:val="22"/>
          <w:szCs w:val="22"/>
        </w:rPr>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1.1　项目背景</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江苏省物流公共服务平台作为全省物流领域的重要信息化载体，承担着物流行业信息汇集、企业数据报送、项目管理、政策资讯发布等多项服务职能，是连接政府管理部门、物流企业与社会公众的重要信息服务窗口。</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江苏省物流公共服务平台自2021年正式上线运行以来，经过持续建设和实际应用，平台整体运行平稳，各项业务功能能够较好地满足当前物流行业管理和公共服务需求，平台已具备较好的业务承载能力和持续运行基础。平台已积累较为广泛的用户基础，用</w:t>
      </w:r>
      <w:r>
        <w:rPr>
          <w:rFonts w:hint="eastAsia" w:ascii="宋体" w:hAnsi="宋体" w:cs="宋体"/>
          <w:sz w:val="22"/>
          <w:szCs w:val="22"/>
        </w:rPr>
        <w:t xml:space="preserve">户范围覆盖政府管理部门和物流行业相关企业，通过统一的信息服务和业务管理入口，为不同层级、不同类型用户提供相应的信息获取、数据报送及管理服务，在全省物流行业信息化管理工作中已形成一定的应用规模。同时，平台在长期运行过程中沉淀了较为丰富的行业数据资源。目前平台已汇集全省重点物流企业、物流基地及园区等相关运营信息，形成了一定规模的物流行业基础数据和业务数据。这些数据不仅是平台开展企业信息管理和行业服务的重要基础，也能够为物流行业运行情况分析、产业发展研究以及相关管理工作的开展提供数据参考，具有较高的长期利用价值。</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近年来，国家持续推进数字中国建设，把关键核心技术自主可控摆在突出位置；江苏省围绕数字政府高质量建设、数字经济高质量发展作出系列部署，明确推动政务信息系统逐步向国产化技术体系迁移。物流行业公共服务涉及大量企业数据报送、项目申报管理和行业运行监测业务，办理时效性强、数据连续性要求高，平台技术架构能否平稳过渡到国产化环境，直接关系到行业管理与公共服务的正常开展。随着政务信息化建设对技术环境安全性、</w:t>
      </w:r>
      <w:r>
        <w:rPr>
          <w:rFonts w:hint="eastAsia" w:ascii="宋体" w:hAnsi="宋体" w:cs="宋体"/>
          <w:sz w:val="22"/>
          <w:szCs w:val="22"/>
        </w:rPr>
        <w:t xml:space="preserve">稳定性和自主可控能力提出更高要求，现有平台的技术架构和运行环境也需要进一步适应国产化信息技术发展方向。特别是平台经过多年持续运行，已承载较多业务功能、用户和行业数据，对系统迁移过程中的业务连续性、数据完整性以及运行稳定性提出了较高要求。因此，有必要结合平台现有业务架构和实际运行情况，开展针对性的国产化适配改造，在尽可能保持现有业务功能和使用方式稳定的基础上，逐步完成基础软硬件及相关技术环境的国产化适配，进一步增强平台运行保障能力，为平台后续持续运营、功能扩展及物流行业公共服务能力提升奠定更加可靠的技术基础。</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1.2　建设目标</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根据省政府“一部门一系统”的建设要求，江苏省物流公共服务平台在本次国产化适配改造过程中，将深度融入“数智发改”综合服务平台建设体系，全面对标《“数智发改”平台标准规范》，在技术架构、数据格式、接口协议等层面实现全方位贯通。重点推进接入统一用户、统一组织、统一权限等核心基础服务的标准化接入。待系统改造项目完成后，平台将整体整合纳入“数智发改”综合服务平台体系，在保持原有物流业务功能完整性和数据独立性安全性的基础上，实现资源集约共享、业务高效协同，进一步提升全省发展改革系统信息化建设的整体性、系统性和安全性。</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具体目标：</w:t>
      </w:r>
      <w:r/>
    </w:p>
    <w:p>
      <w:pPr>
        <w:pStyle w:val="748"/>
        <w:spacing w:after="80" w:line="360" w:lineRule="auto"/>
        <w:widowControl/>
        <w:rPr>
          <w:rFonts w:hint="eastAsia" w:ascii="宋体" w:hAnsi="宋体" w:cs="宋体"/>
          <w:sz w:val="22"/>
          <w:szCs w:val="22"/>
        </w:rPr>
      </w:pPr>
      <w:r>
        <w:rPr>
          <w:rFonts w:hint="eastAsia" w:ascii="宋体" w:hAnsi="宋体" w:cs="宋体"/>
          <w:sz w:val="22"/>
          <w:szCs w:val="22"/>
        </w:rPr>
        <w:t xml:space="preserve">（1）国产化率100%：实现平台服务器、操作系统、浏览器、数据库、中间件、应用系统等全栈组件国产化替代。</w:t>
      </w:r>
      <w:r/>
    </w:p>
    <w:p>
      <w:pPr>
        <w:pStyle w:val="748"/>
        <w:spacing w:after="80" w:line="360" w:lineRule="auto"/>
        <w:widowControl/>
        <w:rPr>
          <w:rFonts w:hint="eastAsia" w:ascii="宋体" w:hAnsi="宋体" w:cs="宋体"/>
          <w:sz w:val="22"/>
          <w:szCs w:val="22"/>
        </w:rPr>
      </w:pPr>
      <w:r>
        <w:rPr>
          <w:rFonts w:hint="eastAsia" w:ascii="宋体" w:hAnsi="宋体" w:cs="宋体"/>
          <w:sz w:val="22"/>
          <w:szCs w:val="22"/>
        </w:rPr>
        <w:t xml:space="preserve">（2）安全合规：满足网络安全等级保护及商用密码应用安全性评估的相关要求，并配合采购人完成测评及整改。</w:t>
      </w:r>
      <w:r/>
    </w:p>
    <w:p>
      <w:pPr>
        <w:pStyle w:val="748"/>
        <w:spacing w:after="80" w:line="360" w:lineRule="auto"/>
        <w:widowControl/>
        <w:rPr>
          <w:rFonts w:hint="eastAsia" w:ascii="宋体" w:hAnsi="宋体" w:cs="宋体"/>
          <w:sz w:val="22"/>
          <w:szCs w:val="22"/>
        </w:rPr>
      </w:pPr>
      <w:r>
        <w:rPr>
          <w:rFonts w:hint="eastAsia" w:ascii="宋体" w:hAnsi="宋体" w:cs="宋体"/>
          <w:sz w:val="22"/>
          <w:szCs w:val="22"/>
        </w:rPr>
        <w:t xml:space="preserve">（3）平稳迁移：确保业务系统迁移过程平滑、数据完整准确，用户使用体验不降低。</w:t>
      </w:r>
      <w:r/>
    </w:p>
    <w:p>
      <w:pPr>
        <w:pStyle w:val="748"/>
        <w:spacing w:after="80" w:line="360" w:lineRule="auto"/>
        <w:widowControl/>
        <w:rPr>
          <w:rFonts w:hint="eastAsia" w:ascii="宋体" w:hAnsi="宋体" w:cs="宋体"/>
          <w:sz w:val="22"/>
          <w:szCs w:val="22"/>
        </w:rPr>
      </w:pPr>
      <w:r>
        <w:rPr>
          <w:rFonts w:hint="eastAsia" w:ascii="宋体" w:hAnsi="宋体" w:cs="宋体"/>
          <w:sz w:val="22"/>
          <w:szCs w:val="22"/>
        </w:rPr>
        <w:t xml:space="preserve">（4）性能保障：国产化平台整体性能不低于现有水平，关键业务响应时间满足业务办理时效要求。</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1.3　信息化现状</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系统建设层面：江苏省物流公共服务平台已建成门户、企业报表填报、企业填报任务管理、数据大屏、报表审批管理、统计报表、系统配置管理、信息服务管理、报告管理、目录管理、问卷填报、通知公告等12个功能模块，平台用户主要为省、市、县发展改革委工作人员及物流行业相关企业。</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（2）系统技术层面：平台采用B/S架构，前端采用主流前端框架技术实现页面交互，后端基于Java技术体系进行业务逻辑处理与服务封装。</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（3）系统部署层面：平台当前部署于政务云非国产化环境，数据库采用MySQL，应用中间件采用Tomcat。</w:t>
      </w:r>
      <w:r/>
    </w:p>
    <w:p>
      <w:pPr>
        <w:pStyle w:val="748"/>
        <w:jc w:val="left"/>
        <w:spacing w:before="180" w:after="80" w:line="360" w:lineRule="auto"/>
        <w:widowControl/>
        <w:rPr>
          <w:rFonts w:hint="eastAsia" w:ascii="宋体" w:hAnsi="宋体" w:cs="宋体"/>
          <w:sz w:val="22"/>
          <w:szCs w:val="22"/>
        </w:rPr>
      </w:pPr>
      <w:r>
        <w:rPr>
          <w:rFonts w:hint="eastAsia" w:ascii="宋体" w:hAnsi="宋体" w:cs="宋体"/>
          <w:b/>
          <w:sz w:val="25"/>
          <w:szCs w:val="22"/>
        </w:rPr>
        <w:t xml:space="preserve">2　建设内容</w:t>
      </w:r>
      <w:r>
        <w:rPr>
          <w:rFonts w:hint="eastAsia" w:ascii="宋体" w:hAnsi="宋体" w:cs="宋体"/>
          <w:sz w:val="22"/>
          <w:szCs w:val="22"/>
        </w:rPr>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2.1　适配改造模块清单</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本次江苏省物流公共服务平台适配改造共分为12项（即12个模块），分别为：门户、企业报表填报、企业填报任务管理、数据大屏、报表审批管理、统计报表、系统配置管理、信息服务管理、报告管理、目录管理、问卷填报、通知公告。其中标注“▲”的6项（门户、企业报表填报、企业填报任务管理、数据大屏、报表审批管理、统计报表）为关键功能模块。具体适配改造模块清单如下：</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701"/>
        <w:gridCol w:w="1587"/>
        <w:gridCol w:w="4819"/>
      </w:tblGrid>
      <w:tr>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48"/>
              <w:jc w:val="center"/>
              <w:spacing w:after="80" w:line="276" w:lineRule="auto"/>
              <w:widowControl/>
              <w:rPr>
                <w:rFonts w:ascii="宋体" w:hAnsi="宋体" w:cs="宋体"/>
                <w:sz w:val="22"/>
                <w:szCs w:val="22"/>
                <w:lang w:eastAsia="en-US"/>
              </w:rPr>
            </w:pPr>
            <w:r>
              <w:rPr>
                <w:rFonts w:hint="eastAsia" w:ascii="宋体" w:hAnsi="宋体" w:cs="宋体"/>
                <w:b/>
                <w:sz w:val="20"/>
                <w:szCs w:val="22"/>
                <w:lang w:eastAsia="en-US"/>
              </w:rPr>
              <w:t xml:space="preserve">序号</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48"/>
              <w:jc w:val="center"/>
              <w:spacing w:after="80" w:line="276" w:lineRule="auto"/>
              <w:widowControl/>
              <w:rPr>
                <w:rFonts w:ascii="宋体" w:hAnsi="宋体" w:cs="宋体"/>
                <w:sz w:val="22"/>
                <w:szCs w:val="22"/>
                <w:lang w:eastAsia="en-US"/>
              </w:rPr>
            </w:pPr>
            <w:r>
              <w:rPr>
                <w:rFonts w:hint="eastAsia" w:ascii="宋体" w:hAnsi="宋体" w:cs="宋体"/>
                <w:b/>
                <w:sz w:val="20"/>
                <w:szCs w:val="22"/>
                <w:lang w:eastAsia="en-US"/>
              </w:rPr>
              <w:t xml:space="preserve">模块名称</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after="80" w:line="276" w:lineRule="auto"/>
              <w:widowControl/>
              <w:rPr>
                <w:rFonts w:ascii="宋体" w:hAnsi="宋体" w:cs="宋体"/>
                <w:sz w:val="22"/>
                <w:szCs w:val="22"/>
                <w:lang w:eastAsia="en-US"/>
              </w:rPr>
            </w:pPr>
            <w:r>
              <w:rPr>
                <w:rFonts w:hint="eastAsia" w:ascii="宋体" w:hAnsi="宋体" w:cs="宋体"/>
                <w:b/>
                <w:sz w:val="20"/>
                <w:szCs w:val="22"/>
                <w:lang w:eastAsia="en-US"/>
              </w:rPr>
              <w:t xml:space="preserve">功能名称</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pStyle w:val="748"/>
              <w:jc w:val="center"/>
              <w:spacing w:after="80" w:line="276" w:lineRule="auto"/>
              <w:widowControl/>
              <w:rPr>
                <w:rFonts w:ascii="宋体" w:hAnsi="宋体" w:cs="宋体"/>
                <w:sz w:val="22"/>
                <w:szCs w:val="22"/>
                <w:lang w:eastAsia="en-US"/>
              </w:rPr>
            </w:pPr>
            <w:r>
              <w:rPr>
                <w:rFonts w:hint="eastAsia" w:ascii="宋体" w:hAnsi="宋体" w:cs="宋体"/>
                <w:b/>
                <w:sz w:val="20"/>
                <w:szCs w:val="22"/>
                <w:lang w:eastAsia="en-US"/>
              </w:rPr>
              <w:t xml:space="preserve">功能描述</w:t>
            </w:r>
            <w:r>
              <w:rPr>
                <w:rFonts w:ascii="宋体" w:hAnsi="宋体" w:cs="宋体"/>
                <w:sz w:val="22"/>
                <w:szCs w:val="22"/>
                <w:lang w:eastAsia="en-US"/>
              </w:rPr>
            </w:r>
            <w:r/>
          </w:p>
        </w:tc>
      </w:tr>
      <w:tr>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b/>
                <w:sz w:val="19"/>
                <w:szCs w:val="22"/>
                <w:lang w:eastAsia="en-US"/>
              </w:rPr>
              <w:t xml:space="preserve">1</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▲门户</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涵盖行业动态、政策法规、统计直报等多个板块，为物流行业主体提供资讯发布、枢纽建设、综合业务一站式物流公共服务。</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b/>
                <w:sz w:val="19"/>
                <w:szCs w:val="22"/>
                <w:lang w:eastAsia="en-US"/>
              </w:rPr>
              <w:t xml:space="preserve">2</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▲企业报表填报</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待填报表</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企业用户查看当期分配给自己、尚未填报的报表任务，在线完成报表数据填报提交。</w:t>
            </w:r>
            <w:r>
              <w:rPr>
                <w:rFonts w:ascii="宋体" w:hAnsi="宋体" w:cs="宋体"/>
                <w:sz w:val="22"/>
                <w:szCs w:val="22"/>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往期报表</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查询本企业历史周期内已经提交完成的报表记录，支持历史报表数据查看。</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补报</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针对已经超过正常填报截止日期的报表，企业发起逾期报表补报申请，完成报表补报提交。</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b/>
                <w:sz w:val="19"/>
                <w:szCs w:val="22"/>
                <w:lang w:eastAsia="en-US"/>
              </w:rPr>
              <w:t xml:space="preserve">3</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▲企业填报任务管理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报表分配</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管理人员可将各类物流统计报表任务定向分配至对应填报企业，完成填报任务的下发，明确企业填报范围。</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填报周期管理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配置各类统计报表的填报起止时间，设置定期填报周期，管控报表报送的时间规则等。</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催报</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针对超期尚未完成报表报送的企业，发起线上催报提醒，督促企业按时完成填报工作。</w:t>
            </w: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b/>
                <w:sz w:val="19"/>
                <w:szCs w:val="22"/>
                <w:lang w:eastAsia="en-US"/>
              </w:rPr>
              <w:t xml:space="preserve">4</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▲数据大屏</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可视化展示平台各项物流统计汇总数据，直观呈现填报进度、行业物流指标等信息，便于管理人员实时监控整体填报运行态势。</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b/>
                <w:sz w:val="19"/>
                <w:szCs w:val="22"/>
                <w:lang w:eastAsia="en-US"/>
              </w:rPr>
              <w:t xml:space="preserve">5</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▲报表审批管理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待办事项</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展示当前待审批的企业上报报表清单，供管理人员快速进入报表审批处理页面，管理人员可通过该功能接收、审核企业上报报表。</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已办事项</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存储查看已经完成审批处理的报表记录，可回溯历史审批单据，查询过往审批结果，记录审批处理流程，统计审批任务办理情况。</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b/>
                <w:sz w:val="19"/>
                <w:szCs w:val="22"/>
                <w:lang w:eastAsia="en-US"/>
              </w:rPr>
              <w:t xml:space="preserve">6</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▲统计报表</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任务统计</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对报表审批工作开展数据统计，汇总各类报表状态的任务数量，掌握审批工作整体进度。</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上报明细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查询企业上报物流报表的原始明细数据，可查看单家企业报送的详细填报内容。</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景气指数调查统计</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对物流行业景气调查上报数据进行汇总计算，生成景气指数相关统计结果。</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仓储指数调查统计</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采集仓储行业企业填报数据，完成仓储指数专项统计运算，输出仓储行业指标统计结果。</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审批情况汇总表</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汇总所有企业报表的审批状态，生成报表审批结果汇总报表，直观展示各企业报表审批通过、驳回等情况。</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数据分析</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对平台归集的各类物流统计数据进行多维度分析，生成数据分析结果，为行业管理决策提供数据支撑。</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b/>
                <w:sz w:val="19"/>
                <w:szCs w:val="22"/>
                <w:lang w:eastAsia="en-US"/>
              </w:rPr>
              <w:t xml:space="preserve">7</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系统配置管理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企业验证码管理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管理企业用户的短信验证码。</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管理员验证码管理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对平台管理员账号的登录验证码进行管控，保障后台管理账号登录安全。</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角色管理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定义平台不同岗位角色，配置各角色对应的菜单访问、业务操作权限，实现权限分类管控。</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管理员管理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维护平台后台管理员账号信息，支持管理员账号新增、信息修改、启用禁用等账号管理操作。</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短信发送记录</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记录平台所有对外发送的短信内容、接收对象、发送时间，提供短信历史记录查询追溯。</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企业库管理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维护平台内所有物流填报企业的基础信息名录，完成企业信息新增、编辑、停用等企业库资源管理。</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b/>
                <w:sz w:val="19"/>
                <w:szCs w:val="22"/>
                <w:lang w:eastAsia="en-US"/>
              </w:rPr>
              <w:t xml:space="preserve">8</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信息服务管理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发布快报</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管理人员在线编辑、发布物流行业资讯快报，对外推送最新行业动态与统计资讯。</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在线问卷上报列表</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查看所有企业线上提交的调查问卷清单，支持查看问卷详情、导出问卷上报数据。</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b/>
                <w:sz w:val="19"/>
                <w:szCs w:val="22"/>
                <w:lang w:eastAsia="en-US"/>
              </w:rPr>
              <w:t xml:space="preserve">9</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报告管理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报告查询</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查看、导出系统自动生成的物流统计成果报告，查阅历史生成报告文件。</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报告模板</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维护各类统计报告的生成模板，可新增、编辑、调整报告模板格式与统计指标内容。</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b/>
                <w:sz w:val="19"/>
                <w:szCs w:val="22"/>
                <w:lang w:eastAsia="en-US"/>
              </w:rPr>
              <w:t xml:space="preserve">10</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目录管理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目录管理</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维护物流企业上报目录分类，管理目录条目，搭建平台企业名录分类体系。</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上报审核</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对企业提交的名录目录上报信息开展线上审核，判定名录信息是否通过入库。</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催报</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对名录目录报送逾期的企业发送催报通知，提醒企业及时完成目录信息上报。</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b/>
                <w:sz w:val="19"/>
                <w:szCs w:val="22"/>
                <w:lang w:eastAsia="en-US"/>
              </w:rPr>
              <w:t xml:space="preserve">11</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问卷填报</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待填问卷</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企业查看平台下发的未完成调查问卷，在线填写并提交物流专项调研问卷。</w:t>
            </w:r>
            <w:r>
              <w:rPr>
                <w:rFonts w:ascii="宋体" w:hAnsi="宋体" w:cs="宋体"/>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680"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701" w:type="auto"/>
            <w:vAlign w:val="center"/>
            <w:vMerge w:val="continue"/>
            <w:textDirection w:val="lrTb"/>
            <w:noWrap w:val="false"/>
          </w:tcPr>
          <w:p>
            <w:pPr>
              <w:pStyle w:val="748"/>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历史问卷</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查看企业过往已经成功上报完成的所有调查问卷记录，可查阅历史填报内容。</w:t>
            </w: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b/>
                <w:sz w:val="19"/>
                <w:szCs w:val="22"/>
                <w:lang w:eastAsia="en-US"/>
              </w:rPr>
              <w:t xml:space="preserve">12</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通知公告</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48"/>
              <w:jc w:val="center"/>
              <w:spacing w:line="276" w:lineRule="auto"/>
              <w:widowControl/>
              <w:rPr>
                <w:rFonts w:ascii="宋体" w:hAnsi="宋体" w:cs="宋体"/>
                <w:sz w:val="22"/>
                <w:szCs w:val="22"/>
                <w:lang w:eastAsia="en-US"/>
              </w:rPr>
            </w:pPr>
            <w:r>
              <w:rPr>
                <w:rFonts w:hint="eastAsia" w:ascii="宋体" w:hAnsi="宋体" w:cs="宋体"/>
                <w:sz w:val="19"/>
                <w:szCs w:val="22"/>
                <w:lang w:eastAsia="en-US"/>
              </w:rPr>
              <w:t xml:space="preserve">/</w:t>
            </w:r>
            <w:r>
              <w:rPr>
                <w:rFonts w:ascii="宋体" w:hAnsi="宋体" w:cs="宋体"/>
                <w:sz w:val="22"/>
                <w:szCs w:val="22"/>
                <w:lang w:eastAsia="en-US"/>
              </w:rPr>
            </w:r>
            <w:r/>
          </w:p>
        </w:tc>
        <w:tc>
          <w:tcPr>
            <w:tcBorders>
              <w:top w:val="single" w:color="000000" w:sz="4" w:space="0"/>
              <w:left w:val="single" w:color="000000" w:sz="4" w:space="0"/>
              <w:bottom w:val="single" w:color="000000" w:sz="4" w:space="0"/>
              <w:right w:val="single" w:color="000000" w:sz="4" w:space="0"/>
            </w:tcBorders>
            <w:tcW w:w="4819" w:type="dxa"/>
            <w:vAlign w:val="top"/>
            <w:textDirection w:val="lrTb"/>
            <w:noWrap w:val="false"/>
          </w:tcPr>
          <w:p>
            <w:pPr>
              <w:pStyle w:val="748"/>
              <w:jc w:val="left"/>
              <w:spacing w:line="276" w:lineRule="auto"/>
              <w:widowControl/>
              <w:rPr>
                <w:rFonts w:ascii="宋体" w:hAnsi="宋体" w:cs="宋体"/>
                <w:sz w:val="22"/>
                <w:szCs w:val="22"/>
              </w:rPr>
            </w:pPr>
            <w:r>
              <w:rPr>
                <w:rFonts w:hint="eastAsia" w:ascii="宋体" w:hAnsi="宋体" w:cs="宋体"/>
                <w:sz w:val="19"/>
                <w:szCs w:val="22"/>
              </w:rPr>
              <w:t xml:space="preserve">企业端查看、阅读平台发布的全部通知公告，及时接收填报工作提醒与相关管理消息。</w:t>
            </w:r>
            <w:r>
              <w:rPr>
                <w:rFonts w:ascii="宋体" w:hAnsi="宋体" w:cs="宋体"/>
                <w:sz w:val="22"/>
                <w:szCs w:val="22"/>
              </w:rPr>
            </w:r>
            <w:r/>
          </w:p>
        </w:tc>
      </w:tr>
    </w:tbl>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2.2　各模块适配改造具体要求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投标人须对下列每一项内容逐项响应；未逐项响应或响应内容无法对应到具体模块的，视为响应不完整。</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门户：在麒麟、欧拉等国产操作系统及奇安信、360安全浏览器国产版等国产化浏览器环境下完成全页面适配，行业动态、政策法规、统计直报等全部板块无页面错位、控件失效、脚本报错；页面首屏加载时间不超过3秒。</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（2）企业报表填报：待填报表、往期报表、补报等功能在国产化浏览器下表单控件、日期控件、附件上传控件可正常使用；报表提交后在国产数据库中数据写入完整、无乱码；补报流程的审批状态同步正确。</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企业填报任务管理：报表分配、填报周期管理、催报等功能在国产化环境下定时任务调度准确；数据分配（单次不少于500家企业）响应时间不超过10秒；催报短信通过国产化环境下的短信服务正常发送，发送记录完整可追溯。</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（4）数据大屏：可视化组件在国产化浏览器下正常渲染，支持1920×1080及以上分辨率自适应；首屏渲染完成时间不超过5秒；连续运行72小时无内存持续增长现象。</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（5）报表审批管理：待办事项、已办事项在国产化环境下流程引擎与审批流转正常；审批操作日志记录完整，包含审批人、审批时间、审批意见；历史审批单据可回溯查询，查询结果与迁移前一致。</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6）统计报表：任务统计、上报明细、景气指数调查统计、仓储指数调查统计、审批情况汇总表、数据分析等全部统计类功能须完成SQL脚本向国产数据库的迁移改造，迁移前后统计口径与计算结果一致，误差为0；报表批量导出（不少于2000条）响应时间不超过30秒，且不出现内存溢出或数据库连接中断。</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7）系统配置管理：企业验证码管理、管理员验证码管理、角色管理、管理员管理、短信发送记录、企业库管理等功能在国产化环境下权限控制与数据读写正常；短信发送记录支持组合检索，响应时间不超过3秒。</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（8）信息服务管理：发布快报的编辑功能在国产化浏览器下可正常使用；在线问卷支持问卷详情查看，与改造前保持一致。</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（9）报告管理：报告查询与报告模板维护功能在国产化环境下正常可用；系统自动生成的统计报告在国产化环境下生成成功率100%，生成报告的文件格式、内容完整性与改造前一致。</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（10）目录管理：目录管理、上报审核、催报等功能在国产化环境下正常可用；上报审核流程状态同步正确，催报通知记录完整可查。</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（11）问卷填报：待填问卷、历史问卷功能在国产化浏览器下正常可用；问卷题目类型在国产化环境下均可正常提交与存储；历史问卷记录查询与导出功能正常，导出数据与原始填报一致。</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（12）通知公告：企业端可正常查看、阅读平台发布的全部通知公告；公告附件在国产化环境下可正常下载与预览；公告列表分页查询响应时间不超过2秒。</w:t>
      </w:r>
      <w:r/>
    </w:p>
    <w:p>
      <w:pPr>
        <w:pStyle w:val="748"/>
        <w:jc w:val="left"/>
        <w:spacing w:before="180" w:after="80" w:line="360" w:lineRule="auto"/>
        <w:widowControl/>
        <w:rPr>
          <w:rFonts w:hint="eastAsia" w:ascii="宋体" w:hAnsi="宋体" w:cs="宋体"/>
          <w:sz w:val="22"/>
          <w:szCs w:val="22"/>
        </w:rPr>
      </w:pPr>
      <w:r>
        <w:rPr>
          <w:rFonts w:hint="eastAsia" w:ascii="宋体" w:hAnsi="宋体" w:cs="宋体"/>
          <w:b/>
          <w:sz w:val="25"/>
          <w:szCs w:val="22"/>
        </w:rPr>
        <w:t xml:space="preserve">3　技术要求</w:t>
      </w:r>
      <w:r>
        <w:rPr>
          <w:rFonts w:hint="eastAsia" w:ascii="宋体" w:hAnsi="宋体" w:cs="宋体"/>
          <w:sz w:val="22"/>
          <w:szCs w:val="22"/>
        </w:rPr>
      </w:r>
      <w:r/>
    </w:p>
    <w:p>
      <w:pPr>
        <w:pStyle w:val="748"/>
        <w:jc w:val="left"/>
        <w:spacing w:before="120" w:after="60" w:line="360" w:lineRule="auto"/>
        <w:widowControl/>
        <w:rPr>
          <w:rFonts w:hint="eastAsia" w:ascii="宋体" w:hAnsi="宋体" w:cs="宋体"/>
          <w:b/>
          <w:sz w:val="23"/>
          <w:szCs w:val="22"/>
        </w:rPr>
      </w:pPr>
      <w:r>
        <w:rPr>
          <w:rFonts w:hint="eastAsia" w:ascii="宋体" w:hAnsi="宋体" w:cs="宋体"/>
          <w:b/>
          <w:sz w:val="23"/>
          <w:szCs w:val="22"/>
        </w:rPr>
        <w:t xml:space="preserve">3.1　功能性要求</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本次改造为存量系统的国产化迁移，功能范围以第2章所列12个改造模块的功能清单为准。改造后系统应满足：</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（1）功能不减：改造后各模块功能项与改造前一一对应，不得因运行环境或技术栈变更出现功能缺失、菜单缺失、业务入口变更等情况；确需调整的，须事先取得采购人书面确认。</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业务不偏：企业报表填报、企业填报任务管理、报表审批管理、统计报表、数据大屏等核心业务链路的处理逻辑与改造前保持一致，任务下发、上报审核、审批流转等环节的状态流转规则和业务校验规则不得改变。</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（3）数据不差：统计口径、报表格式、导出字段与改造前一致，同一统计周期内在改造前后两套环境中生成的统计结果应完全一致，不得出现数据错行、漏统、重复计算。</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（4）交互不降：页面元素、操作路径、提示信息与改造前保持一致，原有用户无需重新培训即可完成既有业务操作。</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（5）接口不漏：系统内部各模块间的调用关系保持完整；与“数智发改”综合服务平台已对接的统一用户、统一组织、统一权限等接口，在国产化环境下应正常连通，数据同步不中断。</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3.2　性能要求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国产化环境下硬件架构、数据库与中间件均发生变化，投标人须完成性能实测，实测指标不得低于改造前系统在原环境中的水平，并满足下列要求：</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（1）页面响应：常规页面打开、表单提交、单条数据保存等操作，在国产化终端上完成时间不超过2秒。</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（2）查询响应：单条件精确查询不超过2秒；多条件组合查询及模糊查询不超过3秒；统计报表生成、数据大屏刷新等复杂事务处理不超过5秒。</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（3）并发承载：系统应支持不少于500个用户同时在线，其中并发操作用户不少于50个；在上述压力下，第（1）（2）项指标不得出现明显劣化。</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（4）峰值稳定性：报表集中填报等业务高峰时段的系统平均响应时间，不超过平峰时段的1.5倍，且不得出现服务不可用、请求大面积超时的情况。</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（5）资源占用：在国产化服务器环境下，系统稳定运行期间的资源占用应处于合理区间，不得出现内存泄漏、线程堆积、连接池耗尽等需要定期重启才能恢复的问题。</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3.3　安全标准要求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（1）投标人须延续落实平台既有的网络安全等级保护定级要求，按相应级别的防护要求开展改造与交付，配合采购人完成等级保护测评，对测评发现的问题限期整改直至通过。</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（2）投标人须按《信息安全技术信息系统密码应用基本要求》（GB/T 39786-2021）的要求，在国产化环境中使用合规的商用密码产品与技术完成密码应用改造，配合采购人完成商用密码应用安全性评估，并根据评估结论完成整改。</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（3）改造过程中涉及的国产化安全产品须与省政务云提供的国产化环境兼容，网络安全、数据安全类产品的选型应与本文件技术规格要求一致，不得引入未经兼容性验证的第三方安全组件导致防护能力下降。</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（4）企业填报数据、统计成果数据等敏感信息在迁移、备份、导出环节不得明文落地，迁移过程须保留完整操作日志，可追溯、可审计。</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3.4　系统稳定性、灵活性、扩展性与开放性要求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稳定性：整个系统须能够连续7×24小时不间断工作，不会因系统资源的耗尽而停机。系统须保证数据的一致性、完整性、准确性要求达到99.99%。对人工输入的数据以及来自不同接口的数据须进行合法性检查，确保流程的通畅性，并且能够对错误数据进行自动纠错处理。须制定数据存储备份策略，确保平台平稳迁移。</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（2）灵活性：系统须具有快速适应业务变化的能力，应采用灵活的架构和技术手段，如扩大对不同数据格式的支持等。系统应具有良好的可扩展性，支持功能模块及处理能力的有效扩展和集成。</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（3）扩展性：当系统容量和性能发生变化时，应能通过软硬件各个层次的扩展，保证系统合理的响应时间和吞吐量，支持负载的划分与均衡。</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（4）开放性：须充分考虑软件的开放性，充分考虑对不同业务数据和其他数据异构性的兼容。</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3.5　适配改造技术要求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国产化适配要求：主要包括但不限于以下范围，具体以省政务云提供的国产化环境为准。</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（1）芯片：支持主流国产化架构（ARM、X86）芯片计算机、服务器，范围：飞腾、鲲鹏；</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（2）操作系统：支持主流国产化操作系统，范围：麒麟、欧拉；</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（3）数据库：支持主流国产化关系型数据库，范围：达梦、人大金仓、高斯；</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（4）中间件：Web服务器、应用服务器、消息队列等中间件支持主流国产化产品，范围：东方通、金蝶、华宇；</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（5）安全：网络安全、数据安全等支持主流国产化产品，范围：奇安信、深信服。</w:t>
      </w:r>
      <w:r/>
    </w:p>
    <w:p>
      <w:pPr>
        <w:pStyle w:val="748"/>
        <w:jc w:val="left"/>
        <w:spacing w:before="180" w:after="80" w:line="360" w:lineRule="auto"/>
        <w:widowControl/>
        <w:rPr>
          <w:rFonts w:hint="eastAsia" w:ascii="宋体" w:hAnsi="宋体" w:cs="宋体"/>
          <w:sz w:val="22"/>
          <w:szCs w:val="22"/>
        </w:rPr>
      </w:pPr>
      <w:r>
        <w:rPr>
          <w:rFonts w:hint="eastAsia" w:ascii="宋体" w:hAnsi="宋体" w:cs="宋体"/>
          <w:b/>
          <w:sz w:val="25"/>
          <w:szCs w:val="22"/>
        </w:rPr>
        <w:t xml:space="preserve">4　国产化适配改造</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本次国产化适配改造按技术域划分为4个方面、共14个子项，投标人须逐项响应。</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4.1　应用前端与交互适配改造</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4.1.1　UI界面调整适配：对系统页面进行适配调整，遵循国产操作系统的UI设计规范，包括字体、控件尺寸、间距、色彩等，确保界面美观、统一且操作友好。采用相对布局和动态计算控件尺寸，替代硬编码的绝对布局和尺寸，确保在不同分辨率、缩放比例及国产化桌面环境下显示正常。针对页面展示、资源树框架、默认边距、表格内容居中、垂直居中、UI标签边距、页面最小宽度、弹出框定位布局等问题开展适配改造。</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4.1.2　前端运行脚本适配改造：使用现代前端技术优化第三方或自定义脚本的加载策略，如异步加载、延迟加载，降低对页面渲染的阻塞程度。确保JavaScript代码在国产化浏览器（如奇安信、360安全浏览器国产版）中能正确解析和执行，处理语法或API差异。针对不同浏览器之间JS语法兼容、事件绑定、事件对象等问题进行专项适配，消除因浏览器差异导致功能无法正常解析或执行异常等情况。</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4.1.3　客户端性能支持改造：分析并优化应用冷启动耗时，将非必要的初始化操作改为异步执行，可通过非阻塞I/O操作、线程池、回调函数或Promise，或者在前端场景使用Web Worker这类多线程异步技术来减少主线程阻塞，同时可增加加载动效提升用户体验。利用预下载、预渲染、字节码缓存等技术，提前加载关键资源，减少用户等待时间。针对国产化终端跨操作系统、跨浏览器的数据处理时效，以及多页签、大数据量调用渲染引发的界面卡顿等问题，开展页面性能专项适配升级。</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4.1.4　页面框架集成适配改造：支持多种前端框架，可基于Web Components构建通用组件，再通过适配层封装为各框架专用组件，实现逻辑复用和统一维护。对于混合开发应用，利用JSBridge实现Native与WebView的双向通信，并通过同层渲染等技术增强Web组件的交互能力。针对平台页面间消息通信机制，解决国产化环境下页面加载空白、页面异常等问题。</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4.2　系统性能适配改造</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4.2.1　服务端并发性能：针对国产化硬件环境下多并发、大数据量查询、统计下载等场景易出现性能下降的问题开展适配验证和性能优化。对耗时逻辑（如数据解析、计算）进行并行化改造，使用多线程技术将任务从主线程剥离，避免阻塞UI渲染，提升系统响应速度。实施请求限流、资源复用等策略，优化高并发场景下的处理能力，防止系统过载，保障多并发查询、下载、业务应用场景下系统运行性能。</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4.2.2　数据展示页面性能：针对系统大数据量查询页面、数据展示界面，结合业务功能与第三方系统高频交互场景，开展国产化适配改造与性能调优，保障数据查询、展示功能运行性能满足业务使用要求。</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4.3　外部交互与接口适配改造</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4.3.1　外部接口与认证协议适配：对调用后端服务的API接口进行适配，确保在国产化网络环境下通信稳定，处理可能的加密协议或认证方式变更。可采用的认证方式包括Basic认证、摘要认证、OAuth 2.0、JWT等；可适配的加密协议涵盖SSL/TLS、HTTPS、SSH等。</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4.3.2　第三方中间库与驱动国产化替代：识别并替换依赖的第三方非国产中间库或客户端驱动，选用国产化替代产品或通过兼容层技术实现功能对接，保障与外部系统之间的数据共享交互正常。</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4.3.3　服务间调用API适配：对服务间调用的API进行适配，确保在国产化环境中的通信安全与稳定。如有外部系统对接，需提供符合国产化安全标准的API接口。</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4.4　部署端国产化适配开发</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4.4.1　搭建服务端国产化运行环境：根据国产化部署要求，设计国产化部署整体架构。在国产化环境中安装对应的软件和实施相应的部署工作，搭建平台运行环境。部署实施覆盖服务端操作系统、国产数据库、文件存储、应用中间件以及本项目建设的应用程序。</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4.4.2　国产数据库适配与数据迁移：系统现有MySQL数据库，数据存储方式、分页语法、内置函数、存储过程等与国产化数据库存在差异。投标人须完成存量数据分析、数据迁移工作，迁移至选定国产数据库；基于国产数据库驱动开展深度适配开发，对应用系统的数据查询、存储、调用等SQL脚本代码进行改造，转换为国产数据库兼容语法，并开展充分测试验证，保障数据关联查询及各项业务功能正常运行。</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4.4.3　文档附件存储适配：对系统内各类材料、附件、文件存储开展国产化部署验证，测试存储模式与业务程序结合场景运行稳定性。针对系统大量的附件查询、上传、下载、删除等文件操作进行专项验证，保障附件相关功能在国产化环境下稳定可用。</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4.4.4　国产应用中间件适配：国产化适配须选用国产中间件，将应用部署至选定国产中间件环境。开展适配验证，完成相关技术组件更新适配、代码兼容性设置、开发框架（如JDK）运行适应性调试；以JavaWeb在Tomcat运行为参考验证Web特性，优化系统线程、日志等运行参数配置，保障系统程序稳定运行。</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4.4.5　技术规格与参数响应：投标人须按本章3.5条所列芯片、操作系统、数据库、中间件、安全、终端设备等国产化适配要求，配合采购人在最终指定环境下完成适配与部署。</w:t>
      </w:r>
      <w:r/>
    </w:p>
    <w:p>
      <w:pPr>
        <w:pStyle w:val="748"/>
        <w:jc w:val="left"/>
        <w:spacing w:before="180" w:after="80" w:line="360" w:lineRule="auto"/>
        <w:widowControl/>
        <w:rPr>
          <w:rFonts w:hint="eastAsia" w:ascii="宋体" w:hAnsi="宋体" w:cs="宋体"/>
          <w:sz w:val="22"/>
          <w:szCs w:val="22"/>
        </w:rPr>
      </w:pPr>
      <w:r>
        <w:rPr>
          <w:rFonts w:hint="eastAsia" w:ascii="宋体" w:hAnsi="宋体" w:cs="宋体"/>
          <w:b/>
          <w:sz w:val="25"/>
          <w:szCs w:val="22"/>
        </w:rPr>
        <w:t xml:space="preserve">5　数据迁移要求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投标人须将现有平台的全部历史数据迁移至国产化环境的目标国产数据库，并开展数据治理，优化数据结构，提升在国产环境下的数据利用效率与质量。迁移工作须满足下列要求：</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（1）迁移范围：涵盖平台现有全部业务数据、附件文件、配置数据及历史日志数据，迁移后数据记录总数与迁移前一致，数据内容零丢失、零错位。</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（2）迁移正确性：迁移完成后须开展完整性校验，包括但不限于记录数比对、关键字段抽样比对、主外键关系校验、统计口径回归比对，比对结果不一致项为0。</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（3）业务连续性：迁移过程须制定回滚预案，迁移窗口须避开报表填报与审批高峰期，确保不影响现有业务正常运行。</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（4）迁移交付：须提交数据迁移方案、数据迁移记录、数据校验报告，并配合采购人开展迁移结果确认。</w:t>
      </w:r>
      <w:r/>
    </w:p>
    <w:p>
      <w:pPr>
        <w:pStyle w:val="748"/>
        <w:jc w:val="left"/>
        <w:spacing w:before="180" w:after="80" w:line="360" w:lineRule="auto"/>
        <w:widowControl/>
        <w:rPr>
          <w:rFonts w:hint="eastAsia" w:ascii="宋体" w:hAnsi="宋体" w:cs="宋体"/>
          <w:sz w:val="22"/>
          <w:szCs w:val="22"/>
        </w:rPr>
      </w:pPr>
      <w:r>
        <w:rPr>
          <w:rFonts w:hint="eastAsia" w:ascii="宋体" w:hAnsi="宋体" w:cs="宋体"/>
          <w:b/>
          <w:sz w:val="25"/>
          <w:szCs w:val="22"/>
        </w:rPr>
        <w:t xml:space="preserve">6　服务要求</w:t>
      </w:r>
      <w:r>
        <w:rPr>
          <w:rFonts w:hint="eastAsia" w:ascii="宋体" w:hAnsi="宋体" w:cs="宋体"/>
          <w:sz w:val="22"/>
          <w:szCs w:val="22"/>
        </w:rPr>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6.1　服务内容与标准</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基于采购人提供的国产化环境，对平台进行适配、改造并部署在其指定的国产化环境，整体适配改造部署服务包括平台的测试环境与正式环境。投标人须确保部署后系统稳定运行、兼容性达标，适配国产软硬件体系，满足使用需求。</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6.2　项目工期与进度要求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项目改造期自合同签订起至合同项下所有工作完成截止。自合同签订后至2026年12月底前完成系统的国产化适配改造、上线运行和验收等工作；。</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6.3　项目实施团队要求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为保障项目的顺利实施，投标人应合理组建本项目的实施团队，确保有效人力和物力的投入。本项目实施阶段项目团队人员至少为4人，包括项目经理、技术负责人、信息安全服务负责人和项目实施其他团队成员。其中项目经理、技术负责人、信息安全服务负责人每个岗位配置1名人员，不得一岗多人，核心岗位人员不得兼任。项目经理、技术负责人、信息安全服务负责人等项目组核心人员不得无故更换，如确需变更需征得采购人书面批准。各岗位职责如下：</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（1）项目经理：主要负责制定并执行项目整体计划，包括项目进度计划、质量管理计划、风险管理计划、沟通计划等，并根据项目实施情况采用不同实施策略进行项目资源管理，确保项目按时按质完成交付。</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（2）技术负责人：主要负责开发范围的讨论与确定，负责开发工作的详细计划的制定与控制，牵头国产化适配改造的技术方案设计与技术难点攻关。</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（3）信息安全服务负责人：主要负责项目实施过程中的信息安全管理、安全加固方案落实，并组织安全问题整改。</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（4）项目实施其他团队成员：按照项目分工承担适配改造开发、数据迁移、测试验证、部署实施等具体工作。</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6.4　项目管理要求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应结合本项目实际情况，制定内容全面、可落地执行的项目实施方案，建立系统化的项目实施管理制度以及全过程质量保证体系。实施方案须对项目进度管理、项目质量管理、项目沟通管理、项目变更管理、项目风险管理作出专项规划，落实各项管控措施，保障项目按期保质完成。</w:t>
      </w:r>
      <w:r/>
    </w:p>
    <w:p>
      <w:pPr>
        <w:pStyle w:val="748"/>
        <w:ind w:firstLine="420"/>
        <w:jc w:val="left"/>
        <w:spacing w:after="80" w:line="400" w:lineRule="exact"/>
        <w:widowControl/>
        <w:rPr>
          <w:rFonts w:hint="eastAsia" w:ascii="宋体" w:hAnsi="宋体" w:cs="宋体"/>
          <w:sz w:val="22"/>
          <w:szCs w:val="22"/>
        </w:rPr>
      </w:pPr>
      <w:r>
        <w:rPr>
          <w:rFonts w:hint="eastAsia" w:ascii="宋体" w:hAnsi="宋体" w:cs="宋体"/>
          <w:sz w:val="22"/>
          <w:szCs w:val="22"/>
        </w:rPr>
        <w:t xml:space="preserve">（1）项目进度管理：投标人应围绕第6.2条确定的里程碑节点，供应商应制定详细的项目进度计划，明确各阶段任务分解、里程碑节点、起止时间及交付成果。供应商应建立进度跟踪与预警机制，定期编制项目进度报告，当实际进度与计划进度发生偏差时，及时分析原因并采取纠偏措施。对于可能影响项目总工期的关键节点延误，须第一时间向采购人报告，并提交调整方案。</w:t>
      </w:r>
      <w:r/>
    </w:p>
    <w:p>
      <w:pPr>
        <w:pStyle w:val="748"/>
        <w:ind w:firstLine="420"/>
        <w:jc w:val="left"/>
        <w:spacing w:after="80" w:line="400" w:lineRule="exact"/>
        <w:widowControl/>
        <w:rPr>
          <w:rFonts w:hint="eastAsia" w:ascii="宋体" w:hAnsi="宋体" w:cs="宋体"/>
          <w:sz w:val="22"/>
          <w:szCs w:val="22"/>
        </w:rPr>
      </w:pPr>
      <w:r>
        <w:rPr>
          <w:rFonts w:hint="eastAsia" w:ascii="宋体" w:hAnsi="宋体" w:cs="宋体"/>
          <w:sz w:val="22"/>
          <w:szCs w:val="22"/>
        </w:rPr>
        <w:t xml:space="preserve">（2）项目质量管理：投标人应建立覆盖项目全过程的质量保证体系，明确各阶段质量目标和验收标准。质量管理应涵盖需求分析、设计开发、系统部署、测试验证、试运行等各环节。投标人应制定质量检查计划，开展阶段性质量评审，对发现的质量问题实行闭环管理。</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项目沟通管理：投标人应建立多层次、多渠道的项目沟通机制，指定专人作为项目沟通联络人。沟通方式包括项目启动会、里程碑评审会及临时沟通等。会议结束后24小时内形成会议纪要，明确议定事项、责任人与完成时限。</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（4）项目变更管理：投标人应建立规范的项目变更管理流程，明确变更申请、影响分析、审批决策、实施验证等各环节的操作规范。经采购人书面确认后方可实施变更，所有变更须形成书面记录。</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5）项目风险管理：投标人应在项目启动阶段对可能影响项目进度、质量、安全、合规等方面的潜在风险进行全面识别，形成风险清单。根据风险发生概率和影响程度进行分级评估，对高风险项制定专项应对预案。项目实施过程中定期开展风险复查，动态更新风险清单。</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6.5　项目培训要求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投标人须支持免费向建设单位及指定的培训对象提供相关培训，以便工作人员能熟练操作平台。具体培训要求包括：</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（1）投标人必须提供具有相应专业知识、实际工作和教学经验的培训人员。</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（2）投标人应为采购人提供包括但不限于下列几个方面的培训：①系统业务操作培训；②投标人认为必要的其他培训。</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6.6　项目验收要求</w:t>
      </w:r>
      <w:r>
        <w:rPr>
          <w:rFonts w:hint="eastAsia" w:ascii="宋体" w:hAnsi="宋体" w:cs="宋体"/>
          <w:sz w:val="22"/>
          <w:szCs w:val="22"/>
        </w:rPr>
      </w:r>
      <w:r/>
    </w:p>
    <w:p>
      <w:pPr>
        <w:pStyle w:val="748"/>
        <w:ind w:firstLine="420"/>
        <w:jc w:val="left"/>
        <w:spacing w:after="80" w:line="400" w:lineRule="exact"/>
        <w:widowControl/>
        <w:rPr>
          <w:rFonts w:hint="eastAsia" w:ascii="宋体" w:hAnsi="宋体" w:cs="宋体"/>
          <w:sz w:val="22"/>
          <w:szCs w:val="22"/>
        </w:rPr>
      </w:pPr>
      <w:r>
        <w:rPr>
          <w:rFonts w:hint="eastAsia" w:ascii="宋体" w:hAnsi="宋体" w:cs="宋体"/>
          <w:sz w:val="22"/>
          <w:szCs w:val="22"/>
        </w:rPr>
        <w:t xml:space="preserve">（1）验收成果要求：验收成果资料包括但不限于采购文档、技术改造服务合同、功能与性能测试报告等相关技术文档。</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验收标准：采购人按照《江苏省政府采购履约验收管理办法》（苏财规〔2024〕7号）要求进行验收，验收情况作为支付货款的依据。中标人全面完成本项目全部开发、部署、调试，达到合同约定全部功能及性能指标，完成文档移交并满足采购人上线试运行要求后，向采购人提出验收申请，采购人组织验收。验收不合格的，中标人应在15个工作日内完成整改并重新申请验收。</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6.7　售后服务要求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（1）质保期限：自项目最终验收合格之日起，提供1年的免费质保服务。</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质保服务范围：在质保服务周期内，凡是因国产化环境适配、代码迁移改造、国密算法集成、数据迁移等项目建设内容引发的系统故障、运行性能异常、软硬件兼容性问题，全部责任由投标人承担，投标人应无偿提供故障排查、问题修复、系统调优升级等售后服务，保障系统稳定运行。</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（3）服务响应时效：投标人须建立7×24小时不间断的故障应急响应保障机制，全天候受理系统故障报修。</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国产化环境兼容性问题分级处置：针对国产化环境特有的兼容性类问题（包含但不限于数据库死锁、内存溢出、国密证书失效、中间件配置异常等故障），实行分级处置：一级（业务中断类）故障上报后1小时内技术人员完成响应对接，8小时内输出可落地的问题解决方案，24小时内完成故障排查与修复；二级（性能下降类）故障上报后2小时内响应，24小时内输出解决方案，48小时内完成修复或提供等效替代方案。投标人须建立国产化环境兼容性问题处置台账，并按季度向采购人提交兼容性运行分析报告。</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5）基础软件变更兜底承诺：质保服务有效期内，针对国产基础软件（操作系统、数据库、中间件）厂商发布安全补丁、迭代升级版本、实施安全加固等变更行为，若由此造成平台出现软硬件不兼容、业务运行异常、系统性能下降等问题，投标人须无条件、无偿开展系统的适配改造、调试优化以及故障修复工作，不得以第三方厂商变更为由拒绝提供售后服务，不得向采购人收取任何附加费用。</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6.8　保密要求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投标人应对项目技术文件以及由采购人提供的所有内部资料、技术文档、数据和信息予以保密；中标人应与采购人签订保密协议并严格遵守，未经采购人书面许可，不得以任何形式向第三方透露本项目标书、技术方案等内容。</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（2）投标人服务人员可根据采购人要求签订保密协议，协议内容需得到采购人认可，并与合同一并提交给采购人。</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（3）投标人须与现有系统原厂商进行技术对接、协调、联调等，涉及的所有成本已纳入投标报价。</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6.9　现场条件、配合要求及安全规范</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现场条件要求：采购人需按项目实施计划，为投标人提供满足系统部署、调试、测试需求的基础环境；实施环境需满足平台运行的安全合规要求，具备基础的网络安全防护、访问控制、日志审计能力；如需现场部署、调试或运维，采购人需提前协调场地，提供稳定的电力供应、网络接口及必要的办公设备。</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（2）数据与资料支持：采购人需按项目进度，及时、完整提供系统建设所需的基础业务数据、政策文件、业务流程说明、现有系统接口规范等资料；投标人需对获取的业务数据承担保密责任。</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双方协作配合：采购人需指定专人作为项目联络人，负责协调内部资源、反馈业务需求、确认项目阶段成果；投标人需按项目实施计划，提前3个工作日内向采购人提交现场实施、系统调试、用户培训等工作的时间安排及所需配合事项。</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实施过程配合：系统部署、升级、集成及重大运维操作前，投标人需提前向采购人提交实施方案与风险评估报告；项目实施过程中如因政策调整、业务需求变更等因素需调整项目计划，双方需及时沟通协商，形成书面变更记录；系统测试、试运行及验收阶段，采购人需组织相关业务人员参与功能测试、数据验证及使用反馈。</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5）信息安全管理：投标人需严格遵守国家及地方信息安全相关法律法规，建立完善的信息安全管理制度，对项目实施过程中接触的采购人业务数据、用户信息、系统配置信息等承担保密责任；需采取数据加密、访问控制、漏洞扫描、日志审计等安全防护措施；涉及用户隐私数据、敏感业务数据的处理，需符合《中华人民共和国个人信息保护法》《中华人民共和国数据安全法》等相关规定。</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6）现场实施安全规范：投标人现场实施人员需遵守采购人现场管理规定，服从场地管理人员的指挥，未经许可不得进入非授权区域；需严格遵守电力、网络、机房等相关安全操作规程；实施过程中如发生安全事件，需第一时间向采购人报告，并采取有效措施控制事态发展。</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6.10　付款方式</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（1）合同生效并且投标人提供对应发票后10个工作日内，支付合同款项的80%；</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（2）项目最终验收合格，且采购人收到发票后的10个工作日内，支付剩余20%合同款项。</w:t>
      </w:r>
      <w:r/>
    </w:p>
    <w:p>
      <w:pPr>
        <w:pStyle w:val="748"/>
        <w:jc w:val="left"/>
        <w:spacing w:before="180" w:after="80" w:line="360" w:lineRule="auto"/>
        <w:widowControl/>
        <w:rPr>
          <w:rFonts w:hint="eastAsia" w:ascii="宋体" w:hAnsi="宋体" w:cs="宋体"/>
          <w:sz w:val="22"/>
          <w:szCs w:val="22"/>
        </w:rPr>
      </w:pPr>
      <w:r>
        <w:rPr>
          <w:rFonts w:hint="eastAsia" w:ascii="宋体" w:hAnsi="宋体" w:cs="宋体"/>
          <w:b/>
          <w:sz w:val="25"/>
          <w:szCs w:val="22"/>
        </w:rPr>
        <w:t xml:space="preserve">7　投标方案编制要求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投标人须按照下列9个方面分别编制投标方案，每个方案须对照本条所列方面逐项响应。未在采购需求中提出要求的内容，不作为评审因素。</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7.1　现状和需求分析方案</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投标人应对本项目现状进行全面梳理，深入开展需求分析，准确阐述平台业务定位、国产化改造政策背景及建设目标。方案至少包含现状分析、需求分析、项目重难点分析及应对措施三个方面：</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（1）现状分析：对平台现有技术架构、部署环境、网络安全、运行维护及12个功能模块进行逐项分析，识别与国产化环境的差距。</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（2）需求分析：对本文件“2 建设内容”全部条款逐项分析，确保无遗漏。</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（3）项目重难点分析及应对措施：一是重难点识别，至少识别全栈国产化适配、历史数据迁移完整性、业务连续性保障等三项以上重难点；二是技术应对措施，针对每项重难点提出可操作的技术应对措施。</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7.2　总体设计方案</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投标人应基于本项目建设目标和现状，从总体架构与技术架构、数据架构、系统部署、系统安全四个方面，提供完整的总体设计方案：</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（1）总体架构与技术架构设计：覆盖芯片、服务器、操作系统、数据库、中间件、浏览器等全栈国产化技术选型与架构设计，明确适配路径与实施策略。</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（2）数据架构设计：包含符合本项目实际的数据模型、数据源、数据流向、数据存储及数据安全设计。</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（3）系统部署设计：包含国产化环境部署拓扑、测试环境与正式环境的划分、网络区域划分及总体性能设计。</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（4）系统安全设计：提出整体安全体系框架及性能设计保障措施。</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7.3　功能响应与保障方案</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投标人应对照采购需求“2 建设内容”提供系统功能响应与保障方案，方案应包含下列6个方面适配改造模块的响应内容：系统配置管理、信息服务管理、报告管理、目录管理、问卷填报、通知公告。每个方面须说明该模块在国产化环境下的功能实现方式、改造要点及验证方式。</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7.4　适配改造方案</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投标人应针对采购需求“4　国产化适配改造”，从应用前端与交互适配设计、系统性能适配设计、外部交互与接口适配设计、部署端国产化适配设计四个方面，制定详细的适配改造方案：</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（1）应用前端与交互适配设计：针对4.1条UI界面、前端运行脚本、客户端性能、页面框架集成四类改造内容，分别说明改造技术路线、兼容性问题的识别与处置方法、验证方式及量化指标。</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系统性能适配设计：针对4.2条服务端并发性能与数据展示页面性能两类改造内容，说明并行化改造方案、限流与资源复用策略，明确在国产化环境下的并发用户数、响应时间、批量导出耗时等可验证的性能指标及压测方案。</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外部交互与接口适配设计：针对4.3条外部接口与认证协议、第三方中间库与驱动国产化替代、服务间调用API三类内容，说明接口清单梳理方法、认证与加密协议的适配方案、非国产中间库与驱动的替代清单及兼容层实现方式。</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部署端国产化适配设计：基于与现有系统的兼容性、性能、稳定性及安全性的综合考量，明确推荐具体的国产数据库产品型号，需提供选型理由，阐述所选产品如何满足系统在高并发、复杂查询、数据一致性等方面的业务需求；明确推荐具体的国产中间件产品型号，需提供选型论证，阐述所选产品如何满足系统在高并发请求处理、负载均衡、故障转移及与国产化基础环境深度适配等方面的关键需求，确保系统的高可用性与持续服务能力。</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7.5　数据迁移方案</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投标人应针对现有系统数据向国产化环境迁移，从迁移策略、适配转换、测试验证三个方面，制定详细的数据迁移方案：</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（1）迁移策略：明确数据迁移路径、迁移方式及迁移工具选型，制定迁移窗口安排与回滚预案。</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（2）适配转换：针对不同数据库之间的结构差异制定数据转换规则，明确表结构、字段类型、SQL脚本、存储过程与函数的改造方法。</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（3）测试验证：包含数据完整性校验、性能测试及回归测试，明确校验项、校验方法与判定标准。</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7.6　安全设计方案</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投标人应针对平台在国产化环境下的安全要求，从网络安全、密码应用、数据安全三个方面，提供完整的安全设计方案：</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（1）网络安全设计方案：符合网络安全等级保护的相关标准，至少包含安全现状分析、安全需求分析、安全技术方案、安全管理方案等内容。</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密码应用方案：包含密码应用需求分析、密码应用设计、安全管理方案、安全与合规性分析、实施保障方案等内容，明确国密算法（SM2/SM3/SM4）在身份鉴别、数据传输与存储机密性、完整性、日志抗抵赖等方面的应用设计。</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数据安全与个人信息保护方案：包含数据分类分级、敏感数据加密存储与传输、访问控制、剩余信息保护、安全审计与日志适配等内容，并说明符合《中华人民共和国数据安全法》和《中华人民共和国个人信息保护法》的具体措施。</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7.7　项目实施方案</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投标人应对照采购需求“6　服务要求”中的项目工期与进度、项目实施团队、项目管理、项目验收等要求，从项目组织管理、实施进度管理、项目质量管理、需求变更管理、项目风险管理、项目文档管理、项目验收管理七个方面，提供完整、可执行的项目实施方案：</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（1）项目组织管理：明确项目团队结构及职责分工，建立项目沟通协调机制。</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（2）实施进度管理：制定详细的实施计划，明确各阶段起止时间、里程碑节点和交付物；建立进度跟踪与预警机制，明确偏差判定阈值、纠偏时限及关键节点延误的报告机制。</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（3）项目质量管理：明确质量目标、检查计划、阶段性评审安排及问题闭环管理机制。</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（4）需求变更管理：制定规范的需求变更管理流程和变更管理机制。</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（5）项目风险管理：全面识别项目实施过程中可能面临的各类风险，制定相应的预防措施与应急预案。</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（6）项目文档管理：编制项目文档编写规范，统一文档模板和编写标准，建立版本管理机制，提供完整的项目交付物清单。</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（7）项目验收管理：制定项目验收标准和验收流程。</w:t>
      </w:r>
      <w:r/>
    </w:p>
    <w:p>
      <w:pPr>
        <w:pStyle w:val="748"/>
        <w:jc w:val="left"/>
        <w:spacing w:before="120" w:after="60" w:line="360" w:lineRule="auto"/>
        <w:widowControl/>
        <w:rPr>
          <w:rFonts w:hint="eastAsia" w:ascii="宋体" w:hAnsi="宋体" w:cs="宋体"/>
          <w:b/>
          <w:sz w:val="23"/>
          <w:szCs w:val="22"/>
        </w:rPr>
      </w:pPr>
      <w:r>
        <w:rPr>
          <w:rFonts w:hint="eastAsia" w:ascii="宋体" w:hAnsi="宋体" w:cs="宋体"/>
          <w:b/>
          <w:sz w:val="23"/>
          <w:szCs w:val="22"/>
        </w:rPr>
        <w:t xml:space="preserve">7.8　培训服务方案</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投标人应对照采购需求“6.5　项目培训要求”，从培训内容、培训形式两个方面，提供完善的培训服务方案：</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培训内容：分层细化。平台运维人员培训可包含平台技术架构、服务器/数据库/中间件运维、故障排查、安全防护、数据备份与恢复、国产化环境适配维护等内容；业务管理人员培训应涵盖各系统功能操作、业务流程处理、系统配置管理、权限管理等内容。</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（2）培训形式：可进行现场集中授课、实操演练、远程视频指导等。</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7.9　售后服务方案</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投标人应对照采购需求“6.7　售后服务要求”，从服务组织体系、服务响应机制及响应时间、故障分级处置、质保期限与服务范围、定期健康检查与技术移交五个方面，提供完善的售后服务方案：</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（1）服务组织体系：明确售后服务团队组织架构、人员配置、岗位职责分工及本地化支持安排。</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（2）服务响应机制及响应时间：明确7×24小时故障应急响应保障机制的受理渠道、值班安排、响应时限。</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（3）故障分级处置：制定故障分级响应标准（紧急/重大/一般），明确各级故障的响应时间和解决时限；针对国产化环境特有的兼容性问题制定专项处置流程。</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（4）质保期限与服务范围：明确质保期限、质保服务范围及基础软件变更兜底承诺的具体内容与承诺方式。</w:t>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（5）定期健康检查与技术移交：制定定期巡检计划，明确巡检频次及内容，与省政务云运维团队建立协同保障机制。</w:t>
      </w:r>
      <w:r/>
    </w:p>
    <w:p>
      <w:pPr>
        <w:pStyle w:val="748"/>
        <w:jc w:val="left"/>
        <w:spacing w:before="180" w:after="80" w:line="360" w:lineRule="auto"/>
        <w:widowControl/>
        <w:rPr>
          <w:rFonts w:hint="eastAsia" w:ascii="宋体" w:hAnsi="宋体" w:cs="宋体"/>
          <w:sz w:val="22"/>
          <w:szCs w:val="22"/>
        </w:rPr>
      </w:pPr>
      <w:r>
        <w:rPr>
          <w:rFonts w:hint="eastAsia" w:ascii="宋体" w:hAnsi="宋体" w:cs="宋体"/>
          <w:b/>
          <w:sz w:val="25"/>
          <w:szCs w:val="22"/>
        </w:rPr>
        <w:t xml:space="preserve">8　企业履约能力要求</w:t>
      </w:r>
      <w:r>
        <w:rPr>
          <w:rFonts w:hint="eastAsia" w:ascii="宋体" w:hAnsi="宋体" w:cs="宋体"/>
          <w:sz w:val="22"/>
          <w:szCs w:val="22"/>
        </w:rPr>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8.1　企业资质要求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投标人开发的软件系统获得过行政部门颁发的、与物流信息化或技术相关的奖项。</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8.2　产品能力要求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投标人须具有的数字物流与供应链相关专利、软件著作权。</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8.3　项目案例要求</w:t>
      </w:r>
      <w:r>
        <w:rPr>
          <w:rFonts w:hint="eastAsia" w:ascii="宋体" w:hAnsi="宋体" w:cs="宋体"/>
          <w:sz w:val="22"/>
          <w:szCs w:val="22"/>
        </w:rPr>
      </w:r>
      <w:r/>
    </w:p>
    <w:p>
      <w:pPr>
        <w:pStyle w:val="748"/>
        <w:ind w:firstLine="440"/>
        <w:spacing w:after="80" w:line="360" w:lineRule="auto"/>
        <w:widowControl/>
        <w:rPr>
          <w:rFonts w:hint="eastAsia" w:ascii="宋体" w:hAnsi="宋体" w:cs="宋体"/>
          <w:sz w:val="22"/>
          <w:szCs w:val="22"/>
        </w:rPr>
      </w:pPr>
      <w:r>
        <w:rPr>
          <w:rFonts w:hint="eastAsia" w:ascii="宋体" w:hAnsi="宋体" w:cs="宋体"/>
          <w:sz w:val="22"/>
          <w:szCs w:val="22"/>
        </w:rPr>
        <w:t xml:space="preserve">投标人须具有与本项目类似的系统平台国产化适配改造项目经验业绩。类似项目是指：投标人完成的与本项目建设内容相近的物流相关服务平台、政务信息系统或其他应用系统平台的国产化适配改造类项目。</w:t>
      </w:r>
      <w:r/>
    </w:p>
    <w:p>
      <w:pPr>
        <w:pStyle w:val="748"/>
        <w:jc w:val="left"/>
        <w:spacing w:before="120" w:after="60" w:line="360" w:lineRule="auto"/>
        <w:widowControl/>
        <w:rPr>
          <w:rFonts w:hint="eastAsia" w:ascii="宋体" w:hAnsi="宋体" w:cs="宋体"/>
          <w:sz w:val="22"/>
          <w:szCs w:val="22"/>
        </w:rPr>
      </w:pPr>
      <w:r>
        <w:rPr>
          <w:rFonts w:hint="eastAsia" w:ascii="宋体" w:hAnsi="宋体" w:cs="宋体"/>
          <w:b/>
          <w:sz w:val="23"/>
          <w:szCs w:val="22"/>
        </w:rPr>
        <w:t xml:space="preserve">8.4　技术团队资质要求</w:t>
      </w:r>
      <w:r>
        <w:rPr>
          <w:rFonts w:hint="eastAsia" w:ascii="宋体" w:hAnsi="宋体" w:cs="宋体"/>
          <w:sz w:val="22"/>
          <w:szCs w:val="22"/>
        </w:rPr>
      </w:r>
      <w:r/>
    </w:p>
    <w:p>
      <w:pPr>
        <w:pStyle w:val="748"/>
        <w:ind w:firstLine="440"/>
        <w:jc w:val="left"/>
        <w:spacing w:line="400" w:lineRule="exact"/>
        <w:rPr>
          <w:rFonts w:hint="eastAsia"/>
          <w:b/>
          <w:sz w:val="24"/>
          <w:szCs w:val="24"/>
          <w:lang w:val="zh-CN"/>
        </w:rPr>
      </w:pPr>
      <w:r>
        <w:rPr>
          <w:rFonts w:hint="eastAsia" w:ascii="宋体" w:hAnsi="宋体" w:cs="宋体"/>
          <w:sz w:val="22"/>
          <w:szCs w:val="22"/>
        </w:rPr>
        <w:t xml:space="preserve">供应商拟投入本项目的团队人员（含项目经理、技术负责人及其他成员）中，持有下列有效证书的，按本文件评分标准“3.4 企业履约能力——技术团队资质”的规定计分：</w:t>
        <w:br w:type="textWrapping" w:clear="all"/>
        <w:t xml:space="preserve">（1）计算机技术与软件专业技术资格（软考）信息系统项目管理师证书；</w:t>
        <w:br w:type="textWrapping" w:clear="all"/>
        <w:t xml:space="preserve">（2）计算机技术与软件专业技术资格（软考）系统集成项目管理工程师证书；</w:t>
        <w:br w:type="textWrapping" w:clear="all"/>
        <w:t xml:space="preserve">（3）数据治理工程师证书；</w:t>
        <w:br w:type="textWrapping" w:clear="all"/>
        <w:t xml:space="preserve">（4）计算机技术与软件专业技术资格（软考）数据库系统工程师（中级及以上）证书；</w:t>
        <w:br w:type="textWrapping" w:clear="all"/>
        <w:t xml:space="preserve">（5）计算机技术与软件专业技术资格（软考）软件设计师（中级及以上）证书。</w:t>
      </w:r>
      <w:r>
        <w:rPr>
          <w:rFonts w:hint="eastAsia"/>
          <w:b/>
          <w:sz w:val="24"/>
          <w:szCs w:val="24"/>
          <w:lang w:val="zh-CN"/>
        </w:rPr>
      </w:r>
      <w:r/>
    </w:p>
    <w:p>
      <w:pPr>
        <w:pStyle w:val="748"/>
        <w:ind w:firstLine="482"/>
        <w:jc w:val="left"/>
        <w:spacing w:line="400" w:lineRule="exact"/>
        <w:rPr>
          <w:b/>
          <w:sz w:val="24"/>
          <w:szCs w:val="24"/>
          <w:lang w:val="zh-CN"/>
        </w:rPr>
      </w:pPr>
      <w:r>
        <w:rPr>
          <w:b/>
          <w:sz w:val="24"/>
          <w:szCs w:val="24"/>
          <w:lang w:val="zh-CN"/>
        </w:rPr>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8"/>
        <w:rPr>
          <w:rFonts w:hint="eastAsia" w:ascii="黑体" w:eastAsia="黑体"/>
          <w:bCs/>
          <w:sz w:val="44"/>
        </w:rPr>
      </w:pPr>
      <w:r/>
      <w:bookmarkStart w:id="220" w:name="_Toc120614281"/>
      <w:r>
        <w:rPr>
          <w:rFonts w:hint="eastAsia" w:ascii="黑体" w:eastAsia="黑体"/>
          <w:bCs/>
          <w:sz w:val="44"/>
        </w:rPr>
      </w:r>
      <w:r/>
    </w:p>
    <w:p>
      <w:pPr>
        <w:pStyle w:val="748"/>
        <w:rPr>
          <w:rFonts w:hint="eastAsia" w:ascii="黑体" w:eastAsia="黑体"/>
          <w:bCs/>
          <w:sz w:val="44"/>
        </w:rPr>
      </w:pPr>
      <w:r>
        <w:rPr>
          <w:rFonts w:hint="eastAsia" w:ascii="黑体" w:eastAsia="黑体"/>
          <w:bCs/>
          <w:sz w:val="44"/>
        </w:rPr>
      </w:r>
      <w:r/>
    </w:p>
    <w:p>
      <w:pPr>
        <w:pStyle w:val="748"/>
        <w:rPr>
          <w:rFonts w:hint="eastAsia" w:ascii="黑体" w:eastAsia="黑体"/>
          <w:bCs/>
          <w:sz w:val="44"/>
        </w:rPr>
      </w:pPr>
      <w:r>
        <w:rPr>
          <w:rFonts w:hint="eastAsia" w:ascii="黑体" w:eastAsia="黑体"/>
          <w:bCs/>
          <w:sz w:val="44"/>
        </w:rPr>
      </w:r>
      <w:r/>
    </w:p>
    <w:p>
      <w:pPr>
        <w:pStyle w:val="748"/>
        <w:rPr>
          <w:rFonts w:hint="eastAsia" w:ascii="黑体" w:eastAsia="黑体"/>
          <w:bCs/>
          <w:sz w:val="44"/>
        </w:rPr>
      </w:pPr>
      <w:r>
        <w:rPr>
          <w:rFonts w:hint="eastAsia" w:ascii="黑体" w:eastAsia="黑体"/>
          <w:bCs/>
          <w:sz w:val="44"/>
        </w:rPr>
      </w:r>
      <w:r/>
    </w:p>
    <w:p>
      <w:pPr>
        <w:pStyle w:val="748"/>
        <w:rPr>
          <w:rFonts w:hint="eastAsia" w:ascii="黑体" w:eastAsia="黑体"/>
          <w:bCs/>
          <w:sz w:val="44"/>
        </w:rPr>
      </w:pPr>
      <w:r>
        <w:rPr>
          <w:rFonts w:ascii="黑体" w:eastAsia="黑体"/>
          <w:bCs/>
          <w:sz w:val="44"/>
        </w:rPr>
        <w:br w:type="page" w:clear="all"/>
      </w:r>
      <w:r>
        <w:rPr>
          <w:rFonts w:hint="eastAsia" w:ascii="黑体" w:eastAsia="黑体"/>
          <w:bCs/>
          <w:sz w:val="44"/>
        </w:rPr>
      </w:r>
      <w:r/>
    </w:p>
    <w:p>
      <w:pPr>
        <w:pStyle w:val="750"/>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cantSplit/>
        </w:trPr>
        <w:tc>
          <w:tcPr>
            <w:tcW w:w="1608"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center"/>
            <w:vMerge w:val="restart"/>
            <w:textDirection w:val="lrTb"/>
            <w:noWrap w:val="false"/>
          </w:tcPr>
          <w:p>
            <w:pPr>
              <w:pStyle w:val="74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p>
            <w:pPr>
              <w:pStyle w:val="74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本项目兼投兼中（供应商可以选择任意一个或多个分包参与投标，同一个供应商可以中标多个分包）</w:t>
            </w:r>
            <w:r/>
          </w:p>
        </w:tc>
      </w:tr>
      <w:tr>
        <w:trPr>
          <w:cantSplit/>
        </w:trPr>
        <w:tc>
          <w:tcPr>
            <w:tcW w:w="1608"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2183"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center"/>
            <w:vMerge w:val="continue"/>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Pr>
        <w:tc>
          <w:tcPr>
            <w:tcW w:w="1608"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2183"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center"/>
            <w:vMerge w:val="continue"/>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Pr>
        <w:tc>
          <w:tcPr>
            <w:tcW w:w="1608"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2183"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center"/>
            <w:vMerge w:val="continue"/>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Pr>
        <w:tc>
          <w:tcPr>
            <w:tcW w:w="1608"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2183"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center"/>
            <w:vMerge w:val="continue"/>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Pr>
        <w:tc>
          <w:tcPr>
            <w:tcW w:w="1608"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2183"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center"/>
            <w:vMerge w:val="continue"/>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36"/>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p>
    <w:p>
      <w:pPr>
        <w:pStyle w:val="8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pStyle w:val="836"/>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（1）本项目对小型和微型企业提供的服务给予10%的扣除价格，用扣除后的价格参与评审。</w:t>
      </w:r>
      <w:r>
        <w:rPr>
          <w:rFonts w:hint="eastAsia" w:ascii="宋体" w:hAnsi="宋体"/>
          <w:sz w:val="28"/>
          <w:szCs w:val="28"/>
        </w:rPr>
      </w:r>
      <w:r/>
    </w:p>
    <w:p>
      <w:pPr>
        <w:pStyle w:val="8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pStyle w:val="836"/>
        <w:ind w:firstLine="560"/>
        <w:spacing w:line="400" w:lineRule="exact"/>
        <w:rPr>
          <w:rFonts w:hint="eastAsia" w:ascii="方正仿宋_GBK" w:hAnsi="方正仿宋_GBK" w:eastAsia="方正仿宋_GBK" w:cs="方正仿宋_GBK"/>
          <w:sz w:val="28"/>
          <w:szCs w:val="28"/>
        </w:rPr>
      </w:pPr>
      <w:r/>
      <w:bookmarkStart w:id="221" w:name="OLE_LINK5"/>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13，供应商将不享受《政府采购促进中小企业发展管理办法》规定的价格扣除优惠政策。</w:t>
      </w:r>
      <w:r/>
    </w:p>
    <w:p>
      <w:pPr>
        <w:pStyle w:val="836"/>
        <w:ind w:firstLine="560"/>
        <w:spacing w:line="400" w:lineRule="exact"/>
        <w:rPr>
          <w:rFonts w:hint="eastAsia" w:ascii="方正仿宋_GBK" w:hAnsi="方正仿宋_GBK" w:eastAsia="方正仿宋_GBK" w:cs="方正仿宋_GBK"/>
          <w:sz w:val="28"/>
          <w:szCs w:val="28"/>
        </w:rPr>
      </w:pPr>
      <w:r/>
      <w:bookmarkEnd w:id="221"/>
      <w:r>
        <w:rPr>
          <w:rFonts w:hint="eastAsia" w:ascii="方正仿宋_GBK" w:hAnsi="方正仿宋_GBK" w:eastAsia="方正仿宋_GBK" w:cs="方正仿宋_GBK"/>
          <w:sz w:val="28"/>
          <w:szCs w:val="28"/>
        </w:rPr>
        <w:t xml:space="preserve">2.残疾人福利单位价格扣除</w:t>
      </w:r>
      <w:r/>
    </w:p>
    <w:p>
      <w:pPr>
        <w:pStyle w:val="836"/>
        <w:ind w:left="120"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836"/>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pStyle w:val="836"/>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pStyle w:val="8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pStyle w:val="8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pStyle w:val="8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pStyle w:val="83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pStyle w:val="836"/>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836"/>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36"/>
        <w:ind w:firstLine="562"/>
        <w:spacing w:line="400" w:lineRule="exact"/>
        <w:rPr>
          <w:rFonts w:hint="eastAsia" w:ascii="宋体" w:hAnsi="宋体"/>
          <w:b/>
          <w:sz w:val="28"/>
          <w:szCs w:val="28"/>
        </w:rPr>
      </w:pPr>
      <w:r>
        <w:rPr>
          <w:rFonts w:hint="eastAsia" w:ascii="宋体" w:hAnsi="宋体"/>
          <w:b/>
          <w:sz w:val="28"/>
          <w:szCs w:val="28"/>
        </w:rPr>
      </w:r>
      <w:r/>
    </w:p>
    <w:p>
      <w:pPr>
        <w:pStyle w:val="748"/>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p>
    <w:p>
      <w:pPr>
        <w:pStyle w:val="748"/>
        <w:ind w:firstLine="562"/>
        <w:jc w:val="left"/>
        <w:spacing w:before="120" w:after="120" w:line="400" w:lineRule="exact"/>
        <w:rPr>
          <w:rFonts w:hint="eastAsia" w:ascii="方正仿宋_GBK" w:hAnsi="方正仿宋_GBK" w:eastAsia="方正仿宋_GBK" w:cs="方正仿宋_GBK"/>
          <w:b/>
          <w:sz w:val="28"/>
          <w:szCs w:val="28"/>
        </w:rPr>
      </w:pPr>
      <w:r/>
      <w:bookmarkStart w:id="222" w:name="OLE_LINK13"/>
      <w:r/>
      <w:bookmarkStart w:id="223" w:name="OLE_LINK12"/>
      <w:r>
        <w:rPr>
          <w:rFonts w:hint="eastAsia" w:ascii="方正仿宋_GBK" w:hAnsi="方正仿宋_GBK" w:eastAsia="方正仿宋_GBK" w:cs="方正仿宋_GBK"/>
          <w:b/>
          <w:sz w:val="28"/>
          <w:szCs w:val="28"/>
        </w:rPr>
        <w:t xml:space="preserve">采购</w:t>
      </w:r>
      <w:bookmarkEnd w:id="222"/>
      <w:r/>
      <w:bookmarkEnd w:id="223"/>
      <w:r>
        <w:rPr>
          <w:rFonts w:hint="eastAsia" w:ascii="方正仿宋_GBK" w:hAnsi="方正仿宋_GBK" w:eastAsia="方正仿宋_GBK" w:cs="方正仿宋_GBK"/>
          <w:b/>
          <w:sz w:val="28"/>
          <w:szCs w:val="28"/>
        </w:rPr>
        <w:t xml:space="preserve">包一：江苏省服务业公共服务云平台国产化适配改造</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31"/>
        <w:gridCol w:w="6298"/>
        <w:gridCol w:w="812"/>
      </w:tblGrid>
      <w:tr>
        <w:trPr>
          <w:trHeight w:val="468"/>
          <w:tblHead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序号</w:t>
            </w:r>
            <w:r>
              <w:rPr>
                <w:rFonts w:ascii="方正黑体_GBK" w:hAnsi="方正黑体_GBK" w:eastAsia="方正黑体_GBK" w:cs="方正黑体_GBK"/>
                <w:sz w:val="24"/>
                <w:szCs w:val="24"/>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评分因素</w:t>
            </w:r>
            <w:r>
              <w:rPr>
                <w:rFonts w:ascii="方正黑体_GBK" w:hAnsi="方正黑体_GBK" w:eastAsia="方正黑体_GBK" w:cs="方正黑体_GBK"/>
                <w:sz w:val="24"/>
                <w:szCs w:val="24"/>
              </w:rPr>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jc w:val="center"/>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评审细则</w:t>
            </w:r>
            <w:r>
              <w:rPr>
                <w:rFonts w:ascii="方正黑体_GBK" w:hAnsi="方正黑体_GBK" w:eastAsia="方正黑体_GBK" w:cs="方正黑体_GBK"/>
                <w:sz w:val="24"/>
                <w:szCs w:val="24"/>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分值</w:t>
            </w:r>
            <w:r>
              <w:rPr>
                <w:rFonts w:ascii="方正黑体_GBK" w:hAnsi="方正黑体_GBK" w:eastAsia="方正黑体_GBK" w:cs="方正黑体_GBK"/>
                <w:sz w:val="24"/>
                <w:szCs w:val="24"/>
              </w:rPr>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9061" w:type="dxa"/>
            <w:vAlign w:val="center"/>
            <w:textDirection w:val="lrTb"/>
            <w:noWrap/>
          </w:tcPr>
          <w:p>
            <w:pPr>
              <w:pStyle w:val="748"/>
              <w:jc w:val="left"/>
            </w:pPr>
            <w:r>
              <w:t xml:space="preserve">1.价格（10分）</w:t>
            </w:r>
            <w:r/>
          </w:p>
        </w:tc>
      </w:tr>
      <w:tr>
        <w:trPr>
          <w:trHeight w:val="145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t xml:space="preserve">1</w:t>
            </w:r>
            <w:r>
              <w:rPr>
                <w:rFonts w:hint="eastAsia"/>
              </w:rPr>
              <w:t xml:space="preserve">.1</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价格</w:t>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pPr>
            <w:r>
              <w:rPr>
                <w:rFonts w:hint="eastAsia" w:ascii="宋体" w:hAnsi="宋体" w:cs="宋体"/>
              </w:rPr>
              <w:t xml:space="preserve">报价分计算方法：采用低价优先法计算，即满足采购文件要求且报价最低的供应商报价为评标基准价，其价格分为满分10分。其他投标人的价格分统一按照下列公式计算：投标报价得分=（评标基准价/该投标人的投标报价）×10，按四舍五入法保留两位小数。</w:t>
            </w: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t xml:space="preserve">10</w:t>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9061" w:type="dxa"/>
            <w:vAlign w:val="center"/>
            <w:textDirection w:val="lrTb"/>
            <w:noWrap/>
          </w:tcPr>
          <w:p>
            <w:pPr>
              <w:pStyle w:val="748"/>
              <w:jc w:val="left"/>
            </w:pPr>
            <w:r>
              <w:t xml:space="preserve">2.技术（</w:t>
            </w:r>
            <w:r>
              <w:rPr>
                <w:rFonts w:hint="eastAsia"/>
              </w:rPr>
              <w:t xml:space="preserve">61</w:t>
            </w:r>
            <w:r>
              <w:t xml:space="preserve">分）</w:t>
            </w:r>
            <w:r/>
          </w:p>
        </w:tc>
      </w:tr>
      <w:tr>
        <w:trPr>
          <w:trHeight w:val="218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2.1</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rPr>
                <w:rFonts w:hint="eastAsia"/>
              </w:rPr>
              <w:t xml:space="preserve">现状和需求分析方案</w:t>
            </w:r>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rPr>
                <w:rFonts w:ascii="宋体" w:hAnsi="宋体" w:cs="宋体"/>
              </w:rPr>
            </w:pPr>
            <w:r>
              <w:rPr>
                <w:rFonts w:hint="eastAsia" w:ascii="宋体" w:hAnsi="宋体" w:cs="宋体"/>
              </w:rPr>
              <w:t xml:space="preserve">评委根据投标文件对招标文件分包三5.9方案要求中“现状和需求分析”要求的响应情况进行评审。</w:t>
            </w:r>
            <w:r>
              <w:rPr>
                <w:rFonts w:ascii="宋体" w:hAnsi="宋体" w:cs="宋体"/>
              </w:rPr>
            </w:r>
            <w:r/>
          </w:p>
          <w:p>
            <w:pPr>
              <w:pStyle w:val="748"/>
              <w:rPr>
                <w:rFonts w:ascii="宋体" w:hAnsi="宋体" w:cs="宋体"/>
              </w:rPr>
            </w:pPr>
            <w:r>
              <w:rPr>
                <w:rFonts w:hint="eastAsia" w:ascii="宋体" w:hAnsi="宋体" w:cs="宋体"/>
              </w:rPr>
              <w:t xml:space="preserve">（1）投标文件未符合“现状和需求分析”中全部条款要求的，视为不符合招标文件，本项得0分。</w:t>
            </w:r>
            <w:r>
              <w:rPr>
                <w:rFonts w:ascii="宋体" w:hAnsi="宋体" w:cs="宋体"/>
              </w:rPr>
            </w:r>
            <w:r/>
          </w:p>
          <w:p>
            <w:pPr>
              <w:pStyle w:val="748"/>
              <w:rPr>
                <w:rFonts w:ascii="宋体" w:hAnsi="宋体" w:cs="宋体"/>
              </w:rPr>
            </w:pPr>
            <w:r>
              <w:rPr>
                <w:rFonts w:hint="eastAsia" w:ascii="宋体" w:hAnsi="宋体" w:cs="宋体"/>
              </w:rPr>
              <w:t xml:space="preserve">（2）投标文件符合“现状和需求分析”中全部条款要求的，视为符合招标文件，本项得3分。</w:t>
            </w:r>
            <w:r>
              <w:rPr>
                <w:rFonts w:ascii="宋体" w:hAnsi="宋体" w:cs="宋体"/>
              </w:rPr>
            </w:r>
            <w:r/>
          </w:p>
          <w:p>
            <w:pPr>
              <w:pStyle w:val="748"/>
              <w:rPr>
                <w:rFonts w:ascii="宋体" w:hAnsi="宋体" w:cs="宋体"/>
              </w:rPr>
            </w:pPr>
            <w:r>
              <w:rPr>
                <w:rFonts w:hint="eastAsia" w:ascii="宋体" w:hAnsi="宋体" w:cs="宋体"/>
              </w:rPr>
              <w:t xml:space="preserve">（3）投标文件对“现状和需求分析”中的“现状分析”“重难点分析”两项要求的响应内容全部优于招标文件要求的（前提是投标文件对“现状和需求分析”中除“现状分析”“重难点分析”外其他要求响应内容符合招标文件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rPr>
                <w:rFonts w:hint="eastAsia"/>
              </w:rPr>
              <w:t xml:space="preserve">5</w:t>
            </w:r>
            <w:r/>
            <w:r/>
          </w:p>
        </w:tc>
      </w:tr>
      <w:tr>
        <w:trPr>
          <w:trHeight w:val="183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t xml:space="preserve">2</w:t>
            </w:r>
            <w:r>
              <w:rPr>
                <w:rFonts w:hint="eastAsia"/>
              </w:rPr>
              <w:t xml:space="preserve">.2</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总体设计方案</w:t>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rPr>
                <w:rFonts w:ascii="宋体" w:hAnsi="宋体" w:cs="宋体"/>
              </w:rPr>
            </w:pPr>
            <w:r>
              <w:rPr>
                <w:rFonts w:hint="eastAsia" w:ascii="宋体" w:hAnsi="宋体" w:cs="宋体"/>
              </w:rPr>
              <w:t xml:space="preserve">评委根据投标文件对招标文件分包三5.9方案要求中“总体设计方案”要求的响应情况进行评审。</w:t>
            </w:r>
            <w:r>
              <w:rPr>
                <w:rFonts w:ascii="宋体" w:hAnsi="宋体" w:cs="宋体"/>
              </w:rPr>
            </w:r>
            <w:r/>
          </w:p>
          <w:p>
            <w:pPr>
              <w:pStyle w:val="748"/>
              <w:rPr>
                <w:rFonts w:ascii="宋体" w:hAnsi="宋体" w:cs="宋体"/>
              </w:rPr>
            </w:pPr>
            <w:r>
              <w:rPr>
                <w:rFonts w:hint="eastAsia" w:ascii="宋体" w:hAnsi="宋体" w:cs="宋体"/>
              </w:rPr>
              <w:t xml:space="preserve">（1）投标文件未符合“总体设计方案”中全部条款要求的，视为不符合招标文件，本项得0分。</w:t>
            </w:r>
            <w:r>
              <w:rPr>
                <w:rFonts w:ascii="宋体" w:hAnsi="宋体" w:cs="宋体"/>
              </w:rPr>
            </w:r>
            <w:r/>
          </w:p>
          <w:p>
            <w:pPr>
              <w:pStyle w:val="748"/>
              <w:rPr>
                <w:rFonts w:ascii="宋体" w:hAnsi="宋体" w:cs="宋体"/>
              </w:rPr>
            </w:pPr>
            <w:r>
              <w:rPr>
                <w:rFonts w:hint="eastAsia" w:ascii="宋体" w:hAnsi="宋体" w:cs="宋体"/>
              </w:rPr>
              <w:t xml:space="preserve">（2）投标文件符合“总体设计方案”中全部条款要求的，视为符合招标文件，本项得3分。</w:t>
            </w:r>
            <w:r>
              <w:rPr>
                <w:rFonts w:ascii="宋体" w:hAnsi="宋体" w:cs="宋体"/>
              </w:rPr>
            </w:r>
            <w:r/>
          </w:p>
          <w:p>
            <w:pPr>
              <w:pStyle w:val="748"/>
              <w:rPr>
                <w:rFonts w:ascii="宋体" w:hAnsi="宋体" w:cs="宋体"/>
              </w:rPr>
            </w:pPr>
            <w:r>
              <w:rPr>
                <w:rFonts w:hint="eastAsia" w:ascii="宋体" w:hAnsi="宋体" w:cs="宋体"/>
              </w:rPr>
              <w:t xml:space="preserve">（3）投标文件对“总体设计方案”中的“数据架构设计”“系统部署设计”两项要求的响应内容全部优于招标文件要求的（前提是投标文件对“总体设计方案”中除“数据架构设计”“系统部署设计”外其他要求响应内容符合招标文件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rPr>
                <w:rFonts w:hint="eastAsia"/>
              </w:rPr>
              <w:t xml:space="preserve">5</w:t>
            </w:r>
            <w:r/>
            <w:r/>
          </w:p>
        </w:tc>
      </w:tr>
      <w:tr>
        <w:trPr>
          <w:trHeight w:val="649"/>
        </w:trPr>
        <w:tc>
          <w:tcPr>
            <w:tcBorders>
              <w:top w:val="single" w:color="000000" w:sz="4" w:space="0"/>
              <w:left w:val="single" w:color="000000" w:sz="4" w:space="0"/>
              <w:right w:val="single" w:color="000000" w:sz="4" w:space="0"/>
            </w:tcBorders>
            <w:tcW w:w="720" w:type="dxa"/>
            <w:vAlign w:val="center"/>
            <w:textDirection w:val="lrTb"/>
            <w:noWrap/>
          </w:tcPr>
          <w:p>
            <w:pPr>
              <w:pStyle w:val="748"/>
              <w:jc w:val="center"/>
            </w:pPr>
            <w:r>
              <w:rPr>
                <w:rFonts w:hint="eastAsia"/>
              </w:rPr>
              <w:t xml:space="preserve">2.3</w:t>
            </w:r>
            <w:r/>
            <w:r/>
          </w:p>
        </w:tc>
        <w:tc>
          <w:tcPr>
            <w:tcBorders>
              <w:top w:val="single" w:color="000000" w:sz="4" w:space="0"/>
              <w:left w:val="single" w:color="000000" w:sz="4" w:space="0"/>
              <w:right w:val="single" w:color="000000" w:sz="4" w:space="0"/>
            </w:tcBorders>
            <w:tcW w:w="1231" w:type="dxa"/>
            <w:vAlign w:val="center"/>
            <w:textDirection w:val="lrTb"/>
            <w:noWrap/>
          </w:tcPr>
          <w:p>
            <w:pPr>
              <w:pStyle w:val="748"/>
              <w:jc w:val="center"/>
            </w:pPr>
            <w:r>
              <w:rPr>
                <w:rFonts w:hint="eastAsia"/>
              </w:rPr>
              <w:t xml:space="preserve">功能响应与保障</w:t>
            </w:r>
            <w:r>
              <w:t xml:space="preserve">方案</w:t>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rPr>
                <w:rFonts w:ascii="宋体" w:hAnsi="宋体" w:cs="宋体"/>
              </w:rPr>
            </w:pPr>
            <w:r>
              <w:rPr>
                <w:rFonts w:hint="eastAsia" w:ascii="宋体" w:hAnsi="宋体" w:cs="宋体"/>
              </w:rPr>
              <w:t xml:space="preserve">评委根据投标文件对招标文件</w:t>
            </w:r>
            <w:bookmarkStart w:id="224" w:name="OLE_LINK71"/>
            <w:r/>
            <w:bookmarkStart w:id="225" w:name="OLE_LINK72"/>
            <w:r>
              <w:rPr>
                <w:rFonts w:hint="eastAsia" w:ascii="宋体" w:hAnsi="宋体" w:cs="宋体"/>
              </w:rPr>
              <w:t xml:space="preserve">分</w:t>
            </w:r>
            <w:bookmarkEnd w:id="224"/>
            <w:r/>
            <w:bookmarkEnd w:id="225"/>
            <w:r>
              <w:rPr>
                <w:rFonts w:hint="eastAsia" w:ascii="宋体" w:hAnsi="宋体" w:cs="宋体"/>
              </w:rPr>
              <w:t xml:space="preserve">包三5.9方案要求中“功能响应与保障方案”要求的响应情况进行评审。</w:t>
            </w:r>
            <w:r>
              <w:rPr>
                <w:rFonts w:ascii="宋体" w:hAnsi="宋体" w:cs="宋体"/>
              </w:rPr>
            </w:r>
            <w:r/>
          </w:p>
          <w:p>
            <w:pPr>
              <w:pStyle w:val="748"/>
              <w:rPr>
                <w:rFonts w:ascii="宋体" w:hAnsi="宋体" w:cs="宋体"/>
              </w:rPr>
            </w:pPr>
            <w:r>
              <w:rPr>
                <w:rFonts w:hint="eastAsia" w:ascii="宋体" w:hAnsi="宋体" w:cs="宋体"/>
              </w:rPr>
              <w:t xml:space="preserve">（1）投标文件未符合“功能响应与保障方案”中全部条款要求的，视为不符合招标文件，本项得0分。</w:t>
            </w:r>
            <w:r>
              <w:rPr>
                <w:rFonts w:ascii="宋体" w:hAnsi="宋体" w:cs="宋体"/>
              </w:rPr>
            </w:r>
            <w:r/>
          </w:p>
          <w:p>
            <w:pPr>
              <w:pStyle w:val="748"/>
              <w:rPr>
                <w:rFonts w:ascii="宋体" w:hAnsi="宋体" w:cs="宋体"/>
              </w:rPr>
            </w:pPr>
            <w:r>
              <w:rPr>
                <w:rFonts w:hint="eastAsia" w:ascii="宋体" w:hAnsi="宋体" w:cs="宋体"/>
              </w:rPr>
              <w:t xml:space="preserve">（2）投标文件符合“功能响应与保障方案”中全部条款要求的，视为符合招标文件，本项得3分。</w:t>
            </w:r>
            <w:r>
              <w:rPr>
                <w:rFonts w:ascii="宋体" w:hAnsi="宋体" w:cs="宋体"/>
              </w:rPr>
            </w:r>
            <w:r/>
          </w:p>
          <w:p>
            <w:pPr>
              <w:pStyle w:val="748"/>
              <w:rPr>
                <w:rFonts w:ascii="宋体" w:hAnsi="宋体" w:cs="宋体"/>
              </w:rPr>
            </w:pPr>
            <w:r>
              <w:rPr>
                <w:rFonts w:hint="eastAsia" w:ascii="宋体" w:hAnsi="宋体" w:cs="宋体"/>
              </w:rPr>
              <w:t xml:space="preserve">（3）投标文件对“功能响应与保障方案”中的“功能测试方案”“保障方案”两项要求的响应内容全部优于招标文件要求的（前提是投标文件对“功能响应与保障方案”中除“功能测试方案”“保障方案”外其他要求响应内容符合招标文件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rPr>
                <w:rFonts w:hint="eastAsia"/>
              </w:rPr>
              <w:t xml:space="preserve">5</w:t>
            </w:r>
            <w:r/>
            <w:r/>
          </w:p>
        </w:tc>
      </w:tr>
      <w:tr>
        <w:trPr>
          <w:trHeight w:val="2269"/>
        </w:trPr>
        <w:tc>
          <w:tcPr>
            <w:tcBorders>
              <w:top w:val="single" w:color="000000" w:sz="4" w:space="0"/>
              <w:left w:val="single" w:color="000000" w:sz="4" w:space="0"/>
              <w:right w:val="single" w:color="000000" w:sz="4" w:space="0"/>
            </w:tcBorders>
            <w:tcW w:w="720" w:type="dxa"/>
            <w:vAlign w:val="center"/>
            <w:textDirection w:val="lrTb"/>
            <w:noWrap/>
          </w:tcPr>
          <w:p>
            <w:pPr>
              <w:pStyle w:val="748"/>
              <w:jc w:val="center"/>
            </w:pPr>
            <w:r>
              <w:rPr>
                <w:rFonts w:hint="eastAsia"/>
              </w:rPr>
              <w:t xml:space="preserve">2.4</w:t>
            </w:r>
            <w:r/>
            <w:r/>
          </w:p>
        </w:tc>
        <w:tc>
          <w:tcPr>
            <w:tcBorders>
              <w:top w:val="single" w:color="000000" w:sz="4" w:space="0"/>
              <w:left w:val="single" w:color="000000" w:sz="4" w:space="0"/>
              <w:right w:val="single" w:color="000000" w:sz="4" w:space="0"/>
            </w:tcBorders>
            <w:tcW w:w="1231" w:type="dxa"/>
            <w:vAlign w:val="center"/>
            <w:textDirection w:val="lrTb"/>
            <w:noWrap/>
          </w:tcPr>
          <w:p>
            <w:pPr>
              <w:pStyle w:val="748"/>
              <w:jc w:val="center"/>
            </w:pPr>
            <w:r>
              <w:rPr>
                <w:rFonts w:hint="eastAsia"/>
              </w:rPr>
              <w:t xml:space="preserve">适配改造方案</w:t>
            </w:r>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rPr>
                <w:rFonts w:ascii="宋体" w:hAnsi="宋体" w:cs="宋体"/>
              </w:rPr>
            </w:pPr>
            <w:r/>
            <w:bookmarkStart w:id="226" w:name="OLE_LINK74"/>
            <w:r/>
            <w:bookmarkStart w:id="227" w:name="OLE_LINK73"/>
            <w:r>
              <w:rPr>
                <w:rFonts w:hint="eastAsia" w:ascii="宋体" w:hAnsi="宋体" w:cs="宋体"/>
              </w:rPr>
              <w:t xml:space="preserve">评委根据投标文件对招标文件分包三5.9方案要求中“适配改造方案”要求的响应情况进行评审。</w:t>
            </w:r>
            <w:r>
              <w:rPr>
                <w:rFonts w:ascii="宋体" w:hAnsi="宋体" w:cs="宋体"/>
              </w:rPr>
            </w:r>
            <w:r/>
          </w:p>
          <w:p>
            <w:pPr>
              <w:pStyle w:val="748"/>
              <w:rPr>
                <w:rFonts w:ascii="宋体" w:hAnsi="宋体" w:cs="宋体"/>
              </w:rPr>
            </w:pPr>
            <w:r>
              <w:rPr>
                <w:rFonts w:hint="eastAsia" w:ascii="宋体" w:hAnsi="宋体" w:cs="宋体"/>
              </w:rPr>
              <w:t xml:space="preserve">（1）投标文件未符合“适配改造方案”中全部条款要求的，视为不符合招标文件，本项得0分。</w:t>
            </w:r>
            <w:r>
              <w:rPr>
                <w:rFonts w:ascii="宋体" w:hAnsi="宋体" w:cs="宋体"/>
              </w:rPr>
            </w:r>
            <w:r/>
          </w:p>
          <w:p>
            <w:pPr>
              <w:pStyle w:val="748"/>
              <w:rPr>
                <w:rFonts w:ascii="宋体" w:hAnsi="宋体" w:cs="宋体"/>
              </w:rPr>
            </w:pPr>
            <w:r>
              <w:rPr>
                <w:rFonts w:hint="eastAsia" w:ascii="宋体" w:hAnsi="宋体" w:cs="宋体"/>
              </w:rPr>
              <w:t xml:space="preserve">（2）投标文件符合“适配改造方案”中全部条款要求的，视为符合招标文件，本项得3分。</w:t>
            </w:r>
            <w:r>
              <w:rPr>
                <w:rFonts w:ascii="宋体" w:hAnsi="宋体" w:cs="宋体"/>
              </w:rPr>
            </w:r>
            <w:r/>
          </w:p>
          <w:p>
            <w:pPr>
              <w:pStyle w:val="748"/>
            </w:pPr>
            <w:r>
              <w:rPr>
                <w:rFonts w:hint="eastAsia" w:ascii="宋体" w:hAnsi="宋体" w:cs="宋体"/>
              </w:rPr>
              <w:t xml:space="preserve">（3）投标文件对“适配改造方案”中的“部署端适配设计”、“性能调优”两项要求的响应内容全部优于招标文件要求的（前提是投标文件对“适配改造方案”中除“部署端适配设计”、“性能调优”外其他要求响应内容符合招标文件要求），本项得5分。</w:t>
            </w:r>
            <w:bookmarkEnd w:id="226"/>
            <w:r/>
            <w:bookmarkEnd w:id="227"/>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rPr>
                <w:rFonts w:hint="eastAsia"/>
              </w:rPr>
              <w:t xml:space="preserve">5</w:t>
            </w:r>
            <w:r/>
            <w:r/>
          </w:p>
        </w:tc>
      </w:tr>
      <w:tr>
        <w:trPr>
          <w:trHeight w:val="3259"/>
        </w:trPr>
        <w:tc>
          <w:tcPr>
            <w:tcBorders>
              <w:top w:val="single" w:color="000000" w:sz="4" w:space="0"/>
              <w:left w:val="single" w:color="000000" w:sz="4" w:space="0"/>
              <w:right w:val="single" w:color="000000" w:sz="4" w:space="0"/>
            </w:tcBorders>
            <w:tcW w:w="720" w:type="dxa"/>
            <w:vAlign w:val="center"/>
            <w:textDirection w:val="lrTb"/>
            <w:noWrap/>
          </w:tcPr>
          <w:p>
            <w:pPr>
              <w:pStyle w:val="748"/>
              <w:jc w:val="center"/>
            </w:pPr>
            <w:r>
              <w:rPr>
                <w:rFonts w:hint="eastAsia"/>
              </w:rPr>
              <w:t xml:space="preserve">2.5</w:t>
            </w:r>
            <w:r/>
            <w:r/>
          </w:p>
        </w:tc>
        <w:tc>
          <w:tcPr>
            <w:tcBorders>
              <w:top w:val="single" w:color="000000" w:sz="4" w:space="0"/>
              <w:left w:val="single" w:color="000000" w:sz="4" w:space="0"/>
              <w:right w:val="single" w:color="000000" w:sz="4" w:space="0"/>
            </w:tcBorders>
            <w:tcW w:w="1231" w:type="dxa"/>
            <w:vAlign w:val="center"/>
            <w:textDirection w:val="lrTb"/>
            <w:noWrap/>
          </w:tcPr>
          <w:p>
            <w:pPr>
              <w:pStyle w:val="748"/>
              <w:rPr>
                <w:rFonts w:ascii="宋体" w:hAnsi="宋体" w:cs="宋体"/>
              </w:rPr>
            </w:pPr>
            <w:r>
              <w:rPr>
                <w:rFonts w:hint="eastAsia" w:ascii="宋体" w:hAnsi="宋体" w:cs="宋体"/>
              </w:rPr>
              <w:t xml:space="preserve">数据迁移方案</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rPr>
                <w:rFonts w:ascii="宋体" w:hAnsi="宋体" w:cs="宋体"/>
              </w:rPr>
            </w:pPr>
            <w:r>
              <w:rPr>
                <w:rFonts w:hint="eastAsia" w:ascii="宋体" w:hAnsi="宋体" w:cs="宋体"/>
              </w:rPr>
              <w:t xml:space="preserve">评委根据投标文件对招标文件分包三5.9方案要求中“数据迁移与备份方案”要求的响应情况进行评审。</w:t>
            </w:r>
            <w:r>
              <w:rPr>
                <w:rFonts w:ascii="宋体" w:hAnsi="宋体" w:cs="宋体"/>
              </w:rPr>
            </w:r>
            <w:r/>
          </w:p>
          <w:p>
            <w:pPr>
              <w:pStyle w:val="748"/>
              <w:rPr>
                <w:rFonts w:ascii="宋体" w:hAnsi="宋体" w:cs="宋体"/>
              </w:rPr>
            </w:pPr>
            <w:r>
              <w:rPr>
                <w:rFonts w:hint="eastAsia" w:ascii="宋体" w:hAnsi="宋体" w:cs="宋体"/>
              </w:rPr>
              <w:t xml:space="preserve">（1）投标文件未符合“数据迁移方案”中全部条款要求的，视为不符合招标文件，本项得0分。</w:t>
            </w:r>
            <w:r>
              <w:rPr>
                <w:rFonts w:ascii="宋体" w:hAnsi="宋体" w:cs="宋体"/>
              </w:rPr>
            </w:r>
            <w:r/>
          </w:p>
          <w:p>
            <w:pPr>
              <w:pStyle w:val="748"/>
              <w:rPr>
                <w:rFonts w:ascii="宋体" w:hAnsi="宋体" w:cs="宋体"/>
              </w:rPr>
            </w:pPr>
            <w:r>
              <w:rPr>
                <w:rFonts w:hint="eastAsia" w:ascii="宋体" w:hAnsi="宋体" w:cs="宋体"/>
              </w:rPr>
              <w:t xml:space="preserve">（2）投标文件符合“数据迁移方案”中全部条款要求的，视为符合招标文件，本项得3分。</w:t>
            </w:r>
            <w:r>
              <w:rPr>
                <w:rFonts w:ascii="宋体" w:hAnsi="宋体" w:cs="宋体"/>
              </w:rPr>
            </w:r>
            <w:r/>
          </w:p>
          <w:p>
            <w:pPr>
              <w:pStyle w:val="748"/>
              <w:rPr>
                <w:rFonts w:ascii="宋体" w:hAnsi="宋体" w:cs="宋体"/>
              </w:rPr>
            </w:pPr>
            <w:r>
              <w:rPr>
                <w:rFonts w:hint="eastAsia" w:ascii="宋体" w:hAnsi="宋体" w:cs="宋体"/>
              </w:rPr>
              <w:t xml:space="preserve">（3）投标文件对“数据迁移方案”中的“测试验证”要求的响应内容优于招标文件要求的（前提是投标文件对“数据迁移方案”中除“测试验证”外其他要求响应内容符合招标文件要求），本项得5分。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rPr>
                <w:rFonts w:hint="eastAsia"/>
              </w:rPr>
              <w:t xml:space="preserve">5</w:t>
            </w:r>
            <w:r/>
            <w:r/>
          </w:p>
        </w:tc>
      </w:tr>
      <w:tr>
        <w:trPr>
          <w:trHeight w:val="226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2.6</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安全设计方案</w:t>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rPr>
                <w:rFonts w:ascii="宋体" w:hAnsi="宋体" w:cs="宋体"/>
              </w:rPr>
            </w:pPr>
            <w:r>
              <w:rPr>
                <w:rFonts w:hint="eastAsia" w:ascii="宋体" w:hAnsi="宋体" w:cs="宋体"/>
              </w:rPr>
              <w:t xml:space="preserve">评委根据投标文件对招标文件分包三5.9方案要求中“安全设计方案”要求的响应情况进行评审。</w:t>
            </w:r>
            <w:r>
              <w:rPr>
                <w:rFonts w:ascii="宋体" w:hAnsi="宋体" w:cs="宋体"/>
              </w:rPr>
            </w:r>
            <w:r/>
          </w:p>
          <w:p>
            <w:pPr>
              <w:pStyle w:val="748"/>
              <w:rPr>
                <w:rFonts w:ascii="宋体" w:hAnsi="宋体" w:cs="宋体"/>
              </w:rPr>
            </w:pPr>
            <w:r>
              <w:rPr>
                <w:rFonts w:hint="eastAsia" w:ascii="宋体" w:hAnsi="宋体" w:cs="宋体"/>
              </w:rPr>
              <w:t xml:space="preserve">（1）投标文件未符合“安全设计方案”中全部条款要求的，视为不符合招标文件，本项得0分。</w:t>
            </w:r>
            <w:r>
              <w:rPr>
                <w:rFonts w:ascii="宋体" w:hAnsi="宋体" w:cs="宋体"/>
              </w:rPr>
            </w:r>
            <w:r/>
          </w:p>
          <w:p>
            <w:pPr>
              <w:pStyle w:val="748"/>
              <w:rPr>
                <w:rFonts w:ascii="宋体" w:hAnsi="宋体" w:cs="宋体"/>
              </w:rPr>
            </w:pPr>
            <w:r>
              <w:rPr>
                <w:rFonts w:hint="eastAsia" w:ascii="宋体" w:hAnsi="宋体" w:cs="宋体"/>
              </w:rPr>
              <w:t xml:space="preserve">（2）投标文件符合“安全设计方案”中全部条款要求的，视为符合招标文件，本项得3分。</w:t>
            </w:r>
            <w:r>
              <w:rPr>
                <w:rFonts w:ascii="宋体" w:hAnsi="宋体" w:cs="宋体"/>
              </w:rPr>
            </w:r>
            <w:r/>
          </w:p>
          <w:p>
            <w:pPr>
              <w:pStyle w:val="748"/>
            </w:pPr>
            <w:r>
              <w:rPr>
                <w:rFonts w:hint="eastAsia" w:ascii="宋体" w:hAnsi="宋体" w:cs="宋体"/>
              </w:rPr>
              <w:t xml:space="preserve">（3）投标文件对“安全设计方案”中的“密码应用方案”要求的响应内容优于招标文件要求的（前提是投标文件对“安全设计方案”中除 “密码应用方案”外其他要求响应内容符合招标文件要求），本项得5分。</w:t>
            </w: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rPr>
                <w:rFonts w:hint="eastAsia"/>
              </w:rPr>
              <w:t xml:space="preserve">5</w:t>
            </w:r>
            <w:r/>
            <w:r/>
          </w:p>
        </w:tc>
      </w:tr>
      <w:tr>
        <w:trPr>
          <w:trHeight w:val="319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2.7</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项目实施方案</w:t>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rPr>
                <w:rFonts w:ascii="宋体" w:hAnsi="宋体" w:cs="宋体"/>
              </w:rPr>
            </w:pPr>
            <w:r>
              <w:rPr>
                <w:rFonts w:hint="eastAsia" w:ascii="宋体" w:hAnsi="宋体" w:cs="宋体"/>
              </w:rPr>
              <w:t xml:space="preserve">评委根据投标文件对招标文件分包三5.9方案要求中“项目实施方案”要求的响应情况进行评审。</w:t>
            </w:r>
            <w:r>
              <w:rPr>
                <w:rFonts w:ascii="宋体" w:hAnsi="宋体" w:cs="宋体"/>
              </w:rPr>
            </w:r>
            <w:r/>
          </w:p>
          <w:p>
            <w:pPr>
              <w:pStyle w:val="748"/>
              <w:rPr>
                <w:rFonts w:ascii="宋体" w:hAnsi="宋体" w:cs="宋体"/>
              </w:rPr>
            </w:pPr>
            <w:r>
              <w:rPr>
                <w:rFonts w:hint="eastAsia" w:ascii="宋体" w:hAnsi="宋体" w:cs="宋体"/>
              </w:rPr>
              <w:t xml:space="preserve">（1）投标文件未符合“项目实施方案”中全部条款要求的，视为不符合招标文件，本项得0分。</w:t>
            </w:r>
            <w:r>
              <w:rPr>
                <w:rFonts w:ascii="宋体" w:hAnsi="宋体" w:cs="宋体"/>
              </w:rPr>
            </w:r>
            <w:r/>
          </w:p>
          <w:p>
            <w:pPr>
              <w:pStyle w:val="748"/>
              <w:rPr>
                <w:rFonts w:ascii="宋体" w:hAnsi="宋体" w:cs="宋体"/>
              </w:rPr>
            </w:pPr>
            <w:r>
              <w:rPr>
                <w:rFonts w:hint="eastAsia" w:ascii="宋体" w:hAnsi="宋体" w:cs="宋体"/>
              </w:rPr>
              <w:t xml:space="preserve">（2）投标文件符合“项目实施方案”中全部条款要求的，视为符合招标文件，本项得3分。</w:t>
            </w:r>
            <w:r>
              <w:rPr>
                <w:rFonts w:ascii="宋体" w:hAnsi="宋体" w:cs="宋体"/>
              </w:rPr>
            </w:r>
            <w:r/>
          </w:p>
          <w:p>
            <w:pPr>
              <w:pStyle w:val="748"/>
            </w:pPr>
            <w:r>
              <w:rPr>
                <w:rFonts w:hint="eastAsia" w:ascii="宋体" w:hAnsi="宋体" w:cs="宋体"/>
              </w:rPr>
              <w:t xml:space="preserve">（3）投标文件对“项目实施方案”中的“实施进度管理”“项目风险管理”两项要求的响应内容全部优于招标文件要求的（前提是投标文件对“项目实施方案”中除“实施进度管理”“项目风险管理”外其他要求响应内容符合招标文件要求），本项得5分。</w:t>
            </w: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rPr>
                <w:rFonts w:hint="eastAsia"/>
              </w:rPr>
              <w:t xml:space="preserve">5</w:t>
            </w:r>
            <w:r/>
            <w:r/>
          </w:p>
        </w:tc>
      </w:tr>
      <w:tr>
        <w:trPr>
          <w:trHeight w:val="222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2.8</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项目培训方案</w:t>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rPr>
                <w:rFonts w:ascii="宋体" w:hAnsi="宋体" w:cs="宋体"/>
              </w:rPr>
            </w:pPr>
            <w:r>
              <w:rPr>
                <w:rFonts w:hint="eastAsia" w:ascii="宋体" w:hAnsi="宋体" w:cs="宋体"/>
              </w:rPr>
              <w:t xml:space="preserve">评委根据投标文件对招标文件分包三5.9方案要求中“培训服务方案”要求的响应情况进行评审。</w:t>
            </w:r>
            <w:r>
              <w:rPr>
                <w:rFonts w:ascii="宋体" w:hAnsi="宋体" w:cs="宋体"/>
              </w:rPr>
            </w:r>
            <w:r/>
          </w:p>
          <w:p>
            <w:pPr>
              <w:pStyle w:val="748"/>
              <w:rPr>
                <w:rFonts w:ascii="宋体" w:hAnsi="宋体" w:cs="宋体"/>
              </w:rPr>
            </w:pPr>
            <w:r>
              <w:rPr>
                <w:rFonts w:hint="eastAsia" w:ascii="宋体" w:hAnsi="宋体" w:cs="宋体"/>
              </w:rPr>
              <w:t xml:space="preserve">（1）投标文件未符合“培训服务方案”中全部条款要求的，视为不符合招标文件，本项得0分。</w:t>
            </w:r>
            <w:r>
              <w:rPr>
                <w:rFonts w:ascii="宋体" w:hAnsi="宋体" w:cs="宋体"/>
              </w:rPr>
            </w:r>
            <w:r/>
          </w:p>
          <w:p>
            <w:pPr>
              <w:pStyle w:val="748"/>
              <w:rPr>
                <w:rFonts w:ascii="宋体" w:hAnsi="宋体" w:cs="宋体"/>
              </w:rPr>
            </w:pPr>
            <w:r>
              <w:rPr>
                <w:rFonts w:hint="eastAsia" w:ascii="宋体" w:hAnsi="宋体" w:cs="宋体"/>
              </w:rPr>
              <w:t xml:space="preserve">（2）投标文件符合“培训服务方案”中全部条款要求的，视为符合招标文件，本项得3分。</w:t>
            </w:r>
            <w:r>
              <w:rPr>
                <w:rFonts w:ascii="宋体" w:hAnsi="宋体" w:cs="宋体"/>
              </w:rPr>
            </w:r>
            <w:r/>
          </w:p>
          <w:p>
            <w:pPr>
              <w:pStyle w:val="748"/>
            </w:pPr>
            <w:r>
              <w:rPr>
                <w:rFonts w:hint="eastAsia" w:ascii="宋体" w:hAnsi="宋体" w:cs="宋体"/>
              </w:rPr>
              <w:t xml:space="preserve">（3）投标文件对“培训服务方案”中的“培训计划”“培训效果评估”两项要求的响应内容全部优于招标文件要求的（前提是投标文件对“培训服务方案”中除“培训计划”“培训效果评估”外其他要求响应内容符合招标文件要求），本项得5分。</w:t>
            </w: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rPr>
                <w:rFonts w:hint="eastAsia"/>
              </w:rPr>
              <w:t xml:space="preserve">5</w:t>
            </w:r>
            <w:r/>
            <w:r/>
          </w:p>
        </w:tc>
      </w:tr>
      <w:tr>
        <w:trPr>
          <w:trHeight w:val="230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2.9</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售后服务方案</w:t>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rPr>
                <w:rFonts w:ascii="宋体" w:hAnsi="宋体" w:cs="宋体"/>
              </w:rPr>
            </w:pPr>
            <w:r>
              <w:rPr>
                <w:rFonts w:hint="eastAsia" w:ascii="宋体" w:hAnsi="宋体" w:cs="宋体"/>
              </w:rPr>
              <w:t xml:space="preserve">评委根据投标文件对招标文件分包三5.9方案要求中“售后服务方案”要求的响应情况进行评审。</w:t>
            </w:r>
            <w:r>
              <w:rPr>
                <w:rFonts w:ascii="宋体" w:hAnsi="宋体" w:cs="宋体"/>
              </w:rPr>
            </w:r>
            <w:r/>
          </w:p>
          <w:p>
            <w:pPr>
              <w:pStyle w:val="748"/>
              <w:rPr>
                <w:rFonts w:ascii="宋体" w:hAnsi="宋体" w:cs="宋体"/>
              </w:rPr>
            </w:pPr>
            <w:r>
              <w:rPr>
                <w:rFonts w:hint="eastAsia" w:ascii="宋体" w:hAnsi="宋体" w:cs="宋体"/>
              </w:rPr>
              <w:t xml:space="preserve">（1）投标文件未符合“售后服务方案”中全部条款要求的，视为不符合招标文件，本项得0分。</w:t>
            </w:r>
            <w:r>
              <w:rPr>
                <w:rFonts w:ascii="宋体" w:hAnsi="宋体" w:cs="宋体"/>
              </w:rPr>
            </w:r>
            <w:r/>
          </w:p>
          <w:p>
            <w:pPr>
              <w:pStyle w:val="748"/>
              <w:rPr>
                <w:rFonts w:ascii="宋体" w:hAnsi="宋体" w:cs="宋体"/>
              </w:rPr>
            </w:pPr>
            <w:r>
              <w:rPr>
                <w:rFonts w:hint="eastAsia" w:ascii="宋体" w:hAnsi="宋体" w:cs="宋体"/>
              </w:rPr>
              <w:t xml:space="preserve">（2）投标文件符合“售后服务方案”中全部条款要求的，视为符合招标文件，本项得3分。</w:t>
            </w:r>
            <w:r>
              <w:rPr>
                <w:rFonts w:ascii="宋体" w:hAnsi="宋体" w:cs="宋体"/>
              </w:rPr>
            </w:r>
            <w:r/>
          </w:p>
          <w:p>
            <w:pPr>
              <w:pStyle w:val="748"/>
            </w:pPr>
            <w:r>
              <w:rPr>
                <w:rFonts w:hint="eastAsia" w:ascii="宋体" w:hAnsi="宋体" w:cs="宋体"/>
              </w:rPr>
              <w:t xml:space="preserve">（3）投标文件对“售后服务方案”中的“服务响应机制”“服务保障措施”两项要求的响应内容全部优于招标文件要求的（前提是投标文件对“售后服务方案”中除“服务响应机制”“服务保障措施”外其他要求响应内容符合招标文件要求），本项得5分。</w:t>
            </w: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rPr>
                <w:rFonts w:hint="eastAsia"/>
              </w:rPr>
              <w:t xml:space="preserve">5</w:t>
            </w:r>
            <w:r/>
            <w:r/>
          </w:p>
          <w:p>
            <w:pPr>
              <w:pStyle w:val="748"/>
              <w:jc w:val="center"/>
            </w:pPr>
            <w:r/>
            <w:r/>
          </w:p>
        </w:tc>
      </w:tr>
      <w:tr>
        <w:trPr>
          <w:trHeight w:val="200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2.10</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关键功能模块适配响应情况</w:t>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pPr>
            <w:r>
              <w:rPr>
                <w:rFonts w:hint="eastAsia"/>
              </w:rPr>
              <w:t xml:space="preserve">采购需求3.1应用系统国产化适配开发中具体适配改造功能清单中</w:t>
            </w:r>
            <w:bookmarkStart w:id="228" w:name="OLE_LINK18"/>
            <w:r/>
            <w:bookmarkStart w:id="229" w:name="OLE_LINK57"/>
            <w:r>
              <w:rPr>
                <w:rFonts w:hint="eastAsia"/>
              </w:rPr>
              <w:t xml:space="preserve">加▲</w:t>
            </w:r>
            <w:bookmarkEnd w:id="228"/>
            <w:r/>
            <w:bookmarkEnd w:id="229"/>
            <w:r>
              <w:rPr>
                <w:rFonts w:hint="eastAsia"/>
              </w:rPr>
              <w:t xml:space="preserve">的技术功能为重要指标项，共</w:t>
            </w:r>
            <w:r>
              <w:t xml:space="preserve">8</w:t>
            </w:r>
            <w:r>
              <w:rPr>
                <w:rFonts w:hint="eastAsia"/>
              </w:rPr>
              <w:t xml:space="preserve">项，投标人须逐项对加▲系统功能指标要求进行响应，每项功能完全响应文件要求且提供系统功能描述的得1分，每项提供同类项目类似系统功能截图得1分，每项最高得</w:t>
            </w:r>
            <w:r>
              <w:t xml:space="preserve">2</w:t>
            </w:r>
            <w:r>
              <w:rPr>
                <w:rFonts w:hint="eastAsia"/>
              </w:rPr>
              <w:t xml:space="preserve">分。最多得</w:t>
            </w:r>
            <w:r>
              <w:t xml:space="preserve">16</w:t>
            </w:r>
            <w:r>
              <w:rPr>
                <w:rFonts w:hint="eastAsia"/>
              </w:rPr>
              <w:t xml:space="preserve">分。</w:t>
            </w:r>
            <w:r/>
            <w:r/>
          </w:p>
          <w:p>
            <w:pPr>
              <w:pStyle w:val="748"/>
            </w:pPr>
            <w:r>
              <w:t xml:space="preserve">注：供应商提供的截图需加盖供应商公章。</w:t>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rPr>
                <w:rFonts w:hint="eastAsia"/>
              </w:rPr>
              <w:t xml:space="preserve">16</w:t>
            </w:r>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9061" w:type="dxa"/>
            <w:vAlign w:val="center"/>
            <w:textDirection w:val="lrTb"/>
            <w:noWrap/>
          </w:tcPr>
          <w:p>
            <w:pPr>
              <w:pStyle w:val="748"/>
              <w:jc w:val="left"/>
            </w:pPr>
            <w:r>
              <w:rPr>
                <w:rFonts w:hint="eastAsia"/>
              </w:rPr>
              <w:t xml:space="preserve">3.</w:t>
            </w:r>
            <w:r>
              <w:t xml:space="preserve">商务（</w:t>
            </w:r>
            <w:r>
              <w:rPr>
                <w:rFonts w:hint="eastAsia"/>
              </w:rPr>
              <w:t xml:space="preserve">29</w:t>
            </w:r>
            <w:r>
              <w:t xml:space="preserve">分）</w:t>
            </w:r>
            <w:r/>
          </w:p>
        </w:tc>
      </w:tr>
      <w:tr>
        <w:trPr>
          <w:trHeight w:val="286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3.1</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企业履约能力</w:t>
            </w:r>
            <w:r>
              <w:rPr>
                <w:rFonts w:hint="eastAsia"/>
              </w:rPr>
              <w:t xml:space="preserve">1</w:t>
            </w:r>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pPr>
            <w:r>
              <w:rPr>
                <w:rFonts w:hint="eastAsia"/>
              </w:rPr>
              <w:t xml:space="preserve">供应商具有自主研发能力，具备与本项目相关的软件著作权证书，关键字包含：服务业公共信息服务、集聚区管理、经济运行监测、重大项目管理、大数据监管、服务业等软件著作权证书。每提供一个证书得0.5分，最多得3分。</w:t>
            </w:r>
            <w:r/>
            <w:r/>
          </w:p>
          <w:p>
            <w:pPr>
              <w:pStyle w:val="748"/>
            </w:pPr>
            <w:r>
              <w:rPr>
                <w:rFonts w:hint="eastAsia"/>
              </w:rPr>
              <w:t xml:space="preserve">（如投标文件中提供的著作权名称表述与招标文件描述的关键字样不一致，而该投标文件中能证明供应商拥有的软件著作权具有相同或相似功能和效果，且评标委员会认可的，视同符合要求。）</w:t>
            </w:r>
            <w:r/>
            <w:r/>
          </w:p>
          <w:p>
            <w:pPr>
              <w:pStyle w:val="748"/>
            </w:pPr>
            <w:r>
              <w:rPr>
                <w:rFonts w:hint="eastAsia"/>
              </w:rPr>
              <w:t xml:space="preserve">注：供应商须提供有效证书复印件并加盖公章，未提供或不符合要求的不得分。</w:t>
            </w: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rPr>
                <w:rFonts w:hint="eastAsia"/>
              </w:rPr>
              <w:t xml:space="preserve">3</w:t>
            </w:r>
            <w:r/>
            <w:r/>
          </w:p>
        </w:tc>
      </w:tr>
      <w:tr>
        <w:trPr>
          <w:trHeight w:val="216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3.2</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企业履约能力2</w:t>
            </w:r>
            <w:r/>
          </w:p>
        </w:tc>
        <w:tc>
          <w:tcPr>
            <w:tcBorders>
              <w:top w:val="single" w:color="000000" w:sz="4" w:space="0"/>
              <w:left w:val="single" w:color="000000" w:sz="4" w:space="0"/>
              <w:bottom w:val="single" w:color="000000" w:sz="4" w:space="0"/>
              <w:right w:val="single" w:color="000000" w:sz="4" w:space="0"/>
            </w:tcBorders>
            <w:tcW w:w="6298" w:type="dxa"/>
            <w:vAlign w:val="center"/>
            <w:textDirection w:val="lrTb"/>
            <w:noWrap/>
          </w:tcPr>
          <w:p>
            <w:pPr>
              <w:pStyle w:val="748"/>
            </w:pPr>
            <w:r>
              <w:rPr>
                <w:rFonts w:hint="eastAsia"/>
              </w:rPr>
              <w:t xml:space="preserve">供应商提供自2023年1月1日以来（以合同签订时间为准）承担过类似的系统国产化适配改造项目案例，每提供一份有效合同得2分，最多得10分。</w:t>
            </w:r>
            <w:r/>
            <w:r/>
          </w:p>
          <w:p>
            <w:pPr>
              <w:pStyle w:val="748"/>
            </w:pPr>
            <w:r>
              <w:rPr>
                <w:rFonts w:hint="eastAsia"/>
              </w:rPr>
              <w:t xml:space="preserve">注：供应商须提供合同复印件并加盖供应商公章，复印件内容能够体现合同名称、签订双方名称、签订时间、主要服务内容、双方盖章页，未提供或不符合要求的不得分。</w:t>
            </w: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748"/>
              <w:jc w:val="center"/>
            </w:pPr>
            <w:r>
              <w:rPr>
                <w:rFonts w:hint="eastAsia"/>
              </w:rPr>
              <w:t xml:space="preserve">10</w:t>
            </w:r>
            <w:r/>
            <w:r/>
          </w:p>
        </w:tc>
      </w:tr>
      <w:tr>
        <w:trPr>
          <w:trHeight w:val="300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3.3</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团队</w:t>
            </w:r>
            <w:r/>
          </w:p>
          <w:p>
            <w:pPr>
              <w:pStyle w:val="748"/>
              <w:jc w:val="center"/>
            </w:pPr>
            <w:r>
              <w:t xml:space="preserve">实力</w:t>
            </w:r>
            <w:r>
              <w:rPr>
                <w:rFonts w:hint="eastAsia"/>
              </w:rPr>
              <w:t xml:space="preserve">1</w:t>
            </w:r>
            <w:r/>
            <w:r/>
          </w:p>
        </w:tc>
        <w:tc>
          <w:tcPr>
            <w:tcBorders>
              <w:top w:val="single" w:color="000000" w:sz="4" w:space="0"/>
              <w:left w:val="single" w:color="000000" w:sz="4" w:space="0"/>
              <w:right w:val="single" w:color="000000" w:sz="4" w:space="0"/>
            </w:tcBorders>
            <w:tcW w:w="6298" w:type="dxa"/>
            <w:vAlign w:val="center"/>
            <w:textDirection w:val="lrTb"/>
            <w:noWrap/>
          </w:tcPr>
          <w:p>
            <w:pPr>
              <w:pStyle w:val="748"/>
              <w:rPr>
                <w:rFonts w:ascii="宋体" w:hAnsi="宋体" w:cs="宋体"/>
              </w:rPr>
            </w:pPr>
            <w:r>
              <w:rPr>
                <w:rFonts w:hint="eastAsia" w:ascii="宋体" w:hAnsi="宋体" w:cs="宋体"/>
              </w:rPr>
              <w:t xml:space="preserve">1名项目经理：具有人力资源和社会保障部门评审或认定的通信工程或电子信息工程专业副高级及以上职称证书得2分，具有软考信息系统项目管理师（高级）证书得2分，本项最高得4分，不提供得0分。</w:t>
            </w:r>
            <w:r>
              <w:rPr>
                <w:rFonts w:ascii="宋体" w:hAnsi="宋体" w:cs="宋体"/>
              </w:rPr>
            </w:r>
            <w:r/>
          </w:p>
          <w:p>
            <w:pPr>
              <w:pStyle w:val="748"/>
            </w:pPr>
            <w:r>
              <w:rPr>
                <w:rFonts w:hint="eastAsia" w:ascii="宋体" w:hAnsi="宋体" w:cs="宋体"/>
              </w:rPr>
              <w:t xml:space="preserve">注：项目经理仅限1人，不得多人共同担任，亦不得兼任本项目其他岗位，投标文件中提供相关证书复印件并加盖投标人公章，同时提供投标截止前投标人为其缴纳的近3个月内任意一个月社保记录证明材料，材料提供不全或未提供的，项目经理多于1人或未明确唯一人员的，或项目经理与其他负责人为同一人的，本项均不得分。</w:t>
            </w:r>
            <w:r/>
            <w:r/>
          </w:p>
        </w:tc>
        <w:tc>
          <w:tcPr>
            <w:tcBorders>
              <w:top w:val="single" w:color="000000" w:sz="4" w:space="0"/>
              <w:left w:val="single" w:color="000000" w:sz="4" w:space="0"/>
              <w:right w:val="single" w:color="000000" w:sz="4" w:space="0"/>
            </w:tcBorders>
            <w:tcW w:w="812" w:type="dxa"/>
            <w:vAlign w:val="center"/>
            <w:textDirection w:val="lrTb"/>
            <w:noWrap/>
          </w:tcPr>
          <w:p>
            <w:pPr>
              <w:pStyle w:val="748"/>
              <w:jc w:val="center"/>
            </w:pPr>
            <w:r>
              <w:rPr>
                <w:rFonts w:hint="eastAsia"/>
              </w:rPr>
              <w:t xml:space="preserve">4</w:t>
            </w:r>
            <w:r/>
            <w:r/>
          </w:p>
        </w:tc>
      </w:tr>
      <w:tr>
        <w:trPr>
          <w:trHeight w:val="285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3.4</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团队</w:t>
            </w:r>
            <w:r/>
          </w:p>
          <w:p>
            <w:pPr>
              <w:pStyle w:val="748"/>
            </w:pPr>
            <w:r>
              <w:t xml:space="preserve">实力</w:t>
            </w:r>
            <w:r>
              <w:rPr>
                <w:rFonts w:hint="eastAsia"/>
              </w:rPr>
              <w:t xml:space="preserve">2</w:t>
            </w:r>
            <w:r/>
            <w:r/>
          </w:p>
        </w:tc>
        <w:tc>
          <w:tcPr>
            <w:tcBorders>
              <w:top w:val="single" w:color="000000" w:sz="4" w:space="0"/>
              <w:left w:val="single" w:color="000000" w:sz="4" w:space="0"/>
              <w:right w:val="single" w:color="000000" w:sz="4" w:space="0"/>
            </w:tcBorders>
            <w:tcW w:w="6298" w:type="dxa"/>
            <w:vAlign w:val="center"/>
            <w:textDirection w:val="lrTb"/>
            <w:noWrap/>
          </w:tcPr>
          <w:p>
            <w:pPr>
              <w:pStyle w:val="748"/>
            </w:pPr>
            <w:r>
              <w:t xml:space="preserve">1名技术负责人：具有软考信息系统项目管理师（高级）证书</w:t>
            </w:r>
            <w:r>
              <w:rPr>
                <w:rFonts w:hint="eastAsia"/>
              </w:rPr>
              <w:t xml:space="preserve">、</w:t>
            </w:r>
            <w:r>
              <w:t xml:space="preserve">软考系统架构设计师（高级）证书，每提供一个证书得1.5分，本项最高得3分，不提供得0分。</w:t>
            </w:r>
            <w:r/>
          </w:p>
          <w:p>
            <w:pPr>
              <w:pStyle w:val="748"/>
            </w:pPr>
            <w:r>
              <w:t xml:space="preserve">注：技术负责人仅限1人，不得多人共同担任，亦不得兼任本项目其他岗位，投标文件中提供相关证书复印件并加盖投标人公章，同时提供投标截止前投标人为其缴纳的近3个月内任意一个月社保记录证明材料，材料提供不全或未提供的，技术负责人多于1人或未明确唯一人员的，或技术负责人与项目经理为同一人的，本项均不得分。</w:t>
            </w:r>
            <w:r/>
          </w:p>
        </w:tc>
        <w:tc>
          <w:tcPr>
            <w:tcBorders>
              <w:top w:val="single" w:color="000000" w:sz="4" w:space="0"/>
              <w:left w:val="single" w:color="000000" w:sz="4" w:space="0"/>
              <w:right w:val="single" w:color="000000" w:sz="4" w:space="0"/>
            </w:tcBorders>
            <w:tcW w:w="812" w:type="dxa"/>
            <w:vAlign w:val="center"/>
            <w:textDirection w:val="lrTb"/>
            <w:noWrap/>
          </w:tcPr>
          <w:p>
            <w:pPr>
              <w:pStyle w:val="748"/>
              <w:jc w:val="center"/>
            </w:pPr>
            <w:r>
              <w:rPr>
                <w:rFonts w:hint="eastAsia"/>
              </w:rPr>
              <w:t xml:space="preserve">3</w:t>
            </w:r>
            <w:r/>
            <w:r/>
          </w:p>
        </w:tc>
      </w:tr>
      <w:tr>
        <w:trPr>
          <w:trHeight w:val="353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3.5</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团队</w:t>
            </w:r>
            <w:r/>
          </w:p>
          <w:p>
            <w:pPr>
              <w:pStyle w:val="748"/>
              <w:jc w:val="center"/>
            </w:pPr>
            <w:r>
              <w:t xml:space="preserve">实力</w:t>
            </w:r>
            <w:r>
              <w:rPr>
                <w:rFonts w:hint="eastAsia"/>
              </w:rPr>
              <w:t xml:space="preserve">3</w:t>
            </w:r>
            <w:r/>
            <w:r/>
          </w:p>
          <w:p>
            <w:pPr>
              <w:pStyle w:val="748"/>
              <w:jc w:val="center"/>
            </w:pPr>
            <w:r/>
            <w:r/>
          </w:p>
        </w:tc>
        <w:tc>
          <w:tcPr>
            <w:tcBorders>
              <w:top w:val="single" w:color="000000" w:sz="4" w:space="0"/>
              <w:left w:val="single" w:color="000000" w:sz="4" w:space="0"/>
              <w:right w:val="single" w:color="000000" w:sz="4" w:space="0"/>
            </w:tcBorders>
            <w:tcW w:w="6298" w:type="dxa"/>
            <w:vAlign w:val="center"/>
            <w:textDirection w:val="lrTb"/>
            <w:noWrap/>
          </w:tcPr>
          <w:p>
            <w:pPr>
              <w:pStyle w:val="748"/>
            </w:pPr>
            <w:r>
              <w:t xml:space="preserve">其他团队成员：除项目经理、技术负责人之外，投标人提供的其他团队成员具有软考系统分析师（高级）证书，工业和信息化部教育与考试中心颁发的高级软件工程师，中国信息安全测评中心颁发的注册信息安全人员证书（CISP），软考信息系统项目管理师（高级）证书，软考软件设计师（中级）证书，软考信息系统管理工程师证书，软考系统集成项目管理工程师（中级）证书，软考</w:t>
            </w:r>
            <w:bookmarkStart w:id="230" w:name="OLE_LINK16"/>
            <w:r/>
            <w:bookmarkStart w:id="231" w:name="OLE_LINK15"/>
            <w:r>
              <w:t xml:space="preserve">软件评测师</w:t>
            </w:r>
            <w:bookmarkEnd w:id="230"/>
            <w:r/>
            <w:bookmarkEnd w:id="231"/>
            <w:r>
              <w:t xml:space="preserve">证书每提供一类证书得1分，本项最高得7分。同一人员同时具备多种专业证书或资质证书的，可重复计分；同一类证书多人持有的，不重复计分。</w:t>
            </w:r>
            <w:r/>
          </w:p>
          <w:p>
            <w:pPr>
              <w:pStyle w:val="748"/>
            </w:pPr>
            <w:r>
              <w:t xml:space="preserve">注：投标文件中提供相关证书复印件并加盖投标人公章，同时提供投标截止前投标人为其缴纳的近3个月内任意一个月社保记录证明材料，材料提供不全或未提供的不得分。</w:t>
            </w:r>
            <w:r/>
          </w:p>
        </w:tc>
        <w:tc>
          <w:tcPr>
            <w:tcBorders>
              <w:top w:val="single" w:color="000000" w:sz="4" w:space="0"/>
              <w:left w:val="single" w:color="000000" w:sz="4" w:space="0"/>
              <w:right w:val="single" w:color="000000" w:sz="4" w:space="0"/>
            </w:tcBorders>
            <w:tcW w:w="812" w:type="dxa"/>
            <w:vAlign w:val="center"/>
            <w:textDirection w:val="lrTb"/>
            <w:noWrap/>
          </w:tcPr>
          <w:p>
            <w:pPr>
              <w:pStyle w:val="748"/>
              <w:jc w:val="center"/>
            </w:pPr>
            <w:r>
              <w:rPr>
                <w:rFonts w:hint="eastAsia"/>
              </w:rPr>
              <w:t xml:space="preserve">7</w:t>
            </w:r>
            <w:r/>
            <w:r/>
          </w:p>
        </w:tc>
      </w:tr>
      <w:tr>
        <w:trPr>
          <w:trHeight w:val="20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3.6</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团队</w:t>
            </w:r>
            <w:r/>
          </w:p>
          <w:p>
            <w:pPr>
              <w:pStyle w:val="748"/>
              <w:jc w:val="center"/>
            </w:pPr>
            <w:r>
              <w:t xml:space="preserve">实力</w:t>
            </w:r>
            <w:r>
              <w:rPr>
                <w:rFonts w:hint="eastAsia"/>
              </w:rPr>
              <w:t xml:space="preserve">4</w:t>
            </w:r>
            <w:r/>
            <w:r/>
          </w:p>
          <w:p>
            <w:pPr>
              <w:pStyle w:val="748"/>
            </w:pPr>
            <w:r/>
            <w:r/>
          </w:p>
        </w:tc>
        <w:tc>
          <w:tcPr>
            <w:tcBorders>
              <w:top w:val="single" w:color="000000" w:sz="4" w:space="0"/>
              <w:left w:val="single" w:color="000000" w:sz="4" w:space="0"/>
              <w:right w:val="single" w:color="000000" w:sz="4" w:space="0"/>
            </w:tcBorders>
            <w:tcW w:w="6298" w:type="dxa"/>
            <w:vAlign w:val="center"/>
            <w:textDirection w:val="lrTb"/>
            <w:noWrap/>
          </w:tcPr>
          <w:p>
            <w:pPr>
              <w:pStyle w:val="748"/>
            </w:pPr>
            <w:r>
              <w:t xml:space="preserve">项目团队人员：由于本项目开发工作量较大，时间紧迫，在满足项目团队人员至少6人的基础上，每增加1人加0.5分，即6人及以下得0分，7人得0.5分，8人得1分，9人得1.5分，10人及以上得2分。此项最高得2分。</w:t>
            </w:r>
            <w:r/>
          </w:p>
          <w:p>
            <w:pPr>
              <w:pStyle w:val="748"/>
            </w:pPr>
            <w:r>
              <w:t xml:space="preserve">投标人提供拟投入人员名单及投标截止前投标人为其缴纳的近3个月内任意一个月社保记录证明材料，材料提供不全或未提供的不得分。</w:t>
            </w:r>
            <w:r/>
          </w:p>
        </w:tc>
        <w:tc>
          <w:tcPr>
            <w:tcBorders>
              <w:top w:val="single" w:color="000000" w:sz="4" w:space="0"/>
              <w:left w:val="single" w:color="000000" w:sz="4" w:space="0"/>
              <w:right w:val="single" w:color="000000" w:sz="4" w:space="0"/>
            </w:tcBorders>
            <w:tcW w:w="812" w:type="dxa"/>
            <w:vAlign w:val="center"/>
            <w:textDirection w:val="lrTb"/>
            <w:noWrap/>
          </w:tcPr>
          <w:p>
            <w:pPr>
              <w:pStyle w:val="748"/>
              <w:jc w:val="center"/>
            </w:pPr>
            <w:r>
              <w:rPr>
                <w:rFonts w:hint="eastAsia"/>
              </w:rPr>
              <w:t xml:space="preserve">2</w:t>
            </w:r>
            <w:r/>
            <w:r/>
          </w:p>
        </w:tc>
      </w:tr>
    </w:tbl>
    <w:p>
      <w:pPr>
        <w:pStyle w:val="748"/>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48"/>
        <w:ind w:firstLine="482"/>
        <w:jc w:val="left"/>
        <w:spacing w:before="120" w:after="120" w:line="400" w:lineRule="exact"/>
        <w:rPr>
          <w:b/>
          <w:sz w:val="24"/>
          <w:szCs w:val="24"/>
        </w:rPr>
      </w:pPr>
      <w:r>
        <w:rPr>
          <w:b/>
          <w:sz w:val="24"/>
          <w:szCs w:val="24"/>
        </w:rPr>
        <w:br w:type="page" w:clear="all"/>
        <w:t xml:space="preserve">采购包二：</w:t>
      </w:r>
      <w:r>
        <w:rPr>
          <w:rFonts w:hint="eastAsia"/>
          <w:b/>
          <w:sz w:val="24"/>
          <w:szCs w:val="24"/>
        </w:rPr>
        <w:t xml:space="preserve">江苏省重大项目服务管理平台国产化适配改造</w:t>
      </w:r>
      <w:r>
        <w:rPr>
          <w:b/>
          <w:sz w:val="24"/>
          <w:szCs w:val="24"/>
        </w:rPr>
      </w:r>
      <w:r/>
    </w:p>
    <w:tbl>
      <w:tblPr>
        <w:tblW w:w="94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134"/>
        <w:gridCol w:w="6975"/>
        <w:gridCol w:w="641"/>
      </w:tblGrid>
      <w:tr>
        <w:trPr>
          <w:trHeight w:val="181"/>
          <w:tblHeader/>
        </w:trPr>
        <w:tc>
          <w:tcPr>
            <w:tcBorders>
              <w:top w:val="single" w:color="000000" w:sz="4" w:space="0"/>
              <w:left w:val="single" w:color="000000" w:sz="4" w:space="0"/>
              <w:bottom w:val="single" w:color="000000" w:sz="4" w:space="0"/>
              <w:right w:val="single" w:color="000000" w:sz="4" w:space="0"/>
            </w:tcBorders>
            <w:tcW w:w="662" w:type="dxa"/>
            <w:vAlign w:val="top"/>
            <w:textDirection w:val="lrTb"/>
            <w:noWrap w:val="false"/>
          </w:tcPr>
          <w:p>
            <w:pPr>
              <w:pStyle w:val="748"/>
              <w:rPr>
                <w:rFonts w:ascii="宋体" w:hAnsi="宋体"/>
                <w:b/>
                <w:bCs/>
              </w:rPr>
            </w:pPr>
            <w:r>
              <w:rPr>
                <w:rFonts w:hint="eastAsia" w:ascii="宋体" w:hAnsi="宋体"/>
                <w:b/>
                <w:bCs/>
              </w:rPr>
              <w:t xml:space="preserve">序号</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48"/>
              <w:rPr>
                <w:rFonts w:ascii="宋体" w:hAnsi="宋体"/>
                <w:b/>
                <w:bCs/>
              </w:rPr>
            </w:pPr>
            <w:r>
              <w:rPr>
                <w:rFonts w:hint="eastAsia" w:ascii="宋体" w:hAnsi="宋体"/>
                <w:b/>
                <w:bCs/>
              </w:rPr>
              <w:t xml:space="preserve">评分因素</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W w:w="6975" w:type="dxa"/>
            <w:vAlign w:val="top"/>
            <w:textDirection w:val="lrTb"/>
            <w:noWrap w:val="false"/>
          </w:tcPr>
          <w:p>
            <w:pPr>
              <w:pStyle w:val="748"/>
              <w:ind w:firstLine="2951"/>
              <w:rPr>
                <w:rFonts w:ascii="宋体" w:hAnsi="宋体"/>
                <w:b/>
                <w:bCs/>
              </w:rPr>
            </w:pPr>
            <w:r>
              <w:rPr>
                <w:rFonts w:hint="eastAsia" w:ascii="宋体" w:hAnsi="宋体"/>
                <w:b/>
                <w:bCs/>
              </w:rPr>
              <w:t xml:space="preserve">评审标准</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W w:w="641" w:type="dxa"/>
            <w:vAlign w:val="top"/>
            <w:textDirection w:val="lrTb"/>
            <w:noWrap w:val="false"/>
          </w:tcPr>
          <w:p>
            <w:pPr>
              <w:pStyle w:val="748"/>
              <w:jc w:val="center"/>
              <w:rPr>
                <w:rFonts w:ascii="宋体" w:hAnsi="宋体"/>
                <w:b/>
                <w:bCs/>
              </w:rPr>
            </w:pPr>
            <w:r>
              <w:rPr>
                <w:rFonts w:hint="eastAsia" w:ascii="宋体" w:hAnsi="宋体"/>
                <w:b/>
                <w:bCs/>
              </w:rPr>
              <w:t xml:space="preserve">分值</w:t>
            </w:r>
            <w:r>
              <w:rPr>
                <w:rFonts w:ascii="宋体" w:hAnsi="宋体"/>
                <w:b/>
                <w:bCs/>
              </w:rPr>
            </w:r>
            <w:r/>
          </w:p>
        </w:tc>
      </w:tr>
      <w:tr>
        <w:trPr>
          <w:trHeight w:val="1109"/>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48"/>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right w:val="single" w:color="000000" w:sz="4" w:space="0"/>
            </w:tcBorders>
            <w:tcW w:w="1134" w:type="dxa"/>
            <w:vAlign w:val="center"/>
            <w:textDirection w:val="lrTb"/>
            <w:noWrap w:val="false"/>
          </w:tcPr>
          <w:p>
            <w:pPr>
              <w:pStyle w:val="748"/>
              <w:rPr>
                <w:rFonts w:ascii="宋体" w:hAnsi="宋体"/>
              </w:rPr>
            </w:pPr>
            <w:r>
              <w:rPr>
                <w:rFonts w:hint="eastAsia" w:ascii="宋体" w:hAnsi="宋体"/>
              </w:rPr>
              <w:t xml:space="preserve">价格（10分）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pStyle w:val="748"/>
              <w:ind w:firstLine="315"/>
              <w:rPr>
                <w:rFonts w:ascii="宋体" w:hAnsi="宋体"/>
              </w:rPr>
            </w:pPr>
            <w:r>
              <w:rPr>
                <w:rFonts w:hint="eastAsia" w:ascii="宋体" w:hAnsi="宋体" w:cs="宋体"/>
              </w:rPr>
              <w:t xml:space="preserve">报价分计算方法：采用低价优先法计算，即满足采购文件要求且报价最低的供应商报价为评标基准价，其价格分为满分10分。其他投标人的价格分统一按照下列公式计算：投标报价得分=（评标基准价/该投标人的投标报价）×10，按四舍五入法保留两位小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hint="eastAsia" w:ascii="宋体" w:hAnsi="宋体"/>
              </w:rPr>
              <w:t xml:space="preserve">10</w:t>
            </w:r>
            <w:r>
              <w:rPr>
                <w:rFonts w:ascii="宋体" w:hAnsi="宋体"/>
              </w:rPr>
            </w:r>
            <w:r/>
          </w:p>
        </w:tc>
      </w:tr>
      <w:tr>
        <w:trPr>
          <w:cantSplit/>
          <w:trHeight w:val="828"/>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48"/>
              <w:rPr>
                <w:rFonts w:ascii="宋体" w:hAnsi="宋体"/>
              </w:rPr>
            </w:pPr>
            <w:r>
              <w:rPr>
                <w:rFonts w:ascii="宋体" w:hAnsi="宋体" w:cs="宋体"/>
                <w:szCs w:val="22"/>
              </w:rPr>
              <w:t xml:space="preserve">2.1</w:t>
            </w:r>
            <w:r>
              <w:rPr>
                <w:rFonts w:ascii="宋体" w:hAnsi="宋体"/>
              </w:rPr>
            </w:r>
            <w:r/>
          </w:p>
        </w:tc>
        <w:tc>
          <w:tcPr>
            <w:tcBorders>
              <w:top w:val="single" w:color="000000" w:sz="4" w:space="0"/>
              <w:left w:val="single" w:color="000000" w:sz="4" w:space="0"/>
              <w:right w:val="single" w:color="000000" w:sz="4" w:space="0"/>
            </w:tcBorders>
            <w:tcW w:w="1134" w:type="dxa"/>
            <w:vAlign w:val="center"/>
            <w:vMerge w:val="restart"/>
            <w:textDirection w:val="lrTb"/>
            <w:noWrap w:val="false"/>
          </w:tcPr>
          <w:p>
            <w:pPr>
              <w:pStyle w:val="748"/>
              <w:rPr>
                <w:rFonts w:ascii="宋体" w:hAnsi="宋体"/>
              </w:rPr>
            </w:pPr>
            <w:r>
              <w:rPr>
                <w:rFonts w:ascii="宋体" w:hAnsi="宋体" w:cs="宋体"/>
                <w:szCs w:val="22"/>
              </w:rPr>
              <w:t xml:space="preserve">项目需求，技术、实施、售后方案等（</w:t>
            </w:r>
            <w:r>
              <w:rPr>
                <w:rFonts w:hint="eastAsia" w:ascii="宋体" w:hAnsi="宋体" w:cs="宋体"/>
                <w:szCs w:val="22"/>
              </w:rPr>
              <w:t xml:space="preserve">60</w:t>
            </w:r>
            <w:r>
              <w:rPr>
                <w:rFonts w:ascii="宋体" w:hAnsi="宋体" w:cs="宋体"/>
                <w:szCs w:val="22"/>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pStyle w:val="748"/>
              <w:ind w:firstLine="420"/>
              <w:rPr>
                <w:rFonts w:ascii="宋体" w:hAnsi="宋体" w:cs="宋体"/>
                <w:szCs w:val="22"/>
              </w:rPr>
            </w:pPr>
            <w:r>
              <w:rPr>
                <w:rFonts w:ascii="宋体" w:hAnsi="宋体" w:cs="宋体"/>
                <w:szCs w:val="22"/>
              </w:rPr>
              <w:t xml:space="preserve">评委根据投标文件对招标文件第四章“采购需求”中“现有业务理解”要求的响应情况进行评审：</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1</w:t>
            </w:r>
            <w:r>
              <w:rPr>
                <w:rFonts w:ascii="宋体" w:hAnsi="宋体" w:cs="宋体"/>
                <w:szCs w:val="22"/>
              </w:rPr>
              <w:t xml:space="preserve">）投标文件未符合“现有业务理解”中全部条款要求的，视为不符合招标文件，本项得</w:t>
            </w:r>
            <w:r>
              <w:rPr>
                <w:rFonts w:ascii="Calibri" w:hAnsi="Calibri" w:cs="Calibri"/>
                <w:szCs w:val="22"/>
              </w:rPr>
              <w:t xml:space="preserve">0</w:t>
            </w:r>
            <w:r>
              <w:rPr>
                <w:rFonts w:ascii="宋体" w:hAnsi="宋体" w:cs="宋体"/>
                <w:szCs w:val="22"/>
              </w:rPr>
              <w:t xml:space="preserve">分。</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2</w:t>
            </w:r>
            <w:r>
              <w:rPr>
                <w:rFonts w:ascii="宋体" w:hAnsi="宋体" w:cs="宋体"/>
                <w:szCs w:val="22"/>
              </w:rPr>
              <w:t xml:space="preserve">）投标文件符合“现有业务理解”中全部条款要求的，视为符合招标文件，本项得</w:t>
            </w:r>
            <w:r>
              <w:rPr>
                <w:rFonts w:ascii="Calibri" w:hAnsi="Calibri" w:cs="Calibri"/>
                <w:szCs w:val="22"/>
              </w:rPr>
              <w:t xml:space="preserve">3</w:t>
            </w:r>
            <w:r>
              <w:rPr>
                <w:rFonts w:ascii="宋体" w:hAnsi="宋体" w:cs="宋体"/>
                <w:szCs w:val="22"/>
              </w:rPr>
              <w:t xml:space="preserve">分。</w:t>
            </w:r>
            <w:r/>
          </w:p>
          <w:p>
            <w:pPr>
              <w:pStyle w:val="748"/>
              <w:ind w:firstLine="420"/>
              <w:rPr>
                <w:rFonts w:ascii="宋体" w:hAnsi="宋体"/>
              </w:rPr>
            </w:pPr>
            <w:r>
              <w:rPr>
                <w:rFonts w:ascii="宋体" w:hAnsi="宋体" w:cs="宋体"/>
                <w:szCs w:val="22"/>
              </w:rPr>
              <w:t xml:space="preserve">（</w:t>
            </w:r>
            <w:r>
              <w:rPr>
                <w:rFonts w:ascii="Calibri" w:hAnsi="Calibri" w:cs="Calibri"/>
                <w:szCs w:val="22"/>
              </w:rPr>
              <w:t xml:space="preserve">3</w:t>
            </w:r>
            <w:r>
              <w:rPr>
                <w:rFonts w:ascii="宋体" w:hAnsi="宋体" w:cs="宋体"/>
                <w:szCs w:val="22"/>
              </w:rPr>
              <w:t xml:space="preserve">）投标文件对“现有业务理解”中“对现有系统业务需求理解</w:t>
            </w:r>
            <w:r>
              <w:rPr>
                <w:rFonts w:hint="eastAsia" w:ascii="宋体" w:hAnsi="宋体" w:cs="宋体"/>
                <w:szCs w:val="22"/>
              </w:rPr>
              <w:t xml:space="preserve">、对</w:t>
            </w:r>
            <w:r>
              <w:rPr>
                <w:rFonts w:ascii="宋体" w:hAnsi="宋体" w:cs="宋体"/>
                <w:szCs w:val="22"/>
              </w:rPr>
              <w:t xml:space="preserve">建设思路理解”两项要求的响应内容全部优于招标文件要求的</w:t>
            </w:r>
            <w:r>
              <w:rPr>
                <w:rFonts w:hint="eastAsia" w:ascii="宋体" w:hAnsi="宋体" w:cs="宋体"/>
                <w:szCs w:val="22"/>
              </w:rPr>
              <w:t xml:space="preserve">（前提是投标文件对“现有业务理解”中除“对现有系统业务需求理解、对建设思路理解”外其他要求响应内容符合招标文件要求）</w:t>
            </w:r>
            <w:r>
              <w:rPr>
                <w:rFonts w:ascii="宋体" w:hAnsi="宋体" w:cs="宋体"/>
                <w:szCs w:val="22"/>
              </w:rPr>
              <w:t xml:space="preserve">，本项得</w:t>
            </w:r>
            <w:r>
              <w:rPr>
                <w:rFonts w:ascii="Calibri" w:hAnsi="Calibri" w:cs="Calibri"/>
                <w:szCs w:val="22"/>
              </w:rPr>
              <w:t xml:space="preserve">5</w:t>
            </w:r>
            <w:r>
              <w:rPr>
                <w:rFonts w:ascii="宋体" w:hAnsi="宋体" w:cs="宋体"/>
                <w:szCs w:val="22"/>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ascii="宋体" w:hAnsi="宋体" w:cs="宋体"/>
                <w:szCs w:val="22"/>
              </w:rPr>
              <w:t xml:space="preserve">5</w:t>
            </w:r>
            <w:r>
              <w:rPr>
                <w:rFonts w:ascii="宋体" w:hAnsi="宋体"/>
              </w:rPr>
            </w:r>
            <w:r/>
          </w:p>
        </w:tc>
      </w:tr>
      <w:tr>
        <w:trPr>
          <w:cantSplit/>
          <w:trHeight w:val="556"/>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48"/>
              <w:rPr>
                <w:rFonts w:ascii="宋体" w:hAnsi="宋体"/>
              </w:rPr>
            </w:pPr>
            <w:r>
              <w:rPr>
                <w:rFonts w:ascii="宋体" w:hAnsi="宋体" w:cs="宋体"/>
                <w:szCs w:val="22"/>
              </w:rPr>
              <w:t xml:space="preserve">2.2</w:t>
            </w:r>
            <w:r>
              <w:rPr>
                <w:rFonts w:ascii="宋体" w:hAnsi="宋体"/>
              </w:rPr>
            </w:r>
            <w:r/>
          </w:p>
        </w:tc>
        <w:tc>
          <w:tcPr>
            <w:tcBorders>
              <w:left w:val="single" w:color="000000" w:sz="4" w:space="0"/>
              <w:right w:val="single" w:color="000000" w:sz="4" w:space="0"/>
            </w:tcBorders>
            <w:tcW w:w="1134" w:type="dxa"/>
            <w:vAlign w:val="center"/>
            <w:vMerge w:val="continue"/>
            <w:textDirection w:val="lrTb"/>
            <w:noWrap w:val="false"/>
          </w:tcPr>
          <w:p>
            <w:pPr>
              <w:pStyle w:val="74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pStyle w:val="748"/>
              <w:ind w:firstLine="420"/>
              <w:rPr>
                <w:rFonts w:ascii="宋体" w:hAnsi="宋体" w:cs="宋体"/>
                <w:szCs w:val="22"/>
              </w:rPr>
            </w:pPr>
            <w:r>
              <w:rPr>
                <w:rFonts w:ascii="宋体" w:hAnsi="宋体" w:cs="宋体"/>
                <w:szCs w:val="22"/>
              </w:rPr>
              <w:t xml:space="preserve">评委根据投标文件对招标文件第四章“采购需求”中“</w:t>
            </w:r>
            <w:bookmarkStart w:id="232" w:name="OLE_LINK35"/>
            <w:r>
              <w:rPr>
                <w:rFonts w:ascii="宋体" w:hAnsi="宋体" w:cs="宋体"/>
                <w:szCs w:val="22"/>
              </w:rPr>
              <w:t xml:space="preserve">总体设计方案</w:t>
            </w:r>
            <w:bookmarkEnd w:id="232"/>
            <w:r>
              <w:rPr>
                <w:rFonts w:ascii="宋体" w:hAnsi="宋体" w:cs="宋体"/>
                <w:szCs w:val="22"/>
              </w:rPr>
              <w:t xml:space="preserve">”要求的响应情况进行评审：</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1</w:t>
            </w:r>
            <w:r>
              <w:rPr>
                <w:rFonts w:ascii="宋体" w:hAnsi="宋体" w:cs="宋体"/>
                <w:szCs w:val="22"/>
              </w:rPr>
              <w:t xml:space="preserve">）投标文件未符合“总体设计方案”中全部条款要求的，视为不符合招标文件，本项得</w:t>
            </w:r>
            <w:r>
              <w:rPr>
                <w:rFonts w:ascii="Calibri" w:hAnsi="Calibri" w:cs="Calibri"/>
                <w:szCs w:val="22"/>
              </w:rPr>
              <w:t xml:space="preserve">0</w:t>
            </w:r>
            <w:r>
              <w:rPr>
                <w:rFonts w:ascii="宋体" w:hAnsi="宋体" w:cs="宋体"/>
                <w:szCs w:val="22"/>
              </w:rPr>
              <w:t xml:space="preserve">分。</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2</w:t>
            </w:r>
            <w:r>
              <w:rPr>
                <w:rFonts w:ascii="宋体" w:hAnsi="宋体" w:cs="宋体"/>
                <w:szCs w:val="22"/>
              </w:rPr>
              <w:t xml:space="preserve">）投标文件符合“总体设计方案”中全部条款要求的，视为符合招标文件，本项得</w:t>
            </w:r>
            <w:r>
              <w:rPr>
                <w:rFonts w:ascii="Calibri" w:hAnsi="Calibri" w:cs="Calibri"/>
                <w:szCs w:val="22"/>
              </w:rPr>
              <w:t xml:space="preserve">3</w:t>
            </w:r>
            <w:r>
              <w:rPr>
                <w:rFonts w:ascii="宋体" w:hAnsi="宋体" w:cs="宋体"/>
                <w:szCs w:val="22"/>
              </w:rPr>
              <w:t xml:space="preserve">分。</w:t>
            </w:r>
            <w:r/>
          </w:p>
          <w:p>
            <w:pPr>
              <w:pStyle w:val="748"/>
              <w:ind w:firstLine="420"/>
              <w:rPr>
                <w:rFonts w:ascii="宋体" w:hAnsi="宋体"/>
              </w:rPr>
            </w:pPr>
            <w:r>
              <w:rPr>
                <w:rFonts w:ascii="宋体" w:hAnsi="宋体" w:cs="宋体"/>
                <w:szCs w:val="22"/>
              </w:rPr>
              <w:t xml:space="preserve">（</w:t>
            </w:r>
            <w:r>
              <w:rPr>
                <w:rFonts w:ascii="Calibri" w:hAnsi="Calibri" w:cs="Calibri"/>
                <w:szCs w:val="22"/>
              </w:rPr>
              <w:t xml:space="preserve">3</w:t>
            </w:r>
            <w:r>
              <w:rPr>
                <w:rFonts w:ascii="宋体" w:hAnsi="宋体" w:cs="宋体"/>
                <w:szCs w:val="22"/>
              </w:rPr>
              <w:t xml:space="preserve">）投标文件对“总体设计方案”中</w:t>
            </w:r>
            <w:bookmarkStart w:id="233" w:name="OLE_LINK56"/>
            <w:r/>
            <w:bookmarkStart w:id="234" w:name="OLE_LINK55"/>
            <w:r/>
            <w:bookmarkStart w:id="235" w:name="OLE_LINK54"/>
            <w:r>
              <w:rPr>
                <w:rFonts w:ascii="宋体" w:hAnsi="宋体" w:cs="宋体"/>
                <w:szCs w:val="22"/>
              </w:rPr>
              <w:t xml:space="preserve">“</w:t>
            </w:r>
            <w:r>
              <w:rPr>
                <w:rFonts w:hint="eastAsia" w:ascii="宋体" w:hAnsi="宋体" w:cs="宋体"/>
                <w:szCs w:val="22"/>
              </w:rPr>
              <w:t xml:space="preserve">架构设计</w:t>
            </w:r>
            <w:r>
              <w:rPr>
                <w:rFonts w:ascii="宋体" w:hAnsi="宋体" w:cs="宋体"/>
                <w:szCs w:val="22"/>
              </w:rPr>
              <w:t xml:space="preserve">”、“</w:t>
            </w:r>
            <w:r>
              <w:rPr>
                <w:rFonts w:hint="eastAsia" w:ascii="宋体" w:hAnsi="宋体" w:cs="宋体"/>
                <w:szCs w:val="22"/>
              </w:rPr>
              <w:t xml:space="preserve">数据库设计</w:t>
            </w:r>
            <w:r>
              <w:rPr>
                <w:rFonts w:ascii="宋体" w:hAnsi="宋体" w:cs="宋体"/>
                <w:szCs w:val="22"/>
              </w:rPr>
              <w:t xml:space="preserve">”</w:t>
            </w:r>
            <w:bookmarkEnd w:id="233"/>
            <w:r/>
            <w:bookmarkEnd w:id="234"/>
            <w:r/>
            <w:bookmarkEnd w:id="235"/>
            <w:r>
              <w:rPr>
                <w:rFonts w:ascii="宋体" w:hAnsi="宋体" w:cs="宋体"/>
                <w:szCs w:val="22"/>
              </w:rPr>
              <w:t xml:space="preserve">两项要求的响应内容全部优于招标文件要求的</w:t>
            </w:r>
            <w:r>
              <w:rPr>
                <w:rFonts w:hint="eastAsia" w:ascii="宋体" w:hAnsi="宋体" w:cs="宋体"/>
                <w:szCs w:val="22"/>
              </w:rPr>
              <w:t xml:space="preserve">（前提是投标文件对“总体设计方案”中除</w:t>
            </w:r>
            <w:r>
              <w:rPr>
                <w:rFonts w:ascii="宋体" w:hAnsi="宋体" w:cs="宋体"/>
                <w:szCs w:val="22"/>
              </w:rPr>
              <w:t xml:space="preserve">“</w:t>
            </w:r>
            <w:r>
              <w:rPr>
                <w:rFonts w:hint="eastAsia" w:ascii="宋体" w:hAnsi="宋体" w:cs="宋体"/>
                <w:szCs w:val="22"/>
              </w:rPr>
              <w:t xml:space="preserve">架构设计</w:t>
            </w:r>
            <w:r>
              <w:rPr>
                <w:rFonts w:ascii="宋体" w:hAnsi="宋体" w:cs="宋体"/>
                <w:szCs w:val="22"/>
              </w:rPr>
              <w:t xml:space="preserve">”、“</w:t>
            </w:r>
            <w:r>
              <w:rPr>
                <w:rFonts w:hint="eastAsia" w:ascii="宋体" w:hAnsi="宋体" w:cs="宋体"/>
                <w:szCs w:val="22"/>
              </w:rPr>
              <w:t xml:space="preserve">数据库设计</w:t>
            </w:r>
            <w:r>
              <w:rPr>
                <w:rFonts w:ascii="宋体" w:hAnsi="宋体" w:cs="宋体"/>
                <w:szCs w:val="22"/>
              </w:rPr>
              <w:t xml:space="preserve">”</w:t>
            </w:r>
            <w:r>
              <w:rPr>
                <w:rFonts w:hint="eastAsia" w:ascii="宋体" w:hAnsi="宋体" w:cs="宋体"/>
                <w:szCs w:val="22"/>
              </w:rPr>
              <w:t xml:space="preserve">外其他要求响应内容符合招标文件要求）</w:t>
            </w:r>
            <w:r>
              <w:rPr>
                <w:rFonts w:ascii="宋体" w:hAnsi="宋体" w:cs="宋体"/>
                <w:szCs w:val="22"/>
              </w:rPr>
              <w:t xml:space="preserve">，本项得</w:t>
            </w:r>
            <w:r>
              <w:rPr>
                <w:rFonts w:ascii="Calibri" w:hAnsi="Calibri" w:cs="Calibri"/>
                <w:szCs w:val="22"/>
              </w:rPr>
              <w:t xml:space="preserve">5</w:t>
            </w:r>
            <w:r>
              <w:rPr>
                <w:rFonts w:ascii="宋体" w:hAnsi="宋体" w:cs="宋体"/>
                <w:szCs w:val="22"/>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ascii="宋体" w:hAnsi="宋体" w:cs="宋体"/>
                <w:szCs w:val="22"/>
              </w:rPr>
              <w:t xml:space="preserve">5</w:t>
            </w:r>
            <w:r>
              <w:rPr>
                <w:rFonts w:ascii="宋体" w:hAnsi="宋体"/>
              </w:rPr>
            </w:r>
            <w:r/>
          </w:p>
        </w:tc>
      </w:tr>
      <w:tr>
        <w:trPr>
          <w:cantSplit/>
          <w:trHeight w:val="564"/>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48"/>
              <w:rPr>
                <w:rFonts w:ascii="宋体" w:hAnsi="宋体"/>
              </w:rPr>
            </w:pPr>
            <w:r>
              <w:rPr>
                <w:rFonts w:ascii="宋体" w:hAnsi="宋体" w:cs="宋体"/>
                <w:szCs w:val="22"/>
              </w:rPr>
              <w:t xml:space="preserve">2.3</w:t>
            </w:r>
            <w:r>
              <w:rPr>
                <w:rFonts w:ascii="宋体" w:hAnsi="宋体"/>
              </w:rPr>
            </w:r>
            <w:r/>
          </w:p>
        </w:tc>
        <w:tc>
          <w:tcPr>
            <w:tcBorders>
              <w:left w:val="single" w:color="000000" w:sz="4" w:space="0"/>
              <w:right w:val="single" w:color="000000" w:sz="4" w:space="0"/>
            </w:tcBorders>
            <w:tcW w:w="1134" w:type="dxa"/>
            <w:vAlign w:val="center"/>
            <w:vMerge w:val="continue"/>
            <w:textDirection w:val="lrTb"/>
            <w:noWrap w:val="false"/>
          </w:tcPr>
          <w:p>
            <w:pPr>
              <w:pStyle w:val="74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pStyle w:val="748"/>
              <w:ind w:firstLine="420"/>
              <w:rPr>
                <w:rFonts w:ascii="宋体" w:hAnsi="宋体" w:cs="宋体"/>
                <w:szCs w:val="22"/>
              </w:rPr>
            </w:pPr>
            <w:r>
              <w:rPr>
                <w:rFonts w:ascii="宋体" w:hAnsi="宋体" w:cs="宋体"/>
                <w:szCs w:val="22"/>
              </w:rPr>
              <w:t xml:space="preserve">评委根据投标文件对招标文件第四章“采购需求”中“</w:t>
            </w:r>
            <w:bookmarkStart w:id="236" w:name="OLE_LINK53"/>
            <w:r/>
            <w:bookmarkStart w:id="237" w:name="OLE_LINK52"/>
            <w:r>
              <w:rPr>
                <w:rFonts w:ascii="宋体" w:hAnsi="宋体" w:cs="宋体"/>
                <w:szCs w:val="22"/>
              </w:rPr>
              <w:t xml:space="preserve">功能设计方案</w:t>
            </w:r>
            <w:bookmarkEnd w:id="236"/>
            <w:r/>
            <w:bookmarkEnd w:id="237"/>
            <w:r>
              <w:rPr>
                <w:rFonts w:ascii="宋体" w:hAnsi="宋体" w:cs="宋体"/>
                <w:szCs w:val="22"/>
              </w:rPr>
              <w:t xml:space="preserve">”要求的响应情况进行评审：</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1</w:t>
            </w:r>
            <w:r>
              <w:rPr>
                <w:rFonts w:ascii="宋体" w:hAnsi="宋体" w:cs="宋体"/>
                <w:szCs w:val="22"/>
              </w:rPr>
              <w:t xml:space="preserve">）投标文件未符合“功能设计方案”中全部条款要求的，视为不符合招标文件，本项得</w:t>
            </w:r>
            <w:r>
              <w:rPr>
                <w:rFonts w:ascii="Calibri" w:hAnsi="Calibri" w:cs="Calibri"/>
                <w:szCs w:val="22"/>
              </w:rPr>
              <w:t xml:space="preserve">0</w:t>
            </w:r>
            <w:r>
              <w:rPr>
                <w:rFonts w:ascii="宋体" w:hAnsi="宋体" w:cs="宋体"/>
                <w:szCs w:val="22"/>
              </w:rPr>
              <w:t xml:space="preserve">分。</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2</w:t>
            </w:r>
            <w:r>
              <w:rPr>
                <w:rFonts w:ascii="宋体" w:hAnsi="宋体" w:cs="宋体"/>
                <w:szCs w:val="22"/>
              </w:rPr>
              <w:t xml:space="preserve">）投标文件符合“功能设计方案”中全部条款要求的，视为符合招标文件，本项得</w:t>
            </w:r>
            <w:r>
              <w:rPr>
                <w:rFonts w:ascii="Calibri" w:hAnsi="Calibri" w:cs="Calibri"/>
                <w:szCs w:val="22"/>
              </w:rPr>
              <w:t xml:space="preserve">3</w:t>
            </w:r>
            <w:r>
              <w:rPr>
                <w:rFonts w:ascii="宋体" w:hAnsi="宋体" w:cs="宋体"/>
                <w:szCs w:val="22"/>
              </w:rPr>
              <w:t xml:space="preserve">分。</w:t>
            </w:r>
            <w:r/>
          </w:p>
          <w:p>
            <w:pPr>
              <w:pStyle w:val="748"/>
              <w:ind w:firstLine="420"/>
              <w:rPr>
                <w:rFonts w:ascii="宋体" w:hAnsi="宋体"/>
              </w:rPr>
            </w:pPr>
            <w:r>
              <w:rPr>
                <w:rFonts w:ascii="宋体" w:hAnsi="宋体" w:cs="宋体"/>
                <w:szCs w:val="22"/>
              </w:rPr>
              <w:t xml:space="preserve">（</w:t>
            </w:r>
            <w:r>
              <w:rPr>
                <w:rFonts w:ascii="Calibri" w:hAnsi="Calibri" w:cs="Calibri"/>
                <w:szCs w:val="22"/>
              </w:rPr>
              <w:t xml:space="preserve">3</w:t>
            </w:r>
            <w:r>
              <w:rPr>
                <w:rFonts w:ascii="宋体" w:hAnsi="宋体" w:cs="宋体"/>
                <w:szCs w:val="22"/>
              </w:rPr>
              <w:t xml:space="preserve">）投标文件对“功能设计方案”中“功能</w:t>
            </w:r>
            <w:r>
              <w:rPr>
                <w:rFonts w:hint="eastAsia" w:ascii="宋体" w:hAnsi="宋体" w:cs="宋体"/>
                <w:szCs w:val="22"/>
              </w:rPr>
              <w:t xml:space="preserve">实现</w:t>
            </w:r>
            <w:r>
              <w:rPr>
                <w:rFonts w:ascii="宋体" w:hAnsi="宋体" w:cs="宋体"/>
                <w:szCs w:val="22"/>
              </w:rPr>
              <w:t xml:space="preserve">”要求的响应内容全部优于招标文件要求的</w:t>
            </w:r>
            <w:r>
              <w:rPr>
                <w:rFonts w:hint="eastAsia" w:ascii="宋体" w:hAnsi="宋体" w:cs="宋体"/>
                <w:szCs w:val="22"/>
              </w:rPr>
              <w:t xml:space="preserve">（前提是投标文件对“功能设计方案”中除“</w:t>
            </w:r>
            <w:r>
              <w:rPr>
                <w:rFonts w:ascii="宋体" w:hAnsi="宋体" w:cs="宋体"/>
                <w:szCs w:val="22"/>
              </w:rPr>
              <w:t xml:space="preserve">功能</w:t>
            </w:r>
            <w:r>
              <w:rPr>
                <w:rFonts w:hint="eastAsia" w:ascii="宋体" w:hAnsi="宋体" w:cs="宋体"/>
                <w:szCs w:val="22"/>
              </w:rPr>
              <w:t xml:space="preserve">实现”外其他要求响应内容符合招标文件要求）</w:t>
            </w:r>
            <w:r>
              <w:rPr>
                <w:rFonts w:ascii="宋体" w:hAnsi="宋体" w:cs="宋体"/>
                <w:szCs w:val="22"/>
              </w:rPr>
              <w:t xml:space="preserve">，本项得</w:t>
            </w:r>
            <w:r>
              <w:rPr>
                <w:rFonts w:ascii="Calibri" w:hAnsi="Calibri" w:cs="Calibri"/>
                <w:szCs w:val="22"/>
              </w:rPr>
              <w:t xml:space="preserve">5</w:t>
            </w:r>
            <w:r>
              <w:rPr>
                <w:rFonts w:ascii="宋体" w:hAnsi="宋体" w:cs="宋体"/>
                <w:szCs w:val="22"/>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ascii="宋体" w:hAnsi="宋体" w:cs="宋体"/>
                <w:szCs w:val="22"/>
              </w:rPr>
              <w:t xml:space="preserve">5</w:t>
            </w:r>
            <w:r>
              <w:rPr>
                <w:rFonts w:ascii="宋体" w:hAnsi="宋体"/>
              </w:rPr>
            </w:r>
            <w:r/>
          </w:p>
        </w:tc>
      </w:tr>
      <w:tr>
        <w:trPr>
          <w:cantSplit/>
          <w:trHeight w:val="972"/>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48"/>
              <w:rPr>
                <w:rFonts w:ascii="宋体" w:hAnsi="宋体"/>
              </w:rPr>
            </w:pPr>
            <w:r>
              <w:rPr>
                <w:rFonts w:ascii="宋体" w:hAnsi="宋体" w:cs="宋体"/>
                <w:szCs w:val="22"/>
              </w:rPr>
              <w:t xml:space="preserve">2.4</w:t>
            </w:r>
            <w:r>
              <w:rPr>
                <w:rFonts w:ascii="宋体" w:hAnsi="宋体"/>
              </w:rPr>
            </w:r>
            <w:r/>
          </w:p>
        </w:tc>
        <w:tc>
          <w:tcPr>
            <w:tcBorders>
              <w:left w:val="single" w:color="000000" w:sz="4" w:space="0"/>
              <w:right w:val="single" w:color="000000" w:sz="4" w:space="0"/>
            </w:tcBorders>
            <w:tcW w:w="1134" w:type="dxa"/>
            <w:vAlign w:val="center"/>
            <w:vMerge w:val="continue"/>
            <w:textDirection w:val="lrTb"/>
            <w:noWrap w:val="false"/>
          </w:tcPr>
          <w:p>
            <w:pPr>
              <w:pStyle w:val="74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pStyle w:val="748"/>
              <w:ind w:firstLine="420"/>
              <w:rPr>
                <w:rFonts w:ascii="宋体" w:hAnsi="宋体" w:cs="宋体"/>
                <w:szCs w:val="22"/>
              </w:rPr>
            </w:pPr>
            <w:r>
              <w:rPr>
                <w:rFonts w:ascii="宋体" w:hAnsi="宋体" w:cs="宋体"/>
                <w:szCs w:val="22"/>
              </w:rPr>
              <w:t xml:space="preserve">评委根据投标文件对招标文件第四章“采购需求”中“</w:t>
            </w:r>
            <w:bookmarkStart w:id="238" w:name="OLE_LINK51"/>
            <w:r/>
            <w:bookmarkStart w:id="239" w:name="OLE_LINK50"/>
            <w:r>
              <w:rPr>
                <w:rFonts w:ascii="宋体" w:hAnsi="宋体" w:cs="宋体"/>
                <w:szCs w:val="22"/>
              </w:rPr>
              <w:t xml:space="preserve">安全设计方案</w:t>
            </w:r>
            <w:bookmarkEnd w:id="238"/>
            <w:r/>
            <w:bookmarkEnd w:id="239"/>
            <w:r>
              <w:rPr>
                <w:rFonts w:ascii="宋体" w:hAnsi="宋体" w:cs="宋体"/>
                <w:szCs w:val="22"/>
              </w:rPr>
              <w:t xml:space="preserve">”要求的响应情况进行评审：</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1</w:t>
            </w:r>
            <w:r>
              <w:rPr>
                <w:rFonts w:ascii="宋体" w:hAnsi="宋体" w:cs="宋体"/>
                <w:szCs w:val="22"/>
              </w:rPr>
              <w:t xml:space="preserve">）投标文件未符合“安全设计方案”中全部条款要求的，视为不符合招标文件，本项得</w:t>
            </w:r>
            <w:r>
              <w:rPr>
                <w:rFonts w:ascii="Calibri" w:hAnsi="Calibri" w:cs="Calibri"/>
                <w:szCs w:val="22"/>
              </w:rPr>
              <w:t xml:space="preserve">0</w:t>
            </w:r>
            <w:r>
              <w:rPr>
                <w:rFonts w:ascii="宋体" w:hAnsi="宋体" w:cs="宋体"/>
                <w:szCs w:val="22"/>
              </w:rPr>
              <w:t xml:space="preserve">分。</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2</w:t>
            </w:r>
            <w:r>
              <w:rPr>
                <w:rFonts w:ascii="宋体" w:hAnsi="宋体" w:cs="宋体"/>
                <w:szCs w:val="22"/>
              </w:rPr>
              <w:t xml:space="preserve">）投标文件符合“安全设计方案”中全部条款要求的，视为符合招标文件，本项得</w:t>
            </w:r>
            <w:r>
              <w:rPr>
                <w:rFonts w:ascii="Calibri" w:hAnsi="Calibri" w:cs="Calibri"/>
                <w:szCs w:val="22"/>
              </w:rPr>
              <w:t xml:space="preserve">3</w:t>
            </w:r>
            <w:r>
              <w:rPr>
                <w:rFonts w:ascii="宋体" w:hAnsi="宋体" w:cs="宋体"/>
                <w:szCs w:val="22"/>
              </w:rPr>
              <w:t xml:space="preserve">分。</w:t>
            </w:r>
            <w:r/>
          </w:p>
          <w:p>
            <w:pPr>
              <w:pStyle w:val="748"/>
              <w:ind w:firstLine="420"/>
              <w:rPr>
                <w:rFonts w:ascii="宋体" w:hAnsi="宋体"/>
              </w:rPr>
            </w:pPr>
            <w:r>
              <w:rPr>
                <w:rFonts w:ascii="宋体" w:hAnsi="宋体" w:cs="宋体"/>
                <w:szCs w:val="22"/>
              </w:rPr>
              <w:t xml:space="preserve">（</w:t>
            </w:r>
            <w:r>
              <w:rPr>
                <w:rFonts w:ascii="Calibri" w:hAnsi="Calibri" w:cs="Calibri"/>
                <w:szCs w:val="22"/>
              </w:rPr>
              <w:t xml:space="preserve">3</w:t>
            </w:r>
            <w:r>
              <w:rPr>
                <w:rFonts w:ascii="宋体" w:hAnsi="宋体" w:cs="宋体"/>
                <w:szCs w:val="22"/>
              </w:rPr>
              <w:t xml:space="preserve">）投标文件对“安全设计方案”中“权限管理、数据加密”</w:t>
            </w:r>
            <w:r>
              <w:rPr>
                <w:rFonts w:hint="eastAsia" w:ascii="宋体" w:hAnsi="宋体" w:cs="宋体"/>
                <w:szCs w:val="22"/>
              </w:rPr>
              <w:t xml:space="preserve">2项</w:t>
            </w:r>
            <w:r>
              <w:rPr>
                <w:rFonts w:ascii="宋体" w:hAnsi="宋体" w:cs="宋体"/>
                <w:szCs w:val="22"/>
              </w:rPr>
              <w:t xml:space="preserve">要求的响应内容全部优于招标文件要求的</w:t>
            </w:r>
            <w:r>
              <w:rPr>
                <w:rFonts w:hint="eastAsia" w:ascii="宋体" w:hAnsi="宋体" w:cs="宋体"/>
                <w:szCs w:val="22"/>
              </w:rPr>
              <w:t xml:space="preserve">（前提是投标文件对“安全设计方案”中除“</w:t>
            </w:r>
            <w:r>
              <w:rPr>
                <w:rFonts w:ascii="宋体" w:hAnsi="宋体" w:cs="宋体"/>
                <w:szCs w:val="22"/>
              </w:rPr>
              <w:t xml:space="preserve">权限管理、数据加密</w:t>
            </w:r>
            <w:r>
              <w:rPr>
                <w:rFonts w:hint="eastAsia" w:ascii="宋体" w:hAnsi="宋体" w:cs="宋体"/>
                <w:szCs w:val="22"/>
              </w:rPr>
              <w:t xml:space="preserve">”外其他要求响应内容符合招标文件要求）</w:t>
            </w:r>
            <w:r>
              <w:rPr>
                <w:rFonts w:ascii="宋体" w:hAnsi="宋体" w:cs="宋体"/>
                <w:szCs w:val="22"/>
              </w:rPr>
              <w:t xml:space="preserve">，本项得</w:t>
            </w:r>
            <w:r>
              <w:rPr>
                <w:rFonts w:ascii="Calibri" w:hAnsi="Calibri" w:cs="Calibri"/>
                <w:szCs w:val="22"/>
              </w:rPr>
              <w:t xml:space="preserve">5</w:t>
            </w:r>
            <w:r>
              <w:rPr>
                <w:rFonts w:ascii="宋体" w:hAnsi="宋体" w:cs="宋体"/>
                <w:szCs w:val="22"/>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ascii="宋体" w:hAnsi="宋体" w:cs="宋体"/>
                <w:szCs w:val="22"/>
              </w:rPr>
              <w:t xml:space="preserve">5</w:t>
            </w:r>
            <w:r>
              <w:rPr>
                <w:rFonts w:ascii="宋体" w:hAnsi="宋体"/>
              </w:rPr>
            </w:r>
            <w:r/>
          </w:p>
        </w:tc>
      </w:tr>
      <w:tr>
        <w:trPr>
          <w:cantSplit/>
          <w:trHeight w:val="284"/>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48"/>
              <w:rPr>
                <w:rFonts w:ascii="宋体" w:hAnsi="宋体"/>
              </w:rPr>
            </w:pPr>
            <w:r>
              <w:rPr>
                <w:rFonts w:ascii="宋体" w:hAnsi="宋体" w:cs="宋体"/>
                <w:szCs w:val="22"/>
              </w:rPr>
              <w:t xml:space="preserve">2.5</w:t>
            </w:r>
            <w:r>
              <w:rPr>
                <w:rFonts w:ascii="宋体" w:hAnsi="宋体"/>
              </w:rPr>
            </w:r>
            <w:r/>
          </w:p>
        </w:tc>
        <w:tc>
          <w:tcPr>
            <w:tcBorders>
              <w:left w:val="single" w:color="000000" w:sz="4" w:space="0"/>
              <w:right w:val="single" w:color="000000" w:sz="4" w:space="0"/>
            </w:tcBorders>
            <w:tcW w:w="1134" w:type="dxa"/>
            <w:vAlign w:val="center"/>
            <w:vMerge w:val="continue"/>
            <w:textDirection w:val="lrTb"/>
            <w:noWrap w:val="false"/>
          </w:tcPr>
          <w:p>
            <w:pPr>
              <w:pStyle w:val="74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pStyle w:val="748"/>
              <w:ind w:firstLine="420"/>
              <w:rPr>
                <w:rFonts w:ascii="宋体" w:hAnsi="宋体" w:cs="宋体"/>
                <w:szCs w:val="22"/>
              </w:rPr>
            </w:pPr>
            <w:r>
              <w:rPr>
                <w:rFonts w:ascii="宋体" w:hAnsi="宋体" w:cs="宋体"/>
                <w:szCs w:val="22"/>
              </w:rPr>
              <w:t xml:space="preserve">评委根据投标文件对招标文件第四章“采购需求”中“</w:t>
            </w:r>
            <w:bookmarkStart w:id="240" w:name="OLE_LINK48"/>
            <w:r/>
            <w:bookmarkStart w:id="241" w:name="OLE_LINK49"/>
            <w:r>
              <w:rPr>
                <w:rFonts w:ascii="宋体" w:hAnsi="宋体" w:cs="宋体"/>
                <w:szCs w:val="22"/>
              </w:rPr>
              <w:t xml:space="preserve">数据迁移方案</w:t>
            </w:r>
            <w:bookmarkEnd w:id="240"/>
            <w:r/>
            <w:bookmarkEnd w:id="241"/>
            <w:r>
              <w:rPr>
                <w:rFonts w:ascii="宋体" w:hAnsi="宋体" w:cs="宋体"/>
                <w:szCs w:val="22"/>
              </w:rPr>
              <w:t xml:space="preserve">”要求的响应情况进行评审：</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1</w:t>
            </w:r>
            <w:r>
              <w:rPr>
                <w:rFonts w:ascii="宋体" w:hAnsi="宋体" w:cs="宋体"/>
                <w:szCs w:val="22"/>
              </w:rPr>
              <w:t xml:space="preserve">）投标文件未符合“数据迁移方案”中全部条款要求的，视为不符合招标文件，本项得</w:t>
            </w:r>
            <w:r>
              <w:rPr>
                <w:rFonts w:ascii="Calibri" w:hAnsi="Calibri" w:cs="Calibri"/>
                <w:szCs w:val="22"/>
              </w:rPr>
              <w:t xml:space="preserve">0</w:t>
            </w:r>
            <w:r>
              <w:rPr>
                <w:rFonts w:ascii="宋体" w:hAnsi="宋体" w:cs="宋体"/>
                <w:szCs w:val="22"/>
              </w:rPr>
              <w:t xml:space="preserve">分。</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2</w:t>
            </w:r>
            <w:r>
              <w:rPr>
                <w:rFonts w:ascii="宋体" w:hAnsi="宋体" w:cs="宋体"/>
                <w:szCs w:val="22"/>
              </w:rPr>
              <w:t xml:space="preserve">）投标文件符合“数据迁移方案”中全部条款要求的，视为符合招标文件，本项得</w:t>
            </w:r>
            <w:r>
              <w:rPr>
                <w:rFonts w:ascii="Calibri" w:hAnsi="Calibri" w:cs="Calibri"/>
                <w:szCs w:val="22"/>
              </w:rPr>
              <w:t xml:space="preserve">3</w:t>
            </w:r>
            <w:r>
              <w:rPr>
                <w:rFonts w:ascii="宋体" w:hAnsi="宋体" w:cs="宋体"/>
                <w:szCs w:val="22"/>
              </w:rPr>
              <w:t xml:space="preserve">分。</w:t>
            </w:r>
            <w:r/>
          </w:p>
          <w:p>
            <w:pPr>
              <w:pStyle w:val="748"/>
              <w:ind w:firstLine="420"/>
              <w:rPr>
                <w:rFonts w:ascii="宋体" w:hAnsi="宋体"/>
              </w:rPr>
            </w:pPr>
            <w:r>
              <w:rPr>
                <w:rFonts w:ascii="宋体" w:hAnsi="宋体" w:cs="宋体"/>
                <w:szCs w:val="22"/>
              </w:rPr>
              <w:t xml:space="preserve">（</w:t>
            </w:r>
            <w:r>
              <w:rPr>
                <w:rFonts w:ascii="Calibri" w:hAnsi="Calibri" w:cs="Calibri"/>
                <w:szCs w:val="22"/>
              </w:rPr>
              <w:t xml:space="preserve">3</w:t>
            </w:r>
            <w:r>
              <w:rPr>
                <w:rFonts w:ascii="宋体" w:hAnsi="宋体" w:cs="宋体"/>
                <w:szCs w:val="22"/>
              </w:rPr>
              <w:t xml:space="preserve">）投标文件对“数据迁移方案”中</w:t>
            </w:r>
            <w:r>
              <w:rPr>
                <w:rFonts w:hint="eastAsia" w:ascii="宋体" w:hAnsi="宋体" w:cs="宋体"/>
                <w:szCs w:val="22"/>
              </w:rPr>
              <w:t xml:space="preserve">“迁移方案”要求</w:t>
            </w:r>
            <w:r>
              <w:rPr>
                <w:rFonts w:ascii="宋体" w:hAnsi="宋体" w:cs="宋体"/>
                <w:szCs w:val="22"/>
              </w:rPr>
              <w:t xml:space="preserve">的响应内容全部优于招标文件要求的</w:t>
            </w:r>
            <w:r>
              <w:rPr>
                <w:rFonts w:hint="eastAsia" w:ascii="宋体" w:hAnsi="宋体" w:cs="宋体"/>
                <w:szCs w:val="22"/>
              </w:rPr>
              <w:t xml:space="preserve">（前提是投标文件对“数据迁移方案”中除“迁移方案”外其他要求响应内容符合招标文件要求）</w:t>
            </w:r>
            <w:r>
              <w:rPr>
                <w:rFonts w:ascii="宋体" w:hAnsi="宋体" w:cs="宋体"/>
                <w:szCs w:val="22"/>
              </w:rPr>
              <w:t xml:space="preserve">，本项得</w:t>
            </w:r>
            <w:r>
              <w:rPr>
                <w:rFonts w:ascii="Calibri" w:hAnsi="Calibri" w:cs="Calibri"/>
                <w:szCs w:val="22"/>
              </w:rPr>
              <w:t xml:space="preserve">5</w:t>
            </w:r>
            <w:r>
              <w:rPr>
                <w:rFonts w:ascii="宋体" w:hAnsi="宋体" w:cs="宋体"/>
                <w:szCs w:val="22"/>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ascii="宋体" w:hAnsi="宋体" w:cs="宋体"/>
                <w:szCs w:val="22"/>
              </w:rPr>
              <w:t xml:space="preserve">5</w:t>
            </w:r>
            <w:r>
              <w:rPr>
                <w:rFonts w:ascii="宋体" w:hAnsi="宋体"/>
              </w:rPr>
            </w:r>
            <w:r/>
          </w:p>
        </w:tc>
      </w:tr>
      <w:tr>
        <w:trPr>
          <w:cantSplit/>
          <w:trHeight w:val="284"/>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48"/>
              <w:rPr>
                <w:rFonts w:ascii="宋体" w:hAnsi="宋体"/>
              </w:rPr>
            </w:pPr>
            <w:r>
              <w:rPr>
                <w:rFonts w:ascii="宋体" w:hAnsi="宋体" w:cs="宋体"/>
                <w:szCs w:val="22"/>
              </w:rPr>
              <w:t xml:space="preserve">2.6</w:t>
            </w:r>
            <w:r>
              <w:rPr>
                <w:rFonts w:ascii="宋体" w:hAnsi="宋体"/>
              </w:rPr>
            </w:r>
            <w:r/>
          </w:p>
        </w:tc>
        <w:tc>
          <w:tcPr>
            <w:tcBorders>
              <w:left w:val="single" w:color="000000" w:sz="4" w:space="0"/>
              <w:right w:val="single" w:color="000000" w:sz="4" w:space="0"/>
            </w:tcBorders>
            <w:tcW w:w="1134" w:type="dxa"/>
            <w:vAlign w:val="center"/>
            <w:vMerge w:val="continue"/>
            <w:textDirection w:val="lrTb"/>
            <w:noWrap w:val="false"/>
          </w:tcPr>
          <w:p>
            <w:pPr>
              <w:pStyle w:val="74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pStyle w:val="748"/>
              <w:ind w:firstLine="420"/>
              <w:rPr>
                <w:rFonts w:ascii="宋体" w:hAnsi="宋体" w:cs="宋体"/>
                <w:szCs w:val="22"/>
              </w:rPr>
            </w:pPr>
            <w:r>
              <w:rPr>
                <w:rFonts w:ascii="宋体" w:hAnsi="宋体" w:cs="宋体"/>
                <w:szCs w:val="22"/>
              </w:rPr>
              <w:t xml:space="preserve">评委根据投标文件对招标文件第四章“采购需求”中“</w:t>
            </w:r>
            <w:bookmarkStart w:id="242" w:name="OLE_LINK46"/>
            <w:r/>
            <w:bookmarkStart w:id="243" w:name="OLE_LINK47"/>
            <w:r>
              <w:rPr>
                <w:rFonts w:ascii="宋体" w:hAnsi="宋体" w:cs="宋体"/>
                <w:szCs w:val="22"/>
              </w:rPr>
              <w:t xml:space="preserve">项目实施方案</w:t>
            </w:r>
            <w:bookmarkEnd w:id="242"/>
            <w:r/>
            <w:bookmarkEnd w:id="243"/>
            <w:r>
              <w:rPr>
                <w:rFonts w:ascii="宋体" w:hAnsi="宋体" w:cs="宋体"/>
                <w:szCs w:val="22"/>
              </w:rPr>
              <w:t xml:space="preserve">”要求的响应情况进行评审：</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1</w:t>
            </w:r>
            <w:r>
              <w:rPr>
                <w:rFonts w:ascii="宋体" w:hAnsi="宋体" w:cs="宋体"/>
                <w:szCs w:val="22"/>
              </w:rPr>
              <w:t xml:space="preserve">）投标文件未符合“项目实施方案”中全部条款要求的，视为不符合招标文件，本项得</w:t>
            </w:r>
            <w:r>
              <w:rPr>
                <w:rFonts w:ascii="Calibri" w:hAnsi="Calibri" w:cs="Calibri"/>
                <w:szCs w:val="22"/>
              </w:rPr>
              <w:t xml:space="preserve">0</w:t>
            </w:r>
            <w:r>
              <w:rPr>
                <w:rFonts w:ascii="宋体" w:hAnsi="宋体" w:cs="宋体"/>
                <w:szCs w:val="22"/>
              </w:rPr>
              <w:t xml:space="preserve">分。</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2</w:t>
            </w:r>
            <w:r>
              <w:rPr>
                <w:rFonts w:ascii="宋体" w:hAnsi="宋体" w:cs="宋体"/>
                <w:szCs w:val="22"/>
              </w:rPr>
              <w:t xml:space="preserve">）投标文件符合“项目实施方案”中全部条款要求的，视为符合招标文件，本项得</w:t>
            </w:r>
            <w:r>
              <w:rPr>
                <w:rFonts w:ascii="Calibri" w:hAnsi="Calibri" w:cs="Calibri"/>
                <w:szCs w:val="22"/>
              </w:rPr>
              <w:t xml:space="preserve">3</w:t>
            </w:r>
            <w:r>
              <w:rPr>
                <w:rFonts w:ascii="宋体" w:hAnsi="宋体" w:cs="宋体"/>
                <w:szCs w:val="22"/>
              </w:rPr>
              <w:t xml:space="preserve">分。</w:t>
            </w:r>
            <w:r/>
          </w:p>
          <w:p>
            <w:pPr>
              <w:pStyle w:val="748"/>
              <w:ind w:firstLine="420"/>
              <w:rPr>
                <w:rFonts w:ascii="宋体" w:hAnsi="宋体"/>
              </w:rPr>
            </w:pPr>
            <w:r>
              <w:rPr>
                <w:rFonts w:ascii="宋体" w:hAnsi="宋体" w:cs="宋体"/>
                <w:szCs w:val="22"/>
              </w:rPr>
              <w:t xml:space="preserve">（</w:t>
            </w:r>
            <w:r>
              <w:rPr>
                <w:rFonts w:ascii="Calibri" w:hAnsi="Calibri" w:cs="Calibri"/>
                <w:szCs w:val="22"/>
              </w:rPr>
              <w:t xml:space="preserve">3</w:t>
            </w:r>
            <w:r>
              <w:rPr>
                <w:rFonts w:ascii="宋体" w:hAnsi="宋体" w:cs="宋体"/>
                <w:szCs w:val="22"/>
              </w:rPr>
              <w:t xml:space="preserve">）投标文件对“项目实施方案”中“组织管理、项目计划”</w:t>
            </w:r>
            <w:r>
              <w:rPr>
                <w:rFonts w:hint="eastAsia" w:ascii="宋体" w:hAnsi="宋体" w:cs="宋体"/>
                <w:szCs w:val="22"/>
              </w:rPr>
              <w:t xml:space="preserve">2项</w:t>
            </w:r>
            <w:r>
              <w:rPr>
                <w:rFonts w:ascii="宋体" w:hAnsi="宋体" w:cs="宋体"/>
                <w:szCs w:val="22"/>
              </w:rPr>
              <w:t xml:space="preserve">要求的响应内容全部优于招标文件要求的</w:t>
            </w:r>
            <w:r>
              <w:rPr>
                <w:rFonts w:hint="eastAsia" w:ascii="宋体" w:hAnsi="宋体" w:cs="宋体"/>
                <w:szCs w:val="22"/>
              </w:rPr>
              <w:t xml:space="preserve">（前提是投标文件对“项目实施方案”中除“</w:t>
            </w:r>
            <w:r>
              <w:rPr>
                <w:rFonts w:ascii="宋体" w:hAnsi="宋体" w:cs="宋体"/>
                <w:szCs w:val="22"/>
              </w:rPr>
              <w:t xml:space="preserve">组织管理、项目计划</w:t>
            </w:r>
            <w:r>
              <w:rPr>
                <w:rFonts w:hint="eastAsia" w:ascii="宋体" w:hAnsi="宋体" w:cs="宋体"/>
                <w:szCs w:val="22"/>
              </w:rPr>
              <w:t xml:space="preserve">”外其他要求响应内容符合招标文件要求）</w:t>
            </w:r>
            <w:r>
              <w:rPr>
                <w:rFonts w:ascii="宋体" w:hAnsi="宋体" w:cs="宋体"/>
                <w:szCs w:val="22"/>
              </w:rPr>
              <w:t xml:space="preserve">，本项得</w:t>
            </w:r>
            <w:r>
              <w:rPr>
                <w:rFonts w:ascii="Calibri" w:hAnsi="Calibri" w:cs="Calibri"/>
                <w:szCs w:val="22"/>
              </w:rPr>
              <w:t xml:space="preserve">5</w:t>
            </w:r>
            <w:r>
              <w:rPr>
                <w:rFonts w:ascii="宋体" w:hAnsi="宋体" w:cs="宋体"/>
                <w:szCs w:val="22"/>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ascii="宋体" w:hAnsi="宋体" w:cs="宋体"/>
                <w:szCs w:val="22"/>
              </w:rPr>
              <w:t xml:space="preserve">5</w:t>
            </w:r>
            <w:r>
              <w:rPr>
                <w:rFonts w:ascii="宋体" w:hAnsi="宋体"/>
              </w:rPr>
            </w:r>
            <w:r/>
          </w:p>
        </w:tc>
      </w:tr>
      <w:tr>
        <w:trPr>
          <w:cantSplit/>
          <w:trHeight w:val="284"/>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48"/>
              <w:rPr>
                <w:rFonts w:ascii="宋体" w:hAnsi="宋体"/>
              </w:rPr>
            </w:pPr>
            <w:r>
              <w:rPr>
                <w:rFonts w:ascii="宋体" w:hAnsi="宋体" w:cs="宋体"/>
                <w:szCs w:val="22"/>
              </w:rPr>
              <w:t xml:space="preserve">2.7</w:t>
            </w:r>
            <w:r>
              <w:rPr>
                <w:rFonts w:ascii="宋体" w:hAnsi="宋体"/>
              </w:rPr>
            </w:r>
            <w:r/>
          </w:p>
        </w:tc>
        <w:tc>
          <w:tcPr>
            <w:tcBorders>
              <w:left w:val="single" w:color="000000" w:sz="4" w:space="0"/>
              <w:right w:val="single" w:color="000000" w:sz="4" w:space="0"/>
            </w:tcBorders>
            <w:tcW w:w="1134" w:type="dxa"/>
            <w:vAlign w:val="center"/>
            <w:vMerge w:val="continue"/>
            <w:textDirection w:val="lrTb"/>
            <w:noWrap w:val="false"/>
          </w:tcPr>
          <w:p>
            <w:pPr>
              <w:pStyle w:val="74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pStyle w:val="748"/>
              <w:ind w:firstLine="420"/>
              <w:rPr>
                <w:rFonts w:ascii="宋体" w:hAnsi="宋体" w:cs="宋体"/>
                <w:szCs w:val="22"/>
              </w:rPr>
            </w:pPr>
            <w:r>
              <w:rPr>
                <w:rFonts w:ascii="宋体" w:hAnsi="宋体" w:cs="宋体"/>
                <w:szCs w:val="22"/>
              </w:rPr>
              <w:t xml:space="preserve">评委根据投标文件对招标文件第四章“采购需求”中“</w:t>
            </w:r>
            <w:bookmarkStart w:id="244" w:name="OLE_LINK44"/>
            <w:r/>
            <w:bookmarkStart w:id="245" w:name="OLE_LINK45"/>
            <w:r>
              <w:rPr>
                <w:rFonts w:ascii="宋体" w:hAnsi="宋体" w:cs="宋体"/>
                <w:szCs w:val="22"/>
              </w:rPr>
              <w:t xml:space="preserve">售后服务方案</w:t>
            </w:r>
            <w:bookmarkEnd w:id="244"/>
            <w:r/>
            <w:bookmarkEnd w:id="245"/>
            <w:r>
              <w:rPr>
                <w:rFonts w:ascii="宋体" w:hAnsi="宋体" w:cs="宋体"/>
                <w:szCs w:val="22"/>
              </w:rPr>
              <w:t xml:space="preserve">”要求的响应情况进行评审：</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1</w:t>
            </w:r>
            <w:r>
              <w:rPr>
                <w:rFonts w:ascii="宋体" w:hAnsi="宋体" w:cs="宋体"/>
                <w:szCs w:val="22"/>
              </w:rPr>
              <w:t xml:space="preserve">）投标文件未符合“售后服务方案”中全部条款要求的，视为不符合招标文件，本项得</w:t>
            </w:r>
            <w:r>
              <w:rPr>
                <w:rFonts w:ascii="Calibri" w:hAnsi="Calibri" w:cs="Calibri"/>
                <w:szCs w:val="22"/>
              </w:rPr>
              <w:t xml:space="preserve">0</w:t>
            </w:r>
            <w:r>
              <w:rPr>
                <w:rFonts w:ascii="宋体" w:hAnsi="宋体" w:cs="宋体"/>
                <w:szCs w:val="22"/>
              </w:rPr>
              <w:t xml:space="preserve">分。</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2</w:t>
            </w:r>
            <w:r>
              <w:rPr>
                <w:rFonts w:ascii="宋体" w:hAnsi="宋体" w:cs="宋体"/>
                <w:szCs w:val="22"/>
              </w:rPr>
              <w:t xml:space="preserve">）投标文件符合“售后服务方案”中全部条款要求的，视为符合招标文件，本项得</w:t>
            </w:r>
            <w:r>
              <w:rPr>
                <w:rFonts w:ascii="Calibri" w:hAnsi="Calibri" w:cs="Calibri"/>
                <w:szCs w:val="22"/>
              </w:rPr>
              <w:t xml:space="preserve">3</w:t>
            </w:r>
            <w:r>
              <w:rPr>
                <w:rFonts w:ascii="宋体" w:hAnsi="宋体" w:cs="宋体"/>
                <w:szCs w:val="22"/>
              </w:rPr>
              <w:t xml:space="preserve">分。</w:t>
            </w:r>
            <w:r/>
          </w:p>
          <w:p>
            <w:pPr>
              <w:pStyle w:val="748"/>
              <w:ind w:firstLine="420"/>
              <w:rPr>
                <w:rFonts w:ascii="宋体" w:hAnsi="宋体"/>
              </w:rPr>
            </w:pPr>
            <w:r>
              <w:rPr>
                <w:rFonts w:ascii="宋体" w:hAnsi="宋体" w:cs="宋体"/>
                <w:szCs w:val="22"/>
              </w:rPr>
              <w:t xml:space="preserve">（</w:t>
            </w:r>
            <w:r>
              <w:rPr>
                <w:rFonts w:ascii="Calibri" w:hAnsi="Calibri" w:cs="Calibri"/>
                <w:szCs w:val="22"/>
              </w:rPr>
              <w:t xml:space="preserve">3</w:t>
            </w:r>
            <w:r>
              <w:rPr>
                <w:rFonts w:ascii="宋体" w:hAnsi="宋体" w:cs="宋体"/>
                <w:szCs w:val="22"/>
              </w:rPr>
              <w:t xml:space="preserve">）投标文件对“售后服务方案”中“</w:t>
            </w:r>
            <w:r>
              <w:rPr>
                <w:rFonts w:hint="eastAsia" w:ascii="宋体" w:hAnsi="宋体" w:cs="宋体"/>
                <w:szCs w:val="22"/>
              </w:rPr>
              <w:t xml:space="preserve">服务范围</w:t>
            </w:r>
            <w:r>
              <w:rPr>
                <w:rFonts w:ascii="宋体" w:hAnsi="宋体" w:cs="宋体"/>
                <w:szCs w:val="22"/>
              </w:rPr>
              <w:t xml:space="preserve">”要求的响应内容全部优于招标文件要求的</w:t>
            </w:r>
            <w:r>
              <w:rPr>
                <w:rFonts w:hint="eastAsia" w:ascii="宋体" w:hAnsi="宋体" w:cs="宋体"/>
                <w:szCs w:val="22"/>
              </w:rPr>
              <w:t xml:space="preserve">（前提是投标文件对“售后服务方案”中除“服务范围”外其他要求响应内容符合招标文件要求）</w:t>
            </w:r>
            <w:r>
              <w:rPr>
                <w:rFonts w:ascii="宋体" w:hAnsi="宋体" w:cs="宋体"/>
                <w:szCs w:val="22"/>
              </w:rPr>
              <w:t xml:space="preserve">，本项得</w:t>
            </w:r>
            <w:r>
              <w:rPr>
                <w:rFonts w:ascii="Calibri" w:hAnsi="Calibri" w:cs="Calibri"/>
                <w:szCs w:val="22"/>
              </w:rPr>
              <w:t xml:space="preserve">5</w:t>
            </w:r>
            <w:r>
              <w:rPr>
                <w:rFonts w:ascii="宋体" w:hAnsi="宋体" w:cs="宋体"/>
                <w:szCs w:val="22"/>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ascii="宋体" w:hAnsi="宋体" w:cs="宋体"/>
                <w:szCs w:val="22"/>
              </w:rPr>
              <w:t xml:space="preserve">5</w:t>
            </w:r>
            <w:r>
              <w:rPr>
                <w:rFonts w:ascii="宋体" w:hAnsi="宋体"/>
              </w:rPr>
            </w:r>
            <w:r/>
          </w:p>
        </w:tc>
      </w:tr>
      <w:tr>
        <w:trPr>
          <w:cantSplit/>
          <w:trHeight w:val="726"/>
          <w:tblHeader/>
        </w:trPr>
        <w:tc>
          <w:tcPr>
            <w:tcBorders>
              <w:top w:val="single" w:color="000000" w:sz="4" w:space="0"/>
              <w:left w:val="single" w:color="000000" w:sz="4" w:space="0"/>
              <w:right w:val="single" w:color="000000" w:sz="4" w:space="0"/>
            </w:tcBorders>
            <w:tcW w:w="662" w:type="dxa"/>
            <w:vAlign w:val="center"/>
            <w:textDirection w:val="lrTb"/>
            <w:noWrap w:val="false"/>
          </w:tcPr>
          <w:p>
            <w:pPr>
              <w:pStyle w:val="748"/>
              <w:rPr>
                <w:rFonts w:ascii="宋体" w:hAnsi="宋体"/>
              </w:rPr>
            </w:pPr>
            <w:r>
              <w:rPr>
                <w:rFonts w:ascii="宋体" w:hAnsi="宋体" w:cs="宋体"/>
                <w:szCs w:val="22"/>
              </w:rPr>
              <w:t xml:space="preserve">2.8</w:t>
            </w:r>
            <w:r>
              <w:rPr>
                <w:rFonts w:ascii="宋体" w:hAnsi="宋体"/>
              </w:rPr>
            </w:r>
            <w:r/>
          </w:p>
        </w:tc>
        <w:tc>
          <w:tcPr>
            <w:tcBorders>
              <w:top w:val="single" w:color="000000" w:sz="4" w:space="0"/>
              <w:left w:val="single" w:color="000000" w:sz="4" w:space="0"/>
              <w:right w:val="single" w:color="000000" w:sz="4" w:space="0"/>
            </w:tcBorders>
            <w:tcW w:w="1134" w:type="dxa"/>
            <w:vAlign w:val="center"/>
            <w:vMerge w:val="restart"/>
            <w:textDirection w:val="lrTb"/>
            <w:noWrap w:val="false"/>
          </w:tcPr>
          <w:p>
            <w:pPr>
              <w:pStyle w:val="748"/>
              <w:rPr>
                <w:rFonts w:ascii="宋体" w:hAnsi="宋体"/>
              </w:rPr>
            </w:pPr>
            <w:r>
              <w:rPr>
                <w:rFonts w:ascii="宋体" w:hAnsi="宋体" w:cs="宋体"/>
                <w:szCs w:val="22"/>
              </w:rPr>
              <w:t xml:space="preserve"> </w:t>
            </w:r>
            <w:r>
              <w:rPr>
                <w:rFonts w:ascii="宋体" w:hAnsi="宋体"/>
              </w:rPr>
            </w:r>
            <w:r/>
          </w:p>
          <w:p>
            <w:pPr>
              <w:pStyle w:val="748"/>
              <w:rPr>
                <w:rFonts w:ascii="宋体" w:hAnsi="宋体"/>
              </w:rPr>
            </w:pPr>
            <w:r>
              <w:rPr>
                <w:rFonts w:ascii="宋体" w:hAnsi="宋体" w:cs="宋体"/>
                <w:szCs w:val="22"/>
              </w:rPr>
              <w:t xml:space="preserve"> </w:t>
            </w:r>
            <w:r>
              <w:rPr>
                <w:rFonts w:ascii="宋体" w:hAnsi="宋体"/>
              </w:rPr>
            </w:r>
            <w:r/>
          </w:p>
          <w:p>
            <w:pPr>
              <w:pStyle w:val="748"/>
              <w:rPr>
                <w:rFonts w:ascii="宋体" w:hAnsi="宋体"/>
              </w:rPr>
            </w:pPr>
            <w:r>
              <w:rPr>
                <w:rFonts w:ascii="宋体" w:hAnsi="宋体" w:cs="宋体"/>
                <w:szCs w:val="22"/>
              </w:rPr>
              <w:t xml:space="preserve"> </w:t>
            </w:r>
            <w:r>
              <w:rPr>
                <w:rFonts w:ascii="宋体" w:hAnsi="宋体"/>
              </w:rPr>
            </w:r>
            <w:r/>
          </w:p>
          <w:p>
            <w:pPr>
              <w:pStyle w:val="748"/>
              <w:rPr>
                <w:rFonts w:ascii="宋体" w:hAnsi="宋体"/>
              </w:rPr>
            </w:pPr>
            <w:r>
              <w:rPr>
                <w:rFonts w:ascii="宋体" w:hAnsi="宋体" w:cs="宋体"/>
                <w:szCs w:val="22"/>
              </w:rPr>
              <w:t xml:space="preserve"> </w:t>
            </w:r>
            <w:r>
              <w:rPr>
                <w:rFonts w:ascii="宋体" w:hAnsi="宋体"/>
              </w:rPr>
            </w:r>
            <w:r/>
          </w:p>
          <w:p>
            <w:pPr>
              <w:pStyle w:val="748"/>
              <w:rPr>
                <w:rFonts w:ascii="宋体" w:hAnsi="宋体"/>
              </w:rPr>
            </w:pPr>
            <w:r>
              <w:rPr>
                <w:rFonts w:ascii="宋体" w:hAnsi="宋体" w:cs="宋体"/>
                <w:szCs w:val="22"/>
              </w:rPr>
              <w:t xml:space="preserve"> </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top"/>
            <w:textDirection w:val="lrTb"/>
            <w:noWrap w:val="false"/>
          </w:tcPr>
          <w:p>
            <w:pPr>
              <w:pStyle w:val="748"/>
              <w:ind w:firstLine="420"/>
              <w:rPr>
                <w:rFonts w:ascii="宋体" w:hAnsi="宋体" w:cs="宋体"/>
                <w:szCs w:val="22"/>
              </w:rPr>
            </w:pPr>
            <w:r>
              <w:rPr>
                <w:rFonts w:ascii="宋体" w:hAnsi="宋体" w:cs="宋体"/>
                <w:szCs w:val="22"/>
              </w:rPr>
              <w:t xml:space="preserve">评委根据投标文件对招标文件第四章“采购需求”中“</w:t>
            </w:r>
            <w:bookmarkStart w:id="246" w:name="OLE_LINK42"/>
            <w:r/>
            <w:bookmarkStart w:id="247" w:name="OLE_LINK43"/>
            <w:r>
              <w:rPr>
                <w:rFonts w:ascii="宋体" w:hAnsi="宋体" w:cs="宋体"/>
                <w:szCs w:val="22"/>
              </w:rPr>
              <w:t xml:space="preserve">人员管理方案</w:t>
            </w:r>
            <w:bookmarkEnd w:id="246"/>
            <w:r/>
            <w:bookmarkEnd w:id="247"/>
            <w:r>
              <w:rPr>
                <w:rFonts w:ascii="宋体" w:hAnsi="宋体" w:cs="宋体"/>
                <w:szCs w:val="22"/>
              </w:rPr>
              <w:t xml:space="preserve">”要求的响应情况进行评审：</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1</w:t>
            </w:r>
            <w:r>
              <w:rPr>
                <w:rFonts w:ascii="宋体" w:hAnsi="宋体" w:cs="宋体"/>
                <w:szCs w:val="22"/>
              </w:rPr>
              <w:t xml:space="preserve">）投标文件未符合“人员管理方案”中全部条款要求的，视为不符合招标文件，本项得</w:t>
            </w:r>
            <w:r>
              <w:rPr>
                <w:rFonts w:ascii="Calibri" w:hAnsi="Calibri" w:cs="Calibri"/>
                <w:szCs w:val="22"/>
              </w:rPr>
              <w:t xml:space="preserve">0</w:t>
            </w:r>
            <w:r>
              <w:rPr>
                <w:rFonts w:ascii="宋体" w:hAnsi="宋体" w:cs="宋体"/>
                <w:szCs w:val="22"/>
              </w:rPr>
              <w:t xml:space="preserve">分。</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2</w:t>
            </w:r>
            <w:r>
              <w:rPr>
                <w:rFonts w:ascii="宋体" w:hAnsi="宋体" w:cs="宋体"/>
                <w:szCs w:val="22"/>
              </w:rPr>
              <w:t xml:space="preserve">）投标文件符合“人员管理方案”中全部条款要求的，视为符合招标文件，本项得</w:t>
            </w:r>
            <w:r>
              <w:rPr>
                <w:rFonts w:ascii="Calibri" w:hAnsi="Calibri" w:cs="Calibri"/>
                <w:szCs w:val="22"/>
              </w:rPr>
              <w:t xml:space="preserve">3</w:t>
            </w:r>
            <w:r>
              <w:rPr>
                <w:rFonts w:ascii="宋体" w:hAnsi="宋体" w:cs="宋体"/>
                <w:szCs w:val="22"/>
              </w:rPr>
              <w:t xml:space="preserve">分。</w:t>
            </w:r>
            <w:r/>
          </w:p>
          <w:p>
            <w:pPr>
              <w:pStyle w:val="748"/>
              <w:ind w:firstLine="420"/>
              <w:rPr>
                <w:rFonts w:ascii="宋体" w:hAnsi="宋体"/>
              </w:rPr>
            </w:pPr>
            <w:r>
              <w:rPr>
                <w:rFonts w:ascii="宋体" w:hAnsi="宋体" w:cs="宋体"/>
                <w:szCs w:val="22"/>
              </w:rPr>
              <w:t xml:space="preserve">（</w:t>
            </w:r>
            <w:r>
              <w:rPr>
                <w:rFonts w:ascii="Calibri" w:hAnsi="Calibri" w:cs="Calibri"/>
                <w:szCs w:val="22"/>
              </w:rPr>
              <w:t xml:space="preserve">3</w:t>
            </w:r>
            <w:r>
              <w:rPr>
                <w:rFonts w:ascii="宋体" w:hAnsi="宋体" w:cs="宋体"/>
                <w:szCs w:val="22"/>
              </w:rPr>
              <w:t xml:space="preserve">）投标文件对“人员管理方案”中“</w:t>
            </w:r>
            <w:r>
              <w:rPr>
                <w:rFonts w:hint="eastAsia" w:ascii="宋体" w:hAnsi="宋体" w:cs="宋体"/>
                <w:szCs w:val="22"/>
              </w:rPr>
              <w:t xml:space="preserve">人员管理</w:t>
            </w:r>
            <w:r>
              <w:rPr>
                <w:rFonts w:ascii="宋体" w:hAnsi="宋体" w:cs="宋体"/>
                <w:szCs w:val="22"/>
              </w:rPr>
              <w:t xml:space="preserve">”要求全部优于招标文件要求的</w:t>
            </w:r>
            <w:r>
              <w:rPr>
                <w:rFonts w:hint="eastAsia" w:ascii="宋体" w:hAnsi="宋体" w:cs="宋体"/>
                <w:szCs w:val="22"/>
              </w:rPr>
              <w:t xml:space="preserve">（前提是投标文件对“人员管理方案”中除“人员管理”外其他要求响应内容符合招标文件要求）</w:t>
            </w:r>
            <w:r>
              <w:rPr>
                <w:rFonts w:ascii="宋体" w:hAnsi="宋体" w:cs="宋体"/>
                <w:szCs w:val="22"/>
              </w:rPr>
              <w:t xml:space="preserve">，本项得</w:t>
            </w:r>
            <w:r>
              <w:rPr>
                <w:rFonts w:ascii="Calibri" w:hAnsi="Calibri" w:cs="Calibri"/>
                <w:szCs w:val="22"/>
              </w:rPr>
              <w:t xml:space="preserve">5</w:t>
            </w:r>
            <w:r>
              <w:rPr>
                <w:rFonts w:ascii="宋体" w:hAnsi="宋体" w:cs="宋体"/>
                <w:szCs w:val="22"/>
              </w:rPr>
              <w:t xml:space="preserve">分。</w:t>
            </w:r>
            <w:r>
              <w:rPr>
                <w:rFonts w:ascii="宋体" w:hAnsi="宋体"/>
              </w:rPr>
            </w:r>
            <w:r/>
          </w:p>
        </w:tc>
        <w:tc>
          <w:tcPr>
            <w:tcBorders>
              <w:top w:val="single" w:color="000000" w:sz="4" w:space="0"/>
              <w:left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ascii="宋体" w:hAnsi="宋体" w:cs="宋体"/>
                <w:szCs w:val="22"/>
              </w:rPr>
              <w:t xml:space="preserve">5</w:t>
            </w:r>
            <w:r>
              <w:rPr>
                <w:rFonts w:ascii="宋体" w:hAnsi="宋体"/>
              </w:rPr>
            </w:r>
            <w:r/>
          </w:p>
        </w:tc>
      </w:tr>
      <w:tr>
        <w:trPr>
          <w:cantSplit/>
          <w:trHeight w:val="726"/>
          <w:tblHeader/>
        </w:trPr>
        <w:tc>
          <w:tcPr>
            <w:tcBorders>
              <w:top w:val="single" w:color="000000" w:sz="4" w:space="0"/>
              <w:left w:val="single" w:color="000000" w:sz="4" w:space="0"/>
              <w:right w:val="single" w:color="000000" w:sz="4" w:space="0"/>
            </w:tcBorders>
            <w:tcW w:w="662" w:type="dxa"/>
            <w:vAlign w:val="center"/>
            <w:textDirection w:val="lrTb"/>
            <w:noWrap w:val="false"/>
          </w:tcPr>
          <w:p>
            <w:pPr>
              <w:pStyle w:val="748"/>
              <w:rPr>
                <w:rFonts w:ascii="宋体" w:hAnsi="宋体"/>
              </w:rPr>
            </w:pPr>
            <w:r>
              <w:rPr>
                <w:rFonts w:ascii="宋体" w:hAnsi="宋体" w:cs="宋体"/>
                <w:szCs w:val="22"/>
              </w:rPr>
              <w:t xml:space="preserve">2.9</w:t>
            </w:r>
            <w:r>
              <w:rPr>
                <w:rFonts w:ascii="宋体" w:hAnsi="宋体"/>
              </w:rPr>
            </w:r>
            <w:r/>
          </w:p>
        </w:tc>
        <w:tc>
          <w:tcPr>
            <w:tcBorders>
              <w:left w:val="single" w:color="000000" w:sz="4" w:space="0"/>
              <w:right w:val="single" w:color="000000" w:sz="4" w:space="0"/>
            </w:tcBorders>
            <w:tcW w:w="1134" w:type="dxa"/>
            <w:vAlign w:val="center"/>
            <w:vMerge w:val="continue"/>
            <w:textDirection w:val="lrTb"/>
            <w:noWrap w:val="false"/>
          </w:tcPr>
          <w:p>
            <w:pPr>
              <w:pStyle w:val="74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top"/>
            <w:textDirection w:val="lrTb"/>
            <w:noWrap w:val="false"/>
          </w:tcPr>
          <w:p>
            <w:pPr>
              <w:pStyle w:val="748"/>
              <w:ind w:firstLine="420"/>
              <w:rPr>
                <w:rFonts w:ascii="宋体" w:hAnsi="宋体" w:cs="宋体"/>
                <w:szCs w:val="22"/>
              </w:rPr>
            </w:pPr>
            <w:r>
              <w:rPr>
                <w:rFonts w:ascii="宋体" w:hAnsi="宋体" w:cs="宋体"/>
                <w:szCs w:val="22"/>
              </w:rPr>
              <w:t xml:space="preserve">评委根据投标文件对招标文件第四章“采购需求”中“培训方案”要求的响应情况进行评审：</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1</w:t>
            </w:r>
            <w:r>
              <w:rPr>
                <w:rFonts w:ascii="宋体" w:hAnsi="宋体" w:cs="宋体"/>
                <w:szCs w:val="22"/>
              </w:rPr>
              <w:t xml:space="preserve">）投标文件未符合“培训方案”中全部条款要求的，视为不符合招标文件，本项得</w:t>
            </w:r>
            <w:r>
              <w:rPr>
                <w:rFonts w:ascii="Calibri" w:hAnsi="Calibri" w:cs="Calibri"/>
                <w:szCs w:val="22"/>
              </w:rPr>
              <w:t xml:space="preserve">0</w:t>
            </w:r>
            <w:r>
              <w:rPr>
                <w:rFonts w:ascii="宋体" w:hAnsi="宋体" w:cs="宋体"/>
                <w:szCs w:val="22"/>
              </w:rPr>
              <w:t xml:space="preserve">分。</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2</w:t>
            </w:r>
            <w:r>
              <w:rPr>
                <w:rFonts w:ascii="宋体" w:hAnsi="宋体" w:cs="宋体"/>
                <w:szCs w:val="22"/>
              </w:rPr>
              <w:t xml:space="preserve">）投标文件符合“培训方案”中全部条款要求的，视为符合招标文件，本项得</w:t>
            </w:r>
            <w:r>
              <w:rPr>
                <w:rFonts w:ascii="Calibri" w:hAnsi="Calibri" w:cs="Calibri"/>
                <w:szCs w:val="22"/>
              </w:rPr>
              <w:t xml:space="preserve">3</w:t>
            </w:r>
            <w:r>
              <w:rPr>
                <w:rFonts w:ascii="宋体" w:hAnsi="宋体" w:cs="宋体"/>
                <w:szCs w:val="22"/>
              </w:rPr>
              <w:t xml:space="preserve">分。</w:t>
            </w:r>
            <w:r/>
          </w:p>
          <w:p>
            <w:pPr>
              <w:pStyle w:val="748"/>
              <w:ind w:firstLine="420"/>
              <w:rPr>
                <w:rFonts w:ascii="宋体" w:hAnsi="宋体"/>
              </w:rPr>
            </w:pPr>
            <w:r>
              <w:rPr>
                <w:rFonts w:ascii="宋体" w:hAnsi="宋体" w:cs="宋体"/>
                <w:szCs w:val="22"/>
              </w:rPr>
              <w:t xml:space="preserve">（</w:t>
            </w:r>
            <w:r>
              <w:rPr>
                <w:rFonts w:ascii="Calibri" w:hAnsi="Calibri" w:cs="Calibri"/>
                <w:szCs w:val="22"/>
              </w:rPr>
              <w:t xml:space="preserve">3</w:t>
            </w:r>
            <w:r>
              <w:rPr>
                <w:rFonts w:ascii="宋体" w:hAnsi="宋体" w:cs="宋体"/>
                <w:szCs w:val="22"/>
              </w:rPr>
              <w:t xml:space="preserve">）投标文件对“培训方案”中“培训内容、培训</w:t>
            </w:r>
            <w:r>
              <w:rPr>
                <w:rFonts w:hint="eastAsia" w:ascii="宋体" w:hAnsi="宋体" w:cs="宋体"/>
                <w:szCs w:val="22"/>
              </w:rPr>
              <w:t xml:space="preserve">资料</w:t>
            </w:r>
            <w:r>
              <w:rPr>
                <w:rFonts w:ascii="宋体" w:hAnsi="宋体" w:cs="宋体"/>
                <w:szCs w:val="22"/>
              </w:rPr>
              <w:t xml:space="preserve">”</w:t>
            </w:r>
            <w:r>
              <w:rPr>
                <w:rFonts w:hint="eastAsia" w:ascii="宋体" w:hAnsi="宋体" w:cs="宋体"/>
                <w:szCs w:val="22"/>
              </w:rPr>
              <w:t xml:space="preserve">2项</w:t>
            </w:r>
            <w:r>
              <w:rPr>
                <w:rFonts w:ascii="宋体" w:hAnsi="宋体" w:cs="宋体"/>
                <w:szCs w:val="22"/>
              </w:rPr>
              <w:t xml:space="preserve">求的响应内容全部优于招标文件要求的</w:t>
            </w:r>
            <w:r>
              <w:rPr>
                <w:rFonts w:hint="eastAsia" w:ascii="宋体" w:hAnsi="宋体" w:cs="宋体"/>
                <w:szCs w:val="22"/>
              </w:rPr>
              <w:t xml:space="preserve">（前提是投标文件对“培训方案”中除“培训内容”、“培训计划”外其他要求响应内容符合招标文件要求）</w:t>
            </w:r>
            <w:r>
              <w:rPr>
                <w:rFonts w:ascii="宋体" w:hAnsi="宋体" w:cs="宋体"/>
                <w:szCs w:val="22"/>
              </w:rPr>
              <w:t xml:space="preserve">，本项得</w:t>
            </w:r>
            <w:r>
              <w:rPr>
                <w:rFonts w:ascii="Calibri" w:hAnsi="Calibri" w:cs="Calibri"/>
                <w:szCs w:val="22"/>
              </w:rPr>
              <w:t xml:space="preserve">5</w:t>
            </w:r>
            <w:r>
              <w:rPr>
                <w:rFonts w:ascii="宋体" w:hAnsi="宋体" w:cs="宋体"/>
                <w:szCs w:val="22"/>
              </w:rPr>
              <w:t xml:space="preserve">分。</w:t>
            </w:r>
            <w:r>
              <w:rPr>
                <w:rFonts w:ascii="宋体" w:hAnsi="宋体"/>
              </w:rPr>
            </w:r>
            <w:r/>
          </w:p>
        </w:tc>
        <w:tc>
          <w:tcPr>
            <w:tcBorders>
              <w:top w:val="single" w:color="000000" w:sz="4" w:space="0"/>
              <w:left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ascii="宋体" w:hAnsi="宋体" w:cs="宋体"/>
                <w:szCs w:val="22"/>
              </w:rPr>
              <w:t xml:space="preserve">5</w:t>
            </w:r>
            <w:r>
              <w:rPr>
                <w:rFonts w:ascii="宋体" w:hAnsi="宋体"/>
              </w:rPr>
            </w:r>
            <w:r/>
          </w:p>
        </w:tc>
      </w:tr>
      <w:tr>
        <w:trPr>
          <w:cantSplit/>
          <w:trHeight w:val="726"/>
          <w:tblHeader/>
        </w:trPr>
        <w:tc>
          <w:tcPr>
            <w:tcBorders>
              <w:top w:val="single" w:color="000000" w:sz="4" w:space="0"/>
              <w:left w:val="single" w:color="000000" w:sz="4" w:space="0"/>
              <w:right w:val="single" w:color="000000" w:sz="4" w:space="0"/>
            </w:tcBorders>
            <w:tcW w:w="662" w:type="dxa"/>
            <w:vAlign w:val="center"/>
            <w:textDirection w:val="lrTb"/>
            <w:noWrap w:val="false"/>
          </w:tcPr>
          <w:p>
            <w:pPr>
              <w:pStyle w:val="748"/>
              <w:rPr>
                <w:rFonts w:ascii="宋体" w:hAnsi="宋体"/>
              </w:rPr>
            </w:pPr>
            <w:r>
              <w:rPr>
                <w:rFonts w:ascii="宋体" w:hAnsi="宋体" w:cs="宋体"/>
                <w:szCs w:val="22"/>
              </w:rPr>
              <w:t xml:space="preserve">2.10</w:t>
            </w:r>
            <w:r>
              <w:rPr>
                <w:rFonts w:ascii="宋体" w:hAnsi="宋体"/>
              </w:rPr>
            </w:r>
            <w:r/>
          </w:p>
        </w:tc>
        <w:tc>
          <w:tcPr>
            <w:tcBorders>
              <w:left w:val="single" w:color="000000" w:sz="4" w:space="0"/>
              <w:right w:val="single" w:color="000000" w:sz="4" w:space="0"/>
            </w:tcBorders>
            <w:tcW w:w="1134" w:type="dxa"/>
            <w:vAlign w:val="center"/>
            <w:vMerge w:val="continue"/>
            <w:textDirection w:val="lrTb"/>
            <w:noWrap w:val="false"/>
          </w:tcPr>
          <w:p>
            <w:pPr>
              <w:pStyle w:val="74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top"/>
            <w:textDirection w:val="lrTb"/>
            <w:noWrap w:val="false"/>
          </w:tcPr>
          <w:p>
            <w:pPr>
              <w:pStyle w:val="748"/>
              <w:ind w:firstLine="420"/>
              <w:rPr>
                <w:rFonts w:ascii="宋体" w:hAnsi="宋体" w:cs="宋体"/>
                <w:szCs w:val="22"/>
              </w:rPr>
            </w:pPr>
            <w:r>
              <w:rPr>
                <w:rFonts w:ascii="宋体" w:hAnsi="宋体" w:cs="宋体"/>
                <w:szCs w:val="22"/>
              </w:rPr>
              <w:t xml:space="preserve">评委根据投标文件对招标文件第四章“采购需求”中“</w:t>
            </w:r>
            <w:bookmarkStart w:id="248" w:name="OLE_LINK41"/>
            <w:r>
              <w:rPr>
                <w:rFonts w:ascii="宋体" w:hAnsi="宋体" w:cs="宋体"/>
                <w:szCs w:val="22"/>
              </w:rPr>
              <w:t xml:space="preserve">保密方案</w:t>
            </w:r>
            <w:bookmarkEnd w:id="248"/>
            <w:r>
              <w:rPr>
                <w:rFonts w:ascii="宋体" w:hAnsi="宋体" w:cs="宋体"/>
                <w:szCs w:val="22"/>
              </w:rPr>
              <w:t xml:space="preserve">”要求的响应情况进行评审：</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1</w:t>
            </w:r>
            <w:r>
              <w:rPr>
                <w:rFonts w:ascii="宋体" w:hAnsi="宋体" w:cs="宋体"/>
                <w:szCs w:val="22"/>
              </w:rPr>
              <w:t xml:space="preserve">）投标文件未符合“保密方案”中全部条款要求的，视为不符合招标文件，本项得</w:t>
            </w:r>
            <w:r>
              <w:rPr>
                <w:rFonts w:ascii="Calibri" w:hAnsi="Calibri" w:cs="Calibri"/>
                <w:szCs w:val="22"/>
              </w:rPr>
              <w:t xml:space="preserve">0</w:t>
            </w:r>
            <w:r>
              <w:rPr>
                <w:rFonts w:ascii="宋体" w:hAnsi="宋体" w:cs="宋体"/>
                <w:szCs w:val="22"/>
              </w:rPr>
              <w:t xml:space="preserve">分。</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2</w:t>
            </w:r>
            <w:r>
              <w:rPr>
                <w:rFonts w:ascii="宋体" w:hAnsi="宋体" w:cs="宋体"/>
                <w:szCs w:val="22"/>
              </w:rPr>
              <w:t xml:space="preserve">）投标文件符合“保密方案”中全部条款要求的，视为符合招标文件，本项得</w:t>
            </w:r>
            <w:r>
              <w:rPr>
                <w:rFonts w:ascii="Calibri" w:hAnsi="Calibri" w:cs="Calibri"/>
                <w:szCs w:val="22"/>
              </w:rPr>
              <w:t xml:space="preserve">3</w:t>
            </w:r>
            <w:r>
              <w:rPr>
                <w:rFonts w:ascii="宋体" w:hAnsi="宋体" w:cs="宋体"/>
                <w:szCs w:val="22"/>
              </w:rPr>
              <w:t xml:space="preserve">分。</w:t>
            </w:r>
            <w:r/>
          </w:p>
          <w:p>
            <w:pPr>
              <w:pStyle w:val="748"/>
              <w:ind w:firstLine="420"/>
              <w:rPr>
                <w:rFonts w:ascii="宋体" w:hAnsi="宋体"/>
              </w:rPr>
            </w:pPr>
            <w:r>
              <w:rPr>
                <w:rFonts w:ascii="宋体" w:hAnsi="宋体" w:cs="宋体"/>
                <w:szCs w:val="22"/>
              </w:rPr>
              <w:t xml:space="preserve">（</w:t>
            </w:r>
            <w:r>
              <w:rPr>
                <w:rFonts w:ascii="Calibri" w:hAnsi="Calibri" w:cs="Calibri"/>
                <w:szCs w:val="22"/>
              </w:rPr>
              <w:t xml:space="preserve">3</w:t>
            </w:r>
            <w:r>
              <w:rPr>
                <w:rFonts w:ascii="宋体" w:hAnsi="宋体" w:cs="宋体"/>
                <w:szCs w:val="22"/>
              </w:rPr>
              <w:t xml:space="preserve">）投标文件对“保密方案”中“</w:t>
            </w:r>
            <w:r>
              <w:rPr>
                <w:rFonts w:hint="eastAsia" w:ascii="宋体" w:hAnsi="宋体" w:cs="宋体"/>
                <w:szCs w:val="22"/>
              </w:rPr>
              <w:t xml:space="preserve">资料保密、保密协议</w:t>
            </w:r>
            <w:r>
              <w:rPr>
                <w:rFonts w:ascii="宋体" w:hAnsi="宋体" w:cs="宋体"/>
                <w:szCs w:val="22"/>
              </w:rPr>
              <w:t xml:space="preserve">”要求的响应内容全部优于招标文件要求的</w:t>
            </w:r>
            <w:r>
              <w:rPr>
                <w:rFonts w:hint="eastAsia" w:ascii="宋体" w:hAnsi="宋体" w:cs="宋体"/>
                <w:szCs w:val="22"/>
              </w:rPr>
              <w:t xml:space="preserve">（前提是投标文件对“保密方案”中除“资料保密、保密协议”外其他要求响应内容符合招标文件要求）</w:t>
            </w:r>
            <w:r>
              <w:rPr>
                <w:rFonts w:ascii="宋体" w:hAnsi="宋体" w:cs="宋体"/>
                <w:szCs w:val="22"/>
              </w:rPr>
              <w:t xml:space="preserve">，本项得</w:t>
            </w:r>
            <w:r>
              <w:rPr>
                <w:rFonts w:ascii="Calibri" w:hAnsi="Calibri" w:cs="Calibri"/>
                <w:szCs w:val="22"/>
              </w:rPr>
              <w:t xml:space="preserve">5</w:t>
            </w:r>
            <w:r>
              <w:rPr>
                <w:rFonts w:ascii="宋体" w:hAnsi="宋体" w:cs="宋体"/>
                <w:szCs w:val="22"/>
              </w:rPr>
              <w:t xml:space="preserve">分。</w:t>
            </w:r>
            <w:r>
              <w:rPr>
                <w:rFonts w:ascii="宋体" w:hAnsi="宋体"/>
              </w:rPr>
            </w:r>
            <w:r/>
          </w:p>
        </w:tc>
        <w:tc>
          <w:tcPr>
            <w:tcBorders>
              <w:top w:val="single" w:color="000000" w:sz="4" w:space="0"/>
              <w:left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ascii="宋体" w:hAnsi="宋体" w:cs="宋体"/>
                <w:szCs w:val="22"/>
              </w:rPr>
              <w:t xml:space="preserve">5</w:t>
            </w:r>
            <w:r>
              <w:rPr>
                <w:rFonts w:ascii="宋体" w:hAnsi="宋体"/>
              </w:rPr>
            </w:r>
            <w:r/>
          </w:p>
        </w:tc>
      </w:tr>
      <w:tr>
        <w:trPr>
          <w:cantSplit/>
          <w:trHeight w:val="726"/>
          <w:tblHeader/>
        </w:trPr>
        <w:tc>
          <w:tcPr>
            <w:tcBorders>
              <w:top w:val="single" w:color="000000" w:sz="4" w:space="0"/>
              <w:left w:val="single" w:color="000000" w:sz="4" w:space="0"/>
              <w:right w:val="single" w:color="000000" w:sz="4" w:space="0"/>
            </w:tcBorders>
            <w:tcW w:w="662" w:type="dxa"/>
            <w:vAlign w:val="center"/>
            <w:textDirection w:val="lrTb"/>
            <w:noWrap w:val="false"/>
          </w:tcPr>
          <w:p>
            <w:pPr>
              <w:pStyle w:val="748"/>
              <w:rPr>
                <w:rFonts w:ascii="宋体" w:hAnsi="宋体"/>
              </w:rPr>
            </w:pPr>
            <w:r>
              <w:rPr>
                <w:rFonts w:ascii="宋体" w:hAnsi="宋体" w:cs="宋体"/>
                <w:szCs w:val="22"/>
              </w:rPr>
              <w:t xml:space="preserve">2.11</w:t>
            </w:r>
            <w:r>
              <w:rPr>
                <w:rFonts w:ascii="宋体" w:hAnsi="宋体"/>
              </w:rPr>
            </w:r>
            <w:r/>
          </w:p>
        </w:tc>
        <w:tc>
          <w:tcPr>
            <w:tcBorders>
              <w:left w:val="single" w:color="000000" w:sz="4" w:space="0"/>
              <w:right w:val="single" w:color="000000" w:sz="4" w:space="0"/>
            </w:tcBorders>
            <w:tcW w:w="1134" w:type="dxa"/>
            <w:vAlign w:val="center"/>
            <w:vMerge w:val="continue"/>
            <w:textDirection w:val="lrTb"/>
            <w:noWrap w:val="false"/>
          </w:tcPr>
          <w:p>
            <w:pPr>
              <w:pStyle w:val="74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top"/>
            <w:textDirection w:val="lrTb"/>
            <w:noWrap w:val="false"/>
          </w:tcPr>
          <w:p>
            <w:pPr>
              <w:pStyle w:val="748"/>
              <w:ind w:firstLine="420"/>
              <w:rPr>
                <w:rFonts w:ascii="宋体" w:hAnsi="宋体" w:cs="宋体"/>
                <w:szCs w:val="22"/>
              </w:rPr>
            </w:pPr>
            <w:r>
              <w:rPr>
                <w:rFonts w:ascii="宋体" w:hAnsi="宋体" w:cs="宋体"/>
                <w:szCs w:val="22"/>
              </w:rPr>
              <w:t xml:space="preserve">评委根据投标文件对招标文件第四章“采购需求”中“</w:t>
            </w:r>
            <w:bookmarkStart w:id="249" w:name="OLE_LINK39"/>
            <w:r/>
            <w:bookmarkStart w:id="250" w:name="OLE_LINK40"/>
            <w:r>
              <w:rPr>
                <w:rFonts w:ascii="宋体" w:hAnsi="宋体" w:cs="宋体"/>
                <w:szCs w:val="22"/>
              </w:rPr>
              <w:t xml:space="preserve">测试方案</w:t>
            </w:r>
            <w:bookmarkEnd w:id="249"/>
            <w:r/>
            <w:bookmarkEnd w:id="250"/>
            <w:r>
              <w:rPr>
                <w:rFonts w:ascii="宋体" w:hAnsi="宋体" w:cs="宋体"/>
                <w:szCs w:val="22"/>
              </w:rPr>
              <w:t xml:space="preserve">”要求的响应情况进行评审：</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1</w:t>
            </w:r>
            <w:r>
              <w:rPr>
                <w:rFonts w:ascii="宋体" w:hAnsi="宋体" w:cs="宋体"/>
                <w:szCs w:val="22"/>
              </w:rPr>
              <w:t xml:space="preserve">）投标文件未符合“测试方案”中全部条款要求的，视为不符合招标文件，本项得</w:t>
            </w:r>
            <w:r>
              <w:rPr>
                <w:rFonts w:ascii="Calibri" w:hAnsi="Calibri" w:cs="Calibri"/>
                <w:szCs w:val="22"/>
              </w:rPr>
              <w:t xml:space="preserve">0</w:t>
            </w:r>
            <w:r>
              <w:rPr>
                <w:rFonts w:ascii="宋体" w:hAnsi="宋体" w:cs="宋体"/>
                <w:szCs w:val="22"/>
              </w:rPr>
              <w:t xml:space="preserve">分。</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2</w:t>
            </w:r>
            <w:r>
              <w:rPr>
                <w:rFonts w:ascii="宋体" w:hAnsi="宋体" w:cs="宋体"/>
                <w:szCs w:val="22"/>
              </w:rPr>
              <w:t xml:space="preserve">）投标文件符合“测试方案”中全部条款要求的，视为符合招标文件，本项得</w:t>
            </w:r>
            <w:r>
              <w:rPr>
                <w:rFonts w:ascii="Calibri" w:hAnsi="Calibri" w:cs="Calibri"/>
                <w:szCs w:val="22"/>
              </w:rPr>
              <w:t xml:space="preserve">3</w:t>
            </w:r>
            <w:r>
              <w:rPr>
                <w:rFonts w:ascii="宋体" w:hAnsi="宋体" w:cs="宋体"/>
                <w:szCs w:val="22"/>
              </w:rPr>
              <w:t xml:space="preserve">分。</w:t>
            </w:r>
            <w:r/>
          </w:p>
          <w:p>
            <w:pPr>
              <w:pStyle w:val="748"/>
              <w:ind w:firstLine="420"/>
              <w:rPr>
                <w:rFonts w:ascii="宋体" w:hAnsi="宋体"/>
              </w:rPr>
            </w:pPr>
            <w:r>
              <w:rPr>
                <w:rFonts w:ascii="宋体" w:hAnsi="宋体" w:cs="宋体"/>
                <w:szCs w:val="22"/>
              </w:rPr>
              <w:t xml:space="preserve">（</w:t>
            </w:r>
            <w:r>
              <w:rPr>
                <w:rFonts w:ascii="Calibri" w:hAnsi="Calibri" w:cs="Calibri"/>
                <w:szCs w:val="22"/>
              </w:rPr>
              <w:t xml:space="preserve">3</w:t>
            </w:r>
            <w:r>
              <w:rPr>
                <w:rFonts w:ascii="宋体" w:hAnsi="宋体" w:cs="宋体"/>
                <w:szCs w:val="22"/>
              </w:rPr>
              <w:t xml:space="preserve">）投标文件对“测试方案”中“测试范围</w:t>
            </w:r>
            <w:r>
              <w:rPr>
                <w:rFonts w:hint="eastAsia" w:ascii="宋体" w:hAnsi="宋体" w:cs="宋体"/>
                <w:szCs w:val="22"/>
              </w:rPr>
              <w:t xml:space="preserve">、</w:t>
            </w:r>
            <w:r>
              <w:rPr>
                <w:rFonts w:ascii="宋体" w:hAnsi="宋体" w:cs="宋体"/>
                <w:szCs w:val="22"/>
              </w:rPr>
              <w:t xml:space="preserve">测试流程”</w:t>
            </w:r>
            <w:r>
              <w:rPr>
                <w:rFonts w:hint="eastAsia" w:ascii="宋体" w:hAnsi="宋体" w:cs="宋体"/>
                <w:szCs w:val="22"/>
              </w:rPr>
              <w:t xml:space="preserve">2项</w:t>
            </w:r>
            <w:r>
              <w:rPr>
                <w:rFonts w:ascii="宋体" w:hAnsi="宋体" w:cs="宋体"/>
                <w:szCs w:val="22"/>
              </w:rPr>
              <w:t xml:space="preserve">要求的响应内容全部优于招标文件要求的</w:t>
            </w:r>
            <w:r>
              <w:rPr>
                <w:rFonts w:hint="eastAsia" w:ascii="宋体" w:hAnsi="宋体" w:cs="宋体"/>
                <w:szCs w:val="22"/>
              </w:rPr>
              <w:t xml:space="preserve">（前提是投标文件对“测试方案”中除“测试范围”、“测试流程”外其他要求响应内容符合招标文件要求）</w:t>
            </w:r>
            <w:r>
              <w:rPr>
                <w:rFonts w:ascii="宋体" w:hAnsi="宋体" w:cs="宋体"/>
                <w:szCs w:val="22"/>
              </w:rPr>
              <w:t xml:space="preserve">，本项得</w:t>
            </w:r>
            <w:r>
              <w:rPr>
                <w:rFonts w:ascii="Calibri" w:hAnsi="Calibri" w:cs="Calibri"/>
                <w:szCs w:val="22"/>
              </w:rPr>
              <w:t xml:space="preserve">5</w:t>
            </w:r>
            <w:r>
              <w:rPr>
                <w:rFonts w:ascii="宋体" w:hAnsi="宋体" w:cs="宋体"/>
                <w:szCs w:val="22"/>
              </w:rPr>
              <w:t xml:space="preserve">分。</w:t>
            </w:r>
            <w:r>
              <w:rPr>
                <w:rFonts w:ascii="宋体" w:hAnsi="宋体"/>
              </w:rPr>
            </w:r>
            <w:r/>
          </w:p>
        </w:tc>
        <w:tc>
          <w:tcPr>
            <w:tcBorders>
              <w:top w:val="single" w:color="000000" w:sz="4" w:space="0"/>
              <w:left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hint="eastAsia" w:ascii="宋体" w:hAnsi="宋体" w:cs="宋体"/>
                <w:szCs w:val="22"/>
              </w:rPr>
              <w:t xml:space="preserve">5</w:t>
            </w:r>
            <w:r>
              <w:rPr>
                <w:rFonts w:ascii="宋体" w:hAnsi="宋体"/>
              </w:rPr>
            </w:r>
            <w:r/>
          </w:p>
        </w:tc>
      </w:tr>
      <w:tr>
        <w:trPr>
          <w:cantSplit/>
          <w:trHeight w:val="726"/>
          <w:tblHeader/>
        </w:trPr>
        <w:tc>
          <w:tcPr>
            <w:tcBorders>
              <w:top w:val="single" w:color="000000" w:sz="4" w:space="0"/>
              <w:left w:val="single" w:color="000000" w:sz="4" w:space="0"/>
              <w:right w:val="single" w:color="000000" w:sz="4" w:space="0"/>
            </w:tcBorders>
            <w:tcW w:w="662" w:type="dxa"/>
            <w:vAlign w:val="center"/>
            <w:textDirection w:val="lrTb"/>
            <w:noWrap w:val="false"/>
          </w:tcPr>
          <w:p>
            <w:pPr>
              <w:pStyle w:val="748"/>
              <w:rPr>
                <w:rFonts w:ascii="宋体" w:hAnsi="宋体"/>
              </w:rPr>
            </w:pPr>
            <w:r>
              <w:rPr>
                <w:rFonts w:ascii="宋体" w:hAnsi="宋体" w:cs="宋体"/>
                <w:szCs w:val="22"/>
              </w:rPr>
              <w:t xml:space="preserve">2.12</w:t>
            </w:r>
            <w:r>
              <w:rPr>
                <w:rFonts w:ascii="宋体" w:hAnsi="宋体"/>
              </w:rPr>
            </w:r>
            <w:r/>
          </w:p>
        </w:tc>
        <w:tc>
          <w:tcPr>
            <w:tcBorders>
              <w:left w:val="single" w:color="000000" w:sz="4" w:space="0"/>
              <w:right w:val="single" w:color="000000" w:sz="4" w:space="0"/>
            </w:tcBorders>
            <w:tcW w:w="1134" w:type="dxa"/>
            <w:vAlign w:val="center"/>
            <w:vMerge w:val="continue"/>
            <w:textDirection w:val="lrTb"/>
            <w:noWrap w:val="false"/>
          </w:tcPr>
          <w:p>
            <w:pPr>
              <w:pStyle w:val="74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top"/>
            <w:textDirection w:val="lrTb"/>
            <w:noWrap w:val="false"/>
          </w:tcPr>
          <w:p>
            <w:pPr>
              <w:pStyle w:val="748"/>
              <w:ind w:firstLine="420"/>
              <w:rPr>
                <w:rFonts w:ascii="宋体" w:hAnsi="宋体" w:cs="宋体"/>
                <w:szCs w:val="22"/>
              </w:rPr>
            </w:pPr>
            <w:r>
              <w:rPr>
                <w:rFonts w:ascii="宋体" w:hAnsi="宋体" w:cs="宋体"/>
                <w:szCs w:val="22"/>
              </w:rPr>
              <w:t xml:space="preserve">评委根据投标文件对招标文件第四章“采购需求”中“验收方案”要求的响应情况进行评审：</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1</w:t>
            </w:r>
            <w:r>
              <w:rPr>
                <w:rFonts w:ascii="宋体" w:hAnsi="宋体" w:cs="宋体"/>
                <w:szCs w:val="22"/>
              </w:rPr>
              <w:t xml:space="preserve">）投标文件未符合“验收方案”中全部条款要求的，视为不符合招标文件，本项得</w:t>
            </w:r>
            <w:r>
              <w:rPr>
                <w:rFonts w:ascii="Calibri" w:hAnsi="Calibri" w:cs="Calibri"/>
                <w:szCs w:val="22"/>
              </w:rPr>
              <w:t xml:space="preserve">0</w:t>
            </w:r>
            <w:r>
              <w:rPr>
                <w:rFonts w:ascii="宋体" w:hAnsi="宋体" w:cs="宋体"/>
                <w:szCs w:val="22"/>
              </w:rPr>
              <w:t xml:space="preserve">分。</w:t>
            </w:r>
            <w:r/>
          </w:p>
          <w:p>
            <w:pPr>
              <w:pStyle w:val="748"/>
              <w:ind w:firstLine="420"/>
              <w:rPr>
                <w:rFonts w:ascii="宋体" w:hAnsi="宋体" w:cs="宋体"/>
                <w:szCs w:val="22"/>
              </w:rPr>
            </w:pPr>
            <w:r>
              <w:rPr>
                <w:rFonts w:ascii="宋体" w:hAnsi="宋体" w:cs="宋体"/>
                <w:szCs w:val="22"/>
              </w:rPr>
              <w:t xml:space="preserve">（</w:t>
            </w:r>
            <w:r>
              <w:rPr>
                <w:rFonts w:ascii="Calibri" w:hAnsi="Calibri" w:cs="Calibri"/>
                <w:szCs w:val="22"/>
              </w:rPr>
              <w:t xml:space="preserve">2</w:t>
            </w:r>
            <w:r>
              <w:rPr>
                <w:rFonts w:ascii="宋体" w:hAnsi="宋体" w:cs="宋体"/>
                <w:szCs w:val="22"/>
              </w:rPr>
              <w:t xml:space="preserve">）投标文件符合“验收方案”中全部条款要求的，视为符合招标文件，本项得</w:t>
            </w:r>
            <w:r>
              <w:rPr>
                <w:rFonts w:ascii="Calibri" w:hAnsi="Calibri" w:cs="Calibri"/>
                <w:szCs w:val="22"/>
              </w:rPr>
              <w:t xml:space="preserve">3</w:t>
            </w:r>
            <w:r>
              <w:rPr>
                <w:rFonts w:ascii="宋体" w:hAnsi="宋体" w:cs="宋体"/>
                <w:szCs w:val="22"/>
              </w:rPr>
              <w:t xml:space="preserve">分。</w:t>
            </w:r>
            <w:r/>
          </w:p>
          <w:p>
            <w:pPr>
              <w:pStyle w:val="748"/>
              <w:ind w:firstLine="420"/>
              <w:rPr>
                <w:rFonts w:ascii="宋体" w:hAnsi="宋体"/>
              </w:rPr>
            </w:pPr>
            <w:r>
              <w:rPr>
                <w:rFonts w:ascii="宋体" w:hAnsi="宋体" w:cs="宋体"/>
                <w:szCs w:val="22"/>
              </w:rPr>
              <w:t xml:space="preserve">（</w:t>
            </w:r>
            <w:r>
              <w:rPr>
                <w:rFonts w:ascii="Calibri" w:hAnsi="Calibri" w:cs="Calibri"/>
                <w:szCs w:val="22"/>
              </w:rPr>
              <w:t xml:space="preserve">3</w:t>
            </w:r>
            <w:r>
              <w:rPr>
                <w:rFonts w:ascii="宋体" w:hAnsi="宋体" w:cs="宋体"/>
                <w:szCs w:val="22"/>
              </w:rPr>
              <w:t xml:space="preserve">）投标文件对“验收方案”中“验收流程”要求的响应内容全部优于招标文件要求的</w:t>
            </w:r>
            <w:r>
              <w:rPr>
                <w:rFonts w:hint="eastAsia" w:ascii="宋体" w:hAnsi="宋体" w:cs="宋体"/>
                <w:szCs w:val="22"/>
              </w:rPr>
              <w:t xml:space="preserve">（前提是投标文件对“验收方案”中除“验收流程”外其他要求响应内容符合招标文件要求）</w:t>
            </w:r>
            <w:r>
              <w:rPr>
                <w:rFonts w:ascii="宋体" w:hAnsi="宋体" w:cs="宋体"/>
                <w:szCs w:val="22"/>
              </w:rPr>
              <w:t xml:space="preserve">，本项得</w:t>
            </w:r>
            <w:r>
              <w:rPr>
                <w:rFonts w:ascii="Calibri" w:hAnsi="Calibri" w:cs="Calibri"/>
                <w:szCs w:val="22"/>
              </w:rPr>
              <w:t xml:space="preserve">5</w:t>
            </w:r>
            <w:r>
              <w:rPr>
                <w:rFonts w:ascii="宋体" w:hAnsi="宋体" w:cs="宋体"/>
                <w:szCs w:val="22"/>
              </w:rPr>
              <w:t xml:space="preserve">分。</w:t>
            </w:r>
            <w:r>
              <w:rPr>
                <w:rFonts w:ascii="宋体" w:hAnsi="宋体"/>
              </w:rPr>
            </w:r>
            <w:r/>
          </w:p>
        </w:tc>
        <w:tc>
          <w:tcPr>
            <w:tcBorders>
              <w:top w:val="single" w:color="000000" w:sz="4" w:space="0"/>
              <w:left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hint="eastAsia" w:ascii="宋体" w:hAnsi="宋体" w:cs="宋体"/>
                <w:szCs w:val="22"/>
              </w:rPr>
              <w:t xml:space="preserve">5</w:t>
            </w:r>
            <w:r>
              <w:rPr>
                <w:rFonts w:ascii="宋体" w:hAnsi="宋体"/>
              </w:rPr>
            </w:r>
            <w:r/>
          </w:p>
        </w:tc>
      </w:tr>
      <w:tr>
        <w:trPr>
          <w:trHeight w:val="726"/>
          <w:tblHeader/>
        </w:trPr>
        <w:tc>
          <w:tcPr>
            <w:tcBorders>
              <w:top w:val="single" w:color="000000" w:sz="4" w:space="0"/>
              <w:left w:val="single" w:color="000000" w:sz="4" w:space="0"/>
              <w:right w:val="single" w:color="000000" w:sz="4" w:space="0"/>
            </w:tcBorders>
            <w:tcW w:w="662" w:type="dxa"/>
            <w:vAlign w:val="center"/>
            <w:textDirection w:val="lrTb"/>
            <w:noWrap w:val="false"/>
          </w:tcPr>
          <w:p>
            <w:pPr>
              <w:pStyle w:val="748"/>
              <w:rPr>
                <w:rFonts w:ascii="宋体" w:hAnsi="宋体"/>
              </w:rPr>
            </w:pPr>
            <w:r>
              <w:rPr>
                <w:rFonts w:hint="eastAsia" w:ascii="宋体" w:hAnsi="宋体"/>
              </w:rPr>
              <w:t xml:space="preserve">3.1</w:t>
            </w:r>
            <w:r>
              <w:rPr>
                <w:rFonts w:ascii="宋体" w:hAnsi="宋体"/>
              </w:rPr>
            </w:r>
            <w:r/>
          </w:p>
        </w:tc>
        <w:tc>
          <w:tcPr>
            <w:tcBorders>
              <w:top w:val="single" w:color="000000" w:sz="4" w:space="0"/>
              <w:left w:val="single" w:color="000000" w:sz="4" w:space="0"/>
              <w:right w:val="single" w:color="000000" w:sz="4" w:space="0"/>
            </w:tcBorders>
            <w:tcW w:w="1134" w:type="dxa"/>
            <w:vAlign w:val="center"/>
            <w:textDirection w:val="lrTb"/>
            <w:noWrap w:val="false"/>
          </w:tcPr>
          <w:p>
            <w:pPr>
              <w:pStyle w:val="748"/>
              <w:rPr>
                <w:rFonts w:ascii="宋体" w:hAnsi="宋体"/>
              </w:rPr>
            </w:pPr>
            <w:r>
              <w:rPr>
                <w:rFonts w:hint="eastAsia" w:ascii="宋体" w:hAnsi="宋体"/>
              </w:rPr>
              <w:t xml:space="preserve">业绩（8分）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top"/>
            <w:textDirection w:val="lrTb"/>
            <w:noWrap w:val="false"/>
          </w:tcPr>
          <w:p>
            <w:pPr>
              <w:pStyle w:val="748"/>
              <w:ind w:firstLine="420"/>
              <w:rPr>
                <w:rFonts w:ascii="宋体" w:hAnsi="宋体"/>
              </w:rPr>
            </w:pPr>
            <w:r>
              <w:rPr>
                <w:rFonts w:ascii="宋体" w:hAnsi="宋体" w:cs="宋体"/>
                <w:szCs w:val="22"/>
              </w:rPr>
              <w:t xml:space="preserve">依据202</w:t>
            </w:r>
            <w:r>
              <w:rPr>
                <w:rFonts w:hint="eastAsia" w:ascii="宋体" w:hAnsi="宋体" w:cs="宋体"/>
                <w:szCs w:val="22"/>
              </w:rPr>
              <w:t xml:space="preserve">2</w:t>
            </w:r>
            <w:r>
              <w:rPr>
                <w:rFonts w:ascii="宋体" w:hAnsi="宋体" w:cs="宋体"/>
                <w:szCs w:val="22"/>
              </w:rPr>
              <w:t xml:space="preserve">年1月1日以来（以签订时间为准）完成的类似项目合同。每提供一个得2分，满分</w:t>
            </w:r>
            <w:r>
              <w:rPr>
                <w:rFonts w:hint="eastAsia" w:ascii="宋体" w:hAnsi="宋体" w:cs="宋体"/>
                <w:szCs w:val="22"/>
              </w:rPr>
              <w:t xml:space="preserve">8</w:t>
            </w:r>
            <w:r>
              <w:rPr>
                <w:rFonts w:ascii="宋体" w:hAnsi="宋体" w:cs="宋体"/>
                <w:szCs w:val="22"/>
              </w:rPr>
              <w:t xml:space="preserve">分。（提供合同复印件加盖公章，合同须能反映相关内容。）</w:t>
            </w:r>
            <w:r>
              <w:rPr>
                <w:rFonts w:ascii="宋体" w:hAnsi="宋体"/>
              </w:rPr>
            </w:r>
            <w:r/>
          </w:p>
        </w:tc>
        <w:tc>
          <w:tcPr>
            <w:tcBorders>
              <w:top w:val="single" w:color="000000" w:sz="4" w:space="0"/>
              <w:left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hint="eastAsia" w:ascii="宋体" w:hAnsi="宋体" w:cs="宋体"/>
                <w:szCs w:val="22"/>
              </w:rPr>
              <w:t xml:space="preserve">8</w:t>
            </w:r>
            <w:r>
              <w:rPr>
                <w:rFonts w:ascii="宋体" w:hAnsi="宋体"/>
              </w:rPr>
            </w:r>
            <w:r/>
          </w:p>
        </w:tc>
      </w:tr>
      <w:tr>
        <w:trPr>
          <w:cantSplit/>
          <w:trHeight w:val="698"/>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48"/>
              <w:rPr>
                <w:rFonts w:ascii="宋体" w:hAnsi="宋体"/>
              </w:rPr>
            </w:pPr>
            <w:r>
              <w:rPr>
                <w:rFonts w:hint="eastAsia" w:ascii="宋体" w:hAnsi="宋体"/>
              </w:rPr>
              <w:t xml:space="preserve">4.1</w:t>
            </w:r>
            <w:r>
              <w:rPr>
                <w:rFonts w:ascii="宋体" w:hAnsi="宋体"/>
              </w:rPr>
            </w:r>
            <w:r/>
          </w:p>
        </w:tc>
        <w:tc>
          <w:tcPr>
            <w:tcBorders>
              <w:left w:val="single" w:color="000000" w:sz="4" w:space="0"/>
              <w:right w:val="single" w:color="000000" w:sz="4" w:space="0"/>
            </w:tcBorders>
            <w:tcW w:w="1134" w:type="dxa"/>
            <w:vAlign w:val="center"/>
            <w:vMerge w:val="restart"/>
            <w:textDirection w:val="lrTb"/>
            <w:noWrap w:val="false"/>
          </w:tcPr>
          <w:p>
            <w:pPr>
              <w:pStyle w:val="748"/>
              <w:rPr>
                <w:rFonts w:ascii="宋体" w:hAnsi="宋体"/>
              </w:rPr>
            </w:pPr>
            <w:r>
              <w:rPr>
                <w:rFonts w:hint="eastAsia" w:ascii="宋体" w:hAnsi="宋体"/>
              </w:rPr>
              <w:t xml:space="preserve">履约能力</w:t>
            </w:r>
            <w:r>
              <w:rPr>
                <w:rFonts w:ascii="宋体" w:hAnsi="宋体"/>
              </w:rPr>
            </w:r>
            <w:r/>
          </w:p>
          <w:p>
            <w:pPr>
              <w:pStyle w:val="748"/>
              <w:rPr>
                <w:rFonts w:ascii="宋体" w:hAnsi="宋体"/>
              </w:rPr>
            </w:pPr>
            <w:r>
              <w:rPr>
                <w:rFonts w:hint="eastAsia" w:ascii="宋体" w:hAnsi="宋体"/>
              </w:rPr>
              <w:t xml:space="preserve">（22分）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pStyle w:val="748"/>
              <w:ind w:firstLine="420"/>
              <w:rPr>
                <w:rFonts w:ascii="Calibri" w:hAnsi="Calibri" w:cs="Arial"/>
                <w:szCs w:val="22"/>
              </w:rPr>
            </w:pPr>
            <w:r>
              <w:rPr>
                <w:rFonts w:ascii="宋体" w:hAnsi="宋体" w:cs="宋体"/>
                <w:szCs w:val="22"/>
              </w:rPr>
              <w:t xml:space="preserve">投标人具有重大项目管理系统方面的成熟软件，提供有效的软件著作权证明文件。每提供1个得</w:t>
            </w:r>
            <w:r>
              <w:rPr>
                <w:rFonts w:hint="eastAsia" w:ascii="宋体" w:hAnsi="宋体" w:cs="宋体"/>
                <w:szCs w:val="22"/>
              </w:rPr>
              <w:t xml:space="preserve">1</w:t>
            </w:r>
            <w:r>
              <w:rPr>
                <w:rFonts w:ascii="宋体" w:hAnsi="宋体" w:cs="宋体"/>
                <w:szCs w:val="22"/>
              </w:rPr>
              <w:t xml:space="preserve">分，最高得</w:t>
            </w:r>
            <w:r>
              <w:rPr>
                <w:rFonts w:hint="eastAsia" w:ascii="宋体" w:hAnsi="宋体" w:cs="宋体"/>
                <w:szCs w:val="22"/>
              </w:rPr>
              <w:t xml:space="preserve">2</w:t>
            </w:r>
            <w:r>
              <w:rPr>
                <w:rFonts w:ascii="宋体" w:hAnsi="宋体" w:cs="宋体"/>
                <w:szCs w:val="22"/>
              </w:rPr>
              <w:t xml:space="preserve">分。</w:t>
            </w:r>
            <w:r>
              <w:rPr>
                <w:rFonts w:ascii="Calibri" w:hAnsi="Calibri" w:cs="Arial"/>
                <w:szCs w:val="22"/>
              </w:rPr>
            </w:r>
            <w:r/>
          </w:p>
          <w:p>
            <w:pPr>
              <w:pStyle w:val="748"/>
              <w:rPr>
                <w:rFonts w:ascii="Calibri" w:hAnsi="Calibri" w:cs="Arial"/>
                <w:szCs w:val="22"/>
              </w:rPr>
            </w:pPr>
            <w:r>
              <w:rPr>
                <w:rFonts w:ascii="宋体" w:hAnsi="宋体" w:cs="宋体"/>
                <w:szCs w:val="22"/>
              </w:rPr>
              <w:t xml:space="preserve">（如投标文件中提供的著作权名称表述与招标文件描述的关键字样不一致，而该投标文件中能证明供应商拥有的软件著作权具有相同或相似功能和效果，且评标委员会认可的，视同符合要求。）</w:t>
            </w:r>
            <w:r>
              <w:rPr>
                <w:rFonts w:ascii="Calibri" w:hAnsi="Calibri" w:cs="Arial"/>
                <w:szCs w:val="22"/>
              </w:rPr>
            </w:r>
            <w:r/>
          </w:p>
          <w:p>
            <w:pPr>
              <w:pStyle w:val="748"/>
              <w:ind w:firstLine="420"/>
              <w:rPr>
                <w:rFonts w:ascii="宋体" w:hAnsi="宋体"/>
              </w:rPr>
            </w:pPr>
            <w:r>
              <w:rPr>
                <w:rFonts w:ascii="宋体" w:hAnsi="宋体" w:cs="宋体"/>
                <w:szCs w:val="22"/>
              </w:rPr>
              <w:t xml:space="preserve">注：供应商须提供有效证书复印件并加盖公章，未提供或不符合要求的不得分。</w:t>
            </w:r>
            <w:r>
              <w:rPr>
                <w:rFonts w:hint="eastAsia" w:ascii="宋体" w:hAnsi="宋体" w:cs="宋体"/>
                <w:lang w:bidi="ar"/>
              </w:rPr>
              <w:t xml:space="preserve">投标人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hint="eastAsia" w:ascii="宋体" w:hAnsi="宋体" w:cs="宋体"/>
                <w:szCs w:val="22"/>
              </w:rPr>
              <w:t xml:space="preserve">2</w:t>
            </w:r>
            <w:r>
              <w:rPr>
                <w:rFonts w:ascii="宋体" w:hAnsi="宋体"/>
              </w:rPr>
            </w:r>
            <w:r/>
          </w:p>
        </w:tc>
      </w:tr>
      <w:tr>
        <w:trPr>
          <w:cantSplit/>
          <w:trHeight w:val="698"/>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48"/>
              <w:rPr>
                <w:rFonts w:ascii="宋体" w:hAnsi="宋体"/>
              </w:rPr>
            </w:pPr>
            <w:r>
              <w:rPr>
                <w:rFonts w:hint="eastAsia" w:ascii="宋体" w:hAnsi="宋体"/>
              </w:rPr>
              <w:t xml:space="preserve">4.2</w:t>
            </w:r>
            <w:r>
              <w:rPr>
                <w:rFonts w:ascii="宋体" w:hAnsi="宋体"/>
              </w:rPr>
            </w:r>
            <w:r/>
          </w:p>
        </w:tc>
        <w:tc>
          <w:tcPr>
            <w:tcBorders>
              <w:left w:val="single" w:color="000000" w:sz="4" w:space="0"/>
              <w:right w:val="single" w:color="000000" w:sz="4" w:space="0"/>
            </w:tcBorders>
            <w:tcW w:w="1134" w:type="dxa"/>
            <w:vAlign w:val="center"/>
            <w:vMerge w:val="continue"/>
            <w:textDirection w:val="lrTb"/>
            <w:noWrap w:val="false"/>
          </w:tcPr>
          <w:p>
            <w:pPr>
              <w:pStyle w:val="74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pStyle w:val="748"/>
              <w:ind w:firstLine="420"/>
              <w:rPr>
                <w:rFonts w:ascii="Calibri" w:hAnsi="Calibri" w:cs="Arial"/>
                <w:szCs w:val="22"/>
              </w:rPr>
            </w:pPr>
            <w:r>
              <w:rPr>
                <w:rFonts w:hint="eastAsia" w:ascii="宋体" w:hAnsi="宋体" w:cs="宋体"/>
                <w:szCs w:val="22"/>
              </w:rPr>
              <w:t xml:space="preserve">4.2.</w:t>
            </w:r>
            <w:r>
              <w:rPr>
                <w:rFonts w:ascii="宋体" w:hAnsi="宋体" w:cs="宋体"/>
                <w:szCs w:val="22"/>
              </w:rPr>
              <w:t xml:space="preserve">1、项目负责人证书（6分）：</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（1）具有IT服务项目经理证书的得3分；</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（2）具有CISP注册信息安全工程师的得3分。</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（证明材料：投标文件中提供相关证书复印件及投标人为其缴纳的近三个月中任意一个月的社保缴纳记录，否则不得分。）</w:t>
            </w:r>
            <w:r>
              <w:rPr>
                <w:rFonts w:ascii="Calibri" w:hAnsi="Calibri" w:cs="Arial"/>
                <w:szCs w:val="22"/>
              </w:rPr>
            </w:r>
            <w:r/>
          </w:p>
          <w:p>
            <w:pPr>
              <w:pStyle w:val="748"/>
              <w:ind w:firstLine="420"/>
              <w:rPr>
                <w:rFonts w:ascii="Calibri" w:hAnsi="Calibri" w:cs="Arial"/>
                <w:szCs w:val="22"/>
              </w:rPr>
            </w:pPr>
            <w:r>
              <w:rPr>
                <w:rFonts w:hint="eastAsia" w:ascii="宋体" w:hAnsi="宋体" w:cs="宋体"/>
                <w:szCs w:val="22"/>
              </w:rPr>
              <w:t xml:space="preserve">4.2.</w:t>
            </w:r>
            <w:r>
              <w:rPr>
                <w:rFonts w:ascii="宋体" w:hAnsi="宋体" w:cs="宋体"/>
                <w:szCs w:val="22"/>
              </w:rPr>
              <w:t xml:space="preserve">2、项目经理（除项目负责人外）（</w:t>
            </w:r>
            <w:r>
              <w:rPr>
                <w:rFonts w:hint="eastAsia" w:ascii="宋体" w:hAnsi="宋体" w:cs="宋体"/>
                <w:szCs w:val="22"/>
              </w:rPr>
              <w:t xml:space="preserve">6</w:t>
            </w:r>
            <w:r>
              <w:rPr>
                <w:rFonts w:ascii="宋体" w:hAnsi="宋体" w:cs="宋体"/>
                <w:szCs w:val="22"/>
              </w:rPr>
              <w:t xml:space="preserve">分）</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（1）具有CISP注册信息安全工程师的得</w:t>
            </w:r>
            <w:r>
              <w:rPr>
                <w:rFonts w:hint="eastAsia" w:ascii="宋体" w:hAnsi="宋体" w:cs="宋体"/>
                <w:szCs w:val="22"/>
              </w:rPr>
              <w:t xml:space="preserve">3</w:t>
            </w:r>
            <w:r>
              <w:rPr>
                <w:rFonts w:ascii="宋体" w:hAnsi="宋体" w:cs="宋体"/>
                <w:szCs w:val="22"/>
              </w:rPr>
              <w:t xml:space="preserve">分；</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（2）具有</w:t>
            </w:r>
            <w:bookmarkStart w:id="251" w:name="OLE_LINK66"/>
            <w:r>
              <w:rPr>
                <w:rFonts w:ascii="宋体" w:hAnsi="宋体" w:cs="宋体"/>
                <w:szCs w:val="22"/>
              </w:rPr>
              <w:t xml:space="preserve">工业互联网工程中级</w:t>
            </w:r>
            <w:bookmarkEnd w:id="251"/>
            <w:r>
              <w:rPr>
                <w:rFonts w:ascii="宋体" w:hAnsi="宋体" w:cs="宋体"/>
                <w:szCs w:val="22"/>
              </w:rPr>
              <w:t xml:space="preserve">或以上级别专业技术职称证书的得</w:t>
            </w:r>
            <w:r>
              <w:rPr>
                <w:rFonts w:hint="eastAsia" w:ascii="宋体" w:hAnsi="宋体" w:cs="宋体"/>
                <w:szCs w:val="22"/>
              </w:rPr>
              <w:t xml:space="preserve">3</w:t>
            </w:r>
            <w:r>
              <w:rPr>
                <w:rFonts w:ascii="宋体" w:hAnsi="宋体" w:cs="宋体"/>
                <w:szCs w:val="22"/>
              </w:rPr>
              <w:t xml:space="preserve">分。</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（证明材料：投标文件中提供相关证书复印件及投标人为其缴纳的近三个月中任意一个月的社保缴纳记录，否则不得分。）</w:t>
            </w:r>
            <w:r>
              <w:rPr>
                <w:rFonts w:ascii="Calibri" w:hAnsi="Calibri" w:cs="Arial"/>
                <w:szCs w:val="22"/>
              </w:rPr>
            </w:r>
            <w:r/>
          </w:p>
          <w:p>
            <w:pPr>
              <w:pStyle w:val="748"/>
              <w:ind w:firstLine="420"/>
              <w:rPr>
                <w:rFonts w:ascii="Calibri" w:hAnsi="Calibri" w:cs="Arial"/>
                <w:szCs w:val="22"/>
              </w:rPr>
            </w:pPr>
            <w:r>
              <w:rPr>
                <w:rFonts w:hint="eastAsia" w:ascii="宋体" w:hAnsi="宋体" w:cs="宋体"/>
                <w:szCs w:val="22"/>
              </w:rPr>
              <w:t xml:space="preserve">4.2.</w:t>
            </w:r>
            <w:r>
              <w:rPr>
                <w:rFonts w:ascii="宋体" w:hAnsi="宋体" w:cs="宋体"/>
                <w:szCs w:val="22"/>
              </w:rPr>
              <w:t xml:space="preserve">3、项目组成员（除项目负责人、项目经理外）（</w:t>
            </w:r>
            <w:r>
              <w:rPr>
                <w:rFonts w:hint="eastAsia" w:ascii="宋体" w:hAnsi="宋体" w:cs="宋体"/>
                <w:szCs w:val="22"/>
              </w:rPr>
              <w:t xml:space="preserve">8</w:t>
            </w:r>
            <w:r>
              <w:rPr>
                <w:rFonts w:ascii="宋体" w:hAnsi="宋体" w:cs="宋体"/>
                <w:szCs w:val="22"/>
              </w:rPr>
              <w:t xml:space="preserve">分）</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（1）具有软考信息系统项目管理师证书，每提供一人得2分，最高2分；</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（2）具有DCMM数据管理师证书，每提供一人得2分，最高2分；</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（3）具有软考软件设计师证书，每提供一人得2分，最高2分；</w:t>
            </w:r>
            <w:r>
              <w:rPr>
                <w:rFonts w:ascii="Calibri" w:hAnsi="Calibri" w:cs="Arial"/>
                <w:szCs w:val="22"/>
              </w:rPr>
            </w:r>
            <w:r/>
          </w:p>
          <w:p>
            <w:pPr>
              <w:pStyle w:val="748"/>
              <w:ind w:firstLine="420"/>
              <w:rPr>
                <w:rFonts w:ascii="Calibri" w:hAnsi="Calibri" w:cs="Arial"/>
                <w:szCs w:val="22"/>
              </w:rPr>
            </w:pPr>
            <w:r>
              <w:rPr>
                <w:rFonts w:ascii="宋体" w:hAnsi="宋体" w:cs="宋体"/>
                <w:szCs w:val="22"/>
              </w:rPr>
              <w:t xml:space="preserve">（4）具有软考系统分析师证书，每提供一人得2分，最高2分；</w:t>
            </w:r>
            <w:r>
              <w:rPr>
                <w:rFonts w:ascii="Calibri" w:hAnsi="Calibri" w:cs="Arial"/>
                <w:szCs w:val="22"/>
              </w:rPr>
            </w:r>
            <w:r/>
          </w:p>
          <w:p>
            <w:pPr>
              <w:pStyle w:val="748"/>
              <w:ind w:firstLine="420"/>
              <w:rPr>
                <w:rFonts w:ascii="宋体" w:hAnsi="宋体"/>
              </w:rPr>
            </w:pPr>
            <w:r>
              <w:rPr>
                <w:rFonts w:ascii="宋体" w:hAnsi="宋体" w:cs="宋体"/>
                <w:szCs w:val="22"/>
              </w:rPr>
              <w:t xml:space="preserve">（证明材料：投标文件中提供相关证书复印件及投标人为其缴纳的近三个月中任意一个月的社保缴纳记录。证明材料不提供的或证书不符合要求的均不得分。每人多本证书不重复赋分。）</w:t>
            </w:r>
            <w:r>
              <w:rPr>
                <w:rFonts w:ascii="宋体" w:hAnsi="宋体"/>
              </w:rPr>
            </w:r>
            <w:r/>
          </w:p>
          <w:p>
            <w:pPr>
              <w:pStyle w:val="748"/>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hint="eastAsia" w:ascii="宋体" w:hAnsi="宋体"/>
              </w:rPr>
              <w:t xml:space="preserve">20</w:t>
            </w:r>
            <w:r>
              <w:rPr>
                <w:rFonts w:ascii="宋体" w:hAnsi="宋体"/>
              </w:rPr>
            </w:r>
            <w:r/>
          </w:p>
        </w:tc>
      </w:tr>
      <w:tr>
        <w:trPr>
          <w:trHeight w:val="866"/>
          <w:tblHeader/>
        </w:trPr>
        <w:tc>
          <w:tcPr>
            <w:gridSpan w:val="2"/>
            <w:tcBorders>
              <w:top w:val="single" w:color="000000" w:sz="4" w:space="0"/>
              <w:left w:val="single" w:color="000000" w:sz="4" w:space="0"/>
              <w:right w:val="single" w:color="000000" w:sz="4" w:space="0"/>
            </w:tcBorders>
            <w:tcW w:w="1796" w:type="dxa"/>
            <w:vAlign w:val="center"/>
            <w:textDirection w:val="lrTb"/>
            <w:noWrap w:val="false"/>
          </w:tcPr>
          <w:p>
            <w:pPr>
              <w:pStyle w:val="748"/>
              <w:jc w:val="center"/>
              <w:rPr>
                <w:rFonts w:ascii="宋体" w:hAnsi="宋体"/>
              </w:rPr>
            </w:pPr>
            <w:r>
              <w:rPr>
                <w:rFonts w:hint="eastAsia" w:ascii="宋体" w:hAnsi="宋体"/>
              </w:rPr>
              <w:t xml:space="preserve">总得分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pStyle w:val="748"/>
              <w:ind w:firstLine="315"/>
              <w:jc w:val="center"/>
              <w:spacing w:line="360" w:lineRule="auto"/>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48"/>
              <w:jc w:val="center"/>
              <w:rPr>
                <w:rFonts w:ascii="宋体" w:hAnsi="宋体"/>
              </w:rPr>
            </w:pPr>
            <w:r>
              <w:rPr>
                <w:rFonts w:hint="eastAsia" w:ascii="宋体" w:hAnsi="宋体"/>
              </w:rPr>
              <w:t xml:space="preserve">100</w:t>
            </w:r>
            <w:r>
              <w:rPr>
                <w:rFonts w:ascii="宋体" w:hAnsi="宋体"/>
              </w:rPr>
            </w:r>
            <w:r/>
          </w:p>
        </w:tc>
      </w:tr>
    </w:tbl>
    <w:p>
      <w:pPr>
        <w:pStyle w:val="748"/>
        <w:rPr>
          <w:rFonts w:ascii="Calibri" w:hAnsi="Calibri" w:cs="Arial"/>
          <w:szCs w:val="22"/>
        </w:rPr>
      </w:pPr>
      <w:r>
        <w:rPr>
          <w:rFonts w:ascii="Calibri" w:hAnsi="Calibri" w:cs="Arial"/>
          <w:szCs w:val="22"/>
        </w:rPr>
      </w:r>
      <w:r/>
    </w:p>
    <w:p>
      <w:pPr>
        <w:pStyle w:val="748"/>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48"/>
        <w:ind w:firstLine="562"/>
        <w:jc w:val="left"/>
        <w:spacing w:before="120" w:after="120" w:line="400" w:lineRule="exact"/>
        <w:rPr>
          <w:rFonts w:hint="eastAsia" w:ascii="方正仿宋_GBK" w:hAnsi="方正仿宋_GBK" w:eastAsia="方正仿宋_GBK" w:cs="方正仿宋_GBK"/>
          <w:b/>
          <w:sz w:val="28"/>
          <w:szCs w:val="28"/>
        </w:rPr>
      </w:pPr>
      <w:r>
        <w:rPr>
          <w:rFonts w:ascii="方正仿宋_GBK" w:hAnsi="方正仿宋_GBK" w:eastAsia="方正仿宋_GBK" w:cs="方正仿宋_GBK"/>
          <w:b/>
          <w:sz w:val="28"/>
          <w:szCs w:val="28"/>
        </w:rPr>
        <w:br w:type="page" w:clear="all"/>
      </w:r>
      <w:r>
        <w:rPr>
          <w:rFonts w:hint="eastAsia" w:ascii="方正仿宋_GBK" w:hAnsi="方正仿宋_GBK" w:eastAsia="方正仿宋_GBK" w:cs="方正仿宋_GBK"/>
          <w:b/>
          <w:sz w:val="28"/>
          <w:szCs w:val="28"/>
        </w:rPr>
        <w:t xml:space="preserve">采购包三：省发改委语音通知系统国产化适配改造</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1254"/>
        <w:gridCol w:w="6668"/>
      </w:tblGrid>
      <w:tr>
        <w:trPr>
          <w:tblHeader/>
        </w:trPr>
        <w:tc>
          <w:tcPr>
            <w:tcW w:w="680" w:type="pct"/>
            <w:vAlign w:val="center"/>
            <w:textDirection w:val="lrTb"/>
            <w:noWrap w:val="false"/>
          </w:tcPr>
          <w:p>
            <w:pPr>
              <w:pStyle w:val="748"/>
              <w:jc w:val="center"/>
              <w:spacing w:line="400" w:lineRule="exact"/>
              <w:widowControl/>
              <w:rPr>
                <w:rFonts w:ascii="宋体" w:hAnsi="宋体"/>
                <w:b/>
                <w:bCs/>
                <w:szCs w:val="24"/>
              </w:rPr>
            </w:pPr>
            <w:r>
              <w:rPr>
                <w:rFonts w:hint="eastAsia" w:ascii="宋体" w:hAnsi="宋体"/>
                <w:b/>
                <w:bCs/>
                <w:szCs w:val="24"/>
              </w:rPr>
              <w:t xml:space="preserve">评标项目</w:t>
            </w:r>
            <w:r>
              <w:rPr>
                <w:rFonts w:ascii="宋体" w:hAnsi="宋体"/>
                <w:b/>
                <w:bCs/>
                <w:szCs w:val="24"/>
              </w:rPr>
            </w:r>
            <w:r/>
          </w:p>
        </w:tc>
        <w:tc>
          <w:tcPr>
            <w:gridSpan w:val="2"/>
            <w:tcW w:w="4319" w:type="pct"/>
            <w:vAlign w:val="center"/>
            <w:textDirection w:val="lrTb"/>
            <w:noWrap w:val="false"/>
          </w:tcPr>
          <w:p>
            <w:pPr>
              <w:pStyle w:val="748"/>
              <w:jc w:val="center"/>
              <w:spacing w:line="400" w:lineRule="exact"/>
              <w:widowControl/>
              <w:rPr>
                <w:rFonts w:ascii="宋体" w:hAnsi="宋体"/>
                <w:b/>
                <w:bCs/>
                <w:szCs w:val="24"/>
              </w:rPr>
            </w:pPr>
            <w:r>
              <w:rPr>
                <w:rFonts w:hint="eastAsia" w:ascii="宋体" w:hAnsi="宋体"/>
                <w:b/>
                <w:bCs/>
                <w:szCs w:val="24"/>
              </w:rPr>
              <w:t xml:space="preserve">评分标准 </w:t>
            </w:r>
            <w:r>
              <w:rPr>
                <w:rFonts w:ascii="宋体" w:hAnsi="宋体"/>
                <w:b/>
                <w:bCs/>
                <w:szCs w:val="24"/>
              </w:rPr>
            </w:r>
            <w:r/>
          </w:p>
        </w:tc>
      </w:tr>
      <w:tr>
        <w:trPr/>
        <w:tc>
          <w:tcPr>
            <w:tcW w:w="680" w:type="pct"/>
            <w:vAlign w:val="center"/>
            <w:textDirection w:val="lrTb"/>
            <w:noWrap w:val="false"/>
          </w:tcPr>
          <w:p>
            <w:pPr>
              <w:pStyle w:val="748"/>
              <w:spacing w:line="400" w:lineRule="exact"/>
              <w:widowControl/>
              <w:rPr>
                <w:rFonts w:ascii="宋体" w:hAnsi="宋体"/>
                <w:szCs w:val="24"/>
              </w:rPr>
            </w:pPr>
            <w:r>
              <w:rPr>
                <w:rFonts w:hint="eastAsia" w:ascii="宋体" w:hAnsi="宋体"/>
                <w:szCs w:val="24"/>
              </w:rPr>
              <w:t xml:space="preserve">一、价格部分（10分）</w:t>
            </w:r>
            <w:r>
              <w:rPr>
                <w:rFonts w:ascii="宋体" w:hAnsi="宋体"/>
                <w:szCs w:val="24"/>
              </w:rPr>
            </w:r>
            <w:r/>
          </w:p>
        </w:tc>
        <w:tc>
          <w:tcPr>
            <w:gridSpan w:val="2"/>
            <w:tcW w:w="4319" w:type="pct"/>
            <w:vAlign w:val="center"/>
            <w:textDirection w:val="lrTb"/>
            <w:noWrap w:val="false"/>
          </w:tcPr>
          <w:p>
            <w:pPr>
              <w:pStyle w:val="748"/>
              <w:spacing w:line="400" w:lineRule="exact"/>
              <w:widowControl/>
              <w:rPr>
                <w:rFonts w:ascii="宋体" w:hAnsi="宋体"/>
                <w:szCs w:val="24"/>
              </w:rPr>
            </w:pPr>
            <w:r>
              <w:rPr>
                <w:rFonts w:hint="eastAsia" w:ascii="宋体" w:hAnsi="宋体"/>
                <w:szCs w:val="24"/>
              </w:rPr>
              <w:t xml:space="preserve">满足招标文件要求且投标价格最低的投标报价为评标基准价，其价格分为满分。其他投标人的价格分统一按下列公式计算：投标报价得分=（评标基准价／投标报价）×10%×100，计算分数时四舍五入取小数点后两位数。</w:t>
            </w:r>
            <w:r>
              <w:rPr>
                <w:rFonts w:ascii="宋体" w:hAnsi="宋体"/>
                <w:szCs w:val="24"/>
              </w:rPr>
            </w:r>
            <w:r/>
          </w:p>
        </w:tc>
      </w:tr>
      <w:tr>
        <w:trPr>
          <w:cantSplit/>
        </w:trPr>
        <w:tc>
          <w:tcPr>
            <w:tcW w:w="680" w:type="pct"/>
            <w:vAlign w:val="center"/>
            <w:vMerge w:val="restart"/>
            <w:textDirection w:val="lrTb"/>
            <w:noWrap w:val="false"/>
          </w:tcPr>
          <w:p>
            <w:pPr>
              <w:pStyle w:val="748"/>
              <w:spacing w:line="400" w:lineRule="exact"/>
              <w:widowControl/>
              <w:rPr>
                <w:rFonts w:ascii="宋体" w:hAnsi="宋体"/>
                <w:szCs w:val="24"/>
              </w:rPr>
            </w:pPr>
            <w:r>
              <w:rPr>
                <w:rFonts w:hint="eastAsia" w:ascii="宋体" w:hAnsi="宋体"/>
                <w:szCs w:val="24"/>
              </w:rPr>
              <w:t xml:space="preserve">二、商务部分（30分）</w:t>
            </w:r>
            <w:r>
              <w:rPr>
                <w:rFonts w:ascii="宋体" w:hAnsi="宋体"/>
                <w:szCs w:val="24"/>
              </w:rPr>
            </w:r>
            <w:r/>
          </w:p>
        </w:tc>
        <w:tc>
          <w:tcPr>
            <w:tcW w:w="684" w:type="pct"/>
            <w:vAlign w:val="center"/>
            <w:textDirection w:val="lrTb"/>
            <w:noWrap w:val="false"/>
          </w:tcPr>
          <w:p>
            <w:pPr>
              <w:pStyle w:val="748"/>
              <w:spacing w:line="400" w:lineRule="exact"/>
              <w:widowControl/>
              <w:rPr>
                <w:rFonts w:ascii="宋体" w:hAnsi="宋体"/>
                <w:szCs w:val="24"/>
              </w:rPr>
            </w:pPr>
            <w:r>
              <w:rPr>
                <w:rFonts w:hint="eastAsia" w:ascii="宋体" w:hAnsi="宋体"/>
                <w:szCs w:val="24"/>
              </w:rPr>
              <w:t xml:space="preserve">2.1投标人实力（15分）</w:t>
            </w:r>
            <w:r>
              <w:rPr>
                <w:rFonts w:ascii="宋体" w:hAnsi="宋体"/>
                <w:szCs w:val="24"/>
              </w:rPr>
            </w:r>
            <w:r/>
          </w:p>
        </w:tc>
        <w:tc>
          <w:tcPr>
            <w:tcW w:w="3635" w:type="pct"/>
            <w:vAlign w:val="center"/>
            <w:textDirection w:val="lrTb"/>
            <w:noWrap w:val="false"/>
          </w:tcPr>
          <w:p>
            <w:pPr>
              <w:pStyle w:val="748"/>
              <w:numPr>
                <w:ilvl w:val="0"/>
                <w:numId w:val="14"/>
              </w:numPr>
              <w:spacing w:line="400" w:lineRule="exact"/>
              <w:widowControl/>
              <w:rPr>
                <w:rFonts w:ascii="宋体" w:hAnsi="宋体"/>
                <w:szCs w:val="24"/>
              </w:rPr>
            </w:pPr>
            <w:r>
              <w:rPr>
                <w:rFonts w:hint="eastAsia" w:ascii="宋体" w:hAnsi="宋体"/>
                <w:szCs w:val="24"/>
              </w:rPr>
              <w:t xml:space="preserve">投标人具有有效的ISO9001质量管理体系认证证书，提供证书复印件或扫描件，得3分；</w:t>
            </w:r>
            <w:r>
              <w:rPr>
                <w:rFonts w:ascii="宋体" w:hAnsi="宋体"/>
                <w:szCs w:val="24"/>
              </w:rPr>
            </w:r>
            <w:r/>
          </w:p>
          <w:p>
            <w:pPr>
              <w:pStyle w:val="748"/>
              <w:numPr>
                <w:ilvl w:val="0"/>
                <w:numId w:val="14"/>
              </w:numPr>
              <w:spacing w:line="400" w:lineRule="exact"/>
              <w:widowControl/>
              <w:rPr>
                <w:rFonts w:ascii="宋体" w:hAnsi="宋体"/>
                <w:szCs w:val="24"/>
              </w:rPr>
            </w:pPr>
            <w:r>
              <w:rPr>
                <w:rFonts w:hint="eastAsia" w:ascii="宋体" w:hAnsi="宋体"/>
                <w:szCs w:val="24"/>
              </w:rPr>
              <w:t xml:space="preserve">投标人具有有效的</w:t>
            </w:r>
            <w:r>
              <w:rPr>
                <w:rFonts w:ascii="宋体" w:hAnsi="宋体"/>
                <w:szCs w:val="24"/>
              </w:rPr>
              <w:t xml:space="preserve">ISO14001</w:t>
            </w:r>
            <w:r>
              <w:rPr>
                <w:rFonts w:hint="eastAsia" w:ascii="宋体" w:hAnsi="宋体"/>
                <w:szCs w:val="24"/>
              </w:rPr>
              <w:t xml:space="preserve">环境管理体系认证证书，提供证书复印件或扫描件，得</w:t>
            </w:r>
            <w:r>
              <w:rPr>
                <w:rFonts w:ascii="宋体" w:hAnsi="宋体"/>
                <w:szCs w:val="24"/>
              </w:rPr>
              <w:t xml:space="preserve">3</w:t>
            </w:r>
            <w:r>
              <w:rPr>
                <w:rFonts w:hint="eastAsia" w:ascii="宋体" w:hAnsi="宋体"/>
                <w:szCs w:val="24"/>
              </w:rPr>
              <w:t xml:space="preserve">分；</w:t>
            </w:r>
            <w:r>
              <w:rPr>
                <w:rFonts w:ascii="宋体" w:hAnsi="宋体"/>
                <w:szCs w:val="24"/>
              </w:rPr>
            </w:r>
            <w:r/>
          </w:p>
          <w:p>
            <w:pPr>
              <w:pStyle w:val="748"/>
              <w:numPr>
                <w:ilvl w:val="0"/>
                <w:numId w:val="14"/>
              </w:numPr>
              <w:spacing w:line="400" w:lineRule="exact"/>
              <w:widowControl/>
              <w:rPr>
                <w:rFonts w:ascii="宋体" w:hAnsi="宋体"/>
                <w:szCs w:val="24"/>
              </w:rPr>
            </w:pPr>
            <w:r>
              <w:rPr>
                <w:rFonts w:hint="eastAsia" w:ascii="宋体" w:hAnsi="宋体"/>
                <w:szCs w:val="24"/>
              </w:rPr>
              <w:t xml:space="preserve">投标人具有有效的</w:t>
            </w:r>
            <w:r>
              <w:rPr>
                <w:rFonts w:ascii="宋体" w:hAnsi="宋体"/>
                <w:szCs w:val="24"/>
              </w:rPr>
              <w:t xml:space="preserve">ISO45001</w:t>
            </w:r>
            <w:r>
              <w:rPr>
                <w:rFonts w:hint="eastAsia" w:ascii="宋体" w:hAnsi="宋体"/>
                <w:szCs w:val="24"/>
              </w:rPr>
              <w:t xml:space="preserve">职业健康安全管理体系证书，提供证书复印件或扫描件，得</w:t>
            </w:r>
            <w:r>
              <w:rPr>
                <w:rFonts w:ascii="宋体" w:hAnsi="宋体"/>
                <w:szCs w:val="24"/>
              </w:rPr>
              <w:t xml:space="preserve">3</w:t>
            </w:r>
            <w:r>
              <w:rPr>
                <w:rFonts w:hint="eastAsia" w:ascii="宋体" w:hAnsi="宋体"/>
                <w:szCs w:val="24"/>
              </w:rPr>
              <w:t xml:space="preserve">分；</w:t>
            </w:r>
            <w:r>
              <w:rPr>
                <w:rFonts w:ascii="宋体" w:hAnsi="宋体"/>
                <w:szCs w:val="24"/>
              </w:rPr>
            </w:r>
            <w:r/>
          </w:p>
          <w:p>
            <w:pPr>
              <w:pStyle w:val="748"/>
              <w:spacing w:line="400" w:lineRule="exact"/>
              <w:widowControl/>
              <w:rPr>
                <w:rFonts w:ascii="宋体" w:hAnsi="宋体"/>
                <w:szCs w:val="24"/>
              </w:rPr>
            </w:pPr>
            <w:r>
              <w:rPr>
                <w:rFonts w:hint="eastAsia" w:ascii="宋体" w:hAnsi="宋体"/>
                <w:szCs w:val="24"/>
              </w:rPr>
              <w:t xml:space="preserve">4、投标人具有有效的数据管理能力成熟度证书得3分，提供证书复印件或扫描件，未提供不得分。</w:t>
            </w:r>
            <w:r>
              <w:rPr>
                <w:rFonts w:ascii="宋体" w:hAnsi="宋体"/>
                <w:szCs w:val="24"/>
              </w:rPr>
            </w:r>
            <w:r/>
          </w:p>
          <w:p>
            <w:pPr>
              <w:pStyle w:val="748"/>
              <w:spacing w:line="400" w:lineRule="exact"/>
              <w:widowControl/>
              <w:rPr>
                <w:rFonts w:ascii="宋体" w:hAnsi="宋体"/>
                <w:szCs w:val="24"/>
              </w:rPr>
            </w:pPr>
            <w:r>
              <w:rPr>
                <w:rFonts w:hint="eastAsia" w:ascii="宋体" w:hAnsi="宋体"/>
                <w:szCs w:val="24"/>
              </w:rPr>
              <w:t xml:space="preserve">5、投标人具有有效的符合《商品售后服务评价体系》国家标准（GB/T27922-2011）的售后服务认证证书得3分，提供证书复印件或扫描件，未提供不得分。</w:t>
            </w:r>
            <w:r>
              <w:rPr>
                <w:rFonts w:ascii="宋体" w:hAnsi="宋体"/>
                <w:szCs w:val="24"/>
              </w:rPr>
            </w:r>
            <w:r/>
          </w:p>
        </w:tc>
      </w:tr>
      <w:tr>
        <w:trPr>
          <w:cantSplit/>
        </w:trPr>
        <w:tc>
          <w:tcPr>
            <w:tcW w:w="680" w:type="pct"/>
            <w:vAlign w:val="center"/>
            <w:vMerge w:val="continue"/>
            <w:textDirection w:val="lrTb"/>
            <w:noWrap w:val="false"/>
          </w:tcPr>
          <w:p>
            <w:pPr>
              <w:pStyle w:val="748"/>
              <w:jc w:val="left"/>
              <w:spacing w:line="400" w:lineRule="exact"/>
              <w:widowControl/>
              <w:rPr>
                <w:rFonts w:ascii="宋体" w:hAnsi="宋体"/>
                <w:szCs w:val="24"/>
              </w:rPr>
            </w:pPr>
            <w:r>
              <w:rPr>
                <w:rFonts w:ascii="宋体" w:hAnsi="宋体"/>
                <w:szCs w:val="24"/>
              </w:rPr>
            </w:r>
            <w:r/>
          </w:p>
        </w:tc>
        <w:tc>
          <w:tcPr>
            <w:tcW w:w="684" w:type="pct"/>
            <w:vAlign w:val="center"/>
            <w:textDirection w:val="lrTb"/>
            <w:noWrap w:val="false"/>
          </w:tcPr>
          <w:p>
            <w:pPr>
              <w:pStyle w:val="748"/>
              <w:spacing w:line="400" w:lineRule="exact"/>
              <w:widowControl/>
              <w:rPr>
                <w:rFonts w:ascii="宋体" w:hAnsi="宋体"/>
                <w:szCs w:val="24"/>
              </w:rPr>
            </w:pPr>
            <w:r>
              <w:rPr>
                <w:rFonts w:hint="eastAsia" w:ascii="宋体" w:hAnsi="宋体"/>
                <w:szCs w:val="24"/>
              </w:rPr>
              <w:t xml:space="preserve">2.2承诺函（5分）</w:t>
            </w:r>
            <w:r>
              <w:rPr>
                <w:rFonts w:ascii="宋体" w:hAnsi="宋体"/>
                <w:szCs w:val="24"/>
              </w:rPr>
            </w:r>
            <w:r/>
          </w:p>
        </w:tc>
        <w:tc>
          <w:tcPr>
            <w:tcW w:w="3635" w:type="pct"/>
            <w:vAlign w:val="center"/>
            <w:textDirection w:val="lrTb"/>
            <w:noWrap w:val="false"/>
          </w:tcPr>
          <w:p>
            <w:pPr>
              <w:pStyle w:val="748"/>
              <w:spacing w:line="400" w:lineRule="exact"/>
              <w:widowControl/>
              <w:rPr>
                <w:rFonts w:ascii="宋体" w:hAnsi="宋体"/>
                <w:szCs w:val="24"/>
              </w:rPr>
            </w:pPr>
            <w:r>
              <w:rPr>
                <w:rFonts w:hint="eastAsia" w:ascii="宋体" w:hAnsi="宋体"/>
                <w:szCs w:val="24"/>
              </w:rPr>
              <w:t xml:space="preserve">投标人（含服务团队所有成员）必须对项目实施过程中的技术文件以及由招标人提供的所有内部资料、技术文档、数据和信息予以保密，未经招标人许可，不得以任何形式向第三方透露本项目的内部资料和数据信息，提供承诺函并加盖投标人公章，得5分。</w:t>
            </w:r>
            <w:r>
              <w:rPr>
                <w:rFonts w:ascii="宋体" w:hAnsi="宋体"/>
                <w:szCs w:val="24"/>
              </w:rPr>
            </w:r>
            <w:r/>
          </w:p>
        </w:tc>
      </w:tr>
      <w:tr>
        <w:trPr>
          <w:cantSplit/>
        </w:trPr>
        <w:tc>
          <w:tcPr>
            <w:tcW w:w="680" w:type="pct"/>
            <w:vAlign w:val="center"/>
            <w:vMerge w:val="continue"/>
            <w:textDirection w:val="lrTb"/>
            <w:noWrap w:val="false"/>
          </w:tcPr>
          <w:p>
            <w:pPr>
              <w:pStyle w:val="748"/>
              <w:jc w:val="left"/>
              <w:spacing w:line="400" w:lineRule="exact"/>
              <w:widowControl/>
              <w:rPr>
                <w:rFonts w:ascii="宋体" w:hAnsi="宋体"/>
                <w:szCs w:val="24"/>
              </w:rPr>
            </w:pPr>
            <w:r>
              <w:rPr>
                <w:rFonts w:ascii="宋体" w:hAnsi="宋体"/>
                <w:szCs w:val="24"/>
              </w:rPr>
            </w:r>
            <w:r/>
          </w:p>
        </w:tc>
        <w:tc>
          <w:tcPr>
            <w:tcW w:w="684" w:type="pct"/>
            <w:vAlign w:val="center"/>
            <w:textDirection w:val="lrTb"/>
            <w:noWrap w:val="false"/>
          </w:tcPr>
          <w:p>
            <w:pPr>
              <w:pStyle w:val="748"/>
              <w:spacing w:line="400" w:lineRule="exact"/>
              <w:widowControl/>
              <w:rPr>
                <w:rFonts w:ascii="宋体" w:hAnsi="宋体"/>
                <w:szCs w:val="24"/>
              </w:rPr>
            </w:pPr>
            <w:r>
              <w:rPr>
                <w:rFonts w:hint="eastAsia" w:ascii="宋体" w:hAnsi="宋体"/>
                <w:szCs w:val="24"/>
              </w:rPr>
              <w:t xml:space="preserve">2.3投标人业绩（6分）</w:t>
            </w:r>
            <w:r>
              <w:rPr>
                <w:rFonts w:ascii="宋体" w:hAnsi="宋体"/>
                <w:szCs w:val="24"/>
              </w:rPr>
            </w:r>
            <w:r/>
          </w:p>
        </w:tc>
        <w:tc>
          <w:tcPr>
            <w:tcW w:w="3635" w:type="pct"/>
            <w:vAlign w:val="top"/>
            <w:textDirection w:val="lrTb"/>
            <w:noWrap w:val="false"/>
          </w:tcPr>
          <w:p>
            <w:pPr>
              <w:pStyle w:val="748"/>
              <w:spacing w:line="400" w:lineRule="exact"/>
              <w:widowControl/>
              <w:rPr>
                <w:rFonts w:ascii="宋体" w:hAnsi="宋体"/>
                <w:szCs w:val="24"/>
              </w:rPr>
            </w:pPr>
            <w:r>
              <w:rPr>
                <w:rFonts w:hint="eastAsia" w:ascii="宋体" w:hAnsi="宋体"/>
                <w:szCs w:val="24"/>
              </w:rPr>
              <w:t xml:space="preserve">自2022年1月1日以来（以合同签订时间为准），投标人具有信息化项目业绩的，每提供一个业绩得2分，最高得6分。须提供项目合同关键页复印件或扫描件并加盖投标人公章。</w:t>
            </w:r>
            <w:r>
              <w:rPr>
                <w:rFonts w:ascii="宋体" w:hAnsi="宋体"/>
                <w:szCs w:val="24"/>
              </w:rPr>
            </w:r>
            <w:r/>
          </w:p>
        </w:tc>
      </w:tr>
      <w:tr>
        <w:trPr>
          <w:cantSplit/>
        </w:trPr>
        <w:tc>
          <w:tcPr>
            <w:tcW w:w="680" w:type="pct"/>
            <w:vAlign w:val="center"/>
            <w:vMerge w:val="continue"/>
            <w:textDirection w:val="lrTb"/>
            <w:noWrap w:val="false"/>
          </w:tcPr>
          <w:p>
            <w:pPr>
              <w:pStyle w:val="748"/>
              <w:jc w:val="left"/>
              <w:spacing w:line="400" w:lineRule="exact"/>
              <w:widowControl/>
              <w:rPr>
                <w:rFonts w:ascii="宋体" w:hAnsi="宋体"/>
                <w:szCs w:val="24"/>
              </w:rPr>
            </w:pPr>
            <w:r>
              <w:rPr>
                <w:rFonts w:ascii="宋体" w:hAnsi="宋体"/>
                <w:szCs w:val="24"/>
              </w:rPr>
            </w:r>
            <w:r/>
          </w:p>
        </w:tc>
        <w:tc>
          <w:tcPr>
            <w:tcW w:w="684" w:type="pct"/>
            <w:vAlign w:val="center"/>
            <w:textDirection w:val="lrTb"/>
            <w:noWrap w:val="false"/>
          </w:tcPr>
          <w:p>
            <w:pPr>
              <w:pStyle w:val="748"/>
              <w:spacing w:line="400" w:lineRule="exact"/>
              <w:widowControl/>
              <w:rPr>
                <w:rFonts w:ascii="宋体" w:hAnsi="宋体"/>
                <w:szCs w:val="24"/>
              </w:rPr>
            </w:pPr>
            <w:r>
              <w:rPr>
                <w:rFonts w:hint="eastAsia" w:ascii="宋体" w:hAnsi="宋体"/>
                <w:szCs w:val="24"/>
              </w:rPr>
              <w:t xml:space="preserve">2.4项目实施团队（4分）</w:t>
            </w:r>
            <w:r>
              <w:rPr>
                <w:rFonts w:ascii="宋体" w:hAnsi="宋体"/>
                <w:szCs w:val="24"/>
              </w:rPr>
            </w:r>
            <w:r/>
          </w:p>
        </w:tc>
        <w:tc>
          <w:tcPr>
            <w:tcW w:w="3635" w:type="pct"/>
            <w:vAlign w:val="center"/>
            <w:textDirection w:val="lrTb"/>
            <w:noWrap w:val="false"/>
          </w:tcPr>
          <w:p>
            <w:pPr>
              <w:pStyle w:val="748"/>
              <w:spacing w:line="400" w:lineRule="exact"/>
              <w:widowControl/>
              <w:rPr>
                <w:rFonts w:ascii="宋体" w:hAnsi="Calibri" w:cs="Courier New"/>
                <w:szCs w:val="24"/>
              </w:rPr>
            </w:pPr>
            <w:r>
              <w:rPr>
                <w:rFonts w:hint="eastAsia" w:ascii="宋体" w:hAnsi="Calibri" w:cs="Courier New"/>
                <w:szCs w:val="24"/>
              </w:rPr>
              <w:t xml:space="preserve">2.4.1投入本项目的项目经理具有信息系统项目管理师证书得1分，学历本科及以上得1分。本项最高得2分。</w:t>
            </w:r>
            <w:r>
              <w:rPr>
                <w:rFonts w:ascii="宋体" w:hAnsi="Calibri" w:cs="Courier New"/>
                <w:szCs w:val="24"/>
              </w:rPr>
            </w:r>
            <w:r/>
          </w:p>
          <w:p>
            <w:pPr>
              <w:pStyle w:val="748"/>
              <w:spacing w:line="400" w:lineRule="exact"/>
              <w:widowControl/>
              <w:rPr>
                <w:rFonts w:ascii="Calibri" w:hAnsi="Calibri" w:cs="Arial"/>
              </w:rPr>
            </w:pPr>
            <w:r>
              <w:rPr>
                <w:rFonts w:hint="eastAsia" w:ascii="宋体" w:hAnsi="Calibri" w:cs="Courier New"/>
                <w:szCs w:val="24"/>
              </w:rPr>
              <w:t xml:space="preserve">2.4.2项目团队其他成员（不含项目经理）具有软考系统集成项目管理工程师证书或软考软件设计师证书或软考网络工程师证书得1分，最高得1分；学历本科及以上得1分。本项最高得2分</w:t>
            </w:r>
            <w:r>
              <w:rPr>
                <w:rFonts w:hint="eastAsia" w:ascii="Calibri" w:hAnsi="Calibri" w:cs="Arial"/>
              </w:rPr>
              <w:t xml:space="preserve">。</w:t>
            </w:r>
            <w:r>
              <w:rPr>
                <w:rFonts w:ascii="Calibri" w:hAnsi="Calibri" w:cs="Arial"/>
              </w:rPr>
            </w:r>
            <w:r/>
          </w:p>
          <w:p>
            <w:pPr>
              <w:pStyle w:val="748"/>
              <w:keepLines/>
              <w:keepNext/>
              <w:spacing w:line="400" w:lineRule="exact"/>
              <w:rPr>
                <w:rFonts w:ascii="Arial" w:hAnsi="Arial" w:eastAsia="黑体" w:cs="Arial"/>
                <w:b/>
                <w:sz w:val="32"/>
                <w:szCs w:val="22"/>
              </w:rPr>
              <w:outlineLvl w:val="1"/>
            </w:pPr>
            <w:r>
              <w:rPr>
                <w:rFonts w:hint="eastAsia" w:ascii="宋体" w:hAnsi="Calibri" w:cs="Courier New"/>
                <w:szCs w:val="24"/>
              </w:rPr>
              <w:t xml:space="preserve">（提供相关证书复印件，以及投标人为该人员缴纳的半年内任意1个月的社保证明）</w:t>
            </w:r>
            <w:r>
              <w:rPr>
                <w:rFonts w:ascii="Arial" w:hAnsi="Arial" w:eastAsia="黑体" w:cs="Arial"/>
                <w:b/>
                <w:sz w:val="32"/>
                <w:szCs w:val="22"/>
              </w:rPr>
            </w:r>
            <w:r/>
          </w:p>
        </w:tc>
      </w:tr>
      <w:tr>
        <w:trPr>
          <w:cantSplit/>
          <w:trHeight w:val="994"/>
        </w:trPr>
        <w:tc>
          <w:tcPr>
            <w:tcW w:w="680" w:type="pct"/>
            <w:vAlign w:val="center"/>
            <w:vMerge w:val="restart"/>
            <w:textDirection w:val="lrTb"/>
            <w:noWrap w:val="false"/>
          </w:tcPr>
          <w:p>
            <w:pPr>
              <w:pStyle w:val="748"/>
              <w:spacing w:line="400" w:lineRule="exact"/>
              <w:widowControl/>
              <w:rPr>
                <w:rFonts w:ascii="宋体" w:hAnsi="宋体"/>
                <w:szCs w:val="24"/>
              </w:rPr>
            </w:pPr>
            <w:r>
              <w:rPr>
                <w:rFonts w:hint="eastAsia" w:ascii="宋体" w:hAnsi="宋体"/>
                <w:bCs/>
                <w:szCs w:val="24"/>
              </w:rPr>
              <w:t xml:space="preserve">三、技术部分（60分）</w:t>
            </w:r>
            <w:r>
              <w:rPr>
                <w:rFonts w:ascii="宋体" w:hAnsi="宋体"/>
                <w:szCs w:val="24"/>
              </w:rPr>
            </w:r>
            <w:r/>
          </w:p>
        </w:tc>
        <w:tc>
          <w:tcPr>
            <w:tcW w:w="684" w:type="pct"/>
            <w:vAlign w:val="center"/>
            <w:textDirection w:val="lrTb"/>
            <w:noWrap w:val="false"/>
          </w:tcPr>
          <w:p>
            <w:pPr>
              <w:pStyle w:val="748"/>
              <w:spacing w:line="400" w:lineRule="exact"/>
              <w:rPr>
                <w:rFonts w:ascii="宋体" w:hAnsi="宋体"/>
                <w:szCs w:val="24"/>
              </w:rPr>
            </w:pPr>
            <w:r>
              <w:rPr>
                <w:rFonts w:hint="eastAsia"/>
              </w:rPr>
              <w:t xml:space="preserve">3.1</w:t>
            </w:r>
            <w:r>
              <w:t xml:space="preserve">项目需求</w:t>
            </w:r>
            <w:r>
              <w:rPr>
                <w:rFonts w:hint="eastAsia"/>
              </w:rPr>
              <w:t xml:space="preserve">理解</w:t>
            </w:r>
            <w:r>
              <w:t xml:space="preserve">方案</w:t>
            </w:r>
            <w:r>
              <w:rPr>
                <w:rFonts w:hint="eastAsia"/>
              </w:rPr>
              <w:t xml:space="preserve">（5分）</w:t>
            </w:r>
            <w:r>
              <w:rPr>
                <w:rFonts w:ascii="宋体" w:hAnsi="宋体"/>
                <w:szCs w:val="24"/>
              </w:rPr>
            </w:r>
            <w:r/>
          </w:p>
        </w:tc>
        <w:tc>
          <w:tcPr>
            <w:tcW w:w="3635" w:type="pct"/>
            <w:vAlign w:val="center"/>
            <w:textDirection w:val="lrTb"/>
            <w:noWrap w:val="false"/>
          </w:tcPr>
          <w:p>
            <w:pPr>
              <w:pStyle w:val="748"/>
              <w:spacing w:line="400" w:lineRule="exact"/>
              <w:widowControl/>
              <w:rPr>
                <w:rFonts w:ascii="Calibri" w:hAnsi="Calibri" w:cs="Arial"/>
              </w:rPr>
            </w:pPr>
            <w:r>
              <w:rPr>
                <w:rFonts w:hint="eastAsia" w:ascii="Calibri" w:hAnsi="Calibri" w:cs="Arial"/>
              </w:rPr>
              <w:t xml:space="preserve">评委根据投标文件对招标文件</w:t>
            </w:r>
            <w:r>
              <w:rPr>
                <w:rFonts w:hint="eastAsia"/>
              </w:rPr>
              <w:t xml:space="preserve">“</w:t>
            </w:r>
            <w:r>
              <w:rPr>
                <w:rFonts w:hint="eastAsia" w:ascii="宋体" w:hAnsi="Calibri" w:cs="Courier New"/>
                <w:szCs w:val="24"/>
              </w:rPr>
              <w:t xml:space="preserve">项目需求理解方案</w:t>
            </w:r>
            <w:r>
              <w:rPr>
                <w:rFonts w:hint="eastAsia"/>
              </w:rPr>
              <w:t xml:space="preserve">”</w:t>
            </w:r>
            <w:r>
              <w:rPr>
                <w:rFonts w:hint="eastAsia" w:ascii="Calibri" w:hAnsi="Calibri" w:cs="Arial"/>
              </w:rPr>
              <w:t xml:space="preserve">要求的响应情况进行评审：</w:t>
            </w:r>
            <w:r>
              <w:rPr>
                <w:rFonts w:ascii="Calibri" w:hAnsi="Calibri" w:cs="Arial"/>
              </w:rPr>
            </w:r>
            <w:r/>
          </w:p>
          <w:p>
            <w:pPr>
              <w:pStyle w:val="748"/>
              <w:spacing w:line="400" w:lineRule="exact"/>
              <w:widowControl/>
              <w:rPr>
                <w:rFonts w:ascii="Calibri" w:hAnsi="Calibri" w:cs="Arial"/>
              </w:rPr>
            </w:pPr>
            <w:r>
              <w:rPr>
                <w:rFonts w:hint="eastAsia" w:ascii="Calibri" w:hAnsi="Calibri" w:cs="Arial"/>
              </w:rPr>
              <w:t xml:space="preserve">（1）投标文件未符合</w:t>
            </w:r>
            <w:r>
              <w:rPr>
                <w:rFonts w:hint="eastAsia"/>
              </w:rPr>
              <w:t xml:space="preserve">“</w:t>
            </w:r>
            <w:r>
              <w:rPr>
                <w:rFonts w:hint="eastAsia" w:ascii="Calibri" w:hAnsi="Calibri" w:cs="Arial"/>
              </w:rPr>
              <w:t xml:space="preserve">项目需求理解方案</w:t>
            </w:r>
            <w:r>
              <w:rPr>
                <w:rFonts w:hint="eastAsia"/>
              </w:rPr>
              <w:t xml:space="preserve">”</w:t>
            </w:r>
            <w:r>
              <w:rPr>
                <w:rFonts w:hint="eastAsia" w:ascii="Calibri" w:hAnsi="Calibri" w:cs="Arial"/>
              </w:rPr>
              <w:t xml:space="preserve">中全部条款要求的，视为不符合招标文件要求，本项得0分。</w:t>
            </w:r>
            <w:r>
              <w:rPr>
                <w:rFonts w:ascii="Calibri" w:hAnsi="Calibri" w:cs="Arial"/>
              </w:rPr>
            </w:r>
            <w:r/>
          </w:p>
          <w:p>
            <w:pPr>
              <w:pStyle w:val="748"/>
              <w:spacing w:line="400" w:lineRule="exact"/>
              <w:widowControl/>
              <w:rPr>
                <w:rFonts w:ascii="Calibri" w:hAnsi="Calibri" w:cs="Arial"/>
              </w:rPr>
            </w:pPr>
            <w:r>
              <w:rPr>
                <w:rFonts w:hint="eastAsia" w:ascii="Calibri" w:hAnsi="Calibri" w:cs="Arial"/>
              </w:rPr>
              <w:t xml:space="preserve">（2）投标文件符合</w:t>
            </w:r>
            <w:r>
              <w:rPr>
                <w:rFonts w:hint="eastAsia"/>
              </w:rPr>
              <w:t xml:space="preserve">“项目需求理解方案”</w:t>
            </w:r>
            <w:r>
              <w:rPr>
                <w:rFonts w:hint="eastAsia" w:ascii="Calibri" w:hAnsi="Calibri" w:cs="Arial"/>
              </w:rPr>
              <w:t xml:space="preserve">中全部条款要求的，视为符合招标文件要求，本项得3分。</w:t>
            </w:r>
            <w:r>
              <w:rPr>
                <w:rFonts w:ascii="Calibri" w:hAnsi="Calibri" w:cs="Arial"/>
              </w:rPr>
            </w:r>
            <w:r/>
          </w:p>
          <w:p>
            <w:pPr>
              <w:pStyle w:val="748"/>
              <w:spacing w:line="400" w:lineRule="exact"/>
              <w:widowControl/>
              <w:rPr>
                <w:rFonts w:ascii="宋体" w:hAnsi="宋体"/>
                <w:szCs w:val="24"/>
              </w:rPr>
            </w:pPr>
            <w:r>
              <w:rPr>
                <w:rFonts w:hint="eastAsia" w:ascii="Calibri" w:hAnsi="Calibri" w:cs="Arial"/>
              </w:rPr>
              <w:t xml:space="preserve">（3）投标文件对</w:t>
            </w:r>
            <w:r>
              <w:rPr>
                <w:rFonts w:hint="eastAsia"/>
              </w:rPr>
              <w:t xml:space="preserve">“项目需求理解方案”</w:t>
            </w:r>
            <w:r>
              <w:rPr>
                <w:rFonts w:hint="eastAsia" w:ascii="Calibri" w:hAnsi="Calibri" w:cs="Arial"/>
              </w:rPr>
              <w:t xml:space="preserve">中</w:t>
            </w:r>
            <w:r>
              <w:rPr>
                <w:rFonts w:hint="eastAsia"/>
              </w:rPr>
              <w:t xml:space="preserve">“</w:t>
            </w:r>
            <w:r>
              <w:rPr>
                <w:rFonts w:hint="eastAsia" w:ascii="Calibri" w:hAnsi="Calibri" w:cs="Arial"/>
              </w:rPr>
              <w:t xml:space="preserve">项目背景与建设目标理解</w:t>
            </w:r>
            <w:r>
              <w:rPr>
                <w:rFonts w:hint="eastAsia"/>
              </w:rPr>
              <w:t xml:space="preserve">”</w:t>
            </w:r>
            <w:r>
              <w:rPr>
                <w:rFonts w:hint="eastAsia" w:ascii="Calibri" w:hAnsi="Calibri" w:cs="Arial"/>
              </w:rPr>
              <w:t xml:space="preserve">要求的响应内容优于招标文件要求的（前提是投标文件对</w:t>
            </w:r>
            <w:r>
              <w:rPr>
                <w:rFonts w:hint="eastAsia"/>
              </w:rPr>
              <w:t xml:space="preserve">“</w:t>
            </w:r>
            <w:r>
              <w:rPr>
                <w:rFonts w:hint="eastAsia" w:ascii="Calibri" w:hAnsi="Calibri" w:cs="Arial"/>
              </w:rPr>
              <w:t xml:space="preserve">项目需求理解方案</w:t>
            </w:r>
            <w:r>
              <w:rPr>
                <w:rFonts w:hint="eastAsia"/>
              </w:rPr>
              <w:t xml:space="preserve">”</w:t>
            </w:r>
            <w:r>
              <w:rPr>
                <w:rFonts w:hint="eastAsia" w:ascii="Calibri" w:hAnsi="Calibri" w:cs="Arial"/>
              </w:rPr>
              <w:t xml:space="preserve">中除</w:t>
            </w:r>
            <w:r>
              <w:rPr>
                <w:rFonts w:hint="eastAsia"/>
              </w:rPr>
              <w:t xml:space="preserve">“</w:t>
            </w:r>
            <w:r>
              <w:rPr>
                <w:rFonts w:hint="eastAsia" w:ascii="Calibri" w:hAnsi="Calibri" w:cs="Arial"/>
              </w:rPr>
              <w:t xml:space="preserve">项目背景与建设目标理解</w:t>
            </w:r>
            <w:r>
              <w:rPr>
                <w:rFonts w:hint="eastAsia"/>
              </w:rPr>
              <w:t xml:space="preserve">”</w:t>
            </w:r>
            <w:r>
              <w:rPr>
                <w:rFonts w:hint="eastAsia" w:ascii="Calibri" w:hAnsi="Calibri" w:cs="Arial"/>
              </w:rPr>
              <w:t xml:space="preserve">外其他要求响应内容符合招标文件要求），本项得5分。</w:t>
            </w:r>
            <w:r>
              <w:rPr>
                <w:rFonts w:ascii="宋体" w:hAnsi="宋体"/>
                <w:szCs w:val="24"/>
              </w:rPr>
            </w:r>
            <w:r/>
          </w:p>
        </w:tc>
      </w:tr>
      <w:tr>
        <w:trPr>
          <w:cantSplit/>
          <w:trHeight w:val="994"/>
        </w:trPr>
        <w:tc>
          <w:tcPr>
            <w:tcW w:w="680" w:type="pct"/>
            <w:vAlign w:val="center"/>
            <w:vMerge w:val="continue"/>
            <w:textDirection w:val="lrTb"/>
            <w:noWrap w:val="false"/>
          </w:tcPr>
          <w:p>
            <w:pPr>
              <w:pStyle w:val="748"/>
              <w:spacing w:line="400" w:lineRule="exact"/>
              <w:widowControl/>
              <w:rPr>
                <w:rFonts w:ascii="宋体" w:hAnsi="宋体"/>
                <w:bCs/>
                <w:szCs w:val="24"/>
              </w:rPr>
            </w:pPr>
            <w:r>
              <w:rPr>
                <w:rFonts w:ascii="宋体" w:hAnsi="宋体"/>
                <w:bCs/>
                <w:szCs w:val="24"/>
              </w:rPr>
            </w:r>
            <w:r/>
          </w:p>
        </w:tc>
        <w:tc>
          <w:tcPr>
            <w:tcW w:w="684" w:type="pct"/>
            <w:vAlign w:val="center"/>
            <w:textDirection w:val="lrTb"/>
            <w:noWrap w:val="false"/>
          </w:tcPr>
          <w:p>
            <w:pPr>
              <w:pStyle w:val="748"/>
              <w:spacing w:line="400" w:lineRule="exact"/>
              <w:rPr>
                <w:rFonts w:ascii="宋体" w:hAnsi="宋体"/>
                <w:szCs w:val="24"/>
              </w:rPr>
            </w:pPr>
            <w:r>
              <w:rPr>
                <w:rFonts w:hint="eastAsia"/>
              </w:rPr>
              <w:t xml:space="preserve">3.2项目总体设计方案（5分）</w:t>
            </w:r>
            <w:r>
              <w:rPr>
                <w:rFonts w:ascii="宋体" w:hAnsi="宋体"/>
                <w:szCs w:val="24"/>
              </w:rPr>
            </w:r>
            <w:r/>
          </w:p>
        </w:tc>
        <w:tc>
          <w:tcPr>
            <w:tcW w:w="3635" w:type="pct"/>
            <w:vAlign w:val="center"/>
            <w:textDirection w:val="lrTb"/>
            <w:noWrap w:val="false"/>
          </w:tcPr>
          <w:p>
            <w:pPr>
              <w:pStyle w:val="748"/>
              <w:spacing w:line="400" w:lineRule="exact"/>
              <w:widowControl/>
              <w:rPr>
                <w:rFonts w:ascii="Calibri" w:hAnsi="Calibri" w:cs="Arial"/>
              </w:rPr>
            </w:pPr>
            <w:r>
              <w:rPr>
                <w:rFonts w:hint="eastAsia" w:ascii="Calibri" w:hAnsi="Calibri" w:cs="Arial"/>
              </w:rPr>
              <w:t xml:space="preserve">评委根据投标文件对招标文件</w:t>
            </w:r>
            <w:r>
              <w:rPr>
                <w:rFonts w:hint="eastAsia"/>
              </w:rPr>
              <w:t xml:space="preserve">“</w:t>
            </w:r>
            <w:r>
              <w:rPr>
                <w:rFonts w:hint="eastAsia" w:ascii="宋体" w:hAnsi="Calibri" w:cs="Courier New"/>
                <w:szCs w:val="24"/>
              </w:rPr>
              <w:t xml:space="preserve">项目总体设计方案</w:t>
            </w:r>
            <w:r>
              <w:rPr>
                <w:rFonts w:hint="eastAsia"/>
              </w:rPr>
              <w:t xml:space="preserve">”</w:t>
            </w:r>
            <w:r>
              <w:rPr>
                <w:rFonts w:hint="eastAsia" w:ascii="Calibri" w:hAnsi="Calibri" w:cs="Arial"/>
              </w:rPr>
              <w:t xml:space="preserve">要求的响应情况进行评审：</w:t>
            </w:r>
            <w:r>
              <w:rPr>
                <w:rFonts w:ascii="Calibri" w:hAnsi="Calibri" w:cs="Arial"/>
              </w:rPr>
            </w:r>
            <w:r/>
          </w:p>
          <w:p>
            <w:pPr>
              <w:pStyle w:val="748"/>
              <w:spacing w:line="400" w:lineRule="exact"/>
              <w:widowControl/>
              <w:rPr>
                <w:rFonts w:ascii="Calibri" w:hAnsi="Calibri" w:cs="Arial"/>
              </w:rPr>
            </w:pPr>
            <w:r>
              <w:rPr>
                <w:rFonts w:hint="eastAsia"/>
              </w:rPr>
              <w:t xml:space="preserve">（1）</w:t>
            </w:r>
            <w:r>
              <w:rPr>
                <w:rFonts w:hint="eastAsia" w:ascii="Calibri" w:hAnsi="Calibri" w:cs="Arial"/>
              </w:rPr>
              <w:t xml:space="preserve">投标文件未符合</w:t>
            </w:r>
            <w:r>
              <w:rPr>
                <w:rFonts w:hint="eastAsia"/>
              </w:rPr>
              <w:t xml:space="preserve">“</w:t>
            </w:r>
            <w:r>
              <w:rPr>
                <w:rFonts w:hint="eastAsia" w:ascii="Calibri" w:hAnsi="Calibri" w:cs="Arial"/>
              </w:rPr>
              <w:t xml:space="preserve">项目总体设计方案</w:t>
            </w:r>
            <w:r>
              <w:rPr>
                <w:rFonts w:hint="eastAsia"/>
              </w:rPr>
              <w:t xml:space="preserve">”</w:t>
            </w:r>
            <w:r>
              <w:rPr>
                <w:rFonts w:hint="eastAsia" w:ascii="Calibri" w:hAnsi="Calibri" w:cs="Arial"/>
              </w:rPr>
              <w:t xml:space="preserve">中全部条款要求的，视为不符合招标文件要求，本项得0分。</w:t>
            </w:r>
            <w:r>
              <w:rPr>
                <w:rFonts w:ascii="Calibri" w:hAnsi="Calibri" w:cs="Arial"/>
              </w:rPr>
            </w:r>
            <w:r/>
          </w:p>
          <w:p>
            <w:pPr>
              <w:pStyle w:val="748"/>
              <w:spacing w:line="400" w:lineRule="exact"/>
              <w:widowControl/>
              <w:rPr>
                <w:rFonts w:ascii="Calibri" w:hAnsi="Calibri" w:cs="Arial"/>
              </w:rPr>
            </w:pPr>
            <w:r>
              <w:rPr>
                <w:rFonts w:hint="eastAsia" w:ascii="Calibri" w:hAnsi="Calibri" w:cs="Arial"/>
              </w:rPr>
              <w:t xml:space="preserve">（2）投标文件符合</w:t>
            </w:r>
            <w:r>
              <w:rPr>
                <w:rFonts w:hint="eastAsia"/>
              </w:rPr>
              <w:t xml:space="preserve">“项目总体设计方案”</w:t>
            </w:r>
            <w:r>
              <w:rPr>
                <w:rFonts w:hint="eastAsia" w:ascii="Calibri" w:hAnsi="Calibri" w:cs="Arial"/>
              </w:rPr>
              <w:t xml:space="preserve">中全部条款要求的，视为符合招标文件要求，本项得3分。</w:t>
            </w:r>
            <w:r>
              <w:rPr>
                <w:rFonts w:ascii="Calibri" w:hAnsi="Calibri" w:cs="Arial"/>
              </w:rPr>
            </w:r>
            <w:r/>
          </w:p>
          <w:p>
            <w:pPr>
              <w:pStyle w:val="748"/>
              <w:spacing w:line="400" w:lineRule="exact"/>
              <w:widowControl/>
              <w:rPr>
                <w:rFonts w:ascii="宋体" w:hAnsi="宋体"/>
                <w:szCs w:val="24"/>
              </w:rPr>
            </w:pPr>
            <w:r>
              <w:rPr>
                <w:rFonts w:hint="eastAsia" w:ascii="Calibri" w:hAnsi="Calibri" w:cs="Arial"/>
              </w:rPr>
              <w:t xml:space="preserve">（3）投标文件对</w:t>
            </w:r>
            <w:r>
              <w:rPr>
                <w:rFonts w:hint="eastAsia"/>
              </w:rPr>
              <w:t xml:space="preserve">“项目总体设计方案”</w:t>
            </w:r>
            <w:r>
              <w:rPr>
                <w:rFonts w:hint="eastAsia" w:ascii="Calibri" w:hAnsi="Calibri" w:cs="Arial"/>
              </w:rPr>
              <w:t xml:space="preserve">中</w:t>
            </w:r>
            <w:r>
              <w:rPr>
                <w:rFonts w:hint="eastAsia"/>
              </w:rPr>
              <w:t xml:space="preserve">“</w:t>
            </w:r>
            <w:r>
              <w:rPr>
                <w:rFonts w:hint="eastAsia" w:ascii="Calibri" w:hAnsi="Calibri" w:cs="Arial"/>
              </w:rPr>
              <w:t xml:space="preserve">总体架构与技术架构设计</w:t>
            </w:r>
            <w:r>
              <w:rPr>
                <w:rFonts w:hint="eastAsia"/>
              </w:rPr>
              <w:t xml:space="preserve">”</w:t>
            </w:r>
            <w:bookmarkStart w:id="252" w:name="OLE_LINK58"/>
            <w:r>
              <w:rPr>
                <w:rFonts w:hint="eastAsia" w:ascii="Calibri" w:hAnsi="Calibri" w:cs="Arial"/>
              </w:rPr>
              <w:t xml:space="preserve">要求的响应内容全部优于招标文件要求的</w:t>
            </w:r>
            <w:bookmarkEnd w:id="252"/>
            <w:r>
              <w:rPr>
                <w:rFonts w:hint="eastAsia" w:ascii="Calibri" w:hAnsi="Calibri" w:cs="Arial"/>
              </w:rPr>
              <w:t xml:space="preserve">（前提是投标文件对</w:t>
            </w:r>
            <w:r>
              <w:rPr>
                <w:rFonts w:hint="eastAsia"/>
              </w:rPr>
              <w:t xml:space="preserve">“项目总体设计方案”</w:t>
            </w:r>
            <w:r>
              <w:rPr>
                <w:rFonts w:hint="eastAsia" w:ascii="Calibri" w:hAnsi="Calibri" w:cs="Arial"/>
              </w:rPr>
              <w:t xml:space="preserve">中除</w:t>
            </w:r>
            <w:r>
              <w:rPr>
                <w:rFonts w:hint="eastAsia"/>
              </w:rPr>
              <w:t xml:space="preserve">“</w:t>
            </w:r>
            <w:r>
              <w:rPr>
                <w:rFonts w:hint="eastAsia" w:ascii="Calibri" w:hAnsi="Calibri" w:cs="Arial"/>
              </w:rPr>
              <w:t xml:space="preserve">总体架构与技术架构设计</w:t>
            </w:r>
            <w:r>
              <w:rPr>
                <w:rFonts w:hint="eastAsia"/>
              </w:rPr>
              <w:t xml:space="preserve">”</w:t>
            </w:r>
            <w:r>
              <w:rPr>
                <w:rFonts w:hint="eastAsia" w:ascii="Calibri" w:hAnsi="Calibri" w:cs="Arial"/>
              </w:rPr>
              <w:t xml:space="preserve">外其他要求响应内容符合招标文件要求），本项得5分。</w:t>
            </w:r>
            <w:r>
              <w:rPr>
                <w:rFonts w:ascii="宋体" w:hAnsi="宋体"/>
                <w:szCs w:val="24"/>
              </w:rPr>
            </w:r>
            <w:r/>
          </w:p>
        </w:tc>
      </w:tr>
      <w:tr>
        <w:trPr>
          <w:cantSplit/>
          <w:trHeight w:val="994"/>
        </w:trPr>
        <w:tc>
          <w:tcPr>
            <w:tcW w:w="680" w:type="pct"/>
            <w:vAlign w:val="center"/>
            <w:vMerge w:val="continue"/>
            <w:textDirection w:val="lrTb"/>
            <w:noWrap w:val="false"/>
          </w:tcPr>
          <w:p>
            <w:pPr>
              <w:pStyle w:val="748"/>
              <w:spacing w:line="400" w:lineRule="exact"/>
              <w:widowControl/>
              <w:rPr>
                <w:rFonts w:ascii="宋体" w:hAnsi="宋体"/>
                <w:szCs w:val="24"/>
              </w:rPr>
            </w:pPr>
            <w:r>
              <w:rPr>
                <w:rFonts w:ascii="宋体" w:hAnsi="宋体"/>
                <w:szCs w:val="24"/>
              </w:rPr>
            </w:r>
            <w:r/>
          </w:p>
        </w:tc>
        <w:tc>
          <w:tcPr>
            <w:tcW w:w="684" w:type="pct"/>
            <w:vAlign w:val="center"/>
            <w:textDirection w:val="lrTb"/>
            <w:noWrap w:val="false"/>
          </w:tcPr>
          <w:p>
            <w:pPr>
              <w:pStyle w:val="748"/>
              <w:spacing w:line="400" w:lineRule="exact"/>
              <w:rPr>
                <w:rFonts w:ascii="宋体" w:hAnsi="宋体"/>
                <w:szCs w:val="24"/>
              </w:rPr>
            </w:pPr>
            <w:r>
              <w:rPr>
                <w:rFonts w:hint="eastAsia" w:ascii="宋体" w:hAnsi="Calibri" w:cs="Courier New"/>
                <w:szCs w:val="24"/>
              </w:rPr>
              <w:t xml:space="preserve">3.3需求响应方案</w:t>
            </w:r>
            <w:r>
              <w:rPr>
                <w:rFonts w:hint="eastAsia" w:ascii="宋体" w:hAnsi="宋体"/>
                <w:szCs w:val="24"/>
              </w:rPr>
              <w:t xml:space="preserve">（30分）</w:t>
            </w:r>
            <w:r>
              <w:rPr>
                <w:rFonts w:ascii="宋体" w:hAnsi="宋体"/>
                <w:szCs w:val="24"/>
              </w:rPr>
            </w:r>
            <w:r/>
          </w:p>
        </w:tc>
        <w:tc>
          <w:tcPr>
            <w:tcW w:w="3635" w:type="pct"/>
            <w:vAlign w:val="center"/>
            <w:textDirection w:val="lrTb"/>
            <w:noWrap w:val="false"/>
          </w:tcPr>
          <w:p>
            <w:pPr>
              <w:pStyle w:val="748"/>
              <w:spacing w:line="400" w:lineRule="exact"/>
              <w:rPr>
                <w:rFonts w:ascii="宋体" w:hAnsi="宋体"/>
                <w:szCs w:val="24"/>
              </w:rPr>
            </w:pPr>
            <w:r>
              <w:rPr>
                <w:rFonts w:hint="eastAsia" w:ascii="宋体" w:hAnsi="宋体"/>
                <w:szCs w:val="24"/>
              </w:rPr>
              <w:t xml:space="preserve">评委根据投标人对本分包采购需求中“适配需求”中所有打▲的技术内容响应情况进行打分，其中：</w:t>
            </w:r>
            <w:r>
              <w:rPr>
                <w:rFonts w:ascii="宋体" w:hAnsi="宋体"/>
                <w:szCs w:val="24"/>
              </w:rPr>
            </w:r>
            <w:r/>
          </w:p>
          <w:p>
            <w:pPr>
              <w:pStyle w:val="748"/>
              <w:spacing w:line="400" w:lineRule="exact"/>
              <w:rPr>
                <w:rFonts w:ascii="宋体" w:hAnsi="宋体"/>
                <w:szCs w:val="24"/>
              </w:rPr>
            </w:pPr>
            <w:r>
              <w:rPr>
                <w:rFonts w:hint="eastAsia" w:ascii="宋体" w:hAnsi="宋体"/>
                <w:szCs w:val="24"/>
              </w:rPr>
              <w:t xml:space="preserve">3.3.1“基础插件芯片架构适配、信息化平台国产化操作系统适配、浏览器适配、前台页面H</w:t>
            </w:r>
            <w:r>
              <w:rPr>
                <w:rFonts w:ascii="宋体" w:hAnsi="宋体"/>
                <w:szCs w:val="24"/>
              </w:rPr>
              <w:t xml:space="preserve">5</w:t>
            </w:r>
            <w:r>
              <w:rPr>
                <w:rFonts w:hint="eastAsia" w:ascii="宋体" w:hAnsi="宋体"/>
                <w:szCs w:val="24"/>
              </w:rPr>
              <w:t xml:space="preserve">适配、国产化容器中间件替代”五项每项4分，全部响应满足要求共得20分。</w:t>
            </w:r>
            <w:r>
              <w:rPr>
                <w:rFonts w:ascii="宋体" w:hAnsi="宋体"/>
                <w:szCs w:val="24"/>
              </w:rPr>
            </w:r>
            <w:r/>
          </w:p>
          <w:p>
            <w:pPr>
              <w:pStyle w:val="748"/>
              <w:spacing w:line="400" w:lineRule="exact"/>
              <w:rPr>
                <w:rFonts w:ascii="宋体" w:hAnsi="宋体"/>
                <w:szCs w:val="24"/>
              </w:rPr>
            </w:pPr>
            <w:r>
              <w:rPr>
                <w:rFonts w:hint="eastAsia" w:ascii="宋体" w:hAnsi="宋体"/>
                <w:szCs w:val="24"/>
              </w:rPr>
              <w:t xml:space="preserve">3.3.2“国产化数据库替代”中“表结构适配、</w:t>
            </w:r>
            <w:r>
              <w:rPr>
                <w:rFonts w:ascii="宋体" w:hAnsi="宋体"/>
                <w:szCs w:val="24"/>
              </w:rPr>
              <w:t xml:space="preserve">JDBC</w:t>
            </w:r>
            <w:r>
              <w:rPr>
                <w:rFonts w:hint="eastAsia" w:ascii="宋体" w:hAnsi="宋体"/>
                <w:szCs w:val="24"/>
              </w:rPr>
              <w:t xml:space="preserve">包适配、数据迁移、</w:t>
            </w:r>
            <w:r>
              <w:rPr>
                <w:rFonts w:ascii="宋体" w:hAnsi="宋体"/>
                <w:szCs w:val="24"/>
              </w:rPr>
              <w:t xml:space="preserve">SQL</w:t>
            </w:r>
            <w:r>
              <w:rPr>
                <w:rFonts w:hint="eastAsia" w:ascii="宋体" w:hAnsi="宋体"/>
                <w:szCs w:val="24"/>
              </w:rPr>
              <w:t xml:space="preserve">写法修改、存储过程和函数迁移”五项每项2分，全部响应满足要求共得10分。</w:t>
            </w:r>
            <w:r>
              <w:rPr>
                <w:rFonts w:ascii="宋体" w:hAnsi="宋体"/>
                <w:szCs w:val="24"/>
              </w:rPr>
            </w:r>
            <w:r/>
          </w:p>
          <w:p>
            <w:pPr>
              <w:pStyle w:val="748"/>
              <w:spacing w:line="400" w:lineRule="exact"/>
              <w:rPr>
                <w:rFonts w:ascii="宋体" w:hAnsi="宋体"/>
                <w:szCs w:val="24"/>
              </w:rPr>
            </w:pPr>
            <w:r>
              <w:rPr>
                <w:rFonts w:hint="eastAsia" w:ascii="宋体" w:hAnsi="宋体"/>
                <w:szCs w:val="24"/>
              </w:rPr>
              <w:t xml:space="preserve">每有一项不满足负偏离的扣除对应分数，扣完为止。（投标人须详细填写技术要求响应与偏离表）</w:t>
            </w:r>
            <w:r>
              <w:rPr>
                <w:rFonts w:ascii="宋体" w:hAnsi="宋体"/>
                <w:szCs w:val="24"/>
              </w:rPr>
            </w:r>
            <w:r/>
          </w:p>
        </w:tc>
      </w:tr>
      <w:tr>
        <w:trPr>
          <w:cantSplit/>
        </w:trPr>
        <w:tc>
          <w:tcPr>
            <w:tcW w:w="680" w:type="pct"/>
            <w:vAlign w:val="center"/>
            <w:vMerge w:val="continue"/>
            <w:textDirection w:val="lrTb"/>
            <w:noWrap w:val="false"/>
          </w:tcPr>
          <w:p>
            <w:pPr>
              <w:pStyle w:val="748"/>
              <w:jc w:val="left"/>
              <w:spacing w:line="400" w:lineRule="exact"/>
              <w:widowControl/>
              <w:rPr>
                <w:rFonts w:ascii="宋体" w:hAnsi="宋体"/>
                <w:szCs w:val="24"/>
              </w:rPr>
            </w:pPr>
            <w:r>
              <w:rPr>
                <w:rFonts w:ascii="宋体" w:hAnsi="宋体"/>
                <w:szCs w:val="24"/>
              </w:rPr>
            </w:r>
            <w:r/>
          </w:p>
        </w:tc>
        <w:tc>
          <w:tcPr>
            <w:tcW w:w="684" w:type="pct"/>
            <w:vAlign w:val="center"/>
            <w:textDirection w:val="lrTb"/>
            <w:noWrap w:val="false"/>
          </w:tcPr>
          <w:p>
            <w:pPr>
              <w:pStyle w:val="748"/>
              <w:spacing w:line="400" w:lineRule="exact"/>
              <w:widowControl/>
              <w:rPr>
                <w:rFonts w:ascii="宋体" w:hAnsi="宋体"/>
                <w:bCs/>
                <w:szCs w:val="24"/>
              </w:rPr>
            </w:pPr>
            <w:r>
              <w:rPr>
                <w:rFonts w:hint="eastAsia" w:ascii="宋体" w:hAnsi="宋体"/>
                <w:szCs w:val="24"/>
              </w:rPr>
              <w:t xml:space="preserve">3.4项目实施方案（4分）</w:t>
            </w:r>
            <w:r>
              <w:rPr>
                <w:rFonts w:ascii="宋体" w:hAnsi="宋体"/>
                <w:bCs/>
                <w:szCs w:val="24"/>
              </w:rPr>
            </w:r>
            <w:r/>
          </w:p>
        </w:tc>
        <w:tc>
          <w:tcPr>
            <w:tcW w:w="3635" w:type="pct"/>
            <w:vAlign w:val="center"/>
            <w:textDirection w:val="lrTb"/>
            <w:noWrap w:val="false"/>
          </w:tcPr>
          <w:p>
            <w:pPr>
              <w:pStyle w:val="748"/>
              <w:spacing w:line="400" w:lineRule="exact"/>
              <w:widowControl/>
              <w:rPr>
                <w:rFonts w:ascii="Calibri" w:hAnsi="Calibri" w:cs="Arial"/>
              </w:rPr>
            </w:pPr>
            <w:r>
              <w:rPr>
                <w:rFonts w:hint="eastAsia" w:ascii="Calibri" w:hAnsi="Calibri" w:cs="Arial"/>
              </w:rPr>
              <w:t xml:space="preserve">评委根据投标文件对招标文件“采购需求”中“项目实施方案”的响应情况进行评审：</w:t>
            </w:r>
            <w:r>
              <w:rPr>
                <w:rFonts w:ascii="Calibri" w:hAnsi="Calibri" w:cs="Arial"/>
              </w:rPr>
            </w:r>
            <w:r/>
          </w:p>
          <w:p>
            <w:pPr>
              <w:pStyle w:val="748"/>
              <w:spacing w:line="400" w:lineRule="exact"/>
              <w:widowControl/>
              <w:rPr>
                <w:rFonts w:ascii="Calibri" w:hAnsi="Calibri" w:cs="Arial"/>
              </w:rPr>
            </w:pPr>
            <w:r>
              <w:rPr>
                <w:rFonts w:hint="eastAsia" w:ascii="Calibri" w:hAnsi="Calibri" w:cs="Arial"/>
              </w:rPr>
              <w:t xml:space="preserve">（1）投标文件未符合“项目实施方案”中全部条款要求的，视为不符合招标文件，本项得0分。</w:t>
            </w:r>
            <w:r>
              <w:rPr>
                <w:rFonts w:ascii="Calibri" w:hAnsi="Calibri" w:cs="Arial"/>
              </w:rPr>
            </w:r>
            <w:r/>
          </w:p>
          <w:p>
            <w:pPr>
              <w:pStyle w:val="748"/>
              <w:spacing w:line="400" w:lineRule="exact"/>
              <w:widowControl/>
              <w:rPr>
                <w:rFonts w:ascii="Calibri" w:hAnsi="Calibri" w:cs="Arial"/>
              </w:rPr>
            </w:pPr>
            <w:r>
              <w:rPr>
                <w:rFonts w:hint="eastAsia" w:ascii="Calibri" w:hAnsi="Calibri" w:cs="Arial"/>
              </w:rPr>
              <w:t xml:space="preserve">（2）投标文件符合“项目实施方案”中全部条款要求的，视为符合招标文件，本项得2分。</w:t>
            </w:r>
            <w:r>
              <w:rPr>
                <w:rFonts w:ascii="Calibri" w:hAnsi="Calibri" w:cs="Arial"/>
              </w:rPr>
            </w:r>
            <w:r/>
          </w:p>
          <w:p>
            <w:pPr>
              <w:pStyle w:val="748"/>
              <w:spacing w:line="400" w:lineRule="exact"/>
              <w:widowControl/>
              <w:rPr>
                <w:rFonts w:ascii="Calibri" w:hAnsi="Calibri" w:cs="Arial"/>
              </w:rPr>
            </w:pPr>
            <w:r>
              <w:rPr>
                <w:rFonts w:hint="eastAsia" w:ascii="Calibri" w:hAnsi="Calibri" w:cs="Arial"/>
              </w:rPr>
              <w:t xml:space="preserve">（3）投标文件对“项目实施方案”中“</w:t>
            </w:r>
            <w:r>
              <w:rPr>
                <w:rFonts w:hint="eastAsia" w:ascii="宋体" w:hAnsi="Calibri" w:cs="Courier New"/>
                <w:szCs w:val="24"/>
              </w:rPr>
              <w:t xml:space="preserve">进度计划</w:t>
            </w:r>
            <w:r>
              <w:rPr>
                <w:rFonts w:hint="eastAsia" w:ascii="Calibri" w:hAnsi="Calibri" w:cs="Arial"/>
              </w:rPr>
              <w:t xml:space="preserve">”</w:t>
            </w:r>
            <w:bookmarkStart w:id="253" w:name="OLE_LINK59"/>
            <w:r>
              <w:rPr>
                <w:rFonts w:hint="eastAsia" w:ascii="Calibri" w:hAnsi="Calibri" w:cs="Arial"/>
              </w:rPr>
              <w:t xml:space="preserve">要求的响应内容全部优于招标文件要求的</w:t>
            </w:r>
            <w:bookmarkEnd w:id="253"/>
            <w:r>
              <w:rPr>
                <w:rFonts w:hint="eastAsia" w:ascii="Calibri" w:hAnsi="Calibri" w:cs="Arial"/>
              </w:rPr>
              <w:t xml:space="preserve">（前提是投标文件对“项目实施方案”中除“</w:t>
            </w:r>
            <w:r>
              <w:rPr>
                <w:rFonts w:hint="eastAsia" w:ascii="宋体" w:hAnsi="Calibri" w:cs="Courier New"/>
                <w:szCs w:val="24"/>
              </w:rPr>
              <w:t xml:space="preserve">进度计划</w:t>
            </w:r>
            <w:r>
              <w:rPr>
                <w:rFonts w:hint="eastAsia" w:ascii="Calibri" w:hAnsi="Calibri" w:cs="Arial"/>
              </w:rPr>
              <w:t xml:space="preserve">”外其他要求响应内容符合招标文件要求），本项得4分。</w:t>
            </w:r>
            <w:r>
              <w:rPr>
                <w:rFonts w:ascii="Calibri" w:hAnsi="Calibri" w:cs="Arial"/>
              </w:rPr>
            </w:r>
            <w:r/>
          </w:p>
        </w:tc>
      </w:tr>
      <w:tr>
        <w:trPr>
          <w:cantSplit/>
        </w:trPr>
        <w:tc>
          <w:tcPr>
            <w:tcW w:w="680" w:type="pct"/>
            <w:vAlign w:val="center"/>
            <w:vMerge w:val="continue"/>
            <w:textDirection w:val="lrTb"/>
            <w:noWrap w:val="false"/>
          </w:tcPr>
          <w:p>
            <w:pPr>
              <w:pStyle w:val="748"/>
              <w:jc w:val="left"/>
              <w:spacing w:line="400" w:lineRule="exact"/>
              <w:widowControl/>
              <w:rPr>
                <w:rFonts w:ascii="宋体" w:hAnsi="宋体"/>
                <w:szCs w:val="24"/>
              </w:rPr>
            </w:pPr>
            <w:r>
              <w:rPr>
                <w:rFonts w:ascii="宋体" w:hAnsi="宋体"/>
                <w:szCs w:val="24"/>
              </w:rPr>
            </w:r>
            <w:r/>
          </w:p>
        </w:tc>
        <w:tc>
          <w:tcPr>
            <w:tcW w:w="684" w:type="pct"/>
            <w:vAlign w:val="center"/>
            <w:textDirection w:val="lrTb"/>
            <w:noWrap w:val="false"/>
          </w:tcPr>
          <w:p>
            <w:pPr>
              <w:pStyle w:val="748"/>
              <w:spacing w:line="400" w:lineRule="exact"/>
              <w:widowControl/>
              <w:rPr>
                <w:rFonts w:ascii="宋体" w:hAnsi="宋体"/>
                <w:bCs/>
                <w:szCs w:val="24"/>
              </w:rPr>
            </w:pPr>
            <w:r>
              <w:rPr>
                <w:rFonts w:hint="eastAsia" w:ascii="宋体" w:hAnsi="宋体"/>
                <w:szCs w:val="24"/>
              </w:rPr>
              <w:t xml:space="preserve">3.5项目培训方案（4分）</w:t>
            </w:r>
            <w:r>
              <w:rPr>
                <w:rFonts w:ascii="宋体" w:hAnsi="宋体"/>
                <w:bCs/>
                <w:szCs w:val="24"/>
              </w:rPr>
            </w:r>
            <w:r/>
          </w:p>
        </w:tc>
        <w:tc>
          <w:tcPr>
            <w:tcW w:w="3635" w:type="pct"/>
            <w:vAlign w:val="center"/>
            <w:textDirection w:val="lrTb"/>
            <w:noWrap w:val="false"/>
          </w:tcPr>
          <w:p>
            <w:pPr>
              <w:pStyle w:val="748"/>
              <w:spacing w:line="400" w:lineRule="exact"/>
              <w:widowControl/>
              <w:rPr>
                <w:rFonts w:ascii="宋体" w:hAnsi="宋体"/>
                <w:bCs/>
                <w:szCs w:val="24"/>
              </w:rPr>
            </w:pPr>
            <w:r>
              <w:rPr>
                <w:rFonts w:hint="eastAsia" w:ascii="宋体" w:hAnsi="宋体"/>
                <w:bCs/>
                <w:szCs w:val="24"/>
              </w:rPr>
              <w:t xml:space="preserve">评委根据投标文件对招标文件“采购需求”中“项目培训方案”的响应情况进行评审：</w:t>
            </w:r>
            <w:r>
              <w:rPr>
                <w:rFonts w:ascii="宋体" w:hAnsi="宋体"/>
                <w:bCs/>
                <w:szCs w:val="24"/>
              </w:rPr>
            </w:r>
            <w:r/>
          </w:p>
          <w:p>
            <w:pPr>
              <w:pStyle w:val="748"/>
              <w:spacing w:line="400" w:lineRule="exact"/>
              <w:widowControl/>
              <w:rPr>
                <w:rFonts w:ascii="宋体" w:hAnsi="宋体"/>
                <w:bCs/>
                <w:szCs w:val="24"/>
              </w:rPr>
            </w:pPr>
            <w:r>
              <w:rPr>
                <w:rFonts w:hint="eastAsia" w:ascii="宋体" w:hAnsi="宋体"/>
                <w:bCs/>
                <w:szCs w:val="24"/>
              </w:rPr>
              <w:t xml:space="preserve">（1）投标文件未符合“项目培训方案”中全部条款要求的，视为不符合招标文件，本项得0分。</w:t>
            </w:r>
            <w:r>
              <w:rPr>
                <w:rFonts w:ascii="宋体" w:hAnsi="宋体"/>
                <w:bCs/>
                <w:szCs w:val="24"/>
              </w:rPr>
            </w:r>
            <w:r/>
          </w:p>
          <w:p>
            <w:pPr>
              <w:pStyle w:val="748"/>
              <w:spacing w:line="400" w:lineRule="exact"/>
              <w:widowControl/>
              <w:rPr>
                <w:rFonts w:ascii="宋体" w:hAnsi="宋体"/>
                <w:bCs/>
                <w:szCs w:val="24"/>
              </w:rPr>
            </w:pPr>
            <w:r>
              <w:rPr>
                <w:rFonts w:hint="eastAsia" w:ascii="宋体" w:hAnsi="宋体"/>
                <w:bCs/>
                <w:szCs w:val="24"/>
              </w:rPr>
              <w:t xml:space="preserve">（2）投标文件符合“项目培训方案”中全部条款要求的，视为符合招标文件，本项得2分。</w:t>
            </w:r>
            <w:r>
              <w:rPr>
                <w:rFonts w:ascii="宋体" w:hAnsi="宋体"/>
                <w:bCs/>
                <w:szCs w:val="24"/>
              </w:rPr>
            </w:r>
            <w:r/>
          </w:p>
          <w:p>
            <w:pPr>
              <w:pStyle w:val="748"/>
              <w:spacing w:line="400" w:lineRule="exact"/>
              <w:widowControl/>
              <w:rPr>
                <w:rFonts w:ascii="宋体" w:hAnsi="宋体"/>
                <w:bCs/>
                <w:szCs w:val="24"/>
              </w:rPr>
            </w:pPr>
            <w:r>
              <w:rPr>
                <w:rFonts w:hint="eastAsia" w:ascii="宋体" w:hAnsi="宋体"/>
                <w:bCs/>
                <w:szCs w:val="24"/>
              </w:rPr>
              <w:t xml:space="preserve">（3）投标文件对“项目培训方案”中“</w:t>
            </w:r>
            <w:r>
              <w:rPr>
                <w:rFonts w:hint="eastAsia" w:ascii="宋体" w:hAnsi="Calibri" w:cs="Courier New"/>
                <w:szCs w:val="24"/>
              </w:rPr>
              <w:t xml:space="preserve">项目培训规划</w:t>
            </w:r>
            <w:r>
              <w:rPr>
                <w:rFonts w:hint="eastAsia" w:ascii="宋体" w:hAnsi="宋体"/>
                <w:bCs/>
                <w:szCs w:val="24"/>
              </w:rPr>
              <w:t xml:space="preserve">”要求的响应内容全部优于招标文件要求的</w:t>
            </w:r>
            <w:bookmarkStart w:id="254" w:name="OLE_LINK121"/>
            <w:r>
              <w:rPr>
                <w:rFonts w:hint="eastAsia" w:ascii="宋体" w:hAnsi="宋体"/>
                <w:bCs/>
                <w:szCs w:val="24"/>
              </w:rPr>
              <w:t xml:space="preserve">（前提是投标文件对“项目培训方案”中除“</w:t>
            </w:r>
            <w:r>
              <w:rPr>
                <w:rFonts w:hint="eastAsia" w:ascii="宋体" w:hAnsi="Calibri" w:cs="Courier New"/>
                <w:szCs w:val="24"/>
              </w:rPr>
              <w:t xml:space="preserve">项目培训规划</w:t>
            </w:r>
            <w:r>
              <w:rPr>
                <w:rFonts w:hint="eastAsia" w:ascii="宋体" w:hAnsi="宋体"/>
                <w:bCs/>
                <w:szCs w:val="24"/>
              </w:rPr>
              <w:t xml:space="preserve">”外其他要求响应内容符合招标文件要求），</w:t>
            </w:r>
            <w:bookmarkEnd w:id="254"/>
            <w:r>
              <w:rPr>
                <w:rFonts w:hint="eastAsia" w:ascii="宋体" w:hAnsi="宋体"/>
                <w:bCs/>
                <w:szCs w:val="24"/>
              </w:rPr>
              <w:t xml:space="preserve">本项得4分。</w:t>
            </w:r>
            <w:r>
              <w:rPr>
                <w:rFonts w:ascii="宋体" w:hAnsi="宋体"/>
                <w:bCs/>
                <w:szCs w:val="24"/>
              </w:rPr>
            </w:r>
            <w:r/>
          </w:p>
        </w:tc>
      </w:tr>
      <w:tr>
        <w:trPr>
          <w:cantSplit/>
        </w:trPr>
        <w:tc>
          <w:tcPr>
            <w:tcW w:w="680" w:type="pct"/>
            <w:vAlign w:val="center"/>
            <w:vMerge w:val="continue"/>
            <w:textDirection w:val="lrTb"/>
            <w:noWrap w:val="false"/>
          </w:tcPr>
          <w:p>
            <w:pPr>
              <w:pStyle w:val="748"/>
              <w:jc w:val="left"/>
              <w:spacing w:line="400" w:lineRule="exact"/>
              <w:widowControl/>
              <w:rPr>
                <w:rFonts w:ascii="宋体" w:hAnsi="宋体"/>
                <w:szCs w:val="24"/>
              </w:rPr>
            </w:pPr>
            <w:r>
              <w:rPr>
                <w:rFonts w:ascii="宋体" w:hAnsi="宋体"/>
                <w:szCs w:val="24"/>
              </w:rPr>
            </w:r>
            <w:r/>
          </w:p>
        </w:tc>
        <w:tc>
          <w:tcPr>
            <w:tcW w:w="684" w:type="pct"/>
            <w:vAlign w:val="center"/>
            <w:textDirection w:val="lrTb"/>
            <w:noWrap w:val="false"/>
          </w:tcPr>
          <w:p>
            <w:pPr>
              <w:pStyle w:val="748"/>
              <w:spacing w:line="400" w:lineRule="exact"/>
              <w:widowControl/>
              <w:rPr>
                <w:rFonts w:ascii="宋体" w:hAnsi="宋体"/>
                <w:szCs w:val="24"/>
              </w:rPr>
            </w:pPr>
            <w:r>
              <w:rPr>
                <w:rFonts w:hint="eastAsia" w:ascii="宋体" w:hAnsi="宋体"/>
                <w:szCs w:val="24"/>
              </w:rPr>
              <w:t xml:space="preserve">3.6售后服务方案（4分）</w:t>
            </w:r>
            <w:r>
              <w:rPr>
                <w:rFonts w:ascii="宋体" w:hAnsi="宋体"/>
                <w:szCs w:val="24"/>
              </w:rPr>
            </w:r>
            <w:r/>
          </w:p>
        </w:tc>
        <w:tc>
          <w:tcPr>
            <w:tcW w:w="3635" w:type="pct"/>
            <w:vAlign w:val="center"/>
            <w:textDirection w:val="lrTb"/>
            <w:noWrap w:val="false"/>
          </w:tcPr>
          <w:p>
            <w:pPr>
              <w:pStyle w:val="748"/>
              <w:spacing w:line="400" w:lineRule="exact"/>
              <w:widowControl/>
              <w:rPr>
                <w:rFonts w:ascii="宋体" w:hAnsi="宋体"/>
                <w:bCs/>
                <w:szCs w:val="24"/>
              </w:rPr>
            </w:pPr>
            <w:r>
              <w:rPr>
                <w:rFonts w:hint="eastAsia" w:ascii="宋体" w:hAnsi="宋体"/>
                <w:bCs/>
                <w:szCs w:val="24"/>
              </w:rPr>
              <w:t xml:space="preserve">评委根据投标文件对招标文件“采购需求”中“售后服务方案”要求的响应情况进行评审：</w:t>
            </w:r>
            <w:r>
              <w:rPr>
                <w:rFonts w:ascii="宋体" w:hAnsi="宋体"/>
                <w:bCs/>
                <w:szCs w:val="24"/>
              </w:rPr>
            </w:r>
            <w:r/>
          </w:p>
          <w:p>
            <w:pPr>
              <w:pStyle w:val="748"/>
              <w:spacing w:line="400" w:lineRule="exact"/>
              <w:widowControl/>
              <w:rPr>
                <w:rFonts w:ascii="宋体" w:hAnsi="宋体"/>
                <w:bCs/>
                <w:szCs w:val="24"/>
              </w:rPr>
            </w:pPr>
            <w:r>
              <w:rPr>
                <w:rFonts w:hint="eastAsia" w:ascii="宋体" w:hAnsi="宋体"/>
                <w:bCs/>
                <w:szCs w:val="24"/>
              </w:rPr>
              <w:t xml:space="preserve">（1）投标文件未符合“售后服务</w:t>
            </w:r>
            <w:bookmarkStart w:id="255" w:name="OLE_LINK19"/>
            <w:r>
              <w:rPr>
                <w:rFonts w:hint="eastAsia" w:ascii="宋体" w:hAnsi="宋体"/>
                <w:bCs/>
                <w:szCs w:val="24"/>
              </w:rPr>
              <w:t xml:space="preserve">方案</w:t>
            </w:r>
            <w:bookmarkEnd w:id="255"/>
            <w:r>
              <w:rPr>
                <w:rFonts w:hint="eastAsia" w:ascii="宋体" w:hAnsi="宋体"/>
                <w:bCs/>
                <w:szCs w:val="24"/>
              </w:rPr>
              <w:t xml:space="preserve">”中全部条款要求的，视为不符合招标文件，本项得0分。</w:t>
            </w:r>
            <w:r>
              <w:rPr>
                <w:rFonts w:ascii="宋体" w:hAnsi="宋体"/>
                <w:bCs/>
                <w:szCs w:val="24"/>
              </w:rPr>
            </w:r>
            <w:r/>
          </w:p>
          <w:p>
            <w:pPr>
              <w:pStyle w:val="748"/>
              <w:spacing w:line="400" w:lineRule="exact"/>
              <w:widowControl/>
              <w:rPr>
                <w:rFonts w:ascii="宋体" w:hAnsi="宋体"/>
                <w:bCs/>
                <w:szCs w:val="24"/>
              </w:rPr>
            </w:pPr>
            <w:r>
              <w:rPr>
                <w:rFonts w:hint="eastAsia" w:ascii="宋体" w:hAnsi="宋体"/>
                <w:bCs/>
                <w:szCs w:val="24"/>
              </w:rPr>
              <w:t xml:space="preserve">（2）投标文件符合“售后服务方案”中全部条款要求的，视为符合招标文件，本项得2分。</w:t>
            </w:r>
            <w:r>
              <w:rPr>
                <w:rFonts w:ascii="宋体" w:hAnsi="宋体"/>
                <w:bCs/>
                <w:szCs w:val="24"/>
              </w:rPr>
            </w:r>
            <w:r/>
          </w:p>
          <w:p>
            <w:pPr>
              <w:pStyle w:val="748"/>
              <w:spacing w:line="400" w:lineRule="exact"/>
              <w:widowControl/>
              <w:rPr>
                <w:rFonts w:ascii="宋体" w:hAnsi="宋体"/>
                <w:bCs/>
                <w:szCs w:val="24"/>
              </w:rPr>
            </w:pPr>
            <w:r>
              <w:rPr>
                <w:rFonts w:hint="eastAsia" w:ascii="宋体" w:hAnsi="宋体"/>
                <w:bCs/>
                <w:szCs w:val="24"/>
              </w:rPr>
              <w:t xml:space="preserve">（3）投标文件对“售后服务方案”中“</w:t>
            </w:r>
            <w:r>
              <w:rPr>
                <w:rFonts w:hint="eastAsia" w:ascii="宋体" w:hAnsi="Calibri" w:cs="Courier New"/>
                <w:szCs w:val="24"/>
              </w:rPr>
              <w:t xml:space="preserve">响应及维护体系</w:t>
            </w:r>
            <w:r>
              <w:rPr>
                <w:rFonts w:hint="eastAsia" w:ascii="宋体" w:hAnsi="宋体"/>
                <w:bCs/>
                <w:szCs w:val="24"/>
              </w:rPr>
              <w:t xml:space="preserve">”</w:t>
            </w:r>
            <w:r>
              <w:rPr>
                <w:rFonts w:hint="eastAsia"/>
              </w:rPr>
              <w:t xml:space="preserve"> </w:t>
            </w:r>
            <w:r>
              <w:rPr>
                <w:rFonts w:hint="eastAsia" w:ascii="宋体" w:hAnsi="宋体"/>
                <w:bCs/>
                <w:szCs w:val="24"/>
              </w:rPr>
              <w:t xml:space="preserve">要求的响应内容全部优于招标文件要求的（前提是投标文件对“售后服务方案”中除“</w:t>
            </w:r>
            <w:r>
              <w:rPr>
                <w:rFonts w:hint="eastAsia" w:ascii="宋体" w:hAnsi="Calibri" w:cs="Courier New"/>
                <w:szCs w:val="24"/>
              </w:rPr>
              <w:t xml:space="preserve">响应及维护体系</w:t>
            </w:r>
            <w:r>
              <w:rPr>
                <w:rFonts w:hint="eastAsia" w:ascii="宋体" w:hAnsi="宋体"/>
                <w:bCs/>
                <w:szCs w:val="24"/>
              </w:rPr>
              <w:t xml:space="preserve">”外其他要求响应内容符合招标文件要求），本项得4分。</w:t>
            </w:r>
            <w:r>
              <w:rPr>
                <w:rFonts w:ascii="宋体" w:hAnsi="宋体"/>
                <w:bCs/>
                <w:szCs w:val="24"/>
              </w:rPr>
            </w:r>
            <w:r/>
          </w:p>
        </w:tc>
      </w:tr>
      <w:tr>
        <w:trPr>
          <w:cantSplit/>
        </w:trPr>
        <w:tc>
          <w:tcPr>
            <w:tcW w:w="680" w:type="pct"/>
            <w:vAlign w:val="center"/>
            <w:vMerge w:val="continue"/>
            <w:textDirection w:val="lrTb"/>
            <w:noWrap w:val="false"/>
          </w:tcPr>
          <w:p>
            <w:pPr>
              <w:pStyle w:val="748"/>
              <w:jc w:val="left"/>
              <w:spacing w:line="400" w:lineRule="exact"/>
              <w:widowControl/>
              <w:rPr>
                <w:rFonts w:ascii="宋体" w:hAnsi="宋体"/>
                <w:szCs w:val="24"/>
              </w:rPr>
            </w:pPr>
            <w:r>
              <w:rPr>
                <w:rFonts w:ascii="宋体" w:hAnsi="宋体"/>
                <w:szCs w:val="24"/>
              </w:rPr>
            </w:r>
            <w:r/>
          </w:p>
        </w:tc>
        <w:tc>
          <w:tcPr>
            <w:tcW w:w="684" w:type="pct"/>
            <w:vAlign w:val="center"/>
            <w:textDirection w:val="lrTb"/>
            <w:noWrap w:val="false"/>
          </w:tcPr>
          <w:p>
            <w:pPr>
              <w:pStyle w:val="748"/>
              <w:spacing w:line="400" w:lineRule="exact"/>
              <w:widowControl/>
              <w:rPr>
                <w:rFonts w:ascii="宋体" w:hAnsi="宋体"/>
                <w:szCs w:val="24"/>
              </w:rPr>
            </w:pPr>
            <w:r>
              <w:rPr>
                <w:rFonts w:hint="eastAsia"/>
              </w:rPr>
              <w:t xml:space="preserve">3.7保密承诺及措施（4分）</w:t>
            </w:r>
            <w:r>
              <w:rPr>
                <w:rFonts w:ascii="宋体" w:hAnsi="宋体"/>
                <w:szCs w:val="24"/>
              </w:rPr>
            </w:r>
            <w:r/>
          </w:p>
        </w:tc>
        <w:tc>
          <w:tcPr>
            <w:tcW w:w="3635" w:type="pct"/>
            <w:vAlign w:val="center"/>
            <w:textDirection w:val="lrTb"/>
            <w:noWrap w:val="false"/>
          </w:tcPr>
          <w:p>
            <w:pPr>
              <w:pStyle w:val="748"/>
              <w:spacing w:line="400" w:lineRule="exact"/>
              <w:widowControl/>
              <w:rPr>
                <w:rFonts w:ascii="宋体" w:hAnsi="宋体"/>
                <w:bCs/>
                <w:szCs w:val="24"/>
              </w:rPr>
            </w:pPr>
            <w:r>
              <w:rPr>
                <w:rFonts w:hint="eastAsia" w:ascii="宋体" w:hAnsi="宋体"/>
                <w:bCs/>
                <w:szCs w:val="24"/>
              </w:rPr>
              <w:t xml:space="preserve">评委根据投标文件对招标文件“采购需求”中“保密承诺及措施”要求的响应情况进行评审：</w:t>
            </w:r>
            <w:r>
              <w:rPr>
                <w:rFonts w:ascii="宋体" w:hAnsi="宋体"/>
                <w:bCs/>
                <w:szCs w:val="24"/>
              </w:rPr>
            </w:r>
            <w:r/>
          </w:p>
          <w:p>
            <w:pPr>
              <w:pStyle w:val="748"/>
              <w:spacing w:line="400" w:lineRule="exact"/>
              <w:widowControl/>
              <w:rPr>
                <w:rFonts w:ascii="宋体" w:hAnsi="宋体"/>
                <w:bCs/>
                <w:szCs w:val="24"/>
              </w:rPr>
            </w:pPr>
            <w:r>
              <w:rPr>
                <w:rFonts w:hint="eastAsia" w:ascii="宋体" w:hAnsi="宋体"/>
                <w:bCs/>
                <w:szCs w:val="24"/>
              </w:rPr>
              <w:t xml:space="preserve">（1）投标文件未符合“保密承诺及措施”中全部条款要求的，视为不符合招标文件要求，本项得0分。</w:t>
            </w:r>
            <w:r>
              <w:rPr>
                <w:rFonts w:ascii="宋体" w:hAnsi="宋体"/>
                <w:bCs/>
                <w:szCs w:val="24"/>
              </w:rPr>
            </w:r>
            <w:r/>
          </w:p>
          <w:p>
            <w:pPr>
              <w:pStyle w:val="748"/>
              <w:spacing w:line="400" w:lineRule="exact"/>
              <w:widowControl/>
              <w:rPr>
                <w:rFonts w:ascii="宋体" w:hAnsi="宋体"/>
                <w:bCs/>
                <w:szCs w:val="24"/>
              </w:rPr>
            </w:pPr>
            <w:r>
              <w:rPr>
                <w:rFonts w:hint="eastAsia" w:ascii="宋体" w:hAnsi="宋体"/>
                <w:bCs/>
                <w:szCs w:val="24"/>
              </w:rPr>
              <w:t xml:space="preserve">（2）投标文件符合“保密承诺及措施”中全部条款要求的，视为符合招标文件要求，本项得2分。</w:t>
            </w:r>
            <w:r>
              <w:rPr>
                <w:rFonts w:ascii="宋体" w:hAnsi="宋体"/>
                <w:bCs/>
                <w:szCs w:val="24"/>
              </w:rPr>
            </w:r>
            <w:r/>
          </w:p>
          <w:p>
            <w:pPr>
              <w:pStyle w:val="748"/>
              <w:spacing w:line="400" w:lineRule="exact"/>
              <w:widowControl/>
              <w:rPr>
                <w:rFonts w:ascii="宋体" w:hAnsi="宋体"/>
                <w:bCs/>
                <w:szCs w:val="24"/>
              </w:rPr>
            </w:pPr>
            <w:r>
              <w:rPr>
                <w:rFonts w:hint="eastAsia" w:ascii="宋体" w:hAnsi="宋体"/>
                <w:bCs/>
                <w:szCs w:val="24"/>
              </w:rPr>
              <w:t xml:space="preserve">（3）投标文件对“保密承诺及措施”中“保密管理措施”“保密协议”两项要求的响应内容全部优于招标文件要求的（前提是投标文件对“保密承诺及措施”中除“保密管理措施”“保密协议”外其他要求响应内容符合招标文件要求），本项得4分。</w:t>
            </w:r>
            <w:r>
              <w:rPr>
                <w:rFonts w:ascii="宋体" w:hAnsi="宋体"/>
                <w:bCs/>
                <w:szCs w:val="24"/>
              </w:rPr>
            </w:r>
            <w:r/>
          </w:p>
        </w:tc>
      </w:tr>
      <w:tr>
        <w:trPr>
          <w:cantSplit/>
        </w:trPr>
        <w:tc>
          <w:tcPr>
            <w:tcW w:w="680" w:type="pct"/>
            <w:vAlign w:val="center"/>
            <w:vMerge w:val="continue"/>
            <w:textDirection w:val="lrTb"/>
            <w:noWrap w:val="false"/>
          </w:tcPr>
          <w:p>
            <w:pPr>
              <w:pStyle w:val="748"/>
              <w:jc w:val="left"/>
              <w:spacing w:line="400" w:lineRule="exact"/>
              <w:widowControl/>
              <w:rPr>
                <w:rFonts w:ascii="宋体" w:hAnsi="宋体"/>
                <w:szCs w:val="24"/>
              </w:rPr>
            </w:pPr>
            <w:r>
              <w:rPr>
                <w:rFonts w:ascii="宋体" w:hAnsi="宋体"/>
                <w:szCs w:val="24"/>
              </w:rPr>
            </w:r>
            <w:r/>
          </w:p>
        </w:tc>
        <w:tc>
          <w:tcPr>
            <w:tcW w:w="684" w:type="pct"/>
            <w:vAlign w:val="center"/>
            <w:textDirection w:val="lrTb"/>
            <w:noWrap w:val="false"/>
          </w:tcPr>
          <w:p>
            <w:pPr>
              <w:pStyle w:val="748"/>
              <w:spacing w:line="400" w:lineRule="exact"/>
              <w:widowControl/>
              <w:rPr>
                <w:rFonts w:ascii="宋体" w:hAnsi="宋体"/>
                <w:szCs w:val="24"/>
              </w:rPr>
            </w:pPr>
            <w:r>
              <w:rPr>
                <w:rFonts w:hint="eastAsia"/>
              </w:rPr>
              <w:t xml:space="preserve">3.8项目重难点分析及应对方案（4分）</w:t>
            </w:r>
            <w:r>
              <w:rPr>
                <w:rFonts w:ascii="宋体" w:hAnsi="宋体"/>
                <w:szCs w:val="24"/>
              </w:rPr>
            </w:r>
            <w:r/>
          </w:p>
        </w:tc>
        <w:tc>
          <w:tcPr>
            <w:tcW w:w="3635" w:type="pct"/>
            <w:vAlign w:val="center"/>
            <w:textDirection w:val="lrTb"/>
            <w:noWrap w:val="false"/>
          </w:tcPr>
          <w:p>
            <w:pPr>
              <w:pStyle w:val="748"/>
              <w:spacing w:line="400" w:lineRule="exact"/>
              <w:widowControl/>
              <w:rPr>
                <w:rFonts w:ascii="宋体" w:hAnsi="宋体"/>
                <w:bCs/>
                <w:szCs w:val="24"/>
              </w:rPr>
            </w:pPr>
            <w:r>
              <w:rPr>
                <w:rFonts w:hint="eastAsia" w:ascii="宋体" w:hAnsi="宋体"/>
                <w:bCs/>
                <w:szCs w:val="24"/>
              </w:rPr>
              <w:t xml:space="preserve">评委根据投标文件对招标文件第四章“采购需求”中“项目重难点分析及应对方案”要求的响应情况进行评审：</w:t>
            </w:r>
            <w:r>
              <w:rPr>
                <w:rFonts w:ascii="宋体" w:hAnsi="宋体"/>
                <w:bCs/>
                <w:szCs w:val="24"/>
              </w:rPr>
            </w:r>
            <w:r/>
          </w:p>
          <w:p>
            <w:pPr>
              <w:pStyle w:val="748"/>
              <w:spacing w:line="400" w:lineRule="exact"/>
              <w:widowControl/>
              <w:rPr>
                <w:rFonts w:ascii="宋体" w:hAnsi="宋体"/>
                <w:bCs/>
                <w:szCs w:val="24"/>
              </w:rPr>
            </w:pPr>
            <w:r>
              <w:rPr>
                <w:rFonts w:hint="eastAsia" w:ascii="宋体" w:hAnsi="宋体"/>
                <w:bCs/>
                <w:szCs w:val="24"/>
              </w:rPr>
              <w:t xml:space="preserve">（1）投标文件未符合“项目重难点分析及应对方案”中全部条款要求的，视为不符合招标文件要求，本项得0分。</w:t>
            </w:r>
            <w:r>
              <w:rPr>
                <w:rFonts w:ascii="宋体" w:hAnsi="宋体"/>
                <w:bCs/>
                <w:szCs w:val="24"/>
              </w:rPr>
            </w:r>
            <w:r/>
          </w:p>
          <w:p>
            <w:pPr>
              <w:pStyle w:val="748"/>
              <w:spacing w:line="400" w:lineRule="exact"/>
              <w:widowControl/>
              <w:rPr>
                <w:rFonts w:ascii="宋体" w:hAnsi="宋体"/>
                <w:bCs/>
                <w:szCs w:val="24"/>
              </w:rPr>
            </w:pPr>
            <w:r>
              <w:rPr>
                <w:rFonts w:hint="eastAsia" w:ascii="宋体" w:hAnsi="宋体"/>
                <w:bCs/>
                <w:szCs w:val="24"/>
              </w:rPr>
              <w:t xml:space="preserve">（2）投标文件符合“项目重难点分析及应对方案”中全部条款要求的，视为符合招标文件要求，本项得2分。</w:t>
            </w:r>
            <w:r>
              <w:rPr>
                <w:rFonts w:ascii="宋体" w:hAnsi="宋体"/>
                <w:bCs/>
                <w:szCs w:val="24"/>
              </w:rPr>
            </w:r>
            <w:r/>
          </w:p>
          <w:p>
            <w:pPr>
              <w:pStyle w:val="748"/>
              <w:spacing w:line="400" w:lineRule="exact"/>
              <w:widowControl/>
              <w:rPr>
                <w:rFonts w:ascii="宋体" w:hAnsi="宋体"/>
                <w:bCs/>
                <w:szCs w:val="24"/>
              </w:rPr>
            </w:pPr>
            <w:r>
              <w:rPr>
                <w:rFonts w:hint="eastAsia" w:ascii="宋体" w:hAnsi="宋体"/>
                <w:bCs/>
                <w:szCs w:val="24"/>
              </w:rPr>
              <w:t xml:space="preserve">（3）投标文件对“项目重难点分析及应对方案”中“重难点识别”“应对措施”两项要求的响应内容全部优于招标文件要求的（前提是投标文件对“项目重难点分析及应对方案”中除“重难点识别”“应对措施”外其他要求响应内容符合招标文件要求），本项得4分。</w:t>
            </w:r>
            <w:r>
              <w:rPr>
                <w:rFonts w:ascii="宋体" w:hAnsi="宋体"/>
                <w:bCs/>
                <w:szCs w:val="24"/>
              </w:rPr>
            </w:r>
            <w:r/>
          </w:p>
        </w:tc>
      </w:tr>
    </w:tbl>
    <w:p>
      <w:pPr>
        <w:pStyle w:val="748"/>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48"/>
        <w:ind w:firstLine="482"/>
        <w:jc w:val="left"/>
        <w:spacing w:before="120" w:after="120" w:line="400" w:lineRule="exact"/>
        <w:rPr>
          <w:b/>
          <w:sz w:val="24"/>
          <w:szCs w:val="24"/>
        </w:rPr>
      </w:pPr>
      <w:r>
        <w:rPr>
          <w:b/>
          <w:sz w:val="24"/>
          <w:szCs w:val="24"/>
        </w:rPr>
      </w:r>
      <w:r/>
    </w:p>
    <w:p>
      <w:pPr>
        <w:pStyle w:val="748"/>
        <w:spacing w:line="360" w:lineRule="auto"/>
        <w:rPr>
          <w:b/>
          <w:sz w:val="24"/>
          <w:szCs w:val="24"/>
        </w:rPr>
      </w:pPr>
      <w:r>
        <w:rPr>
          <w:b/>
          <w:sz w:val="24"/>
          <w:szCs w:val="24"/>
        </w:rPr>
      </w:r>
      <w:r/>
    </w:p>
    <w:p>
      <w:pPr>
        <w:pStyle w:val="748"/>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48"/>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48"/>
        <w:ind w:firstLine="562"/>
        <w:jc w:val="left"/>
        <w:spacing w:before="120" w:after="120" w:line="400" w:lineRule="exact"/>
        <w:rPr>
          <w:rFonts w:hint="eastAsia" w:ascii="方正仿宋_GBK" w:hAnsi="方正仿宋_GBK" w:eastAsia="方正仿宋_GBK" w:cs="方正仿宋_GBK"/>
          <w:b/>
          <w:sz w:val="28"/>
          <w:szCs w:val="28"/>
        </w:rPr>
      </w:pPr>
      <w:r>
        <w:rPr>
          <w:rFonts w:ascii="方正仿宋_GBK" w:hAnsi="方正仿宋_GBK" w:eastAsia="方正仿宋_GBK" w:cs="方正仿宋_GBK"/>
          <w:b/>
          <w:sz w:val="28"/>
          <w:szCs w:val="28"/>
        </w:rPr>
        <w:br w:type="page" w:clear="all"/>
      </w:r>
      <w:r>
        <w:rPr>
          <w:rFonts w:hint="eastAsia" w:ascii="方正仿宋_GBK" w:hAnsi="方正仿宋_GBK" w:eastAsia="方正仿宋_GBK" w:cs="方正仿宋_GBK"/>
          <w:b/>
          <w:sz w:val="28"/>
          <w:szCs w:val="28"/>
        </w:rPr>
        <w:t xml:space="preserve">采购包四：江苏省收费动态监管服务系统国产化适配改造</w:t>
      </w:r>
      <w:r/>
    </w:p>
    <w:tbl>
      <w:tblPr>
        <w:tblW w:w="90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418"/>
        <w:gridCol w:w="788"/>
        <w:gridCol w:w="6225"/>
      </w:tblGrid>
      <w:tr>
        <w:trPr>
          <w:trHeight w:val="35"/>
        </w:trPr>
        <w:tc>
          <w:tcPr>
            <w:tcBorders>
              <w:top w:val="single" w:color="000000" w:sz="8"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序号</w:t>
            </w:r>
            <w:r>
              <w:rPr>
                <w:rFonts w:ascii="宋体" w:hAnsi="宋体" w:cs="宋体"/>
                <w:sz w:val="20"/>
                <w:szCs w:val="20"/>
              </w:rPr>
            </w:r>
            <w:r/>
          </w:p>
        </w:tc>
        <w:tc>
          <w:tcPr>
            <w:tcBorders>
              <w:top w:val="single" w:color="000000" w:sz="8"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打分内容</w:t>
            </w:r>
            <w:r>
              <w:rPr>
                <w:rFonts w:ascii="宋体" w:hAnsi="宋体" w:cs="宋体"/>
                <w:sz w:val="20"/>
                <w:szCs w:val="20"/>
              </w:rPr>
            </w:r>
            <w:r/>
          </w:p>
        </w:tc>
        <w:tc>
          <w:tcPr>
            <w:tcBorders>
              <w:top w:val="single" w:color="000000" w:sz="8"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最高分值</w:t>
            </w:r>
            <w:r>
              <w:rPr>
                <w:rFonts w:ascii="宋体" w:hAnsi="宋体" w:cs="宋体"/>
                <w:sz w:val="20"/>
                <w:szCs w:val="20"/>
              </w:rPr>
            </w:r>
            <w:r/>
          </w:p>
        </w:tc>
        <w:tc>
          <w:tcPr>
            <w:tcBorders>
              <w:top w:val="single" w:color="000000" w:sz="8"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打分标准</w:t>
            </w:r>
            <w:r>
              <w:rPr>
                <w:rFonts w:ascii="宋体" w:hAnsi="宋体" w:cs="宋体"/>
                <w:sz w:val="20"/>
                <w:szCs w:val="20"/>
              </w:rPr>
            </w:r>
            <w:r/>
          </w:p>
        </w:tc>
      </w:tr>
      <w:tr>
        <w:trPr>
          <w:trHeight w:val="3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一</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价格部分</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10</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报价分计算方法：采用低价优先法计算，即满足采购文件要求且报价最低的供应商报价为评标基准价，其价格分为满分10分。其他投标人的价格分统一按照下列公式计算：投标报价得分=（评标基准价/该投标人的投标报价）×10，按四舍五入法保留两位小数。</w:t>
            </w:r>
            <w:r>
              <w:rPr>
                <w:rFonts w:ascii="宋体" w:hAnsi="宋体" w:cs="宋体"/>
                <w:sz w:val="20"/>
                <w:szCs w:val="20"/>
              </w:rPr>
            </w:r>
            <w:r/>
          </w:p>
        </w:tc>
      </w:tr>
      <w:tr>
        <w:trPr>
          <w:trHeight w:val="3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二</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商务部分</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21</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 </w:t>
            </w:r>
            <w:r>
              <w:rPr>
                <w:rFonts w:ascii="宋体" w:hAnsi="宋体" w:cs="宋体"/>
                <w:sz w:val="20"/>
                <w:szCs w:val="20"/>
              </w:rPr>
            </w:r>
            <w:r/>
          </w:p>
        </w:tc>
      </w:tr>
      <w:tr>
        <w:trPr>
          <w:trHeight w:val="3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hint="eastAsia" w:ascii="宋体" w:hAnsi="宋体" w:cs="宋体"/>
                <w:sz w:val="22"/>
                <w:szCs w:val="20"/>
              </w:rPr>
              <w:t xml:space="preserve">2.</w:t>
            </w:r>
            <w:r>
              <w:rPr>
                <w:rFonts w:ascii="宋体" w:hAnsi="宋体" w:cs="宋体"/>
                <w:sz w:val="22"/>
                <w:szCs w:val="20"/>
              </w:rPr>
              <w:t xml:space="preserve">1</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人员资质</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10</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2"/>
                <w:szCs w:val="20"/>
              </w:rPr>
            </w:pPr>
            <w:r>
              <w:rPr>
                <w:rFonts w:ascii="宋体" w:hAnsi="宋体" w:cs="宋体"/>
                <w:sz w:val="22"/>
                <w:szCs w:val="20"/>
              </w:rPr>
              <w:t xml:space="preserve">投标方人员资质要求：</w:t>
            </w:r>
            <w:r/>
          </w:p>
          <w:p>
            <w:pPr>
              <w:pStyle w:val="748"/>
              <w:jc w:val="left"/>
              <w:spacing w:line="0" w:lineRule="atLeast"/>
              <w:rPr>
                <w:rFonts w:ascii="宋体" w:hAnsi="宋体" w:cs="宋体"/>
                <w:sz w:val="22"/>
                <w:szCs w:val="20"/>
              </w:rPr>
            </w:pPr>
            <w:r>
              <w:rPr>
                <w:rFonts w:hint="eastAsia" w:ascii="宋体" w:hAnsi="宋体" w:cs="宋体"/>
                <w:sz w:val="22"/>
                <w:szCs w:val="20"/>
              </w:rPr>
              <w:t xml:space="preserve">2.1.1、项目经理（1人）</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具备信息系统项目管理师证书得3分。</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2.1.2、技术负责人（1人）</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具备系统集成项目管理工程师证书</w:t>
            </w:r>
            <w:r>
              <w:rPr>
                <w:rFonts w:ascii="宋体" w:hAnsi="宋体" w:cs="宋体"/>
                <w:sz w:val="22"/>
                <w:szCs w:val="20"/>
              </w:rPr>
              <w:t xml:space="preserve">得</w:t>
            </w:r>
            <w:r>
              <w:rPr>
                <w:rFonts w:hint="eastAsia" w:ascii="宋体" w:hAnsi="宋体" w:cs="宋体"/>
                <w:sz w:val="22"/>
                <w:szCs w:val="20"/>
              </w:rPr>
              <w:t xml:space="preserve">2分。</w:t>
            </w:r>
            <w:r>
              <w:rPr>
                <w:rFonts w:ascii="宋体" w:hAnsi="宋体" w:cs="宋体"/>
                <w:sz w:val="22"/>
                <w:szCs w:val="20"/>
              </w:rPr>
            </w:r>
            <w:r/>
          </w:p>
          <w:p>
            <w:pPr>
              <w:pStyle w:val="748"/>
              <w:jc w:val="left"/>
              <w:spacing w:line="0" w:lineRule="atLeast"/>
              <w:rPr>
                <w:rFonts w:ascii="宋体" w:hAnsi="宋体" w:cs="宋体"/>
                <w:sz w:val="20"/>
                <w:szCs w:val="20"/>
              </w:rPr>
            </w:pPr>
            <w:r>
              <w:rPr>
                <w:rFonts w:hint="eastAsia" w:ascii="宋体" w:hAnsi="宋体" w:cs="宋体"/>
                <w:sz w:val="22"/>
                <w:szCs w:val="20"/>
              </w:rPr>
              <w:t xml:space="preserve">2.1.3、其他团队成员（≥6人）</w:t>
            </w:r>
            <w:r>
              <w:rPr>
                <w:rFonts w:ascii="宋体" w:hAnsi="宋体" w:cs="宋体"/>
                <w:sz w:val="20"/>
                <w:szCs w:val="20"/>
              </w:rPr>
            </w:r>
            <w:r/>
          </w:p>
          <w:p>
            <w:pPr>
              <w:pStyle w:val="748"/>
              <w:jc w:val="left"/>
              <w:spacing w:line="0" w:lineRule="atLeast"/>
              <w:rPr>
                <w:rFonts w:ascii="宋体" w:hAnsi="宋体" w:cs="宋体"/>
                <w:sz w:val="20"/>
                <w:szCs w:val="20"/>
              </w:rPr>
            </w:pPr>
            <w:r>
              <w:rPr>
                <w:rFonts w:ascii="宋体" w:hAnsi="宋体" w:cs="宋体"/>
                <w:sz w:val="22"/>
                <w:szCs w:val="20"/>
              </w:rPr>
              <w:t xml:space="preserve">配备1</w:t>
            </w:r>
            <w:r>
              <w:rPr>
                <w:rFonts w:hint="eastAsia" w:ascii="宋体" w:hAnsi="宋体" w:cs="宋体"/>
                <w:sz w:val="22"/>
                <w:szCs w:val="20"/>
              </w:rPr>
              <w:t xml:space="preserve">3</w:t>
            </w:r>
            <w:r>
              <w:rPr>
                <w:rFonts w:ascii="宋体" w:hAnsi="宋体" w:cs="宋体"/>
                <w:sz w:val="22"/>
                <w:szCs w:val="20"/>
              </w:rPr>
              <w:t xml:space="preserve">人及以上的得5 分；配备1</w:t>
            </w:r>
            <w:r>
              <w:rPr>
                <w:rFonts w:hint="eastAsia" w:ascii="宋体" w:hAnsi="宋体" w:cs="宋体"/>
                <w:sz w:val="22"/>
                <w:szCs w:val="20"/>
              </w:rPr>
              <w:t xml:space="preserve">2</w:t>
            </w:r>
            <w:r>
              <w:rPr>
                <w:rFonts w:ascii="宋体" w:hAnsi="宋体" w:cs="宋体"/>
                <w:sz w:val="22"/>
                <w:szCs w:val="20"/>
              </w:rPr>
              <w:t xml:space="preserve">人及以下</w:t>
            </w:r>
            <w:r>
              <w:rPr>
                <w:rFonts w:hint="eastAsia" w:ascii="宋体" w:hAnsi="宋体" w:cs="宋体"/>
                <w:sz w:val="22"/>
                <w:szCs w:val="20"/>
              </w:rPr>
              <w:t xml:space="preserve">9</w:t>
            </w:r>
            <w:r>
              <w:rPr>
                <w:rFonts w:ascii="宋体" w:hAnsi="宋体" w:cs="宋体"/>
                <w:sz w:val="22"/>
                <w:szCs w:val="20"/>
              </w:rPr>
              <w:t xml:space="preserve">人及以上得3分；配备</w:t>
            </w:r>
            <w:r>
              <w:rPr>
                <w:rFonts w:hint="eastAsia" w:ascii="宋体" w:hAnsi="宋体" w:cs="宋体"/>
                <w:sz w:val="22"/>
                <w:szCs w:val="20"/>
              </w:rPr>
              <w:t xml:space="preserve">8</w:t>
            </w:r>
            <w:r>
              <w:rPr>
                <w:rFonts w:ascii="宋体" w:hAnsi="宋体" w:cs="宋体"/>
                <w:sz w:val="22"/>
                <w:szCs w:val="20"/>
              </w:rPr>
              <w:t xml:space="preserve">人及以下的得1分；未提供本项不得分。满分5分。</w:t>
            </w:r>
            <w:r>
              <w:rPr>
                <w:rFonts w:ascii="宋体" w:hAnsi="宋体" w:cs="宋体"/>
                <w:sz w:val="20"/>
                <w:szCs w:val="20"/>
              </w:rPr>
            </w:r>
            <w:r/>
          </w:p>
          <w:p>
            <w:pPr>
              <w:pStyle w:val="748"/>
              <w:jc w:val="left"/>
              <w:spacing w:line="0" w:lineRule="atLeast"/>
              <w:rPr>
                <w:rFonts w:ascii="宋体" w:hAnsi="宋体" w:cs="宋体"/>
                <w:sz w:val="20"/>
                <w:szCs w:val="20"/>
              </w:rPr>
            </w:pPr>
            <w:r>
              <w:rPr>
                <w:rFonts w:ascii="宋体" w:hAnsi="宋体" w:cs="宋体"/>
                <w:sz w:val="22"/>
                <w:szCs w:val="20"/>
              </w:rPr>
              <w:t xml:space="preserve">（注：提供相应人员名单、证书及近 3个月以来投标人为其缴纳的任意一个月的社会保险的证明材料并加盖公章、相关证书复印件并加盖公章）</w:t>
            </w:r>
            <w:r>
              <w:rPr>
                <w:rFonts w:ascii="宋体" w:hAnsi="宋体" w:cs="宋体"/>
                <w:sz w:val="20"/>
                <w:szCs w:val="20"/>
              </w:rPr>
            </w:r>
            <w:r/>
          </w:p>
        </w:tc>
      </w:tr>
      <w:tr>
        <w:trPr>
          <w:trHeight w:val="3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hint="eastAsia" w:ascii="宋体" w:hAnsi="宋体" w:cs="宋体"/>
                <w:sz w:val="22"/>
                <w:szCs w:val="20"/>
              </w:rPr>
              <w:t xml:space="preserve">2.</w:t>
            </w:r>
            <w:r>
              <w:rPr>
                <w:rFonts w:ascii="宋体" w:hAnsi="宋体" w:cs="宋体"/>
                <w:sz w:val="22"/>
                <w:szCs w:val="20"/>
              </w:rPr>
              <w:t xml:space="preserve">2</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技术能力</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3</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投标方针对本项目具备以下关键技术软件著作权登记证书：（1）价格信息管理；（2）收费动态监管服务；（3）价格综合监管；</w:t>
            </w:r>
            <w:r>
              <w:rPr>
                <w:rFonts w:ascii="宋体" w:hAnsi="宋体" w:cs="宋体"/>
                <w:sz w:val="20"/>
                <w:szCs w:val="20"/>
              </w:rPr>
            </w:r>
            <w:r/>
          </w:p>
          <w:p>
            <w:pPr>
              <w:pStyle w:val="748"/>
              <w:jc w:val="left"/>
              <w:spacing w:line="0" w:lineRule="atLeast"/>
              <w:rPr>
                <w:rFonts w:ascii="宋体" w:hAnsi="宋体" w:cs="宋体"/>
                <w:sz w:val="20"/>
                <w:szCs w:val="20"/>
              </w:rPr>
            </w:pPr>
            <w:r>
              <w:rPr>
                <w:rFonts w:ascii="宋体" w:hAnsi="宋体" w:cs="宋体"/>
                <w:sz w:val="22"/>
                <w:szCs w:val="20"/>
              </w:rPr>
              <w:t xml:space="preserve">每提供一个证书得1分，满分3分。</w:t>
            </w:r>
            <w:r>
              <w:rPr>
                <w:rFonts w:ascii="宋体" w:hAnsi="宋体" w:cs="宋体"/>
                <w:sz w:val="20"/>
                <w:szCs w:val="20"/>
              </w:rPr>
            </w:r>
            <w:r/>
          </w:p>
          <w:p>
            <w:pPr>
              <w:pStyle w:val="748"/>
              <w:jc w:val="left"/>
              <w:spacing w:line="0" w:lineRule="atLeast"/>
              <w:rPr>
                <w:rFonts w:ascii="宋体" w:hAnsi="宋体" w:cs="宋体"/>
                <w:sz w:val="20"/>
                <w:szCs w:val="20"/>
              </w:rPr>
            </w:pPr>
            <w:r>
              <w:rPr>
                <w:rFonts w:ascii="宋体" w:hAnsi="宋体" w:cs="宋体"/>
                <w:sz w:val="22"/>
                <w:szCs w:val="20"/>
              </w:rPr>
              <w:t xml:space="preserve">注：响应文件中提供采购公告发布当日之前取得的著作权或软件登记证书复印件并加盖投标方公章，如投标文件中提供的著作权名称表述与招标文件描述的关键字样不一致，而该投标文件中能证明投标人拥有的软件著作权具有相同或相似功能和效果，且评标委员会认可的，视同符合要求。</w:t>
            </w:r>
            <w:r>
              <w:rPr>
                <w:rFonts w:ascii="宋体" w:hAnsi="宋体" w:cs="宋体"/>
                <w:sz w:val="20"/>
                <w:szCs w:val="20"/>
              </w:rPr>
            </w:r>
            <w:r/>
          </w:p>
        </w:tc>
      </w:tr>
      <w:tr>
        <w:trPr>
          <w:trHeight w:val="3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hint="eastAsia" w:ascii="宋体" w:hAnsi="宋体" w:cs="宋体"/>
                <w:sz w:val="22"/>
                <w:szCs w:val="20"/>
              </w:rPr>
              <w:t xml:space="preserve">2.</w:t>
            </w:r>
            <w:r>
              <w:rPr>
                <w:rFonts w:ascii="宋体" w:hAnsi="宋体" w:cs="宋体"/>
                <w:sz w:val="22"/>
                <w:szCs w:val="20"/>
              </w:rPr>
              <w:t xml:space="preserve">3</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业绩</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8</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投标方</w:t>
            </w:r>
            <w:r>
              <w:rPr>
                <w:rFonts w:hint="eastAsia" w:ascii="宋体" w:hAnsi="宋体" w:cs="宋体"/>
                <w:sz w:val="22"/>
                <w:szCs w:val="20"/>
              </w:rPr>
              <w:t xml:space="preserve">自2023年1月1日</w:t>
            </w:r>
            <w:r>
              <w:rPr>
                <w:rFonts w:ascii="宋体" w:hAnsi="宋体" w:cs="宋体"/>
                <w:sz w:val="22"/>
                <w:szCs w:val="20"/>
              </w:rPr>
              <w:t xml:space="preserve">以来（以合同签订时间为准）具有与本项目类似的国产化适配改造经验业绩的，每提供一个业绩案例得2分，此项满分8分，没有或不提供不得分。（需提供合同首页、合同内容关键页和签字盖章页复印件并加盖投标方公章，需体现合同名称、签订双方名称、签订时间）。</w:t>
            </w:r>
            <w:r>
              <w:rPr>
                <w:rFonts w:ascii="宋体" w:hAnsi="宋体" w:cs="宋体"/>
                <w:sz w:val="20"/>
                <w:szCs w:val="20"/>
              </w:rPr>
            </w:r>
            <w:r/>
          </w:p>
        </w:tc>
      </w:tr>
      <w:tr>
        <w:trPr>
          <w:trHeight w:val="3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三</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技术部分</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69</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 </w:t>
            </w:r>
            <w:r>
              <w:rPr>
                <w:rFonts w:ascii="宋体" w:hAnsi="宋体" w:cs="宋体"/>
                <w:sz w:val="20"/>
                <w:szCs w:val="20"/>
              </w:rPr>
            </w:r>
            <w:r/>
          </w:p>
        </w:tc>
      </w:tr>
      <w:tr>
        <w:trPr>
          <w:trHeight w:val="402"/>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2"/>
                <w:szCs w:val="20"/>
              </w:rPr>
            </w:pPr>
            <w:r>
              <w:rPr>
                <w:rFonts w:hint="eastAsia" w:ascii="宋体" w:hAnsi="宋体" w:cs="宋体"/>
                <w:sz w:val="22"/>
                <w:szCs w:val="20"/>
              </w:rPr>
              <w:t xml:space="preserve">3.1</w:t>
            </w:r>
            <w:r>
              <w:rPr>
                <w:rFonts w:ascii="宋体" w:hAnsi="宋体" w:cs="宋体"/>
                <w:sz w:val="22"/>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2"/>
                <w:szCs w:val="20"/>
              </w:rPr>
            </w:pPr>
            <w:r>
              <w:rPr>
                <w:rFonts w:ascii="宋体" w:hAnsi="宋体" w:cs="宋体"/>
                <w:sz w:val="22"/>
                <w:szCs w:val="20"/>
              </w:rPr>
              <w:t xml:space="preserve">系统功能响应情况</w:t>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2"/>
                <w:szCs w:val="20"/>
              </w:rPr>
            </w:pPr>
            <w:r>
              <w:rPr>
                <w:rFonts w:ascii="宋体" w:hAnsi="宋体" w:cs="宋体"/>
                <w:sz w:val="22"/>
                <w:szCs w:val="20"/>
              </w:rPr>
              <w:t xml:space="preserve">24</w:t>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2"/>
                <w:szCs w:val="20"/>
              </w:rPr>
            </w:pPr>
            <w:r>
              <w:rPr>
                <w:rFonts w:ascii="宋体" w:hAnsi="宋体" w:cs="宋体"/>
                <w:sz w:val="22"/>
                <w:szCs w:val="20"/>
              </w:rPr>
              <w:t xml:space="preserve">评委根据投标人提供的系统功能与招标文件分包</w:t>
            </w:r>
            <w:r>
              <w:rPr>
                <w:rFonts w:hint="eastAsia" w:ascii="宋体" w:hAnsi="宋体" w:cs="宋体"/>
                <w:sz w:val="22"/>
                <w:szCs w:val="20"/>
              </w:rPr>
              <w:t xml:space="preserve">5“具体功能清单”</w:t>
            </w:r>
            <w:r>
              <w:rPr>
                <w:rFonts w:ascii="宋体" w:hAnsi="宋体" w:cs="宋体"/>
                <w:sz w:val="22"/>
                <w:szCs w:val="20"/>
              </w:rPr>
              <w:t xml:space="preserve">规定的功能描述要求的满足程度进行打分</w:t>
            </w:r>
            <w:r>
              <w:rPr>
                <w:rFonts w:hint="eastAsia" w:ascii="宋体" w:hAnsi="宋体" w:cs="宋体"/>
                <w:sz w:val="22"/>
                <w:szCs w:val="20"/>
              </w:rPr>
              <w:t xml:space="preserve">，共</w:t>
            </w:r>
            <w:r>
              <w:rPr>
                <w:rFonts w:ascii="宋体" w:hAnsi="宋体" w:cs="宋体"/>
                <w:sz w:val="22"/>
                <w:szCs w:val="20"/>
              </w:rPr>
              <w:t xml:space="preserve">24个功能点，一个功能点1分，一共24分，一项不满足扣1分，扣完为止。</w:t>
            </w:r>
            <w:r/>
          </w:p>
        </w:tc>
      </w:tr>
      <w:tr>
        <w:trPr>
          <w:trHeight w:val="402"/>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hint="eastAsia" w:ascii="宋体" w:hAnsi="宋体" w:cs="宋体"/>
                <w:sz w:val="22"/>
                <w:szCs w:val="20"/>
              </w:rPr>
              <w:t xml:space="preserve">3.2</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bookmarkStart w:id="256" w:name="OLE_LINK107"/>
            <w:r>
              <w:rPr>
                <w:rFonts w:ascii="宋体" w:hAnsi="宋体" w:cs="宋体"/>
                <w:sz w:val="22"/>
                <w:szCs w:val="20"/>
              </w:rPr>
              <w:t xml:space="preserve">需求分析方案</w:t>
            </w:r>
            <w:bookmarkEnd w:id="256"/>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5</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2"/>
                <w:szCs w:val="20"/>
              </w:rPr>
            </w:pPr>
            <w:r>
              <w:rPr>
                <w:rFonts w:hint="eastAsia" w:ascii="宋体" w:hAnsi="宋体" w:cs="宋体"/>
                <w:sz w:val="22"/>
                <w:szCs w:val="20"/>
              </w:rPr>
              <w:t xml:space="preserve">评委根据投标文件对招标文件第四章“采购需求”中“需求分析方案”要求的响应情况进行评审。</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（1）投标文件未符合“需求分析方案”中全部条款要求的，视为不符合招标文件，本项得 0 分。</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（2）投标文件符合“需求分析方案”中全部条款要求的，视为符合招标文件，本项得 3 分。</w:t>
            </w:r>
            <w:r>
              <w:rPr>
                <w:rFonts w:ascii="宋体" w:hAnsi="宋体" w:cs="宋体"/>
                <w:sz w:val="22"/>
                <w:szCs w:val="20"/>
              </w:rPr>
            </w:r>
            <w:r/>
          </w:p>
          <w:p>
            <w:pPr>
              <w:pStyle w:val="748"/>
              <w:jc w:val="left"/>
              <w:spacing w:line="0" w:lineRule="atLeast"/>
              <w:rPr>
                <w:rFonts w:ascii="宋体" w:hAnsi="宋体" w:cs="宋体"/>
                <w:sz w:val="20"/>
                <w:szCs w:val="20"/>
              </w:rPr>
            </w:pPr>
            <w:r>
              <w:rPr>
                <w:rFonts w:hint="eastAsia" w:ascii="宋体" w:hAnsi="宋体" w:cs="宋体"/>
                <w:sz w:val="22"/>
                <w:szCs w:val="20"/>
              </w:rPr>
              <w:t xml:space="preserve">（3）投标文件对“需求分析方案”中“总体思路分析”、 “业务流程分析”两项要求的响应内容全部优于招标文件要求的（前提是投标文件对“需求分析方案”中除“总体思路分析”、“业务流程分析”外其他要求响应内容符合招标文件要求），本项得 5 分。</w:t>
            </w:r>
            <w:r>
              <w:rPr>
                <w:rFonts w:ascii="宋体" w:hAnsi="宋体" w:cs="宋体"/>
                <w:sz w:val="20"/>
                <w:szCs w:val="20"/>
              </w:rPr>
            </w:r>
            <w:r/>
          </w:p>
        </w:tc>
      </w:tr>
      <w:tr>
        <w:trPr>
          <w:trHeight w:val="31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hint="eastAsia" w:ascii="宋体" w:hAnsi="宋体" w:cs="宋体"/>
                <w:sz w:val="22"/>
                <w:szCs w:val="20"/>
              </w:rPr>
              <w:t xml:space="preserve">3.3</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总体设计方案</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5</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2"/>
                <w:szCs w:val="20"/>
              </w:rPr>
            </w:pPr>
            <w:r>
              <w:rPr>
                <w:rFonts w:hint="eastAsia" w:ascii="宋体" w:hAnsi="宋体" w:cs="宋体"/>
                <w:sz w:val="22"/>
                <w:szCs w:val="20"/>
              </w:rPr>
              <w:t xml:space="preserve">评委根据投标文件对招标文件第四章“采购需求”中“总体设计方案”要求的响应情况进行评审。</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（1）投标文件未符合“总体设计方案”中全部条款要求的，视为不符合招标文件，本项得 0 分。</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（2）投标文件符合“总体设计方案”中全部条款要求的，视为符合招标文件，本项得 3 分。</w:t>
            </w:r>
            <w:r>
              <w:rPr>
                <w:rFonts w:ascii="宋体" w:hAnsi="宋体" w:cs="宋体"/>
                <w:sz w:val="22"/>
                <w:szCs w:val="20"/>
              </w:rPr>
            </w:r>
            <w:r/>
          </w:p>
          <w:p>
            <w:pPr>
              <w:pStyle w:val="748"/>
              <w:jc w:val="left"/>
              <w:spacing w:line="0" w:lineRule="atLeast"/>
              <w:rPr>
                <w:rFonts w:ascii="宋体" w:hAnsi="宋体" w:cs="宋体"/>
                <w:sz w:val="20"/>
                <w:szCs w:val="20"/>
              </w:rPr>
            </w:pPr>
            <w:r>
              <w:rPr>
                <w:rFonts w:hint="eastAsia" w:ascii="宋体" w:hAnsi="宋体" w:cs="宋体"/>
                <w:sz w:val="22"/>
                <w:szCs w:val="20"/>
              </w:rPr>
              <w:t xml:space="preserve">（3）投标文件对“总体设计方案”中“总体架构设计”、”技术架构设计”两项要求的响应内容全部优于招标文件要求的（前提是投标文件对“总体设计方案”中除“总体架构设计”、 “技术架构设计”外其他要求响应内容符合招标文件要求），本项得 5 分。</w:t>
            </w:r>
            <w:r>
              <w:rPr>
                <w:rFonts w:ascii="宋体" w:hAnsi="宋体" w:cs="宋体"/>
                <w:sz w:val="20"/>
                <w:szCs w:val="20"/>
              </w:rPr>
            </w:r>
            <w:r/>
          </w:p>
          <w:p>
            <w:pPr>
              <w:pStyle w:val="748"/>
              <w:jc w:val="left"/>
              <w:spacing w:line="0" w:lineRule="atLeast"/>
              <w:rPr>
                <w:rFonts w:ascii="宋体" w:hAnsi="宋体" w:cs="宋体"/>
                <w:sz w:val="20"/>
                <w:szCs w:val="20"/>
              </w:rPr>
            </w:pPr>
            <w:r>
              <w:rPr>
                <w:rFonts w:ascii="宋体" w:hAnsi="宋体" w:cs="宋体"/>
                <w:sz w:val="20"/>
                <w:szCs w:val="20"/>
              </w:rPr>
            </w:r>
            <w:r/>
          </w:p>
        </w:tc>
      </w:tr>
      <w:tr>
        <w:trPr>
          <w:trHeight w:val="31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hint="eastAsia" w:ascii="宋体" w:hAnsi="宋体" w:cs="宋体"/>
                <w:sz w:val="22"/>
                <w:szCs w:val="20"/>
              </w:rPr>
              <w:t xml:space="preserve">3.</w:t>
            </w:r>
            <w:r>
              <w:rPr>
                <w:rFonts w:ascii="宋体" w:hAnsi="宋体" w:cs="宋体"/>
                <w:sz w:val="22"/>
                <w:szCs w:val="20"/>
              </w:rPr>
              <w:t xml:space="preserve">4</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bookmarkStart w:id="257" w:name="OLE_LINK87"/>
            <w:r/>
            <w:bookmarkStart w:id="258" w:name="OLE_LINK86"/>
            <w:r>
              <w:rPr>
                <w:rFonts w:ascii="宋体" w:hAnsi="宋体" w:cs="宋体"/>
                <w:sz w:val="22"/>
                <w:szCs w:val="20"/>
              </w:rPr>
              <w:t xml:space="preserve">适配改造方案</w:t>
            </w:r>
            <w:bookmarkEnd w:id="257"/>
            <w:r/>
            <w:bookmarkEnd w:id="258"/>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5</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2"/>
                <w:szCs w:val="20"/>
              </w:rPr>
            </w:pPr>
            <w:r>
              <w:rPr>
                <w:rFonts w:hint="eastAsia" w:ascii="宋体" w:hAnsi="宋体" w:cs="宋体"/>
                <w:sz w:val="22"/>
                <w:szCs w:val="20"/>
              </w:rPr>
              <w:t xml:space="preserve">评委根据投标文件对招标文件第四章“采购需求”中“适配改造方案”要求的响应情况进行评审。</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（1）投标文件未符合“适配改造方案”中全部条款要求的，视为不符合招标文件，本项得 0 分。</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（2）投标文件符合“适配改造方案”中全部条款要求的，视为符合招标文件，本项得 3 分。</w:t>
            </w:r>
            <w:r>
              <w:rPr>
                <w:rFonts w:ascii="宋体" w:hAnsi="宋体" w:cs="宋体"/>
                <w:sz w:val="22"/>
                <w:szCs w:val="20"/>
              </w:rPr>
            </w:r>
            <w:r/>
          </w:p>
          <w:p>
            <w:pPr>
              <w:pStyle w:val="748"/>
              <w:jc w:val="left"/>
              <w:spacing w:line="0" w:lineRule="atLeast"/>
              <w:rPr>
                <w:rFonts w:ascii="宋体" w:hAnsi="宋体" w:cs="宋体"/>
                <w:sz w:val="20"/>
                <w:szCs w:val="20"/>
              </w:rPr>
            </w:pPr>
            <w:r>
              <w:rPr>
                <w:rFonts w:hint="eastAsia" w:ascii="宋体" w:hAnsi="宋体" w:cs="宋体"/>
                <w:sz w:val="22"/>
                <w:szCs w:val="20"/>
              </w:rPr>
              <w:t xml:space="preserve">（3）投标文件对“适配改造方案”中“适配实施”、“适配验证”两项要求的响应内容全部优于招标文件要求的（前提是投标文件对“适配改造方案”中除“适配实施”、“适配验证”外其他要求响应内容符合招标文件要求），本项得 5 分。</w:t>
            </w:r>
            <w:r>
              <w:rPr>
                <w:rFonts w:ascii="宋体" w:hAnsi="宋体" w:cs="宋体"/>
                <w:sz w:val="20"/>
                <w:szCs w:val="20"/>
              </w:rPr>
            </w:r>
            <w:r/>
          </w:p>
        </w:tc>
      </w:tr>
      <w:tr>
        <w:trPr>
          <w:trHeight w:val="31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hint="eastAsia" w:ascii="宋体" w:hAnsi="宋体" w:cs="宋体"/>
                <w:sz w:val="22"/>
                <w:szCs w:val="20"/>
              </w:rPr>
              <w:t xml:space="preserve">3.</w:t>
            </w:r>
            <w:r>
              <w:rPr>
                <w:rFonts w:ascii="宋体" w:hAnsi="宋体" w:cs="宋体"/>
                <w:sz w:val="22"/>
                <w:szCs w:val="20"/>
              </w:rPr>
              <w:t xml:space="preserve">5</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bookmarkStart w:id="259" w:name="OLE_LINK88"/>
            <w:r>
              <w:rPr>
                <w:rFonts w:ascii="宋体" w:hAnsi="宋体" w:cs="宋体"/>
                <w:sz w:val="22"/>
                <w:szCs w:val="20"/>
              </w:rPr>
              <w:t xml:space="preserve">迁移服务方案</w:t>
            </w:r>
            <w:bookmarkEnd w:id="259"/>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5</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2"/>
                <w:szCs w:val="20"/>
              </w:rPr>
            </w:pPr>
            <w:r>
              <w:rPr>
                <w:rFonts w:hint="eastAsia" w:ascii="宋体" w:hAnsi="宋体" w:cs="宋体"/>
                <w:sz w:val="22"/>
                <w:szCs w:val="20"/>
              </w:rPr>
              <w:t xml:space="preserve">评委根据投标文件对招标文件第四章“采购需求”中“迁移服务方案”要求的响应情况进行评审。</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（1）投标文件未符合“迁移服务方案”中全部条款要求的，视为不符合招标文件，本项得 0 分。</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（2）投标文件符合“迁移服务方案”中全部条款要求的，视为符合招标文件，本项得 3 分。</w:t>
            </w:r>
            <w:r>
              <w:rPr>
                <w:rFonts w:ascii="宋体" w:hAnsi="宋体" w:cs="宋体"/>
                <w:sz w:val="22"/>
                <w:szCs w:val="20"/>
              </w:rPr>
            </w:r>
            <w:r/>
          </w:p>
          <w:p>
            <w:pPr>
              <w:pStyle w:val="748"/>
              <w:jc w:val="left"/>
              <w:spacing w:line="0" w:lineRule="atLeast"/>
              <w:rPr>
                <w:rFonts w:ascii="宋体" w:hAnsi="宋体" w:cs="宋体"/>
                <w:sz w:val="20"/>
                <w:szCs w:val="20"/>
              </w:rPr>
            </w:pPr>
            <w:r>
              <w:rPr>
                <w:rFonts w:hint="eastAsia" w:ascii="宋体" w:hAnsi="宋体" w:cs="宋体"/>
                <w:sz w:val="22"/>
                <w:szCs w:val="20"/>
              </w:rPr>
              <w:t xml:space="preserve">（3）投标文件对“迁移服务方案”中“系统数据现状分析”、 “数据迁移原则与策略”两项要求的响应内容全部优于招标文件要求的（前提是投标文件对“迁移服务方案”中除“系统数据现状分析”、“数据迁移原则与策略”外其他要求响应内容符合招标文件要求），本项得 5 分。</w:t>
            </w:r>
            <w:r>
              <w:rPr>
                <w:rFonts w:ascii="宋体" w:hAnsi="宋体" w:cs="宋体"/>
                <w:sz w:val="20"/>
                <w:szCs w:val="20"/>
              </w:rPr>
            </w:r>
            <w:r/>
          </w:p>
        </w:tc>
      </w:tr>
      <w:tr>
        <w:trPr>
          <w:trHeight w:val="31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hint="eastAsia" w:ascii="宋体" w:hAnsi="宋体" w:cs="宋体"/>
                <w:sz w:val="22"/>
                <w:szCs w:val="20"/>
              </w:rPr>
              <w:t xml:space="preserve">3.</w:t>
            </w:r>
            <w:r>
              <w:rPr>
                <w:rFonts w:ascii="宋体" w:hAnsi="宋体" w:cs="宋体"/>
                <w:sz w:val="22"/>
                <w:szCs w:val="20"/>
              </w:rPr>
              <w:t xml:space="preserve">6</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安全设计方案</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5</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2"/>
                <w:szCs w:val="20"/>
              </w:rPr>
            </w:pPr>
            <w:r>
              <w:rPr>
                <w:rFonts w:hint="eastAsia" w:ascii="宋体" w:hAnsi="宋体" w:cs="宋体"/>
                <w:sz w:val="22"/>
                <w:szCs w:val="20"/>
              </w:rPr>
              <w:t xml:space="preserve">评委根据投标文件对招标文件第四章“采购需求”中“安全设计方案”要求的响应情况进行评审。</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（1）投标文件未符合“安全设计方案”中全部条款要求的，视为不符合招标文件，本项得 0 分。</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（2）投标文件符合“安全设计方案”中全部条款要求的，视为符合招标文件，本项得 3 分。</w:t>
            </w:r>
            <w:r>
              <w:rPr>
                <w:rFonts w:ascii="宋体" w:hAnsi="宋体" w:cs="宋体"/>
                <w:sz w:val="22"/>
                <w:szCs w:val="20"/>
              </w:rPr>
            </w:r>
            <w:r/>
          </w:p>
          <w:p>
            <w:pPr>
              <w:pStyle w:val="748"/>
              <w:jc w:val="left"/>
              <w:spacing w:line="0" w:lineRule="atLeast"/>
              <w:rPr>
                <w:rFonts w:ascii="宋体" w:hAnsi="宋体" w:cs="宋体"/>
                <w:sz w:val="20"/>
                <w:szCs w:val="20"/>
              </w:rPr>
            </w:pPr>
            <w:r>
              <w:rPr>
                <w:rFonts w:hint="eastAsia" w:ascii="宋体" w:hAnsi="宋体" w:cs="宋体"/>
                <w:sz w:val="22"/>
                <w:szCs w:val="20"/>
              </w:rPr>
              <w:t xml:space="preserve">（3）投标文件对“安全设计方案”中”密码应用解决方案”要求的响应内容优于招标文件要求的（前提是投标文件对“安全设计方案”中除“密码应用解决方案”外其他要求响应内容符合招标文件要求），本项得 5 分。</w:t>
            </w:r>
            <w:r>
              <w:rPr>
                <w:rFonts w:ascii="宋体" w:hAnsi="宋体" w:cs="宋体"/>
                <w:sz w:val="20"/>
                <w:szCs w:val="20"/>
              </w:rPr>
            </w:r>
            <w:r/>
          </w:p>
        </w:tc>
      </w:tr>
      <w:tr>
        <w:trPr>
          <w:trHeight w:val="31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hint="eastAsia" w:ascii="宋体" w:hAnsi="宋体" w:cs="宋体"/>
                <w:sz w:val="22"/>
                <w:szCs w:val="20"/>
              </w:rPr>
              <w:t xml:space="preserve">3.</w:t>
            </w:r>
            <w:r>
              <w:rPr>
                <w:rFonts w:ascii="宋体" w:hAnsi="宋体" w:cs="宋体"/>
                <w:sz w:val="22"/>
                <w:szCs w:val="20"/>
              </w:rPr>
              <w:t xml:space="preserve">7</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bookmarkStart w:id="260" w:name="OLE_LINK95"/>
            <w:r/>
            <w:bookmarkStart w:id="261" w:name="OLE_LINK96"/>
            <w:r>
              <w:rPr>
                <w:rFonts w:ascii="宋体" w:hAnsi="宋体" w:cs="宋体"/>
                <w:sz w:val="22"/>
                <w:szCs w:val="20"/>
              </w:rPr>
              <w:t xml:space="preserve">项目实施方案</w:t>
            </w:r>
            <w:bookmarkEnd w:id="260"/>
            <w:r/>
            <w:bookmarkEnd w:id="261"/>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5</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2"/>
                <w:szCs w:val="20"/>
              </w:rPr>
            </w:pPr>
            <w:r>
              <w:rPr>
                <w:rFonts w:hint="eastAsia" w:ascii="宋体" w:hAnsi="宋体" w:cs="宋体"/>
                <w:sz w:val="22"/>
                <w:szCs w:val="20"/>
              </w:rPr>
              <w:t xml:space="preserve">评委根据投标文件对招标文件第四章“采购需求”中“项目实施方案”要求的响应情况进行评审。</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（1）投标文件未符合“项目实施方案”中全部条款要求的，视为不符合招标文件，本项得 0 分。</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（2）投标文件符合“项目实施方案”中全部条款要求的，视为符合招标文件，本项得 3 分。</w:t>
            </w:r>
            <w:r>
              <w:rPr>
                <w:rFonts w:ascii="宋体" w:hAnsi="宋体" w:cs="宋体"/>
                <w:sz w:val="22"/>
                <w:szCs w:val="20"/>
              </w:rPr>
            </w:r>
            <w:r/>
          </w:p>
          <w:p>
            <w:pPr>
              <w:pStyle w:val="748"/>
              <w:jc w:val="left"/>
              <w:spacing w:line="0" w:lineRule="atLeast"/>
              <w:rPr>
                <w:rFonts w:ascii="宋体" w:hAnsi="宋体" w:cs="宋体"/>
                <w:sz w:val="20"/>
                <w:szCs w:val="20"/>
              </w:rPr>
            </w:pPr>
            <w:r>
              <w:rPr>
                <w:rFonts w:hint="eastAsia" w:ascii="宋体" w:hAnsi="宋体" w:cs="宋体"/>
                <w:sz w:val="22"/>
                <w:szCs w:val="20"/>
              </w:rPr>
              <w:t xml:space="preserve">（3）投标文件对“项目实施方案”中“项目目标和范围”、 “组织结构和人员分配”两项要求的响应内容全部优于招标文件要求的（前提是投标文件对“项目实施方案”中除“项目目标和范围”、“组织结构和人员分配”外其他要求响应内容符合招标文件要求），本项得 5 分。</w:t>
            </w:r>
            <w:r>
              <w:rPr>
                <w:rFonts w:ascii="宋体" w:hAnsi="宋体" w:cs="宋体"/>
                <w:sz w:val="20"/>
                <w:szCs w:val="20"/>
              </w:rPr>
            </w:r>
            <w:r/>
          </w:p>
        </w:tc>
      </w:tr>
      <w:tr>
        <w:trPr>
          <w:trHeight w:val="31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hint="eastAsia" w:ascii="宋体" w:hAnsi="宋体" w:cs="宋体"/>
                <w:sz w:val="22"/>
                <w:szCs w:val="20"/>
              </w:rPr>
              <w:t xml:space="preserve">3.</w:t>
            </w:r>
            <w:r>
              <w:rPr>
                <w:rFonts w:ascii="宋体" w:hAnsi="宋体" w:cs="宋体"/>
                <w:sz w:val="22"/>
                <w:szCs w:val="20"/>
              </w:rPr>
              <w:t xml:space="preserve">8</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bookmarkStart w:id="262" w:name="OLE_LINK97"/>
            <w:r>
              <w:rPr>
                <w:rFonts w:ascii="宋体" w:hAnsi="宋体" w:cs="宋体"/>
                <w:sz w:val="22"/>
                <w:szCs w:val="20"/>
              </w:rPr>
              <w:t xml:space="preserve">项目培训方案</w:t>
            </w:r>
            <w:bookmarkEnd w:id="262"/>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5</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2"/>
                <w:szCs w:val="20"/>
              </w:rPr>
            </w:pPr>
            <w:r>
              <w:rPr>
                <w:rFonts w:hint="eastAsia" w:ascii="宋体" w:hAnsi="宋体" w:cs="宋体"/>
                <w:sz w:val="22"/>
                <w:szCs w:val="20"/>
              </w:rPr>
              <w:t xml:space="preserve">评委根据投标文件对招标文件第四章“采购需求”中“项目培训方案”要求的响应情况进行评审。</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（1）投标文件未符合“项目培训方案”中全部条款要求的，视为不符合招标文件，本项得 0 分。</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（2）投标文件符合”项目培训方案”中全部条款要求的，视为符合招标文件，本项得 3 分。</w:t>
            </w:r>
            <w:r>
              <w:rPr>
                <w:rFonts w:ascii="宋体" w:hAnsi="宋体" w:cs="宋体"/>
                <w:sz w:val="22"/>
                <w:szCs w:val="20"/>
              </w:rPr>
            </w:r>
            <w:r/>
          </w:p>
          <w:p>
            <w:pPr>
              <w:pStyle w:val="748"/>
              <w:jc w:val="left"/>
              <w:spacing w:line="0" w:lineRule="atLeast"/>
              <w:rPr>
                <w:rFonts w:ascii="宋体" w:hAnsi="宋体" w:cs="宋体"/>
                <w:sz w:val="20"/>
                <w:szCs w:val="20"/>
              </w:rPr>
            </w:pPr>
            <w:r>
              <w:rPr>
                <w:rFonts w:hint="eastAsia" w:ascii="宋体" w:hAnsi="宋体" w:cs="宋体"/>
                <w:sz w:val="22"/>
                <w:szCs w:val="20"/>
              </w:rPr>
              <w:t xml:space="preserve">（3）投标文件对”项目培训方案”中“培训计划”、“培训流程”两项要求的响应内容全部优于招标文件要求的（前提是投标文件对“项目培训方案”中除“培训计划”、“培训流程”外其他要求响应内容符合招标文件要求），本项得 5 分。</w:t>
            </w:r>
            <w:r>
              <w:rPr>
                <w:rFonts w:ascii="宋体" w:hAnsi="宋体" w:cs="宋体"/>
                <w:sz w:val="20"/>
                <w:szCs w:val="20"/>
              </w:rPr>
            </w:r>
            <w:r/>
          </w:p>
        </w:tc>
      </w:tr>
      <w:tr>
        <w:trPr>
          <w:trHeight w:val="31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hint="eastAsia" w:ascii="宋体" w:hAnsi="宋体" w:cs="宋体"/>
                <w:sz w:val="22"/>
                <w:szCs w:val="20"/>
              </w:rPr>
              <w:t xml:space="preserve">3.</w:t>
            </w:r>
            <w:r>
              <w:rPr>
                <w:rFonts w:ascii="宋体" w:hAnsi="宋体" w:cs="宋体"/>
                <w:sz w:val="22"/>
                <w:szCs w:val="20"/>
              </w:rPr>
              <w:t xml:space="preserve">9</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售后服务方案</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5</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2"/>
                <w:szCs w:val="20"/>
              </w:rPr>
            </w:pPr>
            <w:r>
              <w:rPr>
                <w:rFonts w:hint="eastAsia" w:ascii="宋体" w:hAnsi="宋体" w:cs="宋体"/>
                <w:sz w:val="22"/>
                <w:szCs w:val="20"/>
              </w:rPr>
              <w:t xml:space="preserve">评委根据投标文件对招标文件第四章“采购需求”中“售后服务方案”要求的响应情况进行评审。</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（1）投标文件未符合“售后服务方案”中全部条款要求的，视为不符合招标文件，本项得 0 分。</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（2）投标文件符合“售后服务方案”中全部条款要求的，视为符合招标文件，本项得 3 分。</w:t>
            </w:r>
            <w:r>
              <w:rPr>
                <w:rFonts w:ascii="宋体" w:hAnsi="宋体" w:cs="宋体"/>
                <w:sz w:val="22"/>
                <w:szCs w:val="20"/>
              </w:rPr>
            </w:r>
            <w:r/>
          </w:p>
          <w:p>
            <w:pPr>
              <w:pStyle w:val="748"/>
              <w:jc w:val="left"/>
              <w:spacing w:line="0" w:lineRule="atLeast"/>
              <w:rPr>
                <w:rFonts w:ascii="宋体" w:hAnsi="宋体" w:cs="宋体"/>
                <w:sz w:val="20"/>
                <w:szCs w:val="20"/>
              </w:rPr>
            </w:pPr>
            <w:r>
              <w:rPr>
                <w:rFonts w:hint="eastAsia" w:ascii="宋体" w:hAnsi="宋体" w:cs="宋体"/>
                <w:sz w:val="22"/>
                <w:szCs w:val="20"/>
              </w:rPr>
              <w:t xml:space="preserve">（3）投标文件对“售后服务方案”中“故障响应”、“故障处理”两项要求的响应内容全部优于招标文件要求的（前提是投标文件对“售后服务方案”中除“故障响应”、“故障处理”外其他要求响应内容符合招标文件要求），本项得 5 分。</w:t>
            </w:r>
            <w:r>
              <w:rPr>
                <w:rFonts w:ascii="宋体" w:hAnsi="宋体" w:cs="宋体"/>
                <w:sz w:val="20"/>
                <w:szCs w:val="20"/>
              </w:rPr>
            </w:r>
            <w:r/>
          </w:p>
        </w:tc>
      </w:tr>
      <w:tr>
        <w:trPr>
          <w:trHeight w:val="315"/>
        </w:trPr>
        <w:tc>
          <w:tcPr>
            <w:tcBorders>
              <w:top w:val="single" w:color="000000" w:sz="0" w:space="0"/>
              <w:left w:val="single" w:color="000000" w:sz="8" w:space="0"/>
              <w:bottom w:val="single" w:color="000000" w:sz="8" w:space="0"/>
              <w:right w:val="single" w:color="000000" w:sz="8" w:space="0"/>
            </w:tcBorders>
            <w:tcMar>
              <w:bottom w:w="0" w:type="dxa"/>
            </w:tcMar>
            <w:tcW w:w="612" w:type="dxa"/>
            <w:vAlign w:val="center"/>
            <w:textDirection w:val="lrTb"/>
            <w:noWrap w:val="false"/>
          </w:tcPr>
          <w:p>
            <w:pPr>
              <w:pStyle w:val="748"/>
              <w:jc w:val="center"/>
              <w:spacing w:line="0" w:lineRule="atLeast"/>
              <w:rPr>
                <w:rFonts w:ascii="宋体" w:hAnsi="宋体" w:cs="宋体"/>
                <w:sz w:val="20"/>
                <w:szCs w:val="20"/>
              </w:rPr>
            </w:pPr>
            <w:r>
              <w:rPr>
                <w:rFonts w:hint="eastAsia" w:ascii="宋体" w:hAnsi="宋体" w:cs="宋体"/>
                <w:sz w:val="22"/>
                <w:szCs w:val="20"/>
              </w:rPr>
              <w:t xml:space="preserve">3.</w:t>
            </w:r>
            <w:r>
              <w:rPr>
                <w:rFonts w:ascii="宋体" w:hAnsi="宋体" w:cs="宋体"/>
                <w:sz w:val="22"/>
                <w:szCs w:val="20"/>
              </w:rPr>
              <w:t xml:space="preserve">10</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1418" w:type="dxa"/>
            <w:vAlign w:val="center"/>
            <w:textDirection w:val="lrTb"/>
            <w:noWrap w:val="false"/>
          </w:tcPr>
          <w:p>
            <w:pPr>
              <w:pStyle w:val="748"/>
              <w:jc w:val="center"/>
              <w:spacing w:line="0" w:lineRule="atLeast"/>
              <w:rPr>
                <w:rFonts w:ascii="宋体" w:hAnsi="宋体" w:cs="宋体"/>
                <w:sz w:val="20"/>
                <w:szCs w:val="20"/>
              </w:rPr>
            </w:pPr>
            <w:r>
              <w:rPr>
                <w:rFonts w:ascii="宋体" w:hAnsi="宋体" w:cs="宋体"/>
                <w:sz w:val="22"/>
                <w:szCs w:val="20"/>
              </w:rPr>
              <w:t xml:space="preserve">保密承诺及措施</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788" w:type="dxa"/>
            <w:vAlign w:val="center"/>
            <w:textDirection w:val="lrTb"/>
            <w:noWrap w:val="false"/>
          </w:tcPr>
          <w:p>
            <w:pPr>
              <w:pStyle w:val="748"/>
              <w:jc w:val="left"/>
              <w:spacing w:line="0" w:lineRule="atLeast"/>
              <w:rPr>
                <w:rFonts w:ascii="宋体" w:hAnsi="宋体" w:cs="宋体"/>
                <w:sz w:val="20"/>
                <w:szCs w:val="20"/>
              </w:rPr>
            </w:pPr>
            <w:r>
              <w:rPr>
                <w:rFonts w:ascii="宋体" w:hAnsi="宋体" w:cs="宋体"/>
                <w:sz w:val="22"/>
                <w:szCs w:val="20"/>
              </w:rPr>
              <w:t xml:space="preserve">5</w:t>
            </w:r>
            <w:r>
              <w:rPr>
                <w:rFonts w:ascii="宋体" w:hAnsi="宋体" w:cs="宋体"/>
                <w:sz w:val="20"/>
                <w:szCs w:val="20"/>
              </w:rPr>
            </w:r>
            <w:r/>
          </w:p>
        </w:tc>
        <w:tc>
          <w:tcPr>
            <w:tcBorders>
              <w:top w:val="single" w:color="000000" w:sz="0" w:space="0"/>
              <w:left w:val="single" w:color="000000" w:sz="0" w:space="0"/>
              <w:bottom w:val="single" w:color="000000" w:sz="8" w:space="0"/>
              <w:right w:val="single" w:color="000000" w:sz="8" w:space="0"/>
            </w:tcBorders>
            <w:tcMar>
              <w:bottom w:w="0" w:type="dxa"/>
            </w:tcMar>
            <w:tcW w:w="6225" w:type="dxa"/>
            <w:vAlign w:val="center"/>
            <w:textDirection w:val="lrTb"/>
            <w:noWrap w:val="false"/>
          </w:tcPr>
          <w:p>
            <w:pPr>
              <w:pStyle w:val="748"/>
              <w:jc w:val="left"/>
              <w:spacing w:line="0" w:lineRule="atLeast"/>
              <w:rPr>
                <w:rFonts w:ascii="宋体" w:hAnsi="宋体" w:cs="宋体"/>
                <w:sz w:val="22"/>
                <w:szCs w:val="20"/>
              </w:rPr>
            </w:pPr>
            <w:r>
              <w:rPr>
                <w:rFonts w:hint="eastAsia" w:ascii="宋体" w:hAnsi="宋体" w:cs="宋体"/>
                <w:sz w:val="22"/>
                <w:szCs w:val="20"/>
              </w:rPr>
              <w:t xml:space="preserve">评委根据投标文件对招标文件第四章“采购需求”中“保密承诺及措施”要求的响应情况进行评审。</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（1）投标文件未符合“保密承诺及措施”中全部条款要求的，视为不符合招标文件，本项得 0 分。</w:t>
            </w:r>
            <w:r>
              <w:rPr>
                <w:rFonts w:ascii="宋体" w:hAnsi="宋体" w:cs="宋体"/>
                <w:sz w:val="22"/>
                <w:szCs w:val="20"/>
              </w:rPr>
            </w:r>
            <w:r/>
          </w:p>
          <w:p>
            <w:pPr>
              <w:pStyle w:val="748"/>
              <w:jc w:val="left"/>
              <w:spacing w:line="0" w:lineRule="atLeast"/>
              <w:rPr>
                <w:rFonts w:ascii="宋体" w:hAnsi="宋体" w:cs="宋体"/>
                <w:sz w:val="22"/>
                <w:szCs w:val="20"/>
              </w:rPr>
            </w:pPr>
            <w:r>
              <w:rPr>
                <w:rFonts w:hint="eastAsia" w:ascii="宋体" w:hAnsi="宋体" w:cs="宋体"/>
                <w:sz w:val="22"/>
                <w:szCs w:val="20"/>
              </w:rPr>
              <w:t xml:space="preserve">（2）投标文件符合“保密承诺及措施”中全部条款要求的，视为符合招标文件，本项得 3 分。</w:t>
            </w:r>
            <w:r>
              <w:rPr>
                <w:rFonts w:ascii="宋体" w:hAnsi="宋体" w:cs="宋体"/>
                <w:sz w:val="22"/>
                <w:szCs w:val="20"/>
              </w:rPr>
            </w:r>
            <w:r/>
          </w:p>
          <w:p>
            <w:pPr>
              <w:pStyle w:val="748"/>
              <w:jc w:val="left"/>
              <w:spacing w:line="0" w:lineRule="atLeast"/>
              <w:rPr>
                <w:rFonts w:ascii="宋体" w:hAnsi="宋体" w:cs="宋体"/>
                <w:sz w:val="20"/>
                <w:szCs w:val="20"/>
              </w:rPr>
            </w:pPr>
            <w:r>
              <w:rPr>
                <w:rFonts w:hint="eastAsia" w:ascii="宋体" w:hAnsi="宋体" w:cs="宋体"/>
                <w:sz w:val="22"/>
                <w:szCs w:val="20"/>
              </w:rPr>
              <w:t xml:space="preserve">（3）投标文件对“保密承诺及措施”中“保密措施”要求的响应内容优于招标文件要求的（前提是投标文件对“保密承诺及措施”中除“保密措施”外其他要求响应内容符合招标文件要求），本项得 5 分。</w:t>
            </w:r>
            <w:r>
              <w:rPr>
                <w:rFonts w:ascii="宋体" w:hAnsi="宋体" w:cs="宋体"/>
                <w:sz w:val="20"/>
                <w:szCs w:val="20"/>
              </w:rPr>
            </w:r>
            <w:r/>
          </w:p>
        </w:tc>
      </w:tr>
    </w:tbl>
    <w:p>
      <w:pPr>
        <w:pStyle w:val="748"/>
        <w:ind w:firstLine="562"/>
        <w:jc w:val="left"/>
        <w:spacing w:before="120" w:after="120" w:line="400" w:lineRule="exact"/>
        <w:rPr>
          <w:rFonts w:hint="eastAsia" w:ascii="方正仿宋_GBK" w:hAnsi="方正仿宋_GBK" w:eastAsia="方正仿宋_GBK" w:cs="方正仿宋_GBK"/>
          <w:b/>
          <w:sz w:val="28"/>
          <w:szCs w:val="28"/>
        </w:rPr>
      </w:pPr>
      <w:r>
        <w:rPr>
          <w:rFonts w:ascii="方正仿宋_GBK" w:hAnsi="方正仿宋_GBK" w:eastAsia="方正仿宋_GBK" w:cs="方正仿宋_GBK"/>
          <w:b/>
          <w:sz w:val="28"/>
          <w:szCs w:val="28"/>
        </w:rPr>
        <w:br w:type="page" w:clear="all"/>
      </w:r>
      <w:r>
        <w:rPr>
          <w:rFonts w:hint="eastAsia" w:ascii="方正仿宋_GBK" w:hAnsi="方正仿宋_GBK" w:eastAsia="方正仿宋_GBK" w:cs="方正仿宋_GBK"/>
          <w:b/>
          <w:sz w:val="28"/>
          <w:szCs w:val="28"/>
        </w:rPr>
        <w:t xml:space="preserve">采购包五：江苏省经济运行企业调查平台国产化适配改造</w:t>
      </w:r>
      <w:r/>
    </w:p>
    <w:tbl>
      <w:tblPr>
        <w:tblW w:w="9061"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31"/>
        <w:gridCol w:w="6313"/>
        <w:gridCol w:w="797"/>
      </w:tblGrid>
      <w:tr>
        <w:trPr>
          <w:trHeight w:val="468"/>
          <w:tblHead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序号</w:t>
            </w:r>
            <w:r>
              <w:rPr>
                <w:rFonts w:ascii="方正黑体_GBK" w:hAnsi="方正黑体_GBK" w:eastAsia="方正黑体_GBK" w:cs="方正黑体_GBK"/>
                <w:sz w:val="24"/>
                <w:szCs w:val="24"/>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评分因素</w:t>
            </w:r>
            <w:r>
              <w:rPr>
                <w:rFonts w:ascii="方正黑体_GBK" w:hAnsi="方正黑体_GBK" w:eastAsia="方正黑体_GBK" w:cs="方正黑体_GBK"/>
                <w:sz w:val="24"/>
                <w:szCs w:val="24"/>
              </w:rPr>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jc w:val="center"/>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评审细则（经济运行监测）</w:t>
            </w:r>
            <w:r>
              <w:rPr>
                <w:rFonts w:ascii="方正黑体_GBK" w:hAnsi="方正黑体_GBK" w:eastAsia="方正黑体_GBK" w:cs="方正黑体_GBK"/>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rPr>
                <w:rFonts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分值</w:t>
            </w:r>
            <w:r>
              <w:rPr>
                <w:rFonts w:ascii="方正黑体_GBK" w:hAnsi="方正黑体_GBK" w:eastAsia="方正黑体_GBK" w:cs="方正黑体_GBK"/>
                <w:sz w:val="24"/>
                <w:szCs w:val="24"/>
              </w:rPr>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9061" w:type="dxa"/>
            <w:vAlign w:val="center"/>
            <w:textDirection w:val="lrTb"/>
            <w:noWrap/>
          </w:tcPr>
          <w:p>
            <w:pPr>
              <w:pStyle w:val="748"/>
              <w:jc w:val="left"/>
            </w:pPr>
            <w:r>
              <w:t xml:space="preserve">1.价格（10分）</w:t>
            </w:r>
            <w:r/>
          </w:p>
        </w:tc>
      </w:tr>
      <w:tr>
        <w:trPr>
          <w:trHeight w:val="145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t xml:space="preserve">1</w:t>
            </w:r>
            <w:r>
              <w:rPr>
                <w:rFonts w:hint="eastAsia"/>
              </w:rPr>
              <w:t xml:space="preserve">.1</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价格</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pPr>
            <w:r/>
            <w:bookmarkStart w:id="263" w:name="OLE_LINK38"/>
            <w:r/>
            <w:bookmarkStart w:id="264" w:name="OLE_LINK37"/>
            <w:r/>
            <w:bookmarkStart w:id="265" w:name="OLE_LINK36"/>
            <w:r>
              <w:rPr>
                <w:rFonts w:hint="eastAsia" w:ascii="宋体" w:hAnsi="宋体" w:cs="宋体"/>
              </w:rPr>
              <w:t xml:space="preserve">报价分计算方法：采用低价优先法计算，即满足采购文件要求且报价最低的供应商报价为评标基准价，其价格分为满分10分。其他投标人的价格分统一按照下列公式计算：投标报价得分=（评标基准价/该投标人的投标报价）×10，按四舍五入法保留两位小数。</w:t>
            </w:r>
            <w:bookmarkEnd w:id="263"/>
            <w:r/>
            <w:bookmarkEnd w:id="264"/>
            <w:r/>
            <w:bookmarkEnd w:id="265"/>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pPr>
            <w:r>
              <w:t xml:space="preserve">10</w:t>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9061" w:type="dxa"/>
            <w:vAlign w:val="center"/>
            <w:textDirection w:val="lrTb"/>
            <w:noWrap/>
          </w:tcPr>
          <w:p>
            <w:pPr>
              <w:pStyle w:val="748"/>
              <w:jc w:val="left"/>
            </w:pPr>
            <w:r>
              <w:t xml:space="preserve">2.技术（</w:t>
            </w:r>
            <w:r>
              <w:rPr>
                <w:rFonts w:hint="eastAsia"/>
              </w:rPr>
              <w:t xml:space="preserve">60</w:t>
            </w:r>
            <w:r>
              <w:t xml:space="preserve">分）</w:t>
            </w:r>
            <w:r/>
          </w:p>
        </w:tc>
      </w:tr>
      <w:tr>
        <w:trPr>
          <w:trHeight w:val="218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2.1</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项目需求</w:t>
            </w:r>
            <w:r>
              <w:rPr>
                <w:rFonts w:hint="eastAsia"/>
              </w:rPr>
              <w:t xml:space="preserve">理解</w:t>
            </w:r>
            <w:r>
              <w:t xml:space="preserve">方案</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评委根据投标文件对招标文件第四章“采购需求”中“4.12.1 项目需求理解方案”要求的响应情况进行评审：</w:t>
            </w:r>
            <w:r/>
          </w:p>
          <w:p>
            <w:pPr>
              <w:pStyle w:val="748"/>
              <w:rPr>
                <w:rFonts w:hint="eastAsia"/>
              </w:rPr>
            </w:pPr>
            <w:r>
              <w:rPr>
                <w:rFonts w:hint="eastAsia"/>
              </w:rPr>
              <w:t xml:space="preserve">（1）投标文件未符合“项目需求理解方案”中全部条款要求的，视为不符合招标文件要求，本项得0分。</w:t>
            </w:r>
            <w:r/>
          </w:p>
          <w:p>
            <w:pPr>
              <w:pStyle w:val="748"/>
            </w:pPr>
            <w:r>
              <w:rPr>
                <w:rFonts w:hint="eastAsia"/>
              </w:rPr>
              <w:t xml:space="preserve">（2）投标文件符合“项目需求理解方案”中全部条款要求的，视为符合招标文件要求，本项得3分。</w:t>
            </w:r>
            <w:r/>
            <w:r/>
          </w:p>
          <w:p>
            <w:pPr>
              <w:pStyle w:val="748"/>
            </w:pPr>
            <w:r>
              <w:rPr>
                <w:rFonts w:hint="eastAsia"/>
              </w:rPr>
              <w:t xml:space="preserve">（3）投标文件对“项目需求理解方案”中“项目背景与建设目标理解”“现状分析”两项要求的响应内容全部优于招标文件要求的（前提是投标文件对“项目需求理解方案”中除“项目背景与建设目标理解”“现状分析”外其他要求响应内容符合招标文件要求），本项得5分。</w:t>
            </w: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rPr>
                <w:rFonts w:hint="eastAsia"/>
              </w:rPr>
            </w:pPr>
            <w:r>
              <w:rPr>
                <w:rFonts w:hint="eastAsia"/>
              </w:rPr>
              <w:t xml:space="preserve">5</w:t>
            </w:r>
            <w:r/>
          </w:p>
        </w:tc>
      </w:tr>
      <w:tr>
        <w:trPr>
          <w:trHeight w:val="183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t xml:space="preserve">2</w:t>
            </w:r>
            <w:r>
              <w:rPr>
                <w:rFonts w:hint="eastAsia"/>
              </w:rPr>
              <w:t xml:space="preserve">.2</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rPr>
                <w:rFonts w:hint="eastAsia"/>
              </w:rPr>
            </w:pPr>
            <w:r>
              <w:rPr>
                <w:rFonts w:hint="eastAsia"/>
              </w:rPr>
              <w:t xml:space="preserve">项目总体设计方案</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评委根据投标文件对招标文件第四章“采购需求”中“4.12.2 项目总体设计方案”要求的响应情况进行评审：</w:t>
            </w:r>
            <w:r/>
          </w:p>
          <w:p>
            <w:pPr>
              <w:pStyle w:val="748"/>
              <w:rPr>
                <w:rFonts w:hint="eastAsia"/>
              </w:rPr>
            </w:pPr>
            <w:r>
              <w:rPr>
                <w:rFonts w:hint="eastAsia"/>
              </w:rPr>
              <w:t xml:space="preserve">投标文件未符合“项目总体设计方案”中全部条款要求的，视为不符合招标文件要求，本项得0分。</w:t>
            </w:r>
            <w:r/>
          </w:p>
          <w:p>
            <w:pPr>
              <w:pStyle w:val="748"/>
              <w:rPr>
                <w:rFonts w:hint="eastAsia"/>
              </w:rPr>
            </w:pPr>
            <w:r>
              <w:rPr>
                <w:rFonts w:hint="eastAsia"/>
              </w:rPr>
              <w:t xml:space="preserve">（2）投标文件符合“项目总体设计方案”中全部条款要求的，视为符合招标文件要求，本项得3分。</w:t>
            </w:r>
            <w:r/>
          </w:p>
          <w:p>
            <w:pPr>
              <w:pStyle w:val="748"/>
              <w:rPr>
                <w:rFonts w:hint="eastAsia"/>
              </w:rPr>
            </w:pPr>
            <w:r>
              <w:rPr>
                <w:rFonts w:hint="eastAsia"/>
              </w:rPr>
              <w:t xml:space="preserve">（3）投标文件对“项目总体设计方案”中“总体架构与技术架构设计”“数据架构设计”两项要求的响应内容全部优于招标文件要求的（前提是投标文件对“项目总体设计方案”中除“总体架构与技术架构设计”“数据架构设计”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rPr>
                <w:rFonts w:hint="eastAsia"/>
              </w:rPr>
            </w:pPr>
            <w:r>
              <w:rPr>
                <w:rFonts w:hint="eastAsia"/>
              </w:rPr>
              <w:t xml:space="preserve">5</w:t>
            </w:r>
            <w:r/>
          </w:p>
        </w:tc>
      </w:tr>
      <w:tr>
        <w:trPr>
          <w:trHeight w:val="2421"/>
        </w:trPr>
        <w:tc>
          <w:tcPr>
            <w:tcBorders>
              <w:top w:val="single" w:color="000000" w:sz="4" w:space="0"/>
              <w:left w:val="single" w:color="000000" w:sz="4" w:space="0"/>
              <w:right w:val="single" w:color="000000" w:sz="4" w:space="0"/>
            </w:tcBorders>
            <w:tcW w:w="720" w:type="dxa"/>
            <w:vAlign w:val="center"/>
            <w:textDirection w:val="lrTb"/>
            <w:noWrap/>
          </w:tcPr>
          <w:p>
            <w:pPr>
              <w:pStyle w:val="748"/>
              <w:jc w:val="center"/>
            </w:pPr>
            <w:r>
              <w:rPr>
                <w:rFonts w:hint="eastAsia"/>
              </w:rPr>
              <w:t xml:space="preserve">2.3</w:t>
            </w:r>
            <w:r/>
            <w:r/>
          </w:p>
        </w:tc>
        <w:tc>
          <w:tcPr>
            <w:tcBorders>
              <w:top w:val="single" w:color="000000" w:sz="4" w:space="0"/>
              <w:left w:val="single" w:color="000000" w:sz="4" w:space="0"/>
              <w:right w:val="single" w:color="000000" w:sz="4" w:space="0"/>
            </w:tcBorders>
            <w:tcW w:w="1231" w:type="dxa"/>
            <w:vAlign w:val="center"/>
            <w:textDirection w:val="lrTb"/>
            <w:noWrap/>
          </w:tcPr>
          <w:p>
            <w:pPr>
              <w:pStyle w:val="748"/>
              <w:jc w:val="center"/>
              <w:rPr>
                <w:rFonts w:hint="eastAsia"/>
              </w:rPr>
            </w:pPr>
            <w:r>
              <w:rPr>
                <w:rFonts w:hint="eastAsia"/>
              </w:rPr>
              <w:t xml:space="preserve">系统功能响应方案</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评委根据投标文件对招标文件第四章“采购需求”中“4.12.3 系统功能响应方案”要求的响应情况进行评审：</w:t>
            </w:r>
            <w:r/>
          </w:p>
          <w:p>
            <w:pPr>
              <w:pStyle w:val="748"/>
              <w:rPr>
                <w:rFonts w:hint="eastAsia"/>
              </w:rPr>
            </w:pPr>
            <w:r>
              <w:rPr>
                <w:rFonts w:hint="eastAsia"/>
              </w:rPr>
              <w:t xml:space="preserve">投标文件未符合“系统功能响应方案”中全部条款要求的，视为不符合招标文件要求，本项得0分。</w:t>
            </w:r>
            <w:r/>
          </w:p>
          <w:p>
            <w:pPr>
              <w:pStyle w:val="748"/>
              <w:rPr>
                <w:rFonts w:hint="eastAsia"/>
              </w:rPr>
            </w:pPr>
            <w:r>
              <w:rPr>
                <w:rFonts w:hint="eastAsia"/>
              </w:rPr>
              <w:t xml:space="preserve">（2）投标文件符合“系统功能响应方案”中全部条款要求的，视为符合招标文件要求，本项得3分。</w:t>
            </w:r>
            <w:r/>
          </w:p>
          <w:p>
            <w:pPr>
              <w:pStyle w:val="748"/>
            </w:pPr>
            <w:r>
              <w:rPr>
                <w:rFonts w:hint="eastAsia"/>
              </w:rPr>
              <w:t xml:space="preserve">（3）投标文件对“系统功能响应方案”中“功能逐项响应”“界面与交互适配响应”两项要求的响应内容全部优于招标文件要求的（前提是投标文件对“系统功能响应方案”中除“功能逐项响应” “界面与交互适配响应”外其他要求响应内容符合招标文件要求），本项得5分。</w:t>
            </w: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rPr>
                <w:rFonts w:hint="eastAsia"/>
              </w:rPr>
            </w:pPr>
            <w:r>
              <w:rPr>
                <w:rFonts w:hint="eastAsia"/>
              </w:rPr>
              <w:t xml:space="preserve">5</w:t>
            </w:r>
            <w:r/>
          </w:p>
        </w:tc>
      </w:tr>
      <w:tr>
        <w:trPr>
          <w:trHeight w:val="1359"/>
        </w:trPr>
        <w:tc>
          <w:tcPr>
            <w:tcBorders>
              <w:top w:val="single" w:color="000000" w:sz="4" w:space="0"/>
              <w:left w:val="single" w:color="000000" w:sz="4" w:space="0"/>
              <w:right w:val="single" w:color="000000" w:sz="4" w:space="0"/>
            </w:tcBorders>
            <w:tcW w:w="720" w:type="dxa"/>
            <w:vAlign w:val="center"/>
            <w:textDirection w:val="lrTb"/>
            <w:noWrap/>
          </w:tcPr>
          <w:p>
            <w:pPr>
              <w:pStyle w:val="748"/>
              <w:jc w:val="center"/>
            </w:pPr>
            <w:r>
              <w:rPr>
                <w:rFonts w:hint="eastAsia"/>
              </w:rPr>
              <w:t xml:space="preserve">2.4</w:t>
            </w:r>
            <w:r/>
            <w:r/>
          </w:p>
        </w:tc>
        <w:tc>
          <w:tcPr>
            <w:tcBorders>
              <w:top w:val="single" w:color="000000" w:sz="4" w:space="0"/>
              <w:left w:val="single" w:color="000000" w:sz="4" w:space="0"/>
              <w:right w:val="single" w:color="000000" w:sz="4" w:space="0"/>
            </w:tcBorders>
            <w:tcW w:w="1231" w:type="dxa"/>
            <w:vAlign w:val="center"/>
            <w:textDirection w:val="lrTb"/>
            <w:noWrap/>
          </w:tcPr>
          <w:p>
            <w:pPr>
              <w:pStyle w:val="748"/>
              <w:jc w:val="center"/>
              <w:rPr>
                <w:rFonts w:hint="eastAsia"/>
              </w:rPr>
            </w:pPr>
            <w:r>
              <w:rPr>
                <w:rFonts w:hint="eastAsia"/>
              </w:rPr>
              <w:t xml:space="preserve">国产化适配技术方案</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评委根据投标文件对招标文件第四章“采购需求”中“4.12.4 国产化适配技术方案”要求的响应情况进行评审：</w:t>
            </w:r>
            <w:r/>
          </w:p>
          <w:p>
            <w:pPr>
              <w:pStyle w:val="748"/>
              <w:rPr>
                <w:rFonts w:hint="eastAsia"/>
              </w:rPr>
            </w:pPr>
            <w:r>
              <w:rPr>
                <w:rFonts w:hint="eastAsia"/>
              </w:rPr>
              <w:t xml:space="preserve">（1）投标文件未符合“国产化适配技术方案”中全部条款要求的，视为不符合招标文件要求，本项得0分。</w:t>
            </w:r>
            <w:r/>
          </w:p>
          <w:p>
            <w:pPr>
              <w:pStyle w:val="748"/>
              <w:rPr>
                <w:rFonts w:hint="eastAsia"/>
              </w:rPr>
            </w:pPr>
            <w:r>
              <w:rPr>
                <w:rFonts w:hint="eastAsia"/>
              </w:rPr>
              <w:t xml:space="preserve">（2）投标文件符合“国产化适配技术方案”中全部条款要求的，视为符合招标文件要求，本项得3分。</w:t>
            </w:r>
            <w:r/>
          </w:p>
          <w:p>
            <w:pPr>
              <w:pStyle w:val="748"/>
              <w:rPr>
                <w:rFonts w:hint="eastAsia"/>
              </w:rPr>
            </w:pPr>
            <w:r>
              <w:rPr>
                <w:rFonts w:hint="eastAsia"/>
              </w:rPr>
              <w:t xml:space="preserve">（3）投标文件对“国产化适配技术方案”中“性能瓶颈分析与优化”“数据库适配设计”两项要求的响应内容全部优于招标文件要求的（前提是投标文件对“国产化适配技术方案”中除“性能瓶颈分析与优化”“数据库适配设计”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rPr>
                <w:rFonts w:hint="eastAsia"/>
              </w:rPr>
            </w:pPr>
            <w:r>
              <w:rPr>
                <w:rFonts w:hint="eastAsia"/>
              </w:rPr>
              <w:t xml:space="preserve">5</w:t>
            </w:r>
            <w:r/>
          </w:p>
        </w:tc>
      </w:tr>
      <w:tr>
        <w:trPr>
          <w:trHeight w:val="3259"/>
        </w:trPr>
        <w:tc>
          <w:tcPr>
            <w:tcBorders>
              <w:top w:val="single" w:color="000000" w:sz="4" w:space="0"/>
              <w:left w:val="single" w:color="000000" w:sz="4" w:space="0"/>
              <w:right w:val="single" w:color="000000" w:sz="4" w:space="0"/>
            </w:tcBorders>
            <w:tcW w:w="720" w:type="dxa"/>
            <w:vAlign w:val="center"/>
            <w:textDirection w:val="lrTb"/>
            <w:noWrap/>
          </w:tcPr>
          <w:p>
            <w:pPr>
              <w:pStyle w:val="748"/>
              <w:jc w:val="center"/>
            </w:pPr>
            <w:r>
              <w:rPr>
                <w:rFonts w:hint="eastAsia"/>
              </w:rPr>
              <w:t xml:space="preserve">2.5</w:t>
            </w:r>
            <w:r/>
            <w:r/>
          </w:p>
        </w:tc>
        <w:tc>
          <w:tcPr>
            <w:tcBorders>
              <w:top w:val="single" w:color="000000" w:sz="4" w:space="0"/>
              <w:left w:val="single" w:color="000000" w:sz="4" w:space="0"/>
              <w:right w:val="single" w:color="000000" w:sz="4" w:space="0"/>
            </w:tcBorders>
            <w:tcW w:w="1231" w:type="dxa"/>
            <w:vAlign w:val="center"/>
            <w:textDirection w:val="lrTb"/>
            <w:noWrap/>
          </w:tcPr>
          <w:p>
            <w:pPr>
              <w:pStyle w:val="748"/>
              <w:jc w:val="center"/>
              <w:rPr>
                <w:rFonts w:hint="eastAsia"/>
              </w:rPr>
            </w:pPr>
            <w:r>
              <w:rPr>
                <w:rFonts w:hint="eastAsia"/>
              </w:rPr>
              <w:t xml:space="preserve">测试验证方案</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评委根据投标文件对招标文件第四章“采购需求”中“4.12.5 测试验证方案”要求的响应情况进行评审：</w:t>
            </w:r>
            <w:r/>
          </w:p>
          <w:p>
            <w:pPr>
              <w:pStyle w:val="748"/>
              <w:rPr>
                <w:rFonts w:hint="eastAsia"/>
              </w:rPr>
            </w:pPr>
            <w:r>
              <w:rPr>
                <w:rFonts w:hint="eastAsia"/>
              </w:rPr>
              <w:t xml:space="preserve">（1）投标文件未符合“测试验证方案”中全部条款要求的，视为不符合招标文件要求，本项得0分。</w:t>
            </w:r>
            <w:r/>
          </w:p>
          <w:p>
            <w:pPr>
              <w:pStyle w:val="748"/>
              <w:rPr>
                <w:rFonts w:hint="eastAsia"/>
              </w:rPr>
            </w:pPr>
            <w:r>
              <w:rPr>
                <w:rFonts w:hint="eastAsia"/>
              </w:rPr>
              <w:t xml:space="preserve">（2）投标文件符合“测试验证方案”中全部条款要求的，视为符合招标文件要求，本项得3分。</w:t>
            </w:r>
            <w:r/>
          </w:p>
          <w:p>
            <w:pPr>
              <w:pStyle w:val="748"/>
              <w:rPr>
                <w:rFonts w:hint="eastAsia"/>
              </w:rPr>
            </w:pPr>
            <w:r>
              <w:rPr>
                <w:rFonts w:hint="eastAsia"/>
              </w:rPr>
              <w:t xml:space="preserve">（3）投标文件对“测试验证方案”中“测试验证方法”“验证标准与整改机制”两项要求的响应内容全部优于招标文件要求的（前提是投标文件对“测试验证方案”中除“测试验证方法”“验证标准与整改机制”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rPr>
                <w:rFonts w:hint="eastAsia"/>
              </w:rPr>
            </w:pPr>
            <w:r>
              <w:rPr>
                <w:rFonts w:hint="eastAsia"/>
              </w:rPr>
              <w:t xml:space="preserve">5</w:t>
            </w:r>
            <w:r/>
          </w:p>
        </w:tc>
      </w:tr>
      <w:tr>
        <w:trPr>
          <w:trHeight w:val="3259"/>
        </w:trPr>
        <w:tc>
          <w:tcPr>
            <w:tcBorders>
              <w:top w:val="single" w:color="000000" w:sz="4" w:space="0"/>
              <w:left w:val="single" w:color="000000" w:sz="4" w:space="0"/>
              <w:right w:val="single" w:color="000000" w:sz="4" w:space="0"/>
            </w:tcBorders>
            <w:tcW w:w="720" w:type="dxa"/>
            <w:vAlign w:val="center"/>
            <w:textDirection w:val="lrTb"/>
            <w:noWrap/>
          </w:tcPr>
          <w:p>
            <w:pPr>
              <w:pStyle w:val="748"/>
              <w:jc w:val="center"/>
            </w:pPr>
            <w:r>
              <w:rPr>
                <w:rFonts w:hint="eastAsia"/>
              </w:rPr>
              <w:t xml:space="preserve">2.6</w:t>
            </w:r>
            <w:r/>
            <w:r/>
          </w:p>
        </w:tc>
        <w:tc>
          <w:tcPr>
            <w:tcBorders>
              <w:top w:val="single" w:color="000000" w:sz="4" w:space="0"/>
              <w:left w:val="single" w:color="000000" w:sz="4" w:space="0"/>
              <w:right w:val="single" w:color="000000" w:sz="4" w:space="0"/>
            </w:tcBorders>
            <w:tcW w:w="1231" w:type="dxa"/>
            <w:vAlign w:val="center"/>
            <w:textDirection w:val="lrTb"/>
            <w:noWrap/>
          </w:tcPr>
          <w:p>
            <w:pPr>
              <w:pStyle w:val="748"/>
              <w:jc w:val="center"/>
              <w:rPr>
                <w:rFonts w:hint="eastAsia"/>
              </w:rPr>
            </w:pPr>
            <w:r>
              <w:rPr>
                <w:rFonts w:hint="eastAsia"/>
              </w:rPr>
              <w:t xml:space="preserve">迁移服务方案</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评委根据投标文件对招标文件第四章“采购需求”中“4.12.6 迁移服务方案”要求的响应情况进行评审：</w:t>
            </w:r>
            <w:r/>
          </w:p>
          <w:p>
            <w:pPr>
              <w:pStyle w:val="748"/>
              <w:rPr>
                <w:rFonts w:hint="eastAsia"/>
              </w:rPr>
            </w:pPr>
            <w:r>
              <w:rPr>
                <w:rFonts w:hint="eastAsia"/>
              </w:rPr>
              <w:t xml:space="preserve">投标文件未符合“迁移服务方案”中全部条款要求的，视为不符合招标文件要求，本项得0分。</w:t>
            </w:r>
            <w:r/>
          </w:p>
          <w:p>
            <w:pPr>
              <w:pStyle w:val="748"/>
              <w:rPr>
                <w:rFonts w:hint="eastAsia"/>
              </w:rPr>
            </w:pPr>
            <w:r>
              <w:rPr>
                <w:rFonts w:hint="eastAsia"/>
              </w:rPr>
              <w:t xml:space="preserve">（2）投标文件符合“迁移服务方案”中全部条款要求的，视为符合招标文件要求，本项得3分。</w:t>
            </w:r>
            <w:r/>
          </w:p>
          <w:p>
            <w:pPr>
              <w:pStyle w:val="748"/>
              <w:rPr>
                <w:rFonts w:hint="eastAsia"/>
              </w:rPr>
            </w:pPr>
            <w:r>
              <w:rPr>
                <w:rFonts w:hint="eastAsia"/>
              </w:rPr>
              <w:t xml:space="preserve">（3）投标文件对“迁移服务方案”中“迁移策略与过程”“迁移保障”两项要求的响应内容全部优于招标文件要求的（前提是投标文件对“迁移服务方案”中除“迁移策略与过程”“迁移保障”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rPr>
                <w:rFonts w:hint="eastAsia"/>
              </w:rPr>
            </w:pPr>
            <w:r>
              <w:rPr>
                <w:rFonts w:hint="eastAsia"/>
              </w:rPr>
              <w:t xml:space="preserve">5</w:t>
            </w:r>
            <w:r/>
          </w:p>
        </w:tc>
      </w:tr>
      <w:tr>
        <w:trPr>
          <w:trHeight w:val="120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rPr>
                <w:rFonts w:hint="eastAsia"/>
              </w:rPr>
            </w:pPr>
            <w:r>
              <w:rPr>
                <w:rFonts w:hint="eastAsia"/>
              </w:rPr>
              <w:t xml:space="preserve">2.7</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rPr>
                <w:rFonts w:hint="eastAsia"/>
              </w:rPr>
              <w:t xml:space="preserve">安全设计方案</w:t>
            </w:r>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评委根据投标文件对招标文件第四章“采购需求”中“4.12.7 安全设计方案”要求的响应情况进行评审：</w:t>
            </w:r>
            <w:r/>
          </w:p>
          <w:p>
            <w:pPr>
              <w:pStyle w:val="748"/>
              <w:rPr>
                <w:rFonts w:hint="eastAsia"/>
              </w:rPr>
            </w:pPr>
            <w:r>
              <w:rPr>
                <w:rFonts w:hint="eastAsia"/>
              </w:rPr>
              <w:t xml:space="preserve">投标文件未符合“安全设计方案”中全部条款要求的，视为不符合招标文件要求，本项得0分。</w:t>
            </w:r>
            <w:r/>
          </w:p>
          <w:p>
            <w:pPr>
              <w:pStyle w:val="748"/>
              <w:rPr>
                <w:rFonts w:hint="eastAsia"/>
              </w:rPr>
            </w:pPr>
            <w:r>
              <w:rPr>
                <w:rFonts w:hint="eastAsia"/>
              </w:rPr>
              <w:t xml:space="preserve">（2）投标文件符合“安全设计方案”中全部条款要求的，视为符合招标文件要求，本项得3分。</w:t>
            </w:r>
            <w:r/>
          </w:p>
          <w:p>
            <w:pPr>
              <w:pStyle w:val="748"/>
              <w:rPr>
                <w:rFonts w:hint="eastAsia"/>
              </w:rPr>
            </w:pPr>
            <w:r>
              <w:rPr>
                <w:rFonts w:hint="eastAsia"/>
              </w:rPr>
              <w:t xml:space="preserve">（3）投标文件对“安全设计方案”中“信息系统安全设计”“数据安全设计”两项要求的响应内容全部优于招标文件要求的（前提是投标文件对“安全设计方案”中除“信息系统安全设计” “数据安全设计”外其他要求响应内容符合招标文件要求），本项得5分。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pPr>
            <w:r>
              <w:rPr>
                <w:rFonts w:hint="eastAsia"/>
              </w:rPr>
              <w:t xml:space="preserve">5</w:t>
            </w:r>
            <w:r/>
            <w:r/>
          </w:p>
        </w:tc>
      </w:tr>
      <w:tr>
        <w:trPr>
          <w:trHeight w:val="319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rPr>
                <w:rFonts w:hint="eastAsia"/>
              </w:rPr>
            </w:pPr>
            <w:r>
              <w:rPr>
                <w:rFonts w:hint="eastAsia"/>
              </w:rPr>
              <w:t xml:space="preserve">2.8</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rPr>
                <w:rFonts w:hint="eastAsia"/>
              </w:rPr>
            </w:pPr>
            <w:r>
              <w:rPr>
                <w:rFonts w:hint="eastAsia"/>
              </w:rPr>
              <w:t xml:space="preserve">项目实施方案</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评委根据投标文件对招标文件第四章“采购需求”中“4.12.8 项目实施方案”要求的响应情况进行评审：</w:t>
            </w:r>
            <w:r/>
          </w:p>
          <w:p>
            <w:pPr>
              <w:pStyle w:val="748"/>
              <w:rPr>
                <w:rFonts w:hint="eastAsia"/>
              </w:rPr>
            </w:pPr>
            <w:r>
              <w:rPr>
                <w:rFonts w:hint="eastAsia"/>
              </w:rPr>
              <w:t xml:space="preserve">投标文件未符合“项目实施方案”中全部条款要求的，视为不符合招标文件要求，本项得0分。</w:t>
            </w:r>
            <w:r/>
          </w:p>
          <w:p>
            <w:pPr>
              <w:pStyle w:val="748"/>
              <w:rPr>
                <w:rFonts w:hint="eastAsia"/>
              </w:rPr>
            </w:pPr>
            <w:r>
              <w:rPr>
                <w:rFonts w:hint="eastAsia"/>
              </w:rPr>
              <w:t xml:space="preserve">（2）投标文件符合“项目实施方案”中全部条款要求的，视为符合招标文件要求，本项得3分。</w:t>
            </w:r>
            <w:r/>
          </w:p>
          <w:p>
            <w:pPr>
              <w:pStyle w:val="748"/>
              <w:rPr>
                <w:rFonts w:hint="eastAsia"/>
              </w:rPr>
            </w:pPr>
            <w:r>
              <w:rPr>
                <w:rFonts w:hint="eastAsia"/>
              </w:rPr>
              <w:t xml:space="preserve">（3）投标文件对“项目实施方案”中“进度计划”“质量与风险管理”两项要求的响应内容全部优于招标文件要求的（前提是投标文件对“项目实施方案”中除“进度计划” “质量与风险管理”外其他要求响应内容符合招标文件要求），本项得5分。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pPr>
            <w:r>
              <w:rPr>
                <w:rFonts w:hint="eastAsia"/>
              </w:rPr>
              <w:t xml:space="preserve">5</w:t>
            </w:r>
            <w:r/>
            <w:r/>
          </w:p>
        </w:tc>
      </w:tr>
      <w:tr>
        <w:trPr>
          <w:trHeight w:val="222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rPr>
                <w:rFonts w:hint="eastAsia"/>
              </w:rPr>
            </w:pPr>
            <w:r>
              <w:rPr>
                <w:rFonts w:hint="eastAsia"/>
              </w:rPr>
              <w:t xml:space="preserve">2.9</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rPr>
                <w:rFonts w:hint="eastAsia"/>
              </w:rPr>
            </w:pPr>
            <w:r>
              <w:rPr>
                <w:rFonts w:hint="eastAsia"/>
              </w:rPr>
              <w:t xml:space="preserve">项目培训方案</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评委根据投标文件对招标文件第四章“采购需求”中“4.12.9 项目培训方案”要求的响应情况进行评审：</w:t>
            </w:r>
            <w:r/>
          </w:p>
          <w:p>
            <w:pPr>
              <w:pStyle w:val="748"/>
              <w:rPr>
                <w:rFonts w:hint="eastAsia"/>
              </w:rPr>
            </w:pPr>
            <w:r>
              <w:rPr>
                <w:rFonts w:hint="eastAsia"/>
              </w:rPr>
              <w:t xml:space="preserve">投标文件未符合“项目培训方案”中全部条款要求的，视为不符合招标文件要求，本项得0分。</w:t>
            </w:r>
            <w:r/>
          </w:p>
          <w:p>
            <w:pPr>
              <w:pStyle w:val="748"/>
              <w:rPr>
                <w:rFonts w:hint="eastAsia"/>
              </w:rPr>
            </w:pPr>
            <w:r>
              <w:rPr>
                <w:rFonts w:hint="eastAsia"/>
              </w:rPr>
              <w:t xml:space="preserve">（2）投标文件符合“项目培训方案”中全部条款要求的，视为符合招标文件要求，本项得3分。</w:t>
            </w:r>
            <w:r/>
          </w:p>
          <w:p>
            <w:pPr>
              <w:pStyle w:val="748"/>
              <w:rPr>
                <w:rFonts w:hint="eastAsia"/>
              </w:rPr>
            </w:pPr>
            <w:r>
              <w:rPr>
                <w:rFonts w:hint="eastAsia"/>
              </w:rPr>
              <w:t xml:space="preserve">（3）投标文件对“项目培训方案”中“培训对象与内容”“培训方式与考核”两项要求的响应内容全部优于招标文件要求的（前提是投标文件对“项目培训方案”中除“培训对象与内容”“培训方式与考核”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pPr>
            <w:r>
              <w:rPr>
                <w:rFonts w:hint="eastAsia"/>
              </w:rPr>
              <w:t xml:space="preserve">5</w:t>
            </w:r>
            <w:r/>
            <w:r/>
          </w:p>
        </w:tc>
      </w:tr>
      <w:tr>
        <w:trPr>
          <w:trHeight w:val="9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2.10</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rPr>
                <w:rFonts w:hint="eastAsia"/>
              </w:rPr>
            </w:pPr>
            <w:r>
              <w:rPr>
                <w:rFonts w:hint="eastAsia"/>
              </w:rPr>
              <w:t xml:space="preserve">售后服务方案</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评委根据投标文件对招标文件第四章“采购需求”中“4.12.10 售后服务方案”要求的响应情况进行评审：</w:t>
            </w:r>
            <w:r/>
          </w:p>
          <w:p>
            <w:pPr>
              <w:pStyle w:val="748"/>
              <w:numPr>
                <w:ilvl w:val="0"/>
                <w:numId w:val="15"/>
              </w:numPr>
              <w:rPr>
                <w:rFonts w:hint="eastAsia"/>
              </w:rPr>
            </w:pPr>
            <w:r>
              <w:rPr>
                <w:rFonts w:hint="eastAsia"/>
              </w:rPr>
              <w:t xml:space="preserve">投标文件未符合“售后服务方案”中全部条款要求的，视为不符合招标文件要求，本项得0分。</w:t>
            </w:r>
            <w:r/>
          </w:p>
          <w:p>
            <w:pPr>
              <w:pStyle w:val="748"/>
              <w:rPr>
                <w:rFonts w:ascii="宋体" w:hAnsi="宋体" w:cs="宋体"/>
              </w:rPr>
            </w:pPr>
            <w:r>
              <w:rPr>
                <w:rFonts w:hint="eastAsia"/>
              </w:rPr>
              <w:t xml:space="preserve">（2）投标文件符合“售后服务方案”中全部条款要求的，视为符合招标文件要求，本项得3分。</w:t>
            </w:r>
            <w:r>
              <w:rPr>
                <w:rFonts w:ascii="宋体" w:hAnsi="宋体" w:cs="宋体"/>
              </w:rPr>
            </w:r>
            <w:r/>
          </w:p>
          <w:p>
            <w:pPr>
              <w:pStyle w:val="748"/>
            </w:pPr>
            <w:r>
              <w:rPr>
                <w:rFonts w:hint="eastAsia"/>
              </w:rPr>
              <w:t xml:space="preserve">（3）投标文件对“售后服务方案”中“故障响应机制”“质保期服务”两项要求的响应内容全部优于招标文件要求的（前提是投标文件对“售后服务方案”中除“故障响应机制”“质保期服务”外其他要求响应内容符合招标文件要求），本项得5分。</w:t>
            </w: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pPr>
            <w:r>
              <w:rPr>
                <w:rFonts w:hint="eastAsia"/>
              </w:rPr>
              <w:t xml:space="preserve">5</w:t>
            </w:r>
            <w:r/>
            <w:r/>
          </w:p>
        </w:tc>
      </w:tr>
      <w:tr>
        <w:trPr>
          <w:trHeight w:val="88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rPr>
                <w:rFonts w:hint="eastAsia"/>
              </w:rPr>
            </w:pPr>
            <w:r>
              <w:rPr>
                <w:rFonts w:hint="eastAsia"/>
              </w:rPr>
              <w:t xml:space="preserve">2.11</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rPr>
                <w:rFonts w:hint="eastAsia"/>
              </w:rPr>
              <w:t xml:space="preserve">保密承诺及措施</w:t>
            </w:r>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评委根据投标文件对招标文件第四章“采购需求”中“4.12.11 保密承诺及措施”要求的响应情况进行评审：</w:t>
            </w:r>
            <w:r/>
          </w:p>
          <w:p>
            <w:pPr>
              <w:pStyle w:val="748"/>
              <w:numPr>
                <w:ilvl w:val="0"/>
                <w:numId w:val="16"/>
              </w:numPr>
              <w:rPr>
                <w:rFonts w:hint="eastAsia"/>
              </w:rPr>
            </w:pPr>
            <w:r>
              <w:rPr>
                <w:rFonts w:hint="eastAsia"/>
              </w:rPr>
              <w:t xml:space="preserve">投标文件未符合“保密承诺及措施”中全部条款要求的，视为不符合招标文件要求，本项得0分。</w:t>
            </w:r>
            <w:r/>
          </w:p>
          <w:p>
            <w:pPr>
              <w:pStyle w:val="748"/>
              <w:rPr>
                <w:rFonts w:ascii="宋体" w:hAnsi="宋体" w:cs="宋体"/>
              </w:rPr>
            </w:pPr>
            <w:r>
              <w:rPr>
                <w:rFonts w:hint="eastAsia"/>
              </w:rPr>
              <w:t xml:space="preserve">（2）投标文件符合“保密承诺及措施”中全部条款要求的，视为符合招标文件要求，本项得3分。</w:t>
            </w:r>
            <w:r>
              <w:rPr>
                <w:rFonts w:ascii="宋体" w:hAnsi="宋体" w:cs="宋体"/>
              </w:rPr>
            </w:r>
            <w:r/>
          </w:p>
          <w:p>
            <w:pPr>
              <w:pStyle w:val="748"/>
              <w:rPr>
                <w:rFonts w:ascii="宋体" w:hAnsi="宋体" w:cs="宋体"/>
              </w:rPr>
            </w:pPr>
            <w:r>
              <w:rPr>
                <w:rFonts w:hint="eastAsia"/>
              </w:rPr>
              <w:t xml:space="preserve">（3）投标文件对“保密承诺及措施”中“保密管理措施”“保密协议”两项要求的响应内容全部优于招标文件要求的（前提是投标文件对“保密承诺及措施”中除 “保密管理措施”“保密协议”外其他要求响应内容符合招标文件要求），本项得5分。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pPr>
            <w:r>
              <w:rPr>
                <w:rFonts w:hint="eastAsia"/>
              </w:rPr>
              <w:t xml:space="preserve">5</w:t>
            </w:r>
            <w:r/>
            <w:r/>
          </w:p>
        </w:tc>
      </w:tr>
      <w:tr>
        <w:trPr>
          <w:trHeight w:val="88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2.12</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rPr>
                <w:rFonts w:hint="eastAsia"/>
              </w:rPr>
            </w:pPr>
            <w:r>
              <w:rPr>
                <w:rFonts w:hint="eastAsia"/>
              </w:rPr>
              <w:t xml:space="preserve">项目重难点分析及应对方案</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评委根据投标文件对招标文件第四章“采购需求”中“4.12.12 项目重难点分析及应对方案”要求的响应情况进行评审：</w:t>
            </w:r>
            <w:r/>
          </w:p>
          <w:p>
            <w:pPr>
              <w:pStyle w:val="748"/>
              <w:rPr>
                <w:rFonts w:hint="eastAsia"/>
              </w:rPr>
            </w:pPr>
            <w:r>
              <w:rPr>
                <w:rFonts w:hint="eastAsia"/>
              </w:rPr>
              <w:t xml:space="preserve">（1）投标文件未符合“项目重难点分析及应对方案”中全部条款要求的，视为不符合招标文件要求，本项得0分。</w:t>
            </w:r>
            <w:r/>
          </w:p>
          <w:p>
            <w:pPr>
              <w:pStyle w:val="748"/>
              <w:rPr>
                <w:rFonts w:hint="eastAsia"/>
              </w:rPr>
            </w:pPr>
            <w:r>
              <w:rPr>
                <w:rFonts w:hint="eastAsia"/>
              </w:rPr>
              <w:t xml:space="preserve">（2）投标文件符合“项目重难点分析及应对方案”中全部条款要求的，视为符合招标文件要求，本项得3分。</w:t>
            </w:r>
            <w:r/>
          </w:p>
          <w:p>
            <w:pPr>
              <w:pStyle w:val="748"/>
              <w:rPr>
                <w:rFonts w:hint="eastAsia"/>
              </w:rPr>
            </w:pPr>
            <w:r>
              <w:rPr>
                <w:rFonts w:hint="eastAsia"/>
              </w:rPr>
              <w:t xml:space="preserve">（3）投标文件对“项目重难点分析及应对方案”中“重难点识别”“应对措施”两项要求的响应内容全部优于招标文件要求的（前提是投标文件对“项目重难点分析及应对方案”中除“重难点识别”“应对措施”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rPr>
                <w:rFonts w:hint="eastAsia"/>
              </w:rPr>
            </w:pPr>
            <w:r>
              <w:rPr>
                <w:rFonts w:hint="eastAsia"/>
              </w:rPr>
              <w:t xml:space="preserve">5</w:t>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9061" w:type="dxa"/>
            <w:vAlign w:val="center"/>
            <w:textDirection w:val="lrTb"/>
            <w:noWrap/>
          </w:tcPr>
          <w:p>
            <w:pPr>
              <w:pStyle w:val="748"/>
              <w:jc w:val="left"/>
            </w:pPr>
            <w:r>
              <w:rPr>
                <w:rFonts w:hint="eastAsia"/>
              </w:rPr>
              <w:t xml:space="preserve">3.</w:t>
            </w:r>
            <w:r>
              <w:t xml:space="preserve">商务（</w:t>
            </w:r>
            <w:r>
              <w:rPr>
                <w:rFonts w:hint="eastAsia"/>
              </w:rPr>
              <w:t xml:space="preserve">30</w:t>
            </w:r>
            <w:r>
              <w:t xml:space="preserve">分）</w:t>
            </w:r>
            <w:r/>
          </w:p>
        </w:tc>
      </w:tr>
      <w:tr>
        <w:trPr>
          <w:trHeight w:val="40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3.1</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企业</w:t>
            </w:r>
            <w:r/>
          </w:p>
          <w:p>
            <w:pPr>
              <w:pStyle w:val="748"/>
              <w:jc w:val="center"/>
            </w:pPr>
            <w:r>
              <w:t xml:space="preserve">资质</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ascii="宋体" w:hAnsi="宋体" w:cs="宋体"/>
              </w:rPr>
            </w:pPr>
            <w:r>
              <w:rPr>
                <w:rFonts w:hint="eastAsia" w:ascii="宋体" w:hAnsi="宋体" w:cs="宋体"/>
              </w:rPr>
              <w:t xml:space="preserve">供应商具有下列证书或成果：</w:t>
            </w:r>
            <w:r>
              <w:rPr>
                <w:rFonts w:ascii="宋体" w:hAnsi="宋体" w:cs="宋体"/>
              </w:rPr>
            </w:r>
            <w:r/>
          </w:p>
          <w:p>
            <w:pPr>
              <w:pStyle w:val="748"/>
              <w:rPr>
                <w:rFonts w:ascii="宋体" w:hAnsi="宋体" w:cs="宋体"/>
              </w:rPr>
            </w:pPr>
            <w:r>
              <w:rPr>
                <w:rFonts w:hint="eastAsia" w:ascii="宋体" w:hAnsi="宋体" w:cs="宋体"/>
              </w:rPr>
              <w:t xml:space="preserve">具有ISO9001质量管理体系认证证书得3分。</w:t>
            </w:r>
            <w:r>
              <w:rPr>
                <w:rFonts w:ascii="宋体" w:hAnsi="宋体" w:cs="宋体"/>
              </w:rPr>
            </w:r>
            <w:r/>
          </w:p>
          <w:p>
            <w:pPr>
              <w:pStyle w:val="748"/>
            </w:pPr>
            <w:r>
              <w:rPr>
                <w:rFonts w:hint="eastAsia" w:ascii="宋体" w:hAnsi="宋体" w:cs="宋体"/>
              </w:rPr>
              <w:t xml:space="preserve">注：供应商须提供有效证书复印件并加盖公章，未提供或不符合要求的不得分。</w:t>
            </w: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rPr>
                <w:rFonts w:hint="eastAsia"/>
              </w:rPr>
            </w:pPr>
            <w:r>
              <w:rPr>
                <w:rFonts w:hint="eastAsia"/>
              </w:rPr>
              <w:t xml:space="preserve">3</w:t>
            </w:r>
            <w:r/>
          </w:p>
        </w:tc>
      </w:tr>
      <w:tr>
        <w:trPr>
          <w:trHeight w:val="216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pPr>
            <w:r>
              <w:rPr>
                <w:rFonts w:hint="eastAsia"/>
              </w:rPr>
              <w:t xml:space="preserve">3.2</w:t>
            </w: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rPr>
                <w:rFonts w:hint="eastAsia"/>
              </w:rPr>
            </w:pPr>
            <w:r>
              <w:t xml:space="preserve">企业履约能力</w:t>
            </w:r>
            <w:r>
              <w:rPr>
                <w:rFonts w:hint="eastAsia"/>
              </w:rPr>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rPr>
                <w:rFonts w:hint="eastAsia"/>
              </w:rPr>
            </w:pPr>
            <w:r>
              <w:rPr>
                <w:rFonts w:hint="eastAsia"/>
              </w:rPr>
              <w:t xml:space="preserve">供应商具有自主研发能力，具备与本项目相关的软件著作权证书，关键字包含：</w:t>
            </w:r>
            <w:r>
              <w:rPr>
                <w:rFonts w:hint="eastAsia" w:ascii="宋体" w:hAnsi="宋体" w:cs="宋体"/>
              </w:rPr>
              <w:t xml:space="preserve">数据交换、数据资源服务、企业调查、运行监测</w:t>
            </w:r>
            <w:r>
              <w:rPr>
                <w:rFonts w:hint="eastAsia"/>
              </w:rPr>
              <w:t xml:space="preserve">等软件著作权证书。每提供一个证书得1分，最多得2分。</w:t>
            </w:r>
            <w:r/>
          </w:p>
          <w:p>
            <w:pPr>
              <w:pStyle w:val="748"/>
              <w:rPr>
                <w:rFonts w:hint="eastAsia"/>
              </w:rPr>
            </w:pPr>
            <w:r>
              <w:rPr>
                <w:rFonts w:hint="eastAsia"/>
              </w:rPr>
              <w:t xml:space="preserve">（如投标文件中提供的著作权名称表述与招标文件描述的关键字样不一致，而该投标文件中能证明供应商拥有的软件著作权具有相同或相似功能和效果，且评标委员会认可的，视同符合要求。）</w:t>
            </w:r>
            <w:r/>
          </w:p>
          <w:p>
            <w:pPr>
              <w:pStyle w:val="748"/>
              <w:rPr>
                <w:rFonts w:hint="eastAsia"/>
              </w:rPr>
            </w:pPr>
            <w:r>
              <w:rPr>
                <w:rFonts w:hint="eastAsia"/>
              </w:rPr>
              <w:t xml:space="preserve">注：供应商须提供有效证书复印件并加盖公章，未提供或不符合要求的不得分。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rPr>
                <w:rFonts w:hint="eastAsia"/>
              </w:rPr>
            </w:pPr>
            <w:r>
              <w:rPr>
                <w:rFonts w:hint="eastAsia"/>
              </w:rPr>
              <w:t xml:space="preserve">2</w:t>
            </w:r>
            <w:r/>
          </w:p>
        </w:tc>
      </w:tr>
      <w:tr>
        <w:trPr>
          <w:trHeight w:val="216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rPr>
                <w:rFonts w:hint="eastAsia"/>
              </w:rPr>
            </w:pPr>
            <w:r>
              <w:rPr>
                <w:rFonts w:hint="eastAsia"/>
              </w:rPr>
              <w:t xml:space="preserve">3.3</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rPr>
                <w:rFonts w:hint="eastAsia"/>
              </w:rPr>
              <w:t xml:space="preserve">业绩</w:t>
            </w:r>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tcPr>
          <w:p>
            <w:pPr>
              <w:pStyle w:val="748"/>
            </w:pPr>
            <w:r>
              <w:rPr>
                <w:rFonts w:hint="eastAsia"/>
              </w:rPr>
              <w:t xml:space="preserve">供应商提供自2023年1月1日以来（以合同签订时间为准）与本项目类似的软件开发或国产化适配改造项目业绩，每提供一份合同得2分，最多得10分。</w:t>
            </w:r>
            <w:r/>
            <w:r/>
          </w:p>
          <w:p>
            <w:pPr>
              <w:pStyle w:val="748"/>
            </w:pPr>
            <w:r>
              <w:rPr>
                <w:rFonts w:hint="eastAsia"/>
              </w:rPr>
              <w:t xml:space="preserve">注：供应商须提供合同复印件并加盖供应商公章，复印件内容能够体现合同名称、签订双方名称、签订时间、主要服务内容、双方盖章页，未提供或不符合要求的不得分。</w:t>
            </w: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pStyle w:val="748"/>
              <w:jc w:val="center"/>
            </w:pPr>
            <w:r>
              <w:rPr>
                <w:rFonts w:hint="eastAsia"/>
              </w:rPr>
              <w:t xml:space="preserve">10</w:t>
            </w:r>
            <w:r/>
            <w:r/>
          </w:p>
        </w:tc>
      </w:tr>
      <w:tr>
        <w:trPr>
          <w:trHeight w:val="354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748"/>
              <w:jc w:val="center"/>
              <w:rPr>
                <w:rFonts w:hint="eastAsia"/>
              </w:rPr>
            </w:pPr>
            <w:r>
              <w:rPr>
                <w:rFonts w:hint="eastAsia"/>
              </w:rPr>
              <w:t xml:space="preserve">3.4</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748"/>
              <w:jc w:val="center"/>
            </w:pPr>
            <w:r>
              <w:t xml:space="preserve">团队</w:t>
            </w:r>
            <w:r/>
          </w:p>
          <w:p>
            <w:pPr>
              <w:pStyle w:val="748"/>
              <w:jc w:val="center"/>
            </w:pPr>
            <w:r>
              <w:t xml:space="preserve">实力</w:t>
            </w:r>
            <w:r/>
          </w:p>
        </w:tc>
        <w:tc>
          <w:tcPr>
            <w:tcBorders>
              <w:top w:val="single" w:color="000000" w:sz="4" w:space="0"/>
              <w:left w:val="single" w:color="000000" w:sz="4" w:space="0"/>
              <w:right w:val="single" w:color="000000" w:sz="4" w:space="0"/>
            </w:tcBorders>
            <w:tcW w:w="6313" w:type="dxa"/>
            <w:vAlign w:val="center"/>
            <w:textDirection w:val="lrTb"/>
            <w:noWrap/>
          </w:tcPr>
          <w:p>
            <w:pPr>
              <w:pStyle w:val="748"/>
              <w:rPr>
                <w:rFonts w:ascii="宋体" w:hAnsi="宋体" w:cs="宋体"/>
              </w:rPr>
            </w:pPr>
            <w:r>
              <w:rPr>
                <w:rFonts w:hint="eastAsia" w:ascii="宋体" w:hAnsi="宋体" w:cs="宋体"/>
              </w:rPr>
              <w:t xml:space="preserve">3.4.1.项目经理（1人）：</w:t>
            </w:r>
            <w:r>
              <w:rPr>
                <w:rFonts w:ascii="宋体" w:hAnsi="宋体" w:cs="宋体"/>
              </w:rPr>
            </w:r>
            <w:r/>
          </w:p>
          <w:p>
            <w:pPr>
              <w:pStyle w:val="748"/>
              <w:jc w:val="left"/>
              <w:rPr>
                <w:rFonts w:ascii="宋体" w:hAnsi="宋体" w:cs="宋体"/>
              </w:rPr>
            </w:pPr>
            <w:r>
              <w:rPr>
                <w:rFonts w:hint="eastAsia" w:ascii="宋体" w:hAnsi="宋体" w:cs="宋体"/>
              </w:rPr>
              <w:t xml:space="preserve">  具有软考信息系统项目管理师证书的得3分。</w:t>
            </w:r>
            <w:r>
              <w:rPr>
                <w:rFonts w:hint="eastAsia" w:ascii="宋体" w:hAnsi="宋体" w:cs="宋体"/>
              </w:rPr>
              <w:br w:type="textWrapping" w:clear="all"/>
            </w:r>
            <w:r>
              <w:rPr>
                <w:rFonts w:hint="eastAsia" w:ascii="宋体" w:hAnsi="宋体" w:cs="宋体"/>
              </w:rPr>
              <w:t xml:space="preserve">3.4.2.项目技术负责人（1人）：</w:t>
            </w:r>
            <w:r>
              <w:rPr>
                <w:rFonts w:ascii="宋体" w:hAnsi="宋体" w:cs="宋体"/>
              </w:rPr>
            </w:r>
            <w:r/>
          </w:p>
          <w:p>
            <w:pPr>
              <w:pStyle w:val="748"/>
              <w:jc w:val="left"/>
              <w:rPr>
                <w:rFonts w:hint="eastAsia" w:ascii="宋体" w:hAnsi="宋体" w:cs="宋体"/>
              </w:rPr>
            </w:pPr>
            <w:r>
              <w:rPr>
                <w:rFonts w:hint="eastAsia" w:ascii="宋体" w:hAnsi="宋体" w:cs="宋体"/>
              </w:rPr>
              <w:t xml:space="preserve">  具有软考系统分析师证书得3分。</w:t>
            </w:r>
            <w:r>
              <w:rPr>
                <w:rFonts w:hint="eastAsia" w:ascii="宋体" w:hAnsi="宋体" w:cs="宋体"/>
              </w:rPr>
              <w:br w:type="textWrapping" w:clear="all"/>
            </w:r>
            <w:r>
              <w:rPr>
                <w:rFonts w:hint="eastAsia" w:ascii="宋体" w:hAnsi="宋体" w:cs="宋体"/>
              </w:rPr>
              <w:t xml:space="preserve">3.4.3.项目团队其他成员（不含项目经理及项目技术负责人）：</w:t>
            </w:r>
            <w:r/>
          </w:p>
          <w:p>
            <w:pPr>
              <w:pStyle w:val="748"/>
              <w:ind w:firstLine="210"/>
              <w:rPr>
                <w:rFonts w:hint="eastAsia" w:ascii="宋体" w:hAnsi="宋体" w:cs="宋体"/>
              </w:rPr>
            </w:pPr>
            <w:r>
              <w:rPr>
                <w:rFonts w:ascii="宋体" w:hAnsi="宋体" w:cs="宋体"/>
                <w:szCs w:val="22"/>
              </w:rPr>
              <w:t xml:space="preserve">（1）具有</w:t>
            </w:r>
            <w:r>
              <w:rPr>
                <w:rFonts w:hint="eastAsia" w:ascii="宋体" w:hAnsi="宋体" w:cs="宋体"/>
              </w:rPr>
              <w:t xml:space="preserve">软考系统集成项目管理工程师证书，每提供一人得3分，最高3分；</w:t>
            </w:r>
            <w:r/>
          </w:p>
          <w:p>
            <w:pPr>
              <w:pStyle w:val="748"/>
              <w:ind w:firstLine="210"/>
              <w:rPr>
                <w:rFonts w:hint="eastAsia" w:ascii="宋体" w:hAnsi="宋体" w:cs="宋体"/>
              </w:rPr>
            </w:pPr>
            <w:r>
              <w:rPr>
                <w:rFonts w:ascii="宋体" w:hAnsi="宋体" w:cs="宋体"/>
                <w:szCs w:val="22"/>
              </w:rPr>
              <w:t xml:space="preserve">（</w:t>
            </w:r>
            <w:r>
              <w:rPr>
                <w:rFonts w:hint="eastAsia" w:ascii="宋体" w:hAnsi="宋体" w:cs="宋体"/>
                <w:szCs w:val="22"/>
              </w:rPr>
              <w:t xml:space="preserve">2</w:t>
            </w:r>
            <w:r>
              <w:rPr>
                <w:rFonts w:ascii="宋体" w:hAnsi="宋体" w:cs="宋体"/>
                <w:szCs w:val="22"/>
              </w:rPr>
              <w:t xml:space="preserve">）具有</w:t>
            </w:r>
            <w:r>
              <w:rPr>
                <w:rFonts w:hint="eastAsia" w:ascii="宋体" w:hAnsi="宋体" w:cs="宋体"/>
              </w:rPr>
              <w:t xml:space="preserve">软考软件设计师证书，每提供一人得3分，最高3分；</w:t>
            </w:r>
            <w:r/>
          </w:p>
          <w:p>
            <w:pPr>
              <w:pStyle w:val="748"/>
              <w:ind w:firstLine="210"/>
              <w:rPr>
                <w:rFonts w:hint="eastAsia" w:ascii="宋体" w:hAnsi="宋体" w:cs="宋体"/>
              </w:rPr>
            </w:pPr>
            <w:r>
              <w:rPr>
                <w:rFonts w:ascii="宋体" w:hAnsi="宋体" w:cs="宋体"/>
                <w:szCs w:val="22"/>
              </w:rPr>
              <w:t xml:space="preserve">（</w:t>
            </w:r>
            <w:r>
              <w:rPr>
                <w:rFonts w:hint="eastAsia" w:ascii="宋体" w:hAnsi="宋体" w:cs="宋体"/>
                <w:szCs w:val="22"/>
              </w:rPr>
              <w:t xml:space="preserve">3</w:t>
            </w:r>
            <w:r>
              <w:rPr>
                <w:rFonts w:ascii="宋体" w:hAnsi="宋体" w:cs="宋体"/>
                <w:szCs w:val="22"/>
              </w:rPr>
              <w:t xml:space="preserve">）具有</w:t>
            </w:r>
            <w:r>
              <w:rPr>
                <w:rFonts w:hint="eastAsia" w:ascii="宋体" w:hAnsi="宋体" w:cs="宋体"/>
              </w:rPr>
              <w:t xml:space="preserve">软考网络工程师证书，每提供一人得3分，最高3分；</w:t>
            </w:r>
            <w:r/>
          </w:p>
          <w:p>
            <w:pPr>
              <w:pStyle w:val="748"/>
              <w:rPr>
                <w:rFonts w:ascii="宋体" w:hAnsi="宋体" w:cs="宋体"/>
                <w:b/>
                <w:bCs/>
              </w:rPr>
            </w:pPr>
            <w:r>
              <w:rPr>
                <w:rFonts w:hint="eastAsia" w:ascii="宋体" w:hAnsi="宋体" w:cs="宋体"/>
                <w:b/>
                <w:bCs/>
              </w:rPr>
              <w:t xml:space="preserve">（项目团队其他成员（不含项目经理及项目技术负责人）中同类证书不重复得分，一人多证按一个证书得分）</w:t>
            </w:r>
            <w:r>
              <w:rPr>
                <w:rFonts w:ascii="宋体" w:hAnsi="宋体" w:cs="宋体"/>
                <w:b/>
                <w:bCs/>
              </w:rPr>
            </w:r>
            <w:r/>
          </w:p>
          <w:p>
            <w:pPr>
              <w:pStyle w:val="748"/>
            </w:pPr>
            <w:r>
              <w:rPr>
                <w:rFonts w:hint="eastAsia" w:ascii="宋体" w:hAnsi="宋体" w:cs="宋体"/>
              </w:rPr>
              <w:t xml:space="preserve">注：供应商须提供相关人员的资格证书或证明文件复印件、提供近半年内任意1个月供应商为上述人员缴纳的社会保险证明材料并加盖公章，未提供或不符合要求的不得分。</w:t>
            </w:r>
            <w:r/>
            <w:r/>
          </w:p>
        </w:tc>
        <w:tc>
          <w:tcPr>
            <w:tcBorders>
              <w:top w:val="single" w:color="000000" w:sz="4" w:space="0"/>
              <w:left w:val="single" w:color="000000" w:sz="4" w:space="0"/>
              <w:right w:val="single" w:color="000000" w:sz="4" w:space="0"/>
            </w:tcBorders>
            <w:tcW w:w="797" w:type="dxa"/>
            <w:vAlign w:val="center"/>
            <w:textDirection w:val="lrTb"/>
            <w:noWrap/>
          </w:tcPr>
          <w:p>
            <w:pPr>
              <w:pStyle w:val="748"/>
              <w:jc w:val="center"/>
              <w:rPr>
                <w:rFonts w:hint="eastAsia"/>
              </w:rPr>
            </w:pPr>
            <w:r>
              <w:rPr>
                <w:rFonts w:hint="eastAsia"/>
              </w:rPr>
              <w:t xml:space="preserve">15</w:t>
            </w:r>
            <w:r/>
          </w:p>
        </w:tc>
      </w:tr>
    </w:tbl>
    <w:p>
      <w:pPr>
        <w:pStyle w:val="748"/>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748"/>
        <w:ind w:firstLine="562"/>
        <w:jc w:val="left"/>
        <w:spacing w:before="120" w:after="120" w:line="400" w:lineRule="exact"/>
        <w:rPr>
          <w:rFonts w:hint="eastAsia" w:ascii="方正仿宋_GBK" w:hAnsi="方正仿宋_GBK" w:eastAsia="方正仿宋_GBK" w:cs="方正仿宋_GBK"/>
          <w:b/>
          <w:sz w:val="28"/>
          <w:szCs w:val="28"/>
        </w:rPr>
      </w:pPr>
      <w:r>
        <w:rPr>
          <w:rFonts w:ascii="方正仿宋_GBK" w:hAnsi="方正仿宋_GBK" w:eastAsia="方正仿宋_GBK" w:cs="方正仿宋_GBK"/>
          <w:b/>
          <w:sz w:val="28"/>
          <w:szCs w:val="28"/>
        </w:rPr>
        <w:br w:type="page" w:clear="all"/>
      </w:r>
      <w:r>
        <w:rPr>
          <w:rFonts w:hint="eastAsia" w:ascii="方正仿宋_GBK" w:hAnsi="方正仿宋_GBK" w:eastAsia="方正仿宋_GBK" w:cs="方正仿宋_GBK"/>
          <w:b/>
          <w:sz w:val="28"/>
          <w:szCs w:val="28"/>
        </w:rPr>
        <w:t xml:space="preserve">采购包六：江苏省物流公共服务平台国产化适配改造</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1559"/>
        <w:gridCol w:w="5812"/>
        <w:gridCol w:w="783"/>
      </w:tblGrid>
      <w:tr>
        <w:trPr/>
        <w:tc>
          <w:tcPr>
            <w:tcW w:w="962" w:type="dxa"/>
            <w:vAlign w:val="center"/>
            <w:textDirection w:val="lrTb"/>
            <w:noWrap w:val="false"/>
          </w:tcPr>
          <w:p>
            <w:pPr>
              <w:pStyle w:val="748"/>
              <w:jc w:val="center"/>
              <w:spacing w:after="80" w:line="276" w:lineRule="auto"/>
              <w:widowControl/>
              <w:rPr>
                <w:rFonts w:ascii="宋体" w:hAnsi="宋体" w:cs="宋体"/>
                <w:lang w:eastAsia="en-US"/>
              </w:rPr>
            </w:pPr>
            <w:r>
              <w:rPr>
                <w:rFonts w:hint="eastAsia" w:ascii="宋体" w:hAnsi="宋体" w:cs="宋体"/>
                <w:b/>
                <w:lang w:eastAsia="en-US"/>
              </w:rPr>
              <w:t xml:space="preserve">序号</w:t>
            </w:r>
            <w:r>
              <w:rPr>
                <w:rFonts w:ascii="宋体" w:hAnsi="宋体" w:cs="宋体"/>
                <w:lang w:eastAsia="en-US"/>
              </w:rPr>
            </w:r>
            <w:r/>
          </w:p>
        </w:tc>
        <w:tc>
          <w:tcPr>
            <w:tcW w:w="1559" w:type="dxa"/>
            <w:vAlign w:val="center"/>
            <w:textDirection w:val="lrTb"/>
            <w:noWrap w:val="false"/>
          </w:tcPr>
          <w:p>
            <w:pPr>
              <w:pStyle w:val="748"/>
              <w:jc w:val="center"/>
              <w:spacing w:after="80" w:line="276" w:lineRule="auto"/>
              <w:widowControl/>
              <w:rPr>
                <w:rFonts w:ascii="宋体" w:hAnsi="宋体" w:cs="宋体"/>
                <w:lang w:eastAsia="en-US"/>
              </w:rPr>
            </w:pPr>
            <w:r>
              <w:rPr>
                <w:rFonts w:hint="eastAsia" w:ascii="宋体" w:hAnsi="宋体" w:cs="宋体"/>
                <w:b/>
                <w:lang w:eastAsia="en-US"/>
              </w:rPr>
              <w:t xml:space="preserve">评分因素</w:t>
            </w:r>
            <w:r>
              <w:rPr>
                <w:rFonts w:ascii="宋体" w:hAnsi="宋体" w:cs="宋体"/>
                <w:lang w:eastAsia="en-US"/>
              </w:rPr>
            </w:r>
            <w:r/>
          </w:p>
        </w:tc>
        <w:tc>
          <w:tcPr>
            <w:tcW w:w="5812" w:type="dxa"/>
            <w:vAlign w:val="center"/>
            <w:textDirection w:val="lrTb"/>
            <w:noWrap w:val="false"/>
          </w:tcPr>
          <w:p>
            <w:pPr>
              <w:pStyle w:val="748"/>
              <w:jc w:val="center"/>
              <w:spacing w:after="80" w:line="276" w:lineRule="auto"/>
              <w:widowControl/>
              <w:rPr>
                <w:rFonts w:ascii="宋体" w:hAnsi="宋体" w:cs="宋体"/>
                <w:lang w:eastAsia="en-US"/>
              </w:rPr>
            </w:pPr>
            <w:r>
              <w:rPr>
                <w:rFonts w:hint="eastAsia" w:ascii="宋体" w:hAnsi="宋体" w:cs="宋体"/>
                <w:b/>
                <w:lang w:eastAsia="en-US"/>
              </w:rPr>
              <w:t xml:space="preserve">评审细则</w:t>
            </w:r>
            <w:r>
              <w:rPr>
                <w:rFonts w:ascii="宋体" w:hAnsi="宋体" w:cs="宋体"/>
                <w:lang w:eastAsia="en-US"/>
              </w:rPr>
            </w:r>
            <w:r/>
          </w:p>
        </w:tc>
        <w:tc>
          <w:tcPr>
            <w:tcW w:w="783" w:type="dxa"/>
            <w:vAlign w:val="center"/>
            <w:textDirection w:val="lrTb"/>
            <w:noWrap w:val="false"/>
          </w:tcPr>
          <w:p>
            <w:pPr>
              <w:pStyle w:val="748"/>
              <w:jc w:val="center"/>
              <w:spacing w:after="80" w:line="276" w:lineRule="auto"/>
              <w:widowControl/>
              <w:rPr>
                <w:rFonts w:ascii="宋体" w:hAnsi="宋体" w:cs="宋体"/>
                <w:lang w:eastAsia="en-US"/>
              </w:rPr>
            </w:pPr>
            <w:r>
              <w:rPr>
                <w:rFonts w:hint="eastAsia" w:ascii="宋体" w:hAnsi="宋体" w:cs="宋体"/>
                <w:b/>
                <w:lang w:eastAsia="en-US"/>
              </w:rPr>
              <w:t xml:space="preserve">分值</w:t>
            </w:r>
            <w:r>
              <w:rPr>
                <w:rFonts w:ascii="宋体" w:hAnsi="宋体" w:cs="宋体"/>
                <w:lang w:eastAsia="en-US"/>
              </w:rPr>
            </w:r>
            <w:r/>
          </w:p>
        </w:tc>
      </w:tr>
      <w:tr>
        <w:trPr/>
        <w:tc>
          <w:tcPr>
            <w:gridSpan w:val="2"/>
            <w:tcW w:w="2521"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1.价格（10分）</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rPr>
            </w:pP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rPr>
            </w:pPr>
            <w:r>
              <w:rPr>
                <w:rFonts w:ascii="宋体" w:hAnsi="宋体" w:cs="宋体"/>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1.1</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价格</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报价分计算方法：采用低价优先法计算，即满足采购文件要求且报价最低的供应商报价为评标基准价，其价格分为满分10分。其他投标人的价格分统一按照下列公式计算：投标报价得分=（评标基准价/该投标人的投标报价）×10，按四舍五入法保留两位小数。</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10</w:t>
            </w:r>
            <w:r>
              <w:rPr>
                <w:rFonts w:ascii="宋体" w:hAnsi="宋体" w:cs="宋体"/>
                <w:lang w:eastAsia="en-US"/>
              </w:rPr>
            </w:r>
            <w:r/>
          </w:p>
        </w:tc>
      </w:tr>
      <w:tr>
        <w:trPr/>
        <w:tc>
          <w:tcPr>
            <w:gridSpan w:val="2"/>
            <w:tcW w:w="2521"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2.技术（57分）</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lang w:eastAsia="en-US"/>
              </w:rPr>
            </w:pPr>
            <w:r>
              <w:rPr>
                <w:rFonts w:ascii="宋体" w:hAnsi="宋体" w:cs="宋体"/>
                <w:lang w:eastAsia="en-US"/>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2.1</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现状和需求分析方案</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评委根据投标文件对招标文件第四章本分包采购需求第7条投标方案编制要求中“7.1 现状和需求分析方案”要求的响应情况进行评审。</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（1）投标文件未符合“现状和需求分析方案”中全部条款要求的，视为不符合招标文件，本项得0分。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（2）投标文件符合“现状和需求分析方案”中全部条款要求的，视为符合招标文件，本项得3分。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3）投标文件对“现状和需求分析方案”中的“需求分析”“项目重难点分析及应对措施”2项要求的响应内容全部优于招标文件要求的（前提是投标文件对“现状和需求分析方案”中除“需求分析”“项目重难点分析及应对措施”外其他要求响应内容符合招标文件要求），本项得5分。</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5</w:t>
            </w: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2.2</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总体设计方案</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评委根据投标文件对招标文件第四章本分包采购需求第7条投标方案编制要求中“7.2 总体设计方案”要求的响应情况进行评审。</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（1）投标文件未符合“总体设计方案”中全部条款要求的，视为不符合招标文件，本项得0分。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（2）投标文件符合“总体设计方案”中全部条款要求的，视为符合招标文件，本项得3分。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3）投标文件对“总体设计方案”中的“总体架构与技术架构设计”“系统安全设计”2项要求的响应内容全部优于招标文件要求的（前提是投标文件对“总体设计方案”中除“总体架构与技术架构设计”、“系统安全设计”外其他要求响应内容符合招标文件要求），本项得5分。</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5</w:t>
            </w: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2.3</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功能响应与保障方案</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评委根据投标文件对招标文件第四章本分包采购需求第7条投标方案编制要求中“7.3 功能响应与保障方案”中除标注“▲”的关键功能模块以外的6项功能模块（系统配置管理、信息服务管理、报告管理、目录管理、问卷填报、通知公告）要求的响应情况进行评审。</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（1）投标文件未符合“功能响应与保障方案”中上述6项功能模块响应内容全部条款要求的，视为不符合招标文件，本项得0分。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（2）投标文件符合“功能响应与保障方案”中上述6项功能模块响应内容全部条款要求的，视为符合招标文件，本项得3分。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3）投标文件对“功能响应与保障方案”中“系统配置管理”“信息服务管理”“报告管理”“目录管理”“问卷填报”5项要求的响应内容全部优于招标文件要求的（前提是投标文件对“功能响应与保障方案”中除“系统配置管理”“信息服务管理”“报告管理”“目录管理”“问卷填报”外其他要求响应内容符合招标文件要求），本项得5分。</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5</w:t>
            </w: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2.4</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适配改造方案</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评委根据投标文件对招标文件第四章本分包采购需求第7条投标方案编制要求中“7.4 适配改造方案”要求的响应情况进行评审。</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（1）投标文件未符合“适配改造方案”中全部条款要求的，视为不符合招标文件，本项得0分。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（2）投标文件符合“适配改造方案”中全部条款要求的，视为符合招标文件，本项得3分。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3）投标文件对“适配改造方案”中的“部署端国产化适配设计”“系统性能适配设计”2项要求的响应内容全部优于招标文件要求的（前提是投标文件对“适配改造方案”中除“部署端国产化适配设计”“系统性能适配设计”外其他要求响应内容符合招标文件要求），本项得5分。</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5</w:t>
            </w: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2.5</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数据迁移方案</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评委根据投标文件对招标文件第四章本分包采购需求第7条投标方案编制要求中“7.5 数据迁移方案”要求的响应情况进行评审。</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（1）投标文件未符合“数据迁移方案”中全部条款要求的，视为不符合招标文件，本项得0分。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（2）投标文件符合“数据迁移方案”中全部条款要求的，视为符合招标文件，本项得3分。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（3）投标文件对“数据迁移方案”中的“测试验证”要求的响应内容全部优于招标文件要求的（前提是投标文件对“数据迁移方案”中除“测试验证”外其他要求响应内容符合招标文件要求），本项得5分。</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5</w:t>
            </w: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2.6</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安全设计方案</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评委根据投标文件对招标文件第四章本分包采购需求第7条投标方案编制要求中“7.6 安全设计方案”要求的响应情况进行评审。</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（1）投标文件未符合“安全设计方案”中全部条款要求的，视为不符合招标文件，本项得0分。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（2）投标文件符合“安全设计方案”中全部条款要求的，视为符合招标文件，本项得3分。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3）投标文件对“安全设计方案”中的“密码应用方案”“数据安全与个人信息保护方案”2项要求的响应内容全部优于招标文件要求的（前提是投标文件对“安全设计方案”中除“密码应用”“数据安全与个人信息保护”外其他要求响应内容符合招标文件要求），本项得5分。</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5</w:t>
            </w: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2.7</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项目实施方案</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评委根据投标文件对招标文件第四章本分包采购需求第7条投标方案编制要求中“7.7 项目实施方案”要求的响应情况进行评审。</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（1）投标文件未满足“项目实施方案”中全部条款要求的，视为不符合招标文件要求，本项得0分。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（2）投标文件符合“项目实施方案”中全部条款要求的，视为符合招标文件，本项得3分。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3）投标文件对“项目实施方案”中的“实施进度管理”“项目风险管理”2项要求的响应内容全部优于招标文件要求的（前提是投标文件对“项目实施方案”中除“实施进度管理”“项目风险管理”外其他要求响应内容符合招标文件要求），本项得5分。</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5</w:t>
            </w: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2.8</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培训服务方案</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评委根据投标文件对招标文件第四章本分包采购需求第7条投标方案编制要求中“7.8 培训服务方案”要求的响应情况进行评审。</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（1）投标文件未满足“培训服务方案”中全部条款要求的，视为不符合招标文件要求，本项得0分。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（2）投标文件符合“培训服务方案”中全部条款要求的，视为符合招标文件，本项得3分。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（3）投标文件对“培训服务方案”中的“培训内容”要求的响应内容全部优于招标文件要求的（前提是投标文件对“培训服务方案”中除“培训内容”外其他要求响应内容符合招标文件要求），本项得5分。</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5</w:t>
            </w: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2.9</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售后服务方案</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评委根据投标文件对招标文件第四章本分包采购需求第7条投标方案编制要求中“7.9 售后服务方案”要求的响应情况进行评审。</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（1）投标文件未满足“售后服务方案”中全部条款要求的，视为不符合招标文件要求，本项得0分。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（2）投标文件符合“售后服务方案”中全部条款要求的，视为符合招标文件，本项得3分。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3）投标文件对“售后服务方案”中的“服务响应机制及响应时间”“故障分级处置”2项要求的响应内容全部优于招标文件要求的（前提是投标文件对“售后服务方案”中除“服务响应机制及响应时间”“故障分级处置”外其他要求响应内容符合招标文件要求），本项得5分。</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5</w:t>
            </w: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2.10</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rPr>
            </w:pPr>
            <w:r>
              <w:rPr>
                <w:rFonts w:hint="eastAsia" w:ascii="宋体" w:hAnsi="宋体" w:cs="宋体"/>
              </w:rPr>
              <w:t xml:space="preserve">关键功能模块适配响应</w:t>
            </w:r>
            <w:r>
              <w:rPr>
                <w:rFonts w:ascii="宋体" w:hAnsi="宋体" w:cs="宋体"/>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本分包采购需求中标注“▲”的适配改造关键功能模块共6项（门户、企业报表填报、企业填报任务管理、数据大屏、报表审批管理、统计报表），投标人须逐项提供上述6项系统功能指标响应情况：每项功能完全满足文件要求并提供系统功能描述得1分，每项提供同类项目类似系统功能截图得1分，每项最高得2分。本项最多得12分。</w:t>
              <w:br w:type="textWrapping" w:clear="all"/>
              <w:t xml:space="preserve">注：投标人提供的截图需加盖投标人公章。</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12</w:t>
            </w:r>
            <w:r>
              <w:rPr>
                <w:rFonts w:ascii="宋体" w:hAnsi="宋体" w:cs="宋体"/>
                <w:lang w:eastAsia="en-US"/>
              </w:rPr>
            </w:r>
            <w:r/>
          </w:p>
        </w:tc>
      </w:tr>
      <w:tr>
        <w:trPr/>
        <w:tc>
          <w:tcPr>
            <w:gridSpan w:val="2"/>
            <w:tcW w:w="2521"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3.商务（33分）</w:t>
            </w: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lang w:eastAsia="en-US"/>
              </w:rPr>
            </w:pPr>
            <w:r>
              <w:rPr>
                <w:rFonts w:ascii="宋体" w:hAnsi="宋体" w:cs="宋体"/>
                <w:lang w:eastAsia="en-US"/>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3.1</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rPr>
            </w:pPr>
            <w:r>
              <w:rPr>
                <w:rFonts w:hint="eastAsia" w:ascii="宋体" w:hAnsi="宋体" w:cs="宋体"/>
              </w:rPr>
              <w:t xml:space="preserve">企业履约能力——产品能力</w:t>
            </w:r>
            <w:r>
              <w:rPr>
                <w:rFonts w:ascii="宋体" w:hAnsi="宋体" w:cs="宋体"/>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投标人具有数字物流与供应链相关专利、软件著作权，每有1个专利得1分，每有1个软件著作权得1分，最高得3分。</w:t>
              <w:br w:type="textWrapping" w:clear="all"/>
              <w:t xml:space="preserve">注：投标人需提供证书复印件并加盖公章；如投标文件中提供的专利或著作权名称表述与招标文件描述的关键字样不一致，而该投标文件中能证明投标人拥有的相关专利或软件著作权具有相同或相似功能和效果，且评标委员会认可的，视同符合要求。</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rPr>
            </w:pPr>
            <w:r>
              <w:rPr>
                <w:rFonts w:hint="eastAsia" w:ascii="宋体" w:hAnsi="宋体" w:cs="宋体"/>
              </w:rPr>
              <w:t xml:space="preserve">3</w:t>
            </w:r>
            <w:r>
              <w:rPr>
                <w:rFonts w:ascii="宋体" w:hAnsi="宋体" w:cs="宋体"/>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3.2</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rPr>
            </w:pPr>
            <w:r>
              <w:rPr>
                <w:rFonts w:hint="eastAsia" w:ascii="宋体" w:hAnsi="宋体" w:cs="宋体"/>
              </w:rPr>
              <w:t xml:space="preserve">企业履约能力——企业资质</w:t>
            </w:r>
            <w:r>
              <w:rPr>
                <w:rFonts w:ascii="宋体" w:hAnsi="宋体" w:cs="宋体"/>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投标人开发的软件系统获得过行政部门颁发的、与物流信息化或技术相关的奖项，每一个奖项得2.5分，同一投标人的所有有效奖项可累计计分，但累计总分最高不超过5分。</w:t>
              <w:br w:type="textWrapping" w:clear="all"/>
              <w:t xml:space="preserve">注：须提供获奖证书或官方公示文件等有效证明材料扫描件，否则不予计分。</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rPr>
            </w:pPr>
            <w:r>
              <w:rPr>
                <w:rFonts w:hint="eastAsia" w:ascii="宋体" w:hAnsi="宋体" w:cs="宋体"/>
              </w:rPr>
              <w:t xml:space="preserve">5</w:t>
            </w:r>
            <w:r>
              <w:rPr>
                <w:rFonts w:ascii="宋体" w:hAnsi="宋体" w:cs="宋体"/>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3.3</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rPr>
            </w:pPr>
            <w:r>
              <w:rPr>
                <w:rFonts w:hint="eastAsia" w:ascii="宋体" w:hAnsi="宋体" w:cs="宋体"/>
              </w:rPr>
              <w:t xml:space="preserve">企业履约能力——项目案例</w:t>
            </w:r>
            <w:r>
              <w:rPr>
                <w:rFonts w:ascii="宋体" w:hAnsi="宋体" w:cs="宋体"/>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投标人具有与本项目类似的系统平台国产化适配改造经验业绩的，每有一个业绩得5分，最高得10分；不提供或不符合要求不得分。</w:t>
              <w:br w:type="textWrapping" w:clear="all"/>
              <w:t xml:space="preserve">注：需提供合同首页、合同内容关键页和签字盖章页复印件并加盖投标人公章，需体现合同项目名称、签订双方名称、签订时间。</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10</w:t>
            </w: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3.4</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rPr>
            </w:pPr>
            <w:r>
              <w:rPr>
                <w:rFonts w:hint="eastAsia" w:ascii="宋体" w:hAnsi="宋体" w:cs="宋体"/>
              </w:rPr>
              <w:t xml:space="preserve">企业履约能力——技术团队资质</w:t>
            </w:r>
            <w:r>
              <w:rPr>
                <w:rFonts w:ascii="宋体" w:hAnsi="宋体" w:cs="宋体"/>
              </w:rPr>
            </w:r>
            <w:r/>
          </w:p>
        </w:tc>
        <w:tc>
          <w:tcPr>
            <w:tcW w:w="5812" w:type="dxa"/>
            <w:vAlign w:val="top"/>
            <w:textDirection w:val="lrTb"/>
            <w:noWrap w:val="false"/>
          </w:tcPr>
          <w:p>
            <w:pPr>
              <w:pStyle w:val="748"/>
              <w:jc w:val="left"/>
              <w:spacing w:line="276" w:lineRule="auto"/>
              <w:widowControl/>
              <w:rPr>
                <w:rFonts w:ascii="宋体" w:hAnsi="宋体" w:cs="宋体"/>
              </w:rPr>
            </w:pPr>
            <w:r>
              <w:rPr>
                <w:rFonts w:hint="eastAsia" w:ascii="宋体" w:hAnsi="宋体" w:cs="宋体"/>
              </w:rPr>
              <w:t xml:space="preserve">供应商拟投入本项目的团队人员（含项目经理、技术负责人及其他成员）中，持有下列有效证书的按以下标准计分，同一人员持有多项证书或多人持有同类证书的可累计计分，每人每证得3分，本项最高得15分：</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1、软考信息系统项目管理师证书；</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2、软考系统集成项目管理工程师证书；</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3、数据治理工程师证书；</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4、软考数据库系统工程师（中级及以上）证书；</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5、软考软件设计师（中级及以上）证书。</w:t>
            </w:r>
            <w:r>
              <w:rPr>
                <w:rFonts w:ascii="宋体" w:hAnsi="宋体" w:cs="宋体"/>
              </w:rPr>
            </w:r>
            <w:r/>
          </w:p>
          <w:p>
            <w:pPr>
              <w:pStyle w:val="748"/>
              <w:jc w:val="left"/>
              <w:spacing w:line="276" w:lineRule="auto"/>
              <w:widowControl/>
              <w:rPr>
                <w:rFonts w:ascii="宋体" w:hAnsi="宋体" w:cs="宋体"/>
              </w:rPr>
            </w:pPr>
            <w:r>
              <w:rPr>
                <w:rFonts w:hint="eastAsia" w:ascii="宋体" w:hAnsi="宋体" w:cs="宋体"/>
              </w:rPr>
              <w:t xml:space="preserve">注：供应商须提供相关人员的资格证书或证明文件复印件，以及近半年内任意1个月供应商为其缴纳的社会保险证明材料（加盖公章）。未提供或不符合要求的，对应人员不予计分。</w:t>
            </w:r>
            <w:r>
              <w:rPr>
                <w:rFonts w:ascii="宋体" w:hAnsi="宋体" w:cs="宋体"/>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rPr>
              <w:t xml:space="preserve">15</w:t>
            </w:r>
            <w:r>
              <w:rPr>
                <w:rFonts w:ascii="宋体" w:hAnsi="宋体" w:cs="宋体"/>
                <w:lang w:eastAsia="en-US"/>
              </w:rPr>
            </w:r>
            <w:r/>
          </w:p>
        </w:tc>
      </w:tr>
      <w:tr>
        <w:trPr/>
        <w:tc>
          <w:tcPr>
            <w:tcW w:w="962"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总得分</w:t>
            </w:r>
            <w:r>
              <w:rPr>
                <w:rFonts w:ascii="宋体" w:hAnsi="宋体" w:cs="宋体"/>
                <w:lang w:eastAsia="en-US"/>
              </w:rPr>
            </w:r>
            <w:r/>
          </w:p>
        </w:tc>
        <w:tc>
          <w:tcPr>
            <w:tcW w:w="1559" w:type="dxa"/>
            <w:vAlign w:val="center"/>
            <w:textDirection w:val="lrTb"/>
            <w:noWrap w:val="false"/>
          </w:tcPr>
          <w:p>
            <w:pPr>
              <w:pStyle w:val="748"/>
              <w:jc w:val="center"/>
              <w:spacing w:line="276" w:lineRule="auto"/>
              <w:widowControl/>
              <w:rPr>
                <w:rFonts w:ascii="宋体" w:hAnsi="宋体" w:cs="宋体"/>
                <w:lang w:eastAsia="en-US"/>
              </w:rPr>
            </w:pPr>
            <w:r>
              <w:rPr>
                <w:rFonts w:ascii="宋体" w:hAnsi="宋体" w:cs="宋体"/>
                <w:lang w:eastAsia="en-US"/>
              </w:rPr>
            </w:r>
            <w:r/>
          </w:p>
        </w:tc>
        <w:tc>
          <w:tcPr>
            <w:tcW w:w="5812" w:type="dxa"/>
            <w:vAlign w:val="top"/>
            <w:textDirection w:val="lrTb"/>
            <w:noWrap w:val="false"/>
          </w:tcPr>
          <w:p>
            <w:pPr>
              <w:pStyle w:val="748"/>
              <w:jc w:val="left"/>
              <w:spacing w:line="276" w:lineRule="auto"/>
              <w:widowControl/>
              <w:rPr>
                <w:rFonts w:ascii="宋体" w:hAnsi="宋体" w:cs="宋体"/>
                <w:lang w:eastAsia="en-US"/>
              </w:rPr>
            </w:pPr>
            <w:r>
              <w:rPr>
                <w:rFonts w:ascii="宋体" w:hAnsi="宋体" w:cs="宋体"/>
                <w:lang w:eastAsia="en-US"/>
              </w:rPr>
            </w:r>
            <w:r/>
          </w:p>
        </w:tc>
        <w:tc>
          <w:tcPr>
            <w:tcW w:w="783" w:type="dxa"/>
            <w:vAlign w:val="center"/>
            <w:textDirection w:val="lrTb"/>
            <w:noWrap w:val="false"/>
          </w:tcPr>
          <w:p>
            <w:pPr>
              <w:pStyle w:val="748"/>
              <w:jc w:val="center"/>
              <w:spacing w:line="276" w:lineRule="auto"/>
              <w:widowControl/>
              <w:rPr>
                <w:rFonts w:ascii="宋体" w:hAnsi="宋体" w:cs="宋体"/>
                <w:lang w:eastAsia="en-US"/>
              </w:rPr>
            </w:pPr>
            <w:r>
              <w:rPr>
                <w:rFonts w:hint="eastAsia" w:ascii="宋体" w:hAnsi="宋体" w:cs="宋体"/>
                <w:lang w:eastAsia="en-US"/>
              </w:rPr>
              <w:t xml:space="preserve">100</w:t>
            </w:r>
            <w:r>
              <w:rPr>
                <w:rFonts w:ascii="宋体" w:hAnsi="宋体" w:cs="宋体"/>
                <w:lang w:eastAsia="en-US"/>
              </w:rPr>
            </w:r>
            <w:r/>
          </w:p>
        </w:tc>
      </w:tr>
    </w:tbl>
    <w:p>
      <w:pPr>
        <w:pStyle w:val="748"/>
        <w:jc w:val="left"/>
        <w:spacing w:after="80" w:line="360" w:lineRule="auto"/>
        <w:widowControl/>
        <w:rPr>
          <w:rFonts w:ascii="宋体" w:hAnsi="宋体" w:cs="宋体"/>
          <w:sz w:val="22"/>
          <w:szCs w:val="22"/>
          <w:lang w:eastAsia="en-US"/>
        </w:rPr>
      </w:pPr>
      <w:r>
        <w:rPr>
          <w:rFonts w:ascii="宋体" w:hAnsi="宋体" w:cs="宋体"/>
          <w:sz w:val="22"/>
          <w:szCs w:val="22"/>
          <w:lang w:eastAsia="en-US"/>
        </w:rPr>
      </w:r>
      <w:r/>
    </w:p>
    <w:p>
      <w:pPr>
        <w:pStyle w:val="748"/>
        <w:rPr>
          <w:rFonts w:ascii="Calibri" w:hAnsi="Calibri" w:cs="Arial"/>
          <w:szCs w:val="22"/>
        </w:rPr>
      </w:pPr>
      <w:r>
        <w:rPr>
          <w:rFonts w:ascii="Calibri" w:hAnsi="Calibri" w:cs="Arial"/>
          <w:szCs w:val="22"/>
        </w:rPr>
      </w:r>
      <w:r/>
    </w:p>
    <w:p>
      <w:pPr>
        <w:pStyle w:val="748"/>
        <w:rPr>
          <w:rFonts w:ascii="黑体" w:eastAsia="黑体"/>
          <w:bCs/>
          <w:sz w:val="44"/>
        </w:rPr>
      </w:pPr>
      <w:r>
        <w:rPr>
          <w:rFonts w:ascii="黑体" w:eastAsia="黑体"/>
          <w:bCs/>
          <w:sz w:val="44"/>
        </w:rPr>
      </w:r>
      <w:r/>
    </w:p>
    <w:p>
      <w:pPr>
        <w:pStyle w:val="748"/>
        <w:ind w:right="839"/>
        <w:jc w:val="center"/>
        <w:spacing w:line="660" w:lineRule="exact"/>
        <w:rPr>
          <w:rFonts w:hint="eastAsia" w:ascii="方正黑体_GBK" w:hAnsi="方正黑体_GBK" w:eastAsia="方正黑体_GBK" w:cs="方正黑体_GBK"/>
          <w:sz w:val="32"/>
          <w:szCs w:val="32"/>
        </w:rPr>
      </w:pPr>
      <w:r>
        <w:rPr>
          <w:rFonts w:ascii="方正黑体_GBK" w:hAnsi="方正黑体_GBK" w:eastAsia="方正黑体_GBK" w:cs="方正黑体_GBK"/>
          <w:sz w:val="32"/>
          <w:szCs w:val="32"/>
        </w:rPr>
        <w:br w:type="page" w:clear="all"/>
      </w:r>
      <w:r>
        <w:rPr>
          <w:rFonts w:hint="eastAsia" w:ascii="方正黑体_GBK" w:hAnsi="方正黑体_GBK" w:eastAsia="方正黑体_GBK" w:cs="方正黑体_GBK"/>
          <w:sz w:val="32"/>
          <w:szCs w:val="32"/>
        </w:rPr>
      </w:r>
      <w:r/>
    </w:p>
    <w:p>
      <w:pPr>
        <w:pStyle w:val="748"/>
        <w:ind w:right="839"/>
        <w:jc w:val="center"/>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第六章  投标</w:t>
      </w:r>
      <w:bookmarkEnd w:id="182"/>
      <w:r/>
      <w:bookmarkEnd w:id="183"/>
      <w:r/>
      <w:bookmarkEnd w:id="220"/>
      <w:r>
        <w:rPr>
          <w:rFonts w:hint="eastAsia" w:ascii="方正黑体_GBK" w:hAnsi="方正黑体_GBK" w:eastAsia="方正黑体_GBK" w:cs="方正黑体_GBK"/>
          <w:sz w:val="28"/>
          <w:szCs w:val="28"/>
        </w:rPr>
        <w:t xml:space="preserve">文件格式 </w:t>
      </w:r>
      <w:r/>
    </w:p>
    <w:p>
      <w:pPr>
        <w:pStyle w:val="748"/>
        <w:jc w:val="center"/>
        <w:rPr>
          <w:rFonts w:hint="eastAsia" w:ascii="宋体" w:hAnsi="宋体"/>
          <w:b/>
          <w:sz w:val="28"/>
          <w:szCs w:val="28"/>
        </w:rPr>
      </w:pPr>
      <w:r/>
      <w:bookmarkStart w:id="266" w:name="_Hlt26955039"/>
      <w:r/>
      <w:bookmarkEnd w:id="266"/>
      <w:r/>
      <w:bookmarkStart w:id="267" w:name="_Hlt26671244"/>
      <w:r/>
      <w:bookmarkEnd w:id="267"/>
      <w:r/>
      <w:bookmarkStart w:id="268" w:name="_Toc26554094"/>
      <w:r/>
      <w:bookmarkStart w:id="269" w:name="_Toc120614282"/>
      <w:r/>
      <w:bookmarkStart w:id="270" w:name="_Toc49090576"/>
      <w:r>
        <w:rPr>
          <w:rFonts w:hint="eastAsia" w:ascii="宋体" w:hAnsi="宋体"/>
          <w:b/>
          <w:sz w:val="28"/>
          <w:szCs w:val="28"/>
        </w:rPr>
      </w:r>
      <w:r/>
    </w:p>
    <w:p>
      <w:pPr>
        <w:pStyle w:val="748"/>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748"/>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748"/>
        <w:jc w:val="center"/>
        <w:rPr>
          <w:rFonts w:hint="eastAsia" w:ascii="宋体" w:hAnsi="宋体"/>
          <w:b/>
          <w:sz w:val="28"/>
          <w:szCs w:val="28"/>
        </w:rPr>
      </w:pPr>
      <w:r>
        <w:rPr>
          <w:rFonts w:hint="eastAsia" w:ascii="宋体" w:hAnsi="宋体"/>
          <w:b/>
          <w:sz w:val="28"/>
          <w:szCs w:val="28"/>
        </w:rPr>
      </w:r>
      <w:r/>
    </w:p>
    <w:p>
      <w:pPr>
        <w:pStyle w:val="748"/>
        <w:jc w:val="center"/>
        <w:rPr>
          <w:rFonts w:hint="eastAsia" w:ascii="宋体" w:hAnsi="宋体"/>
          <w:b/>
          <w:sz w:val="28"/>
          <w:szCs w:val="28"/>
        </w:rPr>
      </w:pPr>
      <w:r>
        <w:rPr>
          <w:rFonts w:hint="eastAsia" w:ascii="宋体" w:hAnsi="宋体"/>
          <w:b/>
          <w:sz w:val="28"/>
          <w:szCs w:val="28"/>
        </w:rPr>
      </w:r>
      <w:r/>
    </w:p>
    <w:p>
      <w:pPr>
        <w:pStyle w:val="748"/>
        <w:jc w:val="center"/>
        <w:rPr>
          <w:rFonts w:hint="eastAsia" w:ascii="宋体" w:hAnsi="宋体"/>
          <w:b/>
          <w:sz w:val="28"/>
          <w:szCs w:val="28"/>
        </w:rPr>
      </w:pPr>
      <w:r>
        <w:rPr>
          <w:rFonts w:hint="eastAsia" w:ascii="宋体" w:hAnsi="宋体"/>
          <w:b/>
          <w:sz w:val="28"/>
          <w:szCs w:val="28"/>
        </w:rPr>
      </w:r>
      <w:r/>
    </w:p>
    <w:p>
      <w:pPr>
        <w:pStyle w:val="748"/>
        <w:jc w:val="center"/>
        <w:rPr>
          <w:rFonts w:hint="eastAsia" w:ascii="宋体" w:hAnsi="宋体"/>
          <w:b/>
          <w:sz w:val="28"/>
          <w:szCs w:val="28"/>
        </w:rPr>
      </w:pPr>
      <w:r>
        <w:rPr>
          <w:rFonts w:hint="eastAsia" w:ascii="宋体" w:hAnsi="宋体"/>
          <w:b/>
          <w:sz w:val="28"/>
          <w:szCs w:val="28"/>
        </w:rPr>
      </w:r>
      <w:r/>
    </w:p>
    <w:p>
      <w:pPr>
        <w:pStyle w:val="748"/>
        <w:jc w:val="center"/>
        <w:rPr>
          <w:rFonts w:hint="eastAsia" w:ascii="宋体" w:hAnsi="宋体"/>
          <w:b/>
          <w:sz w:val="28"/>
          <w:szCs w:val="28"/>
        </w:rPr>
      </w:pPr>
      <w:r>
        <w:rPr>
          <w:rFonts w:hint="eastAsia" w:ascii="宋体" w:hAnsi="宋体"/>
          <w:b/>
          <w:sz w:val="28"/>
          <w:szCs w:val="28"/>
        </w:rPr>
      </w:r>
      <w:r/>
    </w:p>
    <w:p>
      <w:pPr>
        <w:pStyle w:val="748"/>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748"/>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pStyle w:val="748"/>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pStyle w:val="748"/>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pStyle w:val="748"/>
        <w:jc w:val="center"/>
        <w:spacing w:line="440" w:lineRule="exact"/>
        <w:rPr>
          <w:rFonts w:hint="eastAsia" w:ascii="宋体" w:hAnsi="宋体"/>
          <w:b/>
          <w:bCs/>
          <w:sz w:val="32"/>
          <w:szCs w:val="32"/>
        </w:rPr>
      </w:pPr>
      <w:r>
        <w:rPr>
          <w:rFonts w:hint="eastAsia" w:ascii="宋体" w:hAnsi="宋体"/>
          <w:b/>
          <w:bCs/>
          <w:sz w:val="32"/>
          <w:szCs w:val="32"/>
        </w:rPr>
      </w:r>
      <w:r/>
    </w:p>
    <w:p>
      <w:pPr>
        <w:pStyle w:val="748"/>
        <w:spacing w:line="440" w:lineRule="exact"/>
        <w:rPr>
          <w:rFonts w:ascii="宋体" w:hAnsi="宋体"/>
        </w:rPr>
      </w:pPr>
      <w:r>
        <w:rPr>
          <w:rFonts w:ascii="宋体" w:hAnsi="宋体"/>
        </w:rPr>
      </w:r>
      <w:r/>
    </w:p>
    <w:p>
      <w:pPr>
        <w:pStyle w:val="74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48"/>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pStyle w:val="748"/>
        <w:jc w:val="center"/>
        <w:spacing w:line="400" w:lineRule="exact"/>
        <w:rPr>
          <w:rFonts w:hint="eastAsia" w:ascii="宋体" w:hAnsi="宋体"/>
          <w:b/>
          <w:bCs/>
          <w:sz w:val="28"/>
          <w:szCs w:val="28"/>
        </w:rPr>
      </w:pPr>
      <w:r>
        <w:rPr>
          <w:rFonts w:hint="eastAsia" w:ascii="宋体" w:hAnsi="宋体"/>
          <w:b/>
          <w:bCs/>
          <w:sz w:val="28"/>
          <w:szCs w:val="28"/>
        </w:rPr>
      </w:r>
      <w:r/>
    </w:p>
    <w:p>
      <w:pPr>
        <w:pStyle w:val="74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pStyle w:val="74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w:t>
      </w:r>
      <w:r/>
    </w:p>
    <w:p>
      <w:pPr>
        <w:pStyle w:val="74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p>
    <w:p>
      <w:pPr>
        <w:pStyle w:val="74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3.关于符合本国产品标准的声明函（格式见附件12）</w:t>
      </w:r>
      <w:r/>
    </w:p>
    <w:p>
      <w:pPr>
        <w:pStyle w:val="748"/>
        <w:ind w:firstLine="560"/>
        <w:spacing w:line="400" w:lineRule="exact"/>
        <w:rPr>
          <w:rFonts w:hint="eastAsia" w:ascii="方正仿宋_GBK" w:hAnsi="方正仿宋_GBK" w:eastAsia="方正仿宋_GBK" w:cs="方正仿宋_GBK"/>
          <w:sz w:val="28"/>
          <w:szCs w:val="28"/>
        </w:rPr>
      </w:pPr>
      <w:r/>
      <w:bookmarkStart w:id="271" w:name="OLE_LINK6"/>
      <w:r>
        <w:rPr>
          <w:rFonts w:hint="eastAsia" w:ascii="方正仿宋_GBK" w:hAnsi="方正仿宋_GBK" w:eastAsia="方正仿宋_GBK" w:cs="方正仿宋_GBK"/>
          <w:sz w:val="28"/>
          <w:szCs w:val="28"/>
        </w:rPr>
        <w:t xml:space="preserve">4.提供服务的人员均为订立劳动合同的从业人员的书面声明（格式见附件13）</w:t>
      </w:r>
      <w:r/>
    </w:p>
    <w:p>
      <w:pPr>
        <w:pStyle w:val="748"/>
        <w:spacing w:line="400" w:lineRule="exact"/>
        <w:rPr>
          <w:rFonts w:ascii="宋体" w:hAnsi="宋体"/>
          <w:sz w:val="28"/>
          <w:szCs w:val="28"/>
        </w:rPr>
      </w:pPr>
      <w:r/>
      <w:bookmarkEnd w:id="271"/>
      <w:r>
        <w:rPr>
          <w:rFonts w:ascii="宋体" w:hAnsi="宋体"/>
          <w:sz w:val="28"/>
          <w:szCs w:val="28"/>
        </w:rPr>
      </w:r>
      <w:r/>
    </w:p>
    <w:p>
      <w:pPr>
        <w:pStyle w:val="748"/>
        <w:spacing w:line="400" w:lineRule="exact"/>
        <w:rPr>
          <w:rFonts w:ascii="宋体" w:hAnsi="宋体"/>
          <w:b/>
          <w:sz w:val="28"/>
          <w:szCs w:val="28"/>
        </w:rPr>
      </w:pPr>
      <w:r>
        <w:rPr>
          <w:rFonts w:ascii="宋体" w:hAnsi="宋体"/>
          <w:b/>
          <w:sz w:val="28"/>
          <w:szCs w:val="28"/>
        </w:rPr>
      </w:r>
      <w:r/>
    </w:p>
    <w:p>
      <w:pPr>
        <w:pStyle w:val="748"/>
        <w:spacing w:line="400" w:lineRule="exact"/>
        <w:rPr>
          <w:rFonts w:ascii="宋体" w:hAnsi="宋体"/>
          <w:b/>
          <w:sz w:val="28"/>
          <w:szCs w:val="28"/>
        </w:rPr>
      </w:pPr>
      <w:r>
        <w:rPr>
          <w:rFonts w:ascii="宋体" w:hAnsi="宋体"/>
          <w:b/>
          <w:sz w:val="28"/>
          <w:szCs w:val="28"/>
        </w:rPr>
      </w:r>
      <w:r/>
    </w:p>
    <w:p>
      <w:pPr>
        <w:pStyle w:val="748"/>
        <w:spacing w:line="400" w:lineRule="exact"/>
        <w:rPr>
          <w:rFonts w:ascii="宋体" w:hAnsi="宋体"/>
          <w:b/>
          <w:sz w:val="28"/>
          <w:szCs w:val="28"/>
        </w:rPr>
      </w:pPr>
      <w:r>
        <w:rPr>
          <w:rFonts w:ascii="宋体" w:hAnsi="宋体"/>
          <w:b/>
          <w:sz w:val="28"/>
          <w:szCs w:val="28"/>
        </w:rPr>
      </w:r>
      <w:r/>
    </w:p>
    <w:p>
      <w:pPr>
        <w:pStyle w:val="748"/>
        <w:spacing w:line="400" w:lineRule="exact"/>
        <w:rPr>
          <w:rFonts w:ascii="宋体" w:hAnsi="宋体"/>
          <w:b/>
          <w:sz w:val="28"/>
          <w:szCs w:val="28"/>
        </w:rPr>
      </w:pPr>
      <w:r>
        <w:rPr>
          <w:rFonts w:ascii="宋体" w:hAnsi="宋体"/>
          <w:b/>
          <w:sz w:val="28"/>
          <w:szCs w:val="28"/>
        </w:rPr>
      </w:r>
      <w:r/>
    </w:p>
    <w:p>
      <w:pPr>
        <w:pStyle w:val="748"/>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74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748"/>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74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748"/>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4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836"/>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748"/>
        <w:spacing w:line="400" w:lineRule="exact"/>
        <w:rPr>
          <w:rFonts w:ascii="宋体" w:hAnsi="宋体"/>
          <w:sz w:val="28"/>
          <w:szCs w:val="28"/>
        </w:rPr>
      </w:pPr>
      <w:r>
        <w:rPr>
          <w:rFonts w:ascii="宋体" w:hAnsi="宋体"/>
          <w:sz w:val="28"/>
          <w:szCs w:val="28"/>
        </w:rPr>
      </w:r>
      <w:r/>
    </w:p>
    <w:p>
      <w:pPr>
        <w:pStyle w:val="748"/>
        <w:spacing w:line="400" w:lineRule="exact"/>
        <w:rPr>
          <w:rFonts w:ascii="宋体" w:hAnsi="宋体"/>
          <w:sz w:val="28"/>
          <w:szCs w:val="28"/>
        </w:rPr>
      </w:pPr>
      <w:r>
        <w:rPr>
          <w:rFonts w:ascii="宋体" w:hAnsi="宋体"/>
          <w:sz w:val="28"/>
          <w:szCs w:val="28"/>
        </w:rPr>
      </w:r>
      <w:r/>
    </w:p>
    <w:p>
      <w:pPr>
        <w:pStyle w:val="748"/>
        <w:spacing w:line="400" w:lineRule="exact"/>
        <w:rPr>
          <w:rFonts w:ascii="宋体" w:hAnsi="宋体"/>
          <w:sz w:val="28"/>
          <w:szCs w:val="28"/>
        </w:rPr>
      </w:pPr>
      <w:r>
        <w:rPr>
          <w:rFonts w:ascii="宋体" w:hAnsi="宋体"/>
          <w:sz w:val="28"/>
          <w:szCs w:val="28"/>
        </w:rPr>
      </w:r>
      <w:r/>
    </w:p>
    <w:p>
      <w:pPr>
        <w:pStyle w:val="748"/>
        <w:spacing w:line="400" w:lineRule="exact"/>
        <w:rPr>
          <w:rFonts w:ascii="宋体" w:hAnsi="宋体"/>
          <w:sz w:val="28"/>
          <w:szCs w:val="28"/>
        </w:rPr>
      </w:pPr>
      <w:r>
        <w:rPr>
          <w:rFonts w:ascii="宋体" w:hAnsi="宋体"/>
          <w:sz w:val="28"/>
          <w:szCs w:val="28"/>
        </w:rPr>
      </w:r>
      <w:r/>
    </w:p>
    <w:p>
      <w:pPr>
        <w:pStyle w:val="748"/>
        <w:spacing w:line="400" w:lineRule="exact"/>
        <w:rPr>
          <w:rFonts w:ascii="宋体" w:hAnsi="宋体"/>
          <w:sz w:val="28"/>
          <w:szCs w:val="28"/>
        </w:rPr>
      </w:pPr>
      <w:r>
        <w:rPr>
          <w:rFonts w:ascii="宋体" w:hAnsi="宋体"/>
          <w:sz w:val="28"/>
          <w:szCs w:val="28"/>
        </w:rPr>
      </w:r>
      <w:r/>
    </w:p>
    <w:p>
      <w:pPr>
        <w:pStyle w:val="748"/>
        <w:spacing w:line="400" w:lineRule="exact"/>
        <w:rPr>
          <w:rFonts w:ascii="宋体" w:hAnsi="宋体"/>
          <w:sz w:val="28"/>
          <w:szCs w:val="28"/>
        </w:rPr>
      </w:pPr>
      <w:r>
        <w:rPr>
          <w:rFonts w:ascii="宋体" w:hAnsi="宋体"/>
          <w:sz w:val="28"/>
          <w:szCs w:val="28"/>
        </w:rPr>
      </w:r>
      <w:r/>
    </w:p>
    <w:p>
      <w:pPr>
        <w:pStyle w:val="748"/>
        <w:spacing w:line="400" w:lineRule="exact"/>
        <w:rPr>
          <w:rFonts w:ascii="宋体" w:hAnsi="宋体"/>
          <w:sz w:val="28"/>
          <w:szCs w:val="28"/>
        </w:rPr>
      </w:pPr>
      <w:r>
        <w:rPr>
          <w:rFonts w:ascii="宋体" w:hAnsi="宋体"/>
          <w:sz w:val="28"/>
          <w:szCs w:val="28"/>
        </w:rPr>
      </w:r>
      <w:r/>
    </w:p>
    <w:p>
      <w:pPr>
        <w:pStyle w:val="748"/>
        <w:spacing w:line="400" w:lineRule="exact"/>
        <w:rPr>
          <w:rFonts w:ascii="宋体" w:hAnsi="宋体"/>
          <w:sz w:val="28"/>
          <w:szCs w:val="28"/>
        </w:rPr>
      </w:pPr>
      <w:r>
        <w:rPr>
          <w:rFonts w:ascii="宋体" w:hAnsi="宋体"/>
          <w:sz w:val="28"/>
          <w:szCs w:val="28"/>
        </w:rPr>
      </w:r>
      <w:r/>
    </w:p>
    <w:p>
      <w:pPr>
        <w:pStyle w:val="748"/>
        <w:spacing w:line="400" w:lineRule="exact"/>
        <w:rPr>
          <w:rFonts w:ascii="宋体" w:hAnsi="宋体"/>
          <w:sz w:val="28"/>
          <w:szCs w:val="28"/>
        </w:rPr>
      </w:pPr>
      <w:r>
        <w:rPr>
          <w:rFonts w:ascii="宋体" w:hAnsi="宋体"/>
          <w:sz w:val="28"/>
          <w:szCs w:val="28"/>
        </w:rPr>
      </w:r>
      <w:r/>
    </w:p>
    <w:p>
      <w:pPr>
        <w:pStyle w:val="748"/>
        <w:spacing w:line="400" w:lineRule="exact"/>
        <w:rPr>
          <w:rFonts w:ascii="宋体" w:hAnsi="宋体"/>
          <w:sz w:val="28"/>
          <w:szCs w:val="28"/>
        </w:rPr>
      </w:pPr>
      <w:r>
        <w:rPr>
          <w:rFonts w:ascii="宋体" w:hAnsi="宋体"/>
          <w:sz w:val="28"/>
          <w:szCs w:val="28"/>
        </w:rPr>
      </w:r>
      <w:r/>
    </w:p>
    <w:p>
      <w:pPr>
        <w:pStyle w:val="748"/>
        <w:spacing w:line="400" w:lineRule="exact"/>
        <w:rPr>
          <w:rFonts w:ascii="宋体" w:hAnsi="宋体"/>
          <w:sz w:val="28"/>
          <w:szCs w:val="28"/>
        </w:rPr>
      </w:pPr>
      <w:r>
        <w:rPr>
          <w:rFonts w:ascii="宋体" w:hAnsi="宋体"/>
          <w:sz w:val="28"/>
          <w:szCs w:val="28"/>
        </w:rPr>
      </w:r>
      <w:r/>
    </w:p>
    <w:p>
      <w:pPr>
        <w:pStyle w:val="74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74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74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811"/>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（本项目不涉及货物，此</w:t>
            </w:r>
            <w:r>
              <w:rPr>
                <w:rFonts w:hint="eastAsia" w:ascii="方正仿宋_GBK" w:hAnsi="方正仿宋_GBK" w:eastAsia="方正仿宋_GBK" w:cs="方正仿宋_GBK"/>
                <w:sz w:val="28"/>
                <w:szCs w:val="28"/>
              </w:rPr>
              <w:t xml:space="preserve">比例</w:t>
            </w:r>
            <w:r>
              <w:rPr>
                <w:rFonts w:hint="eastAsia" w:ascii="方正仿宋_GBK" w:hAnsi="方正仿宋_GBK" w:eastAsia="方正仿宋_GBK" w:cs="方正仿宋_GBK"/>
                <w:sz w:val="28"/>
                <w:szCs w:val="28"/>
              </w:rPr>
              <w:t xml:space="preserve">不需填写）。</w:t>
            </w:r>
            <w:r/>
          </w:p>
        </w:tc>
      </w:tr>
    </w:tbl>
    <w:p>
      <w:pPr>
        <w:pStyle w:val="74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4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74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74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b/>
          <w:sz w:val="28"/>
          <w:szCs w:val="28"/>
        </w:rPr>
        <w:t xml:space="preserve">分项服务不需填写品牌、规格型号、制造商、产地。</w:t>
      </w:r>
      <w:r>
        <w:rPr>
          <w:rFonts w:hint="eastAsia" w:ascii="方正仿宋_GBK" w:hAnsi="方正仿宋_GBK" w:eastAsia="方正仿宋_GBK" w:cs="方正仿宋_GBK"/>
          <w:sz w:val="28"/>
          <w:szCs w:val="28"/>
        </w:rPr>
      </w:r>
      <w:r/>
    </w:p>
    <w:p>
      <w:pPr>
        <w:pStyle w:val="74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74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748"/>
        <w:ind w:firstLine="562"/>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pPr>
        <w:pStyle w:val="748"/>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4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48"/>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74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4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4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748"/>
        <w:spacing w:line="400" w:lineRule="exact"/>
        <w:rPr>
          <w:rFonts w:ascii="宋体" w:hAnsi="宋体"/>
          <w:sz w:val="28"/>
          <w:szCs w:val="28"/>
        </w:rPr>
      </w:pPr>
      <w:r>
        <w:rPr>
          <w:rFonts w:ascii="宋体" w:hAnsi="宋体"/>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748"/>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74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748"/>
        <w:spacing w:line="400" w:lineRule="exact"/>
        <w:rPr>
          <w:rFonts w:ascii="宋体" w:hAnsi="宋体"/>
          <w:b/>
          <w:sz w:val="28"/>
          <w:szCs w:val="28"/>
        </w:rPr>
      </w:pPr>
      <w:r>
        <w:rPr>
          <w:rFonts w:hint="eastAsia" w:ascii="宋体" w:hAnsi="宋体"/>
          <w:bCs/>
          <w:sz w:val="28"/>
          <w:szCs w:val="28"/>
        </w:rPr>
        <w:t xml:space="preserve">                                     </w:t>
      </w:r>
      <w:r>
        <w:rPr>
          <w:rFonts w:ascii="宋体" w:hAnsi="宋体"/>
          <w:b/>
          <w:sz w:val="28"/>
          <w:szCs w:val="28"/>
        </w:rPr>
      </w:r>
      <w:r/>
    </w:p>
    <w:p>
      <w:pPr>
        <w:pStyle w:val="74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4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48"/>
        <w:jc w:val="center"/>
        <w:spacing w:line="400" w:lineRule="exact"/>
        <w:rPr>
          <w:rFonts w:ascii="宋体" w:hAnsi="宋体"/>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74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4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4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748"/>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（投标人名称）授权</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pStyle w:val="748"/>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pStyle w:val="74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p>
    <w:p>
      <w:pPr>
        <w:pStyle w:val="74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74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748"/>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74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748"/>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8"/>
        <w:jc w:val="center"/>
        <w:spacing w:line="400" w:lineRule="exact"/>
        <w:rPr>
          <w:rFonts w:ascii="黑体" w:hAnsi="黑体" w:eastAsia="黑体"/>
          <w:b/>
          <w:i/>
          <w:sz w:val="28"/>
          <w:szCs w:val="28"/>
          <w:u w:val="single"/>
        </w:rPr>
      </w:pPr>
      <w:r>
        <w:rPr>
          <w:rFonts w:ascii="宋体" w:hAnsi="宋体" w:eastAsia="幼圆" w:cs="Arial"/>
          <w:b/>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sz w:val="28"/>
          <w:szCs w:val="28"/>
          <w:u w:val="single"/>
        </w:rPr>
      </w:r>
      <w:r/>
    </w:p>
    <w:p>
      <w:pPr>
        <w:pStyle w:val="74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pStyle w:val="83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JSZC-320000-SCZX-G20XX-XXXX，</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83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83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83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83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83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83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83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83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83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83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83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83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83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83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83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3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3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3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748"/>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836"/>
        <w:jc w:val="center"/>
        <w:spacing w:before="0" w:after="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sz w:val="28"/>
          <w:szCs w:val="28"/>
        </w:rPr>
      </w:r>
      <w:r/>
    </w:p>
    <w:p>
      <w:pPr>
        <w:pStyle w:val="748"/>
        <w:ind w:firstLine="560"/>
        <w:spacing w:line="400" w:lineRule="exact"/>
        <w:rPr>
          <w:rFonts w:ascii="宋体" w:hAnsi="宋体"/>
          <w:sz w:val="28"/>
          <w:szCs w:val="28"/>
        </w:rPr>
      </w:pPr>
      <w:r>
        <w:rPr>
          <w:rFonts w:ascii="宋体" w:hAnsi="宋体"/>
          <w:sz w:val="28"/>
          <w:szCs w:val="28"/>
        </w:rPr>
      </w:r>
      <w:r/>
    </w:p>
    <w:p>
      <w:pPr>
        <w:pStyle w:val="748"/>
        <w:ind w:firstLine="560"/>
        <w:spacing w:line="400" w:lineRule="exact"/>
        <w:rPr>
          <w:rFonts w:ascii="宋体" w:hAnsi="宋体"/>
          <w:sz w:val="28"/>
          <w:szCs w:val="28"/>
        </w:rPr>
      </w:pPr>
      <w:r>
        <w:rPr>
          <w:rFonts w:ascii="宋体" w:hAnsi="宋体"/>
          <w:sz w:val="28"/>
          <w:szCs w:val="28"/>
        </w:rPr>
      </w:r>
      <w:r/>
    </w:p>
    <w:p>
      <w:pPr>
        <w:pStyle w:val="748"/>
        <w:ind w:firstLine="560"/>
        <w:spacing w:line="400" w:lineRule="exact"/>
        <w:rPr>
          <w:rFonts w:ascii="宋体" w:hAnsi="宋体"/>
          <w:sz w:val="28"/>
          <w:szCs w:val="28"/>
        </w:rPr>
      </w:pPr>
      <w:r>
        <w:rPr>
          <w:rFonts w:ascii="宋体" w:hAnsi="宋体"/>
          <w:sz w:val="28"/>
          <w:szCs w:val="28"/>
        </w:rPr>
      </w:r>
      <w:r/>
    </w:p>
    <w:p>
      <w:pPr>
        <w:pStyle w:val="748"/>
        <w:ind w:firstLine="560"/>
        <w:spacing w:line="400" w:lineRule="exact"/>
        <w:rPr>
          <w:rFonts w:ascii="宋体" w:hAnsi="宋体"/>
          <w:sz w:val="28"/>
          <w:szCs w:val="28"/>
        </w:rPr>
      </w:pPr>
      <w:r>
        <w:rPr>
          <w:rFonts w:ascii="宋体" w:hAnsi="宋体"/>
          <w:sz w:val="28"/>
          <w:szCs w:val="28"/>
        </w:rPr>
      </w:r>
      <w:r/>
    </w:p>
    <w:p>
      <w:pPr>
        <w:pStyle w:val="748"/>
        <w:ind w:firstLine="560"/>
        <w:spacing w:line="400" w:lineRule="exact"/>
        <w:rPr>
          <w:rFonts w:hint="eastAsia" w:ascii="宋体" w:hAnsi="宋体"/>
          <w:sz w:val="28"/>
          <w:szCs w:val="28"/>
        </w:rPr>
      </w:pPr>
      <w:r>
        <w:rPr>
          <w:rFonts w:hint="eastAsia" w:ascii="宋体" w:hAnsi="宋体"/>
          <w:sz w:val="28"/>
          <w:szCs w:val="28"/>
        </w:rPr>
      </w:r>
      <w:r/>
    </w:p>
    <w:p>
      <w:pPr>
        <w:pStyle w:val="748"/>
        <w:ind w:firstLine="560"/>
        <w:spacing w:line="400" w:lineRule="exact"/>
        <w:rPr>
          <w:rFonts w:ascii="宋体" w:hAnsi="宋体"/>
          <w:sz w:val="28"/>
          <w:szCs w:val="28"/>
        </w:rPr>
      </w:pPr>
      <w:r>
        <w:rPr>
          <w:rFonts w:ascii="宋体" w:hAnsi="宋体"/>
          <w:sz w:val="28"/>
          <w:szCs w:val="28"/>
        </w:rPr>
      </w:r>
      <w:r/>
    </w:p>
    <w:p>
      <w:pPr>
        <w:pStyle w:val="748"/>
        <w:jc w:val="center"/>
        <w:spacing w:line="400" w:lineRule="exact"/>
        <w:rPr>
          <w:rFonts w:hint="eastAsia" w:ascii="方正黑体_GBK" w:hAnsi="方正黑体_GBK" w:eastAsia="方正黑体_GBK" w:cs="方正黑体_GBK"/>
          <w:bCs/>
          <w:sz w:val="28"/>
          <w:szCs w:val="28"/>
        </w:rPr>
      </w:pPr>
      <w:r/>
      <w:bookmarkEnd w:id="268"/>
      <w:r/>
      <w:bookmarkEnd w:id="269"/>
      <w:r/>
      <w:bookmarkEnd w:id="270"/>
      <w:r/>
      <w:bookmarkStart w:id="272"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74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eastAsia="方正仿宋_GBK"/>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4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748"/>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8"/>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748"/>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748"/>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748"/>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748"/>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748"/>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748"/>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48"/>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48"/>
        <w:spacing w:line="400" w:lineRule="exact"/>
        <w:rPr>
          <w:rFonts w:hint="eastAsia" w:ascii="黑体" w:hAnsi="黑体" w:eastAsia="黑体"/>
          <w:b/>
          <w:sz w:val="28"/>
          <w:szCs w:val="28"/>
        </w:rPr>
      </w:pPr>
      <w:r>
        <w:rPr>
          <w:rFonts w:hint="eastAsia" w:ascii="黑体" w:hAnsi="黑体" w:eastAsia="黑体"/>
          <w:b/>
          <w:sz w:val="28"/>
          <w:szCs w:val="28"/>
        </w:rPr>
      </w:r>
      <w:r/>
    </w:p>
    <w:p>
      <w:pPr>
        <w:pStyle w:val="748"/>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4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74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748"/>
        <w:spacing w:line="400" w:lineRule="exact"/>
        <w:rPr>
          <w:rFonts w:hint="eastAsia" w:ascii="宋体" w:hAnsi="宋体"/>
          <w:sz w:val="28"/>
          <w:szCs w:val="28"/>
        </w:rPr>
      </w:pPr>
      <w:r>
        <w:rPr>
          <w:rFonts w:hint="eastAsia" w:ascii="宋体" w:hAnsi="宋体"/>
          <w:sz w:val="28"/>
          <w:szCs w:val="28"/>
        </w:rPr>
      </w:r>
      <w:r/>
    </w:p>
    <w:p>
      <w:pPr>
        <w:pStyle w:val="748"/>
        <w:jc w:val="center"/>
        <w:spacing w:line="400" w:lineRule="exact"/>
        <w:rPr>
          <w:rFonts w:hint="eastAsia" w:ascii="宋体" w:hAnsi="宋体" w:cs="宋体"/>
          <w:b/>
          <w:sz w:val="28"/>
          <w:szCs w:val="28"/>
        </w:rPr>
      </w:pPr>
      <w:r>
        <w:rPr>
          <w:rFonts w:hint="eastAsia" w:ascii="宋体" w:hAnsi="宋体" w:cs="宋体"/>
          <w:b/>
          <w:sz w:val="28"/>
          <w:szCs w:val="28"/>
        </w:rPr>
      </w:r>
      <w:r/>
    </w:p>
    <w:p>
      <w:pPr>
        <w:pStyle w:val="748"/>
        <w:jc w:val="center"/>
        <w:spacing w:line="400" w:lineRule="exact"/>
        <w:rPr>
          <w:rFonts w:hint="eastAsia" w:ascii="宋体" w:hAnsi="宋体" w:cs="宋体"/>
          <w:b/>
          <w:sz w:val="28"/>
          <w:szCs w:val="28"/>
        </w:rPr>
      </w:pPr>
      <w:r>
        <w:rPr>
          <w:rFonts w:hint="eastAsia" w:ascii="宋体" w:hAnsi="宋体" w:cs="宋体"/>
          <w:b/>
          <w:sz w:val="28"/>
          <w:szCs w:val="28"/>
        </w:rPr>
      </w:r>
      <w:r/>
    </w:p>
    <w:p>
      <w:pPr>
        <w:pStyle w:val="748"/>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关于符合本国产品标准的声明函（采购包号：XX）</w:t>
      </w:r>
      <w:r/>
    </w:p>
    <w:p>
      <w:pPr>
        <w:pStyle w:val="811"/>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23"/>
          <w:rFonts w:hint="eastAsia" w:ascii="方正仿宋_GBK" w:hAnsi="方正仿宋_GBK" w:eastAsia="方正仿宋_GBK" w:cs="方正仿宋_GBK"/>
          <w:i w:val="0"/>
          <w:sz w:val="28"/>
          <w:szCs w:val="28"/>
          <w:u w:val="single"/>
          <w:shd w:val="clear" w:color="auto" w:fill="ffffff"/>
        </w:rPr>
        <w:t xml:space="preserve">（产品名称1）</w:t>
      </w:r>
      <w:r>
        <w:rPr>
          <w:rStyle w:val="823"/>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23"/>
          <w:rFonts w:hint="eastAsia" w:ascii="方正仿宋_GBK" w:hAnsi="方正仿宋_GBK" w:eastAsia="方正仿宋_GBK" w:cs="方正仿宋_GBK"/>
          <w:i w:val="0"/>
          <w:sz w:val="28"/>
          <w:szCs w:val="28"/>
          <w:u w:val="single"/>
          <w:shd w:val="clear" w:color="auto" w:fill="ffffff"/>
        </w:rPr>
        <w:t xml:space="preserve">（厂名）</w:t>
      </w:r>
      <w:r>
        <w:rPr>
          <w:rStyle w:val="823"/>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2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8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23"/>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23"/>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2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8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8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8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11"/>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811"/>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8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8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8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8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81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811"/>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811"/>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2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748"/>
        <w:ind w:firstLine="632"/>
        <w:jc w:val="center"/>
        <w:spacing w:line="560" w:lineRule="atLeast"/>
        <w:rPr>
          <w:rFonts w:ascii="方正黑体_GBK" w:hAnsi="方正黑体_GBK" w:eastAsia="方正黑体_GBK" w:cs="方正黑体_GBK"/>
          <w:bCs/>
          <w:sz w:val="28"/>
          <w:szCs w:val="28"/>
        </w:rPr>
      </w:pPr>
      <w:r/>
      <w:bookmarkEnd w:id="180"/>
      <w:r/>
      <w:bookmarkEnd w:id="181"/>
      <w:r/>
      <w:bookmarkEnd w:id="272"/>
      <w:r>
        <w:rPr>
          <w:rFonts w:ascii="方正黑体_GBK" w:hAnsi="方正黑体_GBK" w:eastAsia="方正黑体_GBK" w:cs="方正黑体_GBK"/>
          <w:bCs/>
          <w:sz w:val="28"/>
          <w:szCs w:val="28"/>
        </w:rPr>
        <w:br w:type="page" w:clear="all"/>
      </w:r>
      <w:bookmarkStart w:id="273" w:name="OLE_LINK1"/>
      <w:r>
        <w:rPr>
          <w:rFonts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13 提供服务的人员均为订立劳动合同的从业人员的书面声明</w:t>
      </w:r>
      <w:r>
        <w:rPr>
          <w:rFonts w:ascii="方正黑体_GBK" w:hAnsi="方正黑体_GBK" w:eastAsia="方正黑体_GBK" w:cs="方正黑体_GBK"/>
          <w:bCs/>
          <w:sz w:val="28"/>
          <w:szCs w:val="28"/>
        </w:rPr>
      </w:r>
      <w:r/>
    </w:p>
    <w:p>
      <w:pPr>
        <w:pStyle w:val="748"/>
        <w:ind w:firstLine="632"/>
        <w:jc w:val="center"/>
        <w:spacing w:line="560" w:lineRule="atLeast"/>
        <w:rPr>
          <w:rFonts w:ascii="方正黑体_GBK" w:hAnsi="方正黑体_GBK" w:eastAsia="方正黑体_GBK" w:cs="方正黑体_GBK"/>
          <w:bCs/>
          <w:sz w:val="28"/>
          <w:szCs w:val="28"/>
        </w:rPr>
      </w:pPr>
      <w:r/>
      <w:bookmarkEnd w:id="273"/>
      <w:r>
        <w:rPr>
          <w:rFonts w:hint="eastAsia" w:ascii="方正黑体_GBK" w:hAnsi="方正黑体_GBK" w:eastAsia="方正黑体_GBK" w:cs="方正黑体_GBK"/>
          <w:bCs/>
          <w:sz w:val="28"/>
          <w:szCs w:val="28"/>
        </w:rPr>
        <w:t xml:space="preserve">（采购包号：XX）</w:t>
      </w:r>
      <w:r>
        <w:rPr>
          <w:rFonts w:ascii="方正黑体_GBK" w:hAnsi="方正黑体_GBK" w:eastAsia="方正黑体_GBK" w:cs="方正黑体_GBK"/>
          <w:bCs/>
          <w:sz w:val="28"/>
          <w:szCs w:val="28"/>
        </w:rPr>
      </w:r>
      <w:r/>
    </w:p>
    <w:p>
      <w:pPr>
        <w:pStyle w:val="748"/>
        <w:ind w:firstLine="632"/>
        <w:spacing w:line="560" w:lineRule="atLeast"/>
        <w:rPr>
          <w:rFonts w:eastAsia="方正仿宋_GBK"/>
          <w:sz w:val="32"/>
          <w:szCs w:val="20"/>
        </w:rPr>
      </w:pPr>
      <w:r>
        <w:rPr>
          <w:rFonts w:hint="eastAsia" w:eastAsia="方正仿宋_GBK"/>
          <w:sz w:val="32"/>
          <w:szCs w:val="20"/>
        </w:rPr>
        <w:t xml:space="preserve">本企业（本联合体，如项目采购包接受联合体参加的）</w:t>
      </w:r>
      <w:r>
        <w:rPr>
          <w:rFonts w:eastAsia="方正仿宋_GBK"/>
          <w:sz w:val="32"/>
          <w:szCs w:val="20"/>
        </w:rPr>
        <w:t xml:space="preserve">参加江苏省政府采购中心组织的项目编号为JSZC-320000-SCZX-</w:t>
      </w:r>
      <w:r>
        <w:rPr>
          <w:rFonts w:hint="eastAsia" w:eastAsia="方正仿宋_GBK"/>
          <w:sz w:val="32"/>
          <w:szCs w:val="20"/>
        </w:rPr>
        <w:t xml:space="preserve">G（C、T、K）</w:t>
      </w:r>
      <w:r>
        <w:rPr>
          <w:rFonts w:eastAsia="方正仿宋_GBK"/>
          <w:sz w:val="32"/>
          <w:szCs w:val="20"/>
        </w:rPr>
        <w:t xml:space="preserve">20XX-XXXX，XXXX（项目名称）（采购包号：XX）项目采购活动</w:t>
      </w:r>
      <w:r>
        <w:rPr>
          <w:rFonts w:hint="eastAsia" w:eastAsia="方正仿宋_GBK"/>
          <w:sz w:val="32"/>
          <w:szCs w:val="20"/>
        </w:rPr>
        <w:t xml:space="preserve">，根据</w:t>
      </w:r>
      <w:r>
        <w:rPr>
          <w:rFonts w:ascii="方正仿宋_GBK" w:hAnsi="方正仿宋_GBK" w:eastAsia="方正仿宋_GBK" w:cs="方正仿宋_GBK"/>
          <w:sz w:val="32"/>
          <w:szCs w:val="32"/>
        </w:rPr>
        <w:t xml:space="preserve">《政府采购促进中小企业发展管理办法》</w:t>
      </w:r>
      <w:r>
        <w:rPr>
          <w:rFonts w:hint="eastAsia" w:ascii="方正仿宋_GBK" w:hAnsi="方正仿宋_GBK" w:eastAsia="方正仿宋_GBK" w:cs="方正仿宋_GBK"/>
          <w:sz w:val="32"/>
          <w:szCs w:val="32"/>
        </w:rPr>
        <w:t xml:space="preserve">第四条规定</w:t>
      </w:r>
      <w:r>
        <w:rPr>
          <w:rFonts w:eastAsia="方正仿宋_GBK"/>
          <w:sz w:val="32"/>
          <w:szCs w:val="20"/>
        </w:rPr>
        <w:t xml:space="preserve">，</w:t>
      </w:r>
      <w:r>
        <w:rPr>
          <w:rFonts w:hint="eastAsia" w:eastAsia="方正仿宋_GBK"/>
          <w:sz w:val="32"/>
          <w:szCs w:val="20"/>
        </w:rPr>
        <w:t xml:space="preserve">本企业（本联合体，如项目采购包接受联合体参加的）</w:t>
      </w:r>
      <w:r>
        <w:rPr>
          <w:rFonts w:eastAsia="方正仿宋_GBK"/>
          <w:sz w:val="32"/>
          <w:szCs w:val="20"/>
        </w:rPr>
        <w:t xml:space="preserve">郑重声明</w:t>
      </w:r>
      <w:r>
        <w:rPr>
          <w:rFonts w:hint="eastAsia" w:eastAsia="方正仿宋_GBK"/>
          <w:sz w:val="32"/>
          <w:szCs w:val="20"/>
        </w:rPr>
        <w:t xml:space="preserve">：如服务由本企业（本联合体，如项目采购包接受联合体参加的）承接，为本项目采购包提供服务的人员均为</w:t>
      </w:r>
      <w:r>
        <w:rPr>
          <w:rFonts w:hint="eastAsia" w:ascii="方正仿宋_GBK" w:hAnsi="方正仿宋_GBK" w:eastAsia="方正仿宋_GBK" w:cs="方正仿宋_GBK"/>
          <w:sz w:val="32"/>
          <w:szCs w:val="32"/>
        </w:rPr>
        <w:t xml:space="preserve">依照《中华人民共和国劳动合同法》订立劳动合同的从业人员。</w:t>
      </w:r>
      <w:r>
        <w:rPr>
          <w:rFonts w:eastAsia="方正仿宋_GBK"/>
          <w:sz w:val="32"/>
          <w:szCs w:val="20"/>
        </w:rPr>
      </w:r>
      <w:r/>
    </w:p>
    <w:p>
      <w:pPr>
        <w:pStyle w:val="748"/>
        <w:ind w:firstLine="632"/>
        <w:spacing w:line="560" w:lineRule="atLeast"/>
        <w:rPr>
          <w:rFonts w:eastAsia="方正仿宋_GBK"/>
          <w:sz w:val="32"/>
          <w:szCs w:val="20"/>
        </w:rPr>
      </w:pPr>
      <w:r>
        <w:rPr>
          <w:rFonts w:eastAsia="方正仿宋_GBK"/>
          <w:sz w:val="32"/>
          <w:szCs w:val="20"/>
        </w:rPr>
        <w:t xml:space="preserve">本</w:t>
      </w:r>
      <w:r>
        <w:rPr>
          <w:rFonts w:hint="eastAsia" w:eastAsia="方正仿宋_GBK"/>
          <w:sz w:val="32"/>
          <w:szCs w:val="20"/>
        </w:rPr>
        <w:t xml:space="preserve">企业（联合体）</w:t>
      </w:r>
      <w:r>
        <w:rPr>
          <w:rFonts w:eastAsia="方正仿宋_GBK"/>
          <w:sz w:val="32"/>
          <w:szCs w:val="20"/>
        </w:rPr>
        <w:t xml:space="preserve">对上述声明的真实性负责。如有虚假，将依法承担相应责任。</w:t>
      </w:r>
      <w:r/>
    </w:p>
    <w:p>
      <w:pPr>
        <w:pStyle w:val="748"/>
        <w:ind w:firstLine="624"/>
        <w:jc w:val="left"/>
        <w:spacing w:after="100" w:line="259" w:lineRule="auto"/>
        <w:widowControl/>
        <w:rPr>
          <w:rFonts w:ascii="Calibri" w:hAnsi="Calibri" w:eastAsia="方正仿宋_GBK"/>
          <w:sz w:val="22"/>
          <w:szCs w:val="22"/>
        </w:rPr>
      </w:pPr>
      <w:r>
        <w:rPr>
          <w:rFonts w:ascii="Calibri" w:hAnsi="Calibri" w:eastAsia="方正仿宋_GBK"/>
          <w:sz w:val="22"/>
          <w:szCs w:val="22"/>
        </w:rPr>
      </w:r>
      <w:r/>
    </w:p>
    <w:p>
      <w:pPr>
        <w:pStyle w:val="748"/>
        <w:ind w:firstLine="624"/>
        <w:spacing w:line="590" w:lineRule="atLeast"/>
        <w:rPr>
          <w:rFonts w:ascii="方正黑体_GBK" w:hAnsi="方正黑体_GBK" w:eastAsia="方正黑体_GBK" w:cs="方正黑体_GBK"/>
          <w:b/>
          <w:bCs/>
          <w:sz w:val="32"/>
          <w:szCs w:val="20"/>
        </w:rPr>
      </w:pPr>
      <w:r>
        <w:rPr>
          <w:rFonts w:hint="eastAsia" w:ascii="方正黑体_GBK" w:hAnsi="方正黑体_GBK" w:eastAsia="方正黑体_GBK" w:cs="方正黑体_GBK"/>
          <w:b/>
          <w:bCs/>
          <w:sz w:val="32"/>
          <w:szCs w:val="32"/>
        </w:rPr>
        <w:t xml:space="preserve">注：专门面向中小微型企业采购的采购项目采购包，投标人（供应商）未提供该书面声明的，投标（响应）无效。</w:t>
      </w:r>
      <w:r>
        <w:rPr>
          <w:rFonts w:ascii="方正黑体_GBK" w:hAnsi="方正黑体_GBK" w:eastAsia="方正黑体_GBK" w:cs="方正黑体_GBK"/>
          <w:b/>
          <w:bCs/>
          <w:sz w:val="32"/>
          <w:szCs w:val="20"/>
        </w:rPr>
      </w:r>
      <w:r/>
    </w:p>
    <w:p>
      <w:pPr>
        <w:pStyle w:val="748"/>
        <w:ind w:firstLine="560"/>
        <w:jc w:val="center"/>
        <w:spacing w:line="400" w:lineRule="exact"/>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质疑函范本</w:t>
      </w:r>
      <w:r/>
    </w:p>
    <w:p>
      <w:pPr>
        <w:pStyle w:val="748"/>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74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74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4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74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74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74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74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748"/>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74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74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4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74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74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74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63"/>
        <w:spacing w:line="400" w:lineRule="exact"/>
        <w:rPr>
          <w:rFonts w:hint="eastAsia"/>
          <w:sz w:val="28"/>
          <w:szCs w:val="28"/>
        </w:rPr>
      </w:pPr>
      <w:r>
        <w:rPr>
          <w:rFonts w:hint="eastAsia"/>
          <w:sz w:val="28"/>
          <w:szCs w:val="28"/>
        </w:rPr>
      </w:r>
      <w:r/>
    </w:p>
    <w:p>
      <w:pPr>
        <w:pStyle w:val="763"/>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egoe UI">
    <w:panose1 w:val="020B0502040204020203"/>
  </w:font>
  <w:font w:name="Symbol">
    <w:panose1 w:val="05050102010706020507"/>
  </w:font>
  <w:font w:name="Wingdings">
    <w:panose1 w:val="05000000000000000000"/>
  </w:font>
  <w:font w:name="永中宋体">
    <w:panose1 w:val="020B0503020202020204"/>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4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4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rPr>
        <w:rStyle w:val="821"/>
      </w:rPr>
      <w:framePr w:wrap="around" w:vAnchor="text" w:hAnchor="margin" w:xAlign="center" w:y="1"/>
    </w:pPr>
    <w:r>
      <w:fldChar w:fldCharType="begin"/>
    </w:r>
    <w:r>
      <w:rPr>
        <w:rStyle w:val="821"/>
      </w:rPr>
      <w:instrText xml:space="preserve">PAGE  </w:instrText>
    </w:r>
    <w:r>
      <w:fldChar w:fldCharType="separate"/>
    </w:r>
    <w:r>
      <w:rPr>
        <w:rStyle w:val="821"/>
      </w:rPr>
      <w:t xml:space="preserve">1</w:t>
    </w:r>
    <w:r>
      <w:fldChar w:fldCharType="end"/>
    </w:r>
    <w:r>
      <w:rPr>
        <w:rStyle w:val="821"/>
      </w:rPr>
    </w:r>
    <w:r/>
  </w:p>
  <w:p>
    <w:pPr>
      <w:pStyle w:val="7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4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48"/>
                    </w:pPr>
                    <w:r/>
                    <w:r/>
                  </w:p>
                </w:txbxContent>
              </v:textbox>
            </v:shape>
          </w:pict>
        </mc:Fallback>
      </mc:AlternateContent>
    </w:r>
    <w:r/>
  </w:p>
  <w:p>
    <w:pPr>
      <w:pStyle w:val="7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
    <w:multiLevelType w:val="hybridMultilevel"/>
    <w:lvl w:ilvl="0">
      <w:start w:val="1"/>
      <w:numFmt w:val="upperLetter"/>
      <w:pStyle w:val="828"/>
      <w:isLgl w:val="false"/>
      <w:suff w:val="tab"/>
      <w:lvlText w:val="附录%1."/>
      <w:lvlJc w:val="left"/>
      <w:pPr>
        <w:pStyle w:val="74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748"/>
        <w:ind w:left="920" w:hanging="440"/>
      </w:pPr>
      <w:rPr>
        <w:rFonts w:ascii="Wingdings" w:hAnsi="Wingdings"/>
      </w:rPr>
    </w:lvl>
    <w:lvl w:ilvl="1">
      <w:start w:val="1"/>
      <w:numFmt w:val="bullet"/>
      <w:isLgl w:val="false"/>
      <w:suff w:val="tab"/>
      <w:lvlText w:val=""/>
      <w:lvlJc w:val="left"/>
      <w:pPr>
        <w:pStyle w:val="748"/>
        <w:ind w:left="1360" w:hanging="440"/>
      </w:pPr>
      <w:rPr>
        <w:rFonts w:ascii="Wingdings" w:hAnsi="Wingdings"/>
      </w:rPr>
    </w:lvl>
    <w:lvl w:ilvl="2">
      <w:start w:val="1"/>
      <w:numFmt w:val="bullet"/>
      <w:isLgl w:val="false"/>
      <w:suff w:val="tab"/>
      <w:lvlText w:val=""/>
      <w:lvlJc w:val="left"/>
      <w:pPr>
        <w:pStyle w:val="748"/>
        <w:ind w:left="1800" w:hanging="440"/>
      </w:pPr>
      <w:rPr>
        <w:rFonts w:ascii="Wingdings" w:hAnsi="Wingdings"/>
      </w:rPr>
    </w:lvl>
    <w:lvl w:ilvl="3">
      <w:start w:val="1"/>
      <w:numFmt w:val="bullet"/>
      <w:isLgl w:val="false"/>
      <w:suff w:val="tab"/>
      <w:lvlText w:val=""/>
      <w:lvlJc w:val="left"/>
      <w:pPr>
        <w:pStyle w:val="748"/>
        <w:ind w:left="2240" w:hanging="440"/>
      </w:pPr>
      <w:rPr>
        <w:rFonts w:ascii="Wingdings" w:hAnsi="Wingdings"/>
      </w:rPr>
    </w:lvl>
    <w:lvl w:ilvl="4">
      <w:start w:val="1"/>
      <w:numFmt w:val="bullet"/>
      <w:isLgl w:val="false"/>
      <w:suff w:val="tab"/>
      <w:lvlText w:val=""/>
      <w:lvlJc w:val="left"/>
      <w:pPr>
        <w:pStyle w:val="748"/>
        <w:ind w:left="2680" w:hanging="440"/>
      </w:pPr>
      <w:rPr>
        <w:rFonts w:ascii="Wingdings" w:hAnsi="Wingdings"/>
      </w:rPr>
    </w:lvl>
    <w:lvl w:ilvl="5">
      <w:start w:val="1"/>
      <w:numFmt w:val="bullet"/>
      <w:isLgl w:val="false"/>
      <w:suff w:val="tab"/>
      <w:lvlText w:val=""/>
      <w:lvlJc w:val="left"/>
      <w:pPr>
        <w:pStyle w:val="748"/>
        <w:ind w:left="3120" w:hanging="440"/>
      </w:pPr>
      <w:rPr>
        <w:rFonts w:ascii="Wingdings" w:hAnsi="Wingdings"/>
      </w:rPr>
    </w:lvl>
    <w:lvl w:ilvl="6">
      <w:start w:val="1"/>
      <w:numFmt w:val="bullet"/>
      <w:isLgl w:val="false"/>
      <w:suff w:val="tab"/>
      <w:lvlText w:val=""/>
      <w:lvlJc w:val="left"/>
      <w:pPr>
        <w:pStyle w:val="748"/>
        <w:ind w:left="3560" w:hanging="440"/>
      </w:pPr>
      <w:rPr>
        <w:rFonts w:ascii="Wingdings" w:hAnsi="Wingdings"/>
      </w:rPr>
    </w:lvl>
    <w:lvl w:ilvl="7">
      <w:start w:val="1"/>
      <w:numFmt w:val="bullet"/>
      <w:isLgl w:val="false"/>
      <w:suff w:val="tab"/>
      <w:lvlText w:val=""/>
      <w:lvlJc w:val="left"/>
      <w:pPr>
        <w:pStyle w:val="748"/>
        <w:ind w:left="4000" w:hanging="440"/>
      </w:pPr>
      <w:rPr>
        <w:rFonts w:ascii="Wingdings" w:hAnsi="Wingdings"/>
      </w:rPr>
    </w:lvl>
    <w:lvl w:ilvl="8">
      <w:start w:val="1"/>
      <w:numFmt w:val="bullet"/>
      <w:isLgl w:val="false"/>
      <w:suff w:val="tab"/>
      <w:lvlText w:val=""/>
      <w:lvlJc w:val="left"/>
      <w:pPr>
        <w:pStyle w:val="748"/>
        <w:ind w:left="4440" w:hanging="440"/>
      </w:pPr>
      <w:rPr>
        <w:rFonts w:ascii="Wingdings" w:hAnsi="Wingdings"/>
      </w:rPr>
    </w:lvl>
  </w:abstractNum>
  <w:abstractNum w:abstractNumId="5">
    <w:multiLevelType w:val="hybridMultilevel"/>
    <w:lvl w:ilvl="0">
      <w:start w:val="1"/>
      <w:numFmt w:val="bullet"/>
      <w:isLgl w:val="false"/>
      <w:suff w:val="tab"/>
      <w:lvlText w:val=""/>
      <w:lvlJc w:val="left"/>
      <w:pPr>
        <w:pStyle w:val="748"/>
        <w:ind w:left="920" w:hanging="440"/>
      </w:pPr>
      <w:rPr>
        <w:rFonts w:ascii="Wingdings" w:hAnsi="Wingdings"/>
      </w:rPr>
    </w:lvl>
    <w:lvl w:ilvl="1">
      <w:start w:val="1"/>
      <w:numFmt w:val="bullet"/>
      <w:isLgl w:val="false"/>
      <w:suff w:val="tab"/>
      <w:lvlText w:val=""/>
      <w:lvlJc w:val="left"/>
      <w:pPr>
        <w:pStyle w:val="748"/>
        <w:ind w:left="1360" w:hanging="440"/>
      </w:pPr>
      <w:rPr>
        <w:rFonts w:ascii="Wingdings" w:hAnsi="Wingdings"/>
      </w:rPr>
    </w:lvl>
    <w:lvl w:ilvl="2">
      <w:start w:val="1"/>
      <w:numFmt w:val="bullet"/>
      <w:isLgl w:val="false"/>
      <w:suff w:val="tab"/>
      <w:lvlText w:val=""/>
      <w:lvlJc w:val="left"/>
      <w:pPr>
        <w:pStyle w:val="748"/>
        <w:ind w:left="1800" w:hanging="440"/>
      </w:pPr>
      <w:rPr>
        <w:rFonts w:ascii="Wingdings" w:hAnsi="Wingdings"/>
      </w:rPr>
    </w:lvl>
    <w:lvl w:ilvl="3">
      <w:start w:val="1"/>
      <w:numFmt w:val="bullet"/>
      <w:isLgl w:val="false"/>
      <w:suff w:val="tab"/>
      <w:lvlText w:val=""/>
      <w:lvlJc w:val="left"/>
      <w:pPr>
        <w:pStyle w:val="748"/>
        <w:ind w:left="2240" w:hanging="440"/>
      </w:pPr>
      <w:rPr>
        <w:rFonts w:ascii="Wingdings" w:hAnsi="Wingdings"/>
      </w:rPr>
    </w:lvl>
    <w:lvl w:ilvl="4">
      <w:start w:val="1"/>
      <w:numFmt w:val="bullet"/>
      <w:isLgl w:val="false"/>
      <w:suff w:val="tab"/>
      <w:lvlText w:val=""/>
      <w:lvlJc w:val="left"/>
      <w:pPr>
        <w:pStyle w:val="748"/>
        <w:ind w:left="2680" w:hanging="440"/>
      </w:pPr>
      <w:rPr>
        <w:rFonts w:ascii="Wingdings" w:hAnsi="Wingdings"/>
      </w:rPr>
    </w:lvl>
    <w:lvl w:ilvl="5">
      <w:start w:val="1"/>
      <w:numFmt w:val="bullet"/>
      <w:isLgl w:val="false"/>
      <w:suff w:val="tab"/>
      <w:lvlText w:val=""/>
      <w:lvlJc w:val="left"/>
      <w:pPr>
        <w:pStyle w:val="748"/>
        <w:ind w:left="3120" w:hanging="440"/>
      </w:pPr>
      <w:rPr>
        <w:rFonts w:ascii="Wingdings" w:hAnsi="Wingdings"/>
      </w:rPr>
    </w:lvl>
    <w:lvl w:ilvl="6">
      <w:start w:val="1"/>
      <w:numFmt w:val="bullet"/>
      <w:isLgl w:val="false"/>
      <w:suff w:val="tab"/>
      <w:lvlText w:val=""/>
      <w:lvlJc w:val="left"/>
      <w:pPr>
        <w:pStyle w:val="748"/>
        <w:ind w:left="3560" w:hanging="440"/>
      </w:pPr>
      <w:rPr>
        <w:rFonts w:ascii="Wingdings" w:hAnsi="Wingdings"/>
      </w:rPr>
    </w:lvl>
    <w:lvl w:ilvl="7">
      <w:start w:val="1"/>
      <w:numFmt w:val="bullet"/>
      <w:isLgl w:val="false"/>
      <w:suff w:val="tab"/>
      <w:lvlText w:val=""/>
      <w:lvlJc w:val="left"/>
      <w:pPr>
        <w:pStyle w:val="748"/>
        <w:ind w:left="4000" w:hanging="440"/>
      </w:pPr>
      <w:rPr>
        <w:rFonts w:ascii="Wingdings" w:hAnsi="Wingdings"/>
      </w:rPr>
    </w:lvl>
    <w:lvl w:ilvl="8">
      <w:start w:val="1"/>
      <w:numFmt w:val="bullet"/>
      <w:isLgl w:val="false"/>
      <w:suff w:val="tab"/>
      <w:lvlText w:val=""/>
      <w:lvlJc w:val="left"/>
      <w:pPr>
        <w:pStyle w:val="748"/>
        <w:ind w:left="4440" w:hanging="440"/>
      </w:pPr>
      <w:rPr>
        <w:rFonts w:ascii="Wingdings" w:hAnsi="Wingdings"/>
      </w:rPr>
    </w:lvl>
  </w:abstractNum>
  <w:abstractNum w:abstractNumId="6">
    <w:multiLevelType w:val="hybridMultilevel"/>
    <w:lvl w:ilvl="0">
      <w:start w:val="1"/>
      <w:numFmt w:val="bullet"/>
      <w:isLgl w:val="false"/>
      <w:suff w:val="tab"/>
      <w:lvlText w:val=""/>
      <w:lvlJc w:val="left"/>
      <w:pPr>
        <w:pStyle w:val="748"/>
        <w:ind w:left="920" w:hanging="440"/>
      </w:pPr>
      <w:rPr>
        <w:rFonts w:ascii="Wingdings" w:hAnsi="Wingdings"/>
      </w:rPr>
    </w:lvl>
    <w:lvl w:ilvl="1">
      <w:start w:val="1"/>
      <w:numFmt w:val="bullet"/>
      <w:isLgl w:val="false"/>
      <w:suff w:val="tab"/>
      <w:lvlText w:val=""/>
      <w:lvlJc w:val="left"/>
      <w:pPr>
        <w:pStyle w:val="748"/>
        <w:ind w:left="1360" w:hanging="440"/>
      </w:pPr>
      <w:rPr>
        <w:rFonts w:ascii="Wingdings" w:hAnsi="Wingdings"/>
      </w:rPr>
    </w:lvl>
    <w:lvl w:ilvl="2">
      <w:start w:val="1"/>
      <w:numFmt w:val="bullet"/>
      <w:isLgl w:val="false"/>
      <w:suff w:val="tab"/>
      <w:lvlText w:val=""/>
      <w:lvlJc w:val="left"/>
      <w:pPr>
        <w:pStyle w:val="748"/>
        <w:ind w:left="1800" w:hanging="440"/>
      </w:pPr>
      <w:rPr>
        <w:rFonts w:ascii="Wingdings" w:hAnsi="Wingdings"/>
      </w:rPr>
    </w:lvl>
    <w:lvl w:ilvl="3">
      <w:start w:val="1"/>
      <w:numFmt w:val="bullet"/>
      <w:isLgl w:val="false"/>
      <w:suff w:val="tab"/>
      <w:lvlText w:val=""/>
      <w:lvlJc w:val="left"/>
      <w:pPr>
        <w:pStyle w:val="748"/>
        <w:ind w:left="2240" w:hanging="440"/>
      </w:pPr>
      <w:rPr>
        <w:rFonts w:ascii="Wingdings" w:hAnsi="Wingdings"/>
      </w:rPr>
    </w:lvl>
    <w:lvl w:ilvl="4">
      <w:start w:val="1"/>
      <w:numFmt w:val="bullet"/>
      <w:isLgl w:val="false"/>
      <w:suff w:val="tab"/>
      <w:lvlText w:val=""/>
      <w:lvlJc w:val="left"/>
      <w:pPr>
        <w:pStyle w:val="748"/>
        <w:ind w:left="2680" w:hanging="440"/>
      </w:pPr>
      <w:rPr>
        <w:rFonts w:ascii="Wingdings" w:hAnsi="Wingdings"/>
      </w:rPr>
    </w:lvl>
    <w:lvl w:ilvl="5">
      <w:start w:val="1"/>
      <w:numFmt w:val="bullet"/>
      <w:isLgl w:val="false"/>
      <w:suff w:val="tab"/>
      <w:lvlText w:val=""/>
      <w:lvlJc w:val="left"/>
      <w:pPr>
        <w:pStyle w:val="748"/>
        <w:ind w:left="3120" w:hanging="440"/>
      </w:pPr>
      <w:rPr>
        <w:rFonts w:ascii="Wingdings" w:hAnsi="Wingdings"/>
      </w:rPr>
    </w:lvl>
    <w:lvl w:ilvl="6">
      <w:start w:val="1"/>
      <w:numFmt w:val="bullet"/>
      <w:isLgl w:val="false"/>
      <w:suff w:val="tab"/>
      <w:lvlText w:val=""/>
      <w:lvlJc w:val="left"/>
      <w:pPr>
        <w:pStyle w:val="748"/>
        <w:ind w:left="3560" w:hanging="440"/>
      </w:pPr>
      <w:rPr>
        <w:rFonts w:ascii="Wingdings" w:hAnsi="Wingdings"/>
      </w:rPr>
    </w:lvl>
    <w:lvl w:ilvl="7">
      <w:start w:val="1"/>
      <w:numFmt w:val="bullet"/>
      <w:isLgl w:val="false"/>
      <w:suff w:val="tab"/>
      <w:lvlText w:val=""/>
      <w:lvlJc w:val="left"/>
      <w:pPr>
        <w:pStyle w:val="748"/>
        <w:ind w:left="4000" w:hanging="440"/>
      </w:pPr>
      <w:rPr>
        <w:rFonts w:ascii="Wingdings" w:hAnsi="Wingdings"/>
      </w:rPr>
    </w:lvl>
    <w:lvl w:ilvl="8">
      <w:start w:val="1"/>
      <w:numFmt w:val="bullet"/>
      <w:isLgl w:val="false"/>
      <w:suff w:val="tab"/>
      <w:lvlText w:val=""/>
      <w:lvlJc w:val="left"/>
      <w:pPr>
        <w:pStyle w:val="748"/>
        <w:ind w:left="4440" w:hanging="440"/>
      </w:pPr>
      <w:rPr>
        <w:rFonts w:ascii="Wingdings" w:hAnsi="Wingdings"/>
      </w:rPr>
    </w:lvl>
  </w:abstractNum>
  <w:abstractNum w:abstractNumId="7">
    <w:multiLevelType w:val="hybridMultilevel"/>
    <w:lvl w:ilvl="0">
      <w:start w:val="1"/>
      <w:numFmt w:val="decimal"/>
      <w:isLgl w:val="false"/>
      <w:suff w:val="space"/>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8">
    <w:multiLevelType w:val="hybridMultilevel"/>
    <w:lvl w:ilvl="0">
      <w:start w:val="1"/>
      <w:numFmt w:val="decimal"/>
      <w:pStyle w:val="845"/>
      <w:isLgl w:val="false"/>
      <w:suff w:val="tab"/>
      <w:lvlText w:val="%1."/>
      <w:lvlJc w:val="left"/>
      <w:pPr>
        <w:pStyle w:val="748"/>
        <w:ind w:left="709" w:hanging="709"/>
        <w:tabs>
          <w:tab w:val="num" w:pos="709" w:leader="none"/>
        </w:tabs>
      </w:pPr>
      <w:rPr>
        <w:rFonts w:hint="eastAsia"/>
      </w:rPr>
    </w:lvl>
    <w:lvl w:ilvl="1">
      <w:start w:val="1"/>
      <w:numFmt w:val="decimal"/>
      <w:isLgl w:val="false"/>
      <w:suff w:val="tab"/>
      <w:lvlText w:val="%1.%2"/>
      <w:lvlJc w:val="left"/>
      <w:pPr>
        <w:pStyle w:val="748"/>
        <w:ind w:left="709" w:hanging="709"/>
        <w:tabs>
          <w:tab w:val="num" w:pos="709" w:leader="none"/>
        </w:tabs>
      </w:pPr>
      <w:rPr>
        <w:rFonts w:hint="eastAsia"/>
      </w:rPr>
    </w:lvl>
    <w:lvl w:ilvl="2">
      <w:start w:val="1"/>
      <w:numFmt w:val="decimal"/>
      <w:isLgl w:val="false"/>
      <w:suff w:val="tab"/>
      <w:lvlText w:val="%1.%2.%3."/>
      <w:lvlJc w:val="left"/>
      <w:pPr>
        <w:pStyle w:val="748"/>
        <w:ind w:left="425" w:hanging="425"/>
        <w:tabs>
          <w:tab w:val="num" w:pos="425" w:leader="none"/>
        </w:tabs>
      </w:pPr>
      <w:rPr>
        <w:rFonts w:hint="eastAsia"/>
      </w:rPr>
    </w:lvl>
    <w:lvl w:ilvl="3">
      <w:start w:val="1"/>
      <w:numFmt w:val="decimal"/>
      <w:isLgl w:val="false"/>
      <w:suff w:val="tab"/>
      <w:lvlText w:val="%1.%2.%3.%4."/>
      <w:lvlJc w:val="left"/>
      <w:pPr>
        <w:pStyle w:val="748"/>
        <w:ind w:left="851" w:hanging="851"/>
        <w:tabs>
          <w:tab w:val="num" w:pos="851" w:leader="none"/>
        </w:tabs>
      </w:pPr>
      <w:rPr>
        <w:rFonts w:hint="eastAsia"/>
      </w:rPr>
    </w:lvl>
    <w:lvl w:ilvl="4">
      <w:start w:val="1"/>
      <w:numFmt w:val="decimal"/>
      <w:isLgl w:val="false"/>
      <w:suff w:val="tab"/>
      <w:lvlText w:val="%1.%2.%3.%4.%5."/>
      <w:lvlJc w:val="left"/>
      <w:pPr>
        <w:pStyle w:val="748"/>
        <w:ind w:left="992" w:hanging="992"/>
        <w:tabs>
          <w:tab w:val="num" w:pos="992" w:leader="none"/>
        </w:tabs>
      </w:pPr>
      <w:rPr>
        <w:rFonts w:hint="eastAsia"/>
      </w:rPr>
    </w:lvl>
    <w:lvl w:ilvl="5">
      <w:start w:val="1"/>
      <w:numFmt w:val="decimal"/>
      <w:isLgl w:val="false"/>
      <w:suff w:val="tab"/>
      <w:lvlText w:val="%1.%2.%3.%4.%5.%6."/>
      <w:lvlJc w:val="left"/>
      <w:pPr>
        <w:pStyle w:val="748"/>
        <w:ind w:left="1134" w:hanging="1134"/>
        <w:tabs>
          <w:tab w:val="num" w:pos="1134" w:leader="none"/>
        </w:tabs>
      </w:pPr>
      <w:rPr>
        <w:rFonts w:hint="eastAsia"/>
      </w:rPr>
    </w:lvl>
    <w:lvl w:ilvl="6">
      <w:start w:val="1"/>
      <w:numFmt w:val="decimal"/>
      <w:isLgl w:val="false"/>
      <w:suff w:val="tab"/>
      <w:lvlText w:val="%1.%2.%3.%4.%5.%6.%7."/>
      <w:lvlJc w:val="left"/>
      <w:pPr>
        <w:pStyle w:val="748"/>
        <w:ind w:left="1276" w:hanging="1276"/>
        <w:tabs>
          <w:tab w:val="num" w:pos="1276" w:leader="none"/>
        </w:tabs>
      </w:pPr>
      <w:rPr>
        <w:rFonts w:hint="eastAsia"/>
      </w:rPr>
    </w:lvl>
    <w:lvl w:ilvl="7">
      <w:start w:val="1"/>
      <w:numFmt w:val="decimal"/>
      <w:isLgl w:val="false"/>
      <w:suff w:val="tab"/>
      <w:lvlText w:val="%1.%2.%3.%4.%5.%6.%7.%8."/>
      <w:lvlJc w:val="left"/>
      <w:pPr>
        <w:pStyle w:val="748"/>
        <w:ind w:left="1418" w:hanging="1418"/>
        <w:tabs>
          <w:tab w:val="num" w:pos="1418" w:leader="none"/>
        </w:tabs>
      </w:pPr>
      <w:rPr>
        <w:rFonts w:hint="eastAsia"/>
      </w:rPr>
    </w:lvl>
    <w:lvl w:ilvl="8">
      <w:start w:val="1"/>
      <w:numFmt w:val="decimal"/>
      <w:isLgl w:val="false"/>
      <w:suff w:val="tab"/>
      <w:lvlText w:val="%1.%2.%3.%4.%5.%6.%7.%8.%9."/>
      <w:lvlJc w:val="left"/>
      <w:pPr>
        <w:pStyle w:val="748"/>
        <w:ind w:left="1559" w:hanging="1559"/>
        <w:tabs>
          <w:tab w:val="num" w:pos="1559" w:leader="none"/>
        </w:tabs>
      </w:pPr>
      <w:rPr>
        <w:rFonts w:hint="eastAsia"/>
      </w:rPr>
    </w:lvl>
  </w:abstractNum>
  <w:abstractNum w:abstractNumId="9">
    <w:multiLevelType w:val="hybridMultilevel"/>
    <w:lvl w:ilvl="0">
      <w:start w:val="2"/>
      <w:numFmt w:val="decimal"/>
      <w:isLgl w:val="false"/>
      <w:suff w:val="space"/>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748"/>
        <w:ind w:left="0" w:firstLine="0"/>
      </w:pPr>
      <w:rPr>
        <w:rFonts w:hint="eastAsia"/>
      </w:rPr>
    </w:lvl>
    <w:lvl w:ilvl="1">
      <w:start w:val="1"/>
      <w:numFmt w:val="decimal"/>
      <w:isLgl w:val="false"/>
      <w:suff w:val="nothing"/>
      <w:lvlText w:val="%2、"/>
      <w:lvlJc w:val="left"/>
      <w:pPr>
        <w:pStyle w:val="748"/>
        <w:ind w:left="0" w:firstLine="0"/>
      </w:pPr>
      <w:rPr>
        <w:rFonts w:hint="eastAsia"/>
      </w:rPr>
    </w:lvl>
    <w:lvl w:ilvl="2">
      <w:start w:val="1"/>
      <w:numFmt w:val="decimal"/>
      <w:isLgl w:val="false"/>
      <w:suff w:val="nothing"/>
      <w:lvlText w:val="%2.%3 "/>
      <w:lvlJc w:val="left"/>
      <w:pPr>
        <w:pStyle w:val="748"/>
        <w:ind w:left="0" w:firstLine="0"/>
      </w:pPr>
      <w:rPr>
        <w:rFonts w:hint="eastAsia"/>
      </w:rPr>
    </w:lvl>
    <w:lvl w:ilvl="3">
      <w:start w:val="1"/>
      <w:numFmt w:val="decimal"/>
      <w:isLgl w:val="false"/>
      <w:suff w:val="nothing"/>
      <w:lvlText w:val="%2.%3.%4 "/>
      <w:lvlJc w:val="left"/>
      <w:pPr>
        <w:pStyle w:val="748"/>
        <w:ind w:left="0" w:firstLine="0"/>
      </w:pPr>
      <w:rPr>
        <w:rFonts w:hint="eastAsia"/>
      </w:rPr>
    </w:lvl>
    <w:lvl w:ilvl="4">
      <w:start w:val="1"/>
      <w:numFmt w:val="decimal"/>
      <w:isLgl w:val="false"/>
      <w:suff w:val="nothing"/>
      <w:lvlText w:val="%2.%3.%4.%5 "/>
      <w:lvlJc w:val="left"/>
      <w:pPr>
        <w:pStyle w:val="748"/>
        <w:ind w:left="0" w:firstLine="0"/>
      </w:pPr>
      <w:rPr>
        <w:rFonts w:hint="eastAsia"/>
      </w:rPr>
    </w:lvl>
    <w:lvl w:ilvl="5">
      <w:start w:val="1"/>
      <w:numFmt w:val="decimal"/>
      <w:pStyle w:val="754"/>
      <w:isLgl w:val="false"/>
      <w:suff w:val="nothing"/>
      <w:lvlText w:val=""/>
      <w:lvlJc w:val="left"/>
      <w:pPr>
        <w:pStyle w:val="748"/>
        <w:ind w:left="0" w:firstLine="0"/>
      </w:pPr>
      <w:rPr>
        <w:rFonts w:hint="eastAsia"/>
      </w:rPr>
    </w:lvl>
    <w:lvl w:ilvl="6">
      <w:start w:val="1"/>
      <w:numFmt w:val="decimal"/>
      <w:pStyle w:val="755"/>
      <w:isLgl w:val="false"/>
      <w:suff w:val="nothing"/>
      <w:lvlText w:val=""/>
      <w:lvlJc w:val="left"/>
      <w:pPr>
        <w:pStyle w:val="748"/>
        <w:ind w:left="0" w:firstLine="0"/>
      </w:pPr>
      <w:rPr>
        <w:rFonts w:hint="eastAsia"/>
      </w:rPr>
    </w:lvl>
    <w:lvl w:ilvl="7">
      <w:start w:val="1"/>
      <w:numFmt w:val="decimal"/>
      <w:pStyle w:val="756"/>
      <w:isLgl w:val="false"/>
      <w:suff w:val="nothing"/>
      <w:lvlText w:val=""/>
      <w:lvlJc w:val="left"/>
      <w:pPr>
        <w:pStyle w:val="748"/>
        <w:ind w:left="0" w:firstLine="0"/>
      </w:pPr>
      <w:rPr>
        <w:rFonts w:hint="eastAsia"/>
      </w:rPr>
    </w:lvl>
    <w:lvl w:ilvl="8">
      <w:start w:val="1"/>
      <w:numFmt w:val="decimal"/>
      <w:pStyle w:val="757"/>
      <w:isLgl w:val="false"/>
      <w:suff w:val="nothing"/>
      <w:lvlText w:val=""/>
      <w:lvlJc w:val="left"/>
      <w:pPr>
        <w:pStyle w:val="748"/>
        <w:ind w:left="0" w:firstLine="0"/>
      </w:pPr>
      <w:rPr>
        <w:rFonts w:hint="eastAsia"/>
      </w:rPr>
    </w:lvl>
  </w:abstractNum>
  <w:abstractNum w:abstractNumId="12">
    <w:multiLevelType w:val="hybridMultilevel"/>
    <w:lvl w:ilvl="0">
      <w:start w:val="1"/>
      <w:numFmt w:val="chineseCountingThousand"/>
      <w:isLgl w:val="false"/>
      <w:suff w:val="space"/>
      <w:lvlText w:val="%1、"/>
      <w:lvlJc w:val="left"/>
      <w:pPr>
        <w:pStyle w:val="748"/>
        <w:ind w:left="1271" w:hanging="420"/>
      </w:pPr>
      <w:rPr>
        <w:rFonts w:hint="eastAsia"/>
      </w:rPr>
    </w:lvl>
    <w:lvl w:ilvl="1">
      <w:start w:val="1"/>
      <w:numFmt w:val="lowerLetter"/>
      <w:isLgl w:val="false"/>
      <w:suff w:val="tab"/>
      <w:lvlText w:val="%2)"/>
      <w:lvlJc w:val="left"/>
      <w:pPr>
        <w:pStyle w:val="748"/>
        <w:ind w:left="959" w:hanging="420"/>
      </w:pPr>
      <w:rPr>
        <w:rFonts w:hint="eastAsia"/>
      </w:rPr>
    </w:lvl>
    <w:lvl w:ilvl="2">
      <w:start w:val="1"/>
      <w:numFmt w:val="lowerRoman"/>
      <w:isLgl w:val="false"/>
      <w:suff w:val="tab"/>
      <w:lvlText w:val="%3."/>
      <w:lvlJc w:val="right"/>
      <w:pPr>
        <w:pStyle w:val="748"/>
        <w:ind w:left="1379" w:hanging="420"/>
      </w:pPr>
      <w:rPr>
        <w:rFonts w:hint="eastAsia"/>
      </w:rPr>
    </w:lvl>
    <w:lvl w:ilvl="3">
      <w:start w:val="1"/>
      <w:numFmt w:val="decimal"/>
      <w:isLgl w:val="false"/>
      <w:suff w:val="tab"/>
      <w:lvlText w:val="%4."/>
      <w:lvlJc w:val="left"/>
      <w:pPr>
        <w:pStyle w:val="748"/>
        <w:ind w:left="1799" w:hanging="420"/>
      </w:pPr>
      <w:rPr>
        <w:rFonts w:hint="eastAsia"/>
      </w:rPr>
    </w:lvl>
    <w:lvl w:ilvl="4">
      <w:start w:val="1"/>
      <w:numFmt w:val="lowerLetter"/>
      <w:isLgl w:val="false"/>
      <w:suff w:val="tab"/>
      <w:lvlText w:val="%5)"/>
      <w:lvlJc w:val="left"/>
      <w:pPr>
        <w:pStyle w:val="748"/>
        <w:ind w:left="2219" w:hanging="420"/>
      </w:pPr>
      <w:rPr>
        <w:rFonts w:hint="eastAsia"/>
      </w:rPr>
    </w:lvl>
    <w:lvl w:ilvl="5">
      <w:start w:val="1"/>
      <w:numFmt w:val="lowerRoman"/>
      <w:isLgl w:val="false"/>
      <w:suff w:val="tab"/>
      <w:lvlText w:val="%6."/>
      <w:lvlJc w:val="right"/>
      <w:pPr>
        <w:pStyle w:val="748"/>
        <w:ind w:left="2639" w:hanging="420"/>
      </w:pPr>
      <w:rPr>
        <w:rFonts w:hint="eastAsia"/>
      </w:rPr>
    </w:lvl>
    <w:lvl w:ilvl="6">
      <w:start w:val="1"/>
      <w:numFmt w:val="decimal"/>
      <w:isLgl w:val="false"/>
      <w:suff w:val="tab"/>
      <w:lvlText w:val="%7."/>
      <w:lvlJc w:val="left"/>
      <w:pPr>
        <w:pStyle w:val="748"/>
        <w:ind w:left="3059" w:hanging="420"/>
      </w:pPr>
      <w:rPr>
        <w:rFonts w:hint="eastAsia"/>
      </w:rPr>
    </w:lvl>
    <w:lvl w:ilvl="7">
      <w:start w:val="1"/>
      <w:numFmt w:val="lowerLetter"/>
      <w:isLgl w:val="false"/>
      <w:suff w:val="tab"/>
      <w:lvlText w:val="%8)"/>
      <w:lvlJc w:val="left"/>
      <w:pPr>
        <w:pStyle w:val="748"/>
        <w:ind w:left="3479" w:hanging="420"/>
      </w:pPr>
      <w:rPr>
        <w:rFonts w:hint="eastAsia"/>
      </w:rPr>
    </w:lvl>
    <w:lvl w:ilvl="8">
      <w:start w:val="1"/>
      <w:numFmt w:val="lowerRoman"/>
      <w:isLgl w:val="false"/>
      <w:suff w:val="tab"/>
      <w:lvlText w:val="%9."/>
      <w:lvlJc w:val="right"/>
      <w:pPr>
        <w:pStyle w:val="748"/>
        <w:ind w:left="3899" w:hanging="420"/>
      </w:pPr>
      <w:rPr>
        <w:rFonts w:hint="eastAsia"/>
      </w:rPr>
    </w:lvl>
  </w:abstractNum>
  <w:abstractNum w:abstractNumId="13">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pStyle w:val="748"/>
        <w:ind w:left="920" w:hanging="440"/>
      </w:pPr>
      <w:rPr>
        <w:rFonts w:ascii="Wingdings" w:hAnsi="Wingdings"/>
      </w:rPr>
    </w:lvl>
    <w:lvl w:ilvl="1">
      <w:start w:val="1"/>
      <w:numFmt w:val="bullet"/>
      <w:isLgl w:val="false"/>
      <w:suff w:val="tab"/>
      <w:lvlText w:val=""/>
      <w:lvlJc w:val="left"/>
      <w:pPr>
        <w:pStyle w:val="748"/>
        <w:ind w:left="1360" w:hanging="440"/>
      </w:pPr>
      <w:rPr>
        <w:rFonts w:ascii="Wingdings" w:hAnsi="Wingdings"/>
      </w:rPr>
    </w:lvl>
    <w:lvl w:ilvl="2">
      <w:start w:val="1"/>
      <w:numFmt w:val="bullet"/>
      <w:isLgl w:val="false"/>
      <w:suff w:val="tab"/>
      <w:lvlText w:val=""/>
      <w:lvlJc w:val="left"/>
      <w:pPr>
        <w:pStyle w:val="748"/>
        <w:ind w:left="1800" w:hanging="440"/>
      </w:pPr>
      <w:rPr>
        <w:rFonts w:ascii="Wingdings" w:hAnsi="Wingdings"/>
      </w:rPr>
    </w:lvl>
    <w:lvl w:ilvl="3">
      <w:start w:val="1"/>
      <w:numFmt w:val="bullet"/>
      <w:isLgl w:val="false"/>
      <w:suff w:val="tab"/>
      <w:lvlText w:val=""/>
      <w:lvlJc w:val="left"/>
      <w:pPr>
        <w:pStyle w:val="748"/>
        <w:ind w:left="2240" w:hanging="440"/>
      </w:pPr>
      <w:rPr>
        <w:rFonts w:ascii="Wingdings" w:hAnsi="Wingdings"/>
      </w:rPr>
    </w:lvl>
    <w:lvl w:ilvl="4">
      <w:start w:val="1"/>
      <w:numFmt w:val="bullet"/>
      <w:isLgl w:val="false"/>
      <w:suff w:val="tab"/>
      <w:lvlText w:val=""/>
      <w:lvlJc w:val="left"/>
      <w:pPr>
        <w:pStyle w:val="748"/>
        <w:ind w:left="2680" w:hanging="440"/>
      </w:pPr>
      <w:rPr>
        <w:rFonts w:ascii="Wingdings" w:hAnsi="Wingdings"/>
      </w:rPr>
    </w:lvl>
    <w:lvl w:ilvl="5">
      <w:start w:val="1"/>
      <w:numFmt w:val="bullet"/>
      <w:isLgl w:val="false"/>
      <w:suff w:val="tab"/>
      <w:lvlText w:val=""/>
      <w:lvlJc w:val="left"/>
      <w:pPr>
        <w:pStyle w:val="748"/>
        <w:ind w:left="3120" w:hanging="440"/>
      </w:pPr>
      <w:rPr>
        <w:rFonts w:ascii="Wingdings" w:hAnsi="Wingdings"/>
      </w:rPr>
    </w:lvl>
    <w:lvl w:ilvl="6">
      <w:start w:val="1"/>
      <w:numFmt w:val="bullet"/>
      <w:isLgl w:val="false"/>
      <w:suff w:val="tab"/>
      <w:lvlText w:val=""/>
      <w:lvlJc w:val="left"/>
      <w:pPr>
        <w:pStyle w:val="748"/>
        <w:ind w:left="3560" w:hanging="440"/>
      </w:pPr>
      <w:rPr>
        <w:rFonts w:ascii="Wingdings" w:hAnsi="Wingdings"/>
      </w:rPr>
    </w:lvl>
    <w:lvl w:ilvl="7">
      <w:start w:val="1"/>
      <w:numFmt w:val="bullet"/>
      <w:isLgl w:val="false"/>
      <w:suff w:val="tab"/>
      <w:lvlText w:val=""/>
      <w:lvlJc w:val="left"/>
      <w:pPr>
        <w:pStyle w:val="748"/>
        <w:ind w:left="4000" w:hanging="440"/>
      </w:pPr>
      <w:rPr>
        <w:rFonts w:ascii="Wingdings" w:hAnsi="Wingdings"/>
      </w:rPr>
    </w:lvl>
    <w:lvl w:ilvl="8">
      <w:start w:val="1"/>
      <w:numFmt w:val="bullet"/>
      <w:isLgl w:val="false"/>
      <w:suff w:val="tab"/>
      <w:lvlText w:val=""/>
      <w:lvlJc w:val="left"/>
      <w:pPr>
        <w:pStyle w:val="748"/>
        <w:ind w:left="4440" w:hanging="440"/>
      </w:pPr>
      <w:rPr>
        <w:rFonts w:ascii="Wingdings" w:hAnsi="Wingdings"/>
      </w:rPr>
    </w:lvl>
  </w:abstractNum>
  <w:abstractNum w:abstractNumId="15">
    <w:multiLevelType w:val="hybridMultilevel"/>
    <w:lvl w:ilvl="0">
      <w:start w:val="1"/>
      <w:numFmt w:val="bullet"/>
      <w:isLgl w:val="false"/>
      <w:suff w:val="tab"/>
      <w:lvlText w:val=""/>
      <w:lvlJc w:val="left"/>
      <w:pPr>
        <w:pStyle w:val="748"/>
        <w:ind w:left="920" w:hanging="440"/>
      </w:pPr>
      <w:rPr>
        <w:rFonts w:ascii="Wingdings" w:hAnsi="Wingdings"/>
      </w:rPr>
    </w:lvl>
    <w:lvl w:ilvl="1">
      <w:start w:val="1"/>
      <w:numFmt w:val="bullet"/>
      <w:isLgl w:val="false"/>
      <w:suff w:val="tab"/>
      <w:lvlText w:val=""/>
      <w:lvlJc w:val="left"/>
      <w:pPr>
        <w:pStyle w:val="748"/>
        <w:ind w:left="1360" w:hanging="440"/>
      </w:pPr>
      <w:rPr>
        <w:rFonts w:ascii="Wingdings" w:hAnsi="Wingdings"/>
      </w:rPr>
    </w:lvl>
    <w:lvl w:ilvl="2">
      <w:start w:val="1"/>
      <w:numFmt w:val="bullet"/>
      <w:isLgl w:val="false"/>
      <w:suff w:val="tab"/>
      <w:lvlText w:val=""/>
      <w:lvlJc w:val="left"/>
      <w:pPr>
        <w:pStyle w:val="748"/>
        <w:ind w:left="1800" w:hanging="440"/>
      </w:pPr>
      <w:rPr>
        <w:rFonts w:ascii="Wingdings" w:hAnsi="Wingdings"/>
      </w:rPr>
    </w:lvl>
    <w:lvl w:ilvl="3">
      <w:start w:val="1"/>
      <w:numFmt w:val="bullet"/>
      <w:isLgl w:val="false"/>
      <w:suff w:val="tab"/>
      <w:lvlText w:val=""/>
      <w:lvlJc w:val="left"/>
      <w:pPr>
        <w:pStyle w:val="748"/>
        <w:ind w:left="2240" w:hanging="440"/>
      </w:pPr>
      <w:rPr>
        <w:rFonts w:ascii="Wingdings" w:hAnsi="Wingdings"/>
      </w:rPr>
    </w:lvl>
    <w:lvl w:ilvl="4">
      <w:start w:val="1"/>
      <w:numFmt w:val="bullet"/>
      <w:isLgl w:val="false"/>
      <w:suff w:val="tab"/>
      <w:lvlText w:val=""/>
      <w:lvlJc w:val="left"/>
      <w:pPr>
        <w:pStyle w:val="748"/>
        <w:ind w:left="2680" w:hanging="440"/>
      </w:pPr>
      <w:rPr>
        <w:rFonts w:ascii="Wingdings" w:hAnsi="Wingdings"/>
      </w:rPr>
    </w:lvl>
    <w:lvl w:ilvl="5">
      <w:start w:val="1"/>
      <w:numFmt w:val="bullet"/>
      <w:isLgl w:val="false"/>
      <w:suff w:val="tab"/>
      <w:lvlText w:val=""/>
      <w:lvlJc w:val="left"/>
      <w:pPr>
        <w:pStyle w:val="748"/>
        <w:ind w:left="3120" w:hanging="440"/>
      </w:pPr>
      <w:rPr>
        <w:rFonts w:ascii="Wingdings" w:hAnsi="Wingdings"/>
      </w:rPr>
    </w:lvl>
    <w:lvl w:ilvl="6">
      <w:start w:val="1"/>
      <w:numFmt w:val="bullet"/>
      <w:isLgl w:val="false"/>
      <w:suff w:val="tab"/>
      <w:lvlText w:val=""/>
      <w:lvlJc w:val="left"/>
      <w:pPr>
        <w:pStyle w:val="748"/>
        <w:ind w:left="3560" w:hanging="440"/>
      </w:pPr>
      <w:rPr>
        <w:rFonts w:ascii="Wingdings" w:hAnsi="Wingdings"/>
      </w:rPr>
    </w:lvl>
    <w:lvl w:ilvl="7">
      <w:start w:val="1"/>
      <w:numFmt w:val="bullet"/>
      <w:isLgl w:val="false"/>
      <w:suff w:val="tab"/>
      <w:lvlText w:val=""/>
      <w:lvlJc w:val="left"/>
      <w:pPr>
        <w:pStyle w:val="748"/>
        <w:ind w:left="4000" w:hanging="440"/>
      </w:pPr>
      <w:rPr>
        <w:rFonts w:ascii="Wingdings" w:hAnsi="Wingdings"/>
      </w:rPr>
    </w:lvl>
    <w:lvl w:ilvl="8">
      <w:start w:val="1"/>
      <w:numFmt w:val="bullet"/>
      <w:isLgl w:val="false"/>
      <w:suff w:val="tab"/>
      <w:lvlText w:val=""/>
      <w:lvlJc w:val="left"/>
      <w:pPr>
        <w:pStyle w:val="748"/>
        <w:ind w:left="4440" w:hanging="440"/>
      </w:pPr>
      <w:rPr>
        <w:rFonts w:ascii="Wingdings" w:hAnsi="Wingdings"/>
      </w:rPr>
    </w:lvl>
  </w:abstractNum>
  <w:num w:numId="1">
    <w:abstractNumId w:val="11"/>
  </w:num>
  <w:num w:numId="2">
    <w:abstractNumId w:val="3"/>
  </w:num>
  <w:num w:numId="3">
    <w:abstractNumId w:val="8"/>
  </w:num>
  <w:num w:numId="4">
    <w:abstractNumId w:val="12"/>
  </w:num>
  <w:num w:numId="5">
    <w:abstractNumId w:val="4"/>
  </w:num>
  <w:num w:numId="6">
    <w:abstractNumId w:val="6"/>
  </w:num>
  <w:num w:numId="7">
    <w:abstractNumId w:val="5"/>
  </w:num>
  <w:num w:numId="8">
    <w:abstractNumId w:val="14"/>
  </w:num>
  <w:num w:numId="9">
    <w:abstractNumId w:val="15"/>
  </w:num>
  <w:num w:numId="10">
    <w:abstractNumId w:val="2"/>
  </w:num>
  <w:num w:numId="11">
    <w:abstractNumId w:val="9"/>
  </w:num>
  <w:num w:numId="12">
    <w:abstractNumId w:val="7"/>
  </w:num>
  <w:num w:numId="13">
    <w:abstractNumId w:val="0"/>
  </w:num>
  <w:num w:numId="14">
    <w:abstractNumId w:val="10"/>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8"/>
    <w:next w:val="7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8"/>
    <w:next w:val="7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8"/>
    <w:next w:val="7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8"/>
    <w:next w:val="7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8"/>
    <w:next w:val="7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8"/>
    <w:next w:val="7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8"/>
    <w:next w:val="7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8"/>
    <w:next w:val="7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8"/>
    <w:next w:val="7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8"/>
    <w:next w:val="7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8"/>
    <w:next w:val="7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8"/>
    <w:next w:val="748"/>
    <w:link w:val="38"/>
    <w:uiPriority w:val="29"/>
    <w:qFormat/>
    <w:pPr>
      <w:ind w:left="720" w:right="720"/>
    </w:pPr>
    <w:rPr>
      <w:i/>
    </w:rPr>
  </w:style>
  <w:style w:type="character" w:styleId="38">
    <w:name w:val="Quote Char"/>
    <w:link w:val="37"/>
    <w:uiPriority w:val="29"/>
    <w:rPr>
      <w:i/>
    </w:rPr>
  </w:style>
  <w:style w:type="paragraph" w:styleId="39">
    <w:name w:val="Intense Quote"/>
    <w:basedOn w:val="748"/>
    <w:next w:val="7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8"/>
    <w:next w:val="7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8"/>
    <w:next w:val="748"/>
    <w:uiPriority w:val="39"/>
    <w:unhideWhenUsed/>
    <w:pPr>
      <w:ind w:left="0" w:right="0" w:firstLine="0"/>
      <w:spacing w:after="57"/>
    </w:pPr>
  </w:style>
  <w:style w:type="paragraph" w:styleId="181">
    <w:name w:val="toc 2"/>
    <w:basedOn w:val="748"/>
    <w:next w:val="748"/>
    <w:uiPriority w:val="39"/>
    <w:unhideWhenUsed/>
    <w:pPr>
      <w:ind w:left="283" w:right="0" w:firstLine="0"/>
      <w:spacing w:after="57"/>
    </w:pPr>
  </w:style>
  <w:style w:type="paragraph" w:styleId="182">
    <w:name w:val="toc 3"/>
    <w:basedOn w:val="748"/>
    <w:next w:val="748"/>
    <w:uiPriority w:val="39"/>
    <w:unhideWhenUsed/>
    <w:pPr>
      <w:ind w:left="567" w:right="0" w:firstLine="0"/>
      <w:spacing w:after="57"/>
    </w:pPr>
  </w:style>
  <w:style w:type="paragraph" w:styleId="183">
    <w:name w:val="toc 4"/>
    <w:basedOn w:val="748"/>
    <w:next w:val="748"/>
    <w:uiPriority w:val="39"/>
    <w:unhideWhenUsed/>
    <w:pPr>
      <w:ind w:left="850" w:right="0" w:firstLine="0"/>
      <w:spacing w:after="57"/>
    </w:pPr>
  </w:style>
  <w:style w:type="paragraph" w:styleId="184">
    <w:name w:val="toc 5"/>
    <w:basedOn w:val="748"/>
    <w:next w:val="748"/>
    <w:uiPriority w:val="39"/>
    <w:unhideWhenUsed/>
    <w:pPr>
      <w:ind w:left="1134" w:right="0" w:firstLine="0"/>
      <w:spacing w:after="57"/>
    </w:pPr>
  </w:style>
  <w:style w:type="paragraph" w:styleId="185">
    <w:name w:val="toc 6"/>
    <w:basedOn w:val="748"/>
    <w:next w:val="748"/>
    <w:uiPriority w:val="39"/>
    <w:unhideWhenUsed/>
    <w:pPr>
      <w:ind w:left="1417" w:right="0" w:firstLine="0"/>
      <w:spacing w:after="57"/>
    </w:pPr>
  </w:style>
  <w:style w:type="paragraph" w:styleId="186">
    <w:name w:val="toc 7"/>
    <w:basedOn w:val="748"/>
    <w:next w:val="748"/>
    <w:uiPriority w:val="39"/>
    <w:unhideWhenUsed/>
    <w:pPr>
      <w:ind w:left="1701" w:right="0" w:firstLine="0"/>
      <w:spacing w:after="57"/>
    </w:pPr>
  </w:style>
  <w:style w:type="paragraph" w:styleId="187">
    <w:name w:val="toc 8"/>
    <w:basedOn w:val="748"/>
    <w:next w:val="748"/>
    <w:uiPriority w:val="39"/>
    <w:unhideWhenUsed/>
    <w:pPr>
      <w:ind w:left="1984" w:right="0" w:firstLine="0"/>
      <w:spacing w:after="57"/>
    </w:pPr>
  </w:style>
  <w:style w:type="paragraph" w:styleId="188">
    <w:name w:val="toc 9"/>
    <w:basedOn w:val="748"/>
    <w:next w:val="7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8"/>
    <w:next w:val="748"/>
    <w:uiPriority w:val="99"/>
    <w:unhideWhenUsed/>
    <w:pPr>
      <w:spacing w:after="0" w:afterAutospacing="0"/>
    </w:pPr>
  </w:style>
  <w:style w:type="paragraph" w:styleId="748" w:default="1">
    <w:name w:val="Normal"/>
    <w:next w:val="748"/>
    <w:link w:val="748"/>
    <w:qFormat/>
    <w:pPr>
      <w:jc w:val="both"/>
      <w:widowControl w:val="off"/>
    </w:pPr>
    <w:rPr>
      <w:rFonts w:ascii="Times New Roman" w:hAnsi="Times New Roman"/>
      <w:sz w:val="21"/>
      <w:szCs w:val="21"/>
      <w:lang w:val="en-US" w:eastAsia="zh-CN" w:bidi="ar-SA"/>
    </w:rPr>
  </w:style>
  <w:style w:type="paragraph" w:styleId="749">
    <w:name w:val="标题 1"/>
    <w:basedOn w:val="748"/>
    <w:next w:val="748"/>
    <w:link w:val="761"/>
    <w:qFormat/>
    <w:pPr>
      <w:jc w:val="center"/>
      <w:keepNext/>
      <w:outlineLvl w:val="0"/>
    </w:pPr>
    <w:rPr>
      <w:rFonts w:ascii="楷体_GB2312" w:eastAsia="楷体_GB2312"/>
      <w:sz w:val="28"/>
      <w:szCs w:val="28"/>
    </w:rPr>
  </w:style>
  <w:style w:type="paragraph" w:styleId="750">
    <w:name w:val="标题 2"/>
    <w:basedOn w:val="748"/>
    <w:next w:val="763"/>
    <w:link w:val="762"/>
    <w:qFormat/>
    <w:pPr>
      <w:jc w:val="center"/>
      <w:keepLines/>
      <w:keepNext/>
      <w:spacing w:before="260" w:after="260" w:line="416" w:lineRule="auto"/>
      <w:outlineLvl w:val="1"/>
    </w:pPr>
    <w:rPr>
      <w:rFonts w:ascii="Arial" w:hAnsi="Arial" w:eastAsia="幼圆" w:cs="Arial"/>
      <w:b/>
      <w:bCs/>
      <w:sz w:val="44"/>
      <w:szCs w:val="44"/>
    </w:rPr>
  </w:style>
  <w:style w:type="paragraph" w:styleId="751">
    <w:name w:val="标题 3"/>
    <w:basedOn w:val="748"/>
    <w:next w:val="763"/>
    <w:link w:val="765"/>
    <w:qFormat/>
    <w:pPr>
      <w:keepLines/>
      <w:keepNext/>
      <w:spacing w:before="260" w:after="260" w:line="416" w:lineRule="auto"/>
      <w:outlineLvl w:val="2"/>
    </w:pPr>
    <w:rPr>
      <w:b/>
      <w:bCs/>
      <w:sz w:val="32"/>
      <w:szCs w:val="32"/>
    </w:rPr>
  </w:style>
  <w:style w:type="paragraph" w:styleId="752">
    <w:name w:val="标题 4"/>
    <w:basedOn w:val="748"/>
    <w:next w:val="763"/>
    <w:link w:val="766"/>
    <w:qFormat/>
    <w:pPr>
      <w:keepLines/>
      <w:keepNext/>
      <w:spacing w:before="280" w:after="290" w:line="376" w:lineRule="auto"/>
      <w:outlineLvl w:val="3"/>
    </w:pPr>
    <w:rPr>
      <w:rFonts w:ascii="Arial" w:hAnsi="Arial" w:eastAsia="黑体" w:cs="Arial"/>
      <w:b/>
      <w:bCs/>
      <w:sz w:val="28"/>
      <w:szCs w:val="28"/>
    </w:rPr>
  </w:style>
  <w:style w:type="paragraph" w:styleId="753">
    <w:name w:val="标题 5"/>
    <w:basedOn w:val="748"/>
    <w:next w:val="763"/>
    <w:link w:val="767"/>
    <w:qFormat/>
    <w:pPr>
      <w:keepNext/>
      <w:outlineLvl w:val="4"/>
    </w:pPr>
    <w:rPr>
      <w:rFonts w:ascii="宋体"/>
      <w:color w:val="000000"/>
      <w:sz w:val="28"/>
      <w:szCs w:val="28"/>
    </w:rPr>
  </w:style>
  <w:style w:type="paragraph" w:styleId="754">
    <w:name w:val="标题 6"/>
    <w:basedOn w:val="748"/>
    <w:next w:val="748"/>
    <w:link w:val="768"/>
    <w:qFormat/>
    <w:pPr>
      <w:numPr>
        <w:ilvl w:val="5"/>
        <w:numId w:val="1"/>
      </w:numPr>
      <w:keepLines/>
      <w:keepNext/>
      <w:spacing w:before="240" w:after="64" w:line="320" w:lineRule="auto"/>
      <w:outlineLvl w:val="5"/>
    </w:pPr>
    <w:rPr>
      <w:rFonts w:ascii="Arial" w:hAnsi="Arial" w:eastAsia="黑体"/>
      <w:b/>
      <w:bCs/>
      <w:sz w:val="24"/>
      <w:szCs w:val="24"/>
    </w:rPr>
  </w:style>
  <w:style w:type="paragraph" w:styleId="755">
    <w:name w:val="标题 7"/>
    <w:basedOn w:val="748"/>
    <w:next w:val="748"/>
    <w:link w:val="769"/>
    <w:qFormat/>
    <w:pPr>
      <w:numPr>
        <w:ilvl w:val="6"/>
        <w:numId w:val="1"/>
      </w:numPr>
      <w:keepLines/>
      <w:keepNext/>
      <w:spacing w:before="240" w:after="64" w:line="320" w:lineRule="auto"/>
      <w:outlineLvl w:val="6"/>
    </w:pPr>
    <w:rPr>
      <w:b/>
      <w:bCs/>
      <w:sz w:val="24"/>
      <w:szCs w:val="24"/>
    </w:rPr>
  </w:style>
  <w:style w:type="paragraph" w:styleId="756">
    <w:name w:val="标题 8"/>
    <w:basedOn w:val="748"/>
    <w:next w:val="748"/>
    <w:link w:val="770"/>
    <w:qFormat/>
    <w:pPr>
      <w:numPr>
        <w:ilvl w:val="7"/>
        <w:numId w:val="1"/>
      </w:numPr>
      <w:keepLines/>
      <w:keepNext/>
      <w:spacing w:before="240" w:after="64" w:line="320" w:lineRule="auto"/>
      <w:outlineLvl w:val="7"/>
    </w:pPr>
    <w:rPr>
      <w:rFonts w:ascii="Arial" w:hAnsi="Arial" w:eastAsia="黑体"/>
      <w:sz w:val="24"/>
      <w:szCs w:val="24"/>
    </w:rPr>
  </w:style>
  <w:style w:type="paragraph" w:styleId="757">
    <w:name w:val="标题 9"/>
    <w:basedOn w:val="748"/>
    <w:next w:val="748"/>
    <w:link w:val="771"/>
    <w:qFormat/>
    <w:pPr>
      <w:numPr>
        <w:ilvl w:val="8"/>
        <w:numId w:val="1"/>
      </w:numPr>
      <w:keepLines/>
      <w:keepNext/>
      <w:spacing w:before="240" w:after="64" w:line="320" w:lineRule="auto"/>
      <w:outlineLvl w:val="8"/>
    </w:pPr>
    <w:rPr>
      <w:rFonts w:ascii="Arial" w:hAnsi="Arial" w:eastAsia="黑体"/>
    </w:rPr>
  </w:style>
  <w:style w:type="character" w:styleId="758">
    <w:name w:val="默认段落字体"/>
    <w:next w:val="758"/>
    <w:link w:val="748"/>
    <w:uiPriority w:val="1"/>
    <w:unhideWhenUsed/>
  </w:style>
  <w:style w:type="table" w:styleId="759">
    <w:name w:val="普通表格"/>
    <w:next w:val="759"/>
    <w:link w:val="748"/>
    <w:uiPriority w:val="99"/>
    <w:unhideWhenUsed/>
    <w:tblPr/>
  </w:style>
  <w:style w:type="numbering" w:styleId="760">
    <w:name w:val="无列表"/>
    <w:next w:val="760"/>
    <w:link w:val="748"/>
    <w:uiPriority w:val="99"/>
    <w:semiHidden/>
    <w:unhideWhenUsed/>
  </w:style>
  <w:style w:type="character" w:styleId="761">
    <w:name w:val="标题 1 Char"/>
    <w:next w:val="761"/>
    <w:link w:val="749"/>
    <w:rPr>
      <w:rFonts w:ascii="楷体_GB2312" w:hAnsi="Times New Roman" w:eastAsia="楷体_GB2312" w:cs="Times New Roman"/>
      <w:sz w:val="28"/>
      <w:szCs w:val="28"/>
    </w:rPr>
  </w:style>
  <w:style w:type="character" w:styleId="762">
    <w:name w:val="标题 2 Char"/>
    <w:next w:val="762"/>
    <w:link w:val="750"/>
    <w:rPr>
      <w:rFonts w:ascii="Arial" w:hAnsi="Arial" w:eastAsia="幼圆" w:cs="Arial"/>
      <w:b/>
      <w:bCs/>
      <w:sz w:val="44"/>
      <w:szCs w:val="44"/>
    </w:rPr>
  </w:style>
  <w:style w:type="paragraph" w:styleId="763">
    <w:name w:val="正文缩进"/>
    <w:basedOn w:val="748"/>
    <w:next w:val="763"/>
    <w:link w:val="764"/>
    <w:pPr>
      <w:ind w:firstLine="420"/>
    </w:pPr>
  </w:style>
  <w:style w:type="character" w:styleId="764">
    <w:name w:val="正文缩进 Char"/>
    <w:next w:val="764"/>
    <w:link w:val="763"/>
    <w:rPr>
      <w:rFonts w:ascii="Times New Roman" w:hAnsi="Times New Roman" w:eastAsia="宋体" w:cs="Times New Roman"/>
      <w:szCs w:val="21"/>
    </w:rPr>
  </w:style>
  <w:style w:type="character" w:styleId="765">
    <w:name w:val="标题 3 Char"/>
    <w:next w:val="765"/>
    <w:link w:val="751"/>
    <w:rPr>
      <w:rFonts w:ascii="Times New Roman" w:hAnsi="Times New Roman" w:eastAsia="宋体" w:cs="Times New Roman"/>
      <w:b/>
      <w:bCs/>
      <w:sz w:val="32"/>
      <w:szCs w:val="32"/>
    </w:rPr>
  </w:style>
  <w:style w:type="character" w:styleId="766">
    <w:name w:val="标题 4 Char"/>
    <w:next w:val="766"/>
    <w:link w:val="752"/>
    <w:rPr>
      <w:rFonts w:ascii="Arial" w:hAnsi="Arial" w:eastAsia="黑体" w:cs="Arial"/>
      <w:b/>
      <w:bCs/>
      <w:sz w:val="28"/>
      <w:szCs w:val="28"/>
    </w:rPr>
  </w:style>
  <w:style w:type="character" w:styleId="767">
    <w:name w:val="标题 5 Char"/>
    <w:next w:val="767"/>
    <w:link w:val="753"/>
    <w:rPr>
      <w:rFonts w:ascii="宋体" w:hAnsi="Times New Roman" w:eastAsia="宋体" w:cs="Times New Roman"/>
      <w:color w:val="000000"/>
      <w:sz w:val="28"/>
      <w:szCs w:val="28"/>
    </w:rPr>
  </w:style>
  <w:style w:type="character" w:styleId="768">
    <w:name w:val="标题 6 Char"/>
    <w:next w:val="768"/>
    <w:link w:val="754"/>
    <w:rPr>
      <w:rFonts w:ascii="Arial" w:hAnsi="Arial" w:eastAsia="黑体" w:cs="Times New Roman"/>
      <w:b/>
      <w:bCs/>
      <w:sz w:val="24"/>
      <w:szCs w:val="24"/>
    </w:rPr>
  </w:style>
  <w:style w:type="character" w:styleId="769">
    <w:name w:val="标题 7 Char"/>
    <w:next w:val="769"/>
    <w:link w:val="755"/>
    <w:rPr>
      <w:rFonts w:ascii="Times New Roman" w:hAnsi="Times New Roman" w:eastAsia="宋体" w:cs="Times New Roman"/>
      <w:b/>
      <w:bCs/>
      <w:sz w:val="24"/>
      <w:szCs w:val="24"/>
    </w:rPr>
  </w:style>
  <w:style w:type="character" w:styleId="770">
    <w:name w:val="标题 8 Char"/>
    <w:next w:val="770"/>
    <w:link w:val="756"/>
    <w:rPr>
      <w:rFonts w:ascii="Arial" w:hAnsi="Arial" w:eastAsia="黑体" w:cs="Times New Roman"/>
      <w:sz w:val="24"/>
      <w:szCs w:val="24"/>
    </w:rPr>
  </w:style>
  <w:style w:type="character" w:styleId="771">
    <w:name w:val="标题 9 Char"/>
    <w:next w:val="771"/>
    <w:link w:val="757"/>
    <w:rPr>
      <w:rFonts w:ascii="Arial" w:hAnsi="Arial" w:eastAsia="黑体" w:cs="Times New Roman"/>
      <w:szCs w:val="21"/>
    </w:rPr>
  </w:style>
  <w:style w:type="paragraph" w:styleId="772">
    <w:name w:val="列表 3"/>
    <w:basedOn w:val="748"/>
    <w:next w:val="772"/>
    <w:link w:val="748"/>
    <w:pPr>
      <w:ind w:left="100" w:hanging="200"/>
    </w:pPr>
  </w:style>
  <w:style w:type="paragraph" w:styleId="773">
    <w:name w:val="目录 7"/>
    <w:basedOn w:val="748"/>
    <w:next w:val="748"/>
    <w:link w:val="748"/>
    <w:semiHidden/>
    <w:pPr>
      <w:ind w:left="1260"/>
      <w:jc w:val="left"/>
    </w:pPr>
  </w:style>
  <w:style w:type="paragraph" w:styleId="774">
    <w:name w:val="文档结构图"/>
    <w:basedOn w:val="748"/>
    <w:next w:val="774"/>
    <w:link w:val="775"/>
    <w:semiHidden/>
    <w:pPr>
      <w:shd w:val="clear" w:color="auto" w:fill="000080"/>
    </w:pPr>
  </w:style>
  <w:style w:type="character" w:styleId="775">
    <w:name w:val="文档结构图 Char"/>
    <w:next w:val="775"/>
    <w:link w:val="774"/>
    <w:semiHidden/>
    <w:rPr>
      <w:rFonts w:ascii="Times New Roman" w:hAnsi="Times New Roman" w:eastAsia="宋体" w:cs="Times New Roman"/>
      <w:szCs w:val="21"/>
      <w:shd w:val="clear" w:color="auto" w:fill="000080"/>
    </w:rPr>
  </w:style>
  <w:style w:type="paragraph" w:styleId="776">
    <w:name w:val="批注文字"/>
    <w:basedOn w:val="748"/>
    <w:next w:val="776"/>
    <w:link w:val="777"/>
    <w:semiHidden/>
    <w:pPr>
      <w:jc w:val="left"/>
    </w:pPr>
  </w:style>
  <w:style w:type="character" w:styleId="777">
    <w:name w:val="批注文字 Char"/>
    <w:next w:val="777"/>
    <w:link w:val="776"/>
    <w:semiHidden/>
    <w:rPr>
      <w:rFonts w:ascii="Times New Roman" w:hAnsi="Times New Roman" w:eastAsia="宋体" w:cs="Times New Roman"/>
      <w:szCs w:val="21"/>
    </w:rPr>
  </w:style>
  <w:style w:type="paragraph" w:styleId="778">
    <w:name w:val="正文文本 3"/>
    <w:basedOn w:val="748"/>
    <w:next w:val="778"/>
    <w:link w:val="779"/>
    <w:rPr>
      <w:rFonts w:ascii="仿宋_GB2312" w:hAnsi="Arial" w:eastAsia="仿宋_GB2312"/>
      <w:sz w:val="32"/>
      <w:szCs w:val="32"/>
    </w:rPr>
  </w:style>
  <w:style w:type="character" w:styleId="779">
    <w:name w:val="正文文本 3 Char"/>
    <w:next w:val="779"/>
    <w:link w:val="778"/>
    <w:rPr>
      <w:rFonts w:ascii="仿宋_GB2312" w:hAnsi="Arial" w:eastAsia="仿宋_GB2312" w:cs="Times New Roman"/>
      <w:sz w:val="32"/>
      <w:szCs w:val="32"/>
    </w:rPr>
  </w:style>
  <w:style w:type="paragraph" w:styleId="780">
    <w:name w:val="正文文本"/>
    <w:basedOn w:val="748"/>
    <w:next w:val="780"/>
    <w:link w:val="781"/>
    <w:rPr>
      <w:rFonts w:ascii="楷体_GB2312" w:hAnsi="Arial" w:eastAsia="楷体_GB2312"/>
      <w:sz w:val="28"/>
      <w:szCs w:val="28"/>
    </w:rPr>
  </w:style>
  <w:style w:type="character" w:styleId="781">
    <w:name w:val="正文文本 Char"/>
    <w:next w:val="781"/>
    <w:link w:val="780"/>
    <w:rPr>
      <w:rFonts w:ascii="楷体_GB2312" w:hAnsi="Arial" w:eastAsia="楷体_GB2312" w:cs="Times New Roman"/>
      <w:sz w:val="28"/>
      <w:szCs w:val="28"/>
    </w:rPr>
  </w:style>
  <w:style w:type="paragraph" w:styleId="782">
    <w:name w:val="正文文本缩进"/>
    <w:basedOn w:val="748"/>
    <w:next w:val="782"/>
    <w:link w:val="783"/>
    <w:pPr>
      <w:ind w:firstLine="645"/>
    </w:pPr>
    <w:rPr>
      <w:rFonts w:ascii="楷体_GB2312" w:eastAsia="楷体_GB2312"/>
      <w:sz w:val="32"/>
      <w:szCs w:val="32"/>
    </w:rPr>
  </w:style>
  <w:style w:type="character" w:styleId="783">
    <w:name w:val="正文文本缩进 Char"/>
    <w:next w:val="783"/>
    <w:link w:val="782"/>
    <w:rPr>
      <w:rFonts w:ascii="楷体_GB2312" w:hAnsi="Times New Roman" w:eastAsia="楷体_GB2312" w:cs="Times New Roman"/>
      <w:sz w:val="32"/>
      <w:szCs w:val="32"/>
    </w:rPr>
  </w:style>
  <w:style w:type="paragraph" w:styleId="784">
    <w:name w:val="列表 2"/>
    <w:basedOn w:val="748"/>
    <w:next w:val="784"/>
    <w:link w:val="748"/>
    <w:pPr>
      <w:ind w:left="100" w:hanging="200"/>
    </w:pPr>
  </w:style>
  <w:style w:type="paragraph" w:styleId="785">
    <w:name w:val="目录 5"/>
    <w:basedOn w:val="748"/>
    <w:next w:val="748"/>
    <w:link w:val="748"/>
    <w:semiHidden/>
    <w:pPr>
      <w:ind w:left="840"/>
      <w:jc w:val="left"/>
    </w:pPr>
  </w:style>
  <w:style w:type="paragraph" w:styleId="786">
    <w:name w:val="目录 3"/>
    <w:basedOn w:val="748"/>
    <w:next w:val="748"/>
    <w:link w:val="748"/>
    <w:semiHidden/>
    <w:pPr>
      <w:ind w:left="420"/>
      <w:jc w:val="left"/>
    </w:pPr>
    <w:rPr>
      <w:i/>
      <w:iCs/>
      <w:szCs w:val="24"/>
    </w:rPr>
  </w:style>
  <w:style w:type="paragraph" w:styleId="787">
    <w:name w:val="纯文本"/>
    <w:basedOn w:val="748"/>
    <w:next w:val="787"/>
    <w:link w:val="788"/>
    <w:rPr>
      <w:rFonts w:ascii="宋体" w:hAnsi="Courier New" w:cs="Courier New"/>
    </w:rPr>
  </w:style>
  <w:style w:type="character" w:styleId="788">
    <w:name w:val="纯文本 Char"/>
    <w:next w:val="788"/>
    <w:link w:val="787"/>
    <w:rPr>
      <w:rFonts w:ascii="宋体" w:hAnsi="Courier New" w:eastAsia="宋体" w:cs="Courier New"/>
      <w:szCs w:val="21"/>
    </w:rPr>
  </w:style>
  <w:style w:type="paragraph" w:styleId="789">
    <w:name w:val="目录 8"/>
    <w:basedOn w:val="748"/>
    <w:next w:val="748"/>
    <w:link w:val="748"/>
    <w:semiHidden/>
    <w:pPr>
      <w:ind w:left="1470"/>
      <w:jc w:val="left"/>
    </w:pPr>
  </w:style>
  <w:style w:type="paragraph" w:styleId="790">
    <w:name w:val="日期"/>
    <w:basedOn w:val="748"/>
    <w:next w:val="748"/>
    <w:link w:val="791"/>
    <w:rPr>
      <w:sz w:val="24"/>
      <w:szCs w:val="24"/>
    </w:rPr>
  </w:style>
  <w:style w:type="character" w:styleId="791">
    <w:name w:val="日期 Char"/>
    <w:next w:val="791"/>
    <w:link w:val="790"/>
    <w:rPr>
      <w:rFonts w:ascii="Times New Roman" w:hAnsi="Times New Roman" w:eastAsia="宋体" w:cs="Times New Roman"/>
      <w:sz w:val="24"/>
      <w:szCs w:val="24"/>
    </w:rPr>
  </w:style>
  <w:style w:type="paragraph" w:styleId="792">
    <w:name w:val="正文文本缩进 2"/>
    <w:basedOn w:val="748"/>
    <w:next w:val="792"/>
    <w:link w:val="793"/>
    <w:pPr>
      <w:ind w:left="630" w:firstLine="645"/>
    </w:pPr>
    <w:rPr>
      <w:rFonts w:ascii="Arial" w:hAnsi="Arial" w:eastAsia="仿宋_GB2312" w:cs="Arial"/>
      <w:sz w:val="32"/>
      <w:szCs w:val="32"/>
    </w:rPr>
  </w:style>
  <w:style w:type="character" w:styleId="793">
    <w:name w:val="正文文本缩进 2 Char"/>
    <w:next w:val="793"/>
    <w:link w:val="792"/>
    <w:rPr>
      <w:rFonts w:ascii="Arial" w:hAnsi="Arial" w:eastAsia="仿宋_GB2312" w:cs="Arial"/>
      <w:sz w:val="32"/>
      <w:szCs w:val="32"/>
    </w:rPr>
  </w:style>
  <w:style w:type="paragraph" w:styleId="794">
    <w:name w:val="批注框文本"/>
    <w:basedOn w:val="748"/>
    <w:next w:val="794"/>
    <w:link w:val="795"/>
    <w:semiHidden/>
    <w:rPr>
      <w:sz w:val="18"/>
      <w:szCs w:val="18"/>
    </w:rPr>
  </w:style>
  <w:style w:type="character" w:styleId="795">
    <w:name w:val="批注框文本 Char"/>
    <w:next w:val="795"/>
    <w:link w:val="794"/>
    <w:semiHidden/>
    <w:rPr>
      <w:rFonts w:ascii="Times New Roman" w:hAnsi="Times New Roman" w:eastAsia="宋体" w:cs="Times New Roman"/>
      <w:sz w:val="18"/>
      <w:szCs w:val="18"/>
    </w:rPr>
  </w:style>
  <w:style w:type="paragraph" w:styleId="796">
    <w:name w:val="页脚"/>
    <w:basedOn w:val="748"/>
    <w:next w:val="796"/>
    <w:link w:val="797"/>
    <w:uiPriority w:val="99"/>
    <w:pPr>
      <w:jc w:val="left"/>
      <w:tabs>
        <w:tab w:val="center" w:pos="4153" w:leader="none"/>
        <w:tab w:val="right" w:pos="8306" w:leader="none"/>
      </w:tabs>
    </w:pPr>
    <w:rPr>
      <w:sz w:val="18"/>
      <w:szCs w:val="18"/>
    </w:rPr>
  </w:style>
  <w:style w:type="character" w:styleId="797">
    <w:name w:val="页脚 Char"/>
    <w:next w:val="797"/>
    <w:link w:val="796"/>
    <w:uiPriority w:val="99"/>
    <w:rPr>
      <w:rFonts w:ascii="Times New Roman" w:hAnsi="Times New Roman" w:eastAsia="宋体" w:cs="Times New Roman"/>
      <w:sz w:val="18"/>
      <w:szCs w:val="18"/>
    </w:rPr>
  </w:style>
  <w:style w:type="paragraph" w:styleId="798">
    <w:name w:val="页眉"/>
    <w:basedOn w:val="748"/>
    <w:next w:val="798"/>
    <w:link w:val="799"/>
    <w:pPr>
      <w:jc w:val="center"/>
      <w:tabs>
        <w:tab w:val="center" w:pos="4153" w:leader="none"/>
        <w:tab w:val="right" w:pos="8306" w:leader="none"/>
      </w:tabs>
      <w:pBdr>
        <w:bottom w:val="single" w:color="000000" w:sz="6" w:space="1"/>
      </w:pBdr>
    </w:pPr>
    <w:rPr>
      <w:sz w:val="18"/>
      <w:szCs w:val="18"/>
    </w:rPr>
  </w:style>
  <w:style w:type="character" w:styleId="799">
    <w:name w:val="页眉 Char"/>
    <w:next w:val="799"/>
    <w:link w:val="798"/>
    <w:rPr>
      <w:rFonts w:ascii="Times New Roman" w:hAnsi="Times New Roman" w:eastAsia="宋体" w:cs="Times New Roman"/>
      <w:sz w:val="18"/>
      <w:szCs w:val="18"/>
    </w:rPr>
  </w:style>
  <w:style w:type="paragraph" w:styleId="800">
    <w:name w:val="目录 1"/>
    <w:basedOn w:val="748"/>
    <w:next w:val="748"/>
    <w:link w:val="748"/>
    <w:semiHidden/>
    <w:pPr>
      <w:jc w:val="left"/>
      <w:spacing w:before="120" w:after="120" w:line="400" w:lineRule="exact"/>
      <w:tabs>
        <w:tab w:val="right" w:pos="8720" w:leader="dot"/>
      </w:tabs>
    </w:pPr>
    <w:rPr>
      <w:rFonts w:ascii="宋体" w:hAnsi="宋体"/>
      <w:caps/>
      <w:sz w:val="24"/>
      <w:szCs w:val="24"/>
    </w:rPr>
  </w:style>
  <w:style w:type="paragraph" w:styleId="801">
    <w:name w:val="目录 4"/>
    <w:basedOn w:val="748"/>
    <w:next w:val="748"/>
    <w:link w:val="748"/>
    <w:semiHidden/>
    <w:pPr>
      <w:ind w:left="630"/>
      <w:jc w:val="left"/>
    </w:pPr>
  </w:style>
  <w:style w:type="paragraph" w:styleId="802">
    <w:name w:val="列表"/>
    <w:basedOn w:val="748"/>
    <w:next w:val="802"/>
    <w:link w:val="748"/>
    <w:pPr>
      <w:ind w:left="200" w:hanging="200"/>
    </w:pPr>
  </w:style>
  <w:style w:type="paragraph" w:styleId="803">
    <w:name w:val="目录 6"/>
    <w:basedOn w:val="748"/>
    <w:next w:val="748"/>
    <w:link w:val="748"/>
    <w:semiHidden/>
    <w:pPr>
      <w:ind w:left="1050"/>
      <w:jc w:val="left"/>
    </w:pPr>
  </w:style>
  <w:style w:type="paragraph" w:styleId="804">
    <w:name w:val="正文文本缩进 3"/>
    <w:basedOn w:val="748"/>
    <w:next w:val="804"/>
    <w:link w:val="805"/>
    <w:pPr>
      <w:ind w:left="645" w:firstLine="645"/>
    </w:pPr>
    <w:rPr>
      <w:rFonts w:ascii="Arial" w:hAnsi="Arial" w:eastAsia="仿宋_GB2312" w:cs="Arial"/>
      <w:color w:val="ffff00"/>
      <w:sz w:val="32"/>
      <w:szCs w:val="32"/>
    </w:rPr>
  </w:style>
  <w:style w:type="character" w:styleId="805">
    <w:name w:val="正文文本缩进 3 Char"/>
    <w:next w:val="805"/>
    <w:link w:val="804"/>
    <w:rPr>
      <w:rFonts w:ascii="Arial" w:hAnsi="Arial" w:eastAsia="仿宋_GB2312" w:cs="Arial"/>
      <w:color w:val="ffff00"/>
      <w:sz w:val="32"/>
      <w:szCs w:val="32"/>
    </w:rPr>
  </w:style>
  <w:style w:type="paragraph" w:styleId="806">
    <w:name w:val="图表目录"/>
    <w:basedOn w:val="748"/>
    <w:next w:val="748"/>
    <w:link w:val="748"/>
    <w:semiHidden/>
    <w:pPr>
      <w:ind w:left="840" w:hanging="420"/>
    </w:pPr>
  </w:style>
  <w:style w:type="paragraph" w:styleId="807">
    <w:name w:val="目录 2"/>
    <w:basedOn w:val="748"/>
    <w:next w:val="748"/>
    <w:link w:val="748"/>
    <w:semiHidden/>
    <w:pPr>
      <w:ind w:left="210"/>
      <w:jc w:val="left"/>
    </w:pPr>
    <w:rPr>
      <w:smallCaps/>
      <w:szCs w:val="24"/>
    </w:rPr>
  </w:style>
  <w:style w:type="paragraph" w:styleId="808">
    <w:name w:val="目录 9"/>
    <w:basedOn w:val="748"/>
    <w:next w:val="748"/>
    <w:link w:val="748"/>
    <w:semiHidden/>
    <w:pPr>
      <w:ind w:left="1680"/>
      <w:jc w:val="left"/>
    </w:pPr>
  </w:style>
  <w:style w:type="paragraph" w:styleId="809">
    <w:name w:val="正文文本 2"/>
    <w:basedOn w:val="748"/>
    <w:next w:val="809"/>
    <w:link w:val="810"/>
    <w:pPr>
      <w:jc w:val="center"/>
      <w:widowControl/>
    </w:pPr>
    <w:rPr>
      <w:rFonts w:ascii="楷体_GB2312" w:eastAsia="楷体_GB2312"/>
      <w:sz w:val="28"/>
      <w:szCs w:val="28"/>
    </w:rPr>
  </w:style>
  <w:style w:type="character" w:styleId="810">
    <w:name w:val="正文文本 2 Char"/>
    <w:next w:val="810"/>
    <w:link w:val="809"/>
    <w:rPr>
      <w:rFonts w:ascii="楷体_GB2312" w:hAnsi="Times New Roman" w:eastAsia="楷体_GB2312" w:cs="Times New Roman"/>
      <w:sz w:val="28"/>
      <w:szCs w:val="28"/>
    </w:rPr>
  </w:style>
  <w:style w:type="paragraph" w:styleId="811">
    <w:name w:val="普通(网站)"/>
    <w:basedOn w:val="748"/>
    <w:next w:val="811"/>
    <w:link w:val="748"/>
    <w:uiPriority w:val="99"/>
    <w:pPr>
      <w:jc w:val="left"/>
      <w:spacing w:before="100" w:beforeAutospacing="1" w:after="100" w:afterAutospacing="1"/>
      <w:widowControl/>
    </w:pPr>
    <w:rPr>
      <w:rFonts w:ascii="宋体" w:hAnsi="宋体" w:cs="宋体"/>
      <w:sz w:val="24"/>
      <w:szCs w:val="24"/>
    </w:rPr>
  </w:style>
  <w:style w:type="paragraph" w:styleId="812">
    <w:name w:val="索引 1"/>
    <w:basedOn w:val="748"/>
    <w:next w:val="748"/>
    <w:link w:val="748"/>
    <w:semiHidden/>
    <w:pPr>
      <w:spacing w:line="240" w:lineRule="atLeast"/>
    </w:pPr>
    <w:rPr>
      <w:b/>
      <w:bCs/>
    </w:rPr>
  </w:style>
  <w:style w:type="paragraph" w:styleId="813">
    <w:name w:val="批注主题"/>
    <w:basedOn w:val="776"/>
    <w:next w:val="776"/>
    <w:link w:val="814"/>
    <w:semiHidden/>
    <w:rPr>
      <w:b/>
      <w:bCs/>
    </w:rPr>
  </w:style>
  <w:style w:type="character" w:styleId="814">
    <w:name w:val="批注主题 Char"/>
    <w:next w:val="814"/>
    <w:link w:val="813"/>
    <w:semiHidden/>
    <w:rPr>
      <w:rFonts w:ascii="Times New Roman" w:hAnsi="Times New Roman" w:eastAsia="宋体" w:cs="Times New Roman"/>
      <w:b/>
      <w:bCs/>
      <w:szCs w:val="21"/>
    </w:rPr>
  </w:style>
  <w:style w:type="paragraph" w:styleId="815">
    <w:name w:val="正文首行缩进"/>
    <w:basedOn w:val="748"/>
    <w:next w:val="815"/>
    <w:link w:val="816"/>
    <w:pPr>
      <w:ind w:firstLine="200"/>
      <w:spacing w:line="360" w:lineRule="auto"/>
    </w:pPr>
    <w:rPr>
      <w:rFonts w:ascii="仿宋_GB2312" w:eastAsia="仿宋_GB2312"/>
      <w:sz w:val="30"/>
      <w:szCs w:val="30"/>
    </w:rPr>
  </w:style>
  <w:style w:type="character" w:styleId="816">
    <w:name w:val="正文首行缩进 Char"/>
    <w:next w:val="816"/>
    <w:link w:val="815"/>
    <w:rPr>
      <w:rFonts w:ascii="仿宋_GB2312" w:hAnsi="Times New Roman" w:eastAsia="仿宋_GB2312" w:cs="Times New Roman"/>
      <w:sz w:val="30"/>
      <w:szCs w:val="30"/>
    </w:rPr>
  </w:style>
  <w:style w:type="paragraph" w:styleId="817">
    <w:name w:val="正文首行缩进 2"/>
    <w:basedOn w:val="782"/>
    <w:next w:val="817"/>
    <w:link w:val="818"/>
    <w:pPr>
      <w:ind w:firstLine="420"/>
      <w:spacing w:line="360" w:lineRule="auto"/>
    </w:pPr>
    <w:rPr>
      <w:rFonts w:ascii="宋体" w:hAnsi="宋体" w:eastAsia="宋体"/>
      <w:sz w:val="21"/>
      <w:szCs w:val="20"/>
    </w:rPr>
  </w:style>
  <w:style w:type="character" w:styleId="818">
    <w:name w:val="正文首行缩进 2 Char"/>
    <w:next w:val="818"/>
    <w:link w:val="817"/>
    <w:rPr>
      <w:rFonts w:ascii="宋体" w:hAnsi="宋体" w:eastAsia="宋体" w:cs="Times New Roman"/>
      <w:sz w:val="32"/>
      <w:szCs w:val="20"/>
    </w:rPr>
  </w:style>
  <w:style w:type="table" w:styleId="819">
    <w:name w:val="网格型"/>
    <w:basedOn w:val="759"/>
    <w:next w:val="819"/>
    <w:link w:val="748"/>
    <w:pPr>
      <w:jc w:val="both"/>
      <w:widowControl w:val="off"/>
    </w:pPr>
    <w:rPr>
      <w:rFonts w:ascii="Times New Roman" w:hAnsi="Times New Roman" w:eastAsia="宋体" w:cs="Times New Roman"/>
      <w:sz w:val="20"/>
      <w:szCs w:val="20"/>
    </w:rPr>
    <w:tblPr/>
  </w:style>
  <w:style w:type="character" w:styleId="820">
    <w:name w:val="要点"/>
    <w:next w:val="820"/>
    <w:link w:val="748"/>
    <w:qFormat/>
    <w:rPr>
      <w:b/>
      <w:bCs/>
    </w:rPr>
  </w:style>
  <w:style w:type="character" w:styleId="821">
    <w:name w:val="页码"/>
    <w:next w:val="821"/>
    <w:link w:val="748"/>
  </w:style>
  <w:style w:type="character" w:styleId="822">
    <w:name w:val="访问过的超链接"/>
    <w:next w:val="822"/>
    <w:link w:val="748"/>
    <w:rPr>
      <w:color w:val="800080"/>
      <w:u w:val="single"/>
    </w:rPr>
  </w:style>
  <w:style w:type="character" w:styleId="823">
    <w:name w:val="强调"/>
    <w:next w:val="823"/>
    <w:link w:val="748"/>
    <w:qFormat/>
    <w:rPr>
      <w:i/>
    </w:rPr>
  </w:style>
  <w:style w:type="character" w:styleId="824">
    <w:name w:val="超链接"/>
    <w:next w:val="824"/>
    <w:link w:val="748"/>
    <w:rPr>
      <w:color w:val="0000ff"/>
      <w:u w:val="single"/>
    </w:rPr>
  </w:style>
  <w:style w:type="character" w:styleId="825">
    <w:name w:val="批注引用"/>
    <w:next w:val="825"/>
    <w:link w:val="748"/>
    <w:semiHidden/>
    <w:rPr>
      <w:sz w:val="21"/>
      <w:szCs w:val="21"/>
    </w:rPr>
  </w:style>
  <w:style w:type="character" w:styleId="826">
    <w:name w:val="font5 Char"/>
    <w:next w:val="826"/>
    <w:link w:val="748"/>
    <w:rPr>
      <w:rFonts w:ascii="宋体" w:hAnsi="宋体" w:eastAsia="宋体"/>
      <w:sz w:val="28"/>
      <w:szCs w:val="28"/>
      <w:lang w:val="en-US" w:eastAsia="zh-CN" w:bidi="ar-SA"/>
    </w:rPr>
  </w:style>
  <w:style w:type="character" w:styleId="827">
    <w:name w:val="二级目录 Char"/>
    <w:next w:val="827"/>
    <w:link w:val="828"/>
    <w:rPr>
      <w:b/>
      <w:sz w:val="30"/>
      <w:szCs w:val="28"/>
    </w:rPr>
  </w:style>
  <w:style w:type="paragraph" w:styleId="828">
    <w:name w:val="二级目录"/>
    <w:next w:val="748"/>
    <w:link w:val="827"/>
    <w:pPr>
      <w:numPr>
        <w:ilvl w:val="0"/>
        <w:numId w:val="2"/>
      </w:numPr>
      <w:tabs>
        <w:tab w:val="left" w:pos="907" w:leader="none"/>
        <w:tab w:val="left" w:pos="1145" w:leader="none"/>
      </w:tabs>
      <w:outlineLvl w:val="1"/>
    </w:pPr>
    <w:rPr>
      <w:b/>
      <w:sz w:val="30"/>
      <w:szCs w:val="28"/>
      <w:lang w:val="en-US" w:eastAsia="zh-CN" w:bidi="ar-SA"/>
    </w:rPr>
  </w:style>
  <w:style w:type="character" w:styleId="829">
    <w:name w:val="列出段落 Char,Bullet List Char,numbered Char,FooterText Char,List Paragraph1 Char,Paragraphe de liste1 Char"/>
    <w:next w:val="829"/>
    <w:link w:val="830"/>
    <w:rPr>
      <w:rFonts w:ascii="Calibri" w:hAnsi="Calibri"/>
      <w:sz w:val="24"/>
      <w:szCs w:val="24"/>
      <w:lang w:eastAsia="en-US" w:bidi="en-US"/>
    </w:rPr>
  </w:style>
  <w:style w:type="paragraph" w:styleId="830">
    <w:name w:val="列出段落1"/>
    <w:basedOn w:val="748"/>
    <w:next w:val="830"/>
    <w:link w:val="829"/>
    <w:qFormat/>
    <w:pPr>
      <w:contextualSpacing/>
      <w:ind w:left="720"/>
      <w:jc w:val="left"/>
      <w:widowControl/>
    </w:pPr>
    <w:rPr>
      <w:rFonts w:ascii="Calibri" w:hAnsi="Calibri" w:eastAsia="宋体" w:cs="Times New Roman"/>
      <w:sz w:val="24"/>
      <w:szCs w:val="24"/>
      <w:lang w:eastAsia="en-US" w:bidi="en-US"/>
    </w:rPr>
  </w:style>
  <w:style w:type="paragraph" w:styleId="831">
    <w:name w:val="Body Text(ch)"/>
    <w:basedOn w:val="748"/>
    <w:next w:val="780"/>
    <w:link w:val="748"/>
    <w:pPr>
      <w:spacing w:after="120"/>
    </w:pPr>
    <w:rPr>
      <w:rFonts w:ascii="宋体" w:hAnsi="Arial"/>
      <w:bCs/>
      <w:iCs/>
      <w:szCs w:val="24"/>
    </w:rPr>
  </w:style>
  <w:style w:type="paragraph" w:styleId="832">
    <w:name w:val="xl27"/>
    <w:basedOn w:val="748"/>
    <w:next w:val="832"/>
    <w:link w:val="7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3">
    <w:name w:val="xl26"/>
    <w:basedOn w:val="748"/>
    <w:next w:val="833"/>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4">
    <w:name w:val="Char"/>
    <w:basedOn w:val="748"/>
    <w:next w:val="834"/>
    <w:link w:val="748"/>
    <w:pPr>
      <w:ind w:firstLine="200"/>
      <w:tabs>
        <w:tab w:val="left" w:pos="360" w:leader="none"/>
      </w:tabs>
    </w:pPr>
    <w:rPr>
      <w:sz w:val="28"/>
      <w:szCs w:val="30"/>
    </w:rPr>
  </w:style>
  <w:style w:type="paragraph" w:styleId="835">
    <w:name w:val=" Char"/>
    <w:basedOn w:val="774"/>
    <w:next w:val="835"/>
    <w:link w:val="748"/>
    <w:rPr>
      <w:rFonts w:ascii="Tahoma" w:hAnsi="Tahoma"/>
      <w:sz w:val="24"/>
      <w:szCs w:val="24"/>
    </w:rPr>
  </w:style>
  <w:style w:type="paragraph" w:styleId="836">
    <w:name w:val="普通正文"/>
    <w:basedOn w:val="748"/>
    <w:next w:val="836"/>
    <w:link w:val="748"/>
    <w:pPr>
      <w:ind w:firstLine="480"/>
      <w:jc w:val="left"/>
      <w:spacing w:before="120" w:after="120" w:line="360" w:lineRule="auto"/>
    </w:pPr>
    <w:rPr>
      <w:rFonts w:ascii="Arial" w:hAnsi="Arial"/>
      <w:sz w:val="24"/>
      <w:szCs w:val="24"/>
    </w:rPr>
  </w:style>
  <w:style w:type="paragraph" w:styleId="837">
    <w:name w:val="table_lines"/>
    <w:basedOn w:val="748"/>
    <w:next w:val="837"/>
    <w:link w:val="748"/>
    <w:pPr>
      <w:jc w:val="left"/>
      <w:widowControl/>
    </w:pPr>
    <w:rPr>
      <w:sz w:val="20"/>
      <w:szCs w:val="20"/>
      <w:lang w:val="de-DE" w:eastAsia="de-DE"/>
    </w:rPr>
  </w:style>
  <w:style w:type="paragraph" w:styleId="838">
    <w:name w:val="附录1"/>
    <w:next w:val="838"/>
    <w:link w:val="74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39">
    <w:name w:val="font7"/>
    <w:basedOn w:val="748"/>
    <w:next w:val="839"/>
    <w:link w:val="748"/>
    <w:pPr>
      <w:jc w:val="left"/>
      <w:spacing w:before="100" w:beforeAutospacing="1" w:after="100" w:afterAutospacing="1"/>
      <w:widowControl/>
    </w:pPr>
    <w:rPr>
      <w:rFonts w:hint="eastAsia" w:ascii="宋体" w:hAnsi="宋体"/>
      <w:sz w:val="18"/>
      <w:szCs w:val="18"/>
    </w:rPr>
  </w:style>
  <w:style w:type="paragraph" w:styleId="840">
    <w:name w:val=" Char Char Char Char"/>
    <w:basedOn w:val="774"/>
    <w:next w:val="840"/>
    <w:link w:val="748"/>
    <w:pPr>
      <w:spacing w:line="360" w:lineRule="auto"/>
    </w:pPr>
    <w:rPr>
      <w:rFonts w:ascii="Tahoma" w:hAnsi="Tahoma"/>
      <w:sz w:val="24"/>
      <w:szCs w:val="24"/>
    </w:rPr>
  </w:style>
  <w:style w:type="paragraph" w:styleId="841">
    <w:name w:val="列出段落"/>
    <w:basedOn w:val="748"/>
    <w:next w:val="841"/>
    <w:link w:val="748"/>
    <w:qFormat/>
    <w:pPr>
      <w:contextualSpacing/>
      <w:ind w:left="720"/>
      <w:jc w:val="left"/>
      <w:widowControl/>
    </w:pPr>
    <w:rPr>
      <w:rFonts w:ascii="Calibri" w:hAnsi="Calibri"/>
      <w:sz w:val="24"/>
      <w:szCs w:val="24"/>
      <w:lang w:eastAsia="en-US" w:bidi="en-US"/>
    </w:rPr>
  </w:style>
  <w:style w:type="paragraph" w:styleId="842">
    <w:name w:val="4"/>
    <w:basedOn w:val="748"/>
    <w:next w:val="804"/>
    <w:link w:val="748"/>
    <w:pPr>
      <w:ind w:firstLine="420"/>
      <w:spacing w:line="360" w:lineRule="auto"/>
    </w:pPr>
    <w:rPr>
      <w:color w:val="ff0000"/>
      <w:sz w:val="24"/>
      <w:szCs w:val="24"/>
    </w:rPr>
  </w:style>
  <w:style w:type="paragraph" w:styleId="843">
    <w:name w:val="普通 (Web)"/>
    <w:basedOn w:val="748"/>
    <w:next w:val="843"/>
    <w:link w:val="748"/>
    <w:pPr>
      <w:jc w:val="left"/>
      <w:spacing w:before="100" w:beforeAutospacing="1" w:after="100" w:afterAutospacing="1"/>
      <w:widowControl/>
    </w:pPr>
    <w:rPr>
      <w:rFonts w:ascii="宋体" w:hAnsi="宋体"/>
      <w:sz w:val="24"/>
      <w:szCs w:val="24"/>
    </w:rPr>
  </w:style>
  <w:style w:type="paragraph" w:styleId="844">
    <w:name w:val=" Char Char Char Char Char Char Char Char Char Char"/>
    <w:basedOn w:val="748"/>
    <w:next w:val="844"/>
    <w:link w:val="748"/>
    <w:pPr>
      <w:spacing w:line="360" w:lineRule="auto"/>
    </w:pPr>
    <w:rPr>
      <w:sz w:val="24"/>
      <w:szCs w:val="20"/>
    </w:rPr>
  </w:style>
  <w:style w:type="paragraph" w:styleId="845">
    <w:name w:val="样式1"/>
    <w:basedOn w:val="748"/>
    <w:next w:val="845"/>
    <w:link w:val="748"/>
    <w:pPr>
      <w:numPr>
        <w:ilvl w:val="0"/>
        <w:numId w:val="3"/>
      </w:numPr>
      <w:tabs>
        <w:tab w:val="left" w:pos="709" w:leader="none"/>
      </w:tabs>
    </w:pPr>
    <w:rPr>
      <w:rFonts w:ascii="宋体" w:hAnsi="宋体"/>
    </w:rPr>
  </w:style>
  <w:style w:type="paragraph" w:styleId="846">
    <w:name w:val="font6"/>
    <w:basedOn w:val="748"/>
    <w:next w:val="846"/>
    <w:link w:val="748"/>
    <w:pPr>
      <w:jc w:val="left"/>
      <w:spacing w:before="100" w:beforeAutospacing="1" w:after="100" w:afterAutospacing="1"/>
      <w:widowControl/>
    </w:pPr>
    <w:rPr>
      <w:rFonts w:hint="eastAsia" w:ascii="宋体" w:hAnsi="宋体"/>
      <w:sz w:val="28"/>
      <w:szCs w:val="28"/>
      <w:u w:val="single"/>
    </w:rPr>
  </w:style>
  <w:style w:type="paragraph" w:styleId="847">
    <w:name w:val="xl25"/>
    <w:basedOn w:val="748"/>
    <w:next w:val="847"/>
    <w:link w:val="74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8">
    <w:name w:val="图标"/>
    <w:basedOn w:val="748"/>
    <w:next w:val="748"/>
    <w:link w:val="74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9">
    <w:name w:val="标题3"/>
    <w:basedOn w:val="748"/>
    <w:next w:val="748"/>
    <w:link w:val="748"/>
    <w:pPr>
      <w:ind w:firstLine="624"/>
      <w:spacing w:line="590" w:lineRule="atLeast"/>
    </w:pPr>
    <w:rPr>
      <w:rFonts w:ascii="方正黑体_GBK" w:eastAsia="方正黑体_GBK"/>
      <w:sz w:val="32"/>
      <w:szCs w:val="32"/>
    </w:rPr>
  </w:style>
  <w:style w:type="paragraph" w:styleId="850">
    <w:name w:val="xl24"/>
    <w:basedOn w:val="748"/>
    <w:next w:val="850"/>
    <w:link w:val="7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1">
    <w:name w:val="xl29"/>
    <w:basedOn w:val="748"/>
    <w:next w:val="851"/>
    <w:link w:val="74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2">
    <w:name w:val="Char Char Char Char Char Char Char Char"/>
    <w:basedOn w:val="748"/>
    <w:next w:val="852"/>
    <w:link w:val="748"/>
    <w:pPr>
      <w:jc w:val="left"/>
      <w:spacing w:after="160" w:line="240" w:lineRule="exact"/>
      <w:widowControl/>
    </w:pPr>
    <w:rPr>
      <w:rFonts w:ascii="Verdana" w:hAnsi="Verdana"/>
      <w:sz w:val="20"/>
      <w:szCs w:val="20"/>
      <w:lang w:eastAsia="en-US"/>
    </w:rPr>
  </w:style>
  <w:style w:type="paragraph" w:styleId="853">
    <w:name w:val="xl28"/>
    <w:basedOn w:val="748"/>
    <w:next w:val="853"/>
    <w:link w:val="74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4">
    <w:name w:val=" Char Char Char Char Char Char Char Char"/>
    <w:basedOn w:val="748"/>
    <w:next w:val="854"/>
    <w:link w:val="748"/>
    <w:pPr>
      <w:jc w:val="left"/>
      <w:spacing w:after="160" w:line="240" w:lineRule="exact"/>
      <w:widowControl/>
    </w:pPr>
    <w:rPr>
      <w:rFonts w:ascii="Verdana" w:hAnsi="Verdana"/>
      <w:sz w:val="20"/>
      <w:szCs w:val="20"/>
      <w:lang w:eastAsia="en-US"/>
    </w:rPr>
  </w:style>
  <w:style w:type="paragraph" w:styleId="855">
    <w:name w:val="xl30"/>
    <w:basedOn w:val="748"/>
    <w:next w:val="855"/>
    <w:link w:val="748"/>
    <w:pPr>
      <w:jc w:val="center"/>
      <w:spacing w:before="100" w:beforeAutospacing="1" w:after="100" w:afterAutospacing="1"/>
      <w:widowControl/>
    </w:pPr>
    <w:rPr>
      <w:rFonts w:ascii="宋体" w:hAnsi="宋体"/>
      <w:b/>
      <w:bCs/>
      <w:sz w:val="36"/>
      <w:szCs w:val="36"/>
    </w:rPr>
  </w:style>
  <w:style w:type="paragraph" w:styleId="856">
    <w:name w:val="Char Char Char Char"/>
    <w:basedOn w:val="774"/>
    <w:next w:val="856"/>
    <w:link w:val="748"/>
    <w:pPr>
      <w:spacing w:line="360" w:lineRule="auto"/>
    </w:pPr>
    <w:rPr>
      <w:rFonts w:ascii="Tahoma" w:hAnsi="Tahoma"/>
      <w:sz w:val="24"/>
      <w:szCs w:val="24"/>
    </w:rPr>
  </w:style>
  <w:style w:type="paragraph" w:styleId="857">
    <w:name w:val="table_1stline"/>
    <w:basedOn w:val="748"/>
    <w:next w:val="857"/>
    <w:link w:val="748"/>
    <w:pPr>
      <w:jc w:val="left"/>
      <w:spacing w:before="120"/>
      <w:widowControl/>
    </w:pPr>
    <w:rPr>
      <w:bCs/>
      <w:sz w:val="20"/>
      <w:szCs w:val="20"/>
      <w:lang w:val="de-DE" w:eastAsia="de-DE"/>
    </w:rPr>
  </w:style>
  <w:style w:type="paragraph" w:styleId="858">
    <w:name w:val="font5"/>
    <w:basedOn w:val="748"/>
    <w:next w:val="858"/>
    <w:link w:val="748"/>
    <w:pPr>
      <w:jc w:val="left"/>
      <w:spacing w:before="100" w:beforeAutospacing="1" w:after="100" w:afterAutospacing="1"/>
      <w:widowControl/>
    </w:pPr>
    <w:rPr>
      <w:rFonts w:hint="eastAsia" w:ascii="宋体" w:hAnsi="宋体"/>
      <w:sz w:val="28"/>
      <w:szCs w:val="28"/>
    </w:rPr>
  </w:style>
  <w:style w:type="paragraph" w:styleId="859">
    <w:name w:val="标题1"/>
    <w:basedOn w:val="748"/>
    <w:next w:val="748"/>
    <w:link w:val="748"/>
    <w:pPr>
      <w:jc w:val="center"/>
      <w:spacing w:line="700" w:lineRule="atLeast"/>
      <w:tabs>
        <w:tab w:val="left" w:pos="9193" w:leader="none"/>
        <w:tab w:val="left" w:pos="9827" w:leader="none"/>
      </w:tabs>
    </w:pPr>
    <w:rPr>
      <w:rFonts w:ascii="方正小标宋_GBK" w:eastAsia="方正小标宋_GBK"/>
      <w:sz w:val="44"/>
      <w:szCs w:val="20"/>
    </w:rPr>
  </w:style>
  <w:style w:type="paragraph" w:styleId="860">
    <w:name w:val="修订"/>
    <w:next w:val="860"/>
    <w:link w:val="748"/>
    <w:uiPriority w:val="99"/>
    <w:semiHidden/>
    <w:rPr>
      <w:rFonts w:ascii="Times New Roman" w:hAnsi="Times New Roman"/>
      <w:sz w:val="21"/>
      <w:szCs w:val="21"/>
      <w:lang w:val="en-US" w:eastAsia="zh-CN" w:bidi="ar-SA"/>
    </w:rPr>
  </w:style>
  <w:style w:type="paragraph" w:styleId="861">
    <w:name w:val="无间隔"/>
    <w:next w:val="861"/>
    <w:link w:val="748"/>
    <w:uiPriority w:val="99"/>
    <w:qFormat/>
    <w:pPr>
      <w:jc w:val="both"/>
      <w:widowControl w:val="off"/>
    </w:pPr>
    <w:rPr>
      <w:rFonts w:ascii="Times New Roman" w:hAnsi="Times New Roman"/>
      <w:sz w:val="21"/>
      <w:szCs w:val="21"/>
      <w:lang w:val="en-US" w:eastAsia="zh-CN" w:bidi="ar-SA"/>
    </w:rPr>
  </w:style>
  <w:style w:type="table" w:styleId="862">
    <w:name w:val="网格型1"/>
    <w:basedOn w:val="759"/>
    <w:next w:val="862"/>
    <w:link w:val="748"/>
    <w:uiPriority w:val="59"/>
    <w:qFormat/>
    <w:rPr>
      <w:rFonts w:ascii="Times New Roman" w:hAnsi="Times New Roman"/>
    </w:rPr>
    <w:tblPr/>
  </w:style>
  <w:style w:type="table" w:styleId="863">
    <w:name w:val="网格型2"/>
    <w:basedOn w:val="759"/>
    <w:next w:val="863"/>
    <w:link w:val="748"/>
    <w:uiPriority w:val="59"/>
    <w:qFormat/>
    <w:rPr>
      <w:rFonts w:ascii="Times New Roman" w:hAnsi="Times New Roman"/>
    </w:rPr>
    <w:tblPr/>
  </w:style>
  <w:style w:type="table" w:styleId="864">
    <w:name w:val="网格型3"/>
    <w:next w:val="864"/>
    <w:link w:val="748"/>
    <w:uiPriority w:val="59"/>
    <w:qFormat/>
    <w:rPr>
      <w:rFonts w:ascii="永中宋体" w:hAnsi="永中宋体" w:cs="永中宋体"/>
      <w:lang w:val="en-US" w:eastAsia="zh-CN" w:bidi="ar-SA"/>
    </w:rPr>
    <w:tblPr/>
  </w:style>
  <w:style w:type="table" w:styleId="865">
    <w:name w:val="网格型11"/>
    <w:next w:val="865"/>
    <w:link w:val="748"/>
    <w:uiPriority w:val="59"/>
    <w:qFormat/>
    <w:rPr>
      <w:rFonts w:ascii="永中宋体" w:hAnsi="永中宋体" w:cs="永中宋体"/>
      <w:lang w:val="en-US" w:eastAsia="zh-CN" w:bidi="ar-SA"/>
    </w:rPr>
    <w:tblPr/>
  </w:style>
  <w:style w:type="table" w:styleId="866">
    <w:name w:val="网格型4"/>
    <w:next w:val="866"/>
    <w:link w:val="748"/>
    <w:uiPriority w:val="59"/>
    <w:qFormat/>
    <w:rPr>
      <w:rFonts w:ascii="永中宋体" w:hAnsi="永中宋体" w:cs="永中宋体"/>
      <w:lang w:val="en-US" w:eastAsia="zh-CN" w:bidi="ar-SA"/>
    </w:rPr>
    <w:tblPr/>
  </w:style>
  <w:style w:type="table" w:styleId="867">
    <w:name w:val="网格型12"/>
    <w:next w:val="867"/>
    <w:link w:val="748"/>
    <w:uiPriority w:val="59"/>
    <w:qFormat/>
    <w:rPr>
      <w:rFonts w:ascii="永中宋体" w:hAnsi="永中宋体" w:cs="永中宋体"/>
      <w:lang w:val="en-US" w:eastAsia="zh-CN" w:bidi="ar-SA"/>
    </w:rPr>
    <w:tblPr/>
  </w:style>
  <w:style w:type="table" w:styleId="868">
    <w:name w:val="网格型5"/>
    <w:next w:val="868"/>
    <w:link w:val="748"/>
    <w:uiPriority w:val="59"/>
    <w:qFormat/>
    <w:rPr>
      <w:rFonts w:ascii="永中宋体" w:hAnsi="永中宋体" w:cs="永中宋体"/>
      <w:lang w:val="en-US" w:eastAsia="zh-CN" w:bidi="ar-SA"/>
    </w:rPr>
    <w:tblPr/>
  </w:style>
  <w:style w:type="character" w:styleId="26517" w:default="1">
    <w:name w:val="Default Paragraph Font"/>
    <w:uiPriority w:val="1"/>
    <w:semiHidden/>
    <w:unhideWhenUsed/>
  </w:style>
  <w:style w:type="numbering" w:styleId="26518" w:default="1">
    <w:name w:val="No List"/>
    <w:uiPriority w:val="99"/>
    <w:semiHidden/>
    <w:unhideWhenUsed/>
  </w:style>
  <w:style w:type="table" w:styleId="265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dc:creator>
  <cp:lastModifiedBy>张文怡</cp:lastModifiedBy>
  <cp:revision>10</cp:revision>
  <dcterms:created xsi:type="dcterms:W3CDTF">2026-09-28T02:32:00Z</dcterms:created>
  <dcterms:modified xsi:type="dcterms:W3CDTF">2026-09-29T07:20:58Z</dcterms:modified>
  <cp:version>917504</cp:version>
</cp:coreProperties>
</file>