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left"/>
        <w:rPr>
          <w:highlight w:val="none"/>
        </w:rPr>
      </w:pPr>
      <w:r>
        <w:rPr>
          <w:highlight w:val="none"/>
        </w:rPr>
      </w:r>
      <w:r/>
    </w:p>
    <w:p>
      <w:pPr>
        <w:pStyle w:val="768"/>
        <w:rPr>
          <w:highlight w:val="none"/>
        </w:rPr>
      </w:pPr>
      <w:r/>
      <w:bookmarkStart w:id="0" w:name="EB3ace3d43b98b41779337deb808be6fa3"/>
      <w:r>
        <w:rPr>
          <w:rFonts w:hint="eastAsia"/>
          <w:sz w:val="20"/>
          <w:highlight w:val="none"/>
        </w:rPr>
        <w:t xml:space="preserve"> </w:t>
      </w:r>
      <w:bookmarkEnd w:id="0"/>
      <w:r/>
      <w:bookmarkStart w:id="1" w:name="EB57dd2a69e2b54b0cb3f5c2f03a1ab7bf"/>
      <w:r>
        <w:rPr>
          <w:rFonts w:hint="eastAsia"/>
          <w:sz w:val="20"/>
          <w:highlight w:val="none"/>
        </w:rPr>
        <w:t xml:space="preserve"> </w:t>
      </w:r>
      <w:bookmarkEnd w:id="1"/>
      <w:r>
        <w:rPr>
          <w:highlight w:val="none"/>
        </w:rPr>
      </w:r>
      <w:r/>
    </w:p>
    <w:p>
      <w:pPr>
        <w:pStyle w:val="768"/>
        <w:rPr>
          <w:highlight w:val="none"/>
        </w:rPr>
      </w:pPr>
      <w:r>
        <w:rPr>
          <w:highlight w:val="none"/>
        </w:rPr>
      </w:r>
      <w:r/>
    </w:p>
    <w:p>
      <w:pPr>
        <w:pStyle w:val="768"/>
        <w:jc w:val="center"/>
        <w:spacing w:before="120" w:after="120" w:line="360" w:lineRule="auto"/>
        <w:rPr>
          <w:rFonts w:hint="eastAsia" w:ascii="Arial" w:hAnsi="Arial" w:eastAsia="黑体" w:cs="黑体"/>
          <w:b/>
          <w:sz w:val="84"/>
          <w:szCs w:val="24"/>
          <w:highlight w:val="none"/>
          <w:lang w:bidi="ar"/>
        </w:rPr>
      </w:pPr>
      <w:r>
        <w:rPr>
          <w:rFonts w:hint="eastAsia" w:ascii="Arial" w:hAnsi="Arial" w:eastAsia="黑体" w:cs="黑体"/>
          <w:b/>
          <w:sz w:val="84"/>
          <w:szCs w:val="24"/>
          <w:highlight w:val="none"/>
          <w:lang w:bidi="ar"/>
        </w:rPr>
        <w:t xml:space="preserve">招　标　文　件</w:t>
      </w:r>
      <w:r>
        <w:rPr>
          <w:rFonts w:hint="eastAsia" w:ascii="Arial" w:hAnsi="Arial" w:eastAsia="黑体" w:cs="黑体"/>
          <w:b/>
          <w:sz w:val="84"/>
          <w:szCs w:val="24"/>
          <w:highlight w:val="none"/>
          <w:lang w:bidi="ar"/>
        </w:rPr>
      </w:r>
      <w:r/>
    </w:p>
    <w:p>
      <w:pPr>
        <w:pStyle w:val="768"/>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68"/>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68"/>
        <w:ind w:firstLine="1506"/>
        <w:rPr>
          <w:rFonts w:hint="eastAsia"/>
          <w:b/>
          <w:sz w:val="30"/>
          <w:szCs w:val="30"/>
          <w:highlight w:val="none"/>
        </w:rPr>
      </w:pPr>
      <w:r>
        <w:rPr>
          <w:rFonts w:hint="eastAsia" w:ascii="Times New Roman" w:hAnsi="Times New Roman" w:cs="宋体"/>
          <w:b/>
          <w:sz w:val="30"/>
          <w:szCs w:val="30"/>
          <w:highlight w:val="none"/>
          <w:lang w:bidi="ar"/>
        </w:rPr>
        <w:t xml:space="preserve">项目名称：</w:t>
      </w:r>
      <w:r>
        <w:rPr>
          <w:rFonts w:hint="eastAsia" w:ascii="Times New Roman" w:hAnsi="Times New Roman"/>
          <w:b/>
          <w:sz w:val="30"/>
          <w:szCs w:val="30"/>
          <w:highlight w:val="none"/>
          <w:lang w:eastAsia="zh-CN" w:bidi="ar"/>
        </w:rPr>
        <w:t xml:space="preserve">泗洪县太平实验学校体育设施改造项目</w:t>
      </w:r>
      <w:r>
        <w:rPr>
          <w:rFonts w:hint="eastAsia" w:ascii="Times New Roman" w:hAnsi="Times New Roman" w:cs="宋体"/>
          <w:b/>
          <w:sz w:val="30"/>
          <w:szCs w:val="30"/>
          <w:highlight w:val="none"/>
          <w:lang w:bidi="ar"/>
        </w:rPr>
        <w:t xml:space="preserve"> </w:t>
      </w:r>
      <w:r>
        <w:rPr>
          <w:rFonts w:hint="eastAsia"/>
          <w:b/>
          <w:sz w:val="30"/>
          <w:szCs w:val="30"/>
          <w:highlight w:val="none"/>
        </w:rPr>
      </w:r>
      <w:r/>
    </w:p>
    <w:p>
      <w:pPr>
        <w:pStyle w:val="768"/>
        <w:ind w:firstLine="1506"/>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68"/>
        <w:ind w:firstLine="1506"/>
        <w:rPr>
          <w:rFonts w:hint="eastAsia" w:ascii="Times New Roman" w:hAnsi="Times New Roman" w:eastAsia="宋体" w:cs="宋体"/>
          <w:b/>
          <w:sz w:val="30"/>
          <w:szCs w:val="30"/>
          <w:highlight w:val="none"/>
          <w:lang w:eastAsia="zh-CN" w:bidi="ar"/>
        </w:rPr>
      </w:pPr>
      <w:r>
        <w:rPr>
          <w:rFonts w:hint="eastAsia" w:ascii="Times New Roman" w:hAnsi="Times New Roman" w:cs="宋体"/>
          <w:b/>
          <w:sz w:val="30"/>
          <w:szCs w:val="30"/>
          <w:highlight w:val="none"/>
          <w:lang w:bidi="ar"/>
        </w:rPr>
        <w:t xml:space="preserve">项目编号：</w:t>
      </w:r>
      <w:r>
        <w:rPr>
          <w:rFonts w:hint="eastAsia" w:ascii="Times New Roman" w:hAnsi="Times New Roman" w:cs="宋体"/>
          <w:b/>
          <w:sz w:val="30"/>
          <w:szCs w:val="30"/>
          <w:highlight w:val="none"/>
          <w:lang w:val="en-US" w:eastAsia="zh-CN" w:bidi="ar"/>
        </w:rPr>
        <w:t xml:space="preserve"> JSZC-321324-JSSL-G2026-0007</w:t>
      </w:r>
      <w:r>
        <w:rPr>
          <w:rFonts w:hint="eastAsia" w:ascii="Times New Roman" w:hAnsi="Times New Roman" w:eastAsia="宋体" w:cs="宋体"/>
          <w:b/>
          <w:sz w:val="30"/>
          <w:szCs w:val="30"/>
          <w:highlight w:val="none"/>
          <w:lang w:eastAsia="zh-CN" w:bidi="ar"/>
        </w:rPr>
      </w:r>
      <w:r/>
    </w:p>
    <w:p>
      <w:pPr>
        <w:pStyle w:val="768"/>
        <w:ind w:left="2800" w:hanging="2800"/>
        <w:rPr>
          <w:rFonts w:ascii="Times New Roman" w:hAnsi="Times New Roman"/>
          <w:sz w:val="28"/>
          <w:szCs w:val="28"/>
          <w:highlight w:val="none"/>
          <w:lang w:bidi="ar"/>
        </w:rPr>
      </w:pPr>
      <w:r>
        <w:rPr>
          <w:rFonts w:ascii="Times New Roman" w:hAnsi="Times New Roman"/>
          <w:sz w:val="28"/>
          <w:szCs w:val="28"/>
          <w:highlight w:val="none"/>
          <w:lang w:bidi="ar"/>
        </w:rPr>
      </w:r>
      <w:r/>
    </w:p>
    <w:p>
      <w:pPr>
        <w:pStyle w:val="768"/>
        <w:ind w:left="2800" w:hanging="2800"/>
        <w:rPr>
          <w:b/>
          <w:sz w:val="28"/>
          <w:szCs w:val="28"/>
          <w:highlight w:val="none"/>
        </w:rPr>
      </w:pPr>
      <w:r>
        <w:rPr>
          <w:rFonts w:ascii="Times New Roman" w:hAnsi="Times New Roman"/>
          <w:sz w:val="28"/>
          <w:szCs w:val="28"/>
          <w:highlight w:val="none"/>
          <w:lang w:bidi="ar"/>
        </w:rPr>
        <w:t xml:space="preserve">       </w:t>
      </w:r>
      <w:r>
        <w:rPr>
          <w:rFonts w:hint="eastAsia" w:ascii="Times New Roman" w:hAnsi="Times New Roman"/>
          <w:sz w:val="28"/>
          <w:szCs w:val="28"/>
          <w:highlight w:val="none"/>
          <w:lang w:bidi="ar"/>
        </w:rPr>
        <w:t xml:space="preserve">   </w:t>
      </w:r>
      <w:r>
        <w:rPr>
          <w:rFonts w:ascii="Times New Roman" w:hAnsi="Times New Roman"/>
          <w:b/>
          <w:sz w:val="28"/>
          <w:szCs w:val="28"/>
          <w:highlight w:val="none"/>
          <w:lang w:bidi="ar"/>
        </w:rPr>
        <w:t xml:space="preserve"> </w:t>
      </w:r>
      <w:r>
        <w:rPr>
          <w:b/>
          <w:sz w:val="28"/>
          <w:szCs w:val="28"/>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68"/>
              <w:jc w:val="left"/>
              <w:spacing w:line="500" w:lineRule="exact"/>
              <w:rPr>
                <w:rFonts w:ascii="仿宋" w:hAnsi="仿宋" w:eastAsia="仿宋" w:cs="仿宋"/>
                <w:sz w:val="24"/>
                <w:szCs w:val="24"/>
                <w:highlight w:val="none"/>
              </w:rPr>
              <w:framePr w:vAnchor="text" w:hAnchor="page" w:x="2413" w:y="466"/>
            </w:pPr>
            <w:r>
              <w:rPr>
                <w:rFonts w:hint="eastAsia" w:ascii="Times New Roman" w:hAnsi="Times New Roman"/>
                <w:b/>
                <w:bCs/>
                <w:spacing w:val="45"/>
                <w:sz w:val="32"/>
                <w:szCs w:val="24"/>
                <w:highlight w:val="none"/>
              </w:rPr>
              <w:t xml:space="preserve">采  购 人</w:t>
            </w:r>
            <w:r>
              <w:rPr>
                <w:rFonts w:hint="eastAsia" w:ascii="Times New Roman" w:hAnsi="Times New Roman"/>
                <w:b/>
                <w:bCs/>
                <w:spacing w:val="1"/>
                <w:sz w:val="32"/>
                <w:szCs w:val="24"/>
                <w:highlight w:val="none"/>
              </w:rPr>
              <w:t xml:space="preserve">：</w:t>
            </w:r>
            <w:r>
              <w:rPr>
                <w:rFonts w:ascii="仿宋" w:hAnsi="仿宋" w:eastAsia="仿宋" w:cs="仿宋"/>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68"/>
              <w:jc w:val="left"/>
              <w:spacing w:line="500" w:lineRule="exact"/>
              <w:rPr>
                <w:rFonts w:hint="eastAsia" w:ascii="仿宋" w:hAnsi="仿宋" w:eastAsia="宋体" w:cs="仿宋"/>
                <w:sz w:val="24"/>
                <w:szCs w:val="24"/>
                <w:highlight w:val="none"/>
                <w:lang w:eastAsia="zh-CN"/>
              </w:rPr>
              <w:framePr w:vAnchor="text" w:hAnchor="page" w:x="2413" w:y="466"/>
            </w:pPr>
            <w:r>
              <w:rPr>
                <w:rFonts w:hint="eastAsia" w:ascii="Times New Roman" w:hAnsi="Times New Roman"/>
                <w:b/>
                <w:bCs/>
                <w:spacing w:val="45"/>
                <w:sz w:val="32"/>
                <w:szCs w:val="24"/>
                <w:highlight w:val="none"/>
                <w:lang w:eastAsia="zh-CN"/>
              </w:rPr>
              <w:t xml:space="preserve">泗洪县太平实验学校</w:t>
            </w:r>
            <w:r>
              <w:rPr>
                <w:rFonts w:hint="eastAsia" w:ascii="仿宋" w:hAnsi="仿宋" w:eastAsia="宋体" w:cs="仿宋"/>
                <w:sz w:val="24"/>
                <w:szCs w:val="24"/>
                <w:highlight w:val="none"/>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68"/>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z w:val="32"/>
                <w:szCs w:val="24"/>
                <w:highlight w:val="none"/>
              </w:rPr>
              <w:t xml:space="preserve">采购代理机构：</w:t>
            </w:r>
            <w:r>
              <w:rPr>
                <w:rFonts w:hint="eastAsia" w:ascii="Times New Roman" w:hAnsi="Times New Roman"/>
                <w:b/>
                <w:bCs/>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68"/>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pacing w:val="45"/>
                <w:sz w:val="32"/>
                <w:szCs w:val="24"/>
                <w:highlight w:val="none"/>
              </w:rPr>
              <w:t xml:space="preserve">江苏盛力项目管理有限</w:t>
            </w:r>
            <w:r>
              <w:rPr>
                <w:rFonts w:hint="eastAsia" w:ascii="Times New Roman" w:hAnsi="Times New Roman"/>
                <w:b/>
                <w:bCs/>
                <w:spacing w:val="45"/>
                <w:sz w:val="32"/>
                <w:szCs w:val="24"/>
                <w:highlight w:val="none"/>
              </w:rPr>
            </w:r>
            <w:r/>
          </w:p>
          <w:p>
            <w:pPr>
              <w:pStyle w:val="768"/>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pacing w:val="45"/>
                <w:sz w:val="32"/>
                <w:szCs w:val="24"/>
                <w:highlight w:val="none"/>
              </w:rPr>
              <w:t xml:space="preserve">公司</w:t>
            </w:r>
            <w:r>
              <w:rPr>
                <w:rFonts w:hint="eastAsia" w:ascii="Times New Roman" w:hAnsi="Times New Roman"/>
                <w:b/>
                <w:bCs/>
                <w:spacing w:val="45"/>
                <w:sz w:val="32"/>
                <w:szCs w:val="24"/>
                <w:highlight w:val="none"/>
              </w:rPr>
            </w:r>
            <w:r/>
          </w:p>
        </w:tc>
      </w:tr>
    </w:tbl>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ind w:firstLine="964"/>
        <w:jc w:val="left"/>
        <w:spacing w:before="120" w:after="120" w:line="360" w:lineRule="auto"/>
        <w:rPr>
          <w:rFonts w:ascii="Arial" w:hAnsi="Arial"/>
          <w:b/>
          <w:sz w:val="32"/>
          <w:szCs w:val="24"/>
          <w:highlight w:val="none"/>
        </w:rPr>
      </w:pPr>
      <w:r>
        <w:rPr>
          <w:rFonts w:hint="eastAsia" w:ascii="Times New Roman" w:hAnsi="Times New Roman"/>
          <w:b/>
          <w:bCs/>
          <w:sz w:val="32"/>
          <w:szCs w:val="24"/>
          <w:highlight w:val="none"/>
        </w:rPr>
        <w:t xml:space="preserve"> </w:t>
      </w:r>
      <w:r>
        <w:rPr>
          <w:rFonts w:ascii="Arial" w:hAnsi="Arial"/>
          <w:b/>
          <w:sz w:val="32"/>
          <w:szCs w:val="24"/>
          <w:highlight w:val="none"/>
        </w:rPr>
      </w:r>
      <w:r/>
    </w:p>
    <w:p>
      <w:pPr>
        <w:pStyle w:val="768"/>
        <w:jc w:val="center"/>
        <w:spacing w:before="120" w:after="120" w:line="360" w:lineRule="auto"/>
        <w:rPr>
          <w:rFonts w:ascii="Arial" w:hAnsi="Arial"/>
          <w:b/>
          <w:sz w:val="32"/>
          <w:szCs w:val="24"/>
          <w:highlight w:val="none"/>
        </w:rPr>
      </w:pPr>
      <w:r>
        <w:rPr>
          <w:rFonts w:ascii="Arial" w:hAnsi="Arial"/>
          <w:b/>
          <w:sz w:val="32"/>
          <w:szCs w:val="24"/>
          <w:highlight w:val="none"/>
          <w:lang w:bidi="ar"/>
        </w:rPr>
        <w:t xml:space="preserve">202</w:t>
      </w:r>
      <w:r>
        <w:rPr>
          <w:rFonts w:hint="eastAsia" w:ascii="Arial" w:hAnsi="Arial"/>
          <w:b/>
          <w:sz w:val="32"/>
          <w:szCs w:val="24"/>
          <w:highlight w:val="none"/>
          <w:lang w:val="en-US" w:eastAsia="zh-CN" w:bidi="ar"/>
        </w:rPr>
        <w:t xml:space="preserve">6</w:t>
      </w:r>
      <w:r>
        <w:rPr>
          <w:rFonts w:hint="eastAsia" w:ascii="Arial" w:hAnsi="Arial" w:cs="宋体"/>
          <w:b/>
          <w:sz w:val="32"/>
          <w:szCs w:val="24"/>
          <w:highlight w:val="none"/>
          <w:lang w:bidi="ar"/>
        </w:rPr>
        <w:t xml:space="preserve">年</w:t>
      </w:r>
      <w:r>
        <w:rPr>
          <w:rFonts w:hint="eastAsia" w:ascii="Arial" w:hAnsi="Arial" w:cs="宋体"/>
          <w:b/>
          <w:sz w:val="32"/>
          <w:szCs w:val="24"/>
          <w:highlight w:val="none"/>
          <w:lang w:val="en-US" w:eastAsia="zh-CN" w:bidi="ar"/>
        </w:rPr>
        <w:t xml:space="preserve">1</w:t>
      </w:r>
      <w:r>
        <w:rPr>
          <w:rFonts w:hint="eastAsia" w:ascii="Arial" w:hAnsi="Arial" w:cs="宋体"/>
          <w:b/>
          <w:sz w:val="32"/>
          <w:szCs w:val="24"/>
          <w:highlight w:val="none"/>
          <w:lang w:val="en-US" w:eastAsia="zh-CN" w:bidi="ar"/>
        </w:rPr>
        <w:t xml:space="preserve">0</w:t>
      </w:r>
      <w:r>
        <w:rPr>
          <w:rFonts w:hint="eastAsia" w:ascii="Arial" w:hAnsi="Arial" w:cs="宋体"/>
          <w:b/>
          <w:sz w:val="32"/>
          <w:szCs w:val="24"/>
          <w:highlight w:val="none"/>
          <w:lang w:bidi="ar"/>
        </w:rPr>
        <w:t xml:space="preserve">月</w:t>
      </w:r>
      <w:r>
        <w:rPr>
          <w:rFonts w:hint="eastAsia" w:ascii="Arial" w:hAnsi="Arial" w:cs="宋体"/>
          <w:b/>
          <w:sz w:val="32"/>
          <w:szCs w:val="24"/>
          <w:highlight w:val="none"/>
          <w:lang w:val="en-US" w:eastAsia="zh-CN" w:bidi="ar"/>
        </w:rPr>
        <w:t xml:space="preserve">2</w:t>
      </w:r>
      <w:r>
        <w:rPr>
          <w:rFonts w:hint="eastAsia" w:ascii="Arial" w:hAnsi="Arial" w:cs="宋体"/>
          <w:b/>
          <w:sz w:val="32"/>
          <w:szCs w:val="24"/>
          <w:highlight w:val="none"/>
          <w:lang w:val="en-US" w:eastAsia="zh-CN" w:bidi="ar"/>
        </w:rPr>
        <w:t xml:space="preserve">2</w:t>
      </w:r>
      <w:r>
        <w:rPr>
          <w:rFonts w:hint="eastAsia" w:ascii="Arial" w:hAnsi="Arial" w:cs="宋体"/>
          <w:b/>
          <w:sz w:val="32"/>
          <w:szCs w:val="24"/>
          <w:highlight w:val="none"/>
          <w:lang w:bidi="ar"/>
        </w:rPr>
        <w:t xml:space="preserve">日</w:t>
      </w:r>
      <w:r>
        <w:rPr>
          <w:rFonts w:ascii="Arial" w:hAnsi="Arial"/>
          <w:b/>
          <w:sz w:val="32"/>
          <w:szCs w:val="24"/>
          <w:highlight w:val="none"/>
        </w:rPr>
      </w:r>
      <w:r/>
    </w:p>
    <w:p>
      <w:pPr>
        <w:pStyle w:val="768"/>
        <w:jc w:val="center"/>
        <w:spacing w:before="120" w:after="120" w:line="360" w:lineRule="auto"/>
        <w:rPr>
          <w:rFonts w:ascii="Arial" w:hAnsi="Arial"/>
          <w:b/>
          <w:sz w:val="32"/>
          <w:szCs w:val="24"/>
          <w:highlight w:val="none"/>
        </w:rPr>
      </w:pPr>
      <w:r>
        <w:rPr>
          <w:rFonts w:ascii="Arial" w:hAnsi="Arial"/>
          <w:b/>
          <w:sz w:val="32"/>
          <w:szCs w:val="24"/>
          <w:highlight w:val="none"/>
        </w:rPr>
      </w:r>
      <w:r/>
    </w:p>
    <w:p>
      <w:pPr>
        <w:pStyle w:val="768"/>
        <w:jc w:val="center"/>
        <w:keepLines/>
        <w:keepNext/>
        <w:pageBreakBefore/>
        <w:rPr>
          <w:b/>
          <w:sz w:val="44"/>
          <w:szCs w:val="44"/>
          <w:highlight w:val="none"/>
        </w:rPr>
      </w:pPr>
      <w:r>
        <w:rPr>
          <w:rFonts w:hint="eastAsia"/>
          <w:b/>
          <w:sz w:val="44"/>
          <w:szCs w:val="44"/>
          <w:highlight w:val="none"/>
        </w:rPr>
        <w:t xml:space="preserve">目 录</w:t>
      </w:r>
      <w:r>
        <w:rPr>
          <w:b/>
          <w:sz w:val="44"/>
          <w:szCs w:val="44"/>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highlight w:val="none"/>
        </w:rPr>
        <w:fldChar w:fldCharType="begin"/>
      </w:r>
      <w:r>
        <w:rPr>
          <w:highlight w:val="none"/>
        </w:rPr>
        <w:instrText xml:space="preserve">TOC \o "1-1" \h \u </w:instrText>
      </w:r>
      <w:r>
        <w:rPr>
          <w:highlight w:val="none"/>
        </w:rPr>
        <w:fldChar w:fldCharType="separate"/>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_Toc10813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第一章  投标邀请</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_Toc10813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_Toc9425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第二章  投标人须知</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_Toc9425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6</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_Toc17996 </w:instrText>
      </w:r>
      <w:r>
        <w:rPr>
          <w:rFonts w:ascii="Times New Roman" w:hAnsi="Times New Roman" w:eastAsia="黑体"/>
          <w:b w:val="0"/>
          <w:bCs w:val="0"/>
          <w:sz w:val="32"/>
          <w:highlight w:val="none"/>
        </w:rPr>
        <w:fldChar w:fldCharType="separate"/>
      </w:r>
      <w:r>
        <w:rPr>
          <w:rFonts w:hint="eastAsia" w:ascii="Times New Roman" w:hAnsi="Times New Roman" w:eastAsia="黑体" w:cs="Times New Roman"/>
          <w:b w:val="0"/>
          <w:bCs w:val="0"/>
          <w:sz w:val="32"/>
          <w:szCs w:val="44"/>
          <w:highlight w:val="none"/>
        </w:rPr>
        <w:t xml:space="preserve">第三章  资格审查及评标办法</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_Toc17996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23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hint="eastAsia"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_Toc22314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第四章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采购需求</w:t>
      </w:r>
      <w:r>
        <w:rPr>
          <w:rFonts w:ascii="Times New Roman" w:hAnsi="Times New Roman" w:eastAsia="黑体"/>
          <w:b w:val="0"/>
          <w:bCs w:val="0"/>
          <w:sz w:val="32"/>
          <w:highlight w:val="none"/>
        </w:rPr>
        <w:tab/>
      </w:r>
      <w:r>
        <w:rPr>
          <w:rFonts w:hint="eastAsia" w:ascii="Times New Roman" w:hAnsi="Times New Roman" w:eastAsia="黑体"/>
          <w:b w:val="0"/>
          <w:bCs w:val="0"/>
          <w:sz w:val="32"/>
          <w:highlight w:val="none"/>
        </w:rPr>
        <w:t xml:space="preserve">2</w:t>
      </w:r>
      <w:r>
        <w:rPr>
          <w:rFonts w:hint="eastAsia" w:ascii="Times New Roman" w:hAnsi="Times New Roman" w:eastAsia="黑体"/>
          <w:b w:val="0"/>
          <w:bCs w:val="0"/>
          <w:sz w:val="32"/>
          <w:highlight w:val="none"/>
          <w:lang w:val="en-US" w:eastAsia="zh-CN"/>
        </w:rPr>
        <w:t xml:space="preserve">9</w:t>
      </w:r>
      <w:r>
        <w:rPr>
          <w:rFonts w:ascii="Times New Roman" w:hAnsi="Times New Roman" w:eastAsia="黑体"/>
          <w:b w:val="0"/>
          <w:bCs w:val="0"/>
          <w:sz w:val="32"/>
          <w:highlight w:val="none"/>
        </w:rPr>
        <w:fldChar w:fldCharType="end"/>
      </w:r>
      <w:r>
        <w:rPr>
          <w:rFonts w:hint="eastAsia" w:ascii="Times New Roman" w:hAnsi="Times New Roman" w:eastAsia="黑体"/>
          <w:b w:val="0"/>
          <w:bCs w:val="0"/>
          <w:sz w:val="32"/>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_Toc2513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第五章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合同文本</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_Toc2513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84</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eastAsia="黑体"/>
          <w:highlight w:val="none"/>
          <w:lang w:val="en-US" w:eastAsia="zh-CN"/>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_Toc12937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第六章  投标文件格式</w:t>
      </w:r>
      <w:r>
        <w:rPr>
          <w:rFonts w:ascii="Times New Roman" w:hAnsi="Times New Roman" w:eastAsia="黑体"/>
          <w:b w:val="0"/>
          <w:bCs w:val="0"/>
          <w:sz w:val="32"/>
          <w:highlight w:val="none"/>
        </w:rPr>
        <w:tab/>
      </w:r>
      <w:r>
        <w:rPr>
          <w:rFonts w:hint="eastAsia" w:ascii="Times New Roman" w:hAnsi="Times New Roman" w:eastAsia="黑体"/>
          <w:b w:val="0"/>
          <w:bCs w:val="0"/>
          <w:sz w:val="32"/>
          <w:highlight w:val="none"/>
          <w:lang w:val="en-US" w:eastAsia="zh-CN"/>
        </w:rPr>
        <w:t xml:space="preserve">1</w:t>
      </w:r>
      <w:r>
        <w:rPr>
          <w:rFonts w:ascii="Times New Roman" w:hAnsi="Times New Roman" w:eastAsia="黑体"/>
          <w:b w:val="0"/>
          <w:bCs w:val="0"/>
          <w:sz w:val="32"/>
          <w:highlight w:val="none"/>
        </w:rPr>
        <w:fldChar w:fldCharType="end"/>
      </w:r>
      <w:r>
        <w:rPr>
          <w:rFonts w:hint="eastAsia" w:ascii="Times New Roman" w:hAnsi="Times New Roman" w:eastAsia="黑体"/>
          <w:b w:val="0"/>
          <w:bCs w:val="0"/>
          <w:sz w:val="32"/>
          <w:highlight w:val="none"/>
          <w:lang w:val="en-US" w:eastAsia="zh-CN"/>
        </w:rPr>
        <w:t xml:space="preserve">01</w:t>
      </w:r>
      <w:r>
        <w:rPr>
          <w:rFonts w:eastAsia="黑体"/>
          <w:highlight w:val="none"/>
          <w:lang w:val="en-US" w:eastAsia="zh-CN"/>
        </w:rPr>
      </w:r>
      <w:r/>
    </w:p>
    <w:p>
      <w:pPr>
        <w:pStyle w:val="768"/>
        <w:rPr>
          <w:highlight w:val="none"/>
        </w:rPr>
      </w:pPr>
      <w:r>
        <w:rPr>
          <w:highlight w:val="none"/>
        </w:rPr>
        <w:fldChar w:fldCharType="end"/>
      </w:r>
      <w:r>
        <w:rPr>
          <w:highlight w:val="none"/>
        </w:rPr>
      </w:r>
      <w:r/>
    </w:p>
    <w:p>
      <w:pPr>
        <w:pStyle w:val="768"/>
        <w:keepLines/>
        <w:keepNext/>
        <w:pageBreakBefore/>
        <w:rPr>
          <w:b/>
          <w:sz w:val="44"/>
          <w:szCs w:val="44"/>
          <w:highlight w:val="none"/>
        </w:rPr>
        <w:sectPr>
          <w:headerReference w:type="default" r:id="rId9"/>
          <w:footerReference w:type="default" r:id="rId11"/>
          <w:footerReference w:type="firs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Pr>
          <w:b/>
          <w:sz w:val="44"/>
          <w:szCs w:val="44"/>
          <w:highlight w:val="none"/>
        </w:rPr>
      </w:r>
      <w:r/>
    </w:p>
    <w:p>
      <w:pPr>
        <w:pStyle w:val="769"/>
        <w:jc w:val="center"/>
        <w:spacing w:before="200"/>
        <w:rPr>
          <w:rFonts w:hint="eastAsia" w:eastAsia="黑体"/>
          <w:sz w:val="44"/>
          <w:highlight w:val="none"/>
        </w:rPr>
      </w:pPr>
      <w:r/>
      <w:bookmarkStart w:id="4" w:name="_Toc30943"/>
      <w:r/>
      <w:bookmarkStart w:id="5" w:name="_Toc10813"/>
      <w:r/>
      <w:bookmarkStart w:id="6" w:name="_Toc25722"/>
      <w:r>
        <w:rPr>
          <w:rFonts w:hint="eastAsia" w:eastAsia="黑体"/>
          <w:sz w:val="44"/>
          <w:highlight w:val="none"/>
        </w:rPr>
        <w:t xml:space="preserve">第一部分</w:t>
      </w:r>
      <w:r>
        <w:rPr>
          <w:rFonts w:hint="eastAsia" w:eastAsia="黑体"/>
          <w:sz w:val="44"/>
          <w:highlight w:val="none"/>
          <w:lang w:eastAsia="zh-CN"/>
        </w:rPr>
        <w:t xml:space="preserve"> </w:t>
      </w:r>
      <w:r>
        <w:rPr>
          <w:rFonts w:hint="eastAsia" w:eastAsia="黑体"/>
          <w:sz w:val="44"/>
          <w:highlight w:val="none"/>
        </w:rPr>
        <w:t xml:space="preserve">投标邀请</w:t>
      </w:r>
      <w:bookmarkEnd w:id="2"/>
      <w:r/>
      <w:bookmarkEnd w:id="3"/>
      <w:r/>
      <w:bookmarkEnd w:id="4"/>
      <w:r/>
      <w:bookmarkEnd w:id="5"/>
      <w:r/>
      <w:bookmarkEnd w:id="6"/>
      <w:r>
        <w:rPr>
          <w:rFonts w:hint="eastAsia" w:eastAsia="黑体"/>
          <w:sz w:val="44"/>
          <w:highlight w:val="none"/>
        </w:rPr>
      </w:r>
      <w:r/>
    </w:p>
    <w:p>
      <w:pPr>
        <w:pStyle w:val="768"/>
        <w:ind w:firstLine="480"/>
        <w:spacing w:line="480" w:lineRule="exact"/>
        <w:rPr>
          <w:rFonts w:ascii="Times New Roman" w:hAnsi="Times New Roman" w:cs="方正仿宋_GBK"/>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泗洪县太平实验学校</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（江苏盛力项目管理有限公司）</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lang w:eastAsia="zh-CN"/>
        </w:rPr>
        <w:t xml:space="preserve">泗洪县太平实验学校体育设施改造项目</w:t>
      </w:r>
      <w:r>
        <w:rPr>
          <w:rFonts w:hint="eastAsia" w:ascii="宋体" w:hAnsi="宋体"/>
          <w:sz w:val="24"/>
          <w:szCs w:val="24"/>
          <w:highlight w:val="none"/>
        </w:rPr>
        <w:t xml:space="preserve">(</w:t>
      </w:r>
      <w:r>
        <w:rPr>
          <w:rFonts w:hint="eastAsia" w:ascii="宋体" w:hAnsi="宋体"/>
          <w:sz w:val="24"/>
          <w:szCs w:val="24"/>
          <w:highlight w:val="none"/>
          <w:u w:val="single"/>
        </w:rPr>
        <w:t xml:space="preserve">JSZC-321324-JSSL-G2026-0007</w:t>
      </w:r>
      <w:r>
        <w:rPr>
          <w:rFonts w:hint="eastAsia" w:ascii="宋体" w:hAnsi="宋体"/>
          <w:sz w:val="24"/>
          <w:szCs w:val="24"/>
          <w:highlight w:val="none"/>
        </w:rPr>
        <w:t xml:space="preserve">)</w:t>
      </w:r>
      <w:r>
        <w:rPr>
          <w:rFonts w:hint="eastAsia" w:ascii="Times New Roman" w:hAnsi="Times New Roman" w:cs="方正仿宋_GBK"/>
          <w:sz w:val="24"/>
          <w:szCs w:val="24"/>
          <w:highlight w:val="none"/>
        </w:rPr>
        <w:t xml:space="preserve">进行公开招标采购，欢迎符合条件的投标人投标。</w:t>
      </w:r>
      <w:r>
        <w:rPr>
          <w:rFonts w:ascii="Times New Roman" w:hAnsi="Times New Roman" w:cs="方正仿宋_GBK"/>
          <w:sz w:val="24"/>
          <w:szCs w:val="24"/>
          <w:highlight w:val="none"/>
        </w:rPr>
      </w:r>
      <w:r/>
    </w:p>
    <w:p>
      <w:pPr>
        <w:pStyle w:val="768"/>
        <w:ind w:firstLine="480"/>
        <w:spacing w:line="480" w:lineRule="exact"/>
        <w:rPr>
          <w:rFonts w:ascii="Times New Roman" w:hAnsi="Times New Roman"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highlight w:val="none"/>
        </w:rPr>
        <w:t xml:space="preserve">项目概况</w:t>
      </w:r>
      <w:r>
        <w:rPr>
          <w:rFonts w:ascii="Times New Roman" w:hAnsi="Times New Roman" w:cs="方正仿宋_GBK"/>
          <w:sz w:val="24"/>
          <w:szCs w:val="24"/>
          <w:highlight w:val="none"/>
        </w:rPr>
      </w:r>
      <w:r/>
    </w:p>
    <w:p>
      <w:pPr>
        <w:pStyle w:val="768"/>
        <w:ind w:firstLine="480"/>
        <w:spacing w:line="480" w:lineRule="exact"/>
        <w:rPr>
          <w:rFonts w:ascii="方正仿宋_GBK" w:hAnsi="方正仿宋_GBK" w:eastAsia="方正仿宋_GBK"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泗洪县太平实验学校体育设施改造项目</w:t>
      </w:r>
      <w:r>
        <w:rPr>
          <w:rFonts w:hint="eastAsia" w:ascii="Times New Roman" w:hAnsi="Times New Roman" w:cs="方正仿宋_GBK"/>
          <w:sz w:val="24"/>
          <w:szCs w:val="24"/>
          <w:highlight w:val="none"/>
        </w:rPr>
        <w:t xml:space="preserve">招标项目的潜在投标人可在“江苏政府采购网”、</w:t>
      </w:r>
      <w:r>
        <w:rPr>
          <w:rFonts w:hint="eastAsia" w:ascii="Times New Roman" w:hAnsi="Times New Roman" w:cs="方正仿宋_GBK"/>
          <w:sz w:val="24"/>
          <w:szCs w:val="24"/>
          <w:highlight w:val="none"/>
          <w:u w:val="single"/>
        </w:rPr>
        <w:t xml:space="preserve">“宿迁市政府采购网”自行免费</w:t>
      </w:r>
      <w:r>
        <w:rPr>
          <w:rFonts w:hint="eastAsia" w:ascii="Times New Roman" w:hAnsi="Times New Roman" w:cs="方正仿宋_GBK"/>
          <w:sz w:val="24"/>
          <w:szCs w:val="24"/>
          <w:highlight w:val="none"/>
        </w:rPr>
        <w:t xml:space="preserve">获取招标文件，并于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日09点00分（</w:t>
      </w:r>
      <w:r>
        <w:rPr>
          <w:rFonts w:hint="eastAsia" w:ascii="宋体" w:hAnsi="宋体"/>
          <w:bCs/>
          <w:sz w:val="24"/>
          <w:szCs w:val="24"/>
          <w:highlight w:val="none"/>
        </w:rPr>
        <w:t xml:space="preserve">北京时间）</w:t>
      </w:r>
      <w:r>
        <w:rPr>
          <w:rFonts w:hint="eastAsia" w:ascii="Times New Roman" w:hAnsi="Times New Roman" w:cs="方正仿宋_GBK"/>
          <w:bCs/>
          <w:sz w:val="24"/>
          <w:szCs w:val="24"/>
          <w:highlight w:val="none"/>
        </w:rPr>
        <w:t xml:space="preserve">前递交投标文件</w:t>
      </w:r>
      <w:r>
        <w:rPr>
          <w:rFonts w:hint="eastAsia" w:ascii="Times New Roman" w:hAnsi="Times New Roman" w:cs="方正仿宋_GBK"/>
          <w:sz w:val="24"/>
          <w:szCs w:val="24"/>
          <w:highlight w:val="none"/>
        </w:rPr>
        <w:t xml:space="preserve">。</w:t>
      </w:r>
      <w:r>
        <w:rPr>
          <w:rFonts w:ascii="方正仿宋_GBK" w:hAnsi="方正仿宋_GBK" w:eastAsia="方正仿宋_GBK" w:cs="方正仿宋_GBK"/>
          <w:sz w:val="24"/>
          <w:szCs w:val="24"/>
          <w:highlight w:val="none"/>
        </w:rPr>
      </w:r>
      <w:r/>
    </w:p>
    <w:p>
      <w:pPr>
        <w:pStyle w:val="770"/>
        <w:ind w:firstLine="680"/>
        <w:spacing w:before="0" w:after="0" w:line="480" w:lineRule="exact"/>
        <w:rPr>
          <w:rFonts w:hint="eastAsia" w:eastAsia="宋体" w:cs="Arial"/>
          <w:bCs/>
          <w:szCs w:val="22"/>
          <w:highlight w:val="none"/>
        </w:rPr>
      </w:pPr>
      <w:r/>
      <w:bookmarkStart w:id="7" w:name="_Toc35393621"/>
      <w:r/>
      <w:bookmarkStart w:id="8" w:name="_Toc38985263"/>
      <w:r/>
      <w:bookmarkStart w:id="9" w:name="_Toc2584"/>
      <w:r/>
      <w:bookmarkStart w:id="10" w:name="_Toc28359079"/>
      <w:r/>
      <w:bookmarkStart w:id="11" w:name="_Toc35393790"/>
      <w:r/>
      <w:bookmarkStart w:id="12" w:name="_Toc28359002"/>
      <w:r/>
      <w:bookmarkStart w:id="13" w:name="_Hlk24379207"/>
      <w:r>
        <w:rPr>
          <w:rFonts w:hint="eastAsia" w:eastAsia="宋体" w:cs="Arial"/>
          <w:bCs/>
          <w:szCs w:val="22"/>
          <w:highlight w:val="none"/>
        </w:rPr>
        <w:t xml:space="preserve">一、项目基本情况</w:t>
      </w:r>
      <w:bookmarkEnd w:id="7"/>
      <w:r/>
      <w:bookmarkEnd w:id="8"/>
      <w:r/>
      <w:bookmarkEnd w:id="9"/>
      <w:r/>
      <w:bookmarkEnd w:id="10"/>
      <w:r/>
      <w:bookmarkEnd w:id="11"/>
      <w:r/>
      <w:bookmarkEnd w:id="12"/>
      <w:r>
        <w:rPr>
          <w:rFonts w:hint="eastAsia" w:eastAsia="宋体" w:cs="Arial"/>
          <w:bCs/>
          <w:szCs w:val="22"/>
          <w:highlight w:val="none"/>
        </w:rPr>
      </w:r>
      <w:r/>
    </w:p>
    <w:p>
      <w:pPr>
        <w:pStyle w:val="768"/>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1.项目编号：JSZC-321324-JSSL-G2026-0007</w:t>
      </w:r>
      <w:r>
        <w:rPr>
          <w:rFonts w:hint="eastAsia" w:ascii="Times New Roman" w:hAnsi="Times New Roman" w:cs="仿宋"/>
          <w:sz w:val="24"/>
          <w:szCs w:val="24"/>
          <w:highlight w:val="none"/>
          <w:lang w:val="en-US" w:eastAsia="zh-CN"/>
        </w:rPr>
        <w:t xml:space="preserve"> </w:t>
      </w:r>
      <w:r>
        <w:rPr>
          <w:rFonts w:hint="eastAsia" w:ascii="Times New Roman" w:hAnsi="Times New Roman" w:eastAsia="宋体" w:cs="仿宋"/>
          <w:sz w:val="24"/>
          <w:szCs w:val="24"/>
          <w:highlight w:val="none"/>
          <w:lang w:eastAsia="zh-CN"/>
        </w:rPr>
      </w:r>
      <w:r/>
    </w:p>
    <w:p>
      <w:pPr>
        <w:pStyle w:val="768"/>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2.项目名称：</w:t>
      </w:r>
      <w:bookmarkEnd w:id="13"/>
      <w:r>
        <w:rPr>
          <w:rFonts w:hint="eastAsia" w:ascii="Times New Roman" w:hAnsi="Times New Roman" w:cs="仿宋"/>
          <w:sz w:val="24"/>
          <w:szCs w:val="24"/>
          <w:highlight w:val="none"/>
          <w:lang w:eastAsia="zh-CN"/>
        </w:rPr>
        <w:t xml:space="preserve">泗洪县太平实验学校体育设施改造项目</w:t>
      </w:r>
      <w:r>
        <w:rPr>
          <w:rFonts w:hint="eastAsia" w:ascii="Times New Roman" w:hAnsi="Times New Roman" w:eastAsia="宋体" w:cs="仿宋"/>
          <w:sz w:val="24"/>
          <w:szCs w:val="24"/>
          <w:highlight w:val="none"/>
          <w:lang w:eastAsia="zh-CN"/>
        </w:rPr>
      </w:r>
      <w:r/>
    </w:p>
    <w:p>
      <w:pPr>
        <w:pStyle w:val="768"/>
        <w:ind w:firstLine="480"/>
        <w:spacing w:line="480" w:lineRule="exact"/>
        <w:rPr>
          <w:rFonts w:hint="eastAsia" w:ascii="仿宋" w:hAnsi="仿宋"/>
          <w:sz w:val="24"/>
          <w:szCs w:val="24"/>
          <w:highlight w:val="none"/>
        </w:rPr>
      </w:pPr>
      <w:r>
        <w:rPr>
          <w:rFonts w:hint="eastAsia" w:ascii="Times New Roman" w:hAnsi="Times New Roman" w:cs="仿宋"/>
          <w:sz w:val="24"/>
          <w:szCs w:val="24"/>
          <w:highlight w:val="none"/>
        </w:rPr>
        <w:t xml:space="preserve">3.预算金额：</w:t>
      </w:r>
      <w:r>
        <w:rPr>
          <w:rFonts w:hint="eastAsia" w:ascii="Times New Roman" w:hAnsi="Times New Roman" w:cs="仿宋"/>
          <w:sz w:val="24"/>
          <w:szCs w:val="24"/>
          <w:highlight w:val="none"/>
          <w:lang w:val="en-US" w:eastAsia="zh-CN"/>
        </w:rPr>
        <w:t xml:space="preserve">331.566</w:t>
      </w:r>
      <w:r>
        <w:rPr>
          <w:rFonts w:hint="eastAsia" w:ascii="Times New Roman" w:hAnsi="Times New Roman" w:cs="仿宋"/>
          <w:sz w:val="24"/>
          <w:szCs w:val="24"/>
          <w:highlight w:val="none"/>
        </w:rPr>
        <w:t xml:space="preserve">万元</w:t>
      </w:r>
      <w:r>
        <w:rPr>
          <w:rFonts w:hint="eastAsia" w:ascii="仿宋" w:hAnsi="仿宋"/>
          <w:sz w:val="24"/>
          <w:szCs w:val="24"/>
          <w:highlight w:val="none"/>
        </w:rPr>
      </w:r>
      <w:r/>
    </w:p>
    <w:p>
      <w:pPr>
        <w:pStyle w:val="768"/>
        <w:ind w:firstLine="480"/>
        <w:spacing w:line="480" w:lineRule="exact"/>
        <w:rPr>
          <w:rFonts w:hint="eastAsia" w:ascii="仿宋" w:hAnsi="仿宋"/>
          <w:sz w:val="24"/>
          <w:szCs w:val="24"/>
          <w:highlight w:val="none"/>
        </w:rPr>
      </w:pPr>
      <w:r>
        <w:rPr>
          <w:rFonts w:hint="eastAsia" w:ascii="Times New Roman" w:hAnsi="Times New Roman" w:cs="仿宋"/>
          <w:sz w:val="24"/>
          <w:szCs w:val="24"/>
          <w:highlight w:val="none"/>
        </w:rPr>
        <w:t xml:space="preserve">4.</w:t>
      </w:r>
      <w:bookmarkStart w:id="14" w:name="OLE_LINK40"/>
      <w:r/>
      <w:bookmarkStart w:id="15" w:name="OLE_LINK39"/>
      <w:r>
        <w:rPr>
          <w:rFonts w:hint="eastAsia" w:ascii="Times New Roman" w:hAnsi="Times New Roman" w:cs="仿宋"/>
          <w:sz w:val="24"/>
          <w:szCs w:val="24"/>
          <w:highlight w:val="none"/>
        </w:rPr>
        <w:t xml:space="preserve">最高限价（如有）：本项目设定最高限价，最高限价为</w:t>
      </w:r>
      <w:r>
        <w:rPr>
          <w:rFonts w:hint="eastAsia" w:ascii="仿宋_GB2312"/>
          <w:sz w:val="24"/>
          <w:highlight w:val="none"/>
        </w:rPr>
        <w:t xml:space="preserve">：</w:t>
      </w:r>
      <w:bookmarkStart w:id="16" w:name="EB6c1f3d39c6914ae1bada8ccaa777b37a"/>
      <w:r>
        <w:rPr>
          <w:rFonts w:hint="eastAsia" w:ascii="仿宋_GB2312"/>
          <w:sz w:val="24"/>
          <w:highlight w:val="none"/>
          <w:lang w:val="en-US" w:eastAsia="zh-CN"/>
        </w:rPr>
        <w:t xml:space="preserve">331.566</w:t>
      </w:r>
      <w:r>
        <w:rPr>
          <w:rFonts w:hint="eastAsia" w:ascii="仿宋_GB2312"/>
          <w:sz w:val="24"/>
          <w:highlight w:val="none"/>
        </w:rPr>
        <w:t xml:space="preserve">万元</w:t>
      </w:r>
      <w:r>
        <w:rPr>
          <w:rFonts w:hint="eastAsia" w:ascii="仿宋" w:hAnsi="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bookmarkEnd w:id="14"/>
      <w:r/>
      <w:bookmarkEnd w:id="15"/>
      <w:r/>
      <w:bookmarkEnd w:id="16"/>
      <w:r>
        <w:rPr>
          <w:rFonts w:hint="eastAsia" w:ascii="Times New Roman" w:hAnsi="Times New Roman" w:cs="仿宋"/>
          <w:sz w:val="24"/>
          <w:szCs w:val="24"/>
          <w:highlight w:val="none"/>
        </w:rPr>
        <w:t xml:space="preserve">5.采购需求（简介）：</w:t>
      </w:r>
      <w:bookmarkStart w:id="17" w:name="OLE_LINK35"/>
      <w:r/>
      <w:bookmarkStart w:id="18" w:name="OLE_LINK34"/>
      <w:r>
        <w:rPr>
          <w:rFonts w:hint="eastAsia" w:ascii="Times New Roman" w:hAnsi="Times New Roman" w:cs="仿宋"/>
          <w:sz w:val="24"/>
          <w:szCs w:val="24"/>
          <w:highlight w:val="none"/>
        </w:rPr>
        <w:t xml:space="preserve">本项目为泗洪县太平实验学校体育设施改造项目，主要内容为拟采购一批传统体育器材、智慧体育产品、科技与体育相结合产品、校园监控设备等。</w:t>
      </w:r>
      <w:r>
        <w:rPr>
          <w:rFonts w:hint="eastAsia" w:cs="宋体"/>
          <w:sz w:val="24"/>
          <w:szCs w:val="24"/>
          <w:highlight w:val="none"/>
        </w:rPr>
        <w:t xml:space="preserve">（详细内容见本招标文件第四章）</w:t>
      </w:r>
      <w:bookmarkEnd w:id="17"/>
      <w:r/>
      <w:bookmarkEnd w:id="18"/>
      <w:r>
        <w:rPr>
          <w:rFonts w:hint="eastAsia" w:ascii="Times New Roman" w:hAnsi="Times New Roman" w:cs="仿宋"/>
          <w:sz w:val="24"/>
          <w:szCs w:val="24"/>
          <w:highlight w:val="none"/>
        </w:rPr>
      </w:r>
      <w:r/>
    </w:p>
    <w:p>
      <w:pPr>
        <w:pStyle w:val="768"/>
        <w:ind w:firstLine="480"/>
        <w:spacing w:line="560" w:lineRule="exact"/>
        <w:rPr>
          <w:rFonts w:hint="eastAsia"/>
          <w:sz w:val="24"/>
          <w:szCs w:val="24"/>
          <w:highlight w:val="none"/>
        </w:rPr>
      </w:pPr>
      <w:r>
        <w:rPr>
          <w:rFonts w:hint="eastAsia" w:ascii="Times New Roman" w:hAnsi="Times New Roman" w:cs="仿宋"/>
          <w:sz w:val="24"/>
          <w:szCs w:val="24"/>
          <w:highlight w:val="none"/>
        </w:rPr>
        <w:t xml:space="preserve">6.</w:t>
      </w:r>
      <w:r>
        <w:rPr>
          <w:rFonts w:hint="eastAsia" w:ascii="Times New Roman" w:hAnsi="Times New Roman" w:cs="仿宋"/>
          <w:sz w:val="24"/>
          <w:szCs w:val="24"/>
          <w:highlight w:val="none"/>
          <w:lang w:val="en-US" w:eastAsia="zh-CN"/>
        </w:rPr>
        <w:t xml:space="preserve">合同履约期限：45日历天完成供货并安装调试完毕</w:t>
      </w:r>
      <w:r>
        <w:rPr>
          <w:rFonts w:hint="eastAsia" w:ascii="Times New Roman" w:hAnsi="Times New Roman" w:cs="仿宋"/>
          <w:sz w:val="24"/>
          <w:szCs w:val="24"/>
          <w:highlight w:val="none"/>
        </w:rPr>
        <w:t xml:space="preserve">（自合同</w:t>
      </w:r>
      <w:r>
        <w:rPr>
          <w:rFonts w:hint="eastAsia" w:ascii="Times New Roman" w:hAnsi="Times New Roman" w:cs="仿宋"/>
          <w:sz w:val="24"/>
          <w:szCs w:val="24"/>
          <w:highlight w:val="none"/>
          <w:lang w:val="en-US" w:eastAsia="zh-CN"/>
        </w:rPr>
        <w:t xml:space="preserve">签订之日起算</w:t>
      </w:r>
      <w:r>
        <w:rPr>
          <w:rFonts w:hint="eastAsia" w:ascii="Times New Roman" w:hAnsi="Times New Roman" w:cs="仿宋"/>
          <w:sz w:val="24"/>
          <w:szCs w:val="24"/>
          <w:highlight w:val="none"/>
        </w:rPr>
        <w:t xml:space="preserve">）</w:t>
      </w:r>
      <w:r>
        <w:rPr>
          <w:rFonts w:hint="eastAsia"/>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7.本项目</w:t>
      </w:r>
      <w:r>
        <w:rPr>
          <w:rFonts w:hint="eastAsia" w:ascii="Times New Roman" w:hAnsi="Times New Roman" w:cs="仿宋"/>
          <w:sz w:val="24"/>
          <w:szCs w:val="24"/>
          <w:highlight w:val="none"/>
          <w:u w:val="single"/>
        </w:rPr>
        <w:t xml:space="preserve"> 不接受 </w:t>
      </w:r>
      <w:r>
        <w:rPr>
          <w:rFonts w:hint="eastAsia" w:ascii="Times New Roman" w:hAnsi="Times New Roman" w:cs="仿宋"/>
          <w:sz w:val="24"/>
          <w:szCs w:val="24"/>
          <w:highlight w:val="none"/>
        </w:rPr>
        <w:t xml:space="preserve">联合体投标。</w:t>
      </w:r>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19" w:name="_Toc27291"/>
      <w:r/>
      <w:bookmarkStart w:id="20" w:name="_Toc38985264"/>
      <w:r/>
      <w:bookmarkStart w:id="21" w:name="_Toc35393791"/>
      <w:r/>
      <w:bookmarkStart w:id="22" w:name="_Toc35393622"/>
      <w:r/>
      <w:bookmarkStart w:id="23" w:name="_Toc28359080"/>
      <w:r/>
      <w:bookmarkStart w:id="24" w:name="_Toc28359003"/>
      <w:r>
        <w:rPr>
          <w:rFonts w:hint="eastAsia" w:eastAsia="宋体" w:cs="Arial"/>
          <w:bCs/>
          <w:szCs w:val="22"/>
          <w:highlight w:val="none"/>
        </w:rPr>
        <w:t xml:space="preserve">二、申请人的资格要求</w:t>
      </w:r>
      <w:bookmarkEnd w:id="19"/>
      <w:r/>
      <w:bookmarkEnd w:id="20"/>
      <w:r/>
      <w:bookmarkEnd w:id="21"/>
      <w:r/>
      <w:bookmarkEnd w:id="22"/>
      <w:r/>
      <w:bookmarkEnd w:id="23"/>
      <w:r/>
      <w:bookmarkEnd w:id="24"/>
      <w:r>
        <w:rPr>
          <w:rFonts w:hint="eastAsia" w:eastAsia="宋体" w:cs="Arial"/>
          <w:bCs/>
          <w:szCs w:val="22"/>
          <w:highlight w:val="none"/>
        </w:rPr>
      </w:r>
      <w:r/>
    </w:p>
    <w:p>
      <w:pPr>
        <w:pStyle w:val="768"/>
        <w:ind w:firstLine="480"/>
        <w:spacing w:line="480" w:lineRule="exact"/>
        <w:rPr>
          <w:rFonts w:hint="eastAsia" w:ascii="Times New Roman" w:hAnsi="Times New Roman" w:cs="仿宋"/>
          <w:sz w:val="24"/>
          <w:szCs w:val="24"/>
          <w:highlight w:val="none"/>
        </w:rPr>
      </w:pPr>
      <w:r/>
      <w:bookmarkStart w:id="25" w:name="_Toc35393792"/>
      <w:r/>
      <w:bookmarkStart w:id="26" w:name="_Toc28359004"/>
      <w:r/>
      <w:bookmarkStart w:id="27" w:name="_Toc38985265"/>
      <w:r/>
      <w:bookmarkStart w:id="28" w:name="_Toc28359081"/>
      <w:r/>
      <w:bookmarkStart w:id="29" w:name="_Toc35393623"/>
      <w:r>
        <w:rPr>
          <w:rFonts w:hint="eastAsia" w:ascii="Times New Roman" w:hAnsi="Times New Roman" w:cs="仿宋"/>
          <w:sz w:val="24"/>
          <w:szCs w:val="24"/>
          <w:highlight w:val="none"/>
        </w:rPr>
        <w:t xml:space="preserve">（一）通用资格要求</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bookmarkStart w:id="30" w:name="OLE_LINK11"/>
      <w:r>
        <w:rPr>
          <w:rFonts w:hint="eastAsia" w:ascii="Times New Roman" w:hAnsi="Times New Roman" w:cs="仿宋"/>
          <w:sz w:val="24"/>
          <w:szCs w:val="24"/>
          <w:highlight w:val="none"/>
        </w:rPr>
        <w:t xml:space="preserve">1.具备《中华人民共和国政府采购法》第二十二条第一款规定的6项条件（按要求提供投标函）。</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bookmarkEnd w:id="30"/>
      <w:r>
        <w:rPr>
          <w:rFonts w:hint="eastAsia" w:ascii="Times New Roman" w:hAnsi="Times New Roman" w:cs="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3.投标人代理人(授权委托人)必须为本单位正式员工，并在投标文件中提供投标截止日前6个月内由本单位为其缴纳的任意1个月社会养老保险证明资料电子件。</w:t>
      </w:r>
      <w:r>
        <w:rPr>
          <w:rFonts w:hint="eastAsia" w:ascii="Times New Roman" w:hAnsi="Times New Roman" w:cs="仿宋"/>
          <w:sz w:val="24"/>
          <w:szCs w:val="24"/>
          <w:highlight w:val="none"/>
        </w:rPr>
      </w:r>
      <w:r/>
    </w:p>
    <w:p>
      <w:pPr>
        <w:pStyle w:val="768"/>
        <w:ind w:firstLine="480"/>
        <w:spacing w:line="480" w:lineRule="exact"/>
        <w:rPr>
          <w:rFonts w:ascii="宋体" w:hAnsi="宋体" w:cs="宋体"/>
          <w:color w:val="000000"/>
          <w:sz w:val="24"/>
          <w:szCs w:val="24"/>
          <w:highlight w:val="none"/>
        </w:rPr>
      </w:pPr>
      <w:r/>
      <w:bookmarkStart w:id="31" w:name="_Toc22204"/>
      <w:r>
        <w:rPr>
          <w:rFonts w:hint="eastAsia" w:ascii="宋体" w:hAnsi="宋体" w:cs="宋体"/>
          <w:color w:val="000000"/>
          <w:sz w:val="24"/>
          <w:szCs w:val="24"/>
          <w:highlight w:val="none"/>
        </w:rPr>
        <w:t xml:space="preserve">（二）落实政府采购政策需满足的资格要求：本项目专门面向中小企业（含监狱企业、残疾人福利企业）采购的项目，所投</w:t>
      </w:r>
      <w:r>
        <w:rPr>
          <w:rFonts w:hint="eastAsia" w:ascii="宋体" w:hAnsi="宋体" w:cs="宋体"/>
          <w:color w:val="000000"/>
          <w:sz w:val="24"/>
          <w:szCs w:val="24"/>
          <w:highlight w:val="none"/>
          <w:lang w:val="en-US" w:eastAsia="zh-CN"/>
        </w:rPr>
        <w:t xml:space="preserve">货物类</w:t>
      </w:r>
      <w:r>
        <w:rPr>
          <w:rFonts w:hint="eastAsia" w:ascii="宋体" w:hAnsi="宋体" w:cs="宋体"/>
          <w:color w:val="000000"/>
          <w:sz w:val="24"/>
          <w:szCs w:val="24"/>
          <w:highlight w:val="none"/>
        </w:rPr>
        <w:t xml:space="preserve">产品制造商</w:t>
      </w:r>
      <w:r>
        <w:rPr>
          <w:rFonts w:hint="eastAsia" w:ascii="宋体" w:hAnsi="宋体" w:cs="宋体"/>
          <w:color w:val="000000"/>
          <w:sz w:val="24"/>
          <w:szCs w:val="24"/>
          <w:highlight w:val="none"/>
          <w:lang w:val="en-US" w:eastAsia="zh-CN"/>
        </w:rPr>
        <w:t xml:space="preserve">和工程类承接商</w:t>
      </w:r>
      <w:r>
        <w:rPr>
          <w:rFonts w:hint="eastAsia" w:ascii="宋体" w:hAnsi="宋体" w:cs="宋体"/>
          <w:color w:val="000000"/>
          <w:sz w:val="24"/>
          <w:szCs w:val="24"/>
          <w:highlight w:val="none"/>
        </w:rPr>
        <w:t xml:space="preserve">应为中小企业（含监狱企业、残疾人福利企业）（须提供《中小企业或残疾人福利性单位声明函》）。所投货物类产品制造商和工程类承接商为非中小企业（含监狱企业、残疾人福利企业）参与本项目投标，将作无效投标处理。</w:t>
      </w:r>
      <w:r>
        <w:rPr>
          <w:rFonts w:ascii="宋体" w:hAnsi="宋体" w:cs="宋体"/>
          <w:color w:val="000000"/>
          <w:sz w:val="24"/>
          <w:szCs w:val="24"/>
          <w:highlight w:val="none"/>
        </w:rPr>
      </w:r>
      <w:r/>
    </w:p>
    <w:p>
      <w:pPr>
        <w:pStyle w:val="768"/>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（三）本项目的特定资格要求：无。</w:t>
      </w:r>
      <w:r>
        <w:rPr>
          <w:rFonts w:ascii="宋体" w:hAnsi="宋体" w:cs="宋体"/>
          <w:color w:val="000000"/>
          <w:sz w:val="24"/>
          <w:szCs w:val="24"/>
          <w:highlight w:val="none"/>
        </w:rPr>
      </w:r>
      <w:r/>
    </w:p>
    <w:p>
      <w:pPr>
        <w:pStyle w:val="768"/>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注：单位负责人为同一人或者存在直接控股、管理关系的不同供应商，不得参加同一合同项下的政府采购活动。否则，相关投标均无效。</w:t>
      </w:r>
      <w:r>
        <w:rPr>
          <w:rFonts w:ascii="宋体" w:hAnsi="宋体" w:cs="宋体"/>
          <w:color w:val="000000"/>
          <w:sz w:val="24"/>
          <w:szCs w:val="24"/>
          <w:highlight w:val="none"/>
        </w:rPr>
      </w:r>
      <w:r/>
    </w:p>
    <w:p>
      <w:pPr>
        <w:pStyle w:val="770"/>
        <w:ind w:firstLine="680"/>
        <w:spacing w:before="0" w:after="0" w:line="480" w:lineRule="exact"/>
        <w:rPr>
          <w:rFonts w:hint="eastAsia" w:eastAsia="宋体" w:cs="Arial"/>
          <w:bCs/>
          <w:szCs w:val="22"/>
          <w:highlight w:val="none"/>
        </w:rPr>
      </w:pPr>
      <w:r>
        <w:rPr>
          <w:rFonts w:hint="eastAsia" w:eastAsia="宋体" w:cs="Arial"/>
          <w:bCs/>
          <w:szCs w:val="22"/>
          <w:highlight w:val="none"/>
        </w:rPr>
        <w:t xml:space="preserve">三、获取招标文件</w:t>
      </w:r>
      <w:bookmarkEnd w:id="25"/>
      <w:r/>
      <w:bookmarkEnd w:id="26"/>
      <w:r/>
      <w:bookmarkEnd w:id="27"/>
      <w:r/>
      <w:bookmarkEnd w:id="28"/>
      <w:r/>
      <w:bookmarkEnd w:id="29"/>
      <w:r/>
      <w:bookmarkEnd w:id="31"/>
      <w:r>
        <w:rPr>
          <w:rFonts w:hint="eastAsia" w:eastAsia="宋体" w:cs="Arial"/>
          <w:bCs/>
          <w:szCs w:val="22"/>
          <w:highlight w:val="none"/>
        </w:rPr>
      </w:r>
      <w:r/>
    </w:p>
    <w:p>
      <w:pPr>
        <w:pStyle w:val="768"/>
        <w:ind w:firstLine="480"/>
        <w:spacing w:line="480" w:lineRule="exact"/>
        <w:rPr>
          <w:rFonts w:ascii="Times New Roman" w:hAnsi="Times New Roman" w:cs="仿宋"/>
          <w:color w:val="000000"/>
          <w:sz w:val="24"/>
          <w:szCs w:val="24"/>
          <w:highlight w:val="none"/>
        </w:rPr>
      </w:pPr>
      <w:r/>
      <w:bookmarkStart w:id="32" w:name="_Toc28359005"/>
      <w:r/>
      <w:bookmarkStart w:id="33" w:name="_Toc28359082"/>
      <w:r/>
      <w:bookmarkStart w:id="34" w:name="_Toc35393624"/>
      <w:r/>
      <w:bookmarkStart w:id="35" w:name="_Toc35393793"/>
      <w:r/>
      <w:bookmarkStart w:id="36" w:name="_Toc38985266"/>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768"/>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ascii="Times New Roman" w:hAnsi="Times New Roman" w:cs="仿宋"/>
          <w:color w:val="000000"/>
          <w:sz w:val="24"/>
          <w:szCs w:val="24"/>
          <w:highlight w:val="none"/>
        </w:rPr>
      </w:r>
      <w:r/>
    </w:p>
    <w:p>
      <w:pPr>
        <w:pStyle w:val="768"/>
        <w:ind w:firstLine="480"/>
        <w:spacing w:line="480" w:lineRule="exact"/>
        <w:rPr>
          <w:rFonts w:ascii="Times New Roman" w:hAnsi="Times New Roman" w:cs="仿宋"/>
          <w:color w:val="000000"/>
          <w:sz w:val="24"/>
          <w:szCs w:val="24"/>
          <w:highlight w:val="none"/>
        </w:rPr>
      </w:pPr>
      <w:r/>
      <w:bookmarkStart w:id="37" w:name="EB0c44ff4da61f4af989d119fe214be450"/>
      <w:r>
        <w:rPr>
          <w:rFonts w:hint="eastAsia" w:ascii="Times New Roman" w:hAnsi="Times New Roman" w:cs="仿宋"/>
          <w:color w:val="000000"/>
          <w:sz w:val="24"/>
          <w:szCs w:val="24"/>
          <w:highlight w:val="none"/>
        </w:rPr>
        <w:t xml:space="preserve">3.</w:t>
      </w:r>
      <w:r>
        <w:rPr>
          <w:rFonts w:hint="eastAsia" w:ascii="仿宋" w:hAnsi="仿宋" w:eastAsia="仿宋" w:cs="仿宋"/>
          <w:color w:val="000000"/>
          <w:sz w:val="24"/>
          <w:szCs w:val="24"/>
          <w:highlight w:val="none"/>
        </w:rPr>
        <w:t xml:space="preserve"> </w:t>
      </w:r>
      <w:r>
        <w:rPr>
          <w:rFonts w:hint="eastAsia" w:ascii="Times New Roman" w:hAnsi="Times New Roman" w:cs="仿宋"/>
          <w:color w:val="000000"/>
          <w:sz w:val="24"/>
          <w:szCs w:val="24"/>
          <w:highlight w:val="none"/>
        </w:rPr>
        <w:t xml:space="preserve">地点：“苏采云”系统（网址： http://jszfcg.jsczt.cn/）或宿迁市政府采购网点击“政府采购管理交易系统（苏采云）”，使用CA锁进入系统从“项目参与”--“采购项目”菜单中，找到本项目获取采购文件（后缀名为“.kedt”）。</w:t>
      </w:r>
      <w:r>
        <w:rPr>
          <w:rFonts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color w:val="000000"/>
          <w:sz w:val="24"/>
          <w:szCs w:val="24"/>
          <w:highlight w:val="none"/>
        </w:rPr>
        <w:t xml:space="preserve">4.本项目共分一个采购包。投标人参与多个采购包投标的，应按采购包分别获取招标文件。投标人未按要求获取招标文件，后果自负（其投标文件不予接受）。</w:t>
      </w:r>
      <w:bookmarkEnd w:id="37"/>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38" w:name="_Toc19148"/>
      <w:r>
        <w:rPr>
          <w:rFonts w:hint="eastAsia" w:eastAsia="宋体" w:cs="Arial"/>
          <w:bCs/>
          <w:szCs w:val="22"/>
          <w:highlight w:val="none"/>
        </w:rPr>
        <w:t xml:space="preserve">四、提交投标文件</w:t>
      </w:r>
      <w:bookmarkEnd w:id="32"/>
      <w:r/>
      <w:bookmarkEnd w:id="33"/>
      <w:r>
        <w:rPr>
          <w:rFonts w:hint="eastAsia" w:eastAsia="宋体" w:cs="Arial"/>
          <w:bCs/>
          <w:szCs w:val="22"/>
          <w:highlight w:val="none"/>
        </w:rPr>
        <w:t xml:space="preserve">截止时间、开标时间和地点</w:t>
      </w:r>
      <w:bookmarkEnd w:id="34"/>
      <w:r/>
      <w:bookmarkEnd w:id="35"/>
      <w:r/>
      <w:bookmarkEnd w:id="36"/>
      <w:r/>
      <w:bookmarkEnd w:id="38"/>
      <w:r>
        <w:rPr>
          <w:rFonts w:hint="eastAsia" w:eastAsia="宋体" w:cs="Arial"/>
          <w:bCs/>
          <w:szCs w:val="22"/>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1.提交投标文件截止时间、开标时间：202</w:t>
      </w:r>
      <w:r>
        <w:rPr>
          <w:rFonts w:hint="eastAsia" w:ascii="Times New Roman" w:hAnsi="Times New Roman" w:cs="仿宋"/>
          <w:sz w:val="24"/>
          <w:szCs w:val="24"/>
          <w:highlight w:val="none"/>
          <w:lang w:val="en-US" w:eastAsia="zh-CN"/>
        </w:rPr>
        <w:t xml:space="preserve">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lang w:val="en-US" w:eastAsia="zh-CN"/>
        </w:rPr>
        <w:t xml:space="preserve">11</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10</w:t>
      </w:r>
      <w:r>
        <w:rPr>
          <w:rFonts w:hint="eastAsia" w:ascii="Times New Roman" w:hAnsi="Times New Roman" w:cs="仿宋"/>
          <w:sz w:val="24"/>
          <w:szCs w:val="24"/>
          <w:highlight w:val="none"/>
        </w:rPr>
        <w:t xml:space="preserve">日09点00分（北京时间）</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2.地点：“苏采云”政府采购交易系统网上开标大厅。</w:t>
      </w:r>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39" w:name="_Toc35393794"/>
      <w:r/>
      <w:bookmarkStart w:id="40" w:name="_Toc28359007"/>
      <w:r/>
      <w:bookmarkStart w:id="41" w:name="_Toc24820"/>
      <w:r/>
      <w:bookmarkStart w:id="42" w:name="_Toc38985267"/>
      <w:r/>
      <w:bookmarkStart w:id="43" w:name="_Toc28359084"/>
      <w:r/>
      <w:bookmarkStart w:id="44" w:name="_Toc35393625"/>
      <w:r>
        <w:rPr>
          <w:rFonts w:hint="eastAsia" w:eastAsia="宋体" w:cs="Arial"/>
          <w:bCs/>
          <w:szCs w:val="22"/>
          <w:highlight w:val="none"/>
        </w:rPr>
        <w:t xml:space="preserve">五、公告期限</w:t>
      </w:r>
      <w:bookmarkEnd w:id="39"/>
      <w:r/>
      <w:bookmarkEnd w:id="40"/>
      <w:r/>
      <w:bookmarkEnd w:id="41"/>
      <w:r/>
      <w:bookmarkEnd w:id="42"/>
      <w:r/>
      <w:bookmarkEnd w:id="43"/>
      <w:r/>
      <w:bookmarkEnd w:id="44"/>
      <w:r>
        <w:rPr>
          <w:rFonts w:hint="eastAsia" w:eastAsia="宋体" w:cs="Arial"/>
          <w:bCs/>
          <w:szCs w:val="22"/>
          <w:highlight w:val="none"/>
        </w:rPr>
      </w:r>
      <w:r/>
    </w:p>
    <w:p>
      <w:pPr>
        <w:pStyle w:val="768"/>
        <w:ind w:firstLine="480"/>
        <w:spacing w:line="480" w:lineRule="exact"/>
        <w:rPr>
          <w:rFonts w:hint="eastAsia" w:ascii="Times New Roman" w:hAnsi="Times New Roman" w:cs="仿宋"/>
          <w:sz w:val="24"/>
          <w:szCs w:val="24"/>
          <w:highlight w:val="none"/>
        </w:rPr>
      </w:pPr>
      <w:r/>
      <w:bookmarkStart w:id="45" w:name="_Toc35393626"/>
      <w:r/>
      <w:bookmarkStart w:id="46" w:name="_Toc38985268"/>
      <w:r/>
      <w:bookmarkStart w:id="47" w:name="_Toc35393795"/>
      <w:r>
        <w:rPr>
          <w:rFonts w:hint="eastAsia" w:ascii="Times New Roman" w:hAnsi="Times New Roman" w:cs="仿宋"/>
          <w:sz w:val="24"/>
          <w:szCs w:val="24"/>
          <w:highlight w:val="none"/>
        </w:rPr>
        <w:t xml:space="preserve">招标公告及招标文件公告期限为自本公告发布之日起5个工作日。</w:t>
      </w:r>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48" w:name="_Toc13415"/>
      <w:r>
        <w:rPr>
          <w:rFonts w:hint="eastAsia" w:eastAsia="宋体" w:cs="Arial"/>
          <w:bCs/>
          <w:szCs w:val="22"/>
          <w:highlight w:val="none"/>
        </w:rPr>
        <w:t xml:space="preserve">六、其他补充事宜</w:t>
      </w:r>
      <w:bookmarkEnd w:id="45"/>
      <w:r/>
      <w:bookmarkEnd w:id="46"/>
      <w:r/>
      <w:bookmarkEnd w:id="47"/>
      <w:r/>
      <w:bookmarkEnd w:id="48"/>
      <w:r>
        <w:rPr>
          <w:rFonts w:hint="eastAsia" w:eastAsia="宋体" w:cs="Arial"/>
          <w:bCs/>
          <w:szCs w:val="22"/>
          <w:highlight w:val="none"/>
        </w:rPr>
      </w:r>
      <w:r/>
    </w:p>
    <w:p>
      <w:pPr>
        <w:pStyle w:val="768"/>
        <w:ind w:firstLine="480"/>
        <w:spacing w:line="480" w:lineRule="exact"/>
        <w:rPr>
          <w:rFonts w:hint="eastAsia" w:ascii="Times New Roman" w:hAnsi="Times New Roman" w:cs="仿宋"/>
          <w:color w:val="000000"/>
          <w:sz w:val="24"/>
          <w:szCs w:val="24"/>
          <w:highlight w:val="none"/>
        </w:rPr>
      </w:pPr>
      <w:r/>
      <w:bookmarkStart w:id="49" w:name="EB64e1f522fd8c43fcb4d3ba471386b3e7"/>
      <w:r/>
      <w:bookmarkStart w:id="50" w:name="_Toc29049"/>
      <w:r/>
      <w:bookmarkStart w:id="51" w:name="_Toc28359085"/>
      <w:r/>
      <w:bookmarkStart w:id="52" w:name="_Toc35393796"/>
      <w:r/>
      <w:bookmarkStart w:id="53" w:name="_Toc28359008"/>
      <w:r/>
      <w:bookmarkStart w:id="54" w:name="_Toc35393627"/>
      <w:r/>
      <w:bookmarkStart w:id="55" w:name="_Toc38985269"/>
      <w:r>
        <w:rPr>
          <w:rFonts w:hint="eastAsia" w:ascii="Times New Roman" w:hAnsi="Times New Roman" w:cs="仿宋"/>
          <w:color w:val="000000"/>
          <w:sz w:val="24"/>
          <w:szCs w:val="24"/>
          <w:highlight w:val="none"/>
        </w:rPr>
        <w:t xml:space="preserve">1.招标公告发布媒体：</w:t>
      </w:r>
      <w:bookmarkStart w:id="56" w:name="OLE_LINK3"/>
      <w:r>
        <w:rPr>
          <w:rFonts w:hint="eastAsia" w:ascii="Times New Roman" w:hAnsi="Times New Roman" w:cs="仿宋"/>
          <w:color w:val="000000"/>
          <w:sz w:val="24"/>
          <w:szCs w:val="24"/>
          <w:highlight w:val="none"/>
        </w:rPr>
        <w:t xml:space="preserve">江苏政府采购网</w:t>
      </w:r>
      <w:bookmarkEnd w:id="56"/>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9"/>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4.如果投标人通过苏采云系统参与政府采购项目，相关操作手册详见链接：http://www.ccgp-jiangsu.gov.cn/jiangsu/zlxz/ee/ee3a4bc5a3454aa2b0d9312230633ce9.html。</w:t>
      </w:r>
      <w:r>
        <w:rPr>
          <w:rFonts w:hint="eastAsia" w:ascii="Times New Roman" w:hAnsi="Times New Roman" w:cs="仿宋"/>
          <w:color w:val="000000"/>
          <w:sz w:val="24"/>
          <w:szCs w:val="24"/>
          <w:highlight w:val="none"/>
        </w:rPr>
      </w:r>
      <w:r/>
    </w:p>
    <w:p>
      <w:pPr>
        <w:pStyle w:val="768"/>
        <w:numPr>
          <w:ilvl w:val="0"/>
          <w:numId w:val="0"/>
        </w:num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bidi="ar-SA"/>
        </w:rPr>
        <w:t xml:space="preserve">5.</w:t>
      </w:r>
      <w:r>
        <w:rPr>
          <w:rFonts w:hint="eastAsia" w:ascii="Times New Roman" w:hAnsi="Times New Roman" w:cs="仿宋"/>
          <w:color w:val="000000"/>
          <w:sz w:val="24"/>
          <w:szCs w:val="24"/>
          <w:highlight w:val="none"/>
        </w:rPr>
        <w:t xml:space="preserve">现场勘察及答疑：本项目不组织集中勘察及答疑，投标人如对采购需求有疑问，请咨询采购单位联系人。</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2"/>
          <w:highlight w:val="none"/>
          <w:lang w:val="en-US" w:eastAsia="zh-CN" w:bidi="ar-SA"/>
        </w:rPr>
        <w:t xml:space="preserve">6.</w:t>
      </w:r>
      <w:r>
        <w:rPr>
          <w:rFonts w:hint="eastAsia" w:ascii="宋体" w:hAnsi="宋体" w:eastAsia="宋体" w:cs="宋体"/>
          <w:color w:val="000000"/>
          <w:sz w:val="24"/>
          <w:szCs w:val="24"/>
          <w:highlight w:val="none"/>
        </w:rPr>
        <w:t xml:space="preserve">有关本次招标的事项若存在变动或修改，敬请及时关注“宿迁市政府采购网”等平台更正公告</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szCs w:val="24"/>
          <w:highlight w:val="none"/>
          <w:lang w:val="en-US" w:eastAsia="zh-CN"/>
        </w:rPr>
        <w:t xml:space="preserve">7.</w:t>
      </w:r>
      <w:r>
        <w:rPr>
          <w:rFonts w:hint="eastAsia" w:ascii="Times New Roman" w:hAnsi="Times New Roman" w:cs="仿宋"/>
          <w:color w:val="000000"/>
          <w:sz w:val="24"/>
          <w:szCs w:val="24"/>
          <w:highlight w:val="none"/>
        </w:rPr>
        <w:t xml:space="preserve">财政部门监督电话：0527-88359233。</w:t>
      </w:r>
      <w:r>
        <w:rPr>
          <w:rFonts w:hint="eastAsia" w:ascii="Times New Roman" w:hAnsi="Times New Roman" w:cs="仿宋"/>
          <w:color w:val="000000"/>
          <w:sz w:val="24"/>
          <w:highlight w:val="none"/>
        </w:rPr>
      </w:r>
      <w:r/>
    </w:p>
    <w:p>
      <w:pPr>
        <w:pStyle w:val="770"/>
        <w:ind w:firstLine="680"/>
        <w:spacing w:before="0" w:after="0" w:line="480" w:lineRule="exact"/>
        <w:rPr>
          <w:rFonts w:hint="eastAsia" w:eastAsia="宋体" w:cs="Arial"/>
          <w:bCs/>
          <w:szCs w:val="22"/>
          <w:highlight w:val="none"/>
        </w:rPr>
      </w:pPr>
      <w:r>
        <w:rPr>
          <w:rFonts w:hint="eastAsia" w:eastAsia="宋体" w:cs="Arial"/>
          <w:bCs/>
          <w:szCs w:val="22"/>
          <w:highlight w:val="none"/>
        </w:rPr>
        <w:t xml:space="preserve">七、本次招标联系方式</w:t>
      </w:r>
      <w:bookmarkEnd w:id="50"/>
      <w:r/>
      <w:bookmarkEnd w:id="51"/>
      <w:r/>
      <w:bookmarkEnd w:id="52"/>
      <w:r/>
      <w:bookmarkEnd w:id="53"/>
      <w:r/>
      <w:bookmarkEnd w:id="54"/>
      <w:r/>
      <w:bookmarkEnd w:id="55"/>
      <w:r>
        <w:rPr>
          <w:rFonts w:hint="eastAsia" w:eastAsia="宋体" w:cs="Arial"/>
          <w:bCs/>
          <w:szCs w:val="22"/>
          <w:highlight w:val="none"/>
        </w:rPr>
      </w:r>
      <w:r/>
    </w:p>
    <w:p>
      <w:pPr>
        <w:pStyle w:val="768"/>
        <w:ind w:firstLine="480"/>
        <w:jc w:val="left"/>
        <w:spacing w:line="480" w:lineRule="exact"/>
        <w:widowControl/>
        <w:rPr>
          <w:rFonts w:ascii="宋体" w:hAnsi="宋体"/>
          <w:sz w:val="24"/>
          <w:szCs w:val="24"/>
          <w:highlight w:val="none"/>
        </w:rPr>
      </w:pPr>
      <w:r>
        <w:rPr>
          <w:rFonts w:hint="eastAsia" w:ascii="宋体" w:hAnsi="宋体" w:cs="宋体"/>
          <w:sz w:val="24"/>
          <w:szCs w:val="24"/>
          <w:highlight w:val="none"/>
        </w:rPr>
        <w:t xml:space="preserve">1.采购人信息</w:t>
      </w:r>
      <w:r>
        <w:rPr>
          <w:rFonts w:ascii="宋体" w:hAnsi="宋体"/>
          <w:sz w:val="24"/>
          <w:szCs w:val="24"/>
          <w:highlight w:val="none"/>
        </w:rPr>
      </w:r>
      <w:r/>
    </w:p>
    <w:p>
      <w:pPr>
        <w:pStyle w:val="768"/>
        <w:ind w:firstLine="480"/>
        <w:jc w:val="left"/>
        <w:spacing w:line="480" w:lineRule="exact"/>
        <w:rPr>
          <w:rFonts w:ascii="宋体" w:hAnsi="宋体" w:eastAsia="宋体"/>
          <w:sz w:val="24"/>
          <w:szCs w:val="24"/>
          <w:highlight w:val="non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eastAsia="zh-CN"/>
        </w:rPr>
        <w:t xml:space="preserve">泗洪县太平实验学校</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768"/>
        <w:ind w:firstLine="480"/>
        <w:jc w:val="left"/>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泗洪县太平镇太平街</w:t>
      </w:r>
      <w:r>
        <w:rPr>
          <w:rFonts w:hint="eastAsia" w:ascii="宋体" w:hAnsi="宋体" w:eastAsia="宋体"/>
          <w:sz w:val="24"/>
          <w:szCs w:val="24"/>
          <w:highlight w:val="none"/>
          <w:lang w:val="en-US" w:eastAsia="zh-CN"/>
        </w:rPr>
      </w:r>
      <w:r/>
    </w:p>
    <w:p>
      <w:pPr>
        <w:pStyle w:val="768"/>
        <w:ind w:firstLine="480"/>
        <w:jc w:val="left"/>
        <w:spacing w:line="480" w:lineRule="exact"/>
        <w:rPr>
          <w:rFonts w:hint="eastAsia" w:ascii="宋体" w:hAnsi="宋体"/>
          <w:sz w:val="24"/>
          <w:szCs w:val="24"/>
          <w:highlight w:val="none"/>
          <w:u w:val="single"/>
        </w:rPr>
      </w:pPr>
      <w:r>
        <w:rPr>
          <w:rFonts w:hint="eastAsia" w:ascii="宋体" w:hAnsi="宋体"/>
          <w:sz w:val="24"/>
          <w:szCs w:val="24"/>
          <w:highlight w:val="none"/>
        </w:rPr>
        <w:t xml:space="preserve">联 系 人</w:t>
      </w:r>
      <w:r>
        <w:rPr>
          <w:rFonts w:hint="eastAsia" w:ascii="宋体" w:hAnsi="宋体" w:eastAsia="宋体" w:cs="Times New Roman"/>
          <w:sz w:val="24"/>
          <w:szCs w:val="24"/>
          <w:highlight w:val="none"/>
          <w:u w:val="none"/>
          <w:lang w:val="en-US" w:eastAsia="zh-CN"/>
        </w:rPr>
        <w:t xml:space="preserve">：</w:t>
      </w:r>
      <w:r>
        <w:rPr>
          <w:rFonts w:hint="eastAsia" w:ascii="宋体" w:hAnsi="宋体" w:eastAsia="宋体" w:cs="Times New Roman"/>
          <w:sz w:val="24"/>
          <w:szCs w:val="24"/>
          <w:highlight w:val="none"/>
          <w:u w:val="single"/>
          <w:lang w:val="en-US" w:eastAsia="zh-CN"/>
        </w:rPr>
        <w:t xml:space="preserve"> 项威 </w:t>
      </w:r>
      <w:r>
        <w:rPr>
          <w:rFonts w:hint="eastAsia" w:ascii="宋体" w:hAnsi="宋体"/>
          <w:sz w:val="24"/>
          <w:szCs w:val="24"/>
          <w:highlight w:val="none"/>
          <w:u w:val="single"/>
        </w:rPr>
      </w:r>
      <w:r/>
    </w:p>
    <w:p>
      <w:pPr>
        <w:pStyle w:val="768"/>
        <w:ind w:firstLine="480"/>
        <w:jc w:val="left"/>
        <w:spacing w:line="480" w:lineRule="exact"/>
        <w:rPr>
          <w:rFonts w:ascii="宋体" w:hAnsi="宋体"/>
          <w:sz w:val="24"/>
          <w:szCs w:val="24"/>
          <w:highlight w:val="none"/>
          <w:u w:val="single"/>
        </w:rPr>
      </w:pPr>
      <w:r>
        <w:rPr>
          <w:rFonts w:hint="eastAsia" w:ascii="宋体" w:hAnsi="宋体"/>
          <w:sz w:val="24"/>
          <w:szCs w:val="24"/>
          <w:highlight w:val="none"/>
        </w:rPr>
        <w:t xml:space="preserve">联系方式：</w:t>
      </w:r>
      <w:bookmarkStart w:id="57" w:name="_Toc28359086"/>
      <w:r/>
      <w:bookmarkStart w:id="58" w:name="_Toc28359009"/>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13951299198 </w:t>
      </w:r>
      <w:r>
        <w:rPr>
          <w:rFonts w:ascii="宋体" w:hAnsi="宋体"/>
          <w:sz w:val="24"/>
          <w:szCs w:val="24"/>
          <w:highlight w:val="none"/>
          <w:u w:val="single"/>
        </w:rPr>
      </w:r>
      <w:r/>
    </w:p>
    <w:p>
      <w:pPr>
        <w:pStyle w:val="768"/>
        <w:ind w:firstLine="480"/>
        <w:jc w:val="left"/>
        <w:spacing w:line="480" w:lineRule="exact"/>
        <w:rPr>
          <w:rFonts w:ascii="宋体" w:hAnsi="宋体"/>
          <w:sz w:val="24"/>
          <w:szCs w:val="24"/>
          <w:highlight w:val="none"/>
        </w:rPr>
      </w:pPr>
      <w:r>
        <w:rPr>
          <w:rFonts w:hint="eastAsia" w:ascii="宋体" w:hAnsi="宋体" w:cs="宋体"/>
          <w:sz w:val="24"/>
          <w:szCs w:val="24"/>
          <w:highlight w:val="none"/>
        </w:rPr>
        <w:t xml:space="preserve">2.</w:t>
      </w:r>
      <w:bookmarkEnd w:id="57"/>
      <w:r/>
      <w:bookmarkEnd w:id="58"/>
      <w:r>
        <w:rPr>
          <w:rFonts w:hint="eastAsia" w:ascii="宋体" w:hAnsi="宋体" w:cs="宋体"/>
          <w:sz w:val="24"/>
          <w:szCs w:val="24"/>
          <w:highlight w:val="none"/>
        </w:rPr>
        <w:t xml:space="preserve">采购代理机构信息</w:t>
      </w:r>
      <w:r>
        <w:rPr>
          <w:rFonts w:ascii="宋体" w:hAnsi="宋体"/>
          <w:sz w:val="24"/>
          <w:szCs w:val="24"/>
          <w:highlight w:val="none"/>
        </w:rPr>
      </w:r>
      <w:r/>
    </w:p>
    <w:p>
      <w:pPr>
        <w:pStyle w:val="768"/>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江苏盛力项目管理有限公司</w:t>
      </w:r>
      <w:r>
        <w:rPr>
          <w:rFonts w:hint="eastAsia" w:ascii="宋体" w:hAnsi="宋体"/>
          <w:sz w:val="24"/>
          <w:szCs w:val="24"/>
          <w:highlight w:val="none"/>
          <w:u w:val="single"/>
          <w:lang w:val="en-US" w:eastAsia="zh-CN"/>
        </w:rPr>
        <w:t xml:space="preserve"> </w:t>
      </w:r>
      <w:r>
        <w:rPr>
          <w:rFonts w:hint="eastAsia" w:ascii="宋体" w:hAnsi="宋体" w:eastAsia="宋体"/>
          <w:sz w:val="24"/>
          <w:szCs w:val="24"/>
          <w:highlight w:val="none"/>
          <w:lang w:val="en-US" w:eastAsia="zh-CN"/>
        </w:rPr>
      </w:r>
      <w:r/>
    </w:p>
    <w:p>
      <w:pPr>
        <w:pStyle w:val="768"/>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泗洪县金港湾东门南侧第一间二楼</w:t>
      </w:r>
      <w:r>
        <w:rPr>
          <w:rFonts w:hint="eastAsia" w:ascii="宋体" w:hAnsi="宋体"/>
          <w:sz w:val="24"/>
          <w:szCs w:val="24"/>
          <w:highlight w:val="none"/>
          <w:u w:val="single"/>
          <w:lang w:val="en-US" w:eastAsia="zh-CN"/>
        </w:rPr>
        <w:t xml:space="preserve"> </w:t>
      </w:r>
      <w:r>
        <w:rPr>
          <w:rFonts w:hint="eastAsia" w:ascii="宋体" w:hAnsi="宋体" w:eastAsia="宋体"/>
          <w:sz w:val="24"/>
          <w:szCs w:val="24"/>
          <w:highlight w:val="none"/>
          <w:lang w:val="en-US" w:eastAsia="zh-CN"/>
        </w:rPr>
      </w:r>
      <w:r/>
    </w:p>
    <w:p>
      <w:pPr>
        <w:pStyle w:val="768"/>
        <w:ind w:firstLine="480"/>
        <w:spacing w:line="48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江娟</w:t>
      </w:r>
      <w:r>
        <w:rPr>
          <w:rFonts w:hint="eastAsia" w:ascii="宋体" w:hAnsi="宋体"/>
          <w:sz w:val="24"/>
          <w:szCs w:val="24"/>
          <w:highlight w:val="none"/>
          <w:u w:val="single"/>
        </w:rPr>
        <w:t xml:space="preserve"> </w:t>
      </w:r>
      <w:r>
        <w:rPr>
          <w:rFonts w:ascii="宋体" w:hAnsi="宋体"/>
          <w:sz w:val="24"/>
          <w:szCs w:val="24"/>
          <w:highlight w:val="none"/>
        </w:rPr>
      </w:r>
      <w:r/>
    </w:p>
    <w:p>
      <w:pPr>
        <w:pStyle w:val="768"/>
        <w:ind w:firstLine="480"/>
        <w:spacing w:line="480" w:lineRule="exact"/>
        <w:rPr>
          <w:rFonts w:ascii="仿宋_GB2312"/>
          <w:sz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18071686767 </w:t>
      </w:r>
      <w:r>
        <w:rPr>
          <w:rFonts w:ascii="仿宋_GB2312"/>
          <w:sz w:val="24"/>
          <w:highlight w:val="none"/>
        </w:rPr>
      </w:r>
      <w:r/>
    </w:p>
    <w:p>
      <w:pPr>
        <w:pStyle w:val="768"/>
        <w:ind w:firstLine="480"/>
        <w:spacing w:line="480" w:lineRule="exact"/>
        <w:rPr>
          <w:rFonts w:ascii="仿宋_GB2312" w:eastAsia="仿宋_GB2312"/>
          <w:sz w:val="24"/>
          <w:highlight w:val="none"/>
        </w:rPr>
      </w:pPr>
      <w:r>
        <w:rPr>
          <w:rFonts w:ascii="仿宋_GB2312" w:eastAsia="仿宋_GB2312"/>
          <w:sz w:val="24"/>
          <w:highlight w:val="none"/>
        </w:rPr>
      </w:r>
      <w:r/>
    </w:p>
    <w:p>
      <w:pPr>
        <w:pStyle w:val="768"/>
        <w:ind w:firstLine="480"/>
        <w:jc w:val="center"/>
        <w:spacing w:line="480" w:lineRule="exact"/>
        <w:rPr>
          <w:rFonts w:hint="eastAsia" w:eastAsia="黑体"/>
          <w:sz w:val="44"/>
          <w:highlight w:val="none"/>
        </w:rPr>
        <w:outlineLvl w:val="0"/>
      </w:pPr>
      <w:r>
        <w:rPr>
          <w:rFonts w:hint="eastAsia" w:ascii="仿宋_GB2312" w:eastAsia="仿宋_GB2312"/>
          <w:sz w:val="24"/>
          <w:highlight w:val="none"/>
        </w:rPr>
        <w:br w:type="page" w:clear="all"/>
      </w:r>
      <w:bookmarkStart w:id="59" w:name="_Toc81575153"/>
      <w:r/>
      <w:bookmarkStart w:id="60" w:name="_Toc11687"/>
      <w:r/>
      <w:bookmarkStart w:id="61" w:name="_Toc15265"/>
      <w:r/>
      <w:bookmarkStart w:id="62" w:name="_Toc81575190"/>
      <w:r/>
      <w:bookmarkStart w:id="63" w:name="_Toc9425"/>
      <w:r>
        <w:rPr>
          <w:rFonts w:hint="eastAsia" w:eastAsia="黑体"/>
          <w:sz w:val="44"/>
          <w:highlight w:val="none"/>
        </w:rPr>
        <w:t xml:space="preserve">第二章  投标人须知</w:t>
      </w:r>
      <w:bookmarkEnd w:id="59"/>
      <w:r/>
      <w:bookmarkEnd w:id="60"/>
      <w:r/>
      <w:bookmarkEnd w:id="61"/>
      <w:r/>
      <w:bookmarkEnd w:id="62"/>
      <w:r/>
      <w:bookmarkEnd w:id="63"/>
      <w:r>
        <w:rPr>
          <w:rFonts w:hint="eastAsia" w:eastAsia="黑体"/>
          <w:sz w:val="44"/>
          <w:highlight w:val="none"/>
        </w:rPr>
      </w:r>
      <w:r/>
    </w:p>
    <w:p>
      <w:pPr>
        <w:pStyle w:val="770"/>
        <w:spacing w:before="0" w:after="120" w:line="520" w:lineRule="exact"/>
        <w:rPr>
          <w:rFonts w:hint="eastAsia" w:eastAsia="宋体" w:cs="Arial"/>
          <w:bCs/>
          <w:szCs w:val="22"/>
          <w:highlight w:val="none"/>
        </w:rPr>
      </w:pPr>
      <w:r/>
      <w:bookmarkStart w:id="64" w:name="_Toc4529"/>
      <w:r>
        <w:rPr>
          <w:rFonts w:hint="eastAsia" w:eastAsia="宋体" w:cs="Arial"/>
          <w:bCs/>
          <w:szCs w:val="22"/>
          <w:highlight w:val="none"/>
        </w:rPr>
        <w:t xml:space="preserve">投标人须知前附表：</w:t>
      </w:r>
      <w:bookmarkEnd w:id="64"/>
      <w:r>
        <w:rPr>
          <w:rFonts w:hint="eastAsia" w:eastAsia="宋体" w:cs="Arial"/>
          <w:bCs/>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68"/>
              <w:jc w:val="center"/>
              <w:rPr>
                <w:rFonts w:hint="eastAsia" w:ascii="仿宋_GB2312" w:hAnsi="仿宋"/>
                <w:b/>
                <w:sz w:val="24"/>
                <w:szCs w:val="24"/>
                <w:highlight w:val="none"/>
              </w:rPr>
              <w:framePr w:vAnchor="text" w:hAnchor="page" w:x="1530" w:y="228"/>
            </w:pPr>
            <w:r/>
            <w:bookmarkStart w:id="65" w:name="_Toc81575191"/>
            <w:r/>
            <w:bookmarkStart w:id="66" w:name="_Toc29262"/>
            <w:r/>
            <w:bookmarkStart w:id="67" w:name="_Toc81575154"/>
            <w:r>
              <w:rPr>
                <w:rFonts w:hint="eastAsia" w:ascii="仿宋_GB2312" w:hAnsi="仿宋"/>
                <w:b/>
                <w:sz w:val="24"/>
                <w:szCs w:val="24"/>
                <w:highlight w:val="none"/>
              </w:rPr>
              <w:t xml:space="preserve">序号</w:t>
            </w:r>
            <w:r>
              <w:rPr>
                <w:rFonts w:hint="eastAsia" w:ascii="仿宋_GB2312" w:hAnsi="仿宋"/>
                <w:b/>
                <w:sz w:val="24"/>
                <w:szCs w:val="24"/>
                <w:highlight w:val="none"/>
              </w:rPr>
            </w:r>
            <w:r/>
          </w:p>
        </w:tc>
        <w:tc>
          <w:tcPr>
            <w:tcW w:w="1772" w:type="dxa"/>
            <w:vAlign w:val="center"/>
            <w:textDirection w:val="lrTb"/>
            <w:noWrap w:val="false"/>
          </w:tcPr>
          <w:p>
            <w:pPr>
              <w:pStyle w:val="768"/>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内容</w:t>
            </w:r>
            <w:r>
              <w:rPr>
                <w:rFonts w:hint="eastAsia" w:ascii="仿宋_GB2312" w:hAnsi="仿宋"/>
                <w:b/>
                <w:sz w:val="24"/>
                <w:szCs w:val="24"/>
                <w:highlight w:val="none"/>
              </w:rPr>
            </w:r>
            <w:r/>
          </w:p>
        </w:tc>
        <w:tc>
          <w:tcPr>
            <w:tcW w:w="6579" w:type="dxa"/>
            <w:vAlign w:val="center"/>
            <w:textDirection w:val="lrTb"/>
            <w:noWrap w:val="false"/>
          </w:tcPr>
          <w:p>
            <w:pPr>
              <w:pStyle w:val="768"/>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说明及要求</w:t>
            </w:r>
            <w:r>
              <w:rPr>
                <w:rFonts w:hint="eastAsia" w:ascii="仿宋_GB2312" w:hAnsi="仿宋"/>
                <w:b/>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项目属性</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本项目</w:t>
            </w:r>
            <w:bookmarkStart w:id="68" w:name="EB9a5853ee094f4f0ea6ec3169265f6f2c"/>
            <w:r>
              <w:rPr>
                <w:rFonts w:hint="eastAsia" w:ascii="Times New Roman" w:hAnsi="Times New Roman" w:cs="仿宋"/>
                <w:sz w:val="24"/>
                <w:szCs w:val="24"/>
                <w:highlight w:val="none"/>
              </w:rPr>
              <w:t xml:space="preserve">属性按以下第</w:t>
            </w:r>
            <w:bookmarkEnd w:id="68"/>
            <w:r>
              <w:rPr>
                <w:rFonts w:hint="eastAsia" w:ascii="Times New Roman" w:hAnsi="Times New Roman" w:cs="仿宋"/>
                <w:sz w:val="24"/>
                <w:szCs w:val="24"/>
                <w:highlight w:val="none"/>
                <w:u w:val="single"/>
              </w:rPr>
              <w:t xml:space="preserve"> 1 </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1.货物</w:t>
            </w:r>
            <w:bookmarkStart w:id="69" w:name="EBd5c6c026f9674c39b21b31ecd0c1e7fa"/>
            <w:r>
              <w:rPr>
                <w:rFonts w:hint="eastAsia" w:ascii="Times New Roman" w:hAnsi="Times New Roman" w:cs="仿宋"/>
                <w:sz w:val="24"/>
                <w:szCs w:val="24"/>
                <w:highlight w:val="none"/>
              </w:rPr>
              <w:t xml:space="preserve">采购；2.</w:t>
            </w:r>
            <w:bookmarkEnd w:id="69"/>
            <w:r>
              <w:rPr>
                <w:rFonts w:hint="eastAsia" w:ascii="Times New Roman" w:hAnsi="Times New Roman" w:cs="仿宋"/>
                <w:sz w:val="24"/>
                <w:szCs w:val="24"/>
                <w:highlight w:val="none"/>
              </w:rPr>
              <w:t xml:space="preserve">服务</w:t>
            </w:r>
            <w:bookmarkStart w:id="70" w:name="EBf7d2a4f44ecb4166a93ea852e73be69f"/>
            <w:r>
              <w:rPr>
                <w:rFonts w:hint="eastAsia" w:ascii="Times New Roman" w:hAnsi="Times New Roman" w:cs="仿宋"/>
                <w:sz w:val="24"/>
                <w:szCs w:val="24"/>
                <w:highlight w:val="none"/>
              </w:rPr>
              <w:t xml:space="preserve">采购；3.</w:t>
            </w:r>
            <w:bookmarkEnd w:id="70"/>
            <w:r>
              <w:rPr>
                <w:rFonts w:hint="eastAsia" w:ascii="Times New Roman" w:hAnsi="Times New Roman" w:cs="仿宋"/>
                <w:sz w:val="24"/>
                <w:szCs w:val="24"/>
                <w:highlight w:val="none"/>
              </w:rPr>
              <w:t xml:space="preserve">工程采购。</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投标有效期</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bookmarkStart w:id="71" w:name="EBd40b5fb42f2944a3b45e579ce3941f02"/>
            <w:r/>
            <w:bookmarkEnd w:id="71"/>
            <w:r>
              <w:rPr>
                <w:rFonts w:hint="eastAsia" w:ascii="Times New Roman" w:hAnsi="Times New Roman" w:cs="仿宋"/>
                <w:sz w:val="24"/>
                <w:szCs w:val="24"/>
                <w:highlight w:val="none"/>
              </w:rPr>
              <w:t xml:space="preserve">60日（从提交投标文件截止之日起算）</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3</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投标文件份数</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提交加密电子投标文件</w:t>
            </w:r>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份。</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4</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开标</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“苏采云”政府采购交易系统网上开标大厅进行不见面开标。</w:t>
            </w:r>
            <w:r>
              <w:rPr>
                <w:rFonts w:hint="eastAsia" w:ascii="Times New Roman" w:hAnsi="Times New Roman" w:cs="仿宋"/>
                <w:sz w:val="24"/>
                <w:szCs w:val="24"/>
                <w:highlight w:val="none"/>
              </w:rPr>
            </w:r>
            <w:r/>
          </w:p>
        </w:tc>
      </w:tr>
      <w:tr>
        <w:trPr>
          <w:trHeight w:val="90"/>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5</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进口产品</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768"/>
              <w:jc w:val="left"/>
              <w:spacing w:line="360" w:lineRule="exact"/>
              <w:widowControl/>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2.不接受进口产品。</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6</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评标办法</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具体评标办法详见招标文件第三章。</w:t>
            </w:r>
            <w:r>
              <w:rPr>
                <w:rFonts w:hint="eastAsia" w:ascii="Times New Roman" w:hAnsi="Times New Roman" w:cs="仿宋"/>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cs="仿宋"/>
                <w:sz w:val="24"/>
                <w:szCs w:val="24"/>
                <w:highlight w:val="none"/>
                <w:u w:val="single"/>
              </w:rPr>
              <w:t xml:space="preserve">3</w:t>
            </w:r>
            <w:r>
              <w:rPr>
                <w:rFonts w:hint="eastAsia" w:ascii="Times New Roman" w:hAnsi="Times New Roman" w:cs="仿宋"/>
                <w:sz w:val="24"/>
                <w:szCs w:val="24"/>
                <w:highlight w:val="none"/>
              </w:rPr>
              <w:t xml:space="preserve">名中标候选人。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7</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确定中标人</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种方式确定中标人：</w:t>
            </w:r>
            <w:r>
              <w:rPr>
                <w:rFonts w:ascii="Times New Roman" w:hAnsi="Times New Roman" w:cs="仿宋"/>
                <w:color w:val="000000"/>
                <w:sz w:val="24"/>
                <w:szCs w:val="24"/>
                <w:highlight w:val="none"/>
              </w:rPr>
            </w:r>
            <w:r/>
          </w:p>
          <w:p>
            <w:pPr>
              <w:pStyle w:val="768"/>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1.采购人按规定在评标委员会推荐的中标候选人中确定中标人；</w:t>
            </w:r>
            <w:r>
              <w:rPr>
                <w:rFonts w:ascii="Times New Roman" w:hAnsi="Times New Roman" w:cs="仿宋"/>
                <w:color w:val="000000"/>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color w:val="000000"/>
                <w:sz w:val="24"/>
                <w:szCs w:val="24"/>
                <w:highlight w:val="none"/>
              </w:rPr>
              <w:t xml:space="preserve">2.采购人授权评标委员会直接确定中标人。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8</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分包要求</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本项目的非主体、非关键性工作是否允许分包按以下第1种方式确定：</w:t>
            </w:r>
            <w:r>
              <w:rPr>
                <w:rFonts w:hint="eastAsia" w:ascii="Times New Roman" w:hAnsi="Times New Roman" w:eastAsia="宋体" w:cs="仿宋"/>
                <w:color w:val="000000"/>
                <w:sz w:val="24"/>
                <w:szCs w:val="24"/>
                <w:highlight w:val="none"/>
              </w:rPr>
            </w:r>
            <w:r/>
          </w:p>
          <w:p>
            <w:pPr>
              <w:pStyle w:val="768"/>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1.允许分包，允许大中型企业向一家或者多家小微企业分包，分包具体内容、金额或比例：施工类。</w:t>
            </w:r>
            <w:r>
              <w:rPr>
                <w:rFonts w:hint="eastAsia" w:ascii="Times New Roman" w:hAnsi="Times New Roman" w:eastAsia="宋体" w:cs="仿宋"/>
                <w:color w:val="000000"/>
                <w:sz w:val="24"/>
                <w:szCs w:val="24"/>
                <w:highlight w:val="none"/>
              </w:rPr>
            </w:r>
            <w:r/>
          </w:p>
          <w:p>
            <w:pPr>
              <w:pStyle w:val="768"/>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分包企业要求：具有建筑工程施工总承包三级及以上资质或市政公用工程施工总承包三级及以上企业资质。</w:t>
            </w:r>
            <w:r>
              <w:rPr>
                <w:rFonts w:hint="eastAsia" w:ascii="Times New Roman" w:hAnsi="Times New Roman" w:eastAsia="宋体" w:cs="仿宋"/>
                <w:color w:val="000000"/>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2.不允许分包。</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9</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代理费用收取方式及标准</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eastAsia="宋体" w:cs="仿宋"/>
                <w:sz w:val="24"/>
                <w:szCs w:val="24"/>
                <w:highlight w:val="none"/>
                <w:lang w:val="en-US" w:eastAsia="zh-CN"/>
              </w:rPr>
              <w:framePr w:vAnchor="text" w:hAnchor="page" w:x="1530" w:y="228"/>
            </w:pPr>
            <w:r/>
            <w:bookmarkStart w:id="72" w:name="EBfe735bb6fc4d4e5e9e350f940db98c5f"/>
            <w:r/>
            <w:bookmarkEnd w:id="72"/>
            <w:r>
              <w:rPr>
                <w:rFonts w:ascii="Times New Roman" w:hAnsi="Times New Roman" w:cs="仿宋"/>
                <w:sz w:val="24"/>
                <w:szCs w:val="24"/>
                <w:highlight w:val="none"/>
              </w:rPr>
              <w:t xml:space="preserve">代理费根据中标金额按《江苏省政府采购代理服务收费指导意见》苏政采协〔2024〕20号文计算×21% ，可以采用数字人民币支付。</w:t>
            </w:r>
            <w:r>
              <w:rPr>
                <w:rFonts w:hint="eastAsia" w:ascii="宋体" w:hAnsi="宋体" w:cs="宋体"/>
                <w:color w:val="000000"/>
                <w:sz w:val="24"/>
                <w:szCs w:val="24"/>
                <w:highlight w:val="none"/>
                <w:lang w:val="zh-CN"/>
              </w:rPr>
              <w:t xml:space="preserve">由采购人</w:t>
            </w:r>
            <w:r>
              <w:rPr>
                <w:rFonts w:hint="eastAsia" w:ascii="宋体" w:hAnsi="宋体" w:cs="宋体"/>
                <w:color w:val="000000"/>
                <w:sz w:val="24"/>
                <w:szCs w:val="24"/>
                <w:highlight w:val="none"/>
                <w:lang w:val="en-US" w:eastAsia="zh-CN"/>
              </w:rPr>
              <w:t xml:space="preserve">支付。</w:t>
            </w:r>
            <w:r>
              <w:rPr>
                <w:rFonts w:hint="eastAsia" w:ascii="Times New Roman" w:hAnsi="Times New Roman" w:eastAsia="宋体" w:cs="仿宋"/>
                <w:sz w:val="24"/>
                <w:szCs w:val="24"/>
                <w:highlight w:val="none"/>
                <w:lang w:val="en-US" w:eastAsia="zh-CN"/>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10</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其他</w:t>
            </w:r>
            <w:bookmarkEnd w:id="65"/>
            <w:r/>
            <w:bookmarkEnd w:id="66"/>
            <w:r/>
            <w:bookmarkEnd w:id="67"/>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信用信息查询截止时间：资格审查结束前。由采购人在资格审查现场查询信用信息，网页截屏打印，查询结果留存并归档。</w:t>
            </w:r>
            <w:r>
              <w:rPr>
                <w:rFonts w:hint="eastAsia" w:ascii="Times New Roman" w:hAnsi="Times New Roman" w:cs="仿宋"/>
                <w:sz w:val="24"/>
                <w:szCs w:val="24"/>
                <w:highlight w:val="none"/>
              </w:rPr>
            </w:r>
            <w:r/>
          </w:p>
        </w:tc>
      </w:tr>
    </w:tbl>
    <w:p>
      <w:pPr>
        <w:pStyle w:val="768"/>
        <w:rPr>
          <w:sz w:val="20"/>
          <w:highlight w:val="none"/>
        </w:rPr>
      </w:pPr>
      <w:r>
        <w:rPr>
          <w:sz w:val="20"/>
          <w:highlight w:val="none"/>
        </w:rPr>
      </w:r>
      <w:r/>
    </w:p>
    <w:p>
      <w:pPr>
        <w:pStyle w:val="770"/>
        <w:ind w:firstLine="340"/>
        <w:spacing w:before="0" w:after="0" w:line="480" w:lineRule="exact"/>
        <w:rPr>
          <w:rFonts w:hint="eastAsia" w:eastAsia="宋体" w:cs="Arial"/>
          <w:bCs/>
          <w:szCs w:val="22"/>
          <w:highlight w:val="none"/>
        </w:rPr>
      </w:pPr>
      <w:r/>
      <w:bookmarkStart w:id="73" w:name="EB6eaaf474639940df900ef4965d71f450"/>
      <w:r/>
      <w:bookmarkEnd w:id="73"/>
      <w:r/>
      <w:bookmarkStart w:id="74" w:name="_Toc81575192"/>
      <w:r/>
      <w:bookmarkStart w:id="75" w:name="_Toc81575155"/>
      <w:r/>
      <w:bookmarkStart w:id="76" w:name="_Toc30953"/>
      <w:r/>
      <w:bookmarkStart w:id="77" w:name="_Toc8239"/>
      <w:r>
        <w:rPr>
          <w:rFonts w:hint="eastAsia" w:eastAsia="宋体" w:cs="Arial"/>
          <w:bCs/>
          <w:szCs w:val="22"/>
          <w:highlight w:val="none"/>
        </w:rPr>
        <w:t xml:space="preserve">一、总 则</w:t>
      </w:r>
      <w:bookmarkEnd w:id="74"/>
      <w:r/>
      <w:bookmarkEnd w:id="75"/>
      <w:r/>
      <w:bookmarkEnd w:id="76"/>
      <w:r/>
      <w:bookmarkEnd w:id="77"/>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1、招标方式</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本次采购采取公开招标方式。</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2、合格的投标人</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2.1满足招标公告中投标人的资格要求的规定。</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3、适用法律</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本次招标及由招标产生的合同受中华人民共和国的相关法律、法规制约和保护。</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4、投标费用</w:t>
      </w:r>
      <w:r>
        <w:rPr>
          <w:rFonts w:hint="eastAsia" w:ascii="Times New Roman" w:hAnsi="Times New Roman" w:cs="仿宋"/>
          <w:b/>
          <w:sz w:val="24"/>
          <w:highlight w:val="none"/>
        </w:rPr>
      </w:r>
      <w:r/>
    </w:p>
    <w:p>
      <w:pPr>
        <w:pStyle w:val="768"/>
        <w:ind w:firstLine="48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投标人应自行承担所有与参加投标有关的费用，无论投标过程中的做法和结果如何，采购代理机构在任何情况下均无义务和责任承担这些费用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8"/>
        <w:ind w:firstLine="480"/>
        <w:spacing w:line="480" w:lineRule="exact"/>
        <w:rPr>
          <w:rFonts w:ascii="Times New Roman" w:hAnsi="Times New Roman" w:cs="仿宋"/>
          <w:b/>
          <w:bCs/>
          <w:color w:val="000000"/>
          <w:sz w:val="24"/>
          <w:highlight w:val="none"/>
        </w:rPr>
      </w:pPr>
      <w:r/>
      <w:bookmarkStart w:id="78" w:name="_Toc15995"/>
      <w:r/>
      <w:bookmarkStart w:id="79" w:name="_Toc29306"/>
      <w:r/>
      <w:bookmarkStart w:id="80" w:name="_Toc81575156"/>
      <w:r/>
      <w:bookmarkStart w:id="81" w:name="_Toc81575193"/>
      <w:r>
        <w:rPr>
          <w:rFonts w:hint="eastAsia" w:ascii="Times New Roman" w:hAnsi="Times New Roman" w:cs="仿宋"/>
          <w:b/>
          <w:bCs/>
          <w:color w:val="000000"/>
          <w:sz w:val="24"/>
          <w:highlight w:val="none"/>
        </w:rPr>
        <w:t xml:space="preserve">5、招标文件的约束力</w:t>
      </w:r>
      <w:r>
        <w:rPr>
          <w:rFonts w:ascii="Times New Roman" w:hAnsi="Times New Roman" w:cs="仿宋"/>
          <w:b/>
          <w:bCs/>
          <w:color w:val="000000"/>
          <w:sz w:val="24"/>
          <w:highlight w:val="none"/>
        </w:rPr>
      </w:r>
      <w:r/>
    </w:p>
    <w:p>
      <w:pPr>
        <w:pStyle w:val="768"/>
        <w:ind w:firstLine="480"/>
        <w:spacing w:line="480" w:lineRule="exact"/>
        <w:rPr>
          <w:rFonts w:ascii="Times New Roman" w:hAnsi="Times New Roman" w:cs="仿宋"/>
          <w:color w:val="000000"/>
          <w:sz w:val="24"/>
          <w:highlight w:val="none"/>
          <w:u w:val="single"/>
        </w:rPr>
      </w:pPr>
      <w:r>
        <w:rPr>
          <w:rFonts w:hint="eastAsia" w:ascii="Times New Roman" w:hAnsi="Times New Roman" w:cs="仿宋"/>
          <w:color w:val="000000"/>
          <w:sz w:val="24"/>
          <w:highlight w:val="none"/>
        </w:rPr>
        <w:t xml:space="preserve">5.1 投标人一旦参加本项目采购活动，即被认为接受了本招标文件的规定和约束。</w:t>
      </w:r>
      <w:r>
        <w:rPr>
          <w:rFonts w:ascii="Times New Roman" w:hAnsi="Times New Roman" w:cs="仿宋"/>
          <w:color w:val="000000"/>
          <w:sz w:val="24"/>
          <w:highlight w:val="none"/>
          <w:u w:val="single"/>
        </w:rPr>
      </w:r>
      <w:r/>
    </w:p>
    <w:p>
      <w:pPr>
        <w:pStyle w:val="770"/>
        <w:ind w:firstLine="340"/>
        <w:spacing w:before="0" w:after="0" w:line="480" w:lineRule="exact"/>
        <w:rPr>
          <w:rFonts w:hint="eastAsia" w:eastAsia="宋体" w:cs="Arial"/>
          <w:bCs/>
          <w:szCs w:val="22"/>
          <w:highlight w:val="none"/>
        </w:rPr>
      </w:pPr>
      <w:r>
        <w:rPr>
          <w:rFonts w:hint="eastAsia" w:eastAsia="宋体" w:cs="Arial"/>
          <w:bCs/>
          <w:szCs w:val="22"/>
          <w:highlight w:val="none"/>
        </w:rPr>
        <w:t xml:space="preserve">二、招标文件</w:t>
      </w:r>
      <w:bookmarkEnd w:id="78"/>
      <w:r/>
      <w:bookmarkEnd w:id="79"/>
      <w:r/>
      <w:bookmarkEnd w:id="80"/>
      <w:r/>
      <w:bookmarkEnd w:id="81"/>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、招标文件构成</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.1招标文件由以下部分组成：</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第一章：投标邀请；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第二章：投标人须知；</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第三章：资格审查及评标办法；</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第五章：合同文本；</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第六章：投标文件格式。</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请仔细检查招标文件是否齐全，如有缺漏请立即与代理机构联系解决。</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、政府采购政策功能落实</w:t>
      </w:r>
      <w:r>
        <w:rPr>
          <w:rFonts w:hint="eastAsia" w:ascii="Times New Roman" w:hAnsi="Times New Roman" w:cs="仿宋"/>
          <w:b/>
          <w:sz w:val="24"/>
          <w:highlight w:val="none"/>
        </w:rPr>
      </w:r>
      <w:r/>
    </w:p>
    <w:p>
      <w:pPr>
        <w:pStyle w:val="768"/>
        <w:ind w:firstLine="482"/>
        <w:spacing w:line="480" w:lineRule="exact"/>
        <w:rPr>
          <w:rFonts w:ascii="Times New Roman" w:hAnsi="Times New Roman" w:eastAsia="宋体" w:cs="仿宋"/>
          <w:b/>
          <w:bCs/>
          <w:sz w:val="24"/>
          <w:highlight w:val="none"/>
          <w:u w:val="single"/>
          <w:lang w:val="en-US" w:eastAsia="zh-CN"/>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.1、</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.2、</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.3 、</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.4</w:t>
      </w:r>
      <w:r>
        <w:rPr>
          <w:rFonts w:hint="eastAsia" w:ascii="Times New Roman" w:hAnsi="Times New Roman" w:cs="仿宋"/>
          <w:b/>
          <w:bCs/>
          <w:sz w:val="24"/>
          <w:highlight w:val="none"/>
          <w:u w:val="single"/>
          <w:lang w:eastAsia="zh-CN"/>
        </w:rPr>
        <w:t xml:space="preserve">、</w:t>
      </w:r>
      <w:r>
        <w:rPr>
          <w:rFonts w:hint="eastAsia" w:ascii="Times New Roman" w:hAnsi="Times New Roman" w:cs="仿宋"/>
          <w:b/>
          <w:bCs/>
          <w:sz w:val="24"/>
          <w:highlight w:val="none"/>
          <w:u w:val="single"/>
          <w:lang w:val="en-US" w:eastAsia="zh-CN"/>
        </w:rPr>
        <w:t xml:space="preserve">7.5</w:t>
      </w:r>
      <w:r>
        <w:rPr>
          <w:rFonts w:ascii="Times New Roman" w:hAnsi="Times New Roman" w:eastAsia="宋体" w:cs="仿宋"/>
          <w:b/>
          <w:bCs/>
          <w:sz w:val="24"/>
          <w:highlight w:val="none"/>
          <w:u w:val="single"/>
          <w:lang w:val="en-US" w:eastAsia="zh-CN"/>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.1中小企业政策</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sz w:val="24"/>
          <w:highlight w:val="none"/>
        </w:rPr>
        <w:t xml:space="preserve">种政策落实：</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 / </w:t>
      </w:r>
      <w:r>
        <w:rPr>
          <w:rFonts w:hint="eastAsia" w:ascii="Times New Roman" w:hAnsi="Times New Roman" w:cs="仿宋"/>
          <w:sz w:val="24"/>
          <w:highlight w:val="none"/>
        </w:rPr>
        <w:t xml:space="preserve">扣除，用扣除后的价格参加评审。</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_GB2312"/>
          <w:sz w:val="24"/>
          <w:highlight w:val="none"/>
        </w:rPr>
        <w:t xml:space="preserve">在货物采购项目中，货物由中小企业制造，即货物由中小企业生产且使用该中小企业商号或者注册商标。</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highlight w:val="none"/>
          <w:u w:val="single"/>
        </w:rPr>
        <w:t xml:space="preserve">5</w:t>
      </w:r>
      <w:r>
        <w:rPr>
          <w:rFonts w:hint="eastAsia" w:ascii="Times New Roman" w:hAnsi="Times New Roman" w:cs="仿宋"/>
          <w:sz w:val="24"/>
          <w:highlight w:val="none"/>
        </w:rPr>
        <w:t xml:space="preserve">%（工程项目为</w:t>
      </w:r>
      <w:r>
        <w:rPr>
          <w:rFonts w:hint="eastAsia" w:ascii="Times New Roman" w:hAnsi="Times New Roman" w:cs="仿宋"/>
          <w:sz w:val="24"/>
          <w:highlight w:val="none"/>
          <w:u w:val="single"/>
        </w:rPr>
        <w:t xml:space="preserve">2</w:t>
      </w:r>
      <w:r>
        <w:rPr>
          <w:rFonts w:hint="eastAsia" w:ascii="Times New Roman" w:hAnsi="Times New Roman" w:cs="仿宋"/>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⑤联合体各方均为小型、微型企业（残疾人福利单位、监狱企业）的，联合体享受</w:t>
      </w:r>
      <w:r>
        <w:rPr>
          <w:rFonts w:hint="eastAsia" w:ascii="Times New Roman" w:hAnsi="Times New Roman" w:cs="仿宋"/>
          <w:sz w:val="24"/>
          <w:highlight w:val="none"/>
          <w:lang w:val="en-US" w:eastAsia="zh-CN"/>
        </w:rPr>
        <w:t xml:space="preserve">/</w:t>
      </w:r>
      <w:r>
        <w:rPr>
          <w:rFonts w:hint="eastAsia" w:ascii="Times New Roman" w:hAnsi="Times New Roman" w:cs="仿宋"/>
          <w:sz w:val="24"/>
          <w:highlight w:val="none"/>
        </w:rPr>
        <w:t xml:space="preserve">%价格扣除，用扣除后的价格参与评审。</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.2节能产品、环境标志产品</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.2.2采购人拟采购的产品属于优先采购的节能环保品目清单范围的，按以下条件优先采购：</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采用综合评分法的项目，对提供有效节能环保证书的投标人加分。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采用最低评标价法的项目，同等条件下优先推荐提供有效节能环保证书多的投标人为中标人。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.3政府采购需求标准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.3.1商品包装、快递包装政府采购需求标准（试行）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.3.2绿色数据中心政府采购需求标准（试行）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.3.3绿色建材政府采购需求标准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sz w:val="24"/>
          <w:highlight w:val="none"/>
        </w:rPr>
      </w:r>
      <w:r/>
    </w:p>
    <w:p>
      <w:pPr>
        <w:pStyle w:val="1153"/>
        <w:ind w:firstLine="480"/>
        <w:spacing w:line="480" w:lineRule="exact"/>
        <w:rPr>
          <w:rFonts w:ascii="宋体" w:hAnsi="宋体" w:cs="宋体"/>
          <w:b/>
          <w:bCs/>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b/>
          <w:bCs/>
          <w:color w:val="000000"/>
          <w:szCs w:val="24"/>
          <w:highlight w:val="none"/>
          <w:shd w:val="clear" w:color="auto" w:fill="ffffff"/>
        </w:rPr>
        <w:t xml:space="preserve">采购本国产品的支持政策</w:t>
      </w:r>
      <w:r>
        <w:rPr>
          <w:rFonts w:ascii="宋体" w:hAnsi="宋体" w:cs="宋体"/>
          <w:b/>
          <w:bCs/>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000000"/>
          <w:szCs w:val="24"/>
          <w:highlight w:val="none"/>
          <w:u w:val="single"/>
          <w:shd w:val="clear" w:color="auto" w:fill="ffffff"/>
        </w:rPr>
        <w:t xml:space="preserve">20%</w:t>
      </w:r>
      <w:r>
        <w:rPr>
          <w:rFonts w:hint="eastAsia" w:ascii="宋体" w:hAnsi="宋体" w:cs="宋体"/>
          <w:color w:val="000000"/>
          <w:szCs w:val="24"/>
          <w:highlight w:val="none"/>
          <w:shd w:val="clear" w:color="auto" w:fill="ffffff"/>
        </w:rPr>
        <w:t xml:space="preserve">的价格扣除，用扣除后的价格参与评审。</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.3 供应商需按照招标文件的要求提供《关于符合本国产品标准的声明函》（以下简称《声明函》），如不提供将不享受本国产品价格评审优惠。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Cs w:val="24"/>
          <w:highlight w:val="none"/>
          <w:shd w:val="clear" w:color="auto" w:fill="ffffff"/>
        </w:rPr>
      </w:r>
      <w:r/>
    </w:p>
    <w:p>
      <w:pPr>
        <w:pStyle w:val="768"/>
        <w:ind w:firstLine="480"/>
        <w:spacing w:line="480" w:lineRule="exact"/>
        <w:rPr>
          <w:rFonts w:hint="eastAsia" w:ascii="Times New Roman" w:hAnsi="Times New Roman" w:cs="仿宋"/>
          <w:sz w:val="24"/>
          <w:highlight w:val="none"/>
        </w:rPr>
      </w:pPr>
      <w:r>
        <w:rPr>
          <w:rFonts w:hint="eastAsia" w:ascii="宋体" w:hAnsi="宋体" w:cs="宋体"/>
          <w:color w:val="000000"/>
          <w:sz w:val="24"/>
          <w:highlight w:val="none"/>
        </w:rPr>
        <w:t xml:space="preserve">7.5</w:t>
      </w:r>
      <w:r>
        <w:rPr>
          <w:rFonts w:hint="eastAsia" w:ascii="宋体" w:hAnsi="宋体" w:cs="宋体"/>
          <w:color w:val="000000"/>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、招标文件的澄清或修改</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.2招标文件的澄清、修改将在原公告媒体上发布更正公告，澄清、修改文件均作为招标文件的组成部分，并对投标人具有约束力。</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.3投标人应及时登录“苏采云”系统获取澄清答疑文件（修改后的招标文件），如投标人未能及时下载澄清答疑文件，造成的相关责任由投标人承担。</w:t>
      </w:r>
      <w:r>
        <w:rPr>
          <w:rFonts w:hint="eastAsia" w:ascii="Times New Roman" w:hAnsi="Times New Roman" w:cs="仿宋"/>
          <w:sz w:val="24"/>
          <w:highlight w:val="none"/>
        </w:rPr>
      </w:r>
      <w:r/>
    </w:p>
    <w:p>
      <w:pPr>
        <w:pStyle w:val="770"/>
        <w:ind w:firstLine="340"/>
        <w:spacing w:before="0" w:after="0" w:line="480" w:lineRule="exact"/>
        <w:rPr>
          <w:rFonts w:hint="eastAsia" w:eastAsia="宋体" w:cs="Arial"/>
          <w:bCs/>
          <w:szCs w:val="22"/>
          <w:highlight w:val="none"/>
        </w:rPr>
      </w:pPr>
      <w:r/>
      <w:bookmarkStart w:id="82" w:name="_Toc5574"/>
      <w:r/>
      <w:bookmarkStart w:id="83" w:name="_Toc11461"/>
      <w:r/>
      <w:bookmarkStart w:id="84" w:name="_Toc81575194"/>
      <w:r/>
      <w:bookmarkStart w:id="85" w:name="_Toc81575157"/>
      <w:r>
        <w:rPr>
          <w:rFonts w:hint="eastAsia" w:eastAsia="宋体" w:cs="Arial"/>
          <w:bCs/>
          <w:szCs w:val="22"/>
          <w:highlight w:val="none"/>
        </w:rPr>
        <w:t xml:space="preserve">三、投标文件的编制</w:t>
      </w:r>
      <w:bookmarkEnd w:id="82"/>
      <w:r/>
      <w:bookmarkEnd w:id="83"/>
      <w:r/>
      <w:bookmarkEnd w:id="84"/>
      <w:r/>
      <w:bookmarkEnd w:id="85"/>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、投标文件的编制要求</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.1投标人应仔细阅读“招标文件”的所有内容，保证所提供的全部资料的真实性、完整性及有效性，以使其投标对“招标文件”作出实质性响应。</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.2投标文件要求加盖电子签章之处，应按要求加盖投标人数字证书的电子签章。其他需要盖章但未明确要求电子签章的，投标人可按要求加盖公章后上传材料电子件或直接加盖电子签章。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、投标文件构成</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bCs/>
          <w:sz w:val="24"/>
          <w:highlight w:val="none"/>
        </w:rPr>
      </w:pPr>
      <w:r>
        <w:rPr>
          <w:rFonts w:hint="eastAsia" w:ascii="Times New Roman" w:hAnsi="Times New Roman" w:cs="仿宋"/>
          <w:sz w:val="24"/>
          <w:highlight w:val="none"/>
          <w:lang w:val="en-US" w:eastAsia="zh-CN"/>
        </w:rPr>
        <w:t xml:space="preserve">10</w:t>
      </w:r>
      <w:r>
        <w:rPr>
          <w:rFonts w:hint="eastAsia" w:ascii="Times New Roman" w:hAnsi="Times New Roman" w:cs="仿宋"/>
          <w:sz w:val="24"/>
          <w:highlight w:val="none"/>
        </w:rPr>
        <w:t xml:space="preserve">.1投标文件包括资格证明文件、开标一览表、分项报价表、响应及偏离表、投标函、其他证明文件等部分。</w:t>
      </w:r>
      <w:r>
        <w:rPr>
          <w:rFonts w:hint="eastAsia" w:ascii="Times New Roman" w:hAnsi="Times New Roman" w:cs="仿宋"/>
          <w:bCs/>
          <w:sz w:val="24"/>
          <w:highlight w:val="none"/>
        </w:rPr>
        <w:t xml:space="preserve">投标文件构成资料为非中文时应提供中文译版。</w:t>
      </w:r>
      <w:bookmarkStart w:id="86" w:name="EBc50e2bb832bb43068403b10c1cce6141"/>
      <w:r>
        <w:rPr>
          <w:rFonts w:ascii="Times New Roman" w:hAnsi="Times New Roman" w:cs="仿宋"/>
          <w:bCs/>
          <w:sz w:val="24"/>
          <w:highlight w:val="none"/>
        </w:rPr>
      </w:r>
      <w:r/>
    </w:p>
    <w:p>
      <w:pPr>
        <w:pStyle w:val="768"/>
        <w:ind w:firstLine="482"/>
        <w:spacing w:line="480" w:lineRule="exact"/>
        <w:rPr>
          <w:rFonts w:ascii="Times New Roman" w:hAnsi="Times New Roman" w:cs="仿宋"/>
          <w:bCs/>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Pr>
          <w:rFonts w:ascii="Times New Roman" w:hAnsi="Times New Roman" w:cs="仿宋"/>
          <w:bCs/>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、投标报价</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.1报价为一次报价，本项目不接受备选的投标方案或有选择的报价，只允许有一个报价。</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.2报价注意事项：投标价格一律以人民币计算，以元为单位标注，最多保留至小数点后两位，招标文件有规定的按招标文件执行。</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rPr>
        <w:t xml:space="preserve">、投标保证金</w:t>
      </w:r>
      <w:bookmarkStart w:id="87" w:name="EB183a0bf075204c54a4ff090f1aecaaa7"/>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本项目不收取投标保证金。</w:t>
      </w:r>
      <w:bookmarkEnd w:id="87"/>
      <w:r>
        <w:rPr>
          <w:rFonts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3</w:t>
      </w:r>
      <w:r>
        <w:rPr>
          <w:rFonts w:hint="eastAsia" w:ascii="Times New Roman" w:hAnsi="Times New Roman" w:cs="仿宋"/>
          <w:b/>
          <w:sz w:val="24"/>
          <w:highlight w:val="none"/>
        </w:rPr>
        <w:t xml:space="preserve">、投标有效期</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.1在投标人须知前附表规定的投标有效期内，投标有效期从提交投标文件的截止之日起算。投标有效期比规定短的将被视为未实质性响应招标文件。</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sz w:val="24"/>
          <w:highlight w:val="none"/>
        </w:rPr>
      </w:r>
      <w:r/>
    </w:p>
    <w:p>
      <w:pPr>
        <w:pStyle w:val="770"/>
        <w:ind w:firstLine="340"/>
        <w:spacing w:before="0" w:after="0" w:line="480" w:lineRule="exact"/>
        <w:rPr>
          <w:rFonts w:hint="eastAsia" w:eastAsia="宋体" w:cs="Arial"/>
          <w:bCs/>
          <w:szCs w:val="22"/>
          <w:highlight w:val="none"/>
        </w:rPr>
      </w:pPr>
      <w:r/>
      <w:bookmarkStart w:id="88" w:name="_Toc23443"/>
      <w:r/>
      <w:bookmarkStart w:id="89" w:name="_Toc81575158"/>
      <w:r/>
      <w:bookmarkStart w:id="90" w:name="_Toc2773"/>
      <w:r/>
      <w:bookmarkStart w:id="91" w:name="_Toc81575195"/>
      <w:r>
        <w:rPr>
          <w:rFonts w:hint="eastAsia" w:eastAsia="宋体" w:cs="Arial"/>
          <w:bCs/>
          <w:szCs w:val="22"/>
          <w:highlight w:val="none"/>
        </w:rPr>
        <w:t xml:space="preserve">四、投标文件的提交</w:t>
      </w:r>
      <w:bookmarkEnd w:id="88"/>
      <w:r/>
      <w:bookmarkEnd w:id="89"/>
      <w:r/>
      <w:bookmarkEnd w:id="90"/>
      <w:r/>
      <w:bookmarkEnd w:id="91"/>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4</w:t>
      </w:r>
      <w:r>
        <w:rPr>
          <w:rFonts w:hint="eastAsia" w:ascii="Times New Roman" w:hAnsi="Times New Roman" w:cs="仿宋"/>
          <w:b/>
          <w:sz w:val="24"/>
          <w:highlight w:val="none"/>
        </w:rPr>
        <w:t xml:space="preserve">、投标文件的提交</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.2投标文件的修改和撤回：在投标截止时间前，投标人可以撤回或重新提交投标文件。投标文件以最终完成上传的为准。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sz w:val="24"/>
          <w:highlight w:val="none"/>
        </w:rPr>
      </w:r>
      <w:r/>
    </w:p>
    <w:p>
      <w:pPr>
        <w:pStyle w:val="768"/>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5</w:t>
      </w:r>
      <w:r>
        <w:rPr>
          <w:rFonts w:hint="eastAsia" w:ascii="Times New Roman" w:hAnsi="Times New Roman" w:cs="仿宋"/>
          <w:b/>
          <w:sz w:val="24"/>
          <w:highlight w:val="none"/>
        </w:rPr>
        <w:t xml:space="preserve">、投标文件被拒绝接收的情形</w:t>
      </w:r>
      <w:r>
        <w:rPr>
          <w:rFonts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在招标文件规定的投标截止时间后上传的投标文件或对投标报价或其他实质性内容修正的文件。</w:t>
      </w:r>
      <w:r>
        <w:rPr>
          <w:rFonts w:hint="eastAsia" w:ascii="Times New Roman" w:hAnsi="Times New Roman" w:cs="仿宋"/>
          <w:sz w:val="24"/>
          <w:highlight w:val="none"/>
        </w:rPr>
      </w:r>
      <w:r/>
    </w:p>
    <w:p>
      <w:pPr>
        <w:pStyle w:val="770"/>
        <w:ind w:firstLine="341"/>
        <w:spacing w:before="0" w:after="0" w:line="520" w:lineRule="exact"/>
        <w:rPr>
          <w:rFonts w:hint="eastAsia" w:eastAsia="宋体" w:cs="Arial"/>
          <w:b/>
          <w:bCs w:val="0"/>
          <w:szCs w:val="22"/>
          <w:highlight w:val="none"/>
        </w:rPr>
      </w:pPr>
      <w:r/>
      <w:bookmarkStart w:id="92" w:name="_Toc20026"/>
      <w:r/>
      <w:bookmarkStart w:id="93" w:name="_Toc81575197"/>
      <w:r/>
      <w:bookmarkStart w:id="94" w:name="_Toc81575160"/>
      <w:r/>
      <w:bookmarkStart w:id="95" w:name="_Toc959"/>
      <w:r>
        <w:rPr>
          <w:rFonts w:hint="eastAsia" w:eastAsia="宋体" w:cs="Arial"/>
          <w:b/>
          <w:bCs w:val="0"/>
          <w:szCs w:val="22"/>
          <w:highlight w:val="none"/>
        </w:rPr>
        <w:t xml:space="preserve">五、开标、评标程序</w:t>
      </w:r>
      <w:bookmarkEnd w:id="92"/>
      <w:r/>
      <w:bookmarkEnd w:id="93"/>
      <w:r/>
      <w:bookmarkEnd w:id="94"/>
      <w:r/>
      <w:bookmarkEnd w:id="95"/>
      <w:r>
        <w:rPr>
          <w:rFonts w:hint="eastAsia" w:eastAsia="宋体" w:cs="Arial"/>
          <w:b/>
          <w:bCs w:val="0"/>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、开标</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.1采购代理机构将在招标公告中规定的时间和地点组织公开开标。投标人应当按照《操作手册》规定，参加开标活动，在“苏采云”系统规定的时间内对投标文件解密。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.2开标仪式由采购代理机构组织。“苏采云”系统将自动对项目进行开标，并宣布各投标人名称和投标价格。</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bCs/>
          <w:sz w:val="24"/>
          <w:highlight w:val="none"/>
        </w:rPr>
      </w:pPr>
      <w:r>
        <w:rPr>
          <w:rFonts w:hint="eastAsia" w:ascii="Times New Roman" w:hAnsi="Times New Roman" w:cs="仿宋"/>
          <w:b/>
          <w:bCs/>
          <w:sz w:val="24"/>
          <w:highlight w:val="none"/>
        </w:rPr>
        <w:t xml:space="preserve">1</w:t>
      </w:r>
      <w:r>
        <w:rPr>
          <w:rFonts w:hint="eastAsia" w:ascii="Times New Roman" w:hAnsi="Times New Roman" w:cs="仿宋"/>
          <w:b/>
          <w:bCs/>
          <w:sz w:val="24"/>
          <w:highlight w:val="none"/>
          <w:lang w:val="en-US" w:eastAsia="zh-CN"/>
        </w:rPr>
        <w:t xml:space="preserve">6</w:t>
      </w:r>
      <w:r>
        <w:rPr>
          <w:rFonts w:hint="eastAsia" w:ascii="Times New Roman" w:hAnsi="Times New Roman" w:cs="仿宋"/>
          <w:b/>
          <w:bCs/>
          <w:sz w:val="24"/>
          <w:highlight w:val="none"/>
        </w:rPr>
        <w:t xml:space="preserve">.3投标人用于解密的CA证书应为该投标文件生成加密、上传的同一把CA证书。投标人应登录“苏采云”系统进入“开标大厅”，在系统约定时间内使用CA证书解密，未成功解密的视为放弃投标。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.5投标人在开、评标全过程中应保持通讯畅通，及时登录“苏采云”系统查阅、答复相关信息。</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、评标委员会</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、评标程序</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.1资格审查</w:t>
      </w:r>
      <w:bookmarkStart w:id="96" w:name="EBa9c0a2c9e523494487594c65b2a92370"/>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开标结束后，采购人依法根据招标文件的规定对投标人的资格证明文件等进行审查。</w:t>
      </w:r>
      <w:bookmarkEnd w:id="96"/>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.2符合性检查</w:t>
      </w:r>
      <w:r>
        <w:rPr>
          <w:rFonts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.2.1依据招标文件的规定，由评标委员会从投标文件的有效性、完整性和对招标文件的响应程度进行审查，以确定是否对招标文件的实质性要求作出响应。</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sz w:val="24"/>
          <w:highlight w:val="none"/>
        </w:rPr>
        <w:t xml:space="preserve">所谓重大偏离是指投标人投标文件中所述设备质量、技术规格、数量、交货期、服务等明显不能满足招标文件要求。</w:t>
      </w:r>
      <w:bookmarkEnd w:id="97"/>
      <w:r>
        <w:rPr>
          <w:rFonts w:hint="eastAsia" w:ascii="Times New Roman" w:hAnsi="Times New Roman" w:cs="仿宋"/>
          <w:sz w:val="24"/>
          <w:highlight w:val="none"/>
        </w:rPr>
        <w:t xml:space="preserve">重大偏离的认定需经过评标委员会以少数服从多数的原则作出结论。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.5相同品牌产品投标</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.5.3非单一产品采购项目，采购人确定核心产品，并在招标文件中载明。多家投标人提供的核心产品品牌相同的，按前两款规定处理。</w:t>
      </w:r>
      <w:r>
        <w:rPr>
          <w:rFonts w:hint="eastAsia" w:ascii="Times New Roman" w:hAnsi="Times New Roman" w:cs="仿宋"/>
          <w:sz w:val="24"/>
          <w:highlight w:val="none"/>
        </w:rPr>
      </w:r>
      <w:r/>
    </w:p>
    <w:p>
      <w:pPr>
        <w:pStyle w:val="768"/>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.6有关问题的澄清</w:t>
      </w:r>
      <w:r>
        <w:rPr>
          <w:rFonts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.6.2投标文件报价出现前后不一致的，除招标文件另有规定外，按照下列规定修正：</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①投标文件中开标一览表（报价表）内容与投标文件中相应内容不一致的，以开标一览表（报价表）为准；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②大写金额和小写金额不一致的，以大写金额为准；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③单价金额小数点或者百分比有明显错位的，以开标一览表的总价为准，并修改单价；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④总价金额与按单价汇总金额不一致的，以单价金额计算结果为准。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同时出现两种以上不一致的，按照前款规定的顺序修正。</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评标过程中，不得去掉报价中的最高报价和最低报价。</w:t>
      </w:r>
      <w:r>
        <w:rPr>
          <w:rFonts w:hint="eastAsia" w:ascii="Times New Roman" w:hAnsi="Times New Roman" w:cs="仿宋"/>
          <w:sz w:val="24"/>
          <w:highlight w:val="none"/>
        </w:rPr>
      </w:r>
      <w:r/>
    </w:p>
    <w:p>
      <w:pPr>
        <w:pStyle w:val="768"/>
        <w:ind w:firstLine="480"/>
        <w:spacing w:line="440" w:lineRule="exact"/>
        <w:rPr>
          <w:rFonts w:ascii="Times New Roman" w:hAnsi="Times New Roman" w:cs="仿宋"/>
          <w:b/>
          <w:bCs/>
          <w:color w:val="000000"/>
          <w:sz w:val="24"/>
          <w:highlight w:val="none"/>
          <w:lang w:bidi="ar-SA"/>
        </w:rPr>
      </w:pPr>
      <w:r>
        <w:rPr>
          <w:rFonts w:hint="eastAsia" w:ascii="Times New Roman" w:hAnsi="Times New Roman" w:cs="仿宋"/>
          <w:sz w:val="24"/>
          <w:highlight w:val="none"/>
          <w:lang w:val="en-US" w:eastAsia="zh-CN"/>
        </w:rPr>
        <w:t xml:space="preserve">18.7</w:t>
      </w:r>
      <w:r>
        <w:rPr>
          <w:rFonts w:hint="eastAsia" w:ascii="Times New Roman" w:hAnsi="Times New Roman" w:cs="仿宋"/>
          <w:b/>
          <w:bCs/>
          <w:color w:val="000000"/>
          <w:sz w:val="24"/>
          <w:highlight w:val="none"/>
          <w:lang w:bidi="ar-SA"/>
        </w:rPr>
        <w:t xml:space="preserve">异常低价投标审查</w:t>
      </w:r>
      <w:r>
        <w:rPr>
          <w:rFonts w:ascii="Times New Roman" w:hAnsi="Times New Roman" w:cs="仿宋"/>
          <w:b/>
          <w:bCs/>
          <w:color w:val="000000"/>
          <w:sz w:val="24"/>
          <w:highlight w:val="none"/>
          <w:lang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18.7.1 评标过程中出现下列情形之一的，评审委员会应当启动异常低价投标（响应）审查程序：</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（3）投标(响应)报价低于采购项目最高限价65%的，即投标(响应)报价＜采购项目最高限价×65%;</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（4）评审委员会基于专业判断，认为供应商报价过低，有可能影响产品质量或者不能诚信履约的其他情形。</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相关法律法规对供应商报价有规定的，从其规定。</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bCs/>
          <w:color w:val="000000"/>
          <w:sz w:val="24"/>
          <w:highlight w:val="none"/>
          <w:lang w:val="en-US" w:eastAsia="zh-CN" w:bidi="ar-SA"/>
        </w:rPr>
      </w:r>
      <w:r/>
    </w:p>
    <w:p>
      <w:pPr>
        <w:pStyle w:val="768"/>
        <w:ind w:firstLine="480"/>
        <w:spacing w:line="440" w:lineRule="exact"/>
        <w:rPr>
          <w:rFonts w:hint="eastAsia" w:ascii="Times New Roman" w:hAnsi="Times New Roman" w:cs="仿宋"/>
          <w:sz w:val="24"/>
          <w:highlight w:val="none"/>
          <w:lang w:val="en-US" w:eastAsia="zh-CN"/>
        </w:rPr>
      </w:pPr>
      <w:r>
        <w:rPr>
          <w:rFonts w:hint="eastAsia" w:ascii="宋体" w:cs="宋体"/>
          <w:b/>
          <w:bCs/>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cs="仿宋"/>
          <w:sz w:val="24"/>
          <w:highlight w:val="none"/>
          <w:lang w:val="en-US" w:eastAsia="zh-CN"/>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18.8</w:t>
      </w:r>
      <w:r>
        <w:rPr>
          <w:rFonts w:hint="eastAsia" w:ascii="Times New Roman" w:hAnsi="Times New Roman" w:cs="仿宋"/>
          <w:sz w:val="24"/>
          <w:highlight w:val="none"/>
        </w:rPr>
        <w:t xml:space="preserve">比较</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评标委员会将按招标文件中规定的评标方法和标准，对符合性检查合格的投标文件进行商务和技术评比。</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w:t>
      </w: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推荐中标候选人</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评标委员会按照招标文件中规定的评标方法和标准推荐中标候选人。</w:t>
      </w:r>
      <w:r>
        <w:rPr>
          <w:rFonts w:hint="eastAsia" w:ascii="Times New Roman" w:hAnsi="Times New Roman" w:cs="仿宋"/>
          <w:sz w:val="24"/>
          <w:highlight w:val="none"/>
        </w:rPr>
      </w:r>
      <w:r/>
    </w:p>
    <w:p>
      <w:pPr>
        <w:pStyle w:val="770"/>
        <w:ind w:firstLine="340"/>
        <w:spacing w:before="0" w:after="0" w:line="480" w:lineRule="exact"/>
        <w:rPr>
          <w:rFonts w:hint="eastAsia" w:eastAsia="宋体" w:cs="Arial"/>
          <w:bCs/>
          <w:szCs w:val="22"/>
          <w:highlight w:val="none"/>
        </w:rPr>
      </w:pPr>
      <w:r/>
      <w:bookmarkStart w:id="98" w:name="_Toc81575159"/>
      <w:r/>
      <w:bookmarkStart w:id="99" w:name="_Toc81575196"/>
      <w:r/>
      <w:bookmarkStart w:id="100" w:name="_Toc8712"/>
      <w:r/>
      <w:bookmarkStart w:id="101" w:name="_Toc8841"/>
      <w:r>
        <w:rPr>
          <w:rFonts w:hint="eastAsia" w:eastAsia="宋体" w:cs="Arial"/>
          <w:bCs/>
          <w:szCs w:val="22"/>
          <w:highlight w:val="none"/>
        </w:rPr>
        <w:t xml:space="preserve">六、无效投标、废标、串通投标</w:t>
      </w:r>
      <w:bookmarkEnd w:id="98"/>
      <w:r/>
      <w:bookmarkEnd w:id="99"/>
      <w:r/>
      <w:bookmarkEnd w:id="100"/>
      <w:r/>
      <w:bookmarkEnd w:id="101"/>
      <w:r>
        <w:rPr>
          <w:rFonts w:hint="eastAsia" w:eastAsia="宋体" w:cs="Arial"/>
          <w:bCs/>
          <w:szCs w:val="22"/>
          <w:highlight w:val="none"/>
        </w:rPr>
        <w:t xml:space="preserve">及取消中标候选人资格情形</w:t>
      </w:r>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、无效投标情形</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trike/>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.1投标人同一采购包提交两个（含两个）以上不同的投标报价的。</w:t>
      </w:r>
      <w:r>
        <w:rPr>
          <w:rFonts w:ascii="Times New Roman" w:hAnsi="Times New Roman" w:cs="仿宋"/>
          <w:strike/>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.2投标人不符合招标文件规定资格要求的或未按规定提交资质证件的。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.3投标人的报价超过了采购预算或最高限价的。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.4投标文件未通过符合性审查的。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.5投标文件出现重大偏离，不符合招标文件中规定的实质性要求的（★部分为实质性要求）。</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.6评标委员会认为投标人的报价明显低于其他通过符合性审查投标人的报价，有可能影响产品质量或者不能诚信履约的，且投标人不能在合理的时间内提供说明，证明其报价合理性的。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.8</w:t>
      </w:r>
      <w:r>
        <w:rPr>
          <w:rFonts w:hint="eastAsia" w:ascii="Times New Roman" w:hAnsi="Times New Roman" w:cs="仿宋"/>
          <w:color w:val="000000"/>
          <w:sz w:val="24"/>
          <w:highlight w:val="none"/>
        </w:rPr>
        <w:t xml:space="preserve">投标文件未按照招标文件要求加盖CA电子公章的。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.9</w:t>
      </w:r>
      <w:r>
        <w:rPr>
          <w:rFonts w:hint="eastAsia" w:ascii="Times New Roman" w:hAnsi="Times New Roman" w:cs="仿宋"/>
          <w:color w:val="000000"/>
          <w:sz w:val="24"/>
          <w:highlight w:val="none"/>
        </w:rPr>
        <w:t xml:space="preserve">投标人有本招标文件规定的恶意串通投标情形的。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w:t>
      </w:r>
      <w:r>
        <w:rPr>
          <w:rFonts w:ascii="Times New Roman" w:hAnsi="Times New Roman" w:cs="仿宋"/>
          <w:color w:val="000000"/>
          <w:sz w:val="24"/>
          <w:highlight w:val="none"/>
        </w:rPr>
        <w:t xml:space="preserve">10</w:t>
      </w:r>
      <w:r>
        <w:rPr>
          <w:rFonts w:hint="eastAsia" w:ascii="Times New Roman" w:hAnsi="Times New Roman" w:cs="仿宋"/>
          <w:color w:val="000000"/>
          <w:sz w:val="24"/>
          <w:highlight w:val="none"/>
        </w:rPr>
        <w:t xml:space="preserve">投标文件含有采购人不能接受的附加条件的。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.11</w:t>
      </w:r>
      <w:r>
        <w:rPr>
          <w:rFonts w:hint="eastAsia" w:ascii="Times New Roman" w:hAnsi="Times New Roman" w:cs="仿宋"/>
          <w:color w:val="000000"/>
          <w:sz w:val="24"/>
          <w:highlight w:val="none"/>
        </w:rPr>
        <w:t xml:space="preserve">投标人所投标产品不符合招标文件中所列国家强制性标准的。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.1</w:t>
      </w:r>
      <w:r>
        <w:rPr>
          <w:rFonts w:ascii="Times New Roman" w:hAnsi="Times New Roman" w:cs="仿宋"/>
          <w:color w:val="000000"/>
          <w:sz w:val="24"/>
          <w:highlight w:val="none"/>
        </w:rPr>
        <w:t xml:space="preserve">2</w:t>
      </w:r>
      <w:r>
        <w:rPr>
          <w:rFonts w:hint="eastAsia" w:ascii="Times New Roman" w:hAnsi="Times New Roman" w:cs="仿宋"/>
          <w:color w:val="000000"/>
          <w:sz w:val="24"/>
          <w:highlight w:val="none"/>
        </w:rPr>
        <w:t xml:space="preserve">其他法律、法规及本招标文件规定的属无效投标的情形。</w:t>
      </w:r>
      <w:r>
        <w:rPr>
          <w:rFonts w:ascii="Times New Roman" w:hAnsi="Times New Roman" w:cs="仿宋"/>
          <w:color w:val="000000"/>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、废标情形</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ascii="Times New Roman" w:hAnsi="Times New Roman" w:cs="仿宋"/>
          <w:color w:val="000000"/>
          <w:sz w:val="24"/>
          <w:highlight w:val="none"/>
        </w:rPr>
        <w:t xml:space="preserve">.</w:t>
      </w:r>
      <w:r>
        <w:rPr>
          <w:rFonts w:hint="eastAsia" w:ascii="Times New Roman" w:hAnsi="Times New Roman" w:cs="仿宋"/>
          <w:color w:val="000000"/>
          <w:sz w:val="24"/>
          <w:highlight w:val="none"/>
        </w:rPr>
        <w:t xml:space="preserve">1符合专业条件的投标人或者对招标文件作实质响应的投标人不足三家的。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.2出现影响采购公正的违法、违规行为的。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.3因重大变故，采购任务取消的。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.4评标委员会认定招标文件存在歧义、重大缺陷导致评审工作无法进行的。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.5在“苏采云”系统规定时间内成功解密电子投标文件的投标人不足3家的。</w:t>
      </w:r>
      <w:r>
        <w:rPr>
          <w:rFonts w:ascii="Times New Roman" w:hAnsi="Times New Roman" w:cs="仿宋"/>
          <w:color w:val="000000"/>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、投标人不足三家情形处理</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rPr>
        <w:t xml:space="preserve">、串通投标情形</w:t>
      </w:r>
      <w:r>
        <w:rPr>
          <w:rFonts w:hint="eastAsia" w:ascii="Times New Roman" w:hAnsi="Times New Roman" w:cs="仿宋"/>
          <w:b/>
          <w:sz w:val="24"/>
          <w:highlight w:val="none"/>
        </w:rPr>
      </w:r>
      <w:r/>
    </w:p>
    <w:p>
      <w:pPr>
        <w:pStyle w:val="768"/>
        <w:ind w:firstLine="480"/>
        <w:spacing w:line="500" w:lineRule="exact"/>
        <w:rPr>
          <w:rFonts w:hint="eastAsia" w:ascii="黑体" w:hAnsi="黑体" w:eastAsia="黑体"/>
          <w:color w:val="000000"/>
          <w:sz w:val="24"/>
          <w:highlight w:val="none"/>
        </w:rPr>
      </w:pPr>
      <w:r/>
      <w:bookmarkStart w:id="102" w:name="_Toc81575198"/>
      <w:r/>
      <w:bookmarkStart w:id="103" w:name="_Toc6494"/>
      <w:r/>
      <w:bookmarkStart w:id="104" w:name="_Toc81575161"/>
      <w:r/>
      <w:bookmarkStart w:id="105" w:name="_Toc2391"/>
      <w:r>
        <w:rPr>
          <w:rFonts w:hint="eastAsia" w:ascii="黑体" w:hAnsi="黑体" w:eastAsia="黑体"/>
          <w:color w:val="000000"/>
          <w:sz w:val="24"/>
          <w:highlight w:val="none"/>
        </w:rPr>
        <w:t xml:space="preserve">有下列情形之一的，属于恶意串通投标：</w:t>
      </w:r>
      <w:r>
        <w:rPr>
          <w:rFonts w:hint="eastAsia" w:ascii="黑体" w:hAnsi="黑体" w:eastAsia="黑体"/>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.1供应商直接或间接从采购人或采购代理机构处获得其他供应商的投标情况，并修改其投标文件；</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.2评审活动开始前供应商直接或间接从采购人或采购代理机构处获得评标委员会组成人员情况；</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.3供应商接受采购人或采购代理机构授意撤换、修改投标文件；</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.4供应商之间协商投标报价、技术方案等投标文件实质性内容；</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.5属于同一集团、协会、商会等组织成员的供应商按照该组织要求协同投标；</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.6供应商之间事先约定由某一特定供应商中标、成交；</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.7供应商之间商定部分供应商放弃投标或者放弃中标、成交；</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.8供应商与采购人或采购代理机构之间、供应商相互之间为谋求特定供应商中标成交或者排斥其他供应商的其他串通行为；</w:t>
      </w:r>
      <w:r>
        <w:rPr>
          <w:rFonts w:ascii="Times New Roman" w:hAnsi="Times New Roman" w:cs="仿宋"/>
          <w:color w:val="000000"/>
          <w:sz w:val="24"/>
          <w:highlight w:val="none"/>
        </w:rPr>
      </w:r>
      <w:r/>
    </w:p>
    <w:p>
      <w:pPr>
        <w:pStyle w:val="768"/>
        <w:ind w:firstLine="482"/>
        <w:spacing w:line="500" w:lineRule="exact"/>
        <w:rPr>
          <w:rFonts w:hint="eastAsia"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hint="eastAsia" w:ascii="黑体" w:hAnsi="黑体" w:eastAsia="黑体"/>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.9不同投标人的投标文件由同一单位或者个人编制；</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.10不同投标人委托同一单位或者个人办理投标事宜；</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.11不同投标人的投标文件载明的项目管理成员或者联系人员为同一人；</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.12不同投标人的投标文件异常一致或者投标报价呈规律性差异；</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.13不同投标人的投标文件相互混装；</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.14不同投标人的投标保证金从同一单位或者个人的账户转出。</w:t>
      </w:r>
      <w:r>
        <w:rPr>
          <w:rFonts w:ascii="Times New Roman" w:hAnsi="Times New Roman" w:cs="仿宋"/>
          <w:color w:val="000000"/>
          <w:sz w:val="24"/>
          <w:highlight w:val="none"/>
        </w:rPr>
      </w:r>
      <w:r/>
    </w:p>
    <w:p>
      <w:pPr>
        <w:pStyle w:val="768"/>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w:t>
      </w:r>
      <w:r>
        <w:rPr>
          <w:rFonts w:hint="eastAsia" w:ascii="Times New Roman" w:hAnsi="Times New Roman" w:cs="仿宋"/>
          <w:b/>
          <w:color w:val="000000"/>
          <w:sz w:val="24"/>
          <w:highlight w:val="none"/>
          <w:lang w:val="en-US" w:eastAsia="zh-CN"/>
        </w:rPr>
        <w:t xml:space="preserve">3</w:t>
      </w:r>
      <w:r>
        <w:rPr>
          <w:rFonts w:hint="eastAsia" w:ascii="Times New Roman" w:hAnsi="Times New Roman" w:cs="仿宋"/>
          <w:b/>
          <w:color w:val="000000"/>
          <w:sz w:val="24"/>
          <w:highlight w:val="none"/>
        </w:rPr>
        <w:t xml:space="preserve">、</w:t>
      </w:r>
      <w:bookmarkStart w:id="106" w:name="OLE_LINK4"/>
      <w:r>
        <w:rPr>
          <w:rFonts w:hint="eastAsia" w:ascii="Times New Roman" w:hAnsi="Times New Roman" w:cs="仿宋"/>
          <w:b/>
          <w:color w:val="000000"/>
          <w:sz w:val="24"/>
          <w:highlight w:val="none"/>
        </w:rPr>
        <w:t xml:space="preserve">取消中标候选人资格情形</w:t>
      </w:r>
      <w:bookmarkEnd w:id="106"/>
      <w:r>
        <w:rPr>
          <w:rFonts w:ascii="Times New Roman" w:hAnsi="Times New Roman" w:cs="仿宋"/>
          <w:b/>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.1提供虚假材料谋取中标的；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.2采取不正当手段诋毁、排挤其他投标人的；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.3与采购人、其他投标人或者采购代理机构恶意串通的；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.4向采购人、采购代理机构行贿或者提供其他不正当利益的；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.5未在规定时间内与采购人签订采购合同的；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.6法律、法规规定的其它情况。</w:t>
      </w:r>
      <w:r>
        <w:rPr>
          <w:rFonts w:ascii="Times New Roman" w:hAnsi="Times New Roman" w:cs="仿宋"/>
          <w:color w:val="000000"/>
          <w:sz w:val="24"/>
          <w:highlight w:val="none"/>
        </w:rPr>
      </w:r>
      <w:r/>
    </w:p>
    <w:p>
      <w:pPr>
        <w:pStyle w:val="768"/>
        <w:ind w:firstLine="321"/>
        <w:spacing w:line="480" w:lineRule="exact"/>
        <w:rPr>
          <w:rFonts w:hint="eastAsia" w:ascii="Arial" w:hAnsi="Arial" w:cs="Arial"/>
          <w:b/>
          <w:bCs/>
          <w:sz w:val="32"/>
          <w:highlight w:val="none"/>
        </w:rPr>
        <w:outlineLvl w:val="1"/>
      </w:pPr>
      <w:r>
        <w:rPr>
          <w:rFonts w:hint="eastAsia" w:ascii="Arial" w:hAnsi="Arial" w:cs="Arial"/>
          <w:b/>
          <w:bCs/>
          <w:sz w:val="32"/>
          <w:highlight w:val="none"/>
        </w:rPr>
        <w:t xml:space="preserve">七、中标及合同签订</w:t>
      </w:r>
      <w:bookmarkEnd w:id="102"/>
      <w:r/>
      <w:bookmarkEnd w:id="103"/>
      <w:r/>
      <w:bookmarkEnd w:id="104"/>
      <w:r/>
      <w:bookmarkEnd w:id="105"/>
      <w:r>
        <w:rPr>
          <w:rFonts w:hint="eastAsia" w:ascii="Arial" w:hAnsi="Arial" w:cs="Arial"/>
          <w:b/>
          <w:bCs/>
          <w:sz w:val="32"/>
          <w:highlight w:val="none"/>
        </w:rPr>
      </w:r>
      <w:r/>
    </w:p>
    <w:p>
      <w:pPr>
        <w:pStyle w:val="768"/>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4</w:t>
      </w:r>
      <w:r>
        <w:rPr>
          <w:rFonts w:hint="eastAsia" w:ascii="Times New Roman" w:hAnsi="Times New Roman" w:cs="仿宋"/>
          <w:b/>
          <w:sz w:val="24"/>
          <w:highlight w:val="none"/>
        </w:rPr>
        <w:t xml:space="preserve">、确定中标人</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.1采购人应当自收到评审报告之日起5个工作日内在评审报告推荐的中标候选人中按顺序确定中标人。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.2中标人确定之日起2个工作日内，采购人、采购代理机构将发布中标结果，中标公告的公告期限为1个工作日。</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.3采购人确定正被列为失信被执行人的投标人为中标人的，中标结果无效。</w:t>
      </w:r>
      <w:r>
        <w:rPr>
          <w:rFonts w:ascii="Times New Roman" w:hAnsi="Times New Roman" w:cs="仿宋"/>
          <w:sz w:val="24"/>
          <w:highlight w:val="none"/>
        </w:rPr>
      </w:r>
      <w:r/>
    </w:p>
    <w:p>
      <w:pPr>
        <w:pStyle w:val="768"/>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5</w:t>
      </w:r>
      <w:r>
        <w:rPr>
          <w:rFonts w:hint="eastAsia" w:ascii="Times New Roman" w:hAnsi="Times New Roman" w:cs="仿宋"/>
          <w:b/>
          <w:sz w:val="24"/>
          <w:highlight w:val="none"/>
        </w:rPr>
        <w:t xml:space="preserve">、中标通知书</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.1在公告中标结果的同时，采购代理机构将向中标人发出中标通知书。中标人使用CA数字证书登录“苏采云”系统及时下载中标通知书。</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.2中标通知书发出后，采购人改变中标结果的，或者中标人放弃中标项目的，应当依法承担法律责任。</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.3采用综合评分法评审的，未中标人可于中标结果公告期限届满之日起通过“苏采云”系统查看</w:t>
      </w:r>
      <w:bookmarkStart w:id="107" w:name="OLE_LINK5"/>
      <w:r>
        <w:rPr>
          <w:rFonts w:hint="eastAsia" w:ascii="Times New Roman" w:hAnsi="Times New Roman" w:cs="仿宋"/>
          <w:sz w:val="24"/>
          <w:highlight w:val="none"/>
        </w:rPr>
        <w:t xml:space="preserve">自己的评审得分及排序情况。</w:t>
      </w:r>
      <w:r>
        <w:rPr>
          <w:rFonts w:hint="eastAsia" w:ascii="Times New Roman" w:hAnsi="Times New Roman" w:cs="仿宋"/>
          <w:sz w:val="24"/>
          <w:highlight w:val="none"/>
        </w:rPr>
      </w:r>
      <w:r/>
    </w:p>
    <w:p>
      <w:pPr>
        <w:pStyle w:val="768"/>
        <w:ind w:firstLine="482"/>
        <w:spacing w:line="500" w:lineRule="exact"/>
        <w:rPr>
          <w:rFonts w:hint="eastAsia" w:ascii="Times New Roman" w:hAnsi="Times New Roman" w:cs="仿宋"/>
          <w:b/>
          <w:sz w:val="24"/>
          <w:highlight w:val="none"/>
        </w:rPr>
      </w:pPr>
      <w:r/>
      <w:bookmarkEnd w:id="107"/>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、授予合同</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.1采购人与中标人应当在中标通知书发出之日起</w:t>
      </w: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日内签订政府采购合同。招标文件、中标人的投标文件以及评标过程中有关澄清文件均作为合同附件。</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.2采购人在自合同签订之日起2个工作日内，将合同在指定的媒体上公告。</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、履约保证金</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按照以下第（2）方式确定履约保证金收取方式。</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ascii="Times New Roman" w:hAnsi="Times New Roman" w:cs="仿宋"/>
          <w:color w:val="000000"/>
          <w:sz w:val="24"/>
          <w:highlight w:val="none"/>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27</w:t>
      </w:r>
      <w:r>
        <w:rPr>
          <w:rFonts w:hint="eastAsia" w:ascii="宋体" w:cs="宋体"/>
          <w:color w:val="000000"/>
          <w:sz w:val="24"/>
          <w:highlight w:val="none"/>
          <w:lang w:bidi="ar-SA"/>
        </w:rPr>
        <w:t xml:space="preserve">.1履约保证金提交形式</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履约保证金应</w:t>
      </w:r>
      <w:r>
        <w:rPr>
          <w:rFonts w:hint="eastAsia" w:ascii="宋体" w:cs="宋体"/>
          <w:color w:val="000000"/>
          <w:sz w:val="24"/>
          <w:highlight w:val="none"/>
          <w:lang w:val="zh-CN" w:eastAsia="zh-CN" w:bidi="ar-SA"/>
        </w:rPr>
        <w:t xml:space="preserve">在中标公告发布之日起7日历天内提交。</w:t>
      </w:r>
      <w:r>
        <w:rPr>
          <w:rFonts w:hint="eastAsia" w:ascii="宋体" w:cs="宋体"/>
          <w:color w:val="000000"/>
          <w:sz w:val="24"/>
          <w:highlight w:val="none"/>
          <w:lang w:bidi="ar-SA"/>
        </w:rPr>
        <w:t xml:space="preserve">除银行电汇、网上银行、数字人民币外，投标人还可选用银行保函、担保公司的保证担保或保险公司的保证保险等多种形式向采购人缴纳。</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.2履约保证金提交金额</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按采购合同总价的</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%提交。</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000000"/>
          <w:sz w:val="24"/>
          <w:highlight w:val="none"/>
          <w:u w:val="single"/>
          <w:lang w:bidi="ar-SA"/>
        </w:rPr>
        <w:t xml:space="preserve">1.2</w:t>
      </w:r>
      <w:r>
        <w:rPr>
          <w:rFonts w:hint="eastAsia" w:ascii="宋体" w:cs="宋体"/>
          <w:color w:val="000000"/>
          <w:sz w:val="24"/>
          <w:highlight w:val="none"/>
          <w:lang w:bidi="ar-SA"/>
        </w:rPr>
        <w:t xml:space="preserve"> %（履约保证金原提交金额的6折）提交。办理流程、偿付等内容见江苏政府采购网“保险保函”模块。</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.3履约保证金退还方式</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.4履约保证金退还条件</w:t>
      </w:r>
      <w:r>
        <w:rPr>
          <w:rFonts w:hint="eastAsia" w:ascii="宋体" w:cs="宋体"/>
          <w:color w:val="000000"/>
          <w:sz w:val="24"/>
          <w:highlight w:val="none"/>
          <w:lang w:eastAsia="zh-CN" w:bidi="ar-SA"/>
        </w:rPr>
        <w:t xml:space="preserve">，</w:t>
      </w: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 a </w:t>
      </w:r>
      <w:r>
        <w:rPr>
          <w:rFonts w:hint="eastAsia" w:ascii="宋体" w:cs="宋体"/>
          <w:color w:val="000000"/>
          <w:sz w:val="24"/>
          <w:highlight w:val="none"/>
          <w:lang w:bidi="ar-SA"/>
        </w:rPr>
        <w:t xml:space="preserve">方式实行：</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a、货物类项目，项目验收合格，出具验收报告及履约保证金收据申请退付；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b、服务类项目，项目履约期满评价合格，出具履约评价报告及履约保证金收据申请退付；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c、工程类项目，项目完工验收合格，出具完工证明及履约保证金收据申请退付；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.5履约保证金退还时间</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采购人收到投标人退付申请后5个工作日内退还。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.6履约保证金不予退还情形</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除不可抗力外，中标人不履行与采购人订立的采购合同的，履约保证金不予退还，给采购人造成的损失超过履约保证金数额的，还应对超过部分予以赔偿。</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.7逾期退还履约保证金违约责任</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宋体" w:cs="宋体"/>
          <w:color w:val="000000"/>
          <w:sz w:val="24"/>
          <w:highlight w:val="none"/>
          <w:lang w:bidi="ar-SA"/>
        </w:rPr>
      </w:r>
      <w:r/>
    </w:p>
    <w:p>
      <w:pPr>
        <w:pStyle w:val="768"/>
        <w:ind w:firstLine="480"/>
        <w:spacing w:line="440" w:lineRule="exact"/>
        <w:rPr>
          <w:rFonts w:ascii="Times New Roman" w:hAnsi="Times New Roman" w:cs="仿宋"/>
          <w:color w:val="000000"/>
          <w:sz w:val="24"/>
          <w:highlight w:val="none"/>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.8如中标人未在规定时间内缴纳履约保证金，视为虚假承诺，采购人有权报请财政部门进行处理。</w:t>
      </w:r>
      <w:r>
        <w:rPr>
          <w:rFonts w:ascii="Times New Roman" w:hAnsi="Times New Roman" w:cs="仿宋"/>
          <w:color w:val="000000"/>
          <w:sz w:val="24"/>
          <w:highlight w:val="none"/>
        </w:rPr>
      </w:r>
      <w:r/>
    </w:p>
    <w:p>
      <w:pPr>
        <w:pStyle w:val="768"/>
        <w:ind w:firstLine="482"/>
        <w:spacing w:line="440" w:lineRule="exact"/>
        <w:rPr>
          <w:rFonts w:hint="eastAsia" w:ascii="仿宋" w:hAnsi="仿宋" w:eastAsia="仿宋" w:cs="仿宋"/>
          <w:b/>
          <w:bCs/>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w:t>
      </w:r>
      <w:r>
        <w:rPr>
          <w:rFonts w:hint="eastAsia" w:ascii="仿宋" w:hAnsi="仿宋" w:eastAsia="仿宋" w:cs="仿宋"/>
          <w:b/>
          <w:sz w:val="24"/>
          <w:szCs w:val="24"/>
          <w:highlight w:val="none"/>
        </w:rPr>
        <w:t xml:space="preserve">政府采购履约资金扶持政策</w:t>
      </w:r>
      <w:r>
        <w:rPr>
          <w:rFonts w:hint="eastAsia" w:ascii="仿宋" w:hAnsi="仿宋" w:eastAsia="仿宋" w:cs="仿宋"/>
          <w:b/>
          <w:bCs/>
          <w:sz w:val="24"/>
          <w:highlight w:val="none"/>
        </w:rPr>
      </w:r>
      <w:r/>
    </w:p>
    <w:p>
      <w:pPr>
        <w:pStyle w:val="768"/>
        <w:ind w:firstLine="480"/>
        <w:spacing w:line="480" w:lineRule="exact"/>
        <w:rPr>
          <w:rFonts w:hint="eastAsia" w:ascii="Times New Roman" w:hAnsi="Times New Roman" w:cs="仿宋"/>
          <w:b/>
          <w:bCs/>
          <w:sz w:val="24"/>
          <w:szCs w:val="24"/>
          <w:highlight w:val="none"/>
        </w:rPr>
      </w:pPr>
      <w:r>
        <w:rPr>
          <w:rFonts w:hint="eastAsia" w:ascii="Times New Roman" w:hAnsi="Times New Roman" w:cs="仿宋"/>
          <w:color w:val="000000"/>
          <w:sz w:val="24"/>
          <w:highlight w:val="none"/>
        </w:rPr>
        <w:t xml:space="preserve">中标供应商可凭政府采购合同办理融资贷款，详情请见江苏政府采购网“政采贷”专栏。</w:t>
      </w:r>
      <w:r>
        <w:rPr>
          <w:rFonts w:hint="eastAsia" w:ascii="Times New Roman" w:hAnsi="Times New Roman" w:cs="仿宋"/>
          <w:b/>
          <w:bCs/>
          <w:sz w:val="24"/>
          <w:szCs w:val="24"/>
          <w:highlight w:val="none"/>
        </w:rPr>
      </w:r>
      <w:r/>
    </w:p>
    <w:p>
      <w:pPr>
        <w:pStyle w:val="768"/>
        <w:ind w:firstLine="482"/>
        <w:spacing w:line="480" w:lineRule="exact"/>
        <w:rPr>
          <w:rFonts w:hint="eastAsia" w:ascii="Times New Roman" w:hAnsi="Times New Roman" w:cs="仿宋"/>
          <w:sz w:val="24"/>
          <w:highlight w:val="none"/>
        </w:rPr>
      </w:pP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、合同履行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29</w:t>
      </w:r>
      <w:r>
        <w:rPr>
          <w:rFonts w:hint="eastAsia" w:ascii="Times New Roman" w:hAnsi="Times New Roman" w:cs="仿宋"/>
          <w:sz w:val="24"/>
          <w:highlight w:val="none"/>
        </w:rPr>
        <w:t xml:space="preserve">.1</w:t>
      </w:r>
      <w:r>
        <w:rPr>
          <w:rFonts w:hint="eastAsia" w:ascii="Times New Roman" w:hAnsi="Times New Roman" w:cs="仿宋"/>
          <w:color w:val="000000"/>
          <w:sz w:val="24"/>
          <w:highlight w:val="none"/>
        </w:rPr>
        <w:t xml:space="preserve">政府采购合同订立后，合同各方不得擅自变更、中止或者终止合同。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29</w:t>
      </w:r>
      <w:r>
        <w:rPr>
          <w:rFonts w:hint="eastAsia" w:ascii="Times New Roman" w:hAnsi="Times New Roman" w:cs="仿宋"/>
          <w:sz w:val="24"/>
          <w:highlight w:val="none"/>
        </w:rPr>
        <w:t xml:space="preserve">.2政府采购合同履行中，采购人需追加与合同标的相同的货物、工程或者服务的，在不改变合同其他条款的前提下，可以与中标人签订补充合同，但所补充合同的采购金额不得超过原采购金额的10%。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sz w:val="24"/>
          <w:highlight w:val="none"/>
        </w:rPr>
      </w:r>
      <w:r/>
    </w:p>
    <w:p>
      <w:pPr>
        <w:pStyle w:val="770"/>
        <w:spacing w:before="0" w:after="0" w:line="520" w:lineRule="exact"/>
        <w:rPr>
          <w:rFonts w:hint="eastAsia" w:eastAsia="宋体" w:cs="Arial"/>
          <w:bCs/>
          <w:szCs w:val="22"/>
          <w:highlight w:val="none"/>
        </w:rPr>
      </w:pPr>
      <w:r/>
      <w:bookmarkStart w:id="108" w:name="_Toc81575162"/>
      <w:r/>
      <w:bookmarkStart w:id="109" w:name="_Toc7550"/>
      <w:r/>
      <w:bookmarkStart w:id="110" w:name="_Toc81575199"/>
      <w:r/>
      <w:bookmarkStart w:id="111" w:name="_Toc22084"/>
      <w:r>
        <w:rPr>
          <w:rFonts w:hint="eastAsia" w:eastAsia="宋体" w:cs="Arial"/>
          <w:bCs/>
          <w:szCs w:val="22"/>
          <w:highlight w:val="none"/>
        </w:rPr>
        <w:t xml:space="preserve">八、</w:t>
      </w:r>
      <w:bookmarkEnd w:id="108"/>
      <w:r/>
      <w:bookmarkEnd w:id="109"/>
      <w:r/>
      <w:bookmarkEnd w:id="110"/>
      <w:r/>
      <w:bookmarkEnd w:id="111"/>
      <w:r/>
      <w:bookmarkStart w:id="112" w:name="_Toc31888"/>
      <w:r/>
      <w:bookmarkStart w:id="113" w:name="_Toc12263"/>
      <w:r/>
      <w:bookmarkStart w:id="114" w:name="_Toc81575163"/>
      <w:r/>
      <w:bookmarkStart w:id="115" w:name="_Toc81575200"/>
      <w:r>
        <w:rPr>
          <w:rFonts w:hint="eastAsia" w:eastAsia="宋体" w:cs="Arial"/>
          <w:bCs/>
          <w:szCs w:val="22"/>
          <w:highlight w:val="none"/>
        </w:rPr>
        <w:t xml:space="preserve">质疑与投诉</w:t>
      </w:r>
      <w:bookmarkEnd w:id="112"/>
      <w:r/>
      <w:bookmarkEnd w:id="113"/>
      <w:r/>
      <w:bookmarkEnd w:id="114"/>
      <w:r/>
      <w:bookmarkEnd w:id="115"/>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3</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、质疑</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.1</w:t>
      </w:r>
      <w:bookmarkStart w:id="116" w:name="OLE_LINK1"/>
      <w:r>
        <w:rPr>
          <w:rFonts w:hint="eastAsia" w:ascii="Times New Roman" w:hAnsi="Times New Roman" w:cs="仿宋"/>
          <w:sz w:val="24"/>
          <w:highlight w:val="none"/>
        </w:rPr>
        <w:t xml:space="preserve">供应商认为采购文件、采购过程和中标结果使自己的权益受到损害的，可以在知道或者应知其权益受到损害之日起七个工作日内，（具体起算时间见3</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.2），以书面形式向采购人或者其委托的采购代理机构提出质疑。质疑超出采购机构代理范围的，投标人应当向采购人提出。质疑联系部门、联系电话、通讯地址详见采购公告。</w:t>
      </w:r>
      <w:bookmarkEnd w:id="116"/>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.2供应商应知其权益受到损害之日，是指：</w:t>
      </w:r>
      <w:r>
        <w:rPr>
          <w:rFonts w:hint="eastAsia" w:ascii="Times New Roman" w:hAnsi="Times New Roman" w:cs="仿宋"/>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ascii="Times New Roman" w:hAnsi="Times New Roman" w:cs="仿宋"/>
          <w:color w:val="000000"/>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.4供应商提出质疑应当提交质疑函和必要的证明材料。质疑函的必备内容：</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（1）供应商的姓名或者名称、地址、邮编、联系人及联系电话；</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（2）质疑项目的名称、编号；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（3）获取采购文件的时间；</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（4）具体、明确的质疑事项和质疑事项相关的请求；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（5）事实依据；</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（6）必要的法律依据；</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（7）提出质疑的日期；</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（8）供应商为自然人的，由本人签字；供应商为法人或者其他组织的，应当由法定代表人、主要负责人，或者其授权代表签字或者盖章，并加盖公章；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.5采购人在收到质疑函后7个工作日内作出答复，并以书面形式通知质疑供应商和其他有关供应商，但质疑答复的内容不涉及商业秘密。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、投诉</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质疑供应商对答复不满意或采购人、采购代理机构未在规定时间内作出答复的，可在答复期满后15个工作日内向同级财政部门提起投诉。</w:t>
      </w:r>
      <w:r>
        <w:rPr>
          <w:rFonts w:ascii="Times New Roman" w:hAnsi="Times New Roman" w:cs="仿宋"/>
          <w:sz w:val="24"/>
          <w:highlight w:val="none"/>
        </w:rPr>
      </w:r>
      <w:r/>
    </w:p>
    <w:p>
      <w:pPr>
        <w:pStyle w:val="769"/>
        <w:jc w:val="center"/>
        <w:spacing w:before="200"/>
        <w:rPr>
          <w:highlight w:val="none"/>
        </w:rPr>
      </w:pPr>
      <w:r/>
      <w:bookmarkStart w:id="117" w:name="EB4d341233595e4bf8ad7006b4bd78d974"/>
      <w:r/>
      <w:bookmarkEnd w:id="117"/>
      <w:r/>
      <w:bookmarkStart w:id="118" w:name="_Toc81575201"/>
      <w:r/>
      <w:bookmarkStart w:id="119" w:name="_Toc81575164"/>
      <w:r>
        <w:rPr>
          <w:rFonts w:hint="eastAsia"/>
          <w:highlight w:val="none"/>
        </w:rPr>
        <w:br w:type="page" w:clear="all"/>
      </w:r>
      <w:bookmarkStart w:id="120" w:name="_Toc17996"/>
      <w:r>
        <w:rPr>
          <w:rFonts w:hint="eastAsia" w:ascii="Calibri" w:hAnsi="Calibri" w:eastAsia="宋体"/>
          <w:b/>
          <w:sz w:val="44"/>
          <w:szCs w:val="44"/>
          <w:highlight w:val="none"/>
        </w:rPr>
        <w:t xml:space="preserve">第三章  资格审查及评标</w:t>
      </w:r>
      <w:bookmarkEnd w:id="118"/>
      <w:r/>
      <w:bookmarkEnd w:id="119"/>
      <w:r/>
      <w:bookmarkEnd w:id="120"/>
      <w:r>
        <w:rPr>
          <w:rFonts w:hint="eastAsia" w:ascii="Calibri" w:hAnsi="Calibri" w:eastAsia="宋体"/>
          <w:b/>
          <w:sz w:val="44"/>
          <w:szCs w:val="44"/>
          <w:highlight w:val="none"/>
        </w:rPr>
        <w:t xml:space="preserve">方法</w:t>
      </w:r>
      <w:r>
        <w:rPr>
          <w:highlight w:val="none"/>
        </w:rPr>
      </w:r>
      <w:r/>
    </w:p>
    <w:p>
      <w:pPr>
        <w:pStyle w:val="768"/>
        <w:ind w:firstLine="482"/>
        <w:jc w:val="left"/>
        <w:spacing w:line="480" w:lineRule="exact"/>
        <w:rPr>
          <w:rFonts w:ascii="Times New Roman" w:hAnsi="Times New Roman" w:cs="仿宋"/>
          <w:b/>
          <w:bCs/>
          <w:sz w:val="24"/>
          <w:highlight w:val="none"/>
        </w:rPr>
      </w:pPr>
      <w:r>
        <w:rPr>
          <w:rFonts w:hint="eastAsia" w:ascii="Times New Roman" w:hAnsi="Times New Roman" w:cs="仿宋"/>
          <w:b/>
          <w:bCs/>
          <w:sz w:val="24"/>
          <w:highlight w:val="none"/>
        </w:rPr>
        <w:t xml:space="preserve">一、资格审查</w:t>
      </w:r>
      <w:r>
        <w:rPr>
          <w:rFonts w:ascii="Times New Roman" w:hAnsi="Times New Roman" w:cs="仿宋"/>
          <w:b/>
          <w:bCs/>
          <w:sz w:val="24"/>
          <w:highlight w:val="none"/>
        </w:rPr>
      </w:r>
      <w:r/>
    </w:p>
    <w:p>
      <w:pPr>
        <w:pStyle w:val="768"/>
        <w:ind w:firstLine="480"/>
        <w:jc w:val="left"/>
        <w:spacing w:line="480" w:lineRule="exact"/>
        <w:rPr>
          <w:rFonts w:hint="eastAsia" w:ascii="Times New Roman" w:hAnsi="Times New Roman" w:cs="仿宋"/>
          <w:sz w:val="24"/>
          <w:highlight w:val="none"/>
        </w:rPr>
      </w:pPr>
      <w:r>
        <w:rPr>
          <w:rFonts w:hint="eastAsia"/>
          <w:sz w:val="24"/>
          <w:szCs w:val="28"/>
          <w:highlight w:val="none"/>
        </w:rPr>
        <w:t xml:space="preserve">资格审查人员按照下列指标对各投标人的资格进行审查，未通过审查的为无效标，不参与评标。</w:t>
      </w:r>
      <w:r>
        <w:rPr>
          <w:rFonts w:hint="eastAsia" w:ascii="Times New Roman" w:hAnsi="Times New Roman" w:cs="仿宋"/>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资格审查因素</w:t>
            </w:r>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投标声明及承诺函</w:t>
            </w:r>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bookmarkStart w:id="121" w:name="OLE_LINK12"/>
            <w:r>
              <w:rPr>
                <w:rFonts w:hint="eastAsia" w:ascii="Times New Roman" w:hAnsi="Times New Roman" w:cs="仿宋"/>
                <w:highlight w:val="none"/>
              </w:rPr>
              <w:t xml:space="preserve">信用信息</w:t>
            </w:r>
            <w:bookmarkEnd w:id="121"/>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color w:val="000000"/>
                <w:highlight w:val="none"/>
              </w:rPr>
              <w:t xml:space="preserve">投标代理人(授权委托人)要求</w:t>
            </w:r>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中小企业或残疾人福利性单位声明函，或监狱企业证明文件</w:t>
            </w:r>
            <w:r>
              <w:rPr>
                <w:rFonts w:hint="eastAsia" w:ascii="Times New Roman" w:hAnsi="Times New Roman" w:cs="仿宋"/>
                <w:color w:val="000000"/>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color w:val="000000"/>
                <w:highlight w:val="none"/>
              </w:rPr>
            </w:pPr>
            <w:r>
              <w:rPr>
                <w:rFonts w:hint="eastAsia" w:ascii="宋体" w:hAnsi="宋体" w:eastAsia="宋体" w:cs="宋体"/>
                <w:color w:val="000000"/>
                <w:highlight w:val="none"/>
              </w:rPr>
              <w:t xml:space="preserve">联合体投标</w:t>
            </w:r>
            <w:r>
              <w:rPr>
                <w:rFonts w:hint="eastAsia" w:ascii="Times New Roman" w:hAnsi="Times New Roman" w:cs="仿宋"/>
                <w:color w:val="000000"/>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宋体" w:hAnsi="宋体" w:eastAsia="宋体" w:cs="宋体"/>
                <w:color w:val="000000"/>
                <w:highlight w:val="none"/>
              </w:rPr>
              <w:t xml:space="preserve">本项目不接受联合体</w:t>
            </w:r>
            <w:r>
              <w:rPr>
                <w:rFonts w:hint="eastAsia" w:ascii="Times New Roman" w:hAnsi="Times New Roman" w:cs="仿宋"/>
                <w:highlight w:val="none"/>
              </w:rPr>
            </w:r>
            <w:r/>
          </w:p>
        </w:tc>
      </w:tr>
    </w:tbl>
    <w:p>
      <w:pPr>
        <w:pStyle w:val="768"/>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sz w:val="24"/>
          <w:highlight w:val="none"/>
        </w:rPr>
        <w:t xml:space="preserve">二、</w:t>
      </w:r>
      <w:r>
        <w:rPr>
          <w:rFonts w:hint="eastAsia" w:ascii="Times New Roman" w:hAnsi="Times New Roman" w:cs="仿宋"/>
          <w:b/>
          <w:bCs/>
          <w:color w:val="000000"/>
          <w:sz w:val="24"/>
          <w:highlight w:val="none"/>
        </w:rPr>
        <w:t xml:space="preserve">评分办法—综合评分法</w:t>
      </w:r>
      <w:r>
        <w:rPr>
          <w:rFonts w:ascii="Times New Roman" w:hAnsi="Times New Roman" w:cs="仿宋"/>
          <w:b/>
          <w:bCs/>
          <w:color w:val="000000"/>
          <w:sz w:val="24"/>
          <w:highlight w:val="none"/>
        </w:rPr>
      </w:r>
      <w:r/>
    </w:p>
    <w:p>
      <w:pPr>
        <w:pStyle w:val="768"/>
        <w:ind w:firstLine="480"/>
        <w:jc w:val="left"/>
        <w:spacing w:line="480" w:lineRule="exact"/>
        <w:rPr>
          <w:rFonts w:ascii="Times New Roman" w:hAnsi="Times New Roman" w:cs="仿宋"/>
          <w:color w:val="000000"/>
          <w:sz w:val="24"/>
          <w:highlight w:val="none"/>
        </w:rPr>
      </w:pPr>
      <w:r>
        <w:rPr>
          <w:rFonts w:hint="eastAsia" w:ascii="Times New Roman" w:hAnsi="Times New Roman" w:cs="仿宋"/>
          <w:b/>
          <w:bCs/>
          <w:color w:val="000000"/>
          <w:sz w:val="24"/>
          <w:highlight w:val="none"/>
        </w:rPr>
        <w:t xml:space="preserve">1、评标办法：</w:t>
      </w: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中标候选人并列的，由采购人或者采购人委托评标委员会按照招标文件规定的方式确定中标人;招标文件未规定的，采取随机抽取的方式确定。</w:t>
      </w:r>
      <w:r>
        <w:rPr>
          <w:rFonts w:ascii="Times New Roman" w:hAnsi="Times New Roman" w:cs="仿宋"/>
          <w:color w:val="000000"/>
          <w:sz w:val="24"/>
          <w:highlight w:val="none"/>
        </w:rPr>
      </w:r>
      <w:r/>
    </w:p>
    <w:p>
      <w:pPr>
        <w:pStyle w:val="768"/>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768"/>
        <w:ind w:firstLine="482"/>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评标委员会根据评审后投标人排序推荐3名中标候选人。投标文件满足招标文件全部实质性要求，且评审后排序第一的供应商为第一中标候选人，依次类推。</w:t>
      </w:r>
      <w:r>
        <w:rPr>
          <w:rFonts w:hint="eastAsia" w:ascii="Times New Roman" w:hAnsi="Times New Roman" w:cs="仿宋"/>
          <w:color w:val="000000"/>
          <w:sz w:val="24"/>
          <w:highlight w:val="none"/>
        </w:rPr>
      </w:r>
      <w:r/>
    </w:p>
    <w:p>
      <w:pPr>
        <w:pStyle w:val="768"/>
        <w:ind w:firstLine="482"/>
        <w:jc w:val="left"/>
        <w:spacing w:line="480" w:lineRule="exact"/>
        <w:rPr>
          <w:rFonts w:hint="eastAsia" w:ascii="Times New Roman" w:hAnsi="Times New Roman" w:cs="仿宋"/>
          <w:color w:val="000000"/>
          <w:sz w:val="24"/>
          <w:highlight w:val="none"/>
        </w:rPr>
      </w:pPr>
      <w:r>
        <w:rPr>
          <w:rFonts w:hint="eastAsia" w:ascii="Times New Roman" w:hAnsi="Times New Roman" w:cs="仿宋"/>
          <w:b/>
          <w:bCs/>
          <w:color w:val="000000"/>
          <w:sz w:val="24"/>
          <w:highlight w:val="none"/>
        </w:rPr>
        <w:t xml:space="preserve">2</w:t>
      </w:r>
      <w:r>
        <w:rPr>
          <w:rFonts w:hint="eastAsia" w:ascii="Times New Roman" w:hAnsi="Times New Roman" w:cs="仿宋"/>
          <w:b/>
          <w:bCs/>
          <w:color w:val="000000"/>
          <w:sz w:val="24"/>
          <w:highlight w:val="none"/>
          <w:lang w:eastAsia="zh-CN"/>
        </w:rPr>
        <w:t xml:space="preserve">、</w:t>
      </w:r>
      <w:r>
        <w:rPr>
          <w:rFonts w:hint="eastAsia" w:ascii="Times New Roman" w:hAnsi="Times New Roman" w:cs="仿宋"/>
          <w:b/>
          <w:bCs/>
          <w:color w:val="000000"/>
          <w:sz w:val="24"/>
          <w:highlight w:val="none"/>
        </w:rPr>
        <w:t xml:space="preserve">符合性审查：</w:t>
      </w:r>
      <w:r>
        <w:rPr>
          <w:rFonts w:hint="eastAsia"/>
          <w:color w:val="000000"/>
          <w:sz w:val="24"/>
          <w:szCs w:val="28"/>
          <w:highlight w:val="none"/>
        </w:rPr>
        <w:t xml:space="preserve">评标委员会首先按照下列指标对各投标人的投标文件进行符合性审查，未通过审查的为无效标，不再参与评审。</w:t>
      </w:r>
      <w:r>
        <w:rPr>
          <w:rFonts w:hint="eastAsia" w:ascii="Times New Roman" w:hAnsi="Times New Roman" w:cs="仿宋"/>
          <w:color w:val="000000"/>
          <w:sz w:val="24"/>
          <w:highlight w:val="none"/>
        </w:rPr>
      </w:r>
      <w:r/>
    </w:p>
    <w:p>
      <w:pPr>
        <w:pStyle w:val="768"/>
        <w:ind w:firstLine="480"/>
        <w:jc w:val="left"/>
        <w:spacing w:line="480" w:lineRule="exact"/>
        <w:rPr>
          <w:rFonts w:ascii="方正仿宋_GBK" w:eastAsia="方正仿宋_GBK"/>
          <w:sz w:val="24"/>
          <w:highlight w:val="none"/>
        </w:rPr>
      </w:pPr>
      <w:r>
        <w:rPr>
          <w:rFonts w:ascii="方正仿宋_GBK" w:eastAsia="方正仿宋_GBK"/>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符合性审查因素</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ascii="Segoe UI" w:hAnsi="Segoe UI" w:eastAsia="Segoe UI" w:cs="Segoe UI"/>
                <w:i w:val="0"/>
                <w:iCs w:val="0"/>
                <w:caps w:val="0"/>
                <w:spacing w:val="0"/>
                <w:sz w:val="21"/>
                <w:szCs w:val="21"/>
                <w:highlight w:val="none"/>
                <w:shd w:val="clear" w:color="auto" w:fill="ffffff"/>
              </w:rPr>
              <w:t xml:space="preserve">报价符合性审查</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ascii="Times New Roman" w:hAnsi="Times New Roman" w:cs="仿宋"/>
                <w:highlight w:val="none"/>
              </w:rPr>
            </w:pPr>
            <w:r>
              <w:rPr>
                <w:rFonts w:hint="eastAsia" w:ascii="Times New Roman" w:hAnsi="Times New Roman" w:cs="仿宋"/>
                <w:highlight w:val="none"/>
              </w:rPr>
              <w:t xml:space="preserve">法定代表人身份证明或授权委托书</w:t>
            </w:r>
            <w:r>
              <w:rPr>
                <w:rFonts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技术标准和要求</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宋体" w:hAnsi="宋体" w:cs="宋体"/>
                <w:color w:val="000000"/>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其他</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bl>
    <w:p>
      <w:pPr>
        <w:pStyle w:val="768"/>
        <w:numPr>
          <w:ilvl w:val="0"/>
          <w:numId w:val="0"/>
        </w:numPr>
        <w:ind w:left="210"/>
        <w:jc w:val="left"/>
        <w:spacing w:line="480" w:lineRule="exact"/>
        <w:rPr>
          <w:rFonts w:hint="eastAsia" w:ascii="Times New Roman" w:hAnsi="Times New Roman" w:cs="仿宋"/>
          <w:color w:val="000000"/>
          <w:sz w:val="24"/>
          <w:highlight w:val="none"/>
        </w:rPr>
      </w:pPr>
      <w:r>
        <w:rPr>
          <w:rFonts w:hint="eastAsia" w:ascii="Times New Roman" w:hAnsi="Times New Roman" w:cs="仿宋"/>
          <w:b/>
          <w:bCs/>
          <w:color w:val="000000"/>
          <w:sz w:val="24"/>
          <w:highlight w:val="none"/>
          <w:lang w:val="en-US" w:eastAsia="zh-CN"/>
        </w:rPr>
        <w:t xml:space="preserve">3、</w:t>
      </w:r>
      <w:r>
        <w:rPr>
          <w:rFonts w:hint="eastAsia" w:ascii="Times New Roman" w:hAnsi="Times New Roman" w:cs="仿宋"/>
          <w:b/>
          <w:bCs/>
          <w:color w:val="000000"/>
          <w:sz w:val="24"/>
          <w:highlight w:val="none"/>
        </w:rPr>
        <w:t xml:space="preserve">详细评审。</w:t>
      </w:r>
      <w:r>
        <w:rPr>
          <w:rFonts w:hint="eastAsia" w:ascii="Times New Roman" w:hAnsi="Times New Roman"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cs="仿宋"/>
          <w:color w:val="000000"/>
          <w:sz w:val="24"/>
          <w:highlight w:val="none"/>
        </w:rPr>
      </w:r>
      <w:r/>
    </w:p>
    <w:tbl>
      <w:tblPr>
        <w:tblW w:w="444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155"/>
        <w:gridCol w:w="4806"/>
        <w:gridCol w:w="883"/>
      </w:tblGrid>
      <w:tr>
        <w:trPr>
          <w:trHeight w:val="280"/>
        </w:trPr>
        <w:tc>
          <w:tcPr>
            <w:tcW w:w="484" w:type="dxa"/>
            <w:vAlign w:val="center"/>
            <w:textDirection w:val="lrTb"/>
            <w:noWrap w:val="false"/>
          </w:tcPr>
          <w:p>
            <w:pPr>
              <w:pStyle w:val="768"/>
              <w:jc w:val="center"/>
              <w:keepLines w:val="0"/>
              <w:keepNext w:val="0"/>
              <w:widowControl/>
              <w:rPr>
                <w:rFonts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cs="宋体"/>
                <w:b/>
                <w:bCs/>
                <w:i w:val="0"/>
                <w:iCs w:val="0"/>
                <w:color w:val="000000"/>
                <w:sz w:val="21"/>
                <w:szCs w:val="21"/>
                <w:highlight w:val="none"/>
                <w:u w:val="none"/>
                <w:lang w:val="en-US" w:eastAsia="zh-CN" w:bidi="ar"/>
              </w:rPr>
              <w:t xml:space="preserve">序号</w:t>
            </w:r>
            <w:r>
              <w:rPr>
                <w:rFonts w:ascii="宋体" w:hAnsi="宋体" w:eastAsia="宋体" w:cs="宋体"/>
                <w:b/>
                <w:bCs/>
                <w:i w:val="0"/>
                <w:iCs w:val="0"/>
                <w:color w:val="000000"/>
                <w:sz w:val="21"/>
                <w:szCs w:val="21"/>
                <w:highlight w:val="none"/>
                <w:u w:val="none"/>
                <w:lang w:val="en-US" w:eastAsia="zh-CN" w:bidi="ar-SA"/>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评审因素</w:t>
            </w:r>
            <w:r>
              <w:rPr>
                <w:rFonts w:hint="eastAsia" w:ascii="宋体" w:hAnsi="宋体" w:eastAsia="宋体" w:cs="宋体"/>
                <w:b/>
                <w:bCs/>
                <w:i w:val="0"/>
                <w:iCs w:val="0"/>
                <w:color w:val="000000"/>
                <w:sz w:val="21"/>
                <w:szCs w:val="21"/>
                <w:highlight w:val="none"/>
                <w:u w:val="none"/>
                <w:lang w:val="en-US" w:eastAsia="zh-CN" w:bidi="ar-SA"/>
              </w:rPr>
            </w:r>
            <w:r/>
          </w:p>
        </w:tc>
        <w:tc>
          <w:tcPr>
            <w:tcW w:w="3170" w:type="dxa"/>
            <w:vAlign w:val="center"/>
            <w:textDirection w:val="lrTb"/>
            <w:noWrap w:val="false"/>
          </w:tcPr>
          <w:p>
            <w:pPr>
              <w:pStyle w:val="76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评审标准</w:t>
            </w: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分数</w:t>
            </w:r>
            <w:r>
              <w:rPr>
                <w:rFonts w:hint="eastAsia" w:ascii="宋体" w:hAnsi="宋体" w:eastAsia="宋体" w:cs="宋体"/>
                <w:b/>
                <w:bCs/>
                <w:i w:val="0"/>
                <w:iCs w:val="0"/>
                <w:color w:val="000000"/>
                <w:sz w:val="21"/>
                <w:szCs w:val="21"/>
                <w:highlight w:val="none"/>
                <w:u w:val="none"/>
                <w:lang w:val="en-US" w:eastAsia="zh-CN" w:bidi="ar-SA"/>
              </w:rPr>
            </w:r>
            <w:r/>
          </w:p>
        </w:tc>
      </w:tr>
      <w:tr>
        <w:trPr>
          <w:trHeight w:val="455"/>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投标报价</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采用低价优先法计算，即满足招标文件要求且投标价格最低的投标报价为评标基准价，其价格分为满分。其他投标人投标报价得分＝（评标基准价/投标报价）*30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SA"/>
              </w:rPr>
            </w:r>
            <w:r/>
          </w:p>
        </w:tc>
      </w:tr>
      <w:tr>
        <w:trPr>
          <w:trHeight w:val="5008"/>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技术参数响应</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针对招标文件“第四章</w:t>
            </w:r>
            <w:r>
              <w:rPr>
                <w:rFonts w:hint="eastAsia" w:ascii="宋体" w:hAnsi="宋体" w:cs="宋体"/>
                <w:i w:val="0"/>
                <w:iCs w:val="0"/>
                <w:color w:val="000000" w:themeColor="text1"/>
                <w:sz w:val="21"/>
                <w:szCs w:val="21"/>
                <w:highlight w:val="none"/>
                <w:u w:val="none"/>
                <w:lang w:val="en-US" w:eastAsia="zh-CN" w:bidi="ar"/>
              </w:rPr>
              <w:t xml:space="preserve">、</w:t>
            </w:r>
            <w:r>
              <w:rPr>
                <w:rFonts w:hint="eastAsia" w:ascii="宋体" w:hAnsi="宋体" w:eastAsia="宋体" w:cs="宋体"/>
                <w:i w:val="0"/>
                <w:iCs w:val="0"/>
                <w:color w:val="000000" w:themeColor="text1"/>
                <w:sz w:val="21"/>
                <w:szCs w:val="21"/>
                <w:highlight w:val="none"/>
                <w:u w:val="none"/>
                <w:lang w:val="en-US" w:eastAsia="zh-CN" w:bidi="ar"/>
              </w:rPr>
              <w:t xml:space="preserve">采购需求”中的采购清单及技术参数</w:t>
            </w:r>
            <w:r>
              <w:rPr>
                <w:rFonts w:hint="eastAsia" w:ascii="宋体" w:hAnsi="宋体" w:cs="宋体"/>
                <w:i w:val="0"/>
                <w:iCs w:val="0"/>
                <w:color w:val="000000" w:themeColor="text1"/>
                <w:sz w:val="21"/>
                <w:szCs w:val="21"/>
                <w:highlight w:val="none"/>
                <w:u w:val="none"/>
                <w:lang w:val="en-US" w:eastAsia="zh-CN" w:bidi="ar"/>
              </w:rPr>
              <w:t xml:space="preserve">要求</w:t>
            </w:r>
            <w:r>
              <w:rPr>
                <w:rFonts w:hint="eastAsia" w:ascii="宋体" w:hAnsi="宋体" w:eastAsia="宋体" w:cs="宋体"/>
                <w:i w:val="0"/>
                <w:iCs w:val="0"/>
                <w:color w:val="000000" w:themeColor="text1"/>
                <w:sz w:val="21"/>
                <w:szCs w:val="21"/>
                <w:highlight w:val="none"/>
                <w:u w:val="none"/>
                <w:lang w:val="en-US" w:eastAsia="zh-CN" w:bidi="ar"/>
              </w:rPr>
              <w:t xml:space="preserve">”表中所列内容进行评分，所投产品技术参数完全满足或优于招标文件技术参数要求的得</w:t>
            </w:r>
            <w:r>
              <w:rPr>
                <w:rFonts w:hint="eastAsia" w:ascii="宋体" w:hAnsi="宋体" w:cs="宋体"/>
                <w:i w:val="0"/>
                <w:iCs w:val="0"/>
                <w:color w:val="000000" w:themeColor="text1"/>
                <w:sz w:val="21"/>
                <w:szCs w:val="21"/>
                <w:highlight w:val="none"/>
                <w:u w:val="none"/>
                <w:lang w:val="en-US" w:eastAsia="zh-CN" w:bidi="ar"/>
              </w:rPr>
              <w:t xml:space="preserve">20</w:t>
            </w:r>
            <w:r>
              <w:rPr>
                <w:rFonts w:hint="eastAsia" w:ascii="宋体" w:hAnsi="宋体" w:eastAsia="宋体" w:cs="宋体"/>
                <w:i w:val="0"/>
                <w:iCs w:val="0"/>
                <w:color w:val="000000" w:themeColor="text1"/>
                <w:sz w:val="21"/>
                <w:szCs w:val="21"/>
                <w:highlight w:val="none"/>
                <w:u w:val="none"/>
                <w:lang w:val="en-US" w:eastAsia="zh-CN" w:bidi="ar"/>
              </w:rPr>
              <w:t xml:space="preserve">分。</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eastAsia="宋体" w:cs="宋体"/>
                <w:i w:val="0"/>
                <w:iCs w:val="0"/>
                <w:color w:val="000000" w:themeColor="text1"/>
                <w:sz w:val="21"/>
                <w:szCs w:val="21"/>
                <w:highlight w:val="none"/>
                <w:u w:val="none"/>
                <w:lang w:val="en-US" w:eastAsia="zh-CN" w:bidi="ar"/>
              </w:rPr>
              <w:t xml:space="preserve">1、采购清单中技术要求前标有“▲”部分，为重要技术参数（共</w:t>
            </w:r>
            <w:r>
              <w:rPr>
                <w:rFonts w:hint="eastAsia" w:ascii="宋体" w:hAnsi="宋体" w:cs="宋体"/>
                <w:i w:val="0"/>
                <w:iCs w:val="0"/>
                <w:color w:val="000000" w:themeColor="text1"/>
                <w:sz w:val="21"/>
                <w:szCs w:val="21"/>
                <w:highlight w:val="none"/>
                <w:u w:val="none"/>
                <w:lang w:val="en-US" w:eastAsia="zh-CN" w:bidi="ar"/>
              </w:rPr>
              <w:t xml:space="preserve">26</w:t>
            </w:r>
            <w:r>
              <w:rPr>
                <w:rFonts w:hint="eastAsia" w:ascii="宋体" w:hAnsi="宋体" w:eastAsia="宋体" w:cs="宋体"/>
                <w:i w:val="0"/>
                <w:iCs w:val="0"/>
                <w:color w:val="000000" w:themeColor="text1"/>
                <w:sz w:val="21"/>
                <w:szCs w:val="21"/>
                <w:highlight w:val="none"/>
                <w:u w:val="none"/>
                <w:lang w:val="en-US" w:eastAsia="zh-CN" w:bidi="ar"/>
              </w:rPr>
              <w:t xml:space="preserve">条，合计</w:t>
            </w:r>
            <w:r>
              <w:rPr>
                <w:rFonts w:hint="eastAsia" w:ascii="宋体" w:hAnsi="宋体" w:cs="宋体"/>
                <w:i w:val="0"/>
                <w:iCs w:val="0"/>
                <w:color w:val="000000" w:themeColor="text1"/>
                <w:sz w:val="21"/>
                <w:szCs w:val="21"/>
                <w:highlight w:val="none"/>
                <w:u w:val="none"/>
                <w:lang w:val="en-US" w:eastAsia="zh-CN" w:bidi="ar"/>
              </w:rPr>
              <w:t xml:space="preserve">13</w:t>
            </w:r>
            <w:r>
              <w:rPr>
                <w:rFonts w:hint="eastAsia" w:ascii="宋体" w:hAnsi="宋体" w:eastAsia="宋体" w:cs="宋体"/>
                <w:i w:val="0"/>
                <w:iCs w:val="0"/>
                <w:color w:val="000000" w:themeColor="text1"/>
                <w:sz w:val="21"/>
                <w:szCs w:val="21"/>
                <w:highlight w:val="none"/>
                <w:u w:val="none"/>
                <w:lang w:val="en-US" w:eastAsia="zh-CN" w:bidi="ar"/>
              </w:rPr>
              <w:t xml:space="preserve">分），每有一项负偏离扣</w:t>
            </w:r>
            <w:r>
              <w:rPr>
                <w:rFonts w:hint="eastAsia" w:ascii="宋体" w:hAnsi="宋体" w:cs="宋体"/>
                <w:i w:val="0"/>
                <w:iCs w:val="0"/>
                <w:color w:val="000000" w:themeColor="text1"/>
                <w:sz w:val="21"/>
                <w:szCs w:val="21"/>
                <w:highlight w:val="none"/>
                <w:u w:val="none"/>
                <w:lang w:val="en-US" w:eastAsia="zh-CN" w:bidi="ar"/>
              </w:rPr>
              <w:t xml:space="preserve">0.5</w:t>
            </w:r>
            <w:r>
              <w:rPr>
                <w:rFonts w:hint="eastAsia" w:ascii="宋体" w:hAnsi="宋体" w:eastAsia="宋体" w:cs="宋体"/>
                <w:i w:val="0"/>
                <w:iCs w:val="0"/>
                <w:color w:val="000000" w:themeColor="text1"/>
                <w:sz w:val="21"/>
                <w:szCs w:val="21"/>
                <w:highlight w:val="none"/>
                <w:u w:val="none"/>
                <w:lang w:val="en-US" w:eastAsia="zh-CN" w:bidi="ar"/>
              </w:rPr>
              <w:t xml:space="preserve">分</w:t>
            </w:r>
            <w:r>
              <w:rPr>
                <w:rFonts w:hint="eastAsia" w:ascii="宋体" w:hAnsi="宋体" w:cs="宋体"/>
                <w:i w:val="0"/>
                <w:iCs w:val="0"/>
                <w:color w:val="000000" w:themeColor="text1"/>
                <w:sz w:val="21"/>
                <w:szCs w:val="21"/>
                <w:highlight w:val="none"/>
                <w:u w:val="none"/>
                <w:lang w:val="en-US" w:eastAsia="zh-CN" w:bidi="ar"/>
              </w:rPr>
              <w:t xml:space="preserve">，</w:t>
            </w:r>
            <w:r>
              <w:rPr>
                <w:rFonts w:hint="eastAsia" w:ascii="宋体" w:hAnsi="宋体" w:eastAsia="宋体" w:cs="宋体"/>
                <w:i w:val="0"/>
                <w:iCs w:val="0"/>
                <w:color w:val="000000" w:themeColor="text1"/>
                <w:sz w:val="21"/>
                <w:szCs w:val="21"/>
                <w:highlight w:val="none"/>
                <w:u w:val="none"/>
                <w:lang w:val="en-US" w:eastAsia="zh-CN" w:bidi="ar"/>
              </w:rPr>
              <w:t xml:space="preserve">扣完为止。</w:t>
            </w:r>
            <w:r>
              <w:rPr>
                <w:rFonts w:hint="eastAsia" w:ascii="宋体" w:hAnsi="宋体" w:eastAsia="宋体" w:cs="宋体"/>
                <w:i w:val="0"/>
                <w:iCs w:val="0"/>
                <w:color w:val="000000" w:themeColor="text1"/>
                <w:sz w:val="21"/>
                <w:szCs w:val="21"/>
                <w:highlight w:val="none"/>
                <w:u w:val="none"/>
                <w:lang w:val="en-US" w:eastAsia="zh-CN" w:bidi="ar"/>
              </w:rPr>
              <w:br w:type="textWrapping" w:clear="all"/>
            </w:r>
            <w:r>
              <w:rPr>
                <w:rFonts w:hint="eastAsia" w:ascii="宋体" w:hAnsi="宋体" w:cs="宋体"/>
                <w:i w:val="0"/>
                <w:iCs w:val="0"/>
                <w:color w:val="000000" w:themeColor="text1"/>
                <w:sz w:val="21"/>
                <w:szCs w:val="21"/>
                <w:highlight w:val="none"/>
                <w:u w:val="none"/>
                <w:lang w:val="en-US" w:eastAsia="zh-CN" w:bidi="ar"/>
              </w:rPr>
              <w:t xml:space="preserve">2</w:t>
            </w:r>
            <w:r>
              <w:rPr>
                <w:rFonts w:hint="eastAsia" w:ascii="宋体" w:hAnsi="宋体" w:eastAsia="宋体" w:cs="宋体"/>
                <w:i w:val="0"/>
                <w:iCs w:val="0"/>
                <w:color w:val="000000" w:themeColor="text1"/>
                <w:sz w:val="21"/>
                <w:szCs w:val="21"/>
                <w:highlight w:val="none"/>
                <w:u w:val="none"/>
                <w:lang w:val="en-US" w:eastAsia="zh-CN" w:bidi="ar"/>
              </w:rPr>
              <w:t xml:space="preserve">、采购清单中技术要求前标有“＃”部分</w:t>
            </w:r>
            <w:r>
              <w:rPr>
                <w:rFonts w:hint="eastAsia" w:ascii="宋体" w:hAnsi="宋体" w:cs="宋体"/>
                <w:i w:val="0"/>
                <w:iCs w:val="0"/>
                <w:color w:val="000000" w:themeColor="text1"/>
                <w:sz w:val="21"/>
                <w:szCs w:val="21"/>
                <w:highlight w:val="none"/>
                <w:u w:val="none"/>
                <w:lang w:val="en-US" w:eastAsia="zh-CN" w:bidi="ar"/>
              </w:rPr>
              <w:t xml:space="preserve">，</w:t>
            </w:r>
            <w:r>
              <w:rPr>
                <w:rFonts w:hint="eastAsia" w:ascii="宋体" w:hAnsi="宋体" w:eastAsia="宋体" w:cs="宋体"/>
                <w:i w:val="0"/>
                <w:iCs w:val="0"/>
                <w:color w:val="000000" w:themeColor="text1"/>
                <w:sz w:val="21"/>
                <w:szCs w:val="21"/>
                <w:highlight w:val="none"/>
                <w:u w:val="none"/>
                <w:lang w:val="en-US" w:eastAsia="zh-CN" w:bidi="ar"/>
              </w:rPr>
              <w:t xml:space="preserve">为一般技术参数（共</w:t>
            </w:r>
            <w:r>
              <w:rPr>
                <w:rFonts w:hint="eastAsia" w:ascii="宋体" w:hAnsi="宋体" w:cs="宋体"/>
                <w:i w:val="0"/>
                <w:iCs w:val="0"/>
                <w:color w:val="000000" w:themeColor="text1"/>
                <w:sz w:val="21"/>
                <w:szCs w:val="21"/>
                <w:highlight w:val="none"/>
                <w:u w:val="none"/>
                <w:lang w:val="en-US" w:eastAsia="zh-CN" w:bidi="ar"/>
              </w:rPr>
              <w:t xml:space="preserve">1000</w:t>
            </w:r>
            <w:r>
              <w:rPr>
                <w:rFonts w:hint="eastAsia" w:ascii="宋体" w:hAnsi="宋体" w:eastAsia="宋体" w:cs="宋体"/>
                <w:i w:val="0"/>
                <w:iCs w:val="0"/>
                <w:color w:val="000000" w:themeColor="text1"/>
                <w:sz w:val="21"/>
                <w:szCs w:val="21"/>
                <w:highlight w:val="none"/>
                <w:u w:val="none"/>
                <w:lang w:val="en-US" w:eastAsia="zh-CN" w:bidi="ar"/>
              </w:rPr>
              <w:t xml:space="preserve">条，合计</w:t>
            </w:r>
            <w:r>
              <w:rPr>
                <w:rFonts w:hint="eastAsia" w:ascii="宋体" w:hAnsi="宋体" w:cs="宋体"/>
                <w:i w:val="0"/>
                <w:iCs w:val="0"/>
                <w:color w:val="000000" w:themeColor="text1"/>
                <w:sz w:val="21"/>
                <w:szCs w:val="21"/>
                <w:highlight w:val="none"/>
                <w:u w:val="none"/>
                <w:lang w:val="en-US" w:eastAsia="zh-CN" w:bidi="ar"/>
              </w:rPr>
              <w:t xml:space="preserve">7</w:t>
            </w:r>
            <w:r>
              <w:rPr>
                <w:rFonts w:hint="eastAsia" w:ascii="宋体" w:hAnsi="宋体" w:eastAsia="宋体" w:cs="宋体"/>
                <w:i w:val="0"/>
                <w:iCs w:val="0"/>
                <w:color w:val="000000" w:themeColor="text1"/>
                <w:sz w:val="21"/>
                <w:szCs w:val="21"/>
                <w:highlight w:val="none"/>
                <w:u w:val="none"/>
                <w:lang w:val="en-US" w:eastAsia="zh-CN" w:bidi="ar"/>
              </w:rPr>
              <w:t xml:space="preserve">分），每有一项负偏离扣0.0</w:t>
            </w:r>
            <w:r>
              <w:rPr>
                <w:rFonts w:hint="eastAsia" w:ascii="宋体" w:hAnsi="宋体" w:cs="宋体"/>
                <w:i w:val="0"/>
                <w:iCs w:val="0"/>
                <w:color w:val="000000" w:themeColor="text1"/>
                <w:sz w:val="21"/>
                <w:szCs w:val="21"/>
                <w:highlight w:val="none"/>
                <w:u w:val="none"/>
                <w:lang w:val="en-US" w:eastAsia="zh-CN" w:bidi="ar"/>
              </w:rPr>
              <w:t xml:space="preserve">07</w:t>
            </w:r>
            <w:r>
              <w:rPr>
                <w:rFonts w:hint="eastAsia" w:ascii="宋体" w:hAnsi="宋体" w:eastAsia="宋体" w:cs="宋体"/>
                <w:i w:val="0"/>
                <w:iCs w:val="0"/>
                <w:color w:val="000000" w:themeColor="text1"/>
                <w:sz w:val="21"/>
                <w:szCs w:val="21"/>
                <w:highlight w:val="none"/>
                <w:u w:val="none"/>
                <w:lang w:val="en-US" w:eastAsia="zh-CN" w:bidi="ar"/>
              </w:rPr>
              <w:t xml:space="preserve">分,扣完为止。</w:t>
            </w:r>
            <w:r>
              <w:rPr>
                <w:rFonts w:hint="eastAsia" w:ascii="宋体" w:hAnsi="宋体" w:eastAsia="宋体" w:cs="宋体"/>
                <w:i w:val="0"/>
                <w:iCs w:val="0"/>
                <w:color w:val="000000" w:themeColor="text1"/>
                <w:sz w:val="21"/>
                <w:szCs w:val="21"/>
                <w:highlight w:val="none"/>
                <w:u w:val="none"/>
                <w:lang w:val="en-US" w:eastAsia="zh-CN" w:bidi="ar"/>
              </w:rPr>
            </w:r>
            <w:r>
              <w:rPr>
                <w:color w:val="000000" w:themeColor="text1"/>
              </w:rPr>
            </w:r>
          </w:p>
          <w:p>
            <w:pPr>
              <w:pStyle w:val="768"/>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注：上述1-2项中，（1）投标人须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r>
              <w:rPr>
                <w:rFonts w:hint="eastAsia" w:ascii="宋体" w:hAnsi="宋体" w:eastAsia="宋体" w:cs="宋体"/>
                <w:i w:val="0"/>
                <w:iCs w:val="0"/>
                <w:color w:val="000000" w:themeColor="text1"/>
                <w:sz w:val="21"/>
                <w:szCs w:val="21"/>
                <w:highlight w:val="none"/>
                <w:u w:val="none"/>
                <w:lang w:val="en-US" w:eastAsia="zh-CN" w:bidi="ar"/>
              </w:rPr>
            </w:r>
            <w:r>
              <w:rPr>
                <w:color w:val="000000" w:themeColor="text1"/>
              </w:rP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20</w:t>
            </w:r>
            <w:r>
              <w:rPr>
                <w:rFonts w:ascii="宋体" w:hAnsi="宋体" w:eastAsia="宋体" w:cs="宋体"/>
                <w:i w:val="0"/>
                <w:iCs w:val="0"/>
                <w:color w:val="000000"/>
                <w:sz w:val="21"/>
                <w:szCs w:val="21"/>
                <w:highlight w:val="none"/>
                <w:u w:val="none"/>
                <w:lang w:val="en-US" w:eastAsia="zh-CN" w:bidi="ar-SA"/>
              </w:rPr>
            </w:r>
            <w:r/>
          </w:p>
        </w:tc>
      </w:tr>
      <w:tr>
        <w:trPr>
          <w:trHeight w:val="3240"/>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strike w:val="0"/>
                <w:color w:val="000000"/>
                <w:sz w:val="21"/>
                <w:szCs w:val="21"/>
                <w:highlight w:val="none"/>
                <w:u w:val="none"/>
              </w:rPr>
              <w:suppressLineNumbers w:val="0"/>
            </w:pPr>
            <w:r>
              <w:rPr>
                <w:rFonts w:hint="eastAsia" w:ascii="宋体" w:hAnsi="宋体" w:eastAsia="宋体" w:cs="宋体"/>
                <w:i w:val="0"/>
                <w:iCs w:val="0"/>
                <w:strike w:val="0"/>
                <w:color w:val="000000"/>
                <w:sz w:val="21"/>
                <w:szCs w:val="21"/>
                <w:highlight w:val="none"/>
                <w:u w:val="none"/>
                <w:lang w:val="en-US" w:eastAsia="zh-CN"/>
              </w:rPr>
              <w:t xml:space="preserve">环境标志、节能产品</w:t>
            </w:r>
            <w:r>
              <w:rPr>
                <w:rFonts w:hint="eastAsia" w:ascii="宋体" w:hAnsi="宋体" w:eastAsia="宋体" w:cs="宋体"/>
                <w:i w:val="0"/>
                <w:iCs w:val="0"/>
                <w:strike w:val="0"/>
                <w:color w:val="000000"/>
                <w:sz w:val="21"/>
                <w:szCs w:val="21"/>
                <w:highlight w:val="none"/>
                <w:u w:val="none"/>
              </w:rPr>
            </w:r>
            <w:r/>
          </w:p>
        </w:tc>
        <w:tc>
          <w:tcPr>
            <w:tcW w:w="3170" w:type="dxa"/>
            <w:vAlign w:val="center"/>
            <w:textDirection w:val="lrTb"/>
            <w:noWrap w:val="false"/>
          </w:tcPr>
          <w:p>
            <w:pPr>
              <w:pStyle w:val="768"/>
              <w:numPr>
                <w:ilvl w:val="0"/>
                <w:numId w:val="0"/>
              </w:numPr>
              <w:jc w:val="left"/>
              <w:keepLines w:val="0"/>
              <w:keepNext w:val="0"/>
              <w:widowControl/>
              <w:rPr>
                <w:rFonts w:hint="eastAsia" w:ascii="宋体" w:hAnsi="宋体" w:eastAsia="宋体" w:cs="宋体"/>
                <w:i w:val="0"/>
                <w:iCs w:val="0"/>
                <w:strike w:val="0"/>
                <w:color w:val="000000" w:themeColor="text1"/>
                <w:sz w:val="21"/>
                <w:szCs w:val="21"/>
                <w:highlight w:val="none"/>
                <w:u w:val="none"/>
              </w:rPr>
              <w:suppressLineNumbers w:val="0"/>
            </w:pPr>
            <w:r>
              <w:rPr>
                <w:rFonts w:hint="eastAsia" w:ascii="宋体" w:hAnsi="宋体" w:eastAsia="宋体" w:cs="宋体"/>
                <w:i w:val="0"/>
                <w:iCs w:val="0"/>
                <w:strike w:val="0"/>
                <w:color w:val="000000" w:themeColor="text1"/>
                <w:sz w:val="21"/>
                <w:szCs w:val="21"/>
                <w:highlight w:val="none"/>
                <w:u w:val="none"/>
                <w:lang w:val="en-US" w:eastAsia="zh-CN"/>
              </w:rPr>
              <w:t xml:space="preserve">1、投标产品在财政部、生态环境部公布的“环境标志产品政府采购品目清单”内，且投标文件中提供国家市场监督管理总局确定的列入“参与实施政府采购环境标志产品认证机构名录 ”内的认证机构出具的、有效期内的该产品环境标志产品认证证书电子件的，每提供一个得0.5分，最高得0.5分，未提供的不得分。</w:t>
            </w:r>
            <w:r>
              <w:rPr>
                <w:rFonts w:hint="eastAsia" w:ascii="宋体" w:hAnsi="宋体" w:eastAsia="宋体" w:cs="宋体"/>
                <w:i w:val="0"/>
                <w:iCs w:val="0"/>
                <w:strike w:val="0"/>
                <w:color w:val="000000" w:themeColor="text1"/>
                <w:sz w:val="21"/>
                <w:szCs w:val="21"/>
                <w:highlight w:val="none"/>
                <w:u w:val="none"/>
                <w:lang w:val="en-US" w:eastAsia="zh-CN"/>
              </w:rPr>
              <w:br w:type="textWrapping" w:clear="all"/>
            </w:r>
            <w:r>
              <w:rPr>
                <w:rFonts w:hint="eastAsia" w:ascii="宋体" w:hAnsi="宋体" w:eastAsia="宋体" w:cs="宋体"/>
                <w:i w:val="0"/>
                <w:iCs w:val="0"/>
                <w:strike w:val="0"/>
                <w:color w:val="000000" w:themeColor="text1"/>
                <w:sz w:val="21"/>
                <w:szCs w:val="21"/>
                <w:highlight w:val="none"/>
                <w:u w:val="none"/>
                <w:lang w:val="en-US" w:eastAsia="zh-CN"/>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最高得0.5分，未提供的不得分。</w:t>
            </w:r>
            <w:r>
              <w:rPr>
                <w:rFonts w:hint="eastAsia" w:ascii="宋体" w:hAnsi="宋体" w:eastAsia="宋体" w:cs="宋体"/>
                <w:i w:val="0"/>
                <w:iCs w:val="0"/>
                <w:strike w:val="0"/>
                <w:color w:val="000000" w:themeColor="text1"/>
                <w:sz w:val="21"/>
                <w:szCs w:val="21"/>
                <w:highlight w:val="none"/>
                <w:u w:val="none"/>
                <w:lang w:val="en-US" w:eastAsia="zh-CN"/>
              </w:rPr>
            </w:r>
            <w:r>
              <w:rPr>
                <w:color w:val="000000" w:themeColor="text1"/>
              </w:rP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r>
      <w:tr>
        <w:trPr>
          <w:trHeight w:val="902"/>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类似</w:t>
            </w:r>
            <w:r>
              <w:rPr>
                <w:rFonts w:hint="eastAsia" w:ascii="宋体" w:hAnsi="宋体" w:eastAsia="宋体" w:cs="宋体"/>
                <w:i w:val="0"/>
                <w:iCs w:val="0"/>
                <w:color w:val="000000"/>
                <w:sz w:val="21"/>
                <w:szCs w:val="21"/>
                <w:highlight w:val="none"/>
                <w:u w:val="none"/>
                <w:lang w:val="en-US" w:eastAsia="zh-CN" w:bidi="ar"/>
              </w:rPr>
              <w:t xml:space="preserve">业绩</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ascii="宋体" w:hAnsi="宋体" w:eastAsia="宋体" w:cs="宋体"/>
                <w:i w:val="0"/>
                <w:iCs w:val="0"/>
                <w:color w:val="000000" w:themeColor="text1"/>
                <w:sz w:val="21"/>
                <w:szCs w:val="21"/>
                <w:highlight w:val="none"/>
                <w:u w:val="none"/>
                <w:lang w:val="en-US" w:eastAsia="zh-CN"/>
              </w:rPr>
              <w:t xml:space="preserve">投标人自2023年1月1日以来(以合同签订时间为准)承担过类似(体育设施）采购业绩的，每提供一个得1分，最高得3分。 注：1、提供合同（或者合同协议书）、采购人履约评价（或者验收合格报告或者验收合格证明）原件扫描件，二者缺一不可，未提供或提供不全不得分；2.业绩证明材料应能够明确反映投标人名称、项目内容、合同签订时间等主要信息，否则不得分。3.业绩履约评价中出现“不满意”或“差”或“不合格”或同等意思表达的，该业绩不得分。</w:t>
            </w:r>
            <w:r>
              <w:rPr>
                <w:rFonts w:ascii="宋体" w:hAnsi="宋体" w:eastAsia="宋体" w:cs="宋体"/>
                <w:i w:val="0"/>
                <w:iCs w:val="0"/>
                <w:color w:val="000000" w:themeColor="text1"/>
                <w:sz w:val="21"/>
                <w:szCs w:val="21"/>
                <w:highlight w:val="none"/>
                <w:u w:val="none"/>
                <w:lang w:val="en-US"/>
              </w:rPr>
            </w:r>
            <w:r>
              <w:rPr>
                <w:color w:val="000000" w:themeColor="text1"/>
              </w:rP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SA"/>
              </w:rPr>
            </w:r>
            <w:r/>
          </w:p>
        </w:tc>
      </w:tr>
      <w:tr>
        <w:trPr>
          <w:trHeight w:val="2571"/>
        </w:trPr>
        <w:tc>
          <w:tcPr>
            <w:tcW w:w="484"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eastAsia="zh-CN" w:bidi="ar"/>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企业实力</w:t>
            </w:r>
            <w:r>
              <w:rPr>
                <w:rFonts w:ascii="宋体" w:hAnsi="宋体" w:eastAsia="宋体" w:cs="宋体"/>
                <w:i w:val="0"/>
                <w:iCs w:val="0"/>
                <w:color w:val="000000"/>
                <w:sz w:val="21"/>
                <w:szCs w:val="21"/>
                <w:highlight w:val="none"/>
                <w:u w:val="none"/>
                <w:lang w:val="en-US" w:eastAsia="zh-CN" w:bidi="ar"/>
              </w:rPr>
            </w:r>
            <w:r/>
          </w:p>
        </w:tc>
        <w:tc>
          <w:tcPr>
            <w:tcW w:w="3170" w:type="dxa"/>
            <w:vAlign w:val="center"/>
            <w:textDirection w:val="lrTb"/>
            <w:noWrap w:val="false"/>
          </w:tcPr>
          <w:p>
            <w:pPr>
              <w:pStyle w:val="768"/>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ascii="宋体" w:hAnsi="宋体" w:eastAsia="宋体" w:cs="宋体"/>
                <w:i w:val="0"/>
                <w:iCs w:val="0"/>
                <w:color w:val="000000" w:themeColor="text1"/>
                <w:sz w:val="21"/>
                <w:szCs w:val="21"/>
                <w:highlight w:val="none"/>
                <w:u w:val="none"/>
                <w:lang w:val="en-US" w:eastAsia="zh-CN"/>
              </w:rPr>
              <w:t xml:space="preserve">1、投标人具备以下三类相关计算机软件著作权登记证书的：校园大数据平台、智慧体育综合管理、体育数据监管，每提供一个得1分，最高得3分，上述三类证书仅为证书类别，不为证书名称，满足上述类别的证书即可对应得分,同类别证书不重复计分。提供上述证书原件扫描件或颁发机构官方网站所公示的信息截图电子件，未提供或模糊不清的不得分。</w:t>
            </w:r>
            <w:r>
              <w:rPr>
                <w:rFonts w:ascii="宋体" w:hAnsi="宋体" w:eastAsia="宋体" w:cs="宋体"/>
                <w:i w:val="0"/>
                <w:iCs w:val="0"/>
                <w:color w:val="000000" w:themeColor="text1"/>
                <w:sz w:val="21"/>
                <w:szCs w:val="21"/>
                <w:highlight w:val="none"/>
                <w:u w:val="none"/>
                <w:lang w:val="en-US" w:eastAsia="zh-CN"/>
              </w:rPr>
            </w:r>
            <w:r>
              <w:rPr>
                <w:color w:val="000000" w:themeColor="text1"/>
              </w:rPr>
            </w:r>
          </w:p>
          <w:p>
            <w:pPr>
              <w:pStyle w:val="768"/>
              <w:jc w:val="left"/>
              <w:keepLines w:val="0"/>
              <w:keepNext w:val="0"/>
              <w:widowControl/>
              <w:rPr>
                <w:color w:val="000000" w:themeColor="text1"/>
                <w:highlight w:val="none"/>
              </w:rPr>
              <w:suppressLineNumbers w:val="0"/>
            </w:pPr>
            <w:r>
              <w:rPr>
                <w:rFonts w:ascii="宋体" w:hAnsi="宋体" w:eastAsia="宋体" w:cs="宋体"/>
                <w:i w:val="0"/>
                <w:iCs w:val="0"/>
                <w:color w:val="000000" w:themeColor="text1"/>
                <w:sz w:val="21"/>
                <w:szCs w:val="21"/>
                <w:highlight w:val="none"/>
                <w:u w:val="none"/>
                <w:lang w:val="en-US" w:eastAsia="zh-CN"/>
              </w:rPr>
              <w:t xml:space="preserve">2、投标人具备ISO9001质量管理体系认证证书、ISO45001职业健康安全管理体系认证证书的，每提供1个得1.5分，最高得3分。提供上述证书原件扫描件，未提供或模糊不清的不得分。</w:t>
            </w:r>
            <w:r>
              <w:rPr>
                <w:color w:val="000000" w:themeColor="text1"/>
                <w:highlight w:val="none"/>
                <w:lang w:val="en-US" w:eastAsia="zh-CN"/>
              </w:rPr>
            </w:r>
            <w:r>
              <w:rPr>
                <w:color w:val="000000" w:themeColor="text1"/>
              </w:rP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r>
      <w:tr>
        <w:trPr>
          <w:trHeight w:val="765"/>
        </w:trPr>
        <w:tc>
          <w:tcPr>
            <w:tcW w:w="484"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i w:val="0"/>
                <w:iCs w:val="0"/>
                <w:color w:val="000000"/>
                <w:sz w:val="21"/>
                <w:szCs w:val="21"/>
                <w:highlight w:val="none"/>
                <w:u w:val="none"/>
                <w:lang w:val="en-US"/>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项目组人员</w:t>
            </w:r>
            <w:r>
              <w:rPr>
                <w:rFonts w:ascii="宋体" w:hAnsi="宋体" w:eastAsia="宋体" w:cs="宋体"/>
                <w:i w:val="0"/>
                <w:iCs w:val="0"/>
                <w:color w:val="000000"/>
                <w:sz w:val="21"/>
                <w:szCs w:val="21"/>
                <w:highlight w:val="none"/>
                <w:u w:val="none"/>
                <w:lang w:val="en-US"/>
              </w:rPr>
            </w:r>
            <w:r/>
          </w:p>
        </w:tc>
        <w:tc>
          <w:tcPr>
            <w:tcW w:w="3170" w:type="dxa"/>
            <w:vAlign w:val="center"/>
            <w:textDirection w:val="lrTb"/>
            <w:noWrap w:val="false"/>
          </w:tcPr>
          <w:p>
            <w:pPr>
              <w:pStyle w:val="805"/>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rPr>
              <w:t xml:space="preserve">1、项目经理：具有工业和信息化部或人力资源社会保障部颁发的的信息系统项目管理师、人力资源社会保障行政主管部门或经人社部门备案确认的高级工程师职称证书，每有一个证书得2分，最高得4分；</w:t>
            </w:r>
            <w:r>
              <w:rPr>
                <w:rFonts w:hint="eastAsia" w:ascii="宋体" w:hAnsi="宋体" w:eastAsia="宋体" w:cs="宋体"/>
                <w:i w:val="0"/>
                <w:iCs w:val="0"/>
                <w:color w:val="000000" w:themeColor="text1"/>
                <w:sz w:val="21"/>
                <w:szCs w:val="21"/>
                <w:highlight w:val="none"/>
                <w:u w:val="none"/>
                <w:lang w:val="en-US" w:eastAsia="zh-CN"/>
              </w:rPr>
            </w:r>
            <w:r>
              <w:rPr>
                <w:color w:val="000000" w:themeColor="text1"/>
              </w:rPr>
            </w:r>
          </w:p>
          <w:p>
            <w:pPr>
              <w:pStyle w:val="805"/>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rPr>
              <w:t xml:space="preserve">2、其他人员（不含项目经理）：具有工业和信息化部或人力资源社会保障部颁发的软件设计师、网络工程师证书的，每有一个得1分，最高得2分。</w:t>
            </w:r>
            <w:r>
              <w:rPr>
                <w:rFonts w:hint="eastAsia" w:ascii="宋体" w:hAnsi="宋体" w:eastAsia="宋体" w:cs="宋体"/>
                <w:i w:val="0"/>
                <w:iCs w:val="0"/>
                <w:color w:val="000000" w:themeColor="text1"/>
                <w:sz w:val="21"/>
                <w:szCs w:val="21"/>
                <w:highlight w:val="none"/>
                <w:u w:val="none"/>
                <w:lang w:val="en-US" w:eastAsia="zh-CN"/>
              </w:rPr>
            </w:r>
            <w:r>
              <w:rPr>
                <w:color w:val="000000" w:themeColor="text1"/>
              </w:rPr>
            </w:r>
          </w:p>
          <w:p>
            <w:pPr>
              <w:pStyle w:val="805"/>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rPr>
              <w:t xml:space="preserve">注：（1）上述项目组人员必须为本单位员工，需提供投标人为其缴纳的2026年4月1日以来任意一个月的社保证明材料原件扫描件，否则不得分；（2）以上人员的证书均须提供原件扫描件(其中项目经理高级工程师职称证书还需同时提供人社部门官方查询截图或备案证明）、同时提供人员身份证原件扫描件，未提供或模糊不清的本项均不得分；</w:t>
            </w:r>
            <w:r>
              <w:rPr>
                <w:rFonts w:hint="eastAsia" w:ascii="宋体" w:hAnsi="宋体" w:eastAsia="宋体" w:cs="宋体"/>
                <w:i w:val="0"/>
                <w:iCs w:val="0"/>
                <w:color w:val="000000" w:themeColor="text1"/>
                <w:sz w:val="21"/>
                <w:szCs w:val="21"/>
                <w:highlight w:val="none"/>
                <w:u w:val="none"/>
                <w:lang w:val="en-US" w:eastAsia="zh-CN"/>
              </w:rPr>
            </w:r>
            <w:r>
              <w:rPr>
                <w:color w:val="000000" w:themeColor="text1"/>
              </w:rPr>
            </w:r>
          </w:p>
          <w:p>
            <w:pPr>
              <w:pStyle w:val="805"/>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rPr>
              <w:t xml:space="preserve">（3）以上项目组人员中同一人员具备上述多种证书的，不重复计分；同一证书多人具备的，不重复计分。</w:t>
            </w:r>
            <w:r>
              <w:rPr>
                <w:rFonts w:hint="eastAsia" w:ascii="宋体" w:hAnsi="宋体" w:eastAsia="宋体" w:cs="宋体"/>
                <w:i w:val="0"/>
                <w:iCs w:val="0"/>
                <w:color w:val="000000" w:themeColor="text1"/>
                <w:sz w:val="21"/>
                <w:szCs w:val="21"/>
                <w:highlight w:val="none"/>
                <w:u w:val="none"/>
              </w:rPr>
            </w:r>
            <w:r>
              <w:rPr>
                <w:color w:val="000000" w:themeColor="text1"/>
              </w:rP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highlight w:val="none"/>
              </w:rPr>
              <w:t xml:space="preserve">现状分析与需求理解方案</w:t>
            </w:r>
            <w:r>
              <w:rPr>
                <w:rFonts w:ascii="宋体" w:hAnsi="宋体" w:eastAsia="宋体" w:cs="宋体"/>
                <w:i w:val="0"/>
                <w:iCs w:val="0"/>
                <w:color w:val="000000"/>
                <w:sz w:val="21"/>
                <w:szCs w:val="21"/>
                <w:highlight w:val="none"/>
                <w:u w:val="none"/>
                <w:lang w:val="en-US" w:eastAsia="zh-CN"/>
              </w:rPr>
            </w:r>
            <w:r/>
          </w:p>
        </w:tc>
        <w:tc>
          <w:tcPr>
            <w:tcW w:w="317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highlight w:val="none"/>
              </w:rPr>
              <w:t xml:space="preserve">投标人根据招标文件“第四章、采购需求—五、项目实施方案要求—</w:t>
            </w:r>
            <w:r>
              <w:rPr>
                <w:rFonts w:hint="eastAsia"/>
                <w:highlight w:val="none"/>
                <w:lang w:eastAsia="zh-CN"/>
              </w:rPr>
              <w:t xml:space="preserve">（</w:t>
            </w:r>
            <w:r>
              <w:rPr>
                <w:rFonts w:hint="eastAsia"/>
                <w:highlight w:val="none"/>
                <w:lang w:val="en-US" w:eastAsia="zh-CN"/>
              </w:rPr>
              <w:t xml:space="preserve">一</w:t>
            </w:r>
            <w:r>
              <w:rPr>
                <w:rFonts w:hint="eastAsia"/>
                <w:highlight w:val="none"/>
                <w:lang w:eastAsia="zh-CN"/>
              </w:rPr>
              <w:t xml:space="preserve">）</w:t>
            </w:r>
            <w:r>
              <w:rPr>
                <w:rFonts w:hint="eastAsia"/>
                <w:highlight w:val="none"/>
              </w:rPr>
              <w:t xml:space="preserve">现状分析与需求理解方案要求”制定方案，评标委员会根据投标人提供的方案进行评审：优于采购需求的，得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智慧操场深化设计方案</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（二）智慧操场深化设计方案要求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r>
      <w:tr>
        <w:trPr>
          <w:trHeight w:val="367"/>
        </w:trPr>
        <w:tc>
          <w:tcPr>
            <w:tcW w:w="484" w:type="dxa"/>
            <w:vAlign w:val="center"/>
            <w:textDirection w:val="lrTb"/>
            <w:noWrap w:val="false"/>
          </w:tcPr>
          <w:p>
            <w:pPr>
              <w:pStyle w:val="768"/>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学生个人信息保护方案</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—（三）学生个人信息保护方案要求”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SA"/>
              </w:rPr>
            </w:r>
            <w:r/>
          </w:p>
        </w:tc>
      </w:tr>
      <w:tr>
        <w:trPr>
          <w:trHeight w:val="200"/>
        </w:trPr>
        <w:tc>
          <w:tcPr>
            <w:tcW w:w="484" w:type="dxa"/>
            <w:vAlign w:val="center"/>
            <w:textDirection w:val="lrTb"/>
            <w:noWrap w:val="false"/>
          </w:tcPr>
          <w:p>
            <w:pPr>
              <w:pStyle w:val="768"/>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10</w:t>
            </w:r>
            <w:r>
              <w:rPr>
                <w:rFonts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本地化部署设计方案</w:t>
            </w:r>
            <w:r>
              <w:rPr>
                <w:rFonts w:ascii="宋体" w:hAnsi="宋体" w:eastAsia="宋体" w:cs="宋体"/>
                <w:i w:val="0"/>
                <w:iCs w:val="0"/>
                <w:color w:val="000000"/>
                <w:sz w:val="21"/>
                <w:szCs w:val="21"/>
                <w:highlight w:val="none"/>
                <w:u w:val="none"/>
                <w:lang w:val="en-US" w:eastAsia="zh-CN"/>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—（四）本地化部署设计方案要求”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SA"/>
              </w:rPr>
            </w:r>
            <w:r/>
          </w:p>
        </w:tc>
      </w:tr>
      <w:tr>
        <w:trPr>
          <w:trHeight w:val="1684"/>
        </w:trPr>
        <w:tc>
          <w:tcPr>
            <w:tcW w:w="484" w:type="dxa"/>
            <w:vAlign w:val="center"/>
            <w:textDirection w:val="lrTb"/>
            <w:noWrap w:val="false"/>
          </w:tcPr>
          <w:p>
            <w:pPr>
              <w:pStyle w:val="768"/>
              <w:jc w:val="center"/>
              <w:rPr>
                <w:rFonts w:ascii="宋体" w:hAnsi="宋体" w:eastAsia="宋体" w:cs="宋体"/>
                <w:i w:val="0"/>
                <w:iCs w:val="0"/>
                <w:strike w:val="0"/>
                <w:color w:val="000000"/>
                <w:sz w:val="21"/>
                <w:szCs w:val="21"/>
                <w:highlight w:val="none"/>
                <w:u w:val="none"/>
                <w:vertAlign w:val="baseline"/>
                <w:lang w:val="en-US" w:eastAsia="zh-CN"/>
              </w:rPr>
            </w:pPr>
            <w:r>
              <w:rPr>
                <w:rFonts w:hint="eastAsia" w:ascii="宋体" w:hAnsi="宋体" w:cs="宋体"/>
                <w:i w:val="0"/>
                <w:iCs w:val="0"/>
                <w:strike w:val="0"/>
                <w:color w:val="000000"/>
                <w:sz w:val="21"/>
                <w:szCs w:val="21"/>
                <w:highlight w:val="none"/>
                <w:u w:val="none"/>
                <w:vertAlign w:val="baseline"/>
                <w:lang w:val="en-US" w:eastAsia="zh-CN"/>
              </w:rPr>
              <w:t xml:space="preserve">11</w:t>
            </w:r>
            <w:r>
              <w:rPr>
                <w:rFonts w:ascii="宋体" w:hAnsi="宋体" w:eastAsia="宋体" w:cs="宋体"/>
                <w:i w:val="0"/>
                <w:iCs w:val="0"/>
                <w:strike w:val="0"/>
                <w:color w:val="000000"/>
                <w:sz w:val="21"/>
                <w:szCs w:val="21"/>
                <w:highlight w:val="none"/>
                <w:u w:val="none"/>
                <w:vertAlign w:val="baseli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strike w:val="0"/>
                <w:color w:val="000000"/>
                <w:sz w:val="21"/>
                <w:szCs w:val="21"/>
                <w:highlight w:val="none"/>
                <w:u w:val="none"/>
                <w:vertAlign w:val="baseline"/>
              </w:rPr>
              <w:suppressLineNumbers w:val="0"/>
            </w:pPr>
            <w:r>
              <w:rPr>
                <w:rFonts w:hint="eastAsia" w:ascii="宋体" w:hAnsi="宋体" w:eastAsia="宋体" w:cs="宋体"/>
                <w:i w:val="0"/>
                <w:iCs w:val="0"/>
                <w:strike w:val="0"/>
                <w:color w:val="000000"/>
                <w:sz w:val="21"/>
                <w:szCs w:val="21"/>
                <w:highlight w:val="none"/>
                <w:u w:val="none"/>
                <w:vertAlign w:val="baseline"/>
                <w:lang w:val="en-US" w:eastAsia="zh-CN" w:bidi="ar"/>
              </w:rPr>
              <w:t xml:space="preserve">设备安装调试方案</w:t>
            </w:r>
            <w:r>
              <w:rPr>
                <w:rFonts w:hint="eastAsia" w:ascii="宋体" w:hAnsi="宋体" w:eastAsia="宋体" w:cs="宋体"/>
                <w:i w:val="0"/>
                <w:iCs w:val="0"/>
                <w:strike w:val="0"/>
                <w:color w:val="000000"/>
                <w:sz w:val="21"/>
                <w:szCs w:val="21"/>
                <w:highlight w:val="none"/>
                <w:u w:val="none"/>
                <w:vertAlign w:val="baseli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strike w:val="0"/>
                <w:color w:val="000000"/>
                <w:sz w:val="22"/>
                <w:szCs w:val="22"/>
                <w:highlight w:val="none"/>
                <w:u w:val="none"/>
                <w:vertAlign w:val="baseline"/>
              </w:rPr>
              <w:suppressLineNumbers w:val="0"/>
            </w:pPr>
            <w:r>
              <w:rPr>
                <w:rFonts w:hint="eastAsia" w:ascii="宋体" w:hAnsi="宋体" w:eastAsia="宋体" w:cs="宋体"/>
                <w:i w:val="0"/>
                <w:iCs w:val="0"/>
                <w:strike w:val="0"/>
                <w:color w:val="000000"/>
                <w:sz w:val="21"/>
                <w:szCs w:val="21"/>
                <w:highlight w:val="none"/>
                <w:u w:val="none"/>
                <w:vertAlign w:val="baseli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—（五）设备安装调试方案要求”制定方案，评标委员会根据投标人提供的方案进行评审：优于采购需求的，得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4</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分；满足采购需求的，得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2</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分；偏离采购需求的，得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1</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分，未提供不得分。</w:t>
            </w:r>
            <w:r>
              <w:rPr>
                <w:rFonts w:hint="eastAsia" w:ascii="宋体" w:hAnsi="宋体" w:eastAsia="宋体" w:cs="宋体"/>
                <w:i w:val="0"/>
                <w:iCs w:val="0"/>
                <w:strike w:val="0"/>
                <w:color w:val="000000"/>
                <w:sz w:val="22"/>
                <w:szCs w:val="22"/>
                <w:highlight w:val="none"/>
                <w:u w:val="none"/>
                <w:vertAlign w:val="baseline"/>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strike w:val="0"/>
                <w:color w:val="000000"/>
                <w:sz w:val="21"/>
                <w:szCs w:val="21"/>
                <w:highlight w:val="none"/>
                <w:u w:val="none"/>
                <w:vertAlign w:val="baseline"/>
                <w:lang w:val="en-US" w:eastAsia="zh-CN" w:bidi="ar-SA"/>
              </w:rPr>
              <w:suppressLineNumbers w:val="0"/>
            </w:pPr>
            <w:r>
              <w:rPr>
                <w:rFonts w:hint="eastAsia" w:ascii="宋体" w:hAnsi="宋体" w:cs="宋体"/>
                <w:i w:val="0"/>
                <w:iCs w:val="0"/>
                <w:strike w:val="0"/>
                <w:color w:val="000000"/>
                <w:sz w:val="21"/>
                <w:szCs w:val="21"/>
                <w:highlight w:val="none"/>
                <w:u w:val="none"/>
                <w:vertAlign w:val="baseline"/>
                <w:lang w:val="en-US" w:eastAsia="zh-CN" w:bidi="ar"/>
              </w:rPr>
              <w:t xml:space="preserve">4</w:t>
            </w:r>
            <w:r>
              <w:rPr>
                <w:rFonts w:ascii="宋体" w:hAnsi="宋体" w:eastAsia="宋体" w:cs="宋体"/>
                <w:i w:val="0"/>
                <w:iCs w:val="0"/>
                <w:strike w:val="0"/>
                <w:color w:val="000000"/>
                <w:sz w:val="21"/>
                <w:szCs w:val="21"/>
                <w:highlight w:val="none"/>
                <w:u w:val="none"/>
                <w:vertAlign w:val="baseline"/>
                <w:lang w:val="en-US" w:eastAsia="zh-CN" w:bidi="ar-SA"/>
              </w:rPr>
            </w:r>
            <w:r/>
          </w:p>
        </w:tc>
      </w:tr>
      <w:tr>
        <w:trPr>
          <w:trHeight w:val="1080"/>
        </w:trPr>
        <w:tc>
          <w:tcPr>
            <w:tcW w:w="484" w:type="dxa"/>
            <w:vAlign w:val="center"/>
            <w:textDirection w:val="lrTb"/>
            <w:noWrap w:val="false"/>
          </w:tcPr>
          <w:p>
            <w:pPr>
              <w:pStyle w:val="768"/>
              <w:jc w:val="center"/>
              <w:rPr>
                <w:rFonts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12</w:t>
            </w:r>
            <w:r>
              <w:rPr>
                <w:rFonts w:ascii="宋体" w:hAnsi="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售后服务方案要求</w:t>
            </w:r>
            <w:r>
              <w:rPr>
                <w:rFonts w:ascii="宋体" w:hAnsi="宋体" w:eastAsia="宋体" w:cs="宋体"/>
                <w:i w:val="0"/>
                <w:iCs w:val="0"/>
                <w:color w:val="000000"/>
                <w:sz w:val="21"/>
                <w:szCs w:val="21"/>
                <w:highlight w:val="none"/>
                <w:u w:val="none"/>
                <w:lang w:val="en-US" w:eastAsia="zh-CN" w:bidi="ar-SA"/>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—（六）售后服务方案要求”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3</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lang w:val="en-US" w:eastAsia="zh-CN" w:bidi="ar-SA"/>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13</w:t>
            </w:r>
            <w:r>
              <w:rPr>
                <w:rFonts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rPr>
                <w:rFonts w:hint="eastAsia" w:ascii="宋体" w:hAnsi="宋体" w:eastAsia="宋体" w:cs="宋体"/>
                <w:i w:val="0"/>
                <w:iCs w:val="0"/>
                <w:color w:val="000000"/>
                <w:sz w:val="21"/>
                <w:szCs w:val="21"/>
                <w:highlight w:val="none"/>
                <w:u w:val="none"/>
                <w:lang w:val="en-US" w:eastAsia="zh-CN" w:bidi="ar-SA"/>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—（七）培训方案要求”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3</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lang w:val="en-US" w:eastAsia="zh-CN" w:bidi="ar-SA"/>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3</w:t>
            </w:r>
            <w:r>
              <w:rPr>
                <w:rFonts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14</w:t>
            </w:r>
            <w:r>
              <w:rPr>
                <w:rFonts w:ascii="宋体" w:hAnsi="宋体" w:eastAsia="宋体" w:cs="宋体"/>
                <w:i w:val="0"/>
                <w:iCs w:val="0"/>
                <w:color w:val="000000"/>
                <w:sz w:val="21"/>
                <w:szCs w:val="21"/>
                <w:highlight w:val="none"/>
                <w:u w:val="none"/>
                <w:lang w:val="en-US"/>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视频演示</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投标人根据招标文件“第四章、采购需求—五、项目实施方案要求—（八）视频演示方案要求”制定方案。评标委员会根据投标人提供的视频演示方案进行评审（每条最高得2分，共4条，最高得8分）：每条优于采购需求的，得2分；满足采购需求的，得1分；偏离采购需求的得0.5分；视频未上传或无法播放的均不得分。</w:t>
            </w:r>
            <w:r>
              <w:rPr>
                <w:rFonts w:hint="eastAsia" w:ascii="宋体" w:hAnsi="宋体" w:eastAsia="宋体" w:cs="宋体"/>
                <w:i w:val="0"/>
                <w:iCs w:val="0"/>
                <w:color w:val="000000"/>
                <w:sz w:val="21"/>
                <w:szCs w:val="21"/>
                <w:highlight w:val="none"/>
                <w:u w:val="none"/>
                <w:lang w:val="en-US" w:eastAsia="zh-CN"/>
              </w:rPr>
            </w:r>
            <w:r/>
          </w:p>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注：1.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i w:val="0"/>
                <w:iCs w:val="0"/>
                <w:color w:val="000000"/>
                <w:sz w:val="21"/>
                <w:szCs w:val="21"/>
                <w:highlight w:val="none"/>
                <w:u w:val="none"/>
                <w:lang w:val="en-US" w:eastAsia="zh-CN"/>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8</w:t>
            </w:r>
            <w:r>
              <w:rPr>
                <w:rFonts w:ascii="宋体" w:hAnsi="宋体" w:eastAsia="宋体" w:cs="宋体"/>
                <w:i w:val="0"/>
                <w:iCs w:val="0"/>
                <w:color w:val="000000"/>
                <w:sz w:val="21"/>
                <w:szCs w:val="21"/>
                <w:highlight w:val="none"/>
                <w:u w:val="none"/>
                <w:lang w:val="en-US" w:eastAsia="zh-CN" w:bidi="ar-SA"/>
              </w:rPr>
            </w:r>
            <w:r/>
          </w:p>
        </w:tc>
      </w:tr>
    </w:tbl>
    <w:p>
      <w:pPr>
        <w:pStyle w:val="768"/>
        <w:rPr>
          <w:highlight w:val="none"/>
        </w:rPr>
      </w:pPr>
      <w:r>
        <w:rPr>
          <w:highlight w:val="none"/>
        </w:rPr>
      </w:r>
      <w:r/>
    </w:p>
    <w:p>
      <w:pPr>
        <w:pStyle w:val="768"/>
        <w:ind w:firstLine="480"/>
        <w:spacing w:line="440" w:lineRule="exact"/>
        <w:rPr>
          <w:rFonts w:ascii="Times New Roman" w:hAnsi="Times New Roman" w:cs="仿宋"/>
          <w:b w:val="0"/>
          <w:bCs w:val="0"/>
          <w:color w:val="000000"/>
          <w:sz w:val="24"/>
          <w:highlight w:val="none"/>
          <w:lang w:bidi="ar-SA"/>
        </w:rPr>
      </w:pPr>
      <w:r>
        <w:rPr>
          <w:rFonts w:hint="eastAsia" w:cs="仿宋"/>
          <w:b w:val="0"/>
          <w:bCs w:val="0"/>
          <w:color w:val="000000"/>
          <w:sz w:val="24"/>
          <w:highlight w:val="none"/>
          <w:lang w:val="en-US" w:eastAsia="zh-CN" w:bidi="ar-SA"/>
        </w:rPr>
        <w:t xml:space="preserve">4、</w:t>
      </w:r>
      <w:r>
        <w:rPr>
          <w:rFonts w:hint="eastAsia" w:ascii="Times New Roman" w:hAnsi="Times New Roman" w:cs="仿宋"/>
          <w:b w:val="0"/>
          <w:bCs w:val="0"/>
          <w:color w:val="000000"/>
          <w:sz w:val="24"/>
          <w:highlight w:val="none"/>
          <w:lang w:bidi="ar-SA"/>
        </w:rPr>
        <w:t xml:space="preserve">异常低价投标审查</w:t>
      </w:r>
      <w:r>
        <w:rPr>
          <w:rFonts w:ascii="Times New Roman" w:hAnsi="Times New Roman" w:cs="仿宋"/>
          <w:b w:val="0"/>
          <w:bCs w:val="0"/>
          <w:color w:val="000000"/>
          <w:sz w:val="24"/>
          <w:highlight w:val="none"/>
          <w:lang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4.1 评标过程中出现下列情形之一的，评审委员会应当启动异常低价投标（响应）审查程序：</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（3）投标(响应)报价低于采购项目最高限价65%的，即投标(响应)报价＜采购项目最高限价×65%;</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（4）评审委员会基于专业判断，认为供应商报价过低，有可能影响产品质量或者不能诚信履约的其他情形。</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相关法律法规对供应商报价有规定的，从其规定。</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cs="宋体"/>
          <w:b w:val="0"/>
          <w:bCs w:val="0"/>
          <w:color w:val="000000"/>
          <w:sz w:val="24"/>
          <w:highlight w:val="none"/>
          <w:lang w:val="en-US" w:eastAsia="zh-CN" w:bidi="ar-SA"/>
        </w:rPr>
      </w:r>
      <w:r/>
    </w:p>
    <w:p>
      <w:pPr>
        <w:pStyle w:val="1153"/>
        <w:ind w:firstLine="480"/>
        <w:spacing w:line="480" w:lineRule="exact"/>
        <w:rPr>
          <w:rFonts w:ascii="宋体" w:hAnsi="宋体" w:cs="宋体"/>
          <w:b/>
          <w:bCs/>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b w:val="0"/>
          <w:bCs w:val="0"/>
          <w:color w:val="000000"/>
          <w:sz w:val="24"/>
          <w:highlight w:val="none"/>
          <w:lang w:val="en-US" w:eastAsia="zh-CN" w:bidi="ar-SA"/>
        </w:rPr>
        <w:t xml:space="preserve">5、</w:t>
      </w:r>
      <w:r>
        <w:rPr>
          <w:rFonts w:hint="eastAsia" w:ascii="宋体" w:hAnsi="宋体" w:cs="宋体"/>
          <w:b/>
          <w:bCs/>
          <w:color w:val="000000"/>
          <w:szCs w:val="24"/>
          <w:highlight w:val="none"/>
          <w:shd w:val="clear" w:color="auto" w:fill="ffffff"/>
        </w:rPr>
        <w:t xml:space="preserve">采购本国产品的支持政策</w:t>
      </w:r>
      <w:r>
        <w:rPr>
          <w:rFonts w:ascii="宋体" w:hAnsi="宋体" w:cs="宋体"/>
          <w:b/>
          <w:bCs/>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000000"/>
          <w:szCs w:val="24"/>
          <w:highlight w:val="none"/>
          <w:u w:val="single"/>
          <w:shd w:val="clear" w:color="auto" w:fill="ffffff"/>
        </w:rPr>
        <w:t xml:space="preserve">20%</w:t>
      </w:r>
      <w:r>
        <w:rPr>
          <w:rFonts w:hint="eastAsia" w:ascii="宋体" w:hAnsi="宋体" w:cs="宋体"/>
          <w:color w:val="000000"/>
          <w:szCs w:val="24"/>
          <w:highlight w:val="none"/>
          <w:shd w:val="clear" w:color="auto" w:fill="ffffff"/>
        </w:rPr>
        <w:t xml:space="preserve">的价格扣除，用扣除后的价格参与评审。</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.3 供应商需按照招标文件的要求提供《关于符合本国产品标准的声明函》（以下简称《声明函》），如不提供将不享受本国产品价格评审优惠。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Cs w:val="24"/>
          <w:highlight w:val="none"/>
          <w:shd w:val="clear" w:color="auto" w:fill="ffffff"/>
        </w:rPr>
      </w:r>
      <w:r/>
    </w:p>
    <w:p>
      <w:pPr>
        <w:pStyle w:val="768"/>
        <w:ind w:firstLine="480"/>
        <w:spacing w:line="480" w:lineRule="exact"/>
        <w:rPr>
          <w:rFonts w:hint="eastAsia" w:ascii="Times New Roman" w:hAnsi="Times New Roman" w:cs="仿宋"/>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仿宋"/>
          <w:sz w:val="24"/>
          <w:highlight w:val="none"/>
        </w:rPr>
      </w:r>
      <w:r/>
    </w:p>
    <w:p>
      <w:pPr>
        <w:pStyle w:val="768"/>
        <w:ind w:firstLine="480"/>
        <w:spacing w:line="440" w:lineRule="exact"/>
        <w:rPr>
          <w:rFonts w:ascii="宋体" w:cs="宋体"/>
          <w:b w:val="0"/>
          <w:bCs w:val="0"/>
          <w:color w:val="000000"/>
          <w:sz w:val="24"/>
          <w:highlight w:val="none"/>
          <w:lang w:val="en-US" w:eastAsia="zh-CN" w:bidi="ar-SA"/>
        </w:rPr>
      </w:pPr>
      <w:r>
        <w:rPr>
          <w:rFonts w:ascii="宋体" w:cs="宋体"/>
          <w:b w:val="0"/>
          <w:bCs w:val="0"/>
          <w:color w:val="000000"/>
          <w:sz w:val="24"/>
          <w:highlight w:val="none"/>
          <w:lang w:val="en-US" w:eastAsia="zh-CN" w:bidi="ar-SA"/>
        </w:rPr>
      </w:r>
      <w:r/>
    </w:p>
    <w:p>
      <w:pPr>
        <w:pStyle w:val="768"/>
        <w:jc w:val="left"/>
        <w:keepLines w:val="0"/>
        <w:keepNext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r>
      <w:r/>
    </w:p>
    <w:p>
      <w:pPr>
        <w:pStyle w:val="768"/>
        <w:ind w:firstLine="480"/>
        <w:spacing w:line="440" w:lineRule="exact"/>
        <w:rPr>
          <w:rFonts w:ascii="宋体" w:cs="宋体"/>
          <w:b w:val="0"/>
          <w:bCs w:val="0"/>
          <w:color w:val="000000"/>
          <w:sz w:val="24"/>
          <w:highlight w:val="none"/>
          <w:lang w:val="en-US" w:eastAsia="zh-CN" w:bidi="ar-SA"/>
        </w:rPr>
      </w:pPr>
      <w:r>
        <w:rPr>
          <w:rFonts w:ascii="宋体" w:cs="宋体"/>
          <w:b w:val="0"/>
          <w:bCs w:val="0"/>
          <w:color w:val="000000"/>
          <w:sz w:val="24"/>
          <w:highlight w:val="none"/>
          <w:lang w:val="en-US" w:eastAsia="zh-CN" w:bidi="ar-SA"/>
        </w:rPr>
      </w:r>
      <w:r/>
    </w:p>
    <w:p>
      <w:pPr>
        <w:pStyle w:val="768"/>
        <w:numPr>
          <w:ilvl w:val="0"/>
          <w:numId w:val="0"/>
        </w:numPr>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68"/>
        <w:numPr>
          <w:ilvl w:val="0"/>
          <w:numId w:val="0"/>
        </w:numPr>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68"/>
        <w:jc w:val="center"/>
        <w:keepLines/>
        <w:keepNext/>
        <w:pageBreakBefore/>
        <w:rPr>
          <w:rFonts w:hint="eastAsia"/>
          <w:b/>
          <w:sz w:val="44"/>
          <w:szCs w:val="44"/>
          <w:highlight w:val="none"/>
        </w:rPr>
        <w:outlineLvl w:val="0"/>
      </w:pPr>
      <w:r>
        <w:rPr>
          <w:rFonts w:hint="eastAsia"/>
          <w:b/>
          <w:sz w:val="44"/>
          <w:szCs w:val="44"/>
          <w:highlight w:val="none"/>
        </w:rPr>
        <w:t xml:space="preserve">第四章</w:t>
      </w:r>
      <w:r>
        <w:rPr>
          <w:b/>
          <w:sz w:val="44"/>
          <w:szCs w:val="44"/>
          <w:highlight w:val="none"/>
        </w:rPr>
        <w:t xml:space="preserve">  </w:t>
      </w:r>
      <w:r>
        <w:rPr>
          <w:rFonts w:hint="eastAsia"/>
          <w:b/>
          <w:sz w:val="44"/>
          <w:szCs w:val="44"/>
          <w:highlight w:val="none"/>
        </w:rPr>
        <w:t xml:space="preserve">采购需求</w:t>
      </w:r>
      <w:r>
        <w:rPr>
          <w:rFonts w:hint="eastAsia"/>
          <w:b/>
          <w:sz w:val="44"/>
          <w:szCs w:val="44"/>
          <w:highlight w:val="none"/>
        </w:rPr>
      </w:r>
      <w:r/>
    </w:p>
    <w:p>
      <w:pPr>
        <w:pStyle w:val="768"/>
        <w:ind w:firstLine="482"/>
        <w:spacing w:before="120" w:after="120" w:line="0" w:lineRule="atLeast"/>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1、项目属性</w:t>
      </w:r>
      <w:r>
        <w:rPr>
          <w:rFonts w:hint="eastAsia" w:ascii="宋体" w:hAnsi="宋体" w:eastAsia="宋体" w:cs="宋体"/>
          <w:b/>
          <w:bCs/>
          <w:color w:val="000000"/>
          <w:sz w:val="24"/>
          <w:szCs w:val="24"/>
          <w:highlight w:val="none"/>
          <w:lang w:val="en-US" w:eastAsia="zh-CN"/>
        </w:rPr>
      </w:r>
      <w:r/>
    </w:p>
    <w:tbl>
      <w:tblPr>
        <w:tblpPr w:horzAnchor="page" w:tblpX="2219" w:vertAnchor="text" w:tblpY="4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2"/>
        <w:gridCol w:w="4660"/>
      </w:tblGrid>
      <w:tr>
        <w:trPr>
          <w:trHeight w:val="315"/>
        </w:trPr>
        <w:tc>
          <w:tcPr>
            <w:tcW w:w="2912" w:type="dxa"/>
            <w:vAlign w:val="top"/>
            <w:textDirection w:val="lrTb"/>
            <w:noWrap w:val="false"/>
          </w:tcPr>
          <w:p>
            <w:pPr>
              <w:pStyle w:val="1228"/>
              <w:ind w:firstLine="0"/>
              <w:jc w:val="center"/>
              <w:shd w:val="clear" w:color="auto" w:fill="auto"/>
              <w:rPr>
                <w:rFonts w:hint="eastAsia" w:ascii="宋体" w:hAnsi="宋体" w:eastAsia="宋体" w:cs="宋体"/>
                <w:b/>
                <w:bCs/>
                <w:color w:val="000000"/>
                <w:sz w:val="24"/>
                <w:szCs w:val="24"/>
                <w:highlight w:val="none"/>
              </w:rPr>
              <w:framePr w:vAnchor="text" w:hAnchor="page" w:x="2219" w:y="40"/>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4660" w:type="dxa"/>
            <w:vAlign w:val="top"/>
            <w:textDirection w:val="lrTb"/>
            <w:noWrap w:val="false"/>
          </w:tcPr>
          <w:p>
            <w:pPr>
              <w:pStyle w:val="1228"/>
              <w:ind w:firstLine="0"/>
              <w:jc w:val="center"/>
              <w:shd w:val="clear" w:color="auto" w:fill="auto"/>
              <w:rPr>
                <w:rFonts w:hint="eastAsia" w:ascii="宋体" w:hAnsi="宋体" w:eastAsia="宋体" w:cs="宋体"/>
                <w:b/>
                <w:bCs/>
                <w:color w:val="000000"/>
                <w:sz w:val="24"/>
                <w:szCs w:val="24"/>
                <w:highlight w:val="none"/>
              </w:rPr>
              <w:framePr w:vAnchor="text" w:hAnchor="page" w:x="2219" w:y="40"/>
            </w:pPr>
            <w:r>
              <w:rPr>
                <w:rFonts w:hint="eastAsia" w:ascii="宋体" w:hAnsi="宋体" w:eastAsia="宋体" w:cs="宋体"/>
                <w:b/>
                <w:bCs/>
                <w:color w:val="000000"/>
                <w:sz w:val="24"/>
                <w:szCs w:val="24"/>
                <w:highlight w:val="none"/>
              </w:rPr>
              <w:t xml:space="preserve">项目属性</w:t>
            </w:r>
            <w:r>
              <w:rPr>
                <w:rFonts w:hint="eastAsia" w:ascii="宋体" w:hAnsi="宋体" w:eastAsia="宋体" w:cs="宋体"/>
                <w:b/>
                <w:bCs/>
                <w:color w:val="000000"/>
                <w:sz w:val="24"/>
                <w:szCs w:val="24"/>
                <w:highlight w:val="none"/>
              </w:rPr>
            </w:r>
            <w:r/>
          </w:p>
        </w:tc>
      </w:tr>
      <w:tr>
        <w:trPr/>
        <w:tc>
          <w:tcPr>
            <w:tcW w:w="2912" w:type="dxa"/>
            <w:vAlign w:val="top"/>
            <w:textDirection w:val="lrTb"/>
            <w:noWrap w:val="false"/>
          </w:tcPr>
          <w:p>
            <w:pPr>
              <w:pStyle w:val="1228"/>
              <w:ind w:firstLine="0"/>
              <w:jc w:val="center"/>
              <w:shd w:val="clear" w:color="auto" w:fill="auto"/>
              <w:rPr>
                <w:rFonts w:hint="eastAsia" w:ascii="宋体" w:hAnsi="宋体" w:eastAsia="宋体" w:cs="宋体"/>
                <w:color w:val="000000"/>
                <w:sz w:val="24"/>
                <w:szCs w:val="24"/>
                <w:highlight w:val="none"/>
                <w:lang w:val="en-US" w:eastAsia="zh-CN"/>
              </w:rPr>
              <w:framePr w:vAnchor="text" w:hAnchor="page" w:x="2219" w:y="4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660" w:type="dxa"/>
            <w:vAlign w:val="top"/>
            <w:textDirection w:val="lrTb"/>
            <w:noWrap w:val="false"/>
          </w:tcPr>
          <w:p>
            <w:pPr>
              <w:pStyle w:val="1228"/>
              <w:ind w:left="0" w:firstLine="0"/>
              <w:jc w:val="center"/>
              <w:shd w:val="clear" w:color="auto" w:fill="auto"/>
              <w:rPr>
                <w:rFonts w:hint="eastAsia" w:ascii="宋体" w:hAnsi="宋体" w:eastAsia="宋体" w:cs="宋体"/>
                <w:color w:val="000000"/>
                <w:sz w:val="24"/>
                <w:szCs w:val="24"/>
                <w:highlight w:val="none"/>
              </w:rPr>
              <w:framePr w:vAnchor="text" w:hAnchor="page" w:x="2219" w:y="40"/>
            </w:pPr>
            <w:r>
              <w:rPr>
                <w:rFonts w:hint="eastAsia" w:ascii="宋体" w:hAnsi="宋体" w:eastAsia="宋体" w:cs="宋体"/>
                <w:color w:val="000000"/>
                <w:sz w:val="24"/>
                <w:szCs w:val="24"/>
                <w:highlight w:val="none"/>
              </w:rPr>
              <w:t xml:space="preserve">本项目为货物</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r>
            <w:r/>
          </w:p>
        </w:tc>
      </w:tr>
    </w:tbl>
    <w:p>
      <w:pPr>
        <w:pStyle w:val="768"/>
        <w:ind w:firstLine="482"/>
        <w:spacing w:before="120" w:after="120" w:line="0" w:lineRule="atLeast"/>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本项目采购标的对应的中小企业划分标准所属行业</w:t>
      </w:r>
      <w:r>
        <w:rPr>
          <w:rFonts w:hint="eastAsia" w:ascii="宋体" w:hAnsi="宋体" w:eastAsia="宋体" w:cs="宋体"/>
          <w:b/>
          <w:bCs/>
          <w:color w:val="000000"/>
          <w:sz w:val="24"/>
          <w:szCs w:val="24"/>
          <w:highlight w:val="none"/>
          <w:lang w:val="en-US" w:eastAsia="zh-CN"/>
        </w:rPr>
      </w:r>
      <w:r/>
    </w:p>
    <w:tbl>
      <w:tblPr>
        <w:tblW w:w="7613" w:type="dxa"/>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50"/>
        <w:gridCol w:w="3550"/>
      </w:tblGrid>
      <w:tr>
        <w:trPr>
          <w:trHeight w:val="270"/>
        </w:trPr>
        <w:tc>
          <w:tcPr>
            <w:tcW w:w="813" w:type="dxa"/>
            <w:vAlign w:val="top"/>
            <w:textDirection w:val="lrTb"/>
            <w:noWrap w:val="false"/>
          </w:tcPr>
          <w:p>
            <w:pPr>
              <w:pStyle w:val="768"/>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3250" w:type="dxa"/>
            <w:vAlign w:val="center"/>
            <w:textDirection w:val="lrTb"/>
            <w:noWrap w:val="false"/>
          </w:tcPr>
          <w:p>
            <w:pPr>
              <w:pStyle w:val="768"/>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采购标的</w:t>
            </w:r>
            <w:r>
              <w:rPr>
                <w:rFonts w:hint="eastAsia" w:ascii="宋体" w:hAnsi="宋体" w:eastAsia="宋体" w:cs="宋体"/>
                <w:b/>
                <w:bCs/>
                <w:i w:val="0"/>
                <w:iCs w:val="0"/>
                <w:color w:val="000000"/>
                <w:sz w:val="20"/>
                <w:szCs w:val="20"/>
                <w:highlight w:val="none"/>
                <w:u w:val="none"/>
              </w:rPr>
            </w:r>
            <w:r/>
          </w:p>
        </w:tc>
        <w:tc>
          <w:tcPr>
            <w:tcW w:w="3550" w:type="dxa"/>
            <w:vAlign w:val="center"/>
            <w:textDirection w:val="lrTb"/>
            <w:noWrap w:val="false"/>
          </w:tcPr>
          <w:p>
            <w:pPr>
              <w:pStyle w:val="768"/>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对应中小企业划分标准所属行业</w:t>
            </w:r>
            <w:r>
              <w:rPr>
                <w:rFonts w:hint="eastAsia" w:ascii="宋体" w:hAnsi="宋体" w:eastAsia="宋体" w:cs="宋体"/>
                <w:b/>
                <w:bCs/>
                <w:i w:val="0"/>
                <w:iCs w:val="0"/>
                <w:color w:val="000000"/>
                <w:sz w:val="20"/>
                <w:szCs w:val="20"/>
                <w:highlight w:val="none"/>
                <w:u w:val="none"/>
              </w:rPr>
            </w:r>
            <w:r/>
          </w:p>
        </w:tc>
      </w:tr>
      <w:tr>
        <w:trPr>
          <w:trHeight w:val="270"/>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333333"/>
                <w:sz w:val="20"/>
                <w:szCs w:val="20"/>
                <w:highlight w:val="none"/>
                <w:u w:val="none"/>
                <w:lang w:val="en-US" w:eastAsia="zh-CN"/>
              </w:rPr>
              <w:t xml:space="preserve">一、传统体育器材（96项）</w:t>
            </w:r>
            <w:r>
              <w:rPr>
                <w:rFonts w:hint="eastAsia" w:ascii="宋体" w:hAnsi="宋体" w:eastAsia="宋体" w:cs="宋体"/>
                <w:i w:val="0"/>
                <w:iCs w:val="0"/>
                <w:color w:val="333333"/>
                <w:sz w:val="20"/>
                <w:szCs w:val="20"/>
                <w:highlight w:val="none"/>
                <w:u w:val="none"/>
              </w:rPr>
            </w:r>
            <w:r/>
          </w:p>
        </w:tc>
      </w:tr>
      <w:tr>
        <w:trPr>
          <w:trHeight w:val="297"/>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9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守门员手套</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乒乓球发球机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乒乓球台（室内比赛）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乒乓球台（室外训练）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足球架球网</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排球网架套装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羽毛球网架套装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高脚裁判椅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球类存放架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球拍存放柜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球类收纳推车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球类气压表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跳高设备套装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体操垫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382"/>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电子记分牌</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手动翻分牌</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裁判哨子</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电子秒表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发令枪</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运动员号码布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起跑器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接力棒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百米阻力训练器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高低杠</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单杠</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实心球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铅球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拔河绳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毽子</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沙包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丢沙包盘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滚铁环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陀螺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空竹</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竹竿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拍皮球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趣味平衡木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趣味毛毛虫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袋鼠跳袋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两人三足绑带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趣味接力套圈+标志桶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软式飞盘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跳皮筋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塑料呼啦圈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弹力带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障碍桩</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独轮车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组合篮球树</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充气拱门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音响设备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视力筛查表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综合训练器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多功能跑步机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动感单车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哑铃套装（含架）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杠铃套装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止震垫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弹性地板（运动木地板）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舞蹈室压腿杆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遮光帘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平沙器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划线车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卷尺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电动气泵</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打气筒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维护工具</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轮式干粉灭火剂</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急救箱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运动服（春秋季）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运动服（冬季）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运动服（夏季）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田径服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不锈钢户外长椅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000000"/>
                <w:sz w:val="24"/>
                <w:szCs w:val="24"/>
                <w:u w:val="none"/>
                <w:lang w:val="en-US" w:eastAsia="zh-CN" w:bidi="ar"/>
              </w:rPr>
              <w:t xml:space="preserve">二、AI智慧体育设备采购（45项）</w:t>
            </w:r>
            <w:r>
              <w:rPr>
                <w:rFonts w:hint="eastAsia" w:ascii="宋体" w:hAnsi="宋体" w:eastAsia="宋体" w:cs="宋体"/>
                <w:i w:val="0"/>
                <w:iCs w:val="0"/>
                <w:color w:val="333333"/>
                <w:sz w:val="20"/>
                <w:szCs w:val="20"/>
                <w:highlight w:val="none"/>
                <w:u w:val="none"/>
              </w:rPr>
            </w:r>
            <w:r/>
          </w:p>
        </w:tc>
      </w:tr>
      <w:tr>
        <w:trPr>
          <w:trHeight w:val="272"/>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智慧体育教学练测评系统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智慧体育校级数据平台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智慧体育助手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智慧体育工作站</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50*8拓展包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计圈跑跑圈打卡系统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排球垫球AI测试站系统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排球垫球AI测试站配套设备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身高体重测试机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肺活量测试机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室外体育数据展示终端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AI体育锻炼设备(室外版)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AI体育教学设备(室外版)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AI体测设备(室外版)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坐位体前屈测试板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户外悬浮地板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室外AP</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无线网网关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千兆光纤收发器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室外防水落地箱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PE32管</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杆件基础</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建筑业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管道开挖施工</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建筑业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三、校园监控设备采购（2</w:t>
            </w:r>
            <w:r>
              <w:rPr>
                <w:rFonts w:hint="eastAsia" w:ascii="宋体" w:hAnsi="宋体" w:cs="宋体"/>
                <w:b/>
                <w:bCs/>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lang w:val="en-US" w:eastAsia="zh-CN" w:bidi="ar"/>
              </w:rPr>
              <w:t xml:space="preserve">项）</w:t>
            </w:r>
            <w:r>
              <w:rPr>
                <w:rFonts w:hint="eastAsia" w:ascii="宋体" w:hAnsi="宋体" w:eastAsia="宋体" w:cs="宋体"/>
                <w:i w:val="0"/>
                <w:iCs w:val="0"/>
                <w:color w:val="333333"/>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400万高清双光全彩枪机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专用支架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收发器机架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128路网络硬盘录像机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监控专用硬盘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监控显示终端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高清解码器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网络机柜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光纤跳线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PVC线管</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4芯终端盒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光纤配线架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监控专用防水箱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23"/>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四、科技与体育相结合产品（6项）</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333333"/>
                <w:sz w:val="20"/>
                <w:szCs w:val="20"/>
                <w:highlight w:val="none"/>
                <w:u w:val="none"/>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无人机足球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无人机足球场地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智慧朗读亭</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AI心理辅导机器人（人型）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AI全景滑雪设备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室内全息体适能训练系统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bl>
    <w:p>
      <w:pPr>
        <w:pStyle w:val="768"/>
        <w:spacing w:line="480" w:lineRule="exact"/>
        <w:rPr>
          <w:rFonts w:hint="eastAsia" w:ascii="宋体" w:hAnsi="宋体" w:cs="宋体"/>
          <w:sz w:val="24"/>
          <w:szCs w:val="24"/>
        </w:rPr>
      </w:pPr>
      <w:r>
        <w:rPr>
          <w:rFonts w:hint="eastAsia" w:ascii="宋体" w:hAnsi="宋体" w:cs="宋体"/>
          <w:sz w:val="24"/>
          <w:szCs w:val="24"/>
        </w:rPr>
      </w:r>
      <w:r/>
    </w:p>
    <w:p>
      <w:pPr>
        <w:pStyle w:val="768"/>
        <w:ind w:firstLine="482"/>
        <w:spacing w:before="120" w:after="120" w:line="0" w:lineRule="atLeast"/>
        <w:shd w:val="clear" w:color="auto" w:fill="auto"/>
        <w:rPr>
          <w:rFonts w:ascii="宋体" w:hAnsi="宋体" w:cs="宋体"/>
          <w:sz w:val="24"/>
          <w:szCs w:val="24"/>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本项目不接受进口产品。</w:t>
      </w:r>
      <w:r>
        <w:rPr>
          <w:rFonts w:ascii="宋体" w:hAnsi="宋体" w:cs="宋体"/>
          <w:sz w:val="24"/>
          <w:szCs w:val="24"/>
        </w:rPr>
      </w:r>
      <w:r/>
    </w:p>
    <w:p>
      <w:pPr>
        <w:pStyle w:val="806"/>
        <w:ind w:left="0" w:firstLine="480"/>
        <w:spacing w:after="0" w:line="360" w:lineRule="auto"/>
        <w:rPr>
          <w:rFonts w:ascii="Times New Roman" w:hAnsi="Times New Roman"/>
          <w:b/>
          <w:bCs/>
          <w:sz w:val="24"/>
          <w:szCs w:val="24"/>
        </w:rPr>
      </w:pPr>
      <w:r>
        <w:rPr>
          <w:rFonts w:ascii="Times New Roman" w:hAnsi="Times New Roman"/>
          <w:b/>
          <w:bCs/>
          <w:sz w:val="24"/>
          <w:szCs w:val="24"/>
        </w:rPr>
        <w:t xml:space="preserve">一、</w:t>
      </w:r>
      <w:r>
        <w:rPr>
          <w:rFonts w:hint="eastAsia" w:ascii="Times New Roman" w:hAnsi="Times New Roman"/>
          <w:b/>
          <w:bCs/>
          <w:sz w:val="24"/>
          <w:szCs w:val="24"/>
        </w:rPr>
        <w:t xml:space="preserve">项目概述</w:t>
      </w:r>
      <w:r>
        <w:rPr>
          <w:rFonts w:ascii="Times New Roman" w:hAnsi="Times New Roman"/>
          <w:b/>
          <w:bCs/>
          <w:sz w:val="24"/>
          <w:szCs w:val="24"/>
        </w:rPr>
      </w:r>
      <w:r/>
    </w:p>
    <w:p>
      <w:pPr>
        <w:pStyle w:val="768"/>
        <w:ind w:firstLine="480"/>
        <w:jc w:val="left"/>
        <w:spacing w:line="440" w:lineRule="exact"/>
        <w:rPr>
          <w:rFonts w:ascii="宋体" w:hAnsi="宋体" w:eastAsia="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t xml:space="preserve">本项目为泗洪县太平实验学校体育设施改造项目，主要内容为拟采购一批传统体育器材、智慧体育产品、科技与体育相结合产品、校园监控设备等。</w:t>
      </w:r>
      <w:r>
        <w:rPr>
          <w:rFonts w:hint="eastAsia" w:ascii="宋体" w:hAnsi="宋体" w:eastAsia="宋体" w:cs="宋体"/>
          <w:b w:val="0"/>
          <w:bCs/>
          <w:sz w:val="24"/>
          <w:szCs w:val="24"/>
          <w:lang w:val="en-US" w:eastAsia="zh-CN"/>
        </w:rPr>
        <w:t xml:space="preserve">具体内容详见清单及技术参数要求。</w:t>
      </w:r>
      <w:r>
        <w:rPr>
          <w:rFonts w:ascii="宋体" w:hAnsi="宋体" w:eastAsia="宋体" w:cs="宋体"/>
          <w:b w:val="0"/>
          <w:bCs/>
          <w:sz w:val="24"/>
          <w:szCs w:val="24"/>
          <w:lang w:val="en-US" w:eastAsia="zh-CN"/>
        </w:rPr>
      </w:r>
      <w:r/>
    </w:p>
    <w:p>
      <w:pPr>
        <w:pStyle w:val="1047"/>
        <w:ind w:firstLine="482"/>
        <w:spacing w:line="360" w:lineRule="auto"/>
        <w:rPr>
          <w:rFonts w:ascii="宋体" w:hAnsi="宋体" w:eastAsia="宋体" w:cs="宋体"/>
          <w:b/>
          <w:sz w:val="24"/>
          <w:szCs w:val="24"/>
          <w:lang w:val="en-US" w:eastAsia="zh-CN"/>
        </w:rPr>
      </w:pPr>
      <w:r>
        <w:rPr>
          <w:rFonts w:hint="eastAsia" w:ascii="宋体" w:hAnsi="宋体" w:cs="宋体"/>
          <w:b/>
          <w:sz w:val="24"/>
          <w:szCs w:val="24"/>
        </w:rPr>
        <w:t xml:space="preserve">二、合同履约期限及地点：</w:t>
      </w:r>
      <w:r>
        <w:rPr>
          <w:rFonts w:ascii="宋体" w:hAnsi="宋体" w:eastAsia="宋体" w:cs="宋体"/>
          <w:b/>
          <w:sz w:val="24"/>
          <w:szCs w:val="24"/>
          <w:lang w:val="en-US" w:eastAsia="zh-CN"/>
        </w:rPr>
      </w:r>
      <w:r/>
    </w:p>
    <w:p>
      <w:pPr>
        <w:pStyle w:val="1047"/>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1.合同履约期限：45日历天完成供货并安装调试完毕</w:t>
      </w:r>
      <w:r>
        <w:rPr>
          <w:rFonts w:hint="eastAsia" w:ascii="宋体" w:hAnsi="宋体" w:cs="宋体"/>
          <w:bCs/>
          <w:sz w:val="24"/>
          <w:szCs w:val="24"/>
        </w:rPr>
        <w:t xml:space="preserve">（自合同</w:t>
      </w:r>
      <w:r>
        <w:rPr>
          <w:rFonts w:hint="eastAsia" w:ascii="宋体" w:hAnsi="宋体" w:cs="宋体"/>
          <w:bCs/>
          <w:sz w:val="24"/>
          <w:szCs w:val="24"/>
          <w:lang w:val="en-US" w:eastAsia="zh-CN"/>
        </w:rPr>
        <w:t xml:space="preserve">签订之日起算</w:t>
      </w:r>
      <w:r>
        <w:rPr>
          <w:rFonts w:hint="eastAsia" w:ascii="宋体" w:hAnsi="宋体" w:cs="宋体"/>
          <w:bCs/>
          <w:sz w:val="24"/>
          <w:szCs w:val="24"/>
        </w:rPr>
        <w:t xml:space="preserve">）</w:t>
      </w:r>
      <w:r>
        <w:rPr>
          <w:rFonts w:hint="eastAsia" w:ascii="宋体" w:hAnsi="宋体" w:cs="宋体"/>
          <w:bCs/>
          <w:sz w:val="24"/>
          <w:szCs w:val="24"/>
        </w:rPr>
      </w:r>
      <w:r/>
    </w:p>
    <w:p>
      <w:pPr>
        <w:pStyle w:val="1047"/>
        <w:ind w:firstLine="482"/>
        <w:spacing w:line="360" w:lineRule="auto"/>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2.地点：泗洪县太平实验学校</w:t>
      </w:r>
      <w:r>
        <w:rPr>
          <w:rFonts w:ascii="宋体" w:hAnsi="宋体" w:eastAsia="宋体" w:cs="宋体"/>
          <w:bCs/>
          <w:sz w:val="24"/>
          <w:szCs w:val="24"/>
          <w:lang w:val="en-US" w:eastAsia="zh-CN"/>
        </w:rPr>
      </w:r>
      <w:r/>
    </w:p>
    <w:p>
      <w:pPr>
        <w:pStyle w:val="1047"/>
        <w:ind w:firstLine="482"/>
        <w:spacing w:line="360" w:lineRule="auto"/>
        <w:rPr>
          <w:rFonts w:ascii="宋体" w:hAnsi="宋体" w:cs="宋体"/>
          <w:b/>
          <w:sz w:val="24"/>
          <w:szCs w:val="24"/>
        </w:rPr>
      </w:pPr>
      <w:r>
        <w:rPr>
          <w:rFonts w:hint="eastAsia" w:ascii="宋体" w:hAnsi="宋体" w:cs="宋体"/>
          <w:b/>
          <w:sz w:val="24"/>
          <w:szCs w:val="24"/>
        </w:rPr>
        <w:t xml:space="preserve">三、付款方式</w:t>
      </w:r>
      <w:r>
        <w:rPr>
          <w:rFonts w:ascii="宋体" w:hAnsi="宋体" w:cs="宋体"/>
          <w:b/>
          <w:sz w:val="24"/>
          <w:szCs w:val="24"/>
        </w:rPr>
      </w:r>
      <w:r/>
    </w:p>
    <w:p>
      <w:pPr>
        <w:pStyle w:val="768"/>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1.合同签订后，采购人向中标人支付合同金额的30%；</w:t>
      </w:r>
      <w:r>
        <w:rPr>
          <w:rFonts w:hint="eastAsia" w:ascii="宋体" w:hAnsi="宋体" w:cs="宋体"/>
          <w:b w:val="0"/>
          <w:bCs/>
          <w:sz w:val="24"/>
          <w:szCs w:val="24"/>
        </w:rPr>
      </w:r>
      <w:r/>
    </w:p>
    <w:p>
      <w:pPr>
        <w:pStyle w:val="768"/>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2.进度款：项目完成，供应商提供项目完整技术文档，验收</w:t>
      </w:r>
      <w:r>
        <w:rPr>
          <w:rFonts w:hint="eastAsia" w:ascii="宋体" w:hAnsi="宋体" w:cs="宋体"/>
          <w:b w:val="0"/>
          <w:bCs/>
          <w:sz w:val="24"/>
          <w:szCs w:val="24"/>
          <w:lang w:val="en-US" w:eastAsia="zh-CN"/>
        </w:rPr>
        <w:t xml:space="preserve">合格</w:t>
      </w:r>
      <w:r>
        <w:rPr>
          <w:rFonts w:hint="eastAsia" w:ascii="宋体" w:hAnsi="宋体" w:cs="宋体"/>
          <w:b w:val="0"/>
          <w:bCs/>
          <w:sz w:val="24"/>
          <w:szCs w:val="24"/>
        </w:rPr>
        <w:t xml:space="preserve">后</w:t>
      </w:r>
      <w:r>
        <w:rPr>
          <w:rFonts w:hint="eastAsia" w:ascii="宋体" w:hAnsi="宋体" w:cs="宋体"/>
          <w:b w:val="0"/>
          <w:bCs/>
          <w:sz w:val="24"/>
          <w:szCs w:val="24"/>
          <w:lang w:eastAsia="zh-CN"/>
        </w:rPr>
        <w:t xml:space="preserve">（</w:t>
      </w:r>
      <w:r>
        <w:rPr>
          <w:rFonts w:hint="eastAsia" w:ascii="宋体" w:hAnsi="宋体" w:cs="宋体"/>
          <w:b w:val="0"/>
          <w:bCs/>
          <w:sz w:val="24"/>
          <w:szCs w:val="24"/>
          <w:lang w:val="en-US" w:eastAsia="zh-CN"/>
        </w:rPr>
        <w:t xml:space="preserve">以验收报告为准</w:t>
      </w:r>
      <w:r>
        <w:rPr>
          <w:rFonts w:hint="eastAsia" w:ascii="宋体" w:hAnsi="宋体" w:cs="宋体"/>
          <w:b w:val="0"/>
          <w:bCs/>
          <w:sz w:val="24"/>
          <w:szCs w:val="24"/>
          <w:lang w:eastAsia="zh-CN"/>
        </w:rPr>
        <w:t xml:space="preserve">）</w:t>
      </w:r>
      <w:r>
        <w:rPr>
          <w:rFonts w:hint="eastAsia" w:ascii="宋体" w:hAnsi="宋体" w:cs="宋体"/>
          <w:b w:val="0"/>
          <w:bCs/>
          <w:sz w:val="24"/>
          <w:szCs w:val="24"/>
          <w:lang w:val="en-US" w:eastAsia="zh-CN"/>
        </w:rPr>
        <w:t xml:space="preserve">付至结算金额</w:t>
      </w:r>
      <w:r>
        <w:rPr>
          <w:rFonts w:hint="eastAsia" w:ascii="宋体" w:hAnsi="宋体" w:cs="宋体"/>
          <w:b w:val="0"/>
          <w:bCs/>
          <w:sz w:val="24"/>
          <w:szCs w:val="24"/>
        </w:rPr>
        <w:t xml:space="preserve">的100%。（合同款支付方式可采用数字人民币支付）。</w:t>
      </w:r>
      <w:r>
        <w:rPr>
          <w:rFonts w:hint="eastAsia" w:ascii="宋体" w:hAnsi="宋体" w:cs="宋体"/>
          <w:b w:val="0"/>
          <w:bCs/>
          <w:sz w:val="24"/>
          <w:szCs w:val="24"/>
        </w:rPr>
      </w:r>
      <w:r/>
    </w:p>
    <w:p>
      <w:pPr>
        <w:pStyle w:val="768"/>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3.资金支付的时间：收到供应商发票10个工作日内。</w:t>
      </w:r>
      <w:r>
        <w:rPr>
          <w:rFonts w:hint="eastAsia" w:ascii="宋体" w:hAnsi="宋体" w:cs="宋体"/>
          <w:b w:val="0"/>
          <w:bCs/>
          <w:sz w:val="24"/>
          <w:szCs w:val="24"/>
        </w:rPr>
      </w:r>
      <w:r/>
    </w:p>
    <w:p>
      <w:pPr>
        <w:pStyle w:val="768"/>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4.资金支付的条件：满足相应阶段的要求且收到供应商发票。</w:t>
      </w:r>
      <w:r>
        <w:rPr>
          <w:rFonts w:hint="eastAsia" w:ascii="宋体" w:hAnsi="宋体" w:cs="宋体"/>
          <w:b w:val="0"/>
          <w:bCs/>
          <w:sz w:val="24"/>
          <w:szCs w:val="24"/>
        </w:rPr>
      </w:r>
      <w:r/>
    </w:p>
    <w:p>
      <w:pPr>
        <w:pStyle w:val="768"/>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注：在签订合同时，中标人明确表示无需预付款或者主动要求降低预付款比例的，采购人可不适用前述规定。</w:t>
      </w:r>
      <w:r>
        <w:rPr>
          <w:rFonts w:hint="eastAsia" w:ascii="宋体" w:hAnsi="宋体" w:cs="宋体"/>
          <w:b w:val="0"/>
          <w:bCs/>
          <w:sz w:val="24"/>
          <w:szCs w:val="24"/>
        </w:rPr>
      </w:r>
      <w:r/>
    </w:p>
    <w:p>
      <w:pPr>
        <w:pStyle w:val="768"/>
        <w:numPr>
          <w:ilvl w:val="0"/>
          <w:numId w:val="0"/>
        </w:numPr>
        <w:ind w:firstLine="482"/>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bidi="ar-SA"/>
        </w:rPr>
        <w:t xml:space="preserve">四、</w:t>
      </w:r>
      <w:r>
        <w:rPr>
          <w:rFonts w:hint="eastAsia" w:ascii="宋体" w:hAnsi="宋体" w:cs="宋体"/>
          <w:b/>
          <w:sz w:val="24"/>
          <w:szCs w:val="24"/>
        </w:rPr>
        <w:t xml:space="preserve">清单及技术参数要求</w:t>
      </w:r>
      <w:r>
        <w:rPr>
          <w:rFonts w:hint="eastAsia" w:ascii="宋体" w:hAnsi="宋体" w:cs="宋体"/>
          <w:b w:val="0"/>
          <w:bCs/>
          <w:sz w:val="24"/>
          <w:szCs w:val="24"/>
        </w:rPr>
      </w:r>
      <w:r/>
    </w:p>
    <w:p>
      <w:pPr>
        <w:pStyle w:val="768"/>
        <w:ind w:firstLine="480"/>
        <w:jc w:val="left"/>
        <w:spacing w:line="440" w:lineRule="exact"/>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 </w:t>
      </w:r>
      <w:r>
        <w:rPr>
          <w:rFonts w:hint="eastAsia" w:ascii="宋体" w:hAnsi="宋体" w:cs="宋体"/>
          <w:b/>
          <w:bCs w:val="0"/>
          <w:sz w:val="24"/>
          <w:szCs w:val="24"/>
          <w:lang w:val="en-US" w:eastAsia="zh-CN"/>
        </w:rPr>
        <w:t xml:space="preserve">  </w:t>
      </w:r>
      <w:r>
        <w:rPr>
          <w:rFonts w:hint="eastAsia" w:ascii="宋体" w:hAnsi="宋体" w:cs="宋体"/>
          <w:b w:val="0"/>
          <w:bCs/>
          <w:sz w:val="24"/>
          <w:szCs w:val="24"/>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7"/>
        <w:gridCol w:w="683"/>
        <w:gridCol w:w="6236"/>
        <w:gridCol w:w="746"/>
        <w:gridCol w:w="416"/>
      </w:tblGrid>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rPr>
                <w:rFonts w:hint="eastAsia" w:ascii="宋体" w:hAnsi="宋体" w:eastAsia="宋体" w:cs="宋体"/>
                <w:b/>
                <w:bCs/>
                <w:i w:val="0"/>
                <w:iCs w:val="0"/>
                <w:color w:val="000000"/>
                <w:sz w:val="22"/>
                <w:szCs w:val="22"/>
                <w:u w:val="none"/>
              </w:rPr>
            </w:r>
            <w:r/>
          </w:p>
        </w:tc>
        <w:tc>
          <w:tcPr>
            <w:tcW w:w="3656"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招标技术参数要求</w:t>
            </w:r>
            <w:r>
              <w:rPr>
                <w:rFonts w:hint="eastAsia" w:ascii="宋体" w:hAnsi="宋体" w:eastAsia="宋体" w:cs="宋体"/>
                <w:b/>
                <w:bCs/>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一、传统体育器材</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篮球（训练）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＃1、等级：训练用篮球。规格：7号篮球；柔软PU表皮；定制橡胶内胆；圆周长749-780mm，质量567-650g；圆周差≤3mm，圆度：最大半径差≤1.5%，反弹高度：</w:t>
            </w:r>
            <w:r>
              <w:rPr>
                <w:rFonts w:hint="eastAsia" w:ascii="宋体" w:hAnsi="宋体" w:eastAsia="宋体" w:cs="宋体"/>
                <w:i w:val="0"/>
                <w:iCs w:val="0"/>
                <w:color w:val="000000"/>
                <w:sz w:val="22"/>
                <w:szCs w:val="22"/>
                <w:u w:val="none"/>
                <w:lang w:val="en-US" w:eastAsia="zh-CN" w:bidi="ar"/>
              </w:rPr>
              <w:t xml:space="preserve">1200-1400mm。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篮球（比赛）</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＃1、等级：竞赛用篮球。规格：7号篮球；材质：高档优质耐磨PU；50%定基内胆；圆周长749-758mm，质量567-650g；圆周差≤3mm，圆度：最大半径差≤1.5%，反弹高度：1200-1400mm。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＃3、所</w:t>
            </w:r>
            <w:r>
              <w:rPr>
                <w:rFonts w:hint="eastAsia" w:ascii="宋体" w:hAnsi="宋体" w:eastAsia="宋体" w:cs="宋体"/>
                <w:i w:val="0"/>
                <w:iCs w:val="0"/>
                <w:color w:val="000000"/>
                <w:sz w:val="22"/>
                <w:szCs w:val="22"/>
                <w:u w:val="none"/>
                <w:lang w:val="en-US" w:eastAsia="zh-CN" w:bidi="ar"/>
              </w:rPr>
              <w:t xml:space="preserve">投产品符合GB/T22868- 2008《篮球》竞赛用篮球（一级）标准。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足球（训练）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＃1、等级：训练用足球。规格：5号足球；材质:球面材质:PU+EVA；高密度丁基橡胶内胆；圆周长680mm～700mm，质量400g~420g；圆周差≤3mm；反弹高度：1300-1400mm。</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足球（比赛）</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＃1、等级：竞赛用足球。规格：5号足球；材质:高档PU+高档EVA表皮；高弹丁基橡胶内胆；圆周长680mm～700mm，质量425g~445g；圆周差≤3mm；反弹高度：1300-1400mm。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＃3、所投产品需符合GB/T22892-2008《足球》竞赛用足球（一级）标准。）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守门员手套</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＃1、龙门手套颜色:荧光橙/绿手心。材质:天然乳胶手背/手腕材质:聚酯纤维。规格:8号/9号/10号。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＃2、功能:4mm防滑乳胶吸湿透气/弹性材质/防护减震/贴合手掌双层护腕设计韧性护指弹片。</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排球（训练）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＃1、等级:训练用排球。规格：5号排球；材质：亚超细皮革，中胎材质:训练比赛级中胎，排球构造:内胆，中胎，外皮革三层；圆周长650-670mm;质量：260-280g；气密性：气压下降允</w:t>
            </w:r>
            <w:r>
              <w:rPr>
                <w:rFonts w:hint="eastAsia" w:ascii="宋体" w:hAnsi="宋体" w:eastAsia="宋体" w:cs="宋体"/>
                <w:i w:val="0"/>
                <w:iCs w:val="0"/>
                <w:color w:val="000000"/>
                <w:sz w:val="22"/>
                <w:szCs w:val="22"/>
                <w:u w:val="none"/>
                <w:lang w:val="en-US" w:eastAsia="zh-CN" w:bidi="ar"/>
              </w:rPr>
              <w:t xml:space="preserve">差≤4%；反弹高度：1100-1400mm；耐冲击性能：冲击后膨胀率≤1.03，冲击后变形值≤3mm，冲击后球内压下降率≤6%。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排球（比赛）</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＃1、等级:竞赛用排球。规格：5号排球；材质</w:t>
            </w:r>
            <w:r>
              <w:rPr>
                <w:rFonts w:hint="eastAsia" w:ascii="宋体" w:hAnsi="宋体" w:eastAsia="宋体" w:cs="宋体"/>
                <w:i w:val="0"/>
                <w:iCs w:val="0"/>
                <w:color w:val="000000"/>
                <w:sz w:val="22"/>
                <w:szCs w:val="22"/>
                <w:u w:val="none"/>
                <w:lang w:val="en-US" w:eastAsia="zh-CN" w:bidi="ar"/>
              </w:rPr>
              <w:t xml:space="preserve">：超纤PU；定制橡胶内胆；排球构造:内胆，中胎，外皮革三层；圆周长650-670mm;质量：260-280g；气密性：气压下降允差≤4%；反弹高度：1100-1400mm；耐冲击性能：冲击后膨胀率≤1.03，冲击后变形值≤3mm，冲击后球内压下降率≤6%。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＃2、所投产品需符合GB/T22882-2008《排球》标准竞赛用排球（一级）标准。</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羽毛球拍</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＃1、规格2支装；拍框材质:铁合金一体拍杆；击球手感:适中长度:约67cm+5mm；建议磅数:18-22LBS。颜色:蓝/紫/绿/红。</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＃1、球口外径65mm～68mm，球头直径25mm～27mm，球头高 度24mm～26mm，毛片插长63mm～64mm，质量4.50g～ 5.80g，毛片数量≥16片。球头为复合软木材质，毛片为天然羽毛。</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乒乓球拍（训练）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＃1、2支为1副（一直一横）材质：7层纯木底板，双面反胶，击球的拍面应用一层齿粒向外的胶粒片覆盖，连同粘合剂，厚度应≤2mm,连同粘合剂，厚度应≤4mm,底板与胶粒片或海绵胶粒片的粘接结合力应≥3N。</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乒乓球拍（比赛）</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＃1、2支为1副（一直一横）材质：底板：纯木底板，厚度偏常规，自重较轻。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＃2、胶皮：双面反胶，基础粘性胶皮，可打出基础旋转，满足日常休闲击球需求。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＃3、握拍规格：套装一般为1支直拍+1支横拍，适配不同握拍习惯；也有双直拍、双横拍版本可选。单支球拍毛重约220g，整套含包装、球总毛重约500g。</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＃1、材质:环保ABS；球重:≤2.8g，功能性:H40+国际标准尺寸/高弹单耐打40mm+ABS。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＃2、圆度：直径40mm±0.4mm，平均直径标准偏差≤ 0.06mm，最大直径和最小直径差≤0.25mm;标准偏差≤0.06mm；质量：2.67g-2.77g；弹跳：240mm～260mm：硬度：两部受压下陷度≤0.85mm。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乒乓球发球机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＃1、重量：净重≥9.2KG。 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＃2、功能特点:可发9种旋转球+1种不旋转球，可上下调整出球角度，可随机调整左右角度，可自动卸球。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＃3、电源：额定电压:100~240V，额定功率:48W。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＃4、核心性能参数：出球频率:40~80个/分钟；出球速度:4~15球/S，最大储球量:150只；旋转类型：上旋球、下旋球、不旋球、左右旋球、侧旋球；适配球台：标准乒乓球台通用，支持多落点覆盖。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乒乓球台（室内比赛）</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＃1、规格尺寸:台长≥2740mm;台宽≥1525mm;台高≥760mm。平面度:≤4mm物理性能弹性:220-250mm弹性均匀度:≤15mm;台面光泽度:≤15;度台面摩擦系数:≤0.6。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＃2、颜色:蓝 台面材质:台面由15mm加厚密度面板，桌角是40mm加粗方管。台脚装。有8个50mm的移动脚轮，4个脚轮带有刹车功能，台脚装有4个螺旋调节脚垫。顺时针或逆时针拧转可微调桌角高度，以使球台达到最佳的稳定水平。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＃3、产品特色:本款球桌可折叠竖放，移动式推拉自如，15mm加厚密度面板，质量好，弹性足。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乒乓球台（室外训练）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＃1、产品尺寸：长度≥2740mm；宽度≥1500mm；高度≥760mm。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＃2、材质：热镀锌圆钢、钢管。表面处理：脱脂-酸洗-磷化-静电喷塑、脱脂-抛丸-静电喷涂。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＃3、主立柱:≥60mmX3.0mm， 主要承载结构:≥33mmX3.0mm。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安装方式：预埋式。台面采用SMC材料，要求高分子复合材料高温模压成型，具有环保、外形美观、稳定性好、弹性好、耐候性强（可适应±40℃温差）、防静电、防腐蚀、阻燃、台面不断裂、不变形、不变色等特点，翻边高度46mm±2mm；背面主加强筋高度18mm，主加强筋横切面呈梯形，背面采用井字型结构和小米字型结构加强筋双结构组成，田子型加强框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＃5、结构特点：彩虹腿，螺栓连接牢固，支架直径≥60 mm的圆管,厚≥3.0 mm，弓形，球台网架为小圆孔设计，一次性冲孔而成。能有效防止手指伸入产生危险。圆管为加厚圆管折弯与网架焊接而成，表面进行采用脱脂-酸洗-磷化-静电喷塑、脱脂-抛丸-静电喷涂处理,能适应潮湿和酸雨环境，不会出现脱落、锈蚀等现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足球架球网</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＃1、11人人制足球网，≥2.6米高，≥7.5米长。                                                                                                                                                                                                      </w:t>
            </w:r>
            <w:r>
              <w:rPr>
                <w:rFonts w:hint="eastAsia" w:ascii="宋体" w:hAnsi="宋体" w:eastAsia="宋体" w:cs="宋体"/>
                <w:i w:val="0"/>
                <w:iCs w:val="0"/>
                <w:color w:val="000000"/>
                <w:sz w:val="22"/>
                <w:szCs w:val="22"/>
                <w:u w:val="none"/>
                <w:lang w:val="en-US" w:eastAsia="zh-CN" w:bidi="ar"/>
              </w:rPr>
              <w:t xml:space="preserve">                                                                                                                                                                                                                                 ＃2、材质：涤纶编织绳，球网绳径:≥5mm，孔径:≥12cm。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排球网架套装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＃1、移动式羽排网气排球多用柱，箱体≥40cmx60cmx30cm。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＃2、材质：连接方管≥10cm*10cm,可加砂石水泥配重≥25公斤1付,带移动轮子；钢管壁厚≥2.0mm，调节高度155~243cm，采用折盖工艺，中间带锁扣，箱体铁板厚度~1.2mm。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羽毛球网架套装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＃1、立杆直径≥40mm,壁厚≥2.0mm优质铁管，带电镀紧线器，顶端ABS加厚滑轮，全身经过高温静电喷涂，防雨防晒。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＃2、底座尺寸≥60x33x10cm，采用优质ABS塑料材质，内部水泥浇筑，带移动轮子，移动方便。                                                                                                                                                                                                   </w:t>
            </w:r>
            <w:r>
              <w:rPr>
                <w:rFonts w:hint="eastAsia" w:ascii="宋体" w:hAnsi="宋体" w:eastAsia="宋体" w:cs="宋体"/>
                <w:i w:val="0"/>
                <w:iCs w:val="0"/>
                <w:color w:val="000000"/>
                <w:sz w:val="22"/>
                <w:szCs w:val="22"/>
                <w:u w:val="none"/>
                <w:lang w:val="en-US" w:eastAsia="zh-CN" w:bidi="ar"/>
              </w:rPr>
              <w:t xml:space="preserve">                                                                                                                                                                                                                                     ＃3、整体高度≥155cm,整体重量为≥70kg/对。</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高脚裁判椅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＃1、裁判椅主体由≥3x3cm的优质方管焊接而成。可拆装，后底部带有移动轮子，4个落地脚带有防滑可调节支撑装置，有效防止划伤地板，并可调节平衡；座椅是优质的ABS材质。                                                                                                                    ＃2、排球裁判椅总高≥245cm，座位高≥200cm，下面宽≥110x96cm。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球类存放架</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＃1、尺寸：≥129cm长X37cm宽X125cm高。                                                                                                                                                                                                                           </w:t>
            </w:r>
            <w:r>
              <w:rPr>
                <w:rFonts w:hint="eastAsia" w:ascii="宋体" w:hAnsi="宋体" w:eastAsia="宋体" w:cs="宋体"/>
                <w:i w:val="0"/>
                <w:iCs w:val="0"/>
                <w:color w:val="000000"/>
                <w:sz w:val="22"/>
                <w:szCs w:val="22"/>
                <w:u w:val="none"/>
                <w:lang w:val="en-US" w:eastAsia="zh-CN" w:bidi="ar"/>
              </w:rPr>
              <w:t xml:space="preserve">                                                                                                                                                                                                                            ＃2、两边框25mm圆管，0.8mm厚；横杆19mm，圆管0.7mm厚。</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球拍存放柜</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＃1、基材:优质冷轧钢板，板厚≥0.6mm，耐压、强度大、抗冲击不易变形、表面水平底≥0.5mm，最大间隙2mm。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＃2、表面处理:酸洗、磷化、高压静电喷塑、绿色环保、表面平滑、涂层坚固、内外涂层色泽一致。                                                                                                                                                                                     </w:t>
            </w:r>
            <w:r>
              <w:rPr>
                <w:rFonts w:hint="eastAsia" w:ascii="宋体" w:hAnsi="宋体" w:eastAsia="宋体" w:cs="宋体"/>
                <w:i w:val="0"/>
                <w:iCs w:val="0"/>
                <w:color w:val="000000"/>
                <w:sz w:val="22"/>
                <w:szCs w:val="22"/>
                <w:u w:val="none"/>
                <w:lang w:val="en-US" w:eastAsia="zh-CN" w:bidi="ar"/>
              </w:rPr>
              <w:t xml:space="preserve">                                                                                                                                                                                                                                ＃3、规格尺寸: ≥1800mm长x850mm宽x390mm高。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球类收纳推车</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＃1、规格尺寸：≥90cm长*66cm宽*76cm高 。                                                                                                                                                                                                                                  </w:t>
            </w:r>
            <w:r>
              <w:rPr>
                <w:rFonts w:hint="eastAsia" w:ascii="宋体" w:hAnsi="宋体" w:eastAsia="宋体" w:cs="宋体"/>
                <w:i w:val="0"/>
                <w:iCs w:val="0"/>
                <w:color w:val="000000"/>
                <w:sz w:val="22"/>
                <w:szCs w:val="22"/>
                <w:u w:val="none"/>
                <w:lang w:val="en-US" w:eastAsia="zh-CN" w:bidi="ar"/>
              </w:rPr>
              <w:t xml:space="preserve">                                                                                                                                                                                                                                       ＃2、方管≥19mm,壁厚≥0.7mm;圆管≥16</w:t>
            </w:r>
            <w:r>
              <w:rPr>
                <w:rFonts w:hint="eastAsia" w:ascii="宋体" w:hAnsi="宋体" w:eastAsia="宋体" w:cs="宋体"/>
                <w:i w:val="0"/>
                <w:iCs w:val="0"/>
                <w:color w:val="000000"/>
                <w:sz w:val="22"/>
                <w:szCs w:val="22"/>
                <w:u w:val="none"/>
                <w:lang w:val="en-US" w:eastAsia="zh-CN" w:bidi="ar"/>
              </w:rPr>
              <w:t xml:space="preserve">mm,壁厚≥0.6mm; 焊接工艺：氩弧焊接，焊点牢固，整体结构稳定，无虚焊、假焊。                                                                                                                                                                                                                      </w:t>
            </w:r>
            <w:r>
              <w:rPr>
                <w:rFonts w:hint="eastAsia" w:ascii="宋体" w:hAnsi="宋体" w:eastAsia="宋体" w:cs="宋体"/>
                <w:i w:val="0"/>
                <w:iCs w:val="0"/>
                <w:color w:val="000000"/>
                <w:sz w:val="22"/>
                <w:szCs w:val="22"/>
                <w:u w:val="none"/>
                <w:lang w:val="en-US" w:eastAsia="zh-CN" w:bidi="ar"/>
              </w:rPr>
              <w:t xml:space="preserve">                                                                                                                                                                                                                                    ＃3、容量：7号篮球24-26颗，5号篮球30-36颗。</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球类气压表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＃1、毛重≥92克，材质:铜，不锈钢。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＃2、测量范围：0-1.4bar / 0-20psi，双刻度显示，读数直观。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跳高设备套装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＃1、跳高架由底座，移动立柱，横杆托架微调支脚构成。底座：≥320*320mm厚≥2.5mm,产品形式简洁，结构合理，可拆装，便于运输和包装。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＃2、固定立柱与移动立柱选用铝合金型材，表面氧化处理，固定立柱采用≥40*50mm的铝合金方管，刻度调节范围300-2300mm，升降立柱采用≥38*25mm,的铝合金管，两端塑料塞封口。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＃3、底部设有PU滚轮，移动方便。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＃4、跳高架横杆托架≥40*60mm采用塑料材质安全，牢固等优点且上下移动方便。</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跳高垫</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＃1、规格：≥3000mm长*2000mm宽*300mm厚。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套经缝纫组合，四角为直角，每个角均有皮革复合保护，棱角加白牙子，置4个把手。人造海绵于垫套内缝合形成，当载荷落到垫子上时，凹陷深度平均为30～40mm，弹跳高度为20～120mm。具有防滑性、耐磨性、内置海绵一次成型，无接缝、无味环保，压缩强度测试≥100kpa,吸水率测试≤0.6%，符合国家标准。表面平整无皱折，当载荷落至跳垫时，垫外层不会起皱折，里外层不会发生相对位移。</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体操垫</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＃1、小体操垫规格：≥1200mm长*600mm宽*50mm厚。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胆材质为采用泡沫塑料和泡沫乳胶，帆布或人造革外皮，长1200mm±5mm,宽600mm±5mm,厚≥50mm。在长度方向可对半折叠，两侧应各有提手。垫套材质为4×4精细帆布，颜色为军绿色。可在长度方向对半折叠，体操垫长度方向两侧设提手把，在垫子四周加装粘扣，便于拼接使用。涤纶线缝合，两面革贴角，棱角加红或白牙子。跳垫的四角为直角，四周仿皮革包角：表面平整，无皱折，当载荷落至体操垫时，外层不得起皱，里外层不得发生相对位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＃3、当载荷落至跳垫时，外层不得起皱，里外层不得发生相对位移。</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电子记分牌</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＃1、电子记分牌特点：加厚加密全钣金机箱不变形超耐用、坚固、稳定，尺寸：≥60*120cm。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＃2、4G无线电遥控操作、队名（5字显示）、比分、球权、场次、暂停、犯规、比赛时间、24秒、一键回位14秒、一键讯响。适用于篮球、羽毛球、乒乓球、足球、排球、手球、水球等球类比赛。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＃3、配备移动支架。</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手动翻分牌</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＃1、手动金属记分牌黑红，局分0～9，比分 000:000-999:999。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＃2、尺寸：长宽高≥55x19x21cm。材质：铁板+PVC。结构：台式三角支撑设计，摆放稳定，可折叠收纳。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裁判哨子</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＃1、材质:环保ABS颜色;红黄蓝黑绿适用:各类比赛裁判用，遇险求救用，军训用，指挥交通，户外远足等。音量：≥130分贝。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电子秒表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排多道1/100秒)功能:-秒表计时--多道记忆、储存、重现-1/100秒精确计时分散、重叠和累计即分段或分区和总时间的计量-最快、最慢、平均时间计量-定时倒数器步进节拍器·显示时间:时、分、秒、年、月、日、星期-潲示闹钟:时、分、秒唛加入购物车时格式选择。</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发令枪</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＃1、5.6mm定装发令弹。容弹器:装弹≥2发。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＃2、击发方式:单发击发。声响:100米处≥60分贝。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＃3、烟雾:≥150米处清晰可见。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发令台</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＃1、底座尺寸：≥69*63*45cm。烟屏直径≥40cm。烟屏低伸130～190cm。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运动员号码布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＃1、规格：≥20*30cm，涤纶材质。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起跑器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＃1、材质：铝合金。尺寸长≥64cm;宽≥10cm，厚度≥3.6cm，脚登高≥16*17*11cm，脚蹬最远可调≥45cm。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接力棒</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＃1、材质:优质硬质</w:t>
            </w:r>
            <w:r>
              <w:rPr>
                <w:rFonts w:hint="eastAsia" w:ascii="宋体" w:hAnsi="宋体" w:eastAsia="宋体" w:cs="宋体"/>
                <w:i w:val="0"/>
                <w:iCs w:val="0"/>
                <w:color w:val="000000"/>
                <w:sz w:val="22"/>
                <w:szCs w:val="22"/>
                <w:u w:val="none"/>
                <w:lang w:val="en-US" w:eastAsia="zh-CN" w:bidi="ar"/>
              </w:rPr>
              <w:t xml:space="preserve">PVC环保塑料总长:280mm～300mm外径:30mm～42mm单支重量:≥50g。                                                                                                                                                                                                                     </w:t>
            </w:r>
            <w:r>
              <w:rPr>
                <w:rFonts w:hint="eastAsia" w:ascii="宋体" w:hAnsi="宋体" w:eastAsia="宋体" w:cs="宋体"/>
                <w:i w:val="0"/>
                <w:iCs w:val="0"/>
                <w:color w:val="000000"/>
                <w:sz w:val="22"/>
                <w:szCs w:val="22"/>
                <w:u w:val="none"/>
                <w:lang w:val="en-US" w:eastAsia="zh-CN" w:bidi="ar"/>
              </w:rPr>
              <w:t xml:space="preserve">                                                                                                                                                                                                                                          ＃2、外观配色:经典红白对半拼接表面工艺:光</w:t>
            </w:r>
            <w:r>
              <w:rPr>
                <w:rFonts w:hint="eastAsia" w:ascii="宋体" w:hAnsi="宋体" w:eastAsia="宋体" w:cs="宋体"/>
                <w:i w:val="0"/>
                <w:iCs w:val="0"/>
                <w:color w:val="000000"/>
                <w:sz w:val="22"/>
                <w:szCs w:val="22"/>
                <w:u w:val="none"/>
                <w:lang w:val="en-US" w:eastAsia="zh-CN" w:bidi="ar"/>
              </w:rPr>
              <w:t xml:space="preserve">滑无毛刺、防滑哑光质感，结构:一体成型实心/加厚中空，耐摔耐撞。                                                                                                                                                                                                                                </w:t>
            </w:r>
            <w:r>
              <w:rPr>
                <w:rFonts w:hint="eastAsia" w:ascii="宋体" w:hAnsi="宋体" w:eastAsia="宋体" w:cs="宋体"/>
                <w:i w:val="0"/>
                <w:iCs w:val="0"/>
                <w:color w:val="000000"/>
                <w:sz w:val="22"/>
                <w:szCs w:val="22"/>
                <w:u w:val="none"/>
                <w:lang w:val="en-US" w:eastAsia="zh-CN" w:bidi="ar"/>
              </w:rPr>
              <w:t xml:space="preserve">                                                                                                                                                                                                                          ＃3、适用场景:中小学运动防水耐磨规格制式:标准田径赛事通用尺寸，握持顺手。</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百米阻力训练器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＃1、阻力范围：3.5KG～35KG；产品重量：≥65KG。产品长度：≥950mm；产品宽度：≥613mm；产品高度：≥730mm。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高低杠</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＃1、尺寸：≥3200*114*2700mm。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＃2、横杠材料：弹簧钢，立柱材料：≥90mm钢管。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单杠</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＃1、杠面高度：1</w:t>
            </w:r>
            <w:r>
              <w:rPr>
                <w:rFonts w:hint="eastAsia" w:ascii="宋体" w:hAnsi="宋体" w:eastAsia="宋体" w:cs="宋体"/>
                <w:i w:val="0"/>
                <w:iCs w:val="0"/>
                <w:color w:val="000000"/>
                <w:sz w:val="22"/>
                <w:szCs w:val="22"/>
                <w:u w:val="none"/>
                <w:lang w:val="en-US" w:eastAsia="zh-CN" w:bidi="ar"/>
              </w:rPr>
              <w:t xml:space="preserve">200mm～2000mm。两立柱支点中心距：2000mm～2400mm。横杠材料：弹簧钢，立柱材料：90mm钢管。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肋木架</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＃1、规格:长宽高≥1350*114*2600mm。                                                                                                                                                                </w:t>
            </w:r>
            <w:r>
              <w:rPr>
                <w:rFonts w:hint="eastAsia" w:ascii="宋体" w:hAnsi="宋体" w:eastAsia="宋体" w:cs="宋体"/>
                <w:i w:val="0"/>
                <w:iCs w:val="0"/>
                <w:color w:val="000000"/>
                <w:sz w:val="22"/>
                <w:szCs w:val="22"/>
                <w:u w:val="none"/>
                <w:lang w:val="en-US" w:eastAsia="zh-CN" w:bidi="ar"/>
              </w:rPr>
              <w:t xml:space="preserve">                                                                                                            ＃2、立柱直径≥114mm，厚≥3mm,高≥3000mm,内宽≥1000mm。横杆直径材质32mm，厚≥2.5mm,间距30cm,钢件部分均经酸洗、磷化、烤漆处理,能适应潮湿和酸雨环境不会出现脱落、锈蚀等现象。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＃1、充气实心球材质：橡胶，内填细沙，可充气，1kg小学训练直径≥11cm，充气实心球防滑胶粒，柔软安全，内有气体，落地缓冲保护，延长适用寿命圆周长350mm～780mm,质量1000g±30g。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＃2、PVC软性材料，可充气设计，球体表面有规则的防滑圆点,不应有颗粒脱落、裂缝等缺陷。                                                                                                                                                                                        </w:t>
            </w:r>
            <w:r>
              <w:rPr>
                <w:rFonts w:hint="eastAsia" w:ascii="宋体" w:hAnsi="宋体" w:eastAsia="宋体" w:cs="宋体"/>
                <w:i w:val="0"/>
                <w:iCs w:val="0"/>
                <w:color w:val="000000"/>
                <w:sz w:val="22"/>
                <w:szCs w:val="22"/>
                <w:u w:val="none"/>
                <w:lang w:val="en-US" w:eastAsia="zh-CN" w:bidi="ar"/>
              </w:rPr>
              <w:t xml:space="preserve">                                                                                                                                                                                                    ＃3、采用适宜的软性材料，球体表面应进行防滑处理,不应有颗粒脱落、裂缝等缺陷,经过从10m高处自由落体试验后，应无破裂。</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铅球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＃1、额定重量:3.000kg～3.030kg，重量误差≤30g。球体直径:标准90mm(9cm)，区间85-99mm。材质：校园训练款:实心铸铁，表面银灰喷塑防锈，球体重心距球体中心距离≤6mm。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＃2、专业比赛款:碳钢/不锈钢一体浇筑，重心偏差≤6mm。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拔河绳</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＃1、规格：长≥30m,质量≥10kg,采用天然麻棕线绞制。</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跳绳</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＃1、短跳绳，2600mm～2800mm,直径≥5mm,手柄长100～120mm,直径18mm～28mm;质量90g～120g。手柄材质:PP+EVA，绳为棉线材料。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毽子</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＃1、球高130mm～180mm，球重10g～13g，毽垫直径30mm～32mm，厚度3mm～4mm。                                                                                           </w:t>
            </w:r>
            <w:r>
              <w:rPr>
                <w:rFonts w:hint="eastAsia" w:ascii="宋体" w:hAnsi="宋体" w:eastAsia="宋体" w:cs="宋体"/>
                <w:i w:val="0"/>
                <w:iCs w:val="0"/>
                <w:color w:val="000000"/>
                <w:sz w:val="22"/>
                <w:szCs w:val="22"/>
                <w:u w:val="none"/>
                <w:lang w:val="en-US" w:eastAsia="zh-CN" w:bidi="ar"/>
              </w:rPr>
              <w:t xml:space="preserve">                                                                                                                                                                                                                                        ＃2、键毛应采用8支～10支彩色鸡羽，扎成圆形。</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＃1、双层帆布扁沙包尺寸:边长≥8cm±0.5cm。                                                                                                                                                                                                </w:t>
            </w:r>
            <w:r>
              <w:rPr>
                <w:rFonts w:hint="eastAsia" w:ascii="宋体" w:hAnsi="宋体" w:eastAsia="宋体" w:cs="宋体"/>
                <w:i w:val="0"/>
                <w:iCs w:val="0"/>
                <w:color w:val="000000"/>
                <w:sz w:val="22"/>
                <w:szCs w:val="22"/>
                <w:u w:val="none"/>
                <w:lang w:val="en-US" w:eastAsia="zh-CN" w:bidi="ar"/>
              </w:rPr>
              <w:t xml:space="preserve">                                                                                                                                                                                                                                     ＃2、重量:150g±5g。材质:材质帆布+内物稻壳。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丢沙包盘</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＃1、1.5M*1.5M布制靶盘。靶盘材质：加厚牛津布 / 帆布面料，防水防污，可反复投掷不易破损。</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滚铁环</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＃1、铁环直径50cm+2cm，钢筋直径≥6.5mm 。                                                       </w:t>
            </w:r>
            <w:r>
              <w:rPr>
                <w:rFonts w:hint="eastAsia" w:ascii="宋体" w:hAnsi="宋体" w:eastAsia="宋体" w:cs="宋体"/>
                <w:i w:val="0"/>
                <w:iCs w:val="0"/>
                <w:color w:val="000000"/>
                <w:sz w:val="22"/>
                <w:szCs w:val="22"/>
                <w:u w:val="none"/>
                <w:lang w:val="en-US" w:eastAsia="zh-CN" w:bidi="ar"/>
              </w:rPr>
              <w:t xml:space="preserve">                                                                                                                                                                                                                                           ＃2、伸缩杆280mm-730mm可伸缩。</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陀螺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＃1、陀螺材质：槐木材质，直径≥6cm陀螺。                                                                                                                                                                                               </w:t>
            </w:r>
            <w:r>
              <w:rPr>
                <w:rFonts w:hint="eastAsia" w:ascii="宋体" w:hAnsi="宋体" w:eastAsia="宋体" w:cs="宋体"/>
                <w:i w:val="0"/>
                <w:iCs w:val="0"/>
                <w:color w:val="000000"/>
                <w:sz w:val="22"/>
                <w:szCs w:val="22"/>
                <w:u w:val="none"/>
                <w:lang w:val="en-US" w:eastAsia="zh-CN" w:bidi="ar"/>
              </w:rPr>
              <w:t xml:space="preserve">                                                                                                                                                                                                                                               ＃2、重量200克±2g，带抽鞭。</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空竹</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＃1、主体直径120mm±2mm，高度135mm±2mm。杆子长280mm±5mm，绳子长1300mm±5mm。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＃2、聚乙烯材质，丙烯金属。</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竹竿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＃1、长度3000mm±5mm，直径35mm±2mm。                                                                                                                                                                                              </w:t>
            </w:r>
            <w:r>
              <w:rPr>
                <w:rFonts w:hint="eastAsia" w:ascii="宋体" w:hAnsi="宋体" w:eastAsia="宋体" w:cs="宋体"/>
                <w:i w:val="0"/>
                <w:iCs w:val="0"/>
                <w:color w:val="000000"/>
                <w:sz w:val="22"/>
                <w:szCs w:val="22"/>
                <w:u w:val="none"/>
                <w:lang w:val="en-US" w:eastAsia="zh-CN" w:bidi="ar"/>
              </w:rPr>
              <w:t xml:space="preserve">                                                                                                                                                                                                                                                    ＃2、满足竹竿舞的需求。</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拍皮球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＃1、可充气拍皮球材质：PVC材质，尺寸：直径200mm±20mm。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趣味平衡木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＃1、可折叠结构，外包绒布材料。                                                                                    </w:t>
            </w:r>
            <w:r>
              <w:rPr>
                <w:rFonts w:hint="eastAsia" w:ascii="宋体" w:hAnsi="宋体" w:eastAsia="宋体" w:cs="宋体"/>
                <w:i w:val="0"/>
                <w:iCs w:val="0"/>
                <w:color w:val="000000"/>
                <w:sz w:val="22"/>
                <w:szCs w:val="22"/>
                <w:u w:val="none"/>
                <w:lang w:val="en-US" w:eastAsia="zh-CN" w:bidi="ar"/>
              </w:rPr>
              <w:t xml:space="preserve">                                                                                                                                                                                                                                    ＃2、总长1800mm±5mm，宽度100mm±5mm。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趣味毛毛虫</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＃1、配置人数≥6人位。材质：PVC夹网布材质，不低于46丝。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袋鼠跳袋</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＃1、数字袋鼠跳70cm，双层牛津布材质；                                                                   </w:t>
            </w:r>
            <w:r>
              <w:rPr>
                <w:rFonts w:hint="eastAsia" w:ascii="宋体" w:hAnsi="宋体" w:eastAsia="宋体" w:cs="宋体"/>
                <w:i w:val="0"/>
                <w:iCs w:val="0"/>
                <w:color w:val="000000"/>
                <w:sz w:val="22"/>
                <w:szCs w:val="22"/>
                <w:u w:val="none"/>
                <w:lang w:val="en-US" w:eastAsia="zh-CN" w:bidi="ar"/>
              </w:rPr>
              <w:t xml:space="preserve">                                                                                                                                                                                                                                                   ＃2、适应儿童青少年使用。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两人三足绑带</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＃1、绑腿带总长≥49cm，宽≥5cm。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趣味接力套圈+标志桶</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＃1、规格:长宽高≥33*14.5*14.5cm。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＃2、两个大号塔12个套圈大中小各四个。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＃3、底座高度：约 30-40cm，分 5 层彩</w:t>
            </w:r>
            <w:r>
              <w:rPr>
                <w:rFonts w:hint="eastAsia" w:ascii="宋体" w:hAnsi="宋体" w:eastAsia="宋体" w:cs="宋体"/>
                <w:i w:val="0"/>
                <w:iCs w:val="0"/>
                <w:color w:val="000000"/>
                <w:sz w:val="22"/>
                <w:szCs w:val="22"/>
                <w:u w:val="none"/>
                <w:lang w:val="en-US" w:eastAsia="zh-CN" w:bidi="ar"/>
              </w:rPr>
              <w:t xml:space="preserve">虹段（红/橙/黄/绿/蓝/紫渐变）。底座直径：底部直径约 12-15cm，顶部直径约 5cm。套圈尺寸：小号圈：直径约 10cm，中号圈：直径约 12cm，大号圈：直径约 15cm。                                                                                                                                                                     </w:t>
            </w:r>
            <w:r>
              <w:rPr>
                <w:rFonts w:hint="eastAsia" w:ascii="宋体" w:hAnsi="宋体" w:eastAsia="宋体" w:cs="宋体"/>
                <w:i w:val="0"/>
                <w:iCs w:val="0"/>
                <w:color w:val="000000"/>
                <w:sz w:val="22"/>
                <w:szCs w:val="22"/>
                <w:u w:val="none"/>
                <w:lang w:val="en-US" w:eastAsia="zh-CN" w:bidi="ar"/>
              </w:rPr>
              <w:t xml:space="preserve">                                                                                                                                                                                                                                     ＃4、材质：主体为环保 PP 塑料，无异味，安全无毒。</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软式飞盘</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＃1、材质：柔软的PU(聚氨酯)。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＃2、直径≥20cm，厚≥3cm，重≥105g。</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跳皮筋</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＃1、尺寸：长≥5000mm，宽≥10mm，厚度≥1.5mm。                                                                                                                                                                                                                </w:t>
            </w:r>
            <w:r>
              <w:rPr>
                <w:rFonts w:hint="eastAsia" w:ascii="宋体" w:hAnsi="宋体" w:eastAsia="宋体" w:cs="宋体"/>
                <w:i w:val="0"/>
                <w:iCs w:val="0"/>
                <w:color w:val="000000"/>
                <w:sz w:val="22"/>
                <w:szCs w:val="22"/>
                <w:u w:val="none"/>
                <w:lang w:val="en-US" w:eastAsia="zh-CN" w:bidi="ar"/>
              </w:rPr>
              <w:t xml:space="preserve">                                                                                                                                                                                                               ＃2、主体材质：高密度涤纶 / 尼龙编织，抗撕裂、耐磨、不易褪色防水防潮，可反复使用，抗拉强度高。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塑料呼啦圈</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＃1、规格：内径规格为≥700mm。材质：内芯：高强度塑料管材，韧性好不易断裂，外层：加厚泡沫海绵包裹。</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弹力带</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＃1、材质:TPE。尺寸：长≥2000mm,宽≥13mm,厚≥4.5mm。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＃2、阻力值:15-35LB。</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障碍桩</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＃1、尺寸：直径≥300mm,高度≥500mm。材质:TPE。</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独轮车</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＃1、尺寸：轮直径180mm～200mm。质量约4Kg，高度可调节。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组合篮球树</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＃1、规格：高≥3600mm，宽≥2400mm，5层高低篮筐。整体钢结构打造，树形移树外观。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充气拱门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＃1、材质：牛津布，长度：≥8米。配件：风机沙袋。面料：加厚 PVC 夹网布（0.55-0.6mm），耐磨、抗撕裂、防老化。                                                                                                                                                                                             </w:t>
            </w:r>
            <w:r>
              <w:rPr>
                <w:rFonts w:hint="eastAsia" w:ascii="宋体" w:hAnsi="宋体" w:eastAsia="宋体" w:cs="宋体"/>
                <w:i w:val="0"/>
                <w:iCs w:val="0"/>
                <w:color w:val="000000"/>
                <w:sz w:val="22"/>
                <w:szCs w:val="22"/>
                <w:u w:val="none"/>
                <w:lang w:val="en-US" w:eastAsia="zh-CN" w:bidi="ar"/>
              </w:rPr>
              <w:t xml:space="preserve">                                                                                                                                                                                                                     ＃4、工艺：高温热合焊接，接口牢固，不脱胶、不漏水。配件：配套专用鼓风机防风绳、沙袋。</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音响设备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＃1、喇叭尺寸:≥8寸低音、≥3.5寸高音；电池容量:4400mAh；话筒频点:259.1MHZ；额定功率:90W；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＃2、功能:蓝牙、语音、录音、话筒优先、顶部全功能面板、外接12V配件:单手持话筒、充电器、说明书；                                                                                                                                                    </w:t>
            </w:r>
            <w:r>
              <w:rPr>
                <w:rFonts w:hint="eastAsia" w:ascii="宋体" w:hAnsi="宋体" w:eastAsia="宋体" w:cs="宋体"/>
                <w:i w:val="0"/>
                <w:iCs w:val="0"/>
                <w:color w:val="000000"/>
                <w:sz w:val="22"/>
                <w:szCs w:val="22"/>
                <w:u w:val="none"/>
                <w:lang w:val="en-US" w:eastAsia="zh-CN" w:bidi="ar"/>
              </w:rPr>
              <w:t xml:space="preserve">                                                                                                                                                                                                                                ＃3、适用范围:户外活动(如体操、广场舞蹈、产品促销、旅行聚会等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视力筛查表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＃1、长≥90cm，宽≥30cm，厚≥0.8cm。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＃2、适用距离 标准5米，部分款支持2.5米反光镜检测。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＃3、显示内容 标准E字视标，包含 0.1-1.5 视力等级。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＃4、光源 高亮度 LED 背光，色温 6500K，无频闪，亮度可调。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＃5、供电AC功率：220V，功率约：10-20W。                                </w:t>
            </w:r>
            <w:r>
              <w:rPr>
                <w:rFonts w:hint="eastAsia" w:ascii="宋体" w:hAnsi="宋体" w:eastAsia="宋体" w:cs="宋体"/>
                <w:i w:val="0"/>
                <w:iCs w:val="0"/>
                <w:color w:val="000000"/>
                <w:sz w:val="22"/>
                <w:szCs w:val="22"/>
                <w:u w:val="none"/>
                <w:lang w:val="en-US" w:eastAsia="zh-CN" w:bidi="ar"/>
              </w:rPr>
              <w:t xml:space="preserve">                                                                                                                                                                                                                                   ＃6、外壳 铝合金边框 + PS 面板，防刮耐磨，易清洁。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综合训练器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＃1、产品尺寸：≥1960*1380*2300mm。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重量：≥440kg。 主管管材：≥50*100mm/2.0mm。配重：≥180kg。主架材质：国标钢材Q235。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＃2、锻炼肌肉：胸部、腹部、手臂、背部、腿部。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＃3、功能：飞鸟斜拉、高位下拉、交叉拉伸、双杠支撑、引体向上、飞鸟夹胸、自由深蹲、机械臂推举、史密斯深蹲、蝴蝶夹胸、摇臂推胸、史密斯硬拉、站姿史密斯、坐姿划船等多种功能。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多功能跑步机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＃1、屏幕显示：7寸彩色显示窗口；微电脑控制系统：安卓系统，36个预设程序1个手动程序，显示实时心率。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＃2、马达：2.0HP，速度：大于1-16km/h，跑带面积：约128X45cm。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动感单车</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＃1、坐垫：上下左右可调节，产品净重：≥27KG 。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＃2、架：40x80mm椭圆钢管，承重：≥150KG，屏幕显示：LCD显示屏，电子表：运动数据显示仪表，全封闭式链罩，产品尺寸：长宽高≥115x50x110cm。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哑铃套装（含架）</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＃1、主体为钢结构，高档橡胶包裹，防滑耐用。包胶设计，防震防滑耐磨，手感好，保护地板。材质：高档橡胶+锻造钢内部一体式圆钢。规格：2.5/5/7.5/10/12.5/15/17.5/20/22.5KG哑铃各2只。</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杠铃套装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＃1、搭配不同配重的电镀杠铃片≥100kg。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＃2、材质：杠铃杆：1.5m小孔杠铃杆1根，高强度碳钢，表面电镀处理，防滑防锈，不易弯曲变形；配重片：铸铁材质，表面镀铬/镀锌工艺，耐磨、防腐蚀，长期使用不易生锈。</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止震垫</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＃1、材质：EVA发泡塑料。颜色：红/蓝双色（表面有物理压花，无毒，环保，防滑）。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2、尺寸：长100c×宽100cm（±1cm）,厚度：≥2.5cm。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弹性地板（运动木地板）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＃1、防潮层：PE土工防潮薄膜。承载层：采用单或双龙骨做法，进行防腐处理。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＃2、龙骨间距≤400mm，根据是否将龙骨与地面做固定以及采用何种固定方式，将体育木地板分为悬浮式系统，固定式系统和固定悬浮式系统。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＃3、弹性垫层：弹性垫材料有PU、再生橡胶、橡胶、PVC等等不同种类，主要为系统提供吸震性能。稳定层：通常采用较大幅面的板材，主要有胶合板、OSB板等，尺寸基本为1.22*2.44米，厚度≥12mm。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＃4、面板：面板可采用实木复合或实木板。</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舞蹈室压腿杆</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＃1、把杆采用松木实木内嵌锰钢，支架采用铁质烤漆，伸缩杆件采用不锈钢材质。                                                           </w:t>
            </w:r>
            <w:r>
              <w:rPr>
                <w:rFonts w:hint="eastAsia" w:ascii="宋体" w:hAnsi="宋体" w:eastAsia="宋体" w:cs="宋体"/>
                <w:i w:val="0"/>
                <w:iCs w:val="0"/>
                <w:color w:val="000000"/>
                <w:sz w:val="22"/>
                <w:szCs w:val="22"/>
                <w:u w:val="none"/>
                <w:lang w:val="en-US" w:eastAsia="zh-CN" w:bidi="ar"/>
              </w:rPr>
              <w:t xml:space="preserve">                                                                                                                                                                                                     ＃2、调节高度80～120cm ；实木杆直径≥50mm，底座直径≥40cm，单个底座15KG左右，整套近40KG左右。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瑜伽镜</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＃1、规格：高≥2400mm，宽≥10000mm，采用≥5mm厚度钢化玻璃镜面，边口磨边处理                                                                                              </w:t>
            </w:r>
            <w:r>
              <w:rPr>
                <w:rFonts w:hint="eastAsia" w:ascii="宋体" w:hAnsi="宋体" w:eastAsia="宋体" w:cs="宋体"/>
                <w:i w:val="0"/>
                <w:iCs w:val="0"/>
                <w:color w:val="000000"/>
                <w:sz w:val="22"/>
                <w:szCs w:val="22"/>
                <w:u w:val="none"/>
                <w:lang w:val="en-US" w:eastAsia="zh-CN" w:bidi="ar"/>
              </w:rPr>
              <w:t xml:space="preserve">                                                                                                                                                                                              ＃2、要求成像真实，水银镜面耐腐蚀；四角采用打孔螺栓固定；性能要求安装后平整度垂直，镜面成像与正常物体尺寸相同，无弯曲变形，无变形。</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瑜伽垫</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＃1、材质:双色6mmTPE。尺寸：长宽厚≥1830*80*6mm。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＃2、防滑性能：干湿防滑。无卷边设计：边缘加固处理，不易起卷，使用更稳定。</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瑜伽球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＃1、直径：≥65cm 。承重：静态承重≥200kg，动态承重≥150kg。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＃2、材质与性能：采用防暴抗裂 PVC 材质，表面有防滑纹理，物体刺破，缓慢放气而非瞬间爆炸。</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遮光帘</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＃1、材质：加密棉麻混纺； 要求：遮光，隔热防晒，隔音。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＃2、高度≥2400cm，展开长度不小于3000cm。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平沙器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＃1、规格：不锈钢材质，平沙板尺寸：长≥150cm,宽≥50cm。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划线车</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＃1、尺寸：≥高730mm长500mm宽300mm，轮子直径≥100mm，扶手铁管直径≥25mm，划线线宽45mm。                                                  </w:t>
            </w:r>
            <w:r>
              <w:rPr>
                <w:rFonts w:hint="eastAsia" w:ascii="宋体" w:hAnsi="宋体" w:eastAsia="宋体" w:cs="宋体"/>
                <w:i w:val="0"/>
                <w:iCs w:val="0"/>
                <w:color w:val="000000"/>
                <w:sz w:val="22"/>
                <w:szCs w:val="22"/>
                <w:u w:val="none"/>
                <w:lang w:val="en-US" w:eastAsia="zh-CN" w:bidi="ar"/>
              </w:rPr>
              <w:t xml:space="preserve">                                                                                                                                                                                                                              ＃2、规格：可装粉≥15升；三轮车斗式，带手推把柄，直径≥22mm。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＃1、长度：≥30m，材质：仿皮外壳，苎麻布卷尺，防水，防腐蚀；铜制卡扣和收放扣。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电动气泵</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＃1、材质:气筒外管不锈钢金属合成材质。结构:带压力表，气筒配</w:t>
            </w:r>
            <w:r>
              <w:rPr>
                <w:rFonts w:hint="eastAsia" w:ascii="宋体" w:hAnsi="宋体" w:eastAsia="宋体" w:cs="宋体"/>
                <w:i w:val="0"/>
                <w:iCs w:val="0"/>
                <w:color w:val="000000"/>
                <w:sz w:val="22"/>
                <w:szCs w:val="22"/>
                <w:u w:val="none"/>
                <w:lang w:val="en-US" w:eastAsia="zh-CN" w:bidi="ar"/>
              </w:rPr>
              <w:t xml:space="preserve">有多功能气筒气嘴:充气活塞推拉轻便、灵活。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＃2、功率：电压220V最大气压150PSL工作电流0.8-2A。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打气筒</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＃1、规格：直径≥37mm，长≥60cm加压，净重≥690克。                                                                                   </w:t>
            </w:r>
            <w:r>
              <w:rPr>
                <w:rFonts w:hint="eastAsia" w:ascii="宋体" w:hAnsi="宋体" w:eastAsia="宋体" w:cs="宋体"/>
                <w:i w:val="0"/>
                <w:iCs w:val="0"/>
                <w:color w:val="000000"/>
                <w:sz w:val="22"/>
                <w:szCs w:val="22"/>
                <w:u w:val="none"/>
                <w:lang w:val="en-US" w:eastAsia="zh-CN" w:bidi="ar"/>
              </w:rPr>
              <w:t xml:space="preserve">                                                                                                                                                                                                                                        ＃2、材质：无缝钢管+塑料，带储气罐/人工充气。</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维护工具</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＃1、成套套筒扳手，成套开口扳手，活动扳手，老虎钳，尖嘴钳，一字螺丝刀，十字螺丝刀。</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轮式干粉灭火剂</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＃1、灭火级别 ：A类 ：2A，适用于扑救固体物质火灾。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＃2、有效喷射时间 ：约13-18秒。有效喷射距离 ：不小于3.5-4.5米。作压力 ：通常为1.2MPa或2.1MPa 。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急救箱</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＃1、尺寸：≥10寸。材质：铝合金边框+ABS 面板，包角加固，耐磨抗摔。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＃2、锁扣：双安全锁扣设计，防意外开启，部分款带密码锁。内衬：EVA 防震隔层，可自由分隔，分类收纳药品与器械。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能与特点：收纳分区：多层隔层设计，可按药品、器械、耗材分类存放，取用方便；防护性能：铝合金材质防潮、防尘、防压，保护内部医疗用品不受损；便携设计：顶部防滑提手，箱身轻便，适合携带移动；安全标识：箱面印有标准红十字急救标识，辨识度高，紧急情况下可快速识别。</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运动服（春秋季）</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＃1、面料成分：聚酯纤维 + 氨纶混纺，高弹透气，抗皱不起球。版型：宽松直筒版型，男女同款，上衣加长裤。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＃2、适用场景：户外登山、徒步旅行、骑行通勤。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运动服（冬季）</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＃1、面料材质：高密度防风防水面料，耐磨抗撕裂，透气不闷汗。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＃2、核心功能：防风、防水、防暴雨、抗刮耐磨、透气。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＃3、设计细节：连帽可设计，立体防风领口，防水拉链，多口袋收纳，松紧袖口+下摆抽绳，锁住温度。适用场景：户外登山、徒步旅行、骑行通勤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运动服（夏季）</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＃1、面料：常规款透气棉涤混纺面料。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＃2、款式：翻领 Polo 短袖，半开襟纽扣设计。版型：宽松直筒版型，男女同款，上衣加短裤。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田径服</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＃1、面料：100% 聚酯纤维（涤纶运动速干面料）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＃2、款式：男女同款无袖背心 + 短裤田径套装。适用场景：体考、短跑、中长跑、马拉松训练/比赛。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篮球服</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＃1、面料：100% 聚酯纤维（涤纶运动速干面料），网眼透气结构，轻薄不闷汗，克重约 160-180g，。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＃2、款式：男女同款无袖背心 + 短裤田径套装。适用场景：篮球比赛、日常训练、班级 / 球队定制队服。特性：吸湿排汗、高透气性、抗拉伸、抗皱耐磨，不易起球。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乒乓球服</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＃1、面料：100% 聚酯纤维（运动速干面料），速干科技处理，克重约 140-160g。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＃2、款式：男女同款无袖背心+短裤田径套装。适用场景：乒乓球、羽毛球训练 / 比赛，日常运动健身。特性：吸湿排汗、高透气性、抗拉伸、抗皱耐磨，不易起球。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足球鞋</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＃1、材质：鞋面材质：超细纤维运动软皮（PU 材质），耐磨易清洁，透气性好；鞋底类型：TF 碎钉底（橡胶碎钉），防滑耐磨，适合人造草坪、塑胶场地。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＃2、闭合方式：魔术贴 + 鞋带双重固定，穿脱方便，贴合脚型。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＃3、功能特点：吸汗透气、防撞鞋头、足弓支撑、抗扭设计。适用场景：校园足球训练、比赛、日常运动；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篮球鞋</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＃1、材质：鞋面材质：高韧性合成革 + 透气网布拼接；中底材质：EVA 发泡中底，搭配抗扭支撑片；外底材质：高耐磨橡胶大底。         </w:t>
            </w:r>
            <w:r>
              <w:rPr>
                <w:rFonts w:hint="eastAsia" w:ascii="宋体" w:hAnsi="宋体" w:eastAsia="宋体" w:cs="宋体"/>
                <w:i w:val="0"/>
                <w:iCs w:val="0"/>
                <w:color w:val="000000"/>
                <w:sz w:val="22"/>
                <w:szCs w:val="22"/>
                <w:u w:val="none"/>
                <w:lang w:val="en-US" w:eastAsia="zh-CN" w:bidi="ar"/>
              </w:rPr>
              <w:t xml:space="preserve">                                                                                                                                                                                                                                               ＃2、闭合方式：系带式，低帮设计。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核心功能：防滑耐磨、缓震回弹、足弓支撑、防侧翻保护。适用场景：室内外篮球场、水泥地实战训练 / 比赛。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不锈钢户外长椅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＃1、成品不锈钢弧形坐凳，长度≥180</w:t>
            </w:r>
            <w:r>
              <w:rPr>
                <w:rFonts w:hint="eastAsia" w:ascii="宋体" w:hAnsi="宋体" w:eastAsia="宋体" w:cs="宋体"/>
                <w:i w:val="0"/>
                <w:iCs w:val="0"/>
                <w:color w:val="000000"/>
                <w:sz w:val="22"/>
                <w:szCs w:val="22"/>
                <w:u w:val="none"/>
                <w:lang w:val="en-US" w:eastAsia="zh-CN" w:bidi="ar"/>
              </w:rPr>
              <w:t xml:space="preserve">CM，高度≥45CM,宽度≥40CM。                                                                                                                                                                                                ＃2、长椅两头采用45度弧线角，框架材质为一体化不锈钢材质，座面采用加厚优质进口防腐实木。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五人制足球框</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＃1、五人制(60管)足球框：长度≥300</w:t>
            </w:r>
            <w:r>
              <w:rPr>
                <w:rFonts w:hint="eastAsia" w:ascii="宋体" w:hAnsi="宋体" w:eastAsia="宋体" w:cs="宋体"/>
                <w:i w:val="0"/>
                <w:iCs w:val="0"/>
                <w:color w:val="000000"/>
                <w:sz w:val="22"/>
                <w:szCs w:val="22"/>
                <w:u w:val="none"/>
                <w:lang w:val="en-US" w:eastAsia="zh-CN" w:bidi="ar"/>
              </w:rPr>
              <w:t xml:space="preserve">CM，高度≥200CM,宽度≥120CM。                                                                                                                                                                                                ＃2、门柱采用60圆钢管，厚度≥3.2毫米，辅助杆径采用30圆钢管，厚度≥3.2毫米。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rPr>
                <w:rFonts w:hint="eastAsia" w:ascii="宋体" w:hAnsi="宋体" w:eastAsia="宋体" w:cs="宋体"/>
                <w:i w:val="0"/>
                <w:iCs w:val="0"/>
                <w:color w:val="000000"/>
                <w:sz w:val="22"/>
                <w:szCs w:val="22"/>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二、AI智慧体育设备采购</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智慧体育教学练测评系统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一、系统平台管理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＃1、支持具备体育考试、随堂测试、国家体测、自由练习等功能模块。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＃2、支持PC端、Pad端、手机端登录智慧体育管理平台，可操作系统平台发布测试任务、布置体育专项作业。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＃3、支持学生个人、班级、年级、全校体测成绩分析及汇总。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＃4、支持学生信息管理、学生体测数据报表导出、体测功能设置。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＃5、支持测试视频存储与测试数据分析服务。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＃6、支持基于老师、班级、学校分别开通管理账号，分层分级管理。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＃7、支持基于班级、学生的运动锻炼数据分析、展示与导出。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少于9个运动项目并行开展测试，且实心球、铅球、立定跳远、引体向上、仰卧起坐、坐位体前屈、跳绳、50米、50*8往返跑、100米、800米/1000米、阳光跑等项目均可同时测试，满足学校各类场景项目同时开启的实际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二、学生信息管理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＃1、支持行政班与分项班班级信息管理。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＃2、支持学生名单管理，可一键导入名单信息。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＃3、支持可进行人脸信息录入、本地化存储和管理。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＃4、支持可根据学生体育兴趣发展进行分层、项班管理。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＃5、支持学生信息自动化升学年。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三、体育考试模块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＃1、支持应用于运动会、体育考试、体育中考等场景，自动检测项目测试成绩，智能识别违规动作，自动汇总体育考试成绩。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▲2、考试中心支持通过班级名单或人脸识别方式开启测试，最终记录考试成绩并自动匹配学生信息。（提供由第三方检验检测机构出具的有效的检测报告扫描件）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＃3、支持体育考试模块操作端测试过程中选择重测、修改成绩或选择下一组等操作。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＃4、支持查看测试项目成绩、分数、等级、姿态指标、肌群分析、运动点评及建议、视频回放、动作关键帧等内容，且支持生成定制化运动处方报告。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＃5、支持体育考试当前测试记录查看，测试记录根据分班级、分项目、分时间段进行分类管理。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＃6、支持体育考试测试项目进度查询，可分析整体测试成绩优秀率、良好率、及格率、不及格率等。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＃7、支持体育考试成绩管理表查询，可选择分学期、分年级进行筛选、也可选择输入具体学生学号筛选。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＃8、支持实时筛选并查看考试学生已考项目数，并可通过查看详情查看考试详情。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＃9、支持为每一位学生生成个人考试详情，包括学生个人信息及分数详情，分数详情包含考试项目名称、考试成绩（展示历史最好成绩）、项目成绩评分。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＃10、支持选择自由练习模块的学生成绩数据迁移至体育考试模块。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＃11、支持自定义评分标准，体育考试成绩等级和评分根据自定义评分标准进行判定。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四、国家体测模块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＃1、支持各阶段学校年度国家体测功能，实现各类运动项目数据自动采集、录入、整理、分析。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＃2、支持当前测试进度查看，测试记录根据时间进行分类管理。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＃3、支持下载上报成绩表格模板，且表格模板符合国家体测平台标准。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＃4、体测成绩实时更新汇总，并支持一键下载体测分析表格。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＃5、支持测试成绩即时更新汇总，电脑端可一键下载国家体测成绩表，表格形式符合国家体测平台上传标准，表格可修改并自动计算本年度学生体测及格情况。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＃6、支持教师操作端测试过程中进行重测、修改成绩等操作。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＃7、支持体测成绩综合分析，可从年级、班级、项目类型等维度分析当前的及格率、良好率、优秀率等数据情况。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＃8、支持选择自由练习模块的学生成绩数据迁移至国家体测模块。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＃9、支持所有体测成绩评分以《国家体质健康测试标准》进行评定。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五、自由练习模块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＃1、支持应用于课后学生自主练习场景，无需老师介入指导，学生通过人脸识别或者特定手势自助触发项目测试功能，可实时获取成绩反馈、以及对违规动作的有效检测和提醒。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▲2、支持老师在一个操作终端远程一键开启、一键关闭所有自由练习项目。（提供由第三方检验检测机构出具的有效的检测报告扫描件。）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＃3、支持学生在自由练习项目开启的任意时间段进行练习。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＃4、支持无需操作任何设备的人脸识别方式，测试学生举手向摄像头示意即可刷脸匹配学生信息，自助、无感开启测试任务，测试成绩可实时播报，并记录测试成绩。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＃5、支持无需操作任何设备开展自由练习，站在测试区域即可触发测试任务。支持实时语音反馈。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＃6、支持各项目使用量统计，进行可视化分析。支持分析图下载。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＃7、支持自由练习模块的学生测试成绩迁移至国家体测模块或体育考试模块。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＃8、支持自定义评分标准，自由练习成绩等级和评分根据自定义评分标准进行判定。</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智慧体育校级数据平台</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一、基础信息管理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＃1、支持智慧体育数据多级管理及分析，具备学生运动数据管理、国家体测管理、体育考试管理、体育课基础数据管理、教学管理。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＃2、支持多级账号登录管理，分级查看体育数据信息，实现精准数据管理。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二、校级体育数据总览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＃1、支持智慧体育数字大脑数据一览，覆盖全校运动项目、全校全年级学生日常的所有运动数据统计，并对数据进行多维度分析与综合展示。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＃2、支持查看全校运动达标率/优良率趋势图、全部运动项目达标率/优良率，并智能分析本月达标率、达标率月提升情况、本月提升人数等。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＃3、支持汇总学校今日运动人数/占比、昨日运动人数/占比、本月总运动人数（人次）、学期总运动量（人次）数据，并进行数据实时呈现。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＃4、支持全校成绩提升人次、全校运动人数、全校人均运动次数数据分析，并生成相应的趋势图。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＃5、支持选择分年级查看各年级的运动达标率/优良率趋势图、全部运动项目达标率/优良率及班级运动频次&amp;达标率。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＃6、支持实时显示各运动项目今日运动量、本月运动量数据，并支持学生个人最好成绩截图实时上屏展示。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三、学生运动数据管理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＃1、支持运动一小时管理、校园运动风云榜管理、阳光跑管理、学生测试记录管理、学生运动档案管理。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＃2、支持实时汇总校级每日人均运动时长（单位：分钟），可分本周、本月、本学期进行查看，并呈现完整波线图展示。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每日运动人数占比分析、每日达标人数占比分析、并可分年级、分本周、本月、本学期进行查看班级运动一小时情况明细（包含但不限于班级、总人数、运动人数、达标人数、运动人数占比、达标人数占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＃4、支持校园运动风云榜数据管理，可分年级、分性别、分项目，按照本周、本月、本学期进行校园运动风云榜的数据查询及批量导出操作。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＃5、支持校园运动风云榜展示，可查看数据包括学生项目排名、项目成绩、学生班级信息、姓名、性别、学号等。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＃6、支持阳光跑数据管理，可分年级、分班级、分性别、分本周、本月、本学期或任意时段进行阳光跑数据查询及批量导出操作。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＃7、支持阳光跑数据查看，可查看数据包括但不限于班级、姓名、性别、学号、累计里程、平均配速等。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＃8、支持展示学生所有累计阳光跑单日跑步记录，可查询并一键导出Excel。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＃9、支持分班级、分年级、分项目、分任意时段、分测试模式查看学生练习数据，数据包含学生自由练习记录、并支持成绩的查询、下载、一键迁移至体育考试模块和国家体测模块等操作。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＃10、学生测试记录查看，包括但不限于测试时间、测试班级、测试项目、测试模式、测试人数及已测人数分析。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 支持以班级为单位汇总学生当天测试记录，可点击查看所有测试学生多次测试记录(包括但不限于班级、姓名、学号、成绩、评分等级）和个人成绩档案（包括但不限于成绩记录、姿态指标分析、肌群分析、点评及建议、动作关键帧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＃12、支持分年级、分班级、分学年查看学生体育运动档案，档案内容包括：学生基础信息、累计运动天数、时长、测试项目及综合能力图谱，并可分项目查看最佳成绩、得分、等级、排名等数据。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＃13、支持查看所有学生成长趋势分析、查看分近七天和近30天运动活跃分析、以及体测成绩管理表，查看所有学生运动成绩数据。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四、国家体测管理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＃2、支持自定义体测设置，可自助设置体测时间及多个测试时段，支持选择是否开启预约模式，可在一学年内发布多次体测任务分批开展国家体质测试。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＃3、支持分年级查看当前测试进度，并支持分项目查看总人数、需测人数、免测人数、已测人数、未测人数及测试完成率。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▲4、支持全项目无感人脸方式检录，站在测试位前系统自动检录，无需多余操作，测试结束系统自动提醒并播报“已完成测试”。（提供由第三方检验检测机构出具的有效的检测报告扫描件。）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＃5、支持教师端、国家体测平台端对测试过程中进行成绩补录、修改等操作。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＃6、支持成绩筛选，学生单项目有多条测试记录的，系统自动筛选取最好成绩为体测最终成绩。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＃7、支持测试成绩实时更新汇总，测试数据自动上传，根据体测标准自动计算成绩得分，可一键导出符合国家学生体质健康平台数据格式的成绩表格，表格可修改并自动计算本年度学生体测及格情况。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＃8、支持项目多测位部署，根据要求进行体测中心部署实现多项目、多测位并发测试，多设备独立使用，互不干扰。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＃9、支持分年级、分班级、分学期查看学生体测档案，档案内容包括：学生基础信息、身高体重、肺活量、体测成绩详情等。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＃10、支持测试成绩结果仲裁，测试成绩溯源等功能。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五、体育课基础数据管理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＃1、支持实时展示体育课基础数据，包含学校基础信息（学生总数、体育老师人数、AI智慧体育项目数量、AI智慧体育项目建设情况），以及体育课开课数、开课班级数、参与学生人次。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＃2、支持实时展示AI智慧体育项目使用排行情况及使用次数展示。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六、体育考试管理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＃1、支持体育考试成绩管理表查询，可选择分学期、分年级、分班级进行筛选、也可选择输入具体学生学号筛选。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＃2、支持实时筛选并查看考试学生已考项目数，并可通过查看详情查看考试详情。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＃3、支持为每一位学生生成个人考试详情，包括学生个人信息及分数详情，分数详情包含考试项目名称、考试成绩（展示历史最好成绩）、项目成绩评分。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七、教学管理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＃1、支持根据地区要求，自定义运动项目评分标准。</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智慧体育助手</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＃1、支持系统分配账号管理权限，登入智慧体育助手进行学生基础信息管理、平台管理和运动风云榜审核处理等。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＃2、支持快速创建行政班和分项班，并实时查看各班级录入进度。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＃3、人脸识别：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①支持多种人脸信息录入方式，如小程序、app、PAD现场拍照，学生照片本地导入等，完成学生身份信息完善，同时支持人脸信息重录。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②支持快速录入人脸信息，不戴眼镜的学生拍照一次性识别。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③特殊人群人脸录入，支持盲人学生闭眼检录，人脸识别率达99%。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＃4、支持学生姓名、性别、学号、班级、年级等基础信息管理和学生人员删减，支持通过条形码扫码、准考证扫码等方式快速添加学生。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跳绳、50米、50*8往返跑、100米、800米/1000米、计圈跑、定距跑等项目发令操作，可利用智慧体育助手管理项目的开启与关闭，并支持测试成绩记录实时查看、成绩补录及修正，成绩表单可支持一键下载及导出分享。（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＃6、支持立定跳远、引体向上、仰卧起坐、坐位体前屈、跳绳、实心球、50米、50*8往返跑、800米/1000米、计圈跑、定距跑等多项目风云榜成绩审核。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＃7、支持分项目查看举报记录，并对举报记录进行确认、处理及删除，或解除审核等操作。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所有已建项目的体育作业任务一键发布，可针对每一位学生发布定制化体育作业，且根据每一位学生运动能力匹配体育作业最低达成标准及定制化作业强度等要求。（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＃9、支持通过移动端智慧体育助手进行自由练习项目管理，并一键控制项目开启与关闭。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教师班级权限管理，后台为老师分配各自班级使用权限，后台支持隐私信息保护设置。系统提供智慧体育使用视频教程，包含全部项目的测试教学演示视频、测试场景国家体测数据下载视频、小程序布置体育作业视频、智慧体育平台操作视频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＃11、支持体育角设备自定义时间锁定，支持临时锁定并在倒计时结束后自动开启。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＃12、支持开启国家体测模式，开启后通过移动端智慧体育助手开启的任务成绩归属于国家体测成绩。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＃13、支持开启体育考试模式，开启后通过移动端智慧体育助手开启的任务成绩归属于体育考试成绩，支持将非体育考试的任务成绩归档到体育考试成绩。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＃14、支持查看学生运动档案，包含学生运动时长、阳光跑的里程记录、每日跑步里程和每日平均配速，以及其他项目的最佳运动记录、成绩趋势，支持对最佳成绩进行修改。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＃15、支持创建不同角色管理账号，包括校园代理、学校管理员、区管理员、行政老师，并分配相应教师端后台管理权限。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＃16、支持教师班级权限管理，后台为老师分配各自班级使用权限，后台支持隐私信息保护设置。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＃17、系统提供智慧体育使用视频教程，包含全部项目的测试教学演示视频、测试场景国家体测数据下载视频、智慧体育平台操作视频等。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＃18、支持版本更新提醒、确认，以及在线版本信息查看等功能。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＃19、支持在线联系客服反馈产品需求，匹配在线售后服务体系。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＃20、自定义分项班：支持教师根据不同场景需求，自行创建分项班，通过选择学生添加或扫描准考证添加，快速导入学生信息。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＃21、支持开启或关闭国家体测、体育考试模式。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＃22、支持系统管理员进行分类设置，包括区管理员、学校管理员和行政老师等，且设置人员数量不设限，满足学校多样化管理需求。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＃23、支持开启自动开关机模式，可根据法定节假日和调休日期自动调整。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＃24、节能模式：自由模式开启时，系统自动检测长时间无人使用即可触发熄屏模式。</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●智慧体育工作站</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#1、整机性能稳定，采用专业静音散热设计，可稳定运行校园智慧体育网络平台业务软件、配套业务管理及办公软件，满足体育数据采集、统计、展示业务场景不间断运行需求。</w:t>
            </w:r>
            <w:r>
              <w:rPr>
                <w:rFonts w:hint="eastAsia" w:ascii="宋体" w:hAnsi="宋体" w:eastAsia="宋体" w:cs="宋体"/>
                <w:i w:val="0"/>
                <w:iCs w:val="0"/>
                <w:color w:val="000000"/>
                <w:sz w:val="22"/>
                <w:szCs w:val="22"/>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#2、满足体育测试数据、体育测试视频存储；支持多线程处理，支持体育数据分析服务。</w:t>
            </w:r>
            <w:r>
              <w:rPr>
                <w:rFonts w:hint="eastAsia" w:ascii="宋体" w:hAnsi="宋体" w:eastAsia="宋体" w:cs="宋体"/>
                <w:i w:val="0"/>
                <w:iCs w:val="0"/>
                <w:color w:val="000000"/>
                <w:sz w:val="22"/>
                <w:szCs w:val="22"/>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#3、支持提供数据接口，可与外部系统数据对接。 </w:t>
            </w:r>
            <w:r>
              <w:rPr>
                <w:rFonts w:hint="eastAsia" w:ascii="宋体" w:hAnsi="宋体" w:eastAsia="宋体" w:cs="宋体"/>
                <w:i w:val="0"/>
                <w:iCs w:val="0"/>
                <w:color w:val="000000"/>
                <w:sz w:val="22"/>
                <w:szCs w:val="22"/>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#4、可适配机房 / 体育器材室固定部署安装，支持对接操场测试设备数据。 </w:t>
            </w:r>
            <w:r>
              <w:rPr>
                <w:rFonts w:hint="eastAsia" w:ascii="宋体" w:hAnsi="宋体" w:eastAsia="宋体" w:cs="宋体"/>
                <w:i w:val="0"/>
                <w:iCs w:val="0"/>
                <w:color w:val="000000"/>
                <w:sz w:val="22"/>
                <w:szCs w:val="22"/>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#5、连续业务运行保障整机稳定控温。 </w:t>
            </w:r>
            <w:r>
              <w:rPr>
                <w:rFonts w:hint="eastAsia" w:ascii="宋体" w:hAnsi="宋体" w:eastAsia="宋体" w:cs="宋体"/>
                <w:i w:val="0"/>
                <w:iCs w:val="0"/>
                <w:color w:val="000000"/>
                <w:sz w:val="22"/>
                <w:szCs w:val="22"/>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#6、存储：≥1TB 硬盘，内存：≥16G。 </w:t>
            </w:r>
            <w:r>
              <w:rPr>
                <w:rFonts w:hint="eastAsia" w:ascii="宋体" w:hAnsi="宋体" w:eastAsia="宋体" w:cs="宋体"/>
                <w:i w:val="0"/>
                <w:iCs w:val="0"/>
                <w:color w:val="000000"/>
                <w:sz w:val="22"/>
                <w:szCs w:val="22"/>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#7、外置  接口：≥1 个 USB 接口，≥1个 HDMI接口，≥1 个网络接口。</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50米跑AI系统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＃1、成绩检测：支持50米跑成绩计时。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＃2、技术要求有效量程：0-999.99秒，分度值：0.01秒，允许误差±0.05秒。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＃3、成绩误差：≤0.02秒。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＃5、人脸识别率：人脸识别准确率≥99%。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▲6、同测人数：支持至少10跑道同时测试，且支持选择不同跑道进行短跑的训练与测试。（提供由第三方检验检测机构出具的有效的检测报告扫描件）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＃7、多组套发：支持多组同测，支持不限组别前后发令同时进行测试。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＃8、差异校准：跑步计时方式支持电计标准和手计标准两种形式，且可以实现差异校准。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＃9、选择部分跑道测试：支持选择部分跑道测试：灵活应对因其他班级使用1道或其他跑道上课/训练影响短跑测试的场景。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＃10、起点换人检测：支持起点人员实时检测，若出现测试人员如发生临时调整，系统自动识别并播报当前测试人员姓名。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▲11、终点抗干扰：支持测试过程中非测试学生穿过终点线不影响各跑道测试学生测试成绩。（提供由第三方检验检测机构出具的有效的检测报告扫描件）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＃12、作弊识别：测试过程中若出现“接力作弊”的行为，系统自动识别“疑似违规”，测试结果无成绩。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＃13、作弊时间判定：支持后台自动设置疑似作弊时间限制，测试人员测试成绩若小于该设置时长，系统播报“疑似作弊”，同时成绩后台不做记录。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＃14、异常成绩过滤：支持自动过滤异常成绩，学生经过终点的时间不得小于系统限定时长，可有效杜绝作弊现象。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＃15、违规识别：支持踩线、抢跑违规识别，可实时进行语音提醒。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＃18、成绩显示：支持实时展示多跑道50米跑测试成绩。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＃19、灵活配置：支持通过移动端灵活配置系统交互内容，包括但不限于配置是否播报学生信息、是否识别违规信息等。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50米跑配套设备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包含起点定制化立杆及终点定制化立杆：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＃1、额定功率：≥60W。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＃2、频率响应：140HZ-15KHZ。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＃3、灵敏度：95dB（±3）。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＃4、待机功率：＜1W。                                                                                                                                                                                                                  </w:t>
            </w:r>
            <w:r>
              <w:rPr>
                <w:rFonts w:hint="eastAsia" w:ascii="宋体" w:hAnsi="宋体" w:eastAsia="宋体" w:cs="宋体"/>
                <w:i w:val="0"/>
                <w:iCs w:val="0"/>
                <w:color w:val="000000"/>
                <w:sz w:val="22"/>
                <w:szCs w:val="22"/>
                <w:u w:val="none"/>
                <w:lang w:val="en-US" w:eastAsia="zh-CN" w:bidi="ar"/>
              </w:rPr>
              <w:t xml:space="preserve">                                                                                                                                                                               ＃5、材质：铝合金外壳，金属网罩，PP防水喇叭。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3台。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50*8拓展包</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＃1、成绩误差：≤0.1秒。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＃3、无感识别：提前录入人脸信息后，学生站在起跑线前面向摄像头，可通过摄像头识别人脸信息，系统播报学生姓名开启测试并播报测试成绩，并将成绩与该学生绑定，识别响应速度≤2s。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＃5、起点换人检测：支持起点人员实时检测，若出现测试人员如发生临时调整，系统自动识别并播报当前测试人员姓名；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＃6、人脸识别率：人脸识别准确率为99%。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＃7、同测人数：支持至少8跑道同时测试，且支持选择不同跑道进行50*8往返跑的训练与测试。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＃8、终点抗干扰：支持测试过程中非测试学生穿过终点线不影响各跑道测试学生测试成绩。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＃9、成绩显示：支持实时展示多跑道50*8往返跑测试成绩。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＃10、考试模式：支持教师通过智慧体育助手小程序开启测试任务，音柱发令，测试者到达终点后屏幕及小程序显示测试者信息 和成绩，并支持一键导出测试成绩。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100米跑AI系统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＃1、成绩检测：支持100米跑成绩计时。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＃2、技术要求有效量程：0-999.99秒，分度值：0.01秒，允许误差±0.05秒。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＃3、成绩误差：≤0.02秒。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＃5、人脸识别率：人脸识别准确率≥99%。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＃6、同测人数：支持至少10跑道同时测试，且支持选择不同跑道进行短跑的训练与测试。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＃7、多组套发：支持多组同测，支持不限组别前后发令同时进行测试。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＃8、差异校准：跑步计时方式支持电计标准和手计标准两种形式，且可以实现差异校准。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＃9、选择部分跑道测试：支持选择部分跑道测试：灵活应对因其他班级使用1道或其他跑道上课/训练影响短跑测试的场景。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▲10、起点换人检测：支持起点人员实时检测，若出现测试人员如发生临时调整，系统自动识别并播报当前测试人员姓名。（提供由第三方检验检测机构出具的有效的检测报告扫描件）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＃11、终点抗干扰：支持测试过程中非测试学生穿过终点线不影响各跑道测试学生测试成绩。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＃12、作弊识别：测试过程中若出现“接力作弊”的行为，系统自动识别“疑似违规”，测试结果无成绩。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作弊时间判定：支持后台自动设置疑似作弊时间限制，测试人员测试成绩若小于该设置时长，系统播报“疑似作弊”，同时成绩后台不做记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＃14、异常成绩过滤：支持自动过滤异常成绩，学生经过终点的时间不得小于系统限定时长，可有效杜绝作弊现象。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＃15、违规识别：支持踩线、抢跑违规识别，可实时进行语音提醒。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＃18、成绩显示：支持实时展示多跑道100米跑测试成绩。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＃19、灵活配置：支持通过移动端灵活配置系统交互内容，包括但不限于配置是否播报学生信息、是否识别违规信息等。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100米跑配套设备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包含起点定制化立杆及终点定制化立杆：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＃1、额定功率：≥60W。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＃2、频率响应：140HZ-15</w:t>
            </w:r>
            <w:r>
              <w:rPr>
                <w:rFonts w:hint="eastAsia" w:ascii="宋体" w:hAnsi="宋体" w:eastAsia="宋体" w:cs="宋体"/>
                <w:i w:val="0"/>
                <w:iCs w:val="0"/>
                <w:color w:val="000000"/>
                <w:sz w:val="22"/>
                <w:szCs w:val="22"/>
                <w:u w:val="none"/>
                <w:lang w:val="en-US" w:eastAsia="zh-CN" w:bidi="ar"/>
              </w:rPr>
              <w:t xml:space="preserve">KHZ。                                                                                                                                                                                                                                                            </w:t>
            </w:r>
            <w:r>
              <w:rPr>
                <w:rFonts w:hint="eastAsia" w:ascii="宋体" w:hAnsi="宋体" w:eastAsia="宋体" w:cs="宋体"/>
                <w:i w:val="0"/>
                <w:iCs w:val="0"/>
                <w:color w:val="000000"/>
                <w:sz w:val="22"/>
                <w:szCs w:val="22"/>
                <w:u w:val="none"/>
                <w:lang w:val="en-US" w:eastAsia="zh-CN" w:bidi="ar"/>
              </w:rPr>
              <w:t xml:space="preserve">                                                                                                                                       ＃3、灵敏度：95dB（±3）。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＃4、待机功率：＜1W。                                                                                                                                                                                                                     </w:t>
            </w:r>
            <w:r>
              <w:rPr>
                <w:rFonts w:hint="eastAsia" w:ascii="宋体" w:hAnsi="宋体" w:eastAsia="宋体" w:cs="宋体"/>
                <w:i w:val="0"/>
                <w:iCs w:val="0"/>
                <w:color w:val="000000"/>
                <w:sz w:val="22"/>
                <w:szCs w:val="22"/>
                <w:u w:val="none"/>
                <w:lang w:val="en-US" w:eastAsia="zh-CN" w:bidi="ar"/>
              </w:rPr>
              <w:t xml:space="preserve">                                                                                                                                                                               ＃5、材质：铝合金外壳，金属网罩，PP防水喇叭。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3台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终点成绩播报终端</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＃2、杆体材质：采用优质钢材，具有高强度、耐腐蚀、耐磨损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二、显示机                                     </w:t>
            </w:r>
            <w:r>
              <w:rPr>
                <w:rFonts w:hint="eastAsia" w:ascii="宋体" w:hAnsi="宋体" w:eastAsia="宋体" w:cs="宋体"/>
                <w:i w:val="0"/>
                <w:iCs w:val="0"/>
                <w:color w:val="000000"/>
                <w:sz w:val="22"/>
                <w:szCs w:val="22"/>
                <w:u w:val="none"/>
                <w:lang w:val="en-US" w:eastAsia="zh-CN" w:bidi="ar"/>
              </w:rPr>
              <w:t xml:space="preserve">                                                                                                                                                                                                                                         ＃1、尺寸：宽≥960mm，长≥1600mm。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＃2、亮度：≥4200cd/㎡。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＃3、每平方模组最大功率：≤909W/㎡。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＃5、亮度调节：256级手动/自动。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＃7、工作温度：-20-40℃。工作湿度：10%-90%RH。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＃8、可同时支持50米、100米运动项目同时使用，屏幕自动按项目进行轮播切换展示各项目跑步成绩。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＃9、最佳视距：≥4m。使用环境：户外。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800米&amp;1000米跑AI系统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＃1、成绩检测：支持800米、1000米成绩计时。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＃2、同步开启：支持800米、1000米项目同步开启使用，互不干扰检测，并分别精准检录800米和1000米的跑步成绩。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＃3、精度要求：技术要求有效量程：0-999.99秒，分度值：0.01秒，允许误差±0.05秒。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＃4、成绩误差：≤0.02秒；响应时间：≤0.5秒。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▲5、支持同测人数：支持跑步项目80-150人同时测试，分别记录成绩。（提供由第三方检验检测机构出具的有效的检测报告扫描件）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＃6、多组同测：多组循环发令，前一组起跑后，后一组即可发令起跑，支持最多十组套发同测，成绩自动检测，自动计时、自动计圈。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＃7、班级名单测试：选择班级名单测试，支持分年级、分班级、分性别进行测试，学生通过穿戴号码衣开展测试，最多分别支持40人同时测试，并分别记录成绩，且成绩检出率：≥99.6%。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人脸识别测试：选择人脸识别测试，学生无需穿戴号码衣或任何电子设备，通过摄像头识别人脸信息，最多分别支持80-150人人同时测试，并分别记录成绩，且人脸识别方式成绩检出率：≥98.6%。（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＃9、动作关键帧：支持留存运动视频回放，可通过人工智能识别分析运动过程并提供关键帧分析，包括起跑动作、结束动作等。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＃10、异常成绩过滤：支持自动过滤异常成绩，学生连续经过终点的时间间隔不得小于系统限定时长，可有效杜绝绕近道作弊。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＃11、成绩补录：支持小程序端成绩智能补录，可进入补录界面查看全程视频回放及学生每圈过线时间，通过智能提示补录学生跑步成绩。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＃12、找回成绩：支持多种方式找回成绩；①通过人脸识别，可以快速定位学生运动成绩；②观看回放，直接定位疑似过线成绩便于老师判断。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＃13、考试模式：支持教师通过智慧体育助手小程序开启测试任务，音柱发令，测试者到达终点后屏幕及小程序显示测试者信息和成绩，并支持一键导出测试成绩。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＃14、测试记录：支持测试记录自动上传智慧体育校级数据系统/智慧体育自助体测系统/AI体育云，可随时查看详细成绩报告与具体成绩记录，并支持成绩表一键导出。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800米&amp;1000米跑配套设备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包含起点定制化立杆及终点定制化立杆：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＃1、额定功率：≥60W。                                                                                                                                      </w:t>
            </w:r>
            <w:r>
              <w:rPr>
                <w:rFonts w:hint="eastAsia" w:ascii="宋体" w:hAnsi="宋体" w:eastAsia="宋体" w:cs="宋体"/>
                <w:i w:val="0"/>
                <w:iCs w:val="0"/>
                <w:color w:val="000000"/>
                <w:sz w:val="22"/>
                <w:szCs w:val="22"/>
                <w:u w:val="none"/>
                <w:lang w:val="en-US" w:eastAsia="zh-CN" w:bidi="ar"/>
              </w:rPr>
              <w:t xml:space="preserve">                                                                                                                                                                                                                                                ＃2、频率响应：140HZ-15</w:t>
            </w:r>
            <w:r>
              <w:rPr>
                <w:rFonts w:hint="eastAsia" w:ascii="宋体" w:hAnsi="宋体" w:eastAsia="宋体" w:cs="宋体"/>
                <w:i w:val="0"/>
                <w:iCs w:val="0"/>
                <w:color w:val="000000"/>
                <w:sz w:val="22"/>
                <w:szCs w:val="22"/>
                <w:u w:val="none"/>
                <w:lang w:val="en-US" w:eastAsia="zh-CN" w:bidi="ar"/>
              </w:rPr>
              <w:t xml:space="preserve">KHZ。                                                                                                                                                                                                                                                            </w:t>
            </w:r>
            <w:r>
              <w:rPr>
                <w:rFonts w:hint="eastAsia" w:ascii="宋体" w:hAnsi="宋体" w:eastAsia="宋体" w:cs="宋体"/>
                <w:i w:val="0"/>
                <w:iCs w:val="0"/>
                <w:color w:val="000000"/>
                <w:sz w:val="22"/>
                <w:szCs w:val="22"/>
                <w:u w:val="none"/>
                <w:lang w:val="en-US" w:eastAsia="zh-CN" w:bidi="ar"/>
              </w:rPr>
              <w:t xml:space="preserve">                                                                                                                                       ＃3、灵敏度：95dB（±3）。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＃4、待机功率：＜1W。                                                                                                                                                                                                                     </w:t>
            </w:r>
            <w:r>
              <w:rPr>
                <w:rFonts w:hint="eastAsia" w:ascii="宋体" w:hAnsi="宋体" w:eastAsia="宋体" w:cs="宋体"/>
                <w:i w:val="0"/>
                <w:iCs w:val="0"/>
                <w:color w:val="000000"/>
                <w:sz w:val="22"/>
                <w:szCs w:val="22"/>
                <w:u w:val="none"/>
                <w:lang w:val="en-US" w:eastAsia="zh-CN" w:bidi="ar"/>
              </w:rPr>
              <w:t xml:space="preserve">                                                                                                                                                                               ＃5、材质：铝合金外壳，金属网罩，PP防水喇叭。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4台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终点成绩播报终端</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二、显示机                                     </w:t>
            </w:r>
            <w:r>
              <w:rPr>
                <w:rFonts w:hint="eastAsia" w:ascii="宋体" w:hAnsi="宋体" w:eastAsia="宋体" w:cs="宋体"/>
                <w:i w:val="0"/>
                <w:iCs w:val="0"/>
                <w:color w:val="000000"/>
                <w:sz w:val="22"/>
                <w:szCs w:val="22"/>
                <w:u w:val="none"/>
                <w:lang w:val="en-US" w:eastAsia="zh-CN" w:bidi="ar"/>
              </w:rPr>
              <w:t xml:space="preserve">                                                                                                                                                                                                                                         ＃1、尺寸：宽≥960mm，长≥1600mm。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＃2、亮度：≥4200cd/㎡。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＃3、每平方模组最大功率：≤909W/㎡。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＃5、亮度调节：256级手动/自动。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＃7、工作温度：-20-40℃。工作湿度：10%-90%RH。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＃8、可同时支持50米、100米运动项目同时使用，屏幕自动按项目进行轮播切换展示各项目跑步成绩。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＃9、最佳视距：≥4m。使用环境：户外。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计圈跑跑圈打卡系统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采用人工智能视觉算法分析，针对计圈跑项目进行数据采集、分析，实现精准成绩检测。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＃1、成绩误差：≤0.02秒；响应时间：≤0.5秒。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▲2、自定义圈数：支持根据实际训练或测试需求，灵活设置跑步圈数，圈数范围：1-20圈。（提供由第三方检验检测机构出具的有效的检测报告扫描件）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＃3、同步开启：支持计圈跑及其他跑步类项目同步开启使用，互不干扰检测，并精准检录计圈跑步成绩。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▲4、支持同测人数：支持计圈跑单组支持80-150人同时测试，并分别记录成绩。（提供由第三方检验检测机构出具的有效的检测报告扫描件）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＃5、多组同测：支持多组循环发令，前一组起跑后，后一组即可发令起 跑，支持最多十组套发同测，成绩自动检测。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人脸识别测试：支持人脸识别测试，学生无需穿戴号码衣或任何电子设备，通过摄像头识别人脸信息，最多支持80-150人人同时测试，且支持最多十组分别发令开跑，并分别记录成绩，且人脸识别方式成绩检出率：≥98.6%。（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＃7、异常成绩过滤：支持自动过滤异常成绩，学生连续经过终点的时间间隔不得小于系统限定时长，可有效杜绝绕近道作弊。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＃8、成绩显示：支持手机端及配置的显示屏实时展测试人信息、已跑圈数及测试成绩。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＃9、成绩补录：支持小程序端成绩智能补录，可进入补录界面查看全程视频回放及学生每圈过线时间，通过智能提示补录学生跑步成绩。</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引体向上AI系统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＃1、成绩检测：支持智能检测引体向上有效个数。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＃2、技术要求有效量程：0-99次，分度值：1次，允许误差±1次。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＃3、成绩误差：≤1个/每分钟；响应时间：≤0.5秒。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＃4、背景抗干扰：支持在复杂背景下，被测试学生背后多人近距离站立走动仍可正常进行成绩检测，支持背景抗干扰人数至少5人。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＃5、违规识别：支持下颌未过杠、手臂弯曲、手反握违规识别，可实时进行语音提醒。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＃6、实时报数：支持测试过程中成绩实时报数。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＃7、同步显示：支持配置机器人测试箱，同步显示学生测试状态和违规情况。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＃8、场地部署：支持机器人箱体立杆根据学校原有的引体向上硬件设施进行高度调节。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＃9、动作关键帧：支持留存运动视频回放，可通过人工智能识别分析运动过程并提供关键帧分析，包括准备动作、最低位置分析等。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自由练习：支持自由练习模式下，提前录入人脸信息后，学生双手正握杆脸朝摄像头示意，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＃11、作弊检测：支持作弊识别检测，如通过脚踩物品引体向上，人员辅助引体向上，惯性助力引体向上、弹力绳助力引体向上等，系统自动检测并语音播报“疑似违规”，且作弊成绩无效。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引体向上配套设备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＃1、杆体高度：2-3 m（具体高度根据现场实际情况做调整）。具体高度根据操场大小和使用需求确定。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＃2、杆体直径：≥110 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＃3、杆体厚度：≥2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＃5、安装设备：可安装多种智慧体育设备，如高清摄像头、无线ap、音柱等。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二、机器人箱体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＃1、箱体尺寸：≥宽430*高480*厚260mm。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＃2、显示尺寸：≥320mm*160㎜。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＃3、显示亮度：≥1000nit。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＃4、显示分辨率：≥64*32。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＃5、显示内容：可展示学生信息、成绩及违规提示。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＃6、可视角度：120º±5º（水平/垂直）。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＃7、喇叭：双向全音喇叭。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＃8、同步显示：支持配置小机器人套件，同步显示学生测试状态和违规情况。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1台。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多人实心球AI系统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＃1、成绩检测：支持智能检测1-12人投掷实心球的有效投掷距离，成绩有效检测率至少99%。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＃2、成绩误差：≤0.01米；响应时间：≤0.5s。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▲3、多人同测：支持不少于12名学生通过无感人脸识别进行对投测试，并支持男女生在不同标准位置同进行测试。（提供由第三方检验检测机构出具的有效的检测报告扫描件。）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＃4、成绩显示：测试数据实时同步至LED成绩显示屏。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＃5、违规识别：支持踩线违规识别，并实时进行成绩显示屏提醒。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＃6、成绩查看：支持多端查询：</w:t>
            </w:r>
            <w:r>
              <w:rPr>
                <w:rFonts w:ascii="Calibri" w:hAnsi="Calibri" w:eastAsia="宋体" w:cs="Calibri"/>
                <w:i w:val="0"/>
                <w:iCs w:val="0"/>
                <w:color w:val="000000"/>
                <w:sz w:val="22"/>
                <w:szCs w:val="22"/>
                <w:u w:val="none"/>
                <w:lang w:val="en-US" w:eastAsia="zh-CN" w:bidi="ar"/>
              </w:rPr>
              <w:t xml:space="preserve">①</w:t>
            </w:r>
            <w:r>
              <w:rPr>
                <w:rFonts w:hint="eastAsia" w:ascii="宋体" w:hAnsi="宋体" w:eastAsia="宋体" w:cs="宋体"/>
                <w:i w:val="0"/>
                <w:iCs w:val="0"/>
                <w:color w:val="000000"/>
                <w:sz w:val="22"/>
                <w:szCs w:val="22"/>
                <w:u w:val="none"/>
                <w:lang w:val="en-US" w:eastAsia="zh-CN" w:bidi="ar"/>
              </w:rPr>
              <w:t xml:space="preserve"> LED成绩显示屏实时查看测试成绩。②运动风云榜大屏实时查看排行榜单及个人成绩档案。③校级数据平台实时查看学生测试数据。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＃7、动作关键帧：支持留存运动视频回放，可通过人工智能识别分析运动过程并提供关键帧分析，包括准备动作、开始动作、结束动作等。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＃8、自由练习：支持提前录入人脸信息后，学生双手握球脸朝摄像头示意，可通过摄像头识别人脸信息，人脸识别率至少98%，并将成绩与该学生绑定，识别响应速度≤2s。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多人实心球配套设备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＃1、杆体高度： 3 -4米。（具体高度根据现场实际情况做调整）。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＃2、杆体直径：直径：≥140 mm.杆体厚度：≥2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＃1、额定功率：≥60W。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＃2、频率响应：140HZ-15KHZ。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＃3、灵敏度：95dB（±3）。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＃4、待机功率：＜1W。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＃5、材质：铝合金外壳，金属网罩，PP防水喇叭。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三、物联网摄像头3台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多人实心球成绩播报终端</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二、显示机                                      </w:t>
            </w:r>
            <w:r>
              <w:rPr>
                <w:rFonts w:hint="eastAsia" w:ascii="宋体" w:hAnsi="宋体" w:eastAsia="宋体" w:cs="宋体"/>
                <w:i w:val="0"/>
                <w:iCs w:val="0"/>
                <w:color w:val="000000"/>
                <w:sz w:val="22"/>
                <w:szCs w:val="22"/>
                <w:u w:val="none"/>
                <w:lang w:val="en-US" w:eastAsia="zh-CN" w:bidi="ar"/>
              </w:rPr>
              <w:t xml:space="preserve">                                                                                                                                                                                                                                        ＃1、尺寸：宽≥ 2.24m，长≥ 1.28m。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＃2、亮度：≥4200cd/㎡。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＃3、每平方模组最大功率：≤909W/㎡。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＃5、亮度调节：256级手动/自动。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＃7、工作温度：-20-40℃。工作湿度：10%-90%RH。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＃8、支持实心球成绩实时显示，支持≥12人实心球成绩显示，并分别显示各测试位学生信息。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＃9、最佳视距：≥4m。使用环境：户外。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排球AI测试站系统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＃1、成绩检测：支持智能检测有效时间内排球对空颠球有效个数。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次，分度值：1 次，允许误差±1 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＃3、成绩误差：≤1个；响应时间：≤0.5秒。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＃4、违规识别：支持踩线、球/人出界、球未达到规定高度识别，可实时进行语音提醒。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＃5、实时报数：支持测试过程中成绩实时报数。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＃7、考试模式：支持教师通过智慧体育助手小程序开启测试任务，并一键导出测试成绩。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排球AI测试站配套设备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一、机器人测试套件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＃1、箱体尺寸：≥宽430x高480x厚260。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＃2、显示尺寸：≥320mm*160㎜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＃3、显示亮度：≥1000nit。</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＃4、显示分辨率：≥64*32。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＃5、显示内容：可展示学生信息、成绩及违规提示。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＃6、可视角度：120º±5º（水平/垂直）。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＃7、喇叭：双向全音喇叭。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＃8、立杆：材质：Q235钢材；烤漆：颜色有甲方指定；厚度：≥2 mm ；高度：2-3 m（具体高度根据现场实际情况做调整）；直径：≥110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二、视频流采集设备 1台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＃8、支持不低于IP67防护等级。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＃9、电源：安装方式：壁挂式；线长：≥40mm；纹波/噪声：120mVp-p；输入接口：3C插头；输入规格：AC180V~260V，50Hz，0.6A；输出接口形式：ø5.5×2.1×11mm；输出规格：DC12V/2A输出功率：24W Max；工作温度和湿度：0℃~40℃,湿度10%~90%(无凝结)；具备短路保护、过流保护、输出过压保护等多种保护功能；防水外壳设计，可用于室内、室外场合，内置藏线盒功能。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足球AI测试站系统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＃1、成绩检测：支持足球绕杆运球计时。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＃2、技术要求有效量程：5~60秒，分度值：0.1秒，允许误差±0.1秒。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＃3、成绩误差：≤0.1秒；响应时间：≤ 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＃5、人脸识别：支持选择人脸识别测试，学生站在测试位上面向摄像头，可通过摄像头识别人脸信息，系统语音播报学生姓名开启测试并播报测试成绩，成绩将与该学生绑定，识别响应速度≤2s。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＃6、考试模式：支持教师通过智慧体育助手小程序开启测试任务，并一键导出测试成绩。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足球AI测试站配套设备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一、视频流采集设备 2台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＃8、支持不低于IP67防护等级。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＃9、电源：安装方式：壁挂式；线长：≥40mm；纹波/噪声：120mVp-p；输入接口：3C插头；输入规格：AC180V~260V，50Hz，0.6A；输出接口形式：ø5.5×2.1×11mm；输出规格：DC12V/2A输出功率：24W Max；工作温度和湿度：0℃~40℃,湿度10%~90%(无凝结)；具备短路保护、过流保护、输出过压保护等多种保护功能；防水外壳设计，可用于室内、室外场合，内置藏线盒功能。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二、测试硬件配置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＃1、立杆：材质：Q235钢材，烤漆：颜色有甲方指定，厚度：≥2 mm，高度：3-4 m（具体高度根据现场实际情况做调整），直径：≥140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＃2、音柱：额定功率：≥60W；频率响应：55-20KHZ；灵敏度：≥92dB；.规格：20V~50Hz；材质：铝合金外壳，金属网罩，PP防水喇叭；防护：具有过热保护、过流保护、防破音等。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篮球AI测试站系统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＃1、成绩检测：支持篮球绕杆运球计时。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 5%；分度值：0.1秒，允许误差±0.1秒。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＃3、响应时间≤ 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＃4、人脸识别：支持选择人脸识别测试，学生站在测试位上面向摄像头，可通过摄像头识别人脸信息，系统语音播报学生姓名开启测试并播报测试成绩，成绩将与该学生绑定，识别响应速度≤2s。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篮球AI测试站配套设备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一、视频流采集设备 2台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＃8、支持不低于IP67防护等级。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＃9、电源：安装方式：壁挂式；线长：≥40mm；纹波/噪声：120mVp-p；输入接口：3C插头；输入规格：AC180V~260V，50Hz，0.6A；输出接口形式：ø5.5×2.1×11mm；输出规格：DC12V/2A输出功率：24W Max；工作温度和湿度：0℃~40℃,湿度10%~90%(无凝结)；具备短路保护、过流保护、输出过压保护等多种保护功能；防水外壳设计，可用于室内、室外场合，内置藏线盒功能。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二、测试硬件配置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＃1、立杆：材质：Q235钢材，烤漆：颜色有甲方指定，厚度：≥2 mm，高度：3-4 m（具体高度根据现场实际情况做调整），直径：≥140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＃2、音柱：额定功率：≥60W；频率响应：55-20KHZ；灵敏度：92dB；规格：20V~50Hz；材质：铝合金外壳，金属网罩，PP防水喇叭；防护：具有过热保护、过流保护、防破音等。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身高体重测试机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＃1、身高测量方式：高精度超声波探头并实现温差补偿检测。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＃2、体重测量方式：精密平衡梁式压力传感器称重（具有偏心负载功能，灵敏度高，线性好，测量快速精准，耐疲劳，寿命长等特点)。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＃3、体型：国际通用体格指数（BMI)。</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＃4、显示方式：≥19寸高清液晶触摸屏。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＃5、屏幕分辨率≥1920*1080。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＃6、运行内存≥2G；存储:≥16G。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＃7、测量范围：身高：20cm－200cm。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＃8、体重：1kg－500kg。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＃9、精确度：身高：±0.1cm ，体重：±0.1kg。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＃10、摄像头像素：≥≥500万像素内置摄像头。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人脸识别功能：集人脸检测、人脸跟踪、人脸对比、人脸查找、人脸属性、RGB/IR活体检测等多项能力与一身。支持离线服务，可在无网络环境下使用，本地化部署，保证数据的安全。毫秒级识别、服务高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＃12、完成测试后系统自动生成个人成绩报告，配合语音提示：测量过程提示及测量结果播报;分别显示学生身高、体重、BMI数据等，并分别给出BMI区间建议及健康分析。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＃13、使用温湿度:温度-20-40℃，湿度20%-85%RH。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＃14、电源电压:AC 220V 50HZ。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＃15、支持学生自助进行测试，点击主屏幕即可快速进入人脸识别界面，通过识别后进入个人界面。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＃16、外形设计:测量、显示、打印一体化，模具一次成型的铝合金机身，符合人体工程学，自带小轮方便移动。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＃17、外形尺寸：整机高度：≥240cm，整机净重：≥43kg。</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肺活量测试机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＃1、显示方式：≥19寸高清液晶触摸屏，屏幕分辨率≥1920*1080。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＃2、运行内存：≥2G。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＃3、存储：≥16G。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＃4、测量范围：0~9999ml。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＃5、分度值：1ml；精度：不大于2.5%FS；误差：不大于2.5%FS。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＃6、摄像头：≥≥500万像素内置摄像头。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＃7、人脸识别功能：集人脸检测、人脸跟踪、人脸对比、人脸查找、人脸属性、RGB/IR活体检测等多项能力与一身。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＃8、支持学生自助进行测试，点击主屏幕即可快速进入人脸识别界面，通过识别后进入个人界面；语音提示：测量过程提示及测量结果播报。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＃9、测试过程实时显示肺活量（毫升）数值，并分别记录第一次成绩和第二次成绩，测试完成无需操作直接离开。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＃10、使用温湿度：-10-60℃，20%-85%RH。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＃11、电源电压：220V 50HZ；平均功耗：≤20W。</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室外体育数据展示终端</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＃1、成绩终端尺寸：触控尺寸≥1300mm*740mm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＃2、技术配置：4K高清、纳米级触摸 ,亮度：2000cd，自带人脸识别摄像头。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＃3、散热方式：风冷+调速。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＃4、采用AR钢化玻璃，支持防雨、防尘、防、过热、户外喷涂、防球击。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＃5、外壳：≥ 5mm镀锌板，表面喷户外专用粉，防护能力7年以上。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＃6、开门设计防水结构，贴户外橡胶条密封，满足IP55防护等级。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＃9、支持运动风云榜分周榜、月榜、学期榜进行查看。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＃10、支持通知栏展示，并支持后台自定义设置通知栏内容。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＃11、支持学生通过大屏自主查询个人成绩档案，包含过往整体运动数据量、综合能力雷达分布图、各运动项目的成绩综合分析体现。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＃12、支持学生通过大屏进行人脸识别，课后自主查看个人运动视频、动作关键帧等数据。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＃13、支持通过大屏人脸识别查看学生运动数据，包括累计运动天数、日均运动时长（分钟）、今日运动时长（分钟）、达标天数占比等数据。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＃14、支持学期切换，支持查看上一个学期的运动数据。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＃15、支持学生通过大屏选择时间区间查看运动趋势图及各项目日均运动时长等数据。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＃16、隐私模式：数据不上传云平台，视频回放不上传，支持遮蔽学生照片。</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AI智慧体育锻炼设备(室外版)</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一、锻炼机整机规格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＃1、整机尺寸：(高*宽*厚)≥2060*2015*550mm。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＃2、显示尺寸：(高*宽)≥680*1210mm。                                                                                                                                                                                ＃3、分辨率：≥3840*2160。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＃4、刷新率：≥60HZ。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＃5、亮度：≥2500cd/㎡。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＃6、对比度：1500:1。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＃7、响应时间：≤6ms。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＃8、屏幕保护：≥6mm 高透超白钢化玻璃。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＃9、使用寿命：≥50000h。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＃10、材质：整机外壳采用 ≥1.5mm 镀锌板，表面喷涂户外粉，防护能力7年以上。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＃11、开门设计防水结构，贴户外橡胶条密封，满足防护等级：≥IP55。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＃12、散热方式：智能温控风冷系统，支持高温保护。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＃13、工作温度：-10℃-50℃（环境温度低于-10℃，建议选配加热器）；工作湿度：5%-90%。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＃14、存储温度：-20℃-60℃；存储湿度：10%-85%。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＃15、屏幕内置500W人脸识别摄像头。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＃16、≥60W大功率扬声器。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二、算力模块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＃1、处理器：≥8核。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＃2、内存：≥8GB。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＃3、硬盘：≥32GB，≥1*256GSSD。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＃4、网卡：≥2个千兆电口。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三、软件功能。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▲1、多测试位触发：支持无需固定测试位，可随意选择测试区域进行项目触发。（提供由第三方检验检测机构出具的有效的检测报告扫描件）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＃2、灵活测试：运动无门槛，举手示意系统即可自动激活测试人员对应位置的运动项目，无需进行设备或手势切换。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＃3、运动无门槛：通过无感人脸识别，自动身份锁定，即到即测，语音实时指导。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＃4、快速识别：0.5S快速识别锁定测试人员。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＃5、动态展示：支持动态展示运动项目倒计时，并展示学生实时运动成绩。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＃6、多人并发：支持多版本选择部署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版本1：支持单设备单摄像头同时支持8人跳绳同步测试、支持4人纵跳、4人蹲跳、4人投球等游戏运动体验。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版本2：支持单设备单摄像头同时支持4人跳绳同步测试、支持2人立定跳远同步测试、支持4人纵跳、4人蹲跳、4人投球、12人飞刺等游戏运动体验。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＃7、多人PK竞赛：支持跳绳、纵跳、蹲跳、投球等单项目同时进行多人PK竞赛。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＃8、假跳识别：支持跳绳检测系统自动识别单手甩绳跳、双手交叉甩绳跳等假跳行为，并不计入有效成绩。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＃9、榜单展示：各项目运动榜单数据实时刷新，无人使用状态下展示成绩排行榜，支持展示榜单人员姓名、班级及上榜成绩，激发运动兴趣。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＃10、趣味交互：支持卡通界面动态展示，测试人员上榜模拟动画形象，测试过程实时播报趣味卡通声效。</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AI智慧体育教学设备(室外版)</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一、教学机整机规格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＃1、整机尺寸：(高*宽*厚)≥2650mm*1300mm*250mm。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＃2、显示区域：(高*宽)≥680*1210mm。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＃4、刷新率：≥60HZ。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＃5、亮度：≥3000cd/㎡。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＃6、对比度：1500:1。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＃7、响应时间：≤6ms。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＃8、屏幕保护：≥6mm 高透超白钢化玻璃。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＃9、使用寿命：≥50000h。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＃10、材质：整机外壳采用 ≥1.5mm 镀锌板，表面喷涂户外粉，防护能力7年以上。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＃11、开门设计防水结构，贴户外橡胶条密封，满足防护等级：≥IP55。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＃12、散热方式：智能温控风冷系统。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＃13、温度保护：支持高温保护。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＃14、工作温度：-10℃-50℃（环境温度低于-10℃，建议选配加热器）；工作湿度：5%-90%。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＃15、存储温度：-20℃-60℃；存储湿度：10%-85%。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＃16、触摸：电容触摸。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＃17、屏幕内置500W人脸识别摄像头。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＃18、≥60W大功率扬声器。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二、算力模块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＃1、处理器：≥8核。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＃2、内存：≥8GB。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＃3、硬盘：≥32GB，≥1*256GSSD。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＃4、网卡：≥2个千兆电口。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三、软件功能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（一）、AI立定跳远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＃1、成绩检测：支持智能检测有效跳远距离，精准区分左右脚，以最后的落点为准计入正常成绩。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＃2、成绩误差：≤0.1厘米，响应时间：≤0.5秒。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＃3、违规识别：支持踩线违规识别，可实时进行语音提醒。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 仍可正常进行成绩检测，支持背景抗干扰人数至少5人。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＃5、容错机制：学生落地后往前滑动，支持以滑动前为准检测成绩。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运动切片：立定跳远系统自动生成运动关键帧总结，分析学生起跳关键帧、屈膝角角度、起跳角度、摆臂幅度、平均速度等，给到科学的指导建议并实时展示学生最终运动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作弊检测：支持作弊识别检测，如学生单脚跳、侧边跨越跳、侧边二段跳、双人接力跳、起点助跑冲刺跳、地面翻滚至某距离、摄像头遮挡，系统自动检测并语音播报“疑似违规”,且作弊成绩无效，可支持识别99%作弊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（二）、AI跳绳教学版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＃1、成绩误差：≤1次/分钟，响应时间：≤0.5秒。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＃2、背景抗干扰：支持在复杂背景下，被测试学生背后多人近距离站立走动仍可正常进行成绩检测，支持背景抗干扰人数至少5人。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▲3、多人同测：支持采用单设备单摄像头硬件可同时支持至少10个测试人员同时进行测试，支持多名学生人脸识别同时开启测试。（提供由第三方检验检测机构出具的有效的检测报告扫描件）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＃4、作弊识别：支持系统识别不拿绳垫脚跳、单手甩绳跳、双手交叉甩绳跳、中途换人跳等作弊行为，并不计入有效成绩。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＃5、智能识别：支持无绳跳智能识别，可自动过滤无绳跳成绩上榜。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＃6、支持中途终止：支持中途终止测试离开测试圈可监测并播报成绩。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＃7、时长配置：后台支持设置测试时间为30S、60S、120S、180S、240S。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（三）、多人仰卧起坐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＃2、成绩误差：≤1个/每分钟，响应时间：≤0.5秒。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＃3、违规识别：支持未抱头、未触膝、未躺平违规识别。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＃4、人脸识别：支持提前录入人脸信息后，学生坐于辅助垫同时面朝摄像头示意，可通过摄像头识别人脸信息，并将成绩与该学生绑定，识别响应速度≤2s。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＃5、多人同测：采用单设备单摄像头硬件可同时支持10个测试人员进行测试，并支持多名学生人脸识别同时开启测试。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（四）、运动风云榜展示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校方各级人员查看各项目实时使用情况，可查看各运动项目实时排行榜单，并支持根据年级/性别等类别进行分类查看排行榜单，可在榜单中查看对应学生运动视频回放及动作关键帧。（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＃3、支持运动风云榜分周榜、月榜、学期榜进行查看。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＃4、支持通知栏展示，并支持后台自定义设置通知栏内容。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＃5、支持学生通过大屏进行人脸识别，课后自主查看个人运动视频、动作关键帧等数据。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＃6、支持通过大屏人脸识别查看学生运动数据，包括累计运动天数、日均运动时长(分钟)、今日运动时长(分钟)、达标天数占比等数据。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＃7、支持学期切换，支持查看上一个学期的运动数据。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＃8、支持学生通过大屏选择时间区间查看运动趋势图及各项目日均运动时长等数据。</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AI智慧体测设备(室外版)</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一、测试机整机规格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＃1、整机尺寸：(高*宽*厚)≥2650mm*1020mm*250mm。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＃2、显示区域：(高*宽)≥640*960mm。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＃4、材质：整机外壳采用 ≥1.5mm 镀锌板，表面喷涂户外粉，防护能力7年以上。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＃5、开门设计防水结构，贴户外橡胶条密封，满足防护等级：≥IP55。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＃6、工作温度：-20℃-70℃（环境温度低于-10℃，建议选配加热器）；工作湿度：10%-90%。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＃7、存储温度：-25℃-125℃。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＃8、屏幕内置500W人脸识别摄像头。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＃9、≥60W大功率扬声器。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二、软件功能支持“立定跳远、6人坐位体前屈、10人跳绳、10人仰卧起坐”项目4选3：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（一）、AI立定跳远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＃1、成绩检测：支持智能检测有效跳远距离，精准区分左右脚，以最后的落点为准计入正常成绩。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＃2、成绩误差：≤0.1厘米，响应时间：≤0.5秒。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＃3、违规识别：支持踩线违规识别，可实时进行语音提醒。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▲5.容错机制：学生落地时若用手撑地，支持以手为基准检测计算成绩，学生落地后往前滑动，支持以滑动前为准检测成绩。（提供由第三方检验检测机构出具的有效的检测报告扫描件）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＃6、运动切片：立定跳远系统自动生成运动关键帧总结，分析学生起跳关键帧、屈膝角角度、起跳角度、摆臂幅度、平均速度等，给到科学的指导建议并实时展示学生最终运动成绩。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（二）、AI跳绳教学版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＃1、成绩误差：≤1次/分钟，响应时间：≤0.5秒。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▲3、多人同测：支持采用单设备单摄像头硬件可同时支持至少10个测试人员同时进行测试，支持多名学生人脸识别同时开启测试。（提供由第三方检验检测机构出具的有效的检测报告扫描件）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＃4、支持中途终止：支持中途终止测试离开测试圈可监测并播报成绩。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＃5、时长配置：后台支持设置测试时间为30S、60S、120S、180S、240S。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（三）、AI多人坐位体前屈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＃1、成绩检测：支持智能检测双手前驱有效距离。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＃2、成绩误差：≤0.1厘米，响应时间：≤0.5秒。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＃3、违规识别：支持腿弯曲、单手前驱、加速冲击违规识别。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＃5、多人同测：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①采用单设备单摄像头硬件可同时支持至少6个测试人员进行测试。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②支持多名学生人脸识别同时开启测试，可分别开启测试，测完即可离开测试区域，不会影响其他在测人员测试。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＃6、测试方式：支持学生使用无机械推杆的坐位体前屈板进行快速测试，无需归位测试游标等配件，且无损耗件。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（四）、AI多人仰卧起坐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＃2、成绩误差：≤1个/每分钟，响应时间：≤0.5秒。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＃3、违规识别：支持未抱头、未触膝、未躺平违规识别。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＃4、人脸识别：支持提前录入人脸信息后，学生坐于辅助垫同时面朝摄像头示意，可通过摄像头识别人脸信息，并将成绩与该学生绑定，识别响应速度≤2s。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＃5、多人同测：采用单设备单摄像头硬件可同时支持至少10个测试人员进行测试，并支持多名学生人脸识别同时开启测试。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坐位体前屈测试板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＃1、尺寸：≥长1.5m*宽0.5m*厚0.04m。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＃2、无机械推杆设计：采用无机械推杆设计，无需归位测试游标等配件，且无损耗件。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＃3、材质：户外防晒防烫皮，整体采用环保材料不含甲醛等有害物质，框架使用Q235材质环保塑粉喷塑，不容易生锈变形等特点，软包使用多层绵海绵，环保PVC皮料，对人体没有化学伤害。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＃4、功能特点：产品符合国家规定标准，满足人体工程学需要，锻炼与测试舒适程度较高。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户外悬浮地板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＃1、尺寸：≥长6.10m*宽3.00m*厚1.60cm。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＃2、产品材质：PP。悬浮地板表面为防滑纹理设计。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配电箱</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＃1、输入电压：AC100-240V～50/60Hz；输出电压：DC12V/12.5A；断路保护额定电流：16A。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＃2、工作温度：-40～75℃。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＃3、整箱尺寸：≥450mm长×230mm宽×520mm高。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室外AP</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＃1、≥Wi-Fi6，6000M双频2.5G高功率定向AP，支持2.5G LAN口上联，同时提供≥一个千兆独立光口。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＃2、内置天线，支持2.4GHz/5GHz双频通信，支持802.11a/b/g/n/ac Wave1 Wave2/ax协议，支持Wi-Fi 6 160M频宽，整机最大接入速率5952Mbps。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＃3、同时支持路由，AP两种工作模式。支持智能漫游，支持二、三层漫游，支持一体化组网，支持APP管理。802.3 bt PoE标准供电（60W）。</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无线网网关</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＃1、机架式5口千兆路由器，固化5个千兆电口，推荐带终端数200台，支持600M-1000M(开启极速模式时1000M，流控、认证等功</w:t>
            </w:r>
            <w:r>
              <w:rPr>
                <w:rFonts w:hint="eastAsia" w:ascii="宋体" w:hAnsi="宋体" w:eastAsia="宋体" w:cs="宋体"/>
                <w:i w:val="0"/>
                <w:iCs w:val="0"/>
                <w:color w:val="000000"/>
                <w:sz w:val="22"/>
                <w:szCs w:val="22"/>
                <w:u w:val="none"/>
                <w:lang w:val="en-US" w:eastAsia="zh-CN" w:bidi="ar"/>
              </w:rPr>
              <w:t xml:space="preserve">能不能使用。），内置AC功能，支持Easy VPN、IPSec VPN、OPEN VPN，支持PPPoE Server、扫码认证、授权认证，支持应用流控、应用阻断，支持云平台与APP管理。                                                                                                            ＃2、 单端口以太网供电适配器：2.5G端口，非标POE适配器，对外输出功率最高60W，对外输出电压50V。</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POE交换机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＃1、支持8个千兆PoE电口。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＃2、功能交换容量：16 Gbps；包转发率：11.91 Mpps；支持IEEE 802.3at/af；端口最大供电功率：30 W；整机最大供电功率：60 W；支持IEEE 802.3、IEEE 802.3u、IEEE 802.3x、IEEE 802.3ab、IEEE 802.3z；支持6 KV防浪涌（PoE口）；千兆网络接入设计。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＃3、功率：支持PoE输出功率管理。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＃4、供电方式：48 VDC，1.35 A。</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千兆光纤收发器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＃1、适合标准: IEEE802.3/u/z/ab, 10Base-T,  1 00Base-TX, 1000Base-T及1000Base-SX/LX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＃2、接口标准: 电口: RJ-45, 10/100Mbps 或10/100/1000Mbps (自适应)。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＃3、光口: ST/SC/FC, 100Mbps 或1000Mbps (全双工)。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＃4、缆线: 双绞线: 5类线(最长距离至100m)  光纤(单模) : 8/125, 8.7/125, 9/125， 10/125 um。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＃5、流量控制: 全双工IEEE802.3x流量控制  半双工背压流量控制。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＃6、环境温度: -25°C~+50℃  贮存温度: -35℃~+75℃。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＃7、额定供电电压：AC85-260V/50Hz。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＃8、电源功率：小于5W （适配器：Input:DC5V 1000-2000mA）。</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室外防水落地箱</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＃1、规格：≥宽600mm * 深450mm * 高800mm。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＃2、可放置标准网络交换及通讯设备。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＃3、选用的机柜箱体严格按照国家标准表面在喷塑前进行了酸洗、磷化处理和热镀锌处理，喷塑表面亚光、色泽均匀，外表面达到国家2级，内表面达到国家4级，立柱≥2.0mm厚，箱体≥1.4mm厚。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＃4、配机柜PDU防雷电源专用插座，并接地。</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光缆</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＃1、名称：户外4芯单模光纤。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＃2、规格：LC、FC、SC接口自选。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＃1、RVV3*4mm国标。（含施工）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＃2、护套采用优质聚氯乙烯材质。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＃1、RVV3*2.5mm国标。（含施工）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＃2、护套采用优质聚氯乙烯材质。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PE32管</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＃1、名称：PE塑料管；规格：PE32mm,≥1.25MPa,≥壁厚2.4mm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＃2、配置形式:埋地敷设</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杆件基础</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＃1、类型:杆件基础施工。规格尺寸:≥1.0m长*1.0m宽1.0m深框架钢结构地笼。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＃2、基础、垫层：C30钢筋，砼基础：≥1.2m*1.2m*1.2m。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管道开挖施工</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＃1、名称:辅助管道开挖及土层恢复。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＃2、路由开挖及敷设（含绿化带、水泥路面、板砖路面开挖与回填），管道敷设后，路面修复，渣土清运以及作业时做好安全措施。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＃3、管道敷设后使用原土回填。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 PE 管开挖或拖拉管施工。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＃5、管道两头必须有防潮防尘措施，预留管道两头必须全封闭，管道在窨井端应使用防鼠护套。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＃6、开挖的渣土清运至指定地点，作业时做好安全措施。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三、校园监控设备采购</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400万高清双光全彩枪机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＃1、像素采用≥400万，CMOS图像传感器≤1/3英寸。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＃2、焦距：4 mm、6 mm、8 mm可选。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＃3、智能补光，支持白光/红外双补光，红外光最远可达50 m，白光最远可达30 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＃4、内置1个麦克风。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＃5、设备可同时采用DC12V电源与POE供电。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＃6、符合IP67防尘防水设计，可靠性高。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专用支架</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＃1、外观颜色：白色。承重：≥1.0kg。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＃2、安装方式：壁装。</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＃1、千兆10公里单模双纤模块。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＃2、发射光功率:-9～-3dBm。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收发器机架</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＃1、名称：光纤收发器机组。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＃2、规格：≥14个插槽,双电源热备份。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POE交换机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1、支持≥8个千兆PoE电口。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＃2、功能交换容量：≥16 Gbps。                                                                                                                                                           ＃3、端口供电功率：≥30W；</w:t>
            </w:r>
            <w:r>
              <w:rPr>
                <w:rFonts w:hint="eastAsia" w:ascii="宋体" w:hAnsi="宋体" w:eastAsia="宋体" w:cs="宋体"/>
                <w:i w:val="0"/>
                <w:iCs w:val="0"/>
                <w:color w:val="000000"/>
                <w:sz w:val="22"/>
                <w:szCs w:val="22"/>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整机最大供电功率：≥65 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、支持PoE输出功率管理。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、千兆网络接入设计。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核心交换机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＃1、千兆交换机（24千兆电+4千兆光）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＃2、支持所有端口线速转发，满足对高带宽的需求。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＃3、支持ARP入侵检测功能，可有效防止黑客或攻击者通过ARP报文实施“ARP欺骗攻击”。支持防止包括MAC欺骗、IP欺骗、MAC/IP欺骗在内的非法地址仿冒，以及DoS攻击。                             </w:t>
            </w:r>
            <w:r>
              <w:rPr>
                <w:rFonts w:hint="eastAsia" w:ascii="宋体" w:hAnsi="宋体" w:eastAsia="宋体" w:cs="宋体"/>
                <w:i w:val="0"/>
                <w:iCs w:val="0"/>
                <w:color w:val="000000"/>
                <w:sz w:val="22"/>
                <w:szCs w:val="22"/>
                <w:u w:val="none"/>
                <w:lang w:val="en-US" w:eastAsia="zh-CN" w:bidi="ar"/>
              </w:rPr>
              <w:t xml:space="preserve">                                                                                                                                                                                                                   ＃4、支持以太网OAM和CFD，可以有效提高对以太网的管理和维护能力，保障网络的稳定运行。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＃5、端口规格：≥24个10/100/1000Base-T以太网端口；≥4个1000Base-X以太网端口。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＃6、交换容量：≥336Gbps/3.36Tbps；包转发率：≥108/126Mpps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＃7、重量：≤2.1 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＃8、标准机架高度：1U。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＃9、空载功耗：14W，整机最大功耗：21 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＃10、标准机架高度：1U。</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＃11、电源特性：AC：100 V~240 V AC，50/60 Hz。</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128路网络硬盘录像机</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＃1、具有≥4个HDMI接口、≥2个VGA接口、≥2个RS485接口、≥4个USB接口；具有≥1路音频输入接口、≥2路音频输出接口，≥4个RJ45 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＃2、存储接口：≥16个SATA接口，支持硬盘热插拔。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＃3、支持N+M集群管理功能，支持提供主动注册服务，前端相机支持以主动注册方式添加到设备上。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＃4、最多支持128路网络摄像机接入，总码流为1280Mbps；最大存储码流为1280Mbps；最大转发码流为 1280Mbps；最大回放码流为 1280Mbps。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＃5、可自适应接入H.265、H.264、MPEG4、MJPE、SmartH.264、SmartH.265、SVAC 编码格式的网络视频；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＃6、支持解码≥32路分辨率1920×1080的视频。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＃7、支持前智能：人脸检测比对、周界防范、视频结构化、通用行为分析、立体行为分析、人群分布、人数统计、热度图、车牌识别、智能动检。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＃8、支持提供主动注册服务，前端相机支持以主动注册方式添加到设备上。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＃9、支持≥8路后智能人脸检测比对；或32路后智能周界防范。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监控专用硬盘</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＃1、单盘容量：8TB。                                                                                                                                                                                                                ＃2、缓存：≥256MB。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＃3、转速：≥5400RPM。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＃4、硬盘接口：SATA。</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监控显示终端</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＃1、产品尺寸：≥46寸。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＃3、亮度：≥500cd/m2；对比度：1200:1；刷新率：≥60Hz。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＃4、供电方式：100–240VAC，50/60Hz 。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＃5、工作温度：0℃～+50℃；功耗：133W。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工作湿度：20%～90%RH（无凝结）。                                                                                                                                                             </w:t>
            </w:r>
            <w:r>
              <w:rPr>
                <w:rFonts w:hint="eastAsia" w:ascii="宋体" w:hAnsi="宋体" w:eastAsia="宋体" w:cs="宋体"/>
                <w:i w:val="0"/>
                <w:iCs w:val="0"/>
                <w:color w:val="000000"/>
                <w:sz w:val="22"/>
                <w:szCs w:val="22"/>
                <w:u w:val="none"/>
                <w:lang w:val="en-US" w:eastAsia="zh-CN" w:bidi="ar"/>
              </w:rPr>
              <w:t xml:space="preserve">                              ＃6、储存温度：–20℃～+55℃。储存湿度：5%～95%RH（无凝结）。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＃7、输入接口：具有≥1个HDMI接口、≥1个VGA接口、≥1个RS232接口、≥1个USB接口。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＃8、输出接口：具有≥1个RS232(RJ45)接口。</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高清解码器</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＃1、支持web浏览器、PC客户端、移动客户端、网络键盘等进行控制。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＃2、支持2路HDMI输入（≥1路HDMI2.0、≥1路HDMI1.3），最大支持1路4K@60Hz和1路1080p@60Hz编码输入。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＃3、支持8路HDMI输出（≥4路HDMI2.0、≥4路HDMI1.3），最大支持4路4K@60Hz和4路1080p@60Hz输出。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＃4、支持4K分辨率（3840×2160@30 Hz）超高清输出；支持对接LED显示系统，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＃5、解码卡或编解码卡支持板卡内解码性能共享，支持≥2路3200W，或≥2路2400W，或≥4路1200W，或≥8路800W，或≥6路600W，或≥16路400W，或≥32路1080P，或≥64路720P及以下分辨率视频实时解码。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＃6、支持视频输出分辨率：≥3840×2160@30 Hz、2560×1440@30 Hz、1920×1200@60 Hz、1920×1080@60 Hz、1920×1080@50 Hz、1680×1050@60 Hz、1600×1200@60 Hz、1280×1024@60 Hz、1280×720@60 Hz、1280×720@50 Hz、1024×768@60 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＃7、支持H.264/H.265视频编码，支持双码流和可变码流，支持复合流和视频流编码。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＃8、支持H.264/H.265视频解码，支持96路1080p@25fps高清视频解码能力。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＃9、支持H.265/H.264/SVAC/MPEG4/MJPEG视频格式解码。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＃10、支持拼接缩放/视频融合/窗口跨屏漫游/开窗/层叠/场景轮巡和窗口轮巡功能。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＃11、支持1/4/6/8/9/16/25/36画面分割显示，支持自由分割。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＃12、支持字幕叠加功能，支持在单屏、拼接屏上虚拟出一段字符显示。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＃13、支持2个RJ45网络接口，支持容错，单网卡，链路聚合，负载均衡模式设置。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＃14、支持RS232串口，用于矩阵控制、大屏开关等功能。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＃15、支持远程控制本地、网络视频切换上墙。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＃16、支持用户权限管理，支持白名单功能。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网络机柜</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＃1、规格：网络机柜(600*800*2000mm)。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＃2、材质：方孔条与安装梁：热镀锌板，其它采用SPCC冷轧板。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＃3、含8位PDU电源1台。</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光缆</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＃1、规格：户外4芯单模光纤。接口：LC、FC、SC接口自选。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＃1、RVV2*2.5国标。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＃2、护套采用优质聚氯乙烯材质。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＃1、导体：8线制无氧铜，0.5±0.01mm。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＃2、绝缘：高密度聚乙烯。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＃3、绝缘外径：0.92±0.05。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＃4、护套：5.0±0.3mm（PE料）。</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光纤跳线</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＃1、名称：单模光纤跳线。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＃2、插入损耗：≤0.3dB。回波损耗：≥50dB。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＃3、重复性：≥1000。弯曲半径：≥10D。</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PVC线管</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＃1、材质：PVC塑料管。规格：20mm国标。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4芯终端盒</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＃1、名称：4芯终端盒（含熔纤）。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＃2、规格：4口4芯,满配耦合器和单模尾纤。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光纤配线架</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＃1、名称：光纤配线架（含熔纤）。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＃2、规格：48口,单模千兆。</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＃1、名称：37U标准机柜；规格：600mm *800mm * 1800mm。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＃2、内装风扇、电源及门锁，可多组组合、可放置标准网络交换及通讯设备。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＃3、选用的机柜箱体严格按照国家标准表面在喷塑前进行了酸洗、磷化处理和热镀锌处理，喷塑表面亚光、色泽均匀，外表面达到国家2级，内表面达到国家4级，立柱2.0mm厚，箱体1.4mm厚。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＃4、配机柜PDU防雷电源专用插座，并接地。</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监控专用防水箱</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＃1、材质：箱体不锈钢,防锈,防水,散热,通风;标志采用丝网印刷。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＃2、规格：箱体尺寸≥400×500×230mm</w:t>
            </w:r>
            <w:r>
              <w:rPr>
                <w:rFonts w:hint="eastAsia" w:ascii="宋体" w:hAnsi="宋体" w:eastAsia="宋体" w:cs="宋体"/>
                <w:i w:val="0"/>
                <w:iCs w:val="0"/>
                <w:color w:val="000000"/>
                <w:sz w:val="22"/>
                <w:szCs w:val="22"/>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室外防水型≥IP65。</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四、科技与体育相结合产品</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无人机足球</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＃1、每套包含10架无人机足球。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＃2、外形尺寸：≥200*200*182mm。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＃3、飞机轴距：112mm；桨叶直径：65m</w:t>
            </w:r>
            <w:r>
              <w:rPr>
                <w:rFonts w:hint="eastAsia" w:ascii="宋体" w:hAnsi="宋体" w:eastAsia="宋体" w:cs="宋体"/>
                <w:i w:val="0"/>
                <w:iCs w:val="0"/>
                <w:color w:val="000000"/>
                <w:sz w:val="22"/>
                <w:szCs w:val="22"/>
                <w:u w:val="none"/>
                <w:lang w:val="en-US" w:eastAsia="zh-CN" w:bidi="ar"/>
              </w:rPr>
              <w:t xml:space="preserve">m。                                                                                                                                                                                                                                                 ＃4、电机规格：1020。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、标配电池：7.6V 530mAh。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＃6、模式切换：自稳模式/定高模式/无头模式/限高模式。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＃7、LED灯：≥16颗。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＃8、通信方式：2.4G。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＃9、机身重量：75g。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＃10、起飞重量：98g。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＃11、最大飞行时间：4分钟。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＃12、飞行控制半径：100米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＃13、闭源语音遥控器。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无人机足球场地</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＃1、场地要求：≥6m*3m*3m。含场地辅材：包括防护围网、圆环球门、场地标线、围挡边角、立柱包裹。</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智慧朗读亭</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一、硬件配置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＃1、设备主体：标准朗读亭框体1 个(含灯光、射灯，玻璃、钣金框体)。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＃2、功能主件：触摸点播系统（屏）1 个；影像字幕显示屏1 个； 主控机1 个（含安卓主板、音频主板等）。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＃3、设备附件：专业动圈麦克风≥2 个；专业耳机≥2 个；实用可调节座椅≥2 个；专业动圈麦克风：高灵敏度动圈咪芯，频率响应：60Hz-18kHz，阻抗: 600Ω±30%，灵敏度：-50dB±3dB；专业耳机：半开放式专业监听耳机，中频清晰，增强细节的调整，具备良好的中频分析性，灵敏度≥98dB/mW，阻抗≥32Ω，频率响应：10-30000Hz。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＃4、钢化隔音玻璃：高强度钢化隔音玻璃，保证安全的同时高效隔音。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＃5、柔和暖色灯光，对人眼无刺激，保护读者视力健康。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＃6、定时器：可以设置自动开关机，无需人工干预。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＃7、门禁：刷卡、密码。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二、产品规格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＃1、产品尺寸: 长≥1500mm 宽≥1500mm 高≥2700mm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＃2、额定电源：AC220V/50HZ。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＃3、额定功率：整机≥1200W。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＃4、显示部分：主显示器≥32寸，分辨率≥1920*1080；触摸屏≥21.5寸，分辨率≥1920*1080。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＃5、网络：支持无线 和有线。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三、性能配置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＃1、系统与CPU：采用4核高频处理器，安卓系统。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＃2、支持4K、H.265硬解码10bits色深、HDMI2.0。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＃3、支持1080P多格式视频解码1080P视频编码，支持H.264, VP8 和MVC图像增强处理。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＃4、内存：4+32GB内存，双通道DRAM 控制器, 64 bits 存储接口，支持DDR3L, LPDDR2, LPDDR3。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＃5、音效处理器：DSP音效处理器，混响，频响可调；噪音指标：≤40分贝。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＃6、主机功率100W，电源为220V 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四、软件系统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＃1、软件系统：开放式B/S架构 ,支持定制开发。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50大文库版块：自由朗读，亲子儿童，经典文学，唐诗宋词，诗歌散文，外语名篇，趣味配音，党章学习，赛事活动，朗读技巧，雷锋日记，中学生必读，小学生必读，K12部编版同步教材，热门排行，名家名篇，唱响主旋律，习近平著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＃3、支持一键录音、录音试听、保存上传功能。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▲4、普通话发音测评：支持对流畅度，准确性，情感度三个维度进行测评，必须支持全部文章的测评及单个文字测评。（提供该功能截屏证明）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▲5、英语测评：支持完整度，流畅度，准确度三个维度进行测评，支持音标练习，听说模拟，单词训练，课文跟读，课文朗读，读写模拟。（提供该功能截屏证明）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▲6、背诵功能：支持背诵时自动屏蔽字幕，背诵结束字幕出现，提交后进行测评，含错字、漏字、准确字以及单个文字的读音测评。（提供该功能截屏证明）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＃7、点读功能：支持点读模块，可在管理后台上传原文，译文，可播放示范音频。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＃8、支持用户朗读后可把朗读作品发送到用户电子邮箱。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＃9、朗读欣赏：支持收听其他朗读者的作品。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＃10、朗读学习：支持收听名家名篇，学习，跟读功能。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＃11、卡拉OK功能：支持原唱/伴唱音轨切换。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＃12、影视配音：支持英语配音功能。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＃13、配乐试听功能：支持多首配乐可供试听及选择。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＃14、搜索功能：采用模糊搜索技术，同时搜索作者及文章名称。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＃15、登录方式：支持微信登录，刷卡登录，账号密码登录。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＃16、热门文库：支持大数据分析推送热门读物及文章。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＃17、智能管理平台：支持模块化管理。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＃18、UI界面换肤功能：支持用户可以根据需要自行设计UI，换肤。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＃19、延时自动退出登录：支持微信登录用户离开设备时没有退出，系统自动检测超时退出该用户登录。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＃20、帮助及常见问题解答功能：支持新用户快速熟悉操作流程。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＃21、设备故障申报：支持用户发现问题可及时通知管理方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AI智能语音助手：支持语音唤醒。资源搜索：支持搜索标题、作者，并可以直接进入资源进行朗读；人机对话：与人对话互动，回答问题，协助创作，帮助获取信息、知识和灵感。并具有逻辑推理、多模态理解、多语言支持；资讯查询：支持天气查询、知识查询、航班查询、新闻资讯查询等。（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五、云平台系统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＃1、用户权限管理：支持根据工作需要可设置系统用户权限，如系统管理员，审核员，操作员等。（提供该功能截屏证明）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＃2、设置及管理：支持用户每天使用设备的时间及使用次数。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＃3、用户及粉丝管理：支持分析统计用户和粉丝数量以及属性。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＃4、数据分析：支持作品分享排行，文章热门排行，设备录音作品数排行等。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＃5、更新上传文库：支持管理员或者使用单位均可上传自己的专属文库资源，管理自己设备的文库。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＃6、朗读资源分类：支持重新定义朗读资源模块，比如增加红色经典阅读等自定义模块。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＃7、活动赛事管理：支持使用单位根据需求创建及管理自己的活动赛事。（提供该功能截屏证明）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＃8、配乐管理：支持上传各种不同风格主题的配乐。录音作品管理，对录音作品分享，下载，删除录音作品，支持单个作品下载，支持朗读作品批量下载，方便后台下载管理。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＃9、作品审核功能：采取人工对用户上传发布的作品进行审核，审核通过后方可发布成功。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▲10、作品外链功能：支持无缝连接至使用单位的微信公众号，可以收听，调用录音作品进行分享。（提供该功能截屏证明）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＃11、远程设备管理：支持对设备进项远程监测，系统升级，文库升级等。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＃12、屏保宣传文案：支持推送后台可推送宣传文案到设备的主屏幕，无人朗读时，自动播放视频或者图片或者文字。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＃13、热门排行推送：支持手动设置热门文章，将指定的文章推送到热门排行分类中。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＃14、评分系统：提供朗读评分系统，后台支持开关此功能。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＃15、支持用户信息接收，接收用户反馈的问题信息。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六、文库资源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＃1、支持海量文库资源总量不少于63000篇，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＃2、支持智能搜索功能，文库定期更新添加。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＃3、支持可自定义文库分类，支持设备单独使用该文库。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＃4、支持唐诗宋词元曲不少于27500篇，含李白、杜甫、王勃、王维、孟浩然、王昌龄、王之涣、岑参、苏轼、辛弃疾、柳永、李清照、晏殊、周邦彦、关汉卿、白朴、郑光祖、马致远、张养浩等作者作品。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＃5、支持经典文学不少于2200篇，含《红楼梦》、《三国演义》、《西游记》、《家》、《十八春、《林海雪原》、《子夜》等。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＃6、支持诗歌散文不少于6800篇，含毛泽东、泰戈尔、徐志摩、余光中。老舍、张爱玲、丰子恺、史铁生、冰心、海子、林徽因、戴望舒、仓央嘉措、李叔同、胡适、林清玄、等作者作品。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＃7、支持节日精选（新年、清明节、劳动节、儿童节、建党节、建军节、父亲节、母亲节、七夕节，中秋节，重阳节、教师节）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＃8、支持外语名篇 不少于2800篇，含普希金、海明威、威廉·卡洛斯·威廉姆斯、海涅、海伦凯勒、托马斯·纳什、高尔基、朗费罗等作者作品。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＃9、支持红色经典 不少于650篇，含《保卫延安》、《红岩》等经典读本。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＃10、支持党章学习不少于350篇，含《两学一做·学习教育手册》、《习近平总书记重要讲话读本》、《中国共产党章程》等。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＃11、支持英语学习（英语四六级词汇、初高中英语词组）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＃12、支持党建中心（中国共产党历史、党史人物故事）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＃13、支持普通话点读不少于1000句，含生活、出行、工作、应急、学习等基础普通话学习。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＃14、支持唱响主旋律不少于300首MTV。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＃15、支持习近平相关著作不少于18本，含习近平系列论述摘编、《平“语”近人——习近平总书记用典》、《习近平谈治国理政》等读本。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＃16、支持普通话测评（单音节、多音节、朗读短文、自由说话、词汇）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＃17、支持名家经典，含鲁迅经典合集、朱自清散文集、顾城诗集、艾青诗集。冰心经典合集等名人读本。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＃18、支持国学经典，含四书五经，论语、中庸、大学、孟子、诗经，弟子规、春秋等经典著作。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＃19、支持红色家书不少于100篇；支持二十四节气不少于300篇；支持成语故事不少于800篇；支持寓言故事不少于500篇；支持绕口令不少于100篇；支持雷锋日记不少于100篇。。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＃20、支持中国诗词大会1-5季；支持朗读者第一季，朗读者第二季。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＃21、支持地方特色方言，含四川话、广东话、闽南语、东北话、湖南话等。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＃22、支持小语种点读（日语、英语、德语、意大利语、阿拉伯语、法语、汉语）。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七、微信分享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＃1、支持朗读作品接入微朗读公众号。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＃2、支持朗读作品支持接入使用单位微信公众号。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朗读作品会自动推送到微信端，用户可进行试听，用户满意试听可选择分享发布，如不满意可删除录音，如满意可以将用户的录音，编辑成专辑分享传播，支持自定义音频封面，可上传手机中的照片，让文字、声音、背景融为一个整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＃4、支持积分兑换：用户朗读完成后可获取一定朗读积分，用户可在微信端积分兑换实体礼品，礼品以快递方式邮寄给用户，以鼓励更多用户参与朗读，提高设备使用率。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＃5、支持朗读小程序，随时随地线上朗读，支持作品编辑与分享，参与主题朗读活动。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▲6、支持作品播放前支持插播3秒内的宣传图片或者短视频用于公益宣传，管理后台自主上传。（提供该功能截屏证明）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＃7、支持微信端可收听到所有朗读者发布的作品，支持点赞，留言，转发。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＃8、支持微信端单独查看使用单位的朗读者的作品。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＃9、支持作品模糊搜索功能。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＃10、支持收听卡拉OK，影视配音，英语配音作品时，同时显示视频。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＃11、支持赛事活动入口，直接进入赛事活动入口，查看收听投票转发支持的作品。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AI心理辅导机器人（人型）</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一、基础管理功能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＃1、用户管理：支持多角色用户登录（管理员、普通用户等），权限分级管理，支持用户信息、测评记录、预约信息的全生命周期管理。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＃2、系统设置：支持系统参数配置、界面定制、单位信息设置，支持数据备份与恢复。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＃3、数据统计与报告：自动生成测评报告，支持报告查询、导出、打印，可按时间、用户群体、测评类型等维度进行数据统计分析。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二、核心业务功能模块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＃1、心理评估模块：内置专业心理量表≥30 个，涵盖心理健康、情绪状态、人格特质、压力水平、睡眠质量等多维度测评，测评完成后自动生成个性化分析报告与干预建议；支持测评结果分级预警，对异常心理状态用户自动标记。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＃2、体征测量模块：支持心率、血压等生理指标快速检测，测量数据实时同步至系统。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＃3、心理科普模块：内置心理健康科普知识库，包含文字、图片、视频等多种形式的科普内容，支持按主题分类检索；支持科普内容自定义上传、更新，可根据单位需求定制专属科普专栏。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＃4、智能宣讲模块：支持自定义宣讲脚本，可配置心理健康知识、活动通知、政策解读等宣讲内容；支持宣讲过程的语音、动作联动，提升宣讲的生动性与吸引力。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＃5、导航指路模块：支持室内地图编辑与路径规划，可配置心理咨询室、活动室等目标点位；支持语音指令导航、触屏点选导航，引导用户前往指定位置，过程中自动避障。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心理训练模块：内置情绪调节、放松减压等多种心理训练项目，支持语音引导式训练；支持训练进度记录与效果评估，根据用户训练情况推送个性化训练方案；训练过程中可联动体征数据，实时监测用户状态，调整训练节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＃7、心理预约模块：支持心理咨询、心理团体活动等服务的在线预约，可配置预约时段、咨询师信息、活动详情；支持预约提醒、改约、取消功能，管理员可实时查看预约列表并进行审核管理。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＃8、心理陪护模块：支持 AI 陪伴对话，提供情绪倾听、共情回应、正向引导等基础心理支持；支持陪护过程记录，管理员可查看用户对话日志，识别潜在心理风险。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三、硬件参数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＃1、机身尺寸：≥长46cm * 宽46cm * 高120cm。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＃2、处理器：四核及以上， 频率≥1.8GHz。内存：≥64G。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＃3、显示屏≥13.3寸，1920*1080分辨率。</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AI全景滑雪设备</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＃1、模拟滑雪机训练系统：≥65寸屏幕，产品整体尺寸：≥长2.6米宽2.4米高2.5米；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＃2、内置6个滑雪场赛道；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＃3、玩家需要在规定时间内到达终点完成任务。越快到达，碰撞越少，得分越高。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＃4、在滑雪机上可自由左右滑动控制前进左右方向躲避障碍物。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＃5、左右滑动频率越高，加速速度越快，碰撞会扣分及减速。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＃6、体验过程可实时观测当前与终点的距离、当前滑行速度及到达目的地可用的剩余时间。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＃7、结束后会体现此次滑雪的成绩，消耗的时间，撞击次数，运动消耗的卡路里模拟值。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＃8、结束体现以往成绩优异的玩家保留的成绩及完成时间。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＃9、滑雪机屏幕：分辨率：≥1920x1080（FHD），亮度：360 cd/m’（典型值）；对比度：4000：1（透射模式）。可视角度：89°（典型值）。响应时间：≤8 ms（G to G），显示模式：AMVA3，常黑显示，透射式；显示区域：≥1428.48x803.52 mm；外观尺寸：≥1508x878x23.14/34.4 mm；表面处理：雾面（Haze 2%）3H硬度涂层；接口类型：LVDS（2通道，8/10位）；供电电压：12V。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＃10、加密狗+中央信号处理器+≥65寸高清屏幕+定制五金滑轨组件+发光招牌灯箱+滑板造型五金+钣金内置亚克力发光。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＃11、滑雪器配件：尺寸：≥1715*760*1310mm；净重：≤47KG；控制方式：弹力绳及自身重量；材质：优质钢管；表面处理：汽车烤漆。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＃12、音响：尺寸：≥375mm*225mm*398mm；数量：≥2个；支持壁挂，毛重≤4.4KG；内置蓝牙功率：≥40W。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＃13、滑雪处理器性能：支持第二代超线程技术，能以16线程运行；运行内存：≥8G内存、固态硬盘：120G，主频≥3.2GHz；。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＃14、功率：500W；电压：AC220V±5% 50HZ或AC110V±5% 60HZ。</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室内全息体适能训练系统</w:t>
            </w:r>
            <w:r>
              <w:rPr>
                <w:rFonts w:hint="eastAsia" w:ascii="宋体" w:hAnsi="宋体" w:eastAsia="宋体" w:cs="宋体"/>
                <w:i w:val="0"/>
                <w:iCs w:val="0"/>
                <w:color w:val="000000"/>
                <w:sz w:val="22"/>
                <w:szCs w:val="22"/>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＃1、部署占地说明：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占墙：画面高2.5米*宽4.5米；占地面：画面长2.8米*宽4.5米；项目层高高于3.5米；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＃2、软件模块：全息体适能系统；第一板块 体育学与练；第二板块 专项运动技能教学；第三板块 专项体能；第四板块 健身训练；第五板块 趣味运动会；第六板块 运动娱乐体验；第七板块 情景互动教学；第八板块 百变训练空间；雷达运动捕捉交互算法：可实现墙面地面的精准交互捕捉响应。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＃3、超短焦激光高清投影机与工程支架：利用投影技术实现：画面高度≤2.8米，宽度≤5米；超短焦液晶激光光源 镜头投射比小于0.25：1，亮度≥5300流明；分辨率：4K；  对比度：100,000:1； 电源规格：100V-240V交流电，50Hz/60Hz； 梯形校正范围：垂直±5°水平±5°；内置16w扬声器；尺寸（宽×高×深）：520×168(支脚最短时)×445mm(含凸出部分)；支架：根据现场定制工程支架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短焦激光投影机：亮度：5300流明；镜头投射比：0.5:1；光源类型：激光光源；分辨率：1920*1200（WUXGA）16:10，兼容4:3/16:9；光源寿命：正常模式：20000H，节能模式：30000H；照度均匀性：≥90%；对比度：≥5500000：1；重量：约7.0Kg；尺寸：445*350*100mm(不含突出部分)。光源具有超过20000小时长寿命，标配遥控器可控制多台投影机及1~9组配对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＃5、全息交互运动系统服务器：支持第二代超线程技术，能以16线程运行；运行内存：≥8G内存、固态硬盘：120G，主频≥3.2GHz；。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＃6、墙面高精准快速捕捉雷达：探测范围0.1-20 m @ 90%反射率 、0.1-8 m @ 10%反射率；重复精度：±30 mm；扫描范围:270°；采样:45 kHz；点云数据合并:1/2/4/8 点；扫描帧率 :10/1</w:t>
            </w:r>
            <w:r>
              <w:rPr>
                <w:rFonts w:hint="eastAsia" w:ascii="宋体" w:hAnsi="宋体" w:eastAsia="宋体" w:cs="宋体"/>
                <w:i w:val="0"/>
                <w:iCs w:val="0"/>
                <w:color w:val="000000"/>
                <w:sz w:val="22"/>
                <w:szCs w:val="22"/>
                <w:u w:val="none"/>
                <w:lang w:val="en-US" w:eastAsia="zh-CN" w:bidi="ar"/>
              </w:rPr>
              <w:t xml:space="preserve">5/20/25/30 Hz ；最小角分辨率:0.08°；电源电压:DC12V-24 V；工作电流:0.17A/12 V（典型） ；激光光源:905 nm class I ；功耗:2 W；数据传输接口 :Ethernet 100BASE-TX ；启动时间 :＜10 s ；指示灯：电源指示灯、状态指示灯 ；环境光 ：&gt;50000 lx ；工作温度 ：-10℃~55℃ ；储存温度：-30℃~75℃20；工作寿命：5 年（电机寿命） ；防护等级：IP65 ；尺寸 ：50 × 50 ×76 mm；重量 ：148 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＃7、地面高精准快速捕捉雷达：探测范围0.1-20 m @ 90%反射率 、0.1-8 m @ 10%反射率；重复精度：±30 mm；扫描范围:270°；采样:45 kHz；点云数据合并:1/2/4/8 点；扫描帧率 :10/1</w:t>
            </w:r>
            <w:r>
              <w:rPr>
                <w:rFonts w:hint="eastAsia" w:ascii="宋体" w:hAnsi="宋体" w:eastAsia="宋体" w:cs="宋体"/>
                <w:i w:val="0"/>
                <w:iCs w:val="0"/>
                <w:color w:val="000000"/>
                <w:sz w:val="22"/>
                <w:szCs w:val="22"/>
                <w:u w:val="none"/>
                <w:lang w:val="en-US" w:eastAsia="zh-CN" w:bidi="ar"/>
              </w:rPr>
              <w:t xml:space="preserve">5/20/25/30 Hz ；最小角分辨率:0.08°；电源电压:DC12V-24 V；工作电流:0.17A/12 V（典型） ；激光光源:905 nm class I ；功耗:2 W；数据传输接口 :Ethernet 100BASE-TX ；启动时间 :＜10 s ；指示灯：电源指示灯、状态指示灯 ；环境光 ：&gt;50000 lx ；工作温度 ：-10℃~55℃ ；储存温度：-30℃~75℃20；工作寿命：5 年（电机寿命） ；防护等级：IP65 ；尺寸 ：50 × 50 ×76 mm；重量 ：148 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＃8、一组壁挂音响：音响：一对、2.0有源音箱、支持壁挂、输入电压220v/50Hz、额定功率：50W、输出功率：15W+15W、频响范围：20Hz-20KHz、单个尺寸：17*15*26.5cm。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＃9、情景教学互动训练课堂不少于74节课堂内容指导。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运动游戏指导：结合3~10岁儿童的身心特点，整理了跳跃、有氧、肌肉力量、体态管理、拉伸共五类、75项“长高运动”；身体姿势控制、肢体精细控制、物体控制、移动、灵敏、平衡、协调共七类、95个“亲子游戏”，均配有演示视频。每天跟着练习，不仅有利于身高生长，还有助于身体活动水平的提高和长期运动习惯的形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＃11、其他必备配件：其它各种必备的锁屏宝、一键遥控器、键盘鼠标、专业工程高清线、专业工程音频线、网线线材、原件和工具等。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bl>
    <w:p>
      <w:pPr>
        <w:pStyle w:val="768"/>
        <w:ind w:firstLine="480"/>
        <w:jc w:val="left"/>
        <w:spacing w:line="440" w:lineRule="exact"/>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r>
      <w:r/>
    </w:p>
    <w:p>
      <w:pPr>
        <w:pStyle w:val="768"/>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注意事项：</w:t>
      </w:r>
      <w:r>
        <w:rPr>
          <w:rFonts w:ascii="宋体" w:hAnsi="宋体" w:cs="宋体"/>
          <w:color w:val="000000"/>
          <w:sz w:val="24"/>
          <w:szCs w:val="24"/>
        </w:rPr>
      </w:r>
      <w:r/>
    </w:p>
    <w:p>
      <w:pPr>
        <w:pStyle w:val="768"/>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1.采购清单中设备名称前标有“●”的为核心产品，不同投标人核心产品标的品牌相同按同品牌投标人处理；</w:t>
      </w:r>
      <w:r>
        <w:rPr>
          <w:rFonts w:ascii="宋体" w:hAnsi="宋体" w:cs="宋体"/>
          <w:color w:val="000000"/>
          <w:sz w:val="24"/>
          <w:szCs w:val="24"/>
        </w:rPr>
      </w:r>
      <w:r/>
    </w:p>
    <w:p>
      <w:pPr>
        <w:pStyle w:val="76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highlight w:val="none"/>
        </w:rPr>
        <w:t xml:space="preserve">除辅材（含以施工为主的条目）和技术参数标明为定制的货物之外</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具体</w:t>
      </w:r>
      <w:r>
        <w:rPr>
          <w:rFonts w:hint="eastAsia" w:ascii="宋体" w:hAnsi="宋体" w:cs="宋体"/>
          <w:bCs/>
          <w:color w:val="000000"/>
          <w:sz w:val="24"/>
          <w:szCs w:val="24"/>
          <w:highlight w:val="none"/>
          <w:lang w:val="en-US" w:eastAsia="zh-CN"/>
        </w:rPr>
        <w:t xml:space="preserve">为“清单及技术参数要求 二、AI智慧体育设备采购：序号44、序号45”</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其它应该标明品牌和型号的产品，投标人在投标文件中必须标明品牌、型号，否则作无效投标处理。</w:t>
      </w:r>
      <w:r>
        <w:rPr>
          <w:rFonts w:ascii="宋体" w:hAnsi="宋体" w:cs="宋体"/>
          <w:color w:val="000000"/>
          <w:sz w:val="24"/>
          <w:szCs w:val="24"/>
        </w:rPr>
      </w:r>
      <w:r/>
    </w:p>
    <w:p>
      <w:pPr>
        <w:pStyle w:val="768"/>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3.供应商在编制投标文件时，供应商应依据采购清单分项进行填报《明细报价表》不得自行增减或改变采购清单数量，否则按无效标处理。</w:t>
      </w:r>
      <w:r>
        <w:rPr>
          <w:rFonts w:ascii="宋体" w:hAnsi="宋体" w:cs="宋体"/>
          <w:color w:val="000000"/>
          <w:sz w:val="24"/>
          <w:szCs w:val="24"/>
        </w:rPr>
      </w:r>
      <w:r/>
    </w:p>
    <w:p>
      <w:pPr>
        <w:pStyle w:val="768"/>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4.投标人应当对《中小企业声明函》真实性负责，投标人出具的《中小企业声明函》应当对本次采购的所有标的物逐一列明制造商且应当与明细报价表内容相对应。</w:t>
      </w:r>
      <w:r>
        <w:rPr>
          <w:rFonts w:ascii="宋体" w:hAnsi="宋体" w:cs="宋体"/>
          <w:color w:val="000000"/>
          <w:sz w:val="24"/>
          <w:szCs w:val="24"/>
        </w:rPr>
      </w:r>
      <w:r/>
    </w:p>
    <w:p>
      <w:pPr>
        <w:pStyle w:val="768"/>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5.</w:t>
      </w:r>
      <w:r>
        <w:rPr>
          <w:rFonts w:ascii="宋体" w:hAnsi="宋体" w:cs="宋体"/>
          <w:color w:val="000000"/>
          <w:sz w:val="24"/>
          <w:szCs w:val="24"/>
        </w:rPr>
        <w:t xml:space="preserve">《采购清单及技术参数要求》</w:t>
      </w:r>
      <w:r>
        <w:rPr>
          <w:rFonts w:hint="eastAsia" w:ascii="宋体" w:hAnsi="宋体" w:cs="宋体"/>
          <w:color w:val="000000"/>
          <w:sz w:val="24"/>
          <w:szCs w:val="24"/>
        </w:rPr>
        <w:t xml:space="preserve">中：尺寸标示为“≥、≤、＜、＞”的，不允许偏差；已经</w:t>
      </w:r>
      <w:r>
        <w:rPr>
          <w:rFonts w:ascii="宋体" w:hAnsi="宋体" w:cs="宋体"/>
          <w:color w:val="000000"/>
          <w:sz w:val="24"/>
          <w:szCs w:val="24"/>
        </w:rPr>
        <w:t xml:space="preserve">特别标注偏差</w:t>
      </w:r>
      <w:r>
        <w:rPr>
          <w:rFonts w:hint="eastAsia" w:ascii="宋体" w:hAnsi="宋体" w:cs="宋体"/>
          <w:color w:val="000000"/>
          <w:sz w:val="24"/>
          <w:szCs w:val="24"/>
        </w:rPr>
        <w:t xml:space="preserve">的，按标注处理。其它未标明偏差范围的标的物</w:t>
      </w:r>
      <w:r>
        <w:rPr>
          <w:rFonts w:ascii="宋体" w:hAnsi="宋体" w:cs="宋体"/>
          <w:color w:val="000000"/>
          <w:sz w:val="24"/>
          <w:szCs w:val="24"/>
        </w:rPr>
        <w:t xml:space="preserve">规格尺寸允许偏差</w:t>
      </w:r>
      <w:r>
        <w:rPr>
          <w:rFonts w:hint="eastAsia" w:ascii="宋体" w:hAnsi="宋体" w:cs="宋体"/>
          <w:color w:val="000000"/>
          <w:sz w:val="24"/>
          <w:szCs w:val="24"/>
        </w:rPr>
        <w:t xml:space="preserve">范围为</w:t>
      </w:r>
      <w:r>
        <w:rPr>
          <w:rFonts w:ascii="宋体" w:hAnsi="宋体" w:cs="宋体"/>
          <w:color w:val="000000"/>
          <w:sz w:val="24"/>
          <w:szCs w:val="24"/>
        </w:rPr>
        <w:t xml:space="preserve">±5%。</w:t>
      </w:r>
      <w:r>
        <w:rPr>
          <w:rFonts w:ascii="宋体" w:hAnsi="宋体" w:cs="宋体"/>
          <w:color w:val="000000"/>
          <w:sz w:val="24"/>
          <w:szCs w:val="24"/>
        </w:rPr>
      </w:r>
      <w:r/>
    </w:p>
    <w:p>
      <w:pPr>
        <w:pStyle w:val="768"/>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6.《采购清单及技术参数要求》中所有产品包含该设备安装和使用必需的辅材、配件以及该设备运行所必需的，但清单中未列出的相关设备及辅材设备需供应商自行考虑，供应商必须保证设备完好运行及系统的完整性，所需的费用一并考虑至投标报价中，后期采购单位将不再额外结算。</w:t>
      </w:r>
      <w:r>
        <w:rPr>
          <w:rFonts w:ascii="宋体" w:hAnsi="宋体" w:cs="宋体"/>
          <w:color w:val="000000"/>
          <w:sz w:val="24"/>
          <w:szCs w:val="24"/>
        </w:rPr>
      </w:r>
      <w:r/>
    </w:p>
    <w:p>
      <w:pPr>
        <w:pStyle w:val="768"/>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7. 所有产品质量必须严格按照国家规范及江苏省、宿迁市相应地方规范、招标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r>
        <w:rPr>
          <w:rFonts w:ascii="宋体" w:hAnsi="宋体" w:cs="宋体"/>
          <w:color w:val="000000"/>
          <w:sz w:val="24"/>
          <w:szCs w:val="24"/>
        </w:rPr>
      </w:r>
      <w:r/>
    </w:p>
    <w:p>
      <w:pPr>
        <w:pStyle w:val="768"/>
        <w:ind w:firstLine="480"/>
        <w:jc w:val="left"/>
        <w:spacing w:line="440" w:lineRule="exac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五、项目实施方案要求</w:t>
      </w:r>
      <w:r>
        <w:rPr>
          <w:rFonts w:ascii="宋体" w:hAnsi="宋体" w:cs="宋体"/>
          <w:b/>
          <w:sz w:val="24"/>
          <w:szCs w:val="24"/>
        </w:rPr>
      </w:r>
      <w:r/>
    </w:p>
    <w:p>
      <w:pPr>
        <w:pStyle w:val="768"/>
        <w:ind w:firstLine="480"/>
        <w:spacing w:line="360" w:lineRule="auto"/>
        <w:rPr>
          <w:rFonts w:hint="eastAsia" w:ascii="宋体" w:hAnsi="宋体" w:cs="宋体"/>
          <w:sz w:val="24"/>
          <w:lang w:val="en-US" w:eastAsia="zh-CN"/>
        </w:rPr>
        <w:outlineLvl w:val="0"/>
      </w:pPr>
      <w:r>
        <w:rPr>
          <w:rFonts w:hint="eastAsia" w:ascii="宋体" w:hAnsi="宋体" w:cs="宋体"/>
          <w:sz w:val="24"/>
          <w:lang w:val="en-US" w:eastAsia="zh-CN"/>
        </w:rPr>
        <w:t xml:space="preserve">（一）现状分析与需求理解方案要求</w:t>
      </w:r>
      <w:r>
        <w:rPr>
          <w:rFonts w:hint="eastAsia"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针对学校当前体育教学场地的具体布局、现有体育器材设施及使用状况、师资力量及学生规模等进行深入分析，准确理解本项目智慧操场建设、数据平台搭建、监控联网三大目标，结合采购清单设备配置提出针对性建设思路与分阶段实施路径。</w:t>
      </w:r>
      <w:r>
        <w:rPr>
          <w:rFonts w:ascii="宋体" w:hAnsi="宋体" w:cs="宋体"/>
          <w:sz w:val="24"/>
          <w:lang w:val="en-US" w:eastAsia="zh-CN"/>
        </w:rPr>
      </w:r>
      <w:r/>
    </w:p>
    <w:p>
      <w:pPr>
        <w:pStyle w:val="768"/>
        <w:ind w:firstLine="480"/>
        <w:spacing w:line="360" w:lineRule="auto"/>
        <w:rPr>
          <w:rFonts w:hint="eastAsia" w:ascii="宋体" w:hAnsi="宋体" w:cs="宋体"/>
          <w:sz w:val="24"/>
          <w:lang w:val="en-US" w:eastAsia="zh-CN"/>
        </w:rPr>
        <w:outlineLvl w:val="0"/>
      </w:pPr>
      <w:r>
        <w:rPr>
          <w:rFonts w:hint="eastAsia" w:ascii="宋体" w:hAnsi="宋体" w:cs="宋体"/>
          <w:sz w:val="24"/>
          <w:lang w:val="en-US" w:eastAsia="zh-CN"/>
        </w:rPr>
        <w:t xml:space="preserve">（二）</w:t>
      </w:r>
      <w:r>
        <w:rPr>
          <w:rFonts w:ascii="宋体" w:hAnsi="宋体" w:cs="宋体"/>
          <w:sz w:val="24"/>
          <w:lang w:val="en-US" w:eastAsia="zh-CN"/>
        </w:rPr>
        <w:t xml:space="preserve">智慧操场深化设计方案</w:t>
      </w:r>
      <w:r>
        <w:rPr>
          <w:rFonts w:hint="eastAsia" w:ascii="宋体" w:hAnsi="宋体" w:cs="宋体"/>
          <w:sz w:val="24"/>
          <w:lang w:val="en-US" w:eastAsia="zh-CN"/>
        </w:rPr>
        <w:t xml:space="preserve">要求</w:t>
      </w:r>
      <w:r>
        <w:rPr>
          <w:rFonts w:hint="eastAsia"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根据采购人需求针对操场进行设备施工安装设计，设计内容包括不限于点位布局图及平面图等内容。平面布置图布局设计合理、整体兼具实用，要求采购清单内设备布局与操场实地空间利用合理，不影响操场其他教学活动的开展，电源、网络布局等满足设备使用和教学使用。</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（三）</w:t>
      </w:r>
      <w:r>
        <w:rPr>
          <w:rFonts w:ascii="宋体" w:hAnsi="宋体" w:cs="宋体"/>
          <w:sz w:val="24"/>
          <w:lang w:val="en-US" w:eastAsia="zh-CN"/>
        </w:rPr>
        <w:t xml:space="preserve">学生个人信息保护方案</w:t>
      </w:r>
      <w:r>
        <w:rPr>
          <w:rFonts w:hint="eastAsia" w:ascii="宋体" w:hAnsi="宋体" w:cs="宋体"/>
          <w:sz w:val="24"/>
          <w:lang w:val="en-US" w:eastAsia="zh-CN"/>
        </w:rPr>
        <w:t xml:space="preserve">要求</w:t>
      </w:r>
      <w:r>
        <w:rPr>
          <w:rFonts w:ascii="宋体" w:hAnsi="宋体" w:cs="宋体"/>
          <w:sz w:val="24"/>
          <w:lang w:val="en-US" w:eastAsia="zh-CN"/>
        </w:rPr>
      </w:r>
      <w:r/>
    </w:p>
    <w:p>
      <w:pPr>
        <w:pStyle w:val="768"/>
        <w:ind w:firstLine="480"/>
        <w:spacing w:line="360" w:lineRule="auto"/>
        <w:rPr>
          <w:rFonts w:hint="eastAsia" w:ascii="宋体" w:hAnsi="宋体" w:cs="宋体"/>
          <w:sz w:val="24"/>
        </w:rPr>
        <w:outlineLvl w:val="0"/>
      </w:pPr>
      <w:r>
        <w:rPr>
          <w:rFonts w:hint="eastAsia" w:ascii="宋体" w:hAnsi="宋体" w:cs="宋体"/>
          <w:sz w:val="24"/>
        </w:rPr>
        <w:t xml:space="preserve">方案需对照《个人信息保护法》《未成年人保护法》要求，重点明确人脸特征值存储方案，将学生信息进行分类存储，建立多级信息访问权限，确保未成年人信息安全。</w:t>
      </w:r>
      <w:r>
        <w:rPr>
          <w:rFonts w:hint="eastAsia" w:ascii="宋体" w:hAnsi="宋体" w:cs="宋体"/>
          <w:sz w:val="24"/>
        </w:rPr>
      </w:r>
      <w:r/>
    </w:p>
    <w:p>
      <w:pPr>
        <w:pStyle w:val="768"/>
        <w:ind w:firstLine="480"/>
        <w:spacing w:line="360" w:lineRule="auto"/>
        <w:rPr>
          <w:rFonts w:hint="eastAsia" w:ascii="宋体" w:hAnsi="宋体" w:cs="宋体"/>
          <w:sz w:val="24"/>
        </w:rPr>
        <w:outlineLvl w:val="0"/>
      </w:pPr>
      <w:r>
        <w:rPr>
          <w:rFonts w:hint="eastAsia" w:ascii="宋体" w:hAnsi="宋体" w:cs="宋体"/>
          <w:sz w:val="24"/>
          <w:lang w:val="en-US" w:eastAsia="zh-CN"/>
        </w:rPr>
        <w:t xml:space="preserve">（四）</w:t>
      </w:r>
      <w:r>
        <w:rPr>
          <w:rFonts w:ascii="宋体" w:hAnsi="宋体" w:cs="宋体"/>
          <w:sz w:val="24"/>
          <w:lang w:val="en-US" w:eastAsia="zh-CN"/>
        </w:rPr>
        <w:t xml:space="preserve">本地化部署设计方案</w:t>
      </w:r>
      <w:r>
        <w:rPr>
          <w:rFonts w:hint="eastAsia" w:ascii="宋体" w:hAnsi="宋体" w:cs="宋体"/>
          <w:sz w:val="24"/>
          <w:lang w:val="en-US" w:eastAsia="zh-CN"/>
        </w:rPr>
        <w:t xml:space="preserve">要求</w:t>
      </w:r>
      <w:r>
        <w:rPr>
          <w:rFonts w:hint="eastAsia" w:ascii="宋体" w:hAnsi="宋体" w:cs="宋体"/>
          <w:sz w:val="24"/>
        </w:rPr>
      </w:r>
      <w:r/>
    </w:p>
    <w:p>
      <w:pPr>
        <w:pStyle w:val="768"/>
        <w:ind w:firstLine="480"/>
        <w:spacing w:line="360" w:lineRule="auto"/>
        <w:rPr>
          <w:rFonts w:hint="eastAsia" w:ascii="宋体" w:hAnsi="宋体" w:cs="宋体"/>
          <w:sz w:val="24"/>
        </w:rPr>
        <w:outlineLvl w:val="0"/>
      </w:pPr>
      <w:r>
        <w:rPr>
          <w:rFonts w:hint="eastAsia" w:ascii="宋体" w:hAnsi="宋体" w:cs="宋体"/>
          <w:sz w:val="24"/>
          <w:lang w:val="en-US" w:eastAsia="zh-CN"/>
        </w:rPr>
        <w:t xml:space="preserve">详细介绍</w:t>
      </w:r>
      <w:r>
        <w:rPr>
          <w:rFonts w:hint="eastAsia" w:ascii="宋体" w:hAnsi="宋体" w:cs="宋体"/>
          <w:sz w:val="24"/>
        </w:rPr>
        <w:t xml:space="preserve">校级数据平台架构</w:t>
      </w:r>
      <w:r>
        <w:rPr>
          <w:rFonts w:hint="eastAsia" w:ascii="宋体" w:hAnsi="宋体" w:cs="宋体"/>
          <w:sz w:val="24"/>
          <w:lang w:val="en-US" w:eastAsia="zh-CN"/>
        </w:rPr>
        <w:t xml:space="preserve">设计</w:t>
      </w:r>
      <w:r>
        <w:rPr>
          <w:rFonts w:hint="eastAsia" w:ascii="宋体" w:hAnsi="宋体" w:cs="宋体"/>
          <w:sz w:val="24"/>
        </w:rPr>
        <w:t xml:space="preserve">方案</w:t>
      </w:r>
      <w:r>
        <w:rPr>
          <w:rFonts w:hint="eastAsia" w:ascii="宋体" w:hAnsi="宋体" w:cs="宋体"/>
          <w:sz w:val="24"/>
          <w:lang w:eastAsia="zh-CN"/>
        </w:rPr>
        <w:t xml:space="preserve">，</w:t>
      </w:r>
      <w:r>
        <w:rPr>
          <w:rFonts w:hint="eastAsia" w:ascii="宋体" w:hAnsi="宋体" w:cs="宋体"/>
          <w:sz w:val="24"/>
          <w:lang w:val="en-US" w:eastAsia="zh-CN"/>
        </w:rPr>
        <w:t xml:space="preserve">确保</w:t>
      </w:r>
      <w:r>
        <w:rPr>
          <w:rFonts w:hint="eastAsia" w:ascii="宋体" w:hAnsi="宋体" w:cs="宋体"/>
          <w:sz w:val="24"/>
        </w:rPr>
        <w:t xml:space="preserve">人脸识别信息、测试视频回放等学生隐私数据存储于学校本地，严格执行《中华人民共和国个人信息保护法》等相关法规要求，确保隐私数据不出校园</w:t>
      </w:r>
      <w:r>
        <w:rPr>
          <w:rFonts w:hint="eastAsia" w:ascii="宋体" w:hAnsi="宋体" w:cs="宋体"/>
          <w:sz w:val="24"/>
          <w:lang w:eastAsia="zh-CN"/>
        </w:rPr>
        <w:t xml:space="preserve">。</w:t>
      </w:r>
      <w:r>
        <w:rPr>
          <w:rFonts w:hint="eastAsia" w:ascii="宋体" w:hAnsi="宋体" w:cs="宋体"/>
          <w:sz w:val="24"/>
        </w:rPr>
      </w:r>
      <w:r/>
    </w:p>
    <w:p>
      <w:pPr>
        <w:pStyle w:val="768"/>
        <w:ind w:firstLine="480"/>
        <w:spacing w:line="360" w:lineRule="auto"/>
        <w:rPr>
          <w:rFonts w:hint="eastAsia" w:ascii="宋体" w:hAnsi="宋体" w:cs="宋体"/>
          <w:sz w:val="24"/>
          <w:lang w:val="en-US" w:eastAsia="zh-CN"/>
        </w:rPr>
        <w:outlineLvl w:val="0"/>
      </w:pPr>
      <w:r>
        <w:rPr>
          <w:rFonts w:hint="eastAsia" w:ascii="宋体" w:hAnsi="宋体" w:cs="宋体"/>
          <w:sz w:val="24"/>
          <w:lang w:val="en-US" w:eastAsia="zh-CN"/>
        </w:rPr>
        <w:t xml:space="preserve">（五）设备安装调试方案要求</w:t>
      </w:r>
      <w:r>
        <w:rPr>
          <w:rFonts w:hint="eastAsia"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至少包含智慧体育设备、监控设备的安装调试方案和科技与体育相结合产品布局优化设计方案。需明确智慧体育设备与监控设备施工前的现场勘测与基础条件确认流程，制定详细的设备进场、安装、接线及调试步骤，明确各类测试终端、数据采集装置的点位布设、安装固定，保障数据采集精准、功能稳定。出具科技与体育相结合产品布局优化设计效果图及布置安装方案。方案须同步明确施工组织、安全管控、进度节点，确保项目合规有序实施。</w:t>
      </w:r>
      <w:r>
        <w:rPr>
          <w:rFonts w:ascii="宋体" w:hAnsi="宋体" w:cs="宋体"/>
          <w:sz w:val="24"/>
          <w:lang w:val="en-US" w:eastAsia="zh-CN"/>
        </w:rPr>
      </w:r>
      <w:r/>
    </w:p>
    <w:p>
      <w:pPr>
        <w:pStyle w:val="768"/>
        <w:ind w:firstLine="482"/>
        <w:spacing w:line="360" w:lineRule="auto"/>
        <w:rPr>
          <w:rFonts w:ascii="宋体" w:hAnsi="宋体" w:cs="宋体"/>
          <w:b/>
          <w:bCs/>
          <w:sz w:val="24"/>
          <w:lang w:val="en-US" w:eastAsia="zh-CN"/>
        </w:rPr>
        <w:outlineLvl w:val="0"/>
      </w:pPr>
      <w:r>
        <w:rPr>
          <w:rFonts w:hint="eastAsia" w:ascii="宋体" w:hAnsi="宋体" w:cs="宋体"/>
          <w:b/>
          <w:bCs/>
          <w:sz w:val="24"/>
          <w:lang w:val="en-US" w:eastAsia="zh-CN"/>
        </w:rPr>
        <w:t xml:space="preserve">（六）售后服务方案要求</w:t>
      </w:r>
      <w:r>
        <w:rPr>
          <w:rFonts w:ascii="宋体" w:hAnsi="宋体" w:cs="宋体"/>
          <w:b/>
          <w:bCs/>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内容包含但不限于服务内容</w:t>
      </w:r>
      <w:r>
        <w:rPr>
          <w:rFonts w:hint="eastAsia" w:ascii="宋体" w:hAnsi="宋体" w:cs="宋体"/>
          <w:sz w:val="24"/>
          <w:lang w:val="en-US" w:eastAsia="zh-CN"/>
        </w:rPr>
        <w:t xml:space="preserve">、</w:t>
      </w:r>
      <w:r>
        <w:rPr>
          <w:rFonts w:ascii="宋体" w:hAnsi="宋体" w:cs="宋体"/>
          <w:sz w:val="24"/>
          <w:lang w:val="en-US" w:eastAsia="zh-CN"/>
        </w:rPr>
        <w:t xml:space="preserve">售后人员配备情况、响应时间，以及售后服务期满后主要产品、配件优惠方案等。</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1.服务内容：本项目要求售后服务期：三年（自货物最终交付验收合格后）。售后服务期内投标人对产品质量实行三包，免费为本项目采购的所有产品提供维修、保养、替换故障部件等服务。因设备配置或制造质量问题而引起的故障，供应商应在24小时内立即予以维修或更换。</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2.售后人员配备情况：本项目的保修服务方式均为供应商上门保修，即由供应商派技术人员到采购单位使用现场维修，由此产生的一切费用均由供应商承担。售后人员配备不少于3人。</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3.响应时间：供应商应严格按照招标文件的有关规定提供合格产品，保证货物为全新未使用的原装正品；一旦发生质量问题，投标人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r>
      <w:r/>
    </w:p>
    <w:p>
      <w:pPr>
        <w:pStyle w:val="768"/>
        <w:ind w:firstLine="482"/>
        <w:spacing w:line="360" w:lineRule="auto"/>
        <w:rPr>
          <w:rFonts w:ascii="宋体" w:hAnsi="宋体" w:cs="宋体"/>
          <w:b/>
          <w:bCs/>
          <w:sz w:val="24"/>
          <w:lang w:val="en-US" w:eastAsia="zh-CN"/>
        </w:rPr>
        <w:outlineLvl w:val="0"/>
      </w:pPr>
      <w:r>
        <w:rPr>
          <w:rFonts w:hint="eastAsia" w:ascii="宋体" w:hAnsi="宋体" w:cs="宋体"/>
          <w:b/>
          <w:bCs/>
          <w:sz w:val="24"/>
          <w:lang w:val="en-US" w:eastAsia="zh-CN"/>
        </w:rPr>
        <w:t xml:space="preserve">（七）</w:t>
      </w:r>
      <w:r>
        <w:rPr>
          <w:rFonts w:ascii="宋体" w:hAnsi="宋体" w:cs="宋体"/>
          <w:b/>
          <w:bCs/>
          <w:sz w:val="24"/>
          <w:lang w:val="en-US" w:eastAsia="zh-CN"/>
        </w:rPr>
        <w:t xml:space="preserve">培训方案</w:t>
      </w:r>
      <w:r>
        <w:rPr>
          <w:rFonts w:hint="eastAsia" w:ascii="宋体" w:hAnsi="宋体" w:cs="宋体"/>
          <w:b/>
          <w:bCs/>
          <w:sz w:val="24"/>
          <w:lang w:val="en-US" w:eastAsia="zh-CN"/>
        </w:rPr>
        <w:t xml:space="preserve">要求</w:t>
      </w:r>
      <w:r>
        <w:rPr>
          <w:rFonts w:ascii="宋体" w:hAnsi="宋体" w:cs="宋体"/>
          <w:b/>
          <w:bCs/>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提供完善的</w:t>
      </w:r>
      <w:r>
        <w:rPr>
          <w:rFonts w:hint="eastAsia" w:ascii="宋体" w:hAnsi="宋体" w:cs="宋体"/>
          <w:sz w:val="24"/>
          <w:lang w:val="en-US" w:eastAsia="zh-CN"/>
        </w:rPr>
        <w:t xml:space="preserve">基础操作培训、维护保养培训、</w:t>
      </w:r>
      <w:r>
        <w:rPr>
          <w:rFonts w:ascii="宋体" w:hAnsi="宋体" w:cs="宋体"/>
          <w:sz w:val="24"/>
          <w:lang w:val="en-US" w:eastAsia="zh-CN"/>
        </w:rPr>
        <w:t xml:space="preserve">教师培训、学生使用培训；提供纸质和电子培训教材；培训时间不少于</w:t>
      </w:r>
      <w:r>
        <w:rPr>
          <w:rFonts w:hint="eastAsia" w:ascii="宋体" w:hAnsi="宋体" w:cs="宋体"/>
          <w:sz w:val="24"/>
          <w:lang w:val="en-US" w:eastAsia="zh-CN"/>
        </w:rPr>
        <w:t xml:space="preserve">1</w:t>
      </w:r>
      <w:r>
        <w:rPr>
          <w:rFonts w:ascii="宋体" w:hAnsi="宋体" w:cs="宋体"/>
          <w:sz w:val="24"/>
          <w:lang w:val="en-US" w:eastAsia="zh-CN"/>
        </w:rPr>
        <w:t xml:space="preserve">天，确保所有使用人员熟练操作；提供长期线上培训支持。 </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培训要求：</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提供全面的培训计划，包括基础操作和维护保养培训，通过现场指导、详细文档支持，帮助用户快速掌握系统使用，确保项目长期成功运营。</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培训目的：通过对用户的培训，使其对设备的使用、操作、维护进行培训，以确保使用单位能够对设备有足够的了解，能够独立进行日常操作、管理和维护。</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培训时间：投标人完成供货并交付用户使用之日起两周内对用户完成培训。</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内容：本项目重点培训设备的安装调试、数据维护、故障诊断等内容。培训模块将包括理论讲解、实际操作演示，例如设备组装流程、数据备份以及常见故障的排查与解决技巧。通过互动式学习，增强学员的实战能力和问题处理效率。</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培训对象：针对实际工作和业务需要，本次培训对象主要为管理员、教师、</w:t>
      </w:r>
      <w:r>
        <w:rPr>
          <w:rFonts w:ascii="宋体" w:hAnsi="宋体" w:cs="宋体"/>
          <w:sz w:val="24"/>
          <w:highlight w:val="none"/>
          <w:lang w:val="en-US" w:eastAsia="zh-CN"/>
        </w:rPr>
        <w:t xml:space="preserve">学生。</w:t>
      </w:r>
      <w:r>
        <w:rPr>
          <w:rFonts w:ascii="宋体" w:hAnsi="宋体" w:cs="宋体"/>
          <w:sz w:val="24"/>
          <w:lang w:val="en-US" w:eastAsia="zh-CN"/>
        </w:rPr>
        <w:t xml:space="preserve">这些人员负责日常设备的运行和维护，培训旨在提升他们的专业技能和操作水平，以确保系统稳定性和工作效率。</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培训地点：同交货地点。</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培训方式及课时安排：培训时间每次1天，具体根据采购单位待培训人员总数情况确定。培训以最小化对日常工作的影响，并可灵活调整次数和时长，确保所有相关人员都能参与并受益。</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培训教材：免费提供培训教材纸质版或电子版（含使用手册）等。</w:t>
      </w:r>
      <w:r>
        <w:rPr>
          <w:rFonts w:ascii="宋体" w:hAnsi="宋体" w:cs="宋体"/>
          <w:sz w:val="24"/>
          <w:lang w:val="en-US" w:eastAsia="zh-CN"/>
        </w:rPr>
      </w:r>
      <w:r/>
    </w:p>
    <w:p>
      <w:pPr>
        <w:pStyle w:val="768"/>
        <w:ind w:firstLine="482"/>
        <w:spacing w:line="360" w:lineRule="auto"/>
        <w:rPr>
          <w:rFonts w:ascii="宋体" w:hAnsi="宋体" w:cs="宋体"/>
          <w:b/>
          <w:bCs/>
          <w:sz w:val="24"/>
          <w:lang w:val="en-US" w:eastAsia="zh-CN"/>
        </w:rPr>
        <w:outlineLvl w:val="0"/>
      </w:pPr>
      <w:r>
        <w:rPr>
          <w:rFonts w:ascii="宋体" w:hAnsi="宋体" w:cs="宋体"/>
          <w:b/>
          <w:bCs/>
          <w:sz w:val="24"/>
          <w:lang w:val="en-US" w:eastAsia="zh-CN"/>
        </w:rPr>
        <w:t xml:space="preserve">（</w:t>
      </w:r>
      <w:r>
        <w:rPr>
          <w:rFonts w:hint="eastAsia" w:ascii="宋体" w:hAnsi="宋体" w:cs="宋体"/>
          <w:b/>
          <w:bCs/>
          <w:sz w:val="24"/>
          <w:lang w:val="en-US" w:eastAsia="zh-CN"/>
        </w:rPr>
        <w:t xml:space="preserve">八</w:t>
      </w:r>
      <w:r>
        <w:rPr>
          <w:rFonts w:ascii="宋体" w:hAnsi="宋体" w:cs="宋体"/>
          <w:b/>
          <w:bCs/>
          <w:sz w:val="24"/>
          <w:lang w:val="en-US" w:eastAsia="zh-CN"/>
        </w:rPr>
        <w:t xml:space="preserve">）视频演示方案要求</w:t>
      </w:r>
      <w:r>
        <w:rPr>
          <w:rFonts w:ascii="宋体" w:hAnsi="宋体" w:cs="宋体"/>
          <w:b/>
          <w:bCs/>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（1）立定跳远功能：作弊检测：支持作弊识别检测，如学生单脚跳、侧边跨越跳、地面翻滚至某距离，系统自动检测并</w:t>
      </w:r>
      <w:r>
        <w:rPr>
          <w:rFonts w:hint="eastAsia" w:ascii="宋体" w:hAnsi="宋体" w:cs="宋体"/>
          <w:sz w:val="24"/>
          <w:lang w:val="en-US" w:eastAsia="zh-CN"/>
        </w:rPr>
        <w:t xml:space="preserve">进行</w:t>
      </w:r>
      <w:r>
        <w:rPr>
          <w:rFonts w:ascii="宋体" w:hAnsi="宋体" w:cs="宋体"/>
          <w:sz w:val="24"/>
          <w:lang w:val="en-US" w:eastAsia="zh-CN"/>
        </w:rPr>
        <w:t xml:space="preserve">语音播报</w:t>
      </w:r>
      <w:r>
        <w:rPr>
          <w:rFonts w:hint="eastAsia" w:ascii="宋体" w:hAnsi="宋体" w:cs="宋体"/>
          <w:sz w:val="24"/>
          <w:lang w:val="en-US" w:eastAsia="zh-CN"/>
        </w:rPr>
        <w:t xml:space="preserve">。</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2）50m接力作弊功能演示视频：测试者站在50m起跑线前面向摄像头，通过摄像头识别人脸信息，系统语音播报学生姓名，自动进行起跑发令。测试过程中若测试者出现“接力作弊”的行为，系统自动识别进行成绩过滤；</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（3）坐位体前屈功能演示视频：采用单设备单摄像头硬件可同时支持</w:t>
      </w:r>
      <w:r>
        <w:rPr>
          <w:rFonts w:hint="eastAsia" w:ascii="宋体" w:hAnsi="宋体" w:cs="宋体"/>
          <w:sz w:val="24"/>
          <w:lang w:val="en-US" w:eastAsia="zh-CN"/>
        </w:rPr>
        <w:t xml:space="preserve">不少于</w:t>
      </w:r>
      <w:r>
        <w:rPr>
          <w:rFonts w:ascii="宋体" w:hAnsi="宋体" w:cs="宋体"/>
          <w:sz w:val="24"/>
          <w:lang w:val="en-US" w:eastAsia="zh-CN"/>
        </w:rPr>
        <w:t xml:space="preserve">6个测试人员进行测试，</w:t>
      </w:r>
      <w:r>
        <w:rPr>
          <w:rFonts w:hint="eastAsia" w:ascii="宋体" w:hAnsi="宋体" w:cs="宋体"/>
          <w:sz w:val="24"/>
          <w:lang w:val="en-US" w:eastAsia="zh-CN"/>
        </w:rPr>
        <w:t xml:space="preserve">对学生进行人脸识别</w:t>
      </w:r>
      <w:r>
        <w:rPr>
          <w:rFonts w:ascii="宋体" w:hAnsi="宋体" w:cs="宋体"/>
          <w:sz w:val="24"/>
          <w:lang w:val="en-US" w:eastAsia="zh-CN"/>
        </w:rPr>
        <w:t xml:space="preserve">分别开启测试，测完即可离开测试区域，不会影响其他在测人员测试。同时，测试者的姓名、成绩和违规状态可同步显示；</w:t>
      </w:r>
      <w:r>
        <w:rPr>
          <w:rFonts w:ascii="宋体" w:hAnsi="宋体" w:cs="宋体"/>
          <w:sz w:val="24"/>
          <w:lang w:val="en-US" w:eastAsia="zh-CN"/>
        </w:rPr>
      </w:r>
      <w:r/>
    </w:p>
    <w:p>
      <w:pPr>
        <w:pStyle w:val="768"/>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（4）仰卧起坐功能演示视频：采用单设备单摄像头硬件可同时支持</w:t>
      </w:r>
      <w:r>
        <w:rPr>
          <w:rFonts w:hint="eastAsia" w:ascii="宋体" w:hAnsi="宋体" w:cs="宋体"/>
          <w:sz w:val="24"/>
          <w:lang w:val="en-US" w:eastAsia="zh-CN"/>
        </w:rPr>
        <w:t xml:space="preserve">不少于</w:t>
      </w:r>
      <w:r>
        <w:rPr>
          <w:rFonts w:ascii="宋体" w:hAnsi="宋体" w:cs="宋体"/>
          <w:sz w:val="24"/>
          <w:lang w:val="en-US" w:eastAsia="zh-CN"/>
        </w:rPr>
        <w:t xml:space="preserve">10个测试人员进行测试，并支持多名学生人脸识别同时开启测试。</w:t>
      </w:r>
      <w:r>
        <w:rPr>
          <w:rFonts w:ascii="宋体" w:hAnsi="宋体" w:cs="宋体"/>
          <w:sz w:val="24"/>
          <w:lang w:val="en-US" w:eastAsia="zh-CN"/>
        </w:rPr>
      </w:r>
      <w:r/>
    </w:p>
    <w:p>
      <w:pPr>
        <w:pStyle w:val="768"/>
        <w:ind w:firstLine="482"/>
        <w:spacing w:line="360" w:lineRule="auto"/>
        <w:rPr>
          <w:rFonts w:ascii="宋体" w:hAnsi="宋体" w:eastAsia="宋体" w:cs="宋体"/>
          <w:b/>
          <w:sz w:val="24"/>
        </w:rPr>
        <w:outlineLvl w:val="0"/>
      </w:pPr>
      <w:r>
        <w:rPr>
          <w:rFonts w:hint="eastAsia" w:ascii="宋体" w:hAnsi="宋体" w:eastAsia="宋体" w:cs="宋体"/>
          <w:b/>
          <w:sz w:val="24"/>
        </w:rPr>
        <w:t xml:space="preserve">六、质量标准</w:t>
      </w:r>
      <w:r>
        <w:rPr>
          <w:rFonts w:ascii="宋体" w:hAnsi="宋体" w:eastAsia="宋体" w:cs="宋体"/>
          <w:b/>
          <w:sz w:val="24"/>
        </w:rPr>
      </w:r>
      <w:r/>
    </w:p>
    <w:p>
      <w:pPr>
        <w:pStyle w:val="768"/>
        <w:ind w:firstLine="480"/>
        <w:spacing w:line="360" w:lineRule="auto"/>
        <w:rPr>
          <w:rFonts w:ascii="宋体" w:hAnsi="宋体" w:cs="宋体"/>
          <w:sz w:val="24"/>
        </w:rPr>
        <w:outlineLvl w:val="0"/>
      </w:pPr>
      <w:r>
        <w:rPr>
          <w:rFonts w:hint="eastAsia" w:ascii="宋体" w:hAnsi="宋体" w:cs="宋体"/>
          <w:sz w:val="24"/>
        </w:rPr>
        <w:t xml:space="preserve">1、投标文件及供应商所响应货物的质量、技术和其他要求货物制造标准、安装标准及技术规范等，须符合最新国家标准，无国家标准的应符合行业标准或企业标准， 并满足招标文件要求。 </w:t>
      </w:r>
      <w:r>
        <w:rPr>
          <w:rFonts w:ascii="宋体" w:hAnsi="宋体" w:cs="宋体"/>
          <w:sz w:val="24"/>
        </w:rPr>
      </w:r>
      <w:r/>
    </w:p>
    <w:p>
      <w:pPr>
        <w:pStyle w:val="768"/>
        <w:ind w:firstLine="480"/>
        <w:spacing w:line="360" w:lineRule="auto"/>
        <w:rPr>
          <w:rFonts w:ascii="宋体" w:hAnsi="宋体" w:cs="宋体"/>
          <w:sz w:val="24"/>
        </w:rPr>
        <w:outlineLvl w:val="0"/>
      </w:pPr>
      <w:r>
        <w:rPr>
          <w:rFonts w:hint="eastAsia" w:ascii="宋体" w:hAnsi="宋体" w:cs="宋体"/>
          <w:sz w:val="24"/>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供应商索赔。</w:t>
      </w:r>
      <w:r>
        <w:rPr>
          <w:rFonts w:ascii="宋体" w:hAnsi="宋体" w:cs="宋体"/>
          <w:sz w:val="24"/>
        </w:rPr>
      </w:r>
      <w:r/>
    </w:p>
    <w:p>
      <w:pPr>
        <w:pStyle w:val="768"/>
        <w:ind w:firstLine="482"/>
        <w:spacing w:line="360" w:lineRule="auto"/>
        <w:rPr>
          <w:rFonts w:ascii="宋体" w:hAnsi="宋体" w:cs="宋体"/>
          <w:b/>
          <w:sz w:val="24"/>
        </w:rPr>
        <w:outlineLvl w:val="0"/>
      </w:pPr>
      <w:r>
        <w:rPr>
          <w:rFonts w:hint="eastAsia" w:ascii="宋体" w:hAnsi="宋体" w:cs="宋体"/>
          <w:b/>
          <w:bCs/>
          <w:sz w:val="24"/>
        </w:rPr>
        <w:t xml:space="preserve">七、</w:t>
      </w:r>
      <w:r>
        <w:rPr>
          <w:rFonts w:hint="eastAsia" w:cs="Courier New"/>
          <w:b/>
          <w:sz w:val="24"/>
          <w:szCs w:val="24"/>
        </w:rPr>
        <w:t xml:space="preserve">验收标准及要求</w:t>
      </w:r>
      <w:r>
        <w:rPr>
          <w:rFonts w:ascii="宋体" w:hAnsi="宋体" w:cs="宋体"/>
          <w:b/>
          <w:sz w:val="24"/>
        </w:rPr>
      </w:r>
      <w:r/>
    </w:p>
    <w:p>
      <w:pPr>
        <w:pStyle w:val="768"/>
        <w:ind w:firstLine="480"/>
        <w:spacing w:line="360" w:lineRule="auto"/>
        <w:rPr>
          <w:rFonts w:ascii="宋体" w:hAnsi="宋体" w:cs="宋体"/>
          <w:sz w:val="24"/>
        </w:rPr>
        <w:outlineLvl w:val="0"/>
      </w:pPr>
      <w:r>
        <w:rPr>
          <w:rFonts w:hint="eastAsia" w:ascii="宋体" w:hAnsi="宋体" w:cs="宋体"/>
          <w:sz w:val="24"/>
        </w:rPr>
        <w:t xml:space="preserve">所提供项目质量必须符合国家相关标准且必须满足本次采购的要求，如有不合格，造成的损失和后果由该供应商负全责。符合项目验收标准后，采购人根据技术要求，组织验收并出具验收书。</w:t>
      </w:r>
      <w:r>
        <w:rPr>
          <w:rFonts w:ascii="宋体" w:hAnsi="宋体" w:cs="宋体"/>
          <w:sz w:val="24"/>
        </w:rPr>
      </w:r>
      <w:r/>
    </w:p>
    <w:p>
      <w:pPr>
        <w:pStyle w:val="768"/>
        <w:ind w:firstLine="480"/>
        <w:spacing w:line="360" w:lineRule="auto"/>
        <w:rPr>
          <w:rFonts w:hint="eastAsia" w:ascii="宋体" w:hAnsi="宋体" w:cs="宋体"/>
          <w:sz w:val="24"/>
          <w:lang w:val="en-US" w:eastAsia="zh"/>
        </w:rPr>
        <w:outlineLvl w:val="0"/>
      </w:pPr>
      <w:r>
        <w:rPr>
          <w:rFonts w:hint="eastAsia" w:ascii="宋体" w:hAnsi="宋体" w:cs="宋体"/>
          <w:sz w:val="24"/>
        </w:rPr>
        <w:t xml:space="preserve">1.</w:t>
      </w:r>
      <w:r>
        <w:rPr>
          <w:rFonts w:hint="eastAsia" w:ascii="宋体" w:hAnsi="宋体" w:cs="宋体"/>
          <w:sz w:val="24"/>
          <w:lang w:val="en-US" w:eastAsia="zh"/>
        </w:rPr>
        <w:t xml:space="preserve">验收时间：设备安装调试经采购人试用并达到验收标准后，采购人根据合同约定组织验收。</w:t>
      </w:r>
      <w:r>
        <w:rPr>
          <w:rFonts w:hint="eastAsia" w:ascii="宋体" w:hAnsi="宋体" w:cs="宋体"/>
          <w:sz w:val="24"/>
          <w:lang w:val="en-US" w:eastAsia="zh"/>
        </w:rPr>
      </w:r>
      <w:r/>
    </w:p>
    <w:p>
      <w:pPr>
        <w:pStyle w:val="768"/>
        <w:ind w:firstLine="480"/>
        <w:spacing w:line="360" w:lineRule="auto"/>
        <w:rPr>
          <w:rFonts w:ascii="宋体" w:hAnsi="宋体" w:cs="宋体"/>
          <w:sz w:val="24"/>
        </w:rPr>
        <w:outlineLvl w:val="0"/>
      </w:pPr>
      <w:r>
        <w:rPr>
          <w:rFonts w:hint="eastAsia" w:ascii="宋体" w:hAnsi="宋体" w:cs="宋体"/>
          <w:sz w:val="24"/>
          <w:lang w:val="en-US" w:eastAsia="zh-CN"/>
        </w:rPr>
        <w:t xml:space="preserve">3.</w:t>
      </w:r>
      <w:r>
        <w:rPr>
          <w:rFonts w:hint="eastAsia" w:ascii="宋体" w:hAnsi="宋体" w:cs="宋体"/>
          <w:sz w:val="24"/>
          <w:lang w:val="en-US" w:eastAsia="zh"/>
        </w:rPr>
        <w:t xml:space="preserve">验收内容：包括设备品牌、型号、规格、数量是否符合合同规定，外观质量、产品包装是否完好、安装调试是否合格，所提供设备装箱清单、操作说明、维修手册等是否齐全。</w:t>
      </w:r>
      <w:r>
        <w:rPr>
          <w:rFonts w:ascii="宋体" w:hAnsi="宋体" w:cs="宋体"/>
          <w:sz w:val="24"/>
        </w:rPr>
      </w:r>
      <w:r/>
    </w:p>
    <w:p>
      <w:pPr>
        <w:pStyle w:val="768"/>
        <w:ind w:firstLine="480"/>
        <w:spacing w:line="360" w:lineRule="auto"/>
        <w:rPr>
          <w:rFonts w:ascii="宋体" w:hAnsi="宋体" w:cs="宋体"/>
          <w:sz w:val="24"/>
        </w:rPr>
        <w:outlineLvl w:val="0"/>
      </w:pPr>
      <w:r>
        <w:rPr>
          <w:rFonts w:hint="eastAsia" w:ascii="宋体" w:hAnsi="宋体" w:cs="宋体"/>
          <w:sz w:val="24"/>
          <w:lang w:val="en-US" w:eastAsia="zh-CN"/>
        </w:rPr>
        <w:t xml:space="preserve">3</w:t>
      </w:r>
      <w:r>
        <w:rPr>
          <w:rFonts w:hint="eastAsia" w:ascii="宋体" w:hAnsi="宋体" w:cs="宋体"/>
          <w:sz w:val="24"/>
        </w:rPr>
        <w:t xml:space="preserve">.验收标准</w:t>
      </w:r>
      <w:r>
        <w:rPr>
          <w:rFonts w:ascii="宋体" w:hAnsi="宋体" w:cs="宋体"/>
          <w:sz w:val="24"/>
        </w:rPr>
      </w:r>
      <w:r/>
    </w:p>
    <w:p>
      <w:pPr>
        <w:pStyle w:val="768"/>
        <w:ind w:firstLine="480"/>
        <w:spacing w:line="360" w:lineRule="auto"/>
        <w:rPr>
          <w:rFonts w:ascii="宋体" w:hAnsi="宋体" w:cs="宋体"/>
          <w:sz w:val="24"/>
        </w:rPr>
        <w:outlineLvl w:val="0"/>
      </w:pPr>
      <w:r>
        <w:rPr>
          <w:rFonts w:hint="eastAsia" w:ascii="宋体" w:hAnsi="宋体" w:cs="宋体"/>
          <w:sz w:val="24"/>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rPr>
          <w:rFonts w:ascii="宋体" w:hAnsi="宋体" w:cs="宋体"/>
          <w:sz w:val="24"/>
        </w:rPr>
      </w:r>
      <w:r/>
    </w:p>
    <w:p>
      <w:pPr>
        <w:pStyle w:val="768"/>
        <w:numPr>
          <w:ilvl w:val="0"/>
          <w:numId w:val="0"/>
        </w:numPr>
        <w:ind w:firstLine="480"/>
        <w:spacing w:line="360" w:lineRule="auto"/>
        <w:rPr>
          <w:rFonts w:ascii="宋体" w:hAnsi="宋体" w:cs="宋体"/>
          <w:sz w:val="24"/>
        </w:rPr>
        <w:outlineLvl w:val="0"/>
      </w:pPr>
      <w:r>
        <w:rPr>
          <w:rFonts w:hint="eastAsia" w:ascii="宋体" w:hAnsi="宋体" w:cs="宋体"/>
          <w:sz w:val="24"/>
          <w:lang w:val="en-US" w:eastAsia="zh-CN"/>
        </w:rPr>
        <w:t xml:space="preserve">4.</w:t>
      </w:r>
      <w:r>
        <w:rPr>
          <w:rFonts w:hint="eastAsia" w:ascii="宋体" w:hAnsi="宋体" w:cs="宋体"/>
          <w:sz w:val="24"/>
        </w:rPr>
        <w:t xml:space="preserve">不能通过验收的，将按照退货处理，供应商应在采购人限定时间内予以更换符合要求的货物。</w:t>
      </w:r>
      <w:r>
        <w:rPr>
          <w:rFonts w:ascii="宋体" w:hAnsi="宋体" w:cs="宋体"/>
          <w:sz w:val="24"/>
        </w:rPr>
      </w:r>
      <w:r/>
    </w:p>
    <w:p>
      <w:pPr>
        <w:pStyle w:val="768"/>
        <w:ind w:firstLine="482"/>
        <w:spacing w:line="360" w:lineRule="auto"/>
        <w:rPr>
          <w:rFonts w:ascii="宋体" w:hAnsi="宋体" w:cs="宋体"/>
          <w:sz w:val="24"/>
        </w:rPr>
        <w:outlineLvl w:val="0"/>
      </w:pPr>
      <w:r>
        <w:rPr>
          <w:rFonts w:hint="eastAsia" w:ascii="宋体" w:hAnsi="宋体" w:cs="宋体"/>
          <w:b/>
          <w:bCs/>
          <w:sz w:val="24"/>
        </w:rPr>
        <w:t xml:space="preserve">八、商品包装环保要求</w:t>
      </w:r>
      <w:r>
        <w:rPr>
          <w:rFonts w:ascii="宋体" w:hAnsi="宋体" w:cs="宋体"/>
          <w:sz w:val="24"/>
        </w:rPr>
      </w:r>
      <w:r/>
    </w:p>
    <w:p>
      <w:pPr>
        <w:pStyle w:val="1213"/>
        <w:ind w:firstLine="480"/>
        <w:jc w:val="left"/>
        <w:spacing w:line="360" w:lineRule="auto"/>
        <w:rPr>
          <w:rFonts w:ascii="宋体" w:hAnsi="宋体" w:cs="宋体"/>
          <w:sz w:val="24"/>
        </w:rPr>
      </w:pPr>
      <w:r>
        <w:rPr>
          <w:rFonts w:hint="eastAsia" w:ascii="宋体" w:hAnsi="宋体" w:cs="宋体"/>
          <w:sz w:val="24"/>
        </w:rPr>
        <w:t xml:space="preserve">投标人所投产品需进行商品包装和快递包装的，应不低于《关于印发〈商品包装政府采购需求标准（试行）〉、〈快递包装政府采购需求标准（试行）〉的通知》（财办库〔2020〕123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号）文件规定的参考标准。在履约验收时按照本条款执行，违反本约定的对照合同违约条款追究违约责任。投标人一旦参与本项目投标，即完全响应本条款要求。</w:t>
      </w:r>
      <w:r>
        <w:rPr>
          <w:rFonts w:ascii="宋体" w:hAnsi="宋体" w:cs="宋体"/>
          <w:sz w:val="24"/>
        </w:rPr>
      </w:r>
      <w:r/>
    </w:p>
    <w:p>
      <w:pPr>
        <w:pStyle w:val="768"/>
        <w:ind w:firstLine="482"/>
        <w:spacing w:line="360" w:lineRule="auto"/>
        <w:rPr>
          <w:rFonts w:ascii="宋体" w:hAnsi="宋体" w:eastAsia="宋体" w:cs="宋体"/>
          <w:b/>
          <w:bCs/>
          <w:sz w:val="24"/>
        </w:rPr>
        <w:outlineLvl w:val="0"/>
      </w:pPr>
      <w:r>
        <w:rPr>
          <w:rFonts w:hint="eastAsia" w:ascii="宋体" w:hAnsi="宋体" w:eastAsia="宋体" w:cs="宋体"/>
          <w:b/>
          <w:bCs/>
          <w:sz w:val="24"/>
        </w:rPr>
        <w:t xml:space="preserve">九、快递包装环保要求</w:t>
      </w:r>
      <w:r>
        <w:rPr>
          <w:rFonts w:ascii="宋体" w:hAnsi="宋体" w:eastAsia="宋体" w:cs="宋体"/>
          <w:b/>
          <w:bCs/>
          <w:sz w:val="24"/>
        </w:rPr>
      </w:r>
      <w:r/>
    </w:p>
    <w:p>
      <w:pPr>
        <w:pStyle w:val="1213"/>
        <w:ind w:firstLine="480"/>
        <w:jc w:val="left"/>
        <w:spacing w:line="360" w:lineRule="auto"/>
        <w:rPr>
          <w:rFonts w:ascii="宋体" w:hAnsi="宋体" w:cs="宋体"/>
          <w:sz w:val="24"/>
        </w:rPr>
      </w:pPr>
      <w:r>
        <w:rPr>
          <w:rFonts w:hint="eastAsia" w:ascii="宋体" w:hAnsi="宋体" w:eastAsia="宋体" w:cs="宋体"/>
          <w:sz w:val="24"/>
        </w:rPr>
        <w:t xml:space="preserve">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ascii="宋体" w:hAnsi="宋体" w:cs="宋体"/>
          <w:sz w:val="24"/>
        </w:rPr>
      </w:r>
      <w:r/>
    </w:p>
    <w:p>
      <w:pPr>
        <w:pStyle w:val="1213"/>
        <w:ind w:firstLine="482"/>
        <w:jc w:val="left"/>
        <w:spacing w:line="360" w:lineRule="auto"/>
        <w:rPr>
          <w:rFonts w:ascii="宋体" w:hAnsi="宋体" w:cs="宋体"/>
          <w:b/>
          <w:bCs/>
          <w:sz w:val="24"/>
        </w:rPr>
      </w:pPr>
      <w:r>
        <w:rPr>
          <w:rFonts w:hint="eastAsia" w:ascii="宋体" w:hAnsi="宋体" w:cs="宋体"/>
          <w:b/>
          <w:bCs/>
          <w:sz w:val="24"/>
        </w:rPr>
        <w:t xml:space="preserve">十、其他要求</w:t>
      </w:r>
      <w:r>
        <w:rPr>
          <w:rFonts w:ascii="宋体" w:hAnsi="宋体" w:cs="宋体"/>
          <w:b/>
          <w:bCs/>
          <w:sz w:val="24"/>
        </w:rPr>
      </w:r>
      <w:r/>
    </w:p>
    <w:p>
      <w:pPr>
        <w:pStyle w:val="908"/>
        <w:ind w:firstLine="480"/>
        <w:spacing w:line="480" w:lineRule="exact"/>
        <w:rPr>
          <w:rFonts w:ascii="宋体" w:hAnsi="宋体" w:cs="宋体"/>
          <w:sz w:val="24"/>
        </w:rPr>
      </w:pPr>
      <w:r>
        <w:rPr>
          <w:rFonts w:hint="eastAsia" w:ascii="宋体" w:hAnsi="宋体" w:cs="宋体"/>
          <w:sz w:val="24"/>
        </w:rPr>
        <w:t xml:space="preserve">1.本项目不接受备选的投标方案或有选择的报价，只允许有一个投标报价。投标报价内容包括：货款、标准附件、备品备件、专用工具、包装、运输、装卸、保险、税金、货到就位以及安装、调试、培训、保修等完成本项目所涉及到的一切相关费用。</w:t>
      </w:r>
      <w:r>
        <w:rPr>
          <w:rFonts w:ascii="宋体" w:hAnsi="宋体" w:cs="宋体"/>
          <w:sz w:val="24"/>
        </w:rPr>
      </w:r>
      <w:r/>
    </w:p>
    <w:p>
      <w:pPr>
        <w:pStyle w:val="908"/>
        <w:ind w:firstLine="480"/>
        <w:spacing w:line="480" w:lineRule="exact"/>
        <w:rPr>
          <w:rFonts w:ascii="宋体" w:hAnsi="宋体" w:cs="宋体"/>
          <w:bCs/>
          <w:sz w:val="24"/>
          <w:szCs w:val="24"/>
        </w:rPr>
      </w:pPr>
      <w:r>
        <w:rPr>
          <w:rFonts w:hint="eastAsia" w:ascii="宋体" w:hAnsi="宋体" w:cs="宋体"/>
          <w:sz w:val="24"/>
        </w:rPr>
        <w:t xml:space="preserve">2.供应商报价时应充分考虑所有可能影响到报价的因素，一旦最终中标，总价将包定。不予调整。如发生漏、缺、少项，都将被认为是中标人的报价让利行为，损失自负。</w:t>
      </w:r>
      <w:r>
        <w:rPr>
          <w:rFonts w:ascii="宋体" w:hAnsi="宋体" w:cs="宋体"/>
          <w:bCs/>
          <w:sz w:val="24"/>
          <w:szCs w:val="24"/>
        </w:rPr>
      </w:r>
      <w:r/>
    </w:p>
    <w:p>
      <w:pPr>
        <w:pStyle w:val="768"/>
      </w:pPr>
      <w:r/>
      <w:r/>
    </w:p>
    <w:p>
      <w:pPr>
        <w:pStyle w:val="908"/>
        <w:ind w:firstLine="480"/>
        <w:spacing w:line="480" w:lineRule="exact"/>
        <w:rPr>
          <w:rFonts w:ascii="宋体" w:hAnsi="宋体" w:cs="宋体"/>
          <w:bCs/>
          <w:sz w:val="24"/>
          <w:szCs w:val="24"/>
        </w:rPr>
      </w:pPr>
      <w:r>
        <w:rPr>
          <w:rFonts w:ascii="宋体" w:hAnsi="宋体" w:cs="宋体"/>
          <w:bCs/>
          <w:sz w:val="24"/>
          <w:szCs w:val="24"/>
        </w:rPr>
      </w:r>
      <w:r/>
    </w:p>
    <w:p>
      <w:pPr>
        <w:pStyle w:val="768"/>
        <w:spacing w:line="480" w:lineRule="exact"/>
        <w:rPr>
          <w:rFonts w:hint="eastAsia" w:ascii="宋体" w:hAnsi="宋体" w:cs="宋体"/>
          <w:sz w:val="24"/>
          <w:szCs w:val="24"/>
        </w:rPr>
      </w:pPr>
      <w:r>
        <w:rPr>
          <w:rFonts w:hint="eastAsia" w:ascii="宋体" w:hAnsi="宋体" w:cs="宋体"/>
          <w:sz w:val="24"/>
          <w:szCs w:val="24"/>
        </w:rPr>
      </w:r>
      <w:r/>
    </w:p>
    <w:p>
      <w:pPr>
        <w:pStyle w:val="768"/>
        <w:rPr>
          <w:highlight w:val="none"/>
        </w:rPr>
      </w:pPr>
      <w:r>
        <w:rPr>
          <w:highlight w:val="none"/>
        </w:rPr>
      </w:r>
      <w:r/>
    </w:p>
    <w:p>
      <w:pPr>
        <w:pStyle w:val="1225"/>
        <w:ind w:firstLine="480"/>
        <w:jc w:val="both"/>
        <w:spacing w:before="0" w:beforeAutospacing="0" w:after="0" w:afterAutospacing="0" w:line="4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ind w:firstLine="480"/>
        <w:jc w:val="both"/>
        <w:spacing w:before="0" w:beforeAutospacing="0" w:after="0" w:afterAutospacing="0" w:line="4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ind w:firstLine="480"/>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ind w:firstLine="480"/>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769"/>
        <w:jc w:val="center"/>
        <w:spacing w:before="200"/>
        <w:rPr>
          <w:rFonts w:hint="eastAsia" w:ascii="Calibri" w:hAnsi="Calibri" w:eastAsia="宋体"/>
          <w:b/>
          <w:sz w:val="44"/>
          <w:szCs w:val="44"/>
          <w:highlight w:val="none"/>
        </w:rPr>
      </w:pPr>
      <w:r/>
      <w:bookmarkStart w:id="122" w:name="_Toc31499"/>
      <w:r/>
      <w:bookmarkStart w:id="123" w:name="_Toc22098"/>
      <w:r/>
      <w:bookmarkStart w:id="124" w:name="_Toc2513"/>
      <w:r/>
      <w:bookmarkStart w:id="125" w:name="_Toc81575169"/>
      <w:r/>
      <w:bookmarkStart w:id="126" w:name="_Toc81575206"/>
      <w:r>
        <w:rPr>
          <w:rFonts w:hint="eastAsia" w:ascii="Calibri" w:hAnsi="Calibri" w:eastAsia="宋体"/>
          <w:b/>
          <w:sz w:val="44"/>
          <w:szCs w:val="44"/>
          <w:highlight w:val="none"/>
        </w:rPr>
        <w:br w:type="page" w:clear="all"/>
      </w:r>
      <w:r>
        <w:rPr>
          <w:rFonts w:hint="eastAsia" w:ascii="Calibri" w:hAnsi="Calibri" w:eastAsia="宋体"/>
          <w:b/>
          <w:sz w:val="44"/>
          <w:szCs w:val="44"/>
          <w:highlight w:val="none"/>
        </w:rPr>
        <w:t xml:space="preserve">第五章</w:t>
      </w:r>
      <w:r>
        <w:rPr>
          <w:rFonts w:ascii="Calibri" w:hAnsi="Calibri" w:eastAsia="宋体"/>
          <w:b/>
          <w:sz w:val="44"/>
          <w:szCs w:val="44"/>
          <w:highlight w:val="none"/>
        </w:rPr>
        <w:t xml:space="preserve">  </w:t>
      </w:r>
      <w:r>
        <w:rPr>
          <w:rFonts w:hint="eastAsia" w:ascii="Calibri" w:hAnsi="Calibri" w:eastAsia="宋体"/>
          <w:b/>
          <w:sz w:val="44"/>
          <w:szCs w:val="44"/>
          <w:highlight w:val="none"/>
        </w:rPr>
        <w:t xml:space="preserve">合同文本</w:t>
      </w:r>
      <w:bookmarkEnd w:id="122"/>
      <w:r/>
      <w:bookmarkEnd w:id="123"/>
      <w:r/>
      <w:bookmarkEnd w:id="124"/>
      <w:r/>
      <w:bookmarkEnd w:id="125"/>
      <w:r/>
      <w:bookmarkEnd w:id="126"/>
      <w:r/>
      <w:bookmarkStart w:id="127" w:name="_Toc513029243"/>
      <w:r/>
      <w:bookmarkStart w:id="128" w:name="_Toc20823315"/>
      <w:r/>
      <w:bookmarkStart w:id="129" w:name="_Toc16938559"/>
      <w:r>
        <w:rPr>
          <w:rFonts w:hint="eastAsia" w:ascii="Calibri" w:hAnsi="Calibri" w:eastAsia="宋体"/>
          <w:b/>
          <w:sz w:val="44"/>
          <w:szCs w:val="44"/>
          <w:highlight w:val="none"/>
        </w:rPr>
      </w:r>
      <w:r/>
    </w:p>
    <w:p>
      <w:pPr>
        <w:pStyle w:val="805"/>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805"/>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805"/>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rPr>
          <w:rFonts w:ascii="宋体" w:hAnsi="宋体" w:eastAsia="宋体" w:cs="宋体"/>
          <w:b/>
          <w:bCs/>
          <w:color w:val="000000"/>
          <w:spacing w:val="-20"/>
          <w:sz w:val="32"/>
          <w:szCs w:val="32"/>
          <w:highlight w:val="none"/>
        </w:rPr>
      </w:r>
      <w:r/>
    </w:p>
    <w:p>
      <w:pPr>
        <w:pStyle w:val="805"/>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ascii="宋体" w:hAnsi="宋体" w:eastAsia="宋体" w:cs="宋体"/>
          <w:b/>
          <w:bCs/>
          <w:color w:val="000000"/>
          <w:spacing w:val="-20"/>
          <w:sz w:val="32"/>
          <w:szCs w:val="32"/>
          <w:highlight w:val="none"/>
        </w:rPr>
      </w:r>
      <w:r/>
    </w:p>
    <w:p>
      <w:pPr>
        <w:pStyle w:val="76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8"/>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rPr>
          <w:color w:val="000000"/>
          <w:sz w:val="28"/>
          <w:szCs w:val="28"/>
          <w:highlight w:val="none"/>
        </w:rPr>
      </w:r>
      <w:r/>
    </w:p>
    <w:p>
      <w:pPr>
        <w:pStyle w:val="768"/>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color w:val="000000"/>
          <w:sz w:val="28"/>
          <w:szCs w:val="28"/>
          <w:highlight w:val="none"/>
          <w:u w:val="single"/>
        </w:rPr>
      </w:r>
      <w:r/>
    </w:p>
    <w:p>
      <w:pPr>
        <w:pStyle w:val="768"/>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color w:val="000000"/>
          <w:sz w:val="28"/>
          <w:szCs w:val="28"/>
          <w:highlight w:val="none"/>
        </w:rPr>
      </w:r>
      <w:r/>
    </w:p>
    <w:p>
      <w:pPr>
        <w:pStyle w:val="768"/>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768"/>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768"/>
        <w:rPr>
          <w:color w:val="000000"/>
          <w:highlight w:val="none"/>
        </w:rPr>
      </w:pPr>
      <w:r>
        <w:rPr>
          <w:color w:val="000000"/>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rPr>
          <w:rFonts w:ascii="宋体" w:hAnsi="宋体"/>
          <w:color w:val="000000"/>
          <w:sz w:val="32"/>
          <w:szCs w:val="32"/>
          <w:highlight w:val="none"/>
        </w:rPr>
      </w:r>
      <w:r/>
    </w:p>
    <w:p>
      <w:pPr>
        <w:pStyle w:val="768"/>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pStyle w:val="768"/>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rPr>
          <w:rFonts w:ascii="宋体" w:hAnsi="宋体" w:cs="仿宋_GB2312"/>
          <w:color w:val="000000"/>
          <w:sz w:val="28"/>
          <w:szCs w:val="28"/>
          <w:highlight w:val="none"/>
        </w:rPr>
      </w:r>
      <w:r/>
    </w:p>
    <w:p>
      <w:pPr>
        <w:pStyle w:val="768"/>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rPr>
          <w:rFonts w:ascii="宋体" w:hAnsi="宋体"/>
          <w:color w:val="000000"/>
          <w:sz w:val="28"/>
          <w:szCs w:val="28"/>
          <w:highlight w:val="none"/>
        </w:rPr>
      </w:r>
      <w:r/>
    </w:p>
    <w:p>
      <w:pPr>
        <w:pStyle w:val="768"/>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highlight w:val="none"/>
        </w:rPr>
      </w:r>
      <w:r/>
    </w:p>
    <w:p>
      <w:pPr>
        <w:pStyle w:val="768"/>
        <w:ind w:firstLine="880"/>
        <w:rPr>
          <w:rFonts w:eastAsia="黑体"/>
          <w:color w:val="000000"/>
          <w:sz w:val="44"/>
          <w:szCs w:val="44"/>
          <w:highlight w:val="none"/>
        </w:rPr>
        <w:sectPr>
          <w:footerReference w:type="default" r:id="rId13"/>
          <w:footnotePr/>
          <w:endnotePr/>
          <w:type w:val="continuous"/>
          <w:pgSz w:w="11906" w:h="16838" w:orient="portrait"/>
          <w:pgMar w:top="1440" w:right="1797" w:bottom="1440" w:left="1797" w:header="851" w:footer="992" w:gutter="0"/>
          <w:cols w:num="1" w:sep="0" w:space="1701" w:equalWidth="1"/>
          <w:docGrid w:linePitch="360"/>
        </w:sectPr>
      </w:pPr>
      <w:r>
        <w:rPr>
          <w:rFonts w:eastAsia="黑体"/>
          <w:color w:val="000000"/>
          <w:sz w:val="44"/>
          <w:szCs w:val="44"/>
          <w:highlight w:val="none"/>
        </w:rPr>
        <w:br w:type="page" w:clear="all"/>
      </w:r>
      <w:r/>
    </w:p>
    <w:p>
      <w:pPr>
        <w:pStyle w:val="770"/>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r>
      <w:r/>
    </w:p>
    <w:p>
      <w:pPr>
        <w:pStyle w:val="770"/>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w:t>
      </w:r>
      <w:r>
        <w:rPr>
          <w:rFonts w:ascii="宋体" w:hAnsi="宋体"/>
          <w:color w:val="000000"/>
          <w:szCs w:val="21"/>
          <w:highlight w:val="none"/>
        </w:rPr>
      </w:r>
      <w:r/>
    </w:p>
    <w:p>
      <w:pPr>
        <w:pStyle w:val="76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乙方（全称）：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rFonts w:hint="eastAsia" w:ascii="宋体" w:hAnsi="宋体"/>
          <w:color w:val="000000"/>
          <w:szCs w:val="21"/>
          <w:highlight w:val="none"/>
        </w:rPr>
      </w:r>
      <w:r/>
    </w:p>
    <w:p>
      <w:pPr>
        <w:pStyle w:val="768"/>
        <w:ind w:firstLine="420"/>
        <w:keepLines w:val="0"/>
        <w:keepNext w:val="0"/>
        <w:pageBreakBefore w:val="0"/>
        <w:spacing w:line="400" w:lineRule="exact"/>
        <w:widowControl w:val="off"/>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u w:val="single"/>
        </w:rPr>
      </w:pPr>
      <w:r>
        <w:rPr>
          <w:rFonts w:hint="eastAsia" w:ascii="宋体" w:hAnsi="宋体" w:eastAsia="宋体" w:cs="Times New Roman"/>
          <w:color w:val="000000"/>
          <w:sz w:val="21"/>
          <w:szCs w:val="21"/>
          <w:highlight w:val="none"/>
          <w:lang w:val="en-US" w:eastAsia="zh-CN" w:bidi="ar-SA"/>
        </w:rPr>
        <w:t xml:space="preserve">（1）采购项目名称：</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806"/>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eastAsia="宋体" w:cs="Times New Roman"/>
          <w:color w:val="000000"/>
          <w:sz w:val="21"/>
          <w:szCs w:val="21"/>
          <w:highlight w:val="none"/>
          <w:lang w:val="en-US" w:eastAsia="zh-CN" w:bidi="ar-SA"/>
        </w:rPr>
        <w:t xml:space="preserve">采购项目编号：</w:t>
      </w:r>
      <w:r>
        <w:rPr>
          <w:rFonts w:ascii="宋体" w:hAnsi="宋体"/>
          <w:color w:val="000000"/>
          <w:szCs w:val="21"/>
          <w:highlight w:val="none"/>
          <w:u w:val="single"/>
        </w:rPr>
        <w:t xml:space="preserve">                                          </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eastAsia="宋体" w:cs="Times New Roman"/>
          <w:color w:val="000000"/>
          <w:sz w:val="21"/>
          <w:szCs w:val="21"/>
          <w:highlight w:val="none"/>
          <w:lang w:val="en-US" w:eastAsia="zh-CN" w:bidi="ar-SA"/>
        </w:rPr>
        <w:t xml:space="preserve">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68"/>
        <w:ind w:firstLine="420"/>
        <w:spacing w:line="400" w:lineRule="exact"/>
        <w:rPr>
          <w:rFonts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ascii="宋体" w:hAnsi="宋体" w:cs="宋体"/>
          <w:color w:val="000000"/>
          <w:szCs w:val="21"/>
          <w:highlight w:val="none"/>
          <w:lang w:val="en"/>
        </w:rPr>
      </w:r>
      <w:r/>
    </w:p>
    <w:p>
      <w:pPr>
        <w:pStyle w:val="768"/>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rFonts w:ascii="宋体" w:hAnsi="宋体"/>
          <w:color w:val="000000"/>
          <w:szCs w:val="21"/>
          <w:highlight w:val="none"/>
          <w:u w:val="single"/>
        </w:rPr>
      </w:r>
      <w:r/>
    </w:p>
    <w:p>
      <w:pPr>
        <w:pStyle w:val="768"/>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rPr>
          <w:rFonts w:ascii="宋体" w:hAnsi="宋体" w:cs="宋体"/>
          <w:color w:val="000000"/>
          <w:szCs w:val="21"/>
          <w:highlight w:val="none"/>
        </w:rPr>
      </w:r>
      <w:r/>
    </w:p>
    <w:p>
      <w:pPr>
        <w:pStyle w:val="768"/>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 w:eastAsia="zh-CN" w:bidi="ar-SA"/>
        </w:rPr>
        <w:t xml:space="preserve">4</w:t>
      </w:r>
      <w:r>
        <w:rPr>
          <w:rFonts w:hint="eastAsia" w:ascii="宋体" w:hAnsi="宋体" w:eastAsia="宋体" w:cs="Times New Roman"/>
          <w:color w:val="000000"/>
          <w:sz w:val="21"/>
          <w:szCs w:val="21"/>
          <w:highlight w:val="none"/>
          <w:lang w:val="en-US" w:eastAsia="zh-CN" w:bidi="ar-SA"/>
        </w:rPr>
        <w:t xml:space="preserve">）政</w:t>
      </w:r>
      <w:r>
        <w:rPr>
          <w:rFonts w:hint="eastAsia" w:ascii="宋体" w:hAnsi="宋体" w:eastAsia="宋体" w:cs="宋体"/>
          <w:color w:val="000000"/>
          <w:sz w:val="21"/>
          <w:highlight w:val="none"/>
        </w:rPr>
        <w:t xml:space="preserve">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u w:val="singl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1228"/>
        <w:ind w:firstLine="220"/>
        <w:rPr>
          <w:rFonts w:ascii="宋体" w:hAnsi="宋体" w:eastAsia="宋体" w:cs="Times New Roman"/>
          <w:color w:val="000000"/>
          <w:sz w:val="21"/>
          <w:highlight w:val="none"/>
        </w:rPr>
      </w:pPr>
      <w:r>
        <w:rPr>
          <w:rFonts w:hint="eastAsia" w:ascii="宋体" w:hAnsi="宋体" w:eastAsia="宋体" w:cs="Times New Roman"/>
          <w:color w:val="000000"/>
          <w:sz w:val="21"/>
          <w:szCs w:val="21"/>
          <w:highlight w:val="none"/>
          <w:lang w:val="en-US" w:eastAsia="zh-CN" w:bidi="ar-SA"/>
        </w:rPr>
        <w:t xml:space="preserve"> （</w:t>
      </w:r>
      <w:r>
        <w:rPr>
          <w:rFonts w:hint="eastAsia" w:ascii="宋体" w:hAnsi="宋体" w:eastAsia="宋体" w:cs="Times New Roman"/>
          <w:color w:val="000000"/>
          <w:sz w:val="21"/>
          <w:szCs w:val="21"/>
          <w:highlight w:val="none"/>
          <w:lang w:val="en" w:eastAsia="zh-CN" w:bidi="ar-SA"/>
        </w:rPr>
        <w:t xml:space="preserve">6</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eastAsia="宋体" w:cs="Times New Roman"/>
          <w:color w:val="000000"/>
          <w:sz w:val="21"/>
          <w:highlight w:val="none"/>
        </w:rPr>
      </w:r>
      <w:r/>
    </w:p>
    <w:p>
      <w:pPr>
        <w:pStyle w:val="768"/>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68"/>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68"/>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68"/>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color w:val="000000"/>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rFonts w:ascii="宋体" w:hAnsi="宋体"/>
          <w:color w:val="000000"/>
          <w:szCs w:val="21"/>
          <w:highlight w:val="none"/>
        </w:rPr>
      </w:r>
      <w:r/>
    </w:p>
    <w:p>
      <w:pPr>
        <w:pStyle w:val="768"/>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rFonts w:ascii="宋体" w:hAnsi="宋体"/>
          <w:iCs/>
          <w:color w:val="000000"/>
          <w:szCs w:val="21"/>
          <w:highlight w:val="none"/>
        </w:rPr>
      </w:r>
      <w:r/>
    </w:p>
    <w:p>
      <w:pPr>
        <w:pStyle w:val="768"/>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eastAsia="华文楷体"/>
          <w:color w:val="000000"/>
          <w:highlight w:val="none"/>
        </w:rPr>
      </w:r>
      <w:r/>
    </w:p>
    <w:p>
      <w:pPr>
        <w:pStyle w:val="768"/>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1228"/>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ascii="宋体" w:hAnsi="宋体" w:eastAsia="宋体" w:cs="宋体"/>
          <w:color w:val="000000"/>
          <w:sz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rFonts w:ascii="宋体" w:hAnsi="宋体" w:cs="宋体"/>
          <w:color w:val="000000"/>
          <w:szCs w:val="21"/>
          <w:highlight w:val="none"/>
        </w:rPr>
      </w:r>
      <w:r/>
    </w:p>
    <w:p>
      <w:pPr>
        <w:pStyle w:val="768"/>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rPr>
          <w:rFonts w:ascii="宋体" w:hAnsi="宋体"/>
          <w:color w:val="000000"/>
          <w:szCs w:val="21"/>
          <w:highlight w:val="non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iCs/>
          <w:color w:val="000000"/>
          <w:szCs w:val="21"/>
          <w:highlight w:val="non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rPr>
          <w:rFonts w:ascii="宋体" w:hAnsi="宋体"/>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color w:val="000000"/>
          <w:szCs w:val="21"/>
          <w:highlight w:val="non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1228"/>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ascii="宋体" w:hAnsi="宋体" w:eastAsia="宋体" w:cs="Times New Roman"/>
          <w:color w:val="000000"/>
          <w:sz w:val="21"/>
          <w:highlight w:val="none"/>
        </w:rPr>
      </w:r>
      <w:r/>
    </w:p>
    <w:p>
      <w:pPr>
        <w:pStyle w:val="1228"/>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rFonts w:ascii="宋体" w:hAnsi="宋体" w:eastAsia="宋体"/>
          <w:color w:val="000000"/>
          <w:highlight w:val="none"/>
          <w:u w:val="singl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1228"/>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color w:val="000000"/>
          <w:sz w:val="21"/>
          <w:highlight w:val="non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ascii="宋体" w:hAnsi="宋体"/>
          <w:color w:val="000000"/>
          <w:szCs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68"/>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68"/>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rFonts w:ascii="宋体" w:hAnsi="宋体"/>
          <w:color w:val="000000"/>
          <w:szCs w:val="21"/>
          <w:highlight w:val="non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1177"/>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rPr>
          <w:color w:val="000000"/>
          <w:sz w:val="21"/>
          <w:szCs w:val="21"/>
          <w:highlight w:val="none"/>
          <w:lang w:eastAsia="zh-CN"/>
        </w:rPr>
      </w:r>
      <w:r/>
    </w:p>
    <w:p>
      <w:pPr>
        <w:pStyle w:val="76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768"/>
        <w:ind w:firstLine="630"/>
        <w:spacing w:line="400" w:lineRule="exact"/>
        <w:rPr>
          <w:rFonts w:hint="eastAsia"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分期付款：1.合同签订后，采购人向中标人支付合同金额的30%；</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2.进度款：项目完成，供应商提供项目完整技术文档，验收</w:t>
      </w:r>
      <w:r>
        <w:rPr>
          <w:rFonts w:hint="eastAsia" w:ascii="宋体" w:hAnsi="宋体"/>
          <w:color w:val="000000"/>
          <w:szCs w:val="21"/>
          <w:highlight w:val="none"/>
          <w:lang w:val="en-US"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以验收报告为准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付至结算金额</w:t>
      </w:r>
      <w:r>
        <w:rPr>
          <w:rFonts w:hint="eastAsia" w:ascii="宋体" w:hAnsi="宋体"/>
          <w:color w:val="000000"/>
          <w:szCs w:val="21"/>
          <w:highlight w:val="none"/>
        </w:rPr>
        <w:t xml:space="preserve">的100%。（合同款支付方式可采用数字人民币支付）。</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3.资金支付的时间：收到供应商发票10个工作日内。</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4.资金支付的条件：满足相应阶段的要求且收到供应商发票。</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注：在签订合同时，中标人明确表示无需预付款或者主动要求降低预付款比例的，采购人可不适用前述规定。</w:t>
      </w:r>
      <w:r>
        <w:rPr>
          <w:rFonts w:hint="eastAsia" w:ascii="宋体" w:hAnsi="宋体"/>
          <w:color w:val="000000"/>
          <w:szCs w:val="21"/>
          <w:highlight w:val="none"/>
        </w:rPr>
      </w:r>
      <w:r/>
    </w:p>
    <w:p>
      <w:pPr>
        <w:pStyle w:val="76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numPr>
          <w:ilvl w:val="0"/>
          <w:numId w:val="1"/>
        </w:numPr>
        <w:ind w:firstLine="422"/>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rFonts w:ascii="宋体" w:hAnsi="宋体"/>
          <w:b/>
          <w:color w:val="000000"/>
          <w:szCs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68"/>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ascii="宋体" w:hAnsi="宋体" w:cs="宋体"/>
          <w:color w:val="000000"/>
          <w:szCs w:val="21"/>
          <w:highlight w:val="none"/>
        </w:rPr>
      </w:r>
      <w:r/>
    </w:p>
    <w:p>
      <w:pPr>
        <w:pStyle w:val="1228"/>
        <w:rPr>
          <w:rFonts w:hint="eastAsia" w:ascii="宋体" w:hAnsi="宋体" w:eastAsia="宋体" w:cs="宋体"/>
          <w:bCs/>
          <w:color w:val="000000"/>
          <w:sz w:val="21"/>
          <w:highlight w:val="none"/>
          <w:u w:val="singl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3履约保证金退还方式</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履约保证金退还条件，按以下第 a 方式实行：</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a、货物类项目，项目验收合格，出具验收报告及履约保证金收据申请退付；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b、服务类项目，项目履约期满评价合格，出具履约评价报告及履约保证金收据申请退付；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c、工程类项目，项目完工验收合格，出具完工证明及履约保证金收据申请退付；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履约保证金退还时间</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采购人收到投标人退付申请后5个工作日内退还。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履约保证金不予退还情形</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逾期退还履约保证金违约责任</w:t>
      </w:r>
      <w:r>
        <w:rPr>
          <w:rFonts w:hint="eastAsia" w:ascii="宋体" w:hAnsi="宋体" w:eastAsia="宋体" w:cs="宋体"/>
          <w:bCs/>
          <w:color w:val="000000"/>
          <w:sz w:val="21"/>
          <w:highlight w:val="none"/>
          <w:u w:val="single"/>
        </w:rPr>
      </w:r>
      <w:r/>
    </w:p>
    <w:p>
      <w:pPr>
        <w:pStyle w:val="1228"/>
        <w:rPr>
          <w:rFonts w:ascii="宋体" w:hAnsi="宋体" w:eastAsia="宋体" w:cs="宋体"/>
          <w:color w:val="000000"/>
          <w:sz w:val="21"/>
          <w:highlight w:val="none"/>
        </w:rPr>
      </w:pPr>
      <w:r>
        <w:rPr>
          <w:rFonts w:hint="eastAsia" w:ascii="宋体" w:hAnsi="宋体" w:eastAsia="宋体" w:cs="宋体"/>
          <w:bCs/>
          <w:color w:val="000000"/>
          <w:sz w:val="21"/>
          <w:highlight w:val="none"/>
          <w:u w:val="single"/>
        </w:rPr>
        <w:t xml:space="preserve">采购人逾期退还履约保证金的，除应退还履约保证金外，还应按中国人民银行同期贷款基准利率上浮20％后的利率支付超期资金占用费，但因投标人自身原因导致无法及时退还的除外。</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按采购合同总价的2%提交</w:t>
      </w:r>
      <w:r>
        <w:rPr>
          <w:rFonts w:hint="eastAsia" w:ascii="宋体" w:hAnsi="宋体" w:eastAsia="宋体" w:cs="宋体"/>
          <w:bCs/>
          <w:color w:val="000000"/>
          <w:sz w:val="21"/>
          <w:highlight w:val="none"/>
          <w:u w:val="single"/>
          <w:lang w:eastAsia="zh-CN"/>
        </w:rPr>
        <w:t xml:space="preserve">，</w:t>
      </w:r>
      <w:r>
        <w:rPr>
          <w:rFonts w:hint="eastAsia" w:ascii="宋体" w:hAnsi="宋体" w:eastAsia="宋体" w:cs="宋体"/>
          <w:bCs/>
          <w:color w:val="000000"/>
          <w:sz w:val="21"/>
          <w:highlight w:val="none"/>
          <w:u w:val="single"/>
        </w:rPr>
        <w:t xml:space="preserve">投标人如使用江苏政府采购电子履约保函（保险）的，可按采购合同总价的 1.2 %（履约保证金原提交金额的6折）提交。</w:t>
      </w:r>
      <w:r>
        <w:rPr>
          <w:rFonts w:ascii="宋体" w:hAnsi="宋体" w:eastAsia="宋体" w:cs="宋体"/>
          <w:color w:val="000000"/>
          <w:sz w:val="21"/>
          <w:highlight w:val="none"/>
        </w:rPr>
      </w:r>
      <w:r/>
    </w:p>
    <w:p>
      <w:pPr>
        <w:pStyle w:val="768"/>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同合同履约期限，</w:t>
      </w:r>
      <w:r>
        <w:rPr>
          <w:rFonts w:hint="eastAsia" w:ascii="宋体" w:hAnsi="宋体" w:cs="宋体"/>
          <w:bCs/>
          <w:color w:val="000000"/>
          <w:szCs w:val="21"/>
          <w:highlight w:val="none"/>
          <w:u w:val="single"/>
        </w:rPr>
        <w:t xml:space="preserve">货物类项目，项目验收合格，出具验收报告及履约保证金收据申请退付；</w:t>
      </w:r>
      <w:r>
        <w:rPr>
          <w:rFonts w:ascii="宋体" w:hAnsi="宋体" w:cs="宋体"/>
          <w:color w:val="000000"/>
          <w:highlight w:val="none"/>
        </w:rPr>
      </w:r>
      <w:r/>
    </w:p>
    <w:p>
      <w:pPr>
        <w:pStyle w:val="768"/>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rPr>
      </w:r>
      <w:r/>
    </w:p>
    <w:p>
      <w:pPr>
        <w:pStyle w:val="768"/>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768"/>
        <w:numPr>
          <w:ilvl w:val="0"/>
          <w:numId w:val="2"/>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ascii="宋体" w:hAnsi="宋体"/>
          <w:bCs/>
          <w:color w:val="000000"/>
          <w:szCs w:val="21"/>
          <w:highlight w:val="none"/>
        </w:rPr>
      </w:r>
      <w:r/>
    </w:p>
    <w:p>
      <w:pPr>
        <w:pStyle w:val="768"/>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68"/>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宋体" w:hAnsi="宋体"/>
          <w:bCs/>
          <w:color w:val="000000"/>
          <w:szCs w:val="21"/>
          <w:highlight w:val="none"/>
          <w:u w:val="single"/>
        </w:rPr>
      </w:r>
      <w:r/>
    </w:p>
    <w:p>
      <w:pPr>
        <w:pStyle w:val="768"/>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76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rFonts w:ascii="宋体" w:hAnsi="宋体"/>
          <w:bCs/>
          <w:color w:val="000000"/>
          <w:szCs w:val="21"/>
          <w:highlight w:val="none"/>
          <w:u w:val="single"/>
        </w:rPr>
      </w:r>
      <w:r/>
    </w:p>
    <w:p>
      <w:pPr>
        <w:pStyle w:val="768"/>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宋体" w:hAnsi="宋体"/>
          <w:bCs/>
          <w:color w:val="000000"/>
          <w:szCs w:val="21"/>
          <w:highlight w:val="none"/>
        </w:rPr>
      </w:r>
      <w:r/>
    </w:p>
    <w:p>
      <w:pPr>
        <w:pStyle w:val="768"/>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68"/>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6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Cs w:val="21"/>
          <w:highlight w:val="none"/>
          <w:u w:val="single"/>
        </w:rPr>
      </w:r>
      <w:r/>
    </w:p>
    <w:p>
      <w:pPr>
        <w:pStyle w:val="76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1228"/>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ascii="宋体" w:hAnsi="宋体" w:eastAsia="宋体" w:cs="宋体"/>
          <w:color w:val="000000"/>
          <w:sz w:val="21"/>
          <w:highlight w:val="none"/>
        </w:rPr>
      </w:r>
      <w:r/>
    </w:p>
    <w:p>
      <w:pPr>
        <w:pStyle w:val="768"/>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rFonts w:ascii="宋体" w:hAnsi="宋体" w:cs="宋体"/>
          <w:bCs/>
          <w:color w:val="000000"/>
          <w:szCs w:val="21"/>
          <w:highlight w:val="none"/>
          <w:u w:val="singl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rPr>
          <w:rFonts w:ascii="宋体" w:hAnsi="宋体" w:eastAsia="宋体" w:cs="宋体"/>
          <w:color w:val="000000"/>
          <w:sz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rPr>
          <w:rFonts w:ascii="宋体" w:hAnsi="宋体"/>
          <w:color w:val="000000"/>
          <w:szCs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68"/>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rPr>
          <w:rFonts w:ascii="宋体" w:hAnsi="宋体"/>
          <w:b/>
          <w:bCs/>
          <w:color w:val="000000"/>
          <w:szCs w:val="21"/>
          <w:highlight w:val="none"/>
        </w:rPr>
      </w:r>
      <w:r/>
    </w:p>
    <w:p>
      <w:pPr>
        <w:pStyle w:val="1177"/>
        <w:rPr>
          <w:color w:val="000000"/>
          <w:highlight w:val="none"/>
          <w:lang w:eastAsia="zh-CN"/>
        </w:rPr>
      </w:pPr>
      <w:r>
        <w:rPr>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768"/>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color w:val="000000"/>
                <w:highlight w:val="none"/>
              </w:rPr>
            </w:r>
            <w:r/>
          </w:p>
        </w:tc>
        <w:tc>
          <w:tcPr>
            <w:gridSpan w:val="2"/>
            <w:tcW w:w="4095" w:type="dxa"/>
            <w:vAlign w:val="center"/>
            <w:textDirection w:val="lrTb"/>
            <w:noWrap w:val="false"/>
          </w:tcPr>
          <w:p>
            <w:pPr>
              <w:pStyle w:val="768"/>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color w:val="000000"/>
                <w:highlight w:val="none"/>
              </w:rPr>
            </w:r>
            <w:r/>
          </w:p>
        </w:tc>
      </w:tr>
      <w:tr>
        <w:trPr>
          <w:trHeight w:val="917"/>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768"/>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68"/>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68"/>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398" w:type="dxa"/>
            <w:vAlign w:val="center"/>
            <w:textDirection w:val="lrTb"/>
            <w:noWrap w:val="false"/>
          </w:tcPr>
          <w:p>
            <w:pPr>
              <w:pStyle w:val="806"/>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770"/>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768"/>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68"/>
        <w:numPr>
          <w:ilvl w:val="0"/>
          <w:numId w:val="3"/>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768"/>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768"/>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color w:val="000000"/>
          <w:highlight w:val="none"/>
        </w:rPr>
      </w:r>
      <w:r/>
    </w:p>
    <w:p>
      <w:pPr>
        <w:pStyle w:val="76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768"/>
        <w:numPr>
          <w:ilvl w:val="0"/>
          <w:numId w:val="4"/>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768"/>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1228"/>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rPr>
          <w:rFonts w:ascii="宋体" w:hAnsi="宋体"/>
          <w:b/>
          <w:color w:val="000000"/>
          <w:sz w:val="24"/>
          <w:highlight w:val="none"/>
        </w:rPr>
      </w:r>
      <w:r/>
    </w:p>
    <w:p>
      <w:pPr>
        <w:pStyle w:val="811"/>
        <w:ind w:firstLine="420"/>
        <w:jc w:val="left"/>
        <w:spacing w:line="400" w:lineRule="exact"/>
        <w:rPr>
          <w:rFonts w:hAnsi="宋体"/>
          <w:b/>
          <w:color w:val="000000"/>
          <w:highlight w:val="none"/>
        </w:rPr>
      </w:pPr>
      <w:r>
        <w:rPr>
          <w:rFonts w:hint="eastAsia" w:hAnsi="宋体"/>
          <w:color w:val="000000"/>
          <w:highlight w:val="none"/>
        </w:rPr>
        <w:t xml:space="preserve">8.1 质量标准</w:t>
      </w:r>
      <w:r>
        <w:rPr>
          <w:rFonts w:hAnsi="宋体"/>
          <w:b/>
          <w:color w:val="000000"/>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highlight w:val="none"/>
        </w:rPr>
      </w:r>
      <w:r/>
    </w:p>
    <w:p>
      <w:pPr>
        <w:pStyle w:val="811"/>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highlight w:val="none"/>
        </w:rPr>
      </w:r>
      <w:r/>
    </w:p>
    <w:p>
      <w:pPr>
        <w:pStyle w:val="768"/>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color w:val="000000"/>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rPr>
          <w:rFonts w:ascii="宋体" w:hAnsi="宋体"/>
          <w:b/>
          <w:bCs/>
          <w:color w:val="000000"/>
          <w:sz w:val="24"/>
          <w:highlight w:val="none"/>
        </w:rPr>
      </w:r>
      <w:r/>
    </w:p>
    <w:p>
      <w:pPr>
        <w:pStyle w:val="768"/>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ascii="宋体" w:hAnsi="宋体" w:cs="宋体"/>
          <w:color w:val="000000"/>
          <w:szCs w:val="15"/>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highlight w:val="none"/>
        </w:rPr>
      </w:r>
      <w:r/>
    </w:p>
    <w:p>
      <w:pPr>
        <w:pStyle w:val="768"/>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768"/>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ascii="宋体" w:hAnsi="宋体"/>
          <w:color w:val="000000"/>
          <w:szCs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rPr>
          <w:rFonts w:ascii="宋体" w:hAnsi="宋体"/>
          <w:b/>
          <w:bCs/>
          <w:color w:val="000000"/>
          <w:sz w:val="24"/>
          <w:highlight w:val="none"/>
        </w:rPr>
      </w:r>
      <w:r/>
    </w:p>
    <w:p>
      <w:pPr>
        <w:pStyle w:val="76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rPr>
          <w:rFonts w:ascii="宋体" w:hAnsi="宋体"/>
          <w:bCs/>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ascii="宋体" w:hAnsi="宋体"/>
          <w:color w:val="000000"/>
          <w:szCs w:val="21"/>
          <w:highlight w:val="none"/>
        </w:rPr>
      </w:r>
      <w:r/>
    </w:p>
    <w:p>
      <w:pPr>
        <w:pStyle w:val="76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ascii="宋体" w:hAnsi="宋体"/>
          <w:bCs/>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768"/>
        <w:numPr>
          <w:ilvl w:val="0"/>
          <w:numId w:val="5"/>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rFonts w:ascii="宋体" w:hAnsi="宋体"/>
          <w:b/>
          <w:color w:val="000000"/>
          <w:sz w:val="24"/>
          <w:highlight w:val="none"/>
        </w:rPr>
      </w:r>
      <w:r/>
    </w:p>
    <w:p>
      <w:pPr>
        <w:pStyle w:val="768"/>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highlight w:val="none"/>
        </w:rPr>
      </w:r>
      <w:r/>
    </w:p>
    <w:p>
      <w:pPr>
        <w:pStyle w:val="1228"/>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768"/>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color w:val="000000"/>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768"/>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1228"/>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ascii="宋体" w:hAnsi="宋体"/>
          <w:color w:val="000000"/>
          <w:highlight w:val="none"/>
        </w:rPr>
      </w:r>
      <w:r/>
    </w:p>
    <w:p>
      <w:pPr>
        <w:pStyle w:val="1228"/>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rPr>
          <w:rFonts w:ascii="宋体" w:hAnsi="宋体"/>
          <w:b/>
          <w:bCs/>
          <w:color w:val="000000"/>
          <w:sz w:val="24"/>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highlight w:val="none"/>
        </w:rPr>
      </w:r>
      <w:r/>
    </w:p>
    <w:p>
      <w:pPr>
        <w:pStyle w:val="768"/>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rPr>
          <w:rFonts w:ascii="宋体" w:hAnsi="宋体"/>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rFonts w:ascii="宋体" w:hAnsi="宋体"/>
          <w:b/>
          <w:color w:val="000000"/>
          <w:sz w:val="24"/>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ascii="宋体" w:hAnsi="宋体" w:eastAsia="宋体" w:cs="宋体"/>
          <w:color w:val="000000"/>
          <w:sz w:val="21"/>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rFonts w:ascii="宋体" w:hAnsi="宋体"/>
          <w:b/>
          <w:color w:val="000000"/>
          <w:sz w:val="24"/>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highlight w:val="none"/>
        </w:rPr>
      </w:r>
      <w:r/>
    </w:p>
    <w:p>
      <w:pPr>
        <w:pStyle w:val="1228"/>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rFonts w:ascii="宋体" w:hAnsi="宋体"/>
          <w:color w:val="000000"/>
          <w:szCs w:val="21"/>
          <w:highlight w:val="none"/>
        </w:rPr>
      </w:r>
      <w:r/>
    </w:p>
    <w:p>
      <w:pPr>
        <w:pStyle w:val="768"/>
        <w:numPr>
          <w:ilvl w:val="0"/>
          <w:numId w:val="6"/>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76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68"/>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rPr>
          <w:rFonts w:ascii="黑体" w:hAnsi="华文中宋" w:eastAsia="黑体"/>
          <w:color w:val="000000"/>
          <w:sz w:val="28"/>
          <w:szCs w:val="28"/>
          <w:highlight w:val="none"/>
        </w:rPr>
      </w:r>
      <w:r/>
    </w:p>
    <w:p>
      <w:pPr>
        <w:pStyle w:val="768"/>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rPr>
          <w:rFonts w:ascii="黑体" w:hAnsi="华文中宋" w:eastAsia="黑体"/>
          <w:b/>
          <w:bCs/>
          <w:color w:val="000000"/>
          <w:sz w:val="28"/>
          <w:szCs w:val="28"/>
          <w:highlight w:val="none"/>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不接受</w:t>
            </w:r>
            <w:r>
              <w:rPr>
                <w:rFonts w:hint="eastAsia" w:ascii="宋体" w:hAnsi="宋体" w:eastAsia="宋体"/>
                <w:color w:val="000000"/>
                <w:szCs w:val="21"/>
                <w:highlight w:val="none"/>
                <w:lang w:val="en-US" w:eastAsia="zh-CN"/>
              </w:rPr>
            </w:r>
            <w:r/>
          </w:p>
        </w:tc>
      </w:tr>
      <w:tr>
        <w:trPr>
          <w:trHeight w:val="604"/>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第1.2（7）项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其他术语解释</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无</w:t>
            </w:r>
            <w:r>
              <w:rPr>
                <w:rFonts w:hint="eastAsia" w:ascii="宋体" w:hAnsi="宋体" w:eastAsia="宋体"/>
                <w:color w:val="000000"/>
                <w:szCs w:val="21"/>
                <w:highlight w:val="none"/>
                <w:lang w:val="en-US" w:eastAsia="zh-CN"/>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收到验收申请后3个工作</w:t>
            </w:r>
            <w:r>
              <w:rPr>
                <w:rFonts w:hint="eastAsia" w:ascii="宋体" w:hAnsi="宋体"/>
                <w:color w:val="000000"/>
                <w:highlight w:val="none"/>
                <w:lang w:eastAsia="zh-CN"/>
              </w:rPr>
              <w:t xml:space="preserve">日内</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第4.6款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甲方无正当理由拒收货物的，甲方向乙方偿付拒收货款总值0.5% 的违约金</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rPr>
            </w:pPr>
            <w:r>
              <w:rPr>
                <w:rFonts w:hint="eastAsia" w:ascii="宋体" w:hAnsi="宋体"/>
                <w:color w:val="000000"/>
                <w:highlight w:val="none"/>
              </w:rPr>
              <w:t xml:space="preserve">乙方保证所交付的货物（包含与货物相关的服务）的所有权完全属于乙方且无任何抵押、查封等产权瑕疵；</w:t>
            </w:r>
            <w:r>
              <w:rPr>
                <w:rFonts w:hint="eastAsia" w:ascii="宋体" w:hAnsi="宋体"/>
                <w:color w:val="000000"/>
                <w:highlight w:val="none"/>
              </w:rPr>
            </w:r>
            <w:r/>
          </w:p>
          <w:p>
            <w:pPr>
              <w:pStyle w:val="768"/>
              <w:jc w:val="left"/>
              <w:rPr>
                <w:rFonts w:hint="eastAsia" w:ascii="宋体" w:hAnsi="宋体"/>
                <w:color w:val="000000"/>
                <w:highlight w:val="none"/>
              </w:rPr>
            </w:pPr>
            <w:r>
              <w:rPr>
                <w:rFonts w:hint="eastAsia" w:ascii="宋体" w:hAnsi="宋体"/>
                <w:color w:val="000000"/>
                <w:highlight w:val="none"/>
              </w:rPr>
              <w:t xml:space="preserve">乙方所供货物质量不符合规定的，由其负责包换或包修，并承担修理、调换或退货而支付的实际费用；</w:t>
            </w:r>
            <w:r>
              <w:rPr>
                <w:rFonts w:hint="eastAsia" w:ascii="宋体" w:hAnsi="宋体"/>
                <w:color w:val="000000"/>
                <w:highlight w:val="none"/>
              </w:rPr>
            </w:r>
            <w:r/>
          </w:p>
          <w:p>
            <w:pPr>
              <w:pStyle w:val="768"/>
              <w:jc w:val="left"/>
              <w:rPr>
                <w:rFonts w:ascii="宋体" w:hAnsi="宋体"/>
                <w:color w:val="000000"/>
                <w:szCs w:val="21"/>
                <w:highlight w:val="none"/>
              </w:rPr>
            </w:pPr>
            <w:r>
              <w:rPr>
                <w:rFonts w:hint="eastAsia" w:ascii="宋体" w:hAnsi="宋体"/>
                <w:color w:val="000000"/>
                <w:highlight w:val="none"/>
              </w:rPr>
              <w:t xml:space="preserve">非因甲方原因，乙方不履行本合同规定的义务，致使工期延误，甲方有权要求其强制履行或解除合同，并要求乙方等额赔偿由此造成的一切损失。</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第6.1款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合同协议书、招标文件、投标文件、合同专用条款、合同通用条款、补充协议</w:t>
            </w:r>
            <w:r>
              <w:rPr>
                <w:rFonts w:ascii="宋体" w:hAnsi="宋体"/>
                <w:color w:val="000000"/>
                <w:szCs w:val="21"/>
                <w:highlight w:val="none"/>
              </w:rPr>
            </w:r>
            <w:r/>
          </w:p>
        </w:tc>
      </w:tr>
      <w:tr>
        <w:trPr>
          <w:trHeight w:val="667"/>
        </w:trPr>
        <w:tc>
          <w:tcPr>
            <w:tcW w:w="1607" w:type="dxa"/>
            <w:vAlign w:val="center"/>
            <w:vMerge w:val="restart"/>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rPr>
            </w:pPr>
            <w:r>
              <w:rPr>
                <w:rFonts w:hint="eastAsia" w:ascii="宋体" w:hAnsi="宋体"/>
                <w:color w:val="000000"/>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rPr>
                <w:rFonts w:hint="eastAsia" w:ascii="宋体" w:hAnsi="宋体"/>
                <w:color w:val="000000"/>
                <w:highlight w:val="none"/>
              </w:rPr>
            </w:r>
            <w:r/>
          </w:p>
          <w:p>
            <w:pPr>
              <w:pStyle w:val="768"/>
              <w:jc w:val="left"/>
              <w:rPr>
                <w:color w:val="000000"/>
                <w:highlight w:val="none"/>
              </w:rPr>
            </w:pPr>
            <w:r>
              <w:rPr>
                <w:rFonts w:hint="eastAsia" w:ascii="宋体" w:hAnsi="宋体"/>
                <w:color w:val="000000"/>
                <w:highlight w:val="none"/>
              </w:rPr>
              <w:t xml:space="preserve">2、使用说明书、质量检验证明书、随配附件和工具以及清单一并附于货物内。</w:t>
            </w:r>
            <w:r>
              <w:rPr>
                <w:color w:val="000000"/>
                <w:highlight w:val="none"/>
              </w:rPr>
            </w:r>
            <w:r/>
          </w:p>
        </w:tc>
      </w:tr>
      <w:tr>
        <w:trPr>
          <w:trHeight w:val="667"/>
        </w:trPr>
        <w:tc>
          <w:tcPr>
            <w:tcW w:w="1607" w:type="dxa"/>
            <w:vAlign w:val="center"/>
            <w:vMerge w:val="continue"/>
            <w:textDirection w:val="lrTb"/>
            <w:noWrap w:val="false"/>
          </w:tcPr>
          <w:p>
            <w:pPr>
              <w:pStyle w:val="768"/>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指定现场</w:t>
            </w:r>
            <w:r>
              <w:rPr>
                <w:rFonts w:ascii="宋体" w:hAnsi="宋体"/>
                <w:color w:val="000000"/>
                <w:szCs w:val="21"/>
                <w:highlight w:val="none"/>
              </w:rPr>
            </w:r>
            <w:r/>
          </w:p>
        </w:tc>
        <w:tc>
          <w:tcPr>
            <w:tcW w:w="5170" w:type="dxa"/>
            <w:vAlign w:val="center"/>
            <w:textDirection w:val="lrTb"/>
            <w:noWrap w:val="false"/>
          </w:tcPr>
          <w:p>
            <w:pPr>
              <w:pStyle w:val="768"/>
              <w:jc w:val="left"/>
              <w:rPr>
                <w:color w:val="000000"/>
                <w:highlight w:val="none"/>
              </w:rPr>
            </w:pPr>
            <w:r>
              <w:rPr>
                <w:rFonts w:hint="eastAsia" w:ascii="宋体" w:hAnsi="宋体" w:cs="宋体"/>
                <w:color w:val="000000"/>
                <w:sz w:val="21"/>
                <w:szCs w:val="21"/>
                <w:highlight w:val="none"/>
                <w:lang w:val="en-US" w:eastAsia="zh-CN"/>
              </w:rPr>
              <w:t xml:space="preserve">所有货物必须严格按照甲方指定的地点及位置安装、摆放等，否则甲方有权拒绝接受相关货物。</w:t>
            </w:r>
            <w:r>
              <w:rPr>
                <w:color w:val="000000"/>
                <w:highlight w:val="none"/>
              </w:rPr>
            </w:r>
            <w:r/>
          </w:p>
        </w:tc>
      </w:tr>
      <w:tr>
        <w:trPr>
          <w:trHeight w:val="772"/>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第7.2款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运输特殊要求</w:t>
            </w:r>
            <w:r>
              <w:rPr>
                <w:rFonts w:ascii="宋体" w:hAnsi="宋体"/>
                <w:color w:val="000000"/>
                <w:szCs w:val="21"/>
                <w:highlight w:val="none"/>
              </w:rPr>
            </w:r>
            <w:r/>
          </w:p>
        </w:tc>
        <w:tc>
          <w:tcPr>
            <w:tcW w:w="5170" w:type="dxa"/>
            <w:vAlign w:val="center"/>
            <w:textDirection w:val="lrTb"/>
            <w:noWrap w:val="false"/>
          </w:tcPr>
          <w:p>
            <w:pPr>
              <w:pStyle w:val="768"/>
              <w:jc w:val="left"/>
              <w:rPr>
                <w:color w:val="000000"/>
                <w:highlight w:val="none"/>
              </w:rPr>
            </w:pPr>
            <w:r>
              <w:rPr>
                <w:rFonts w:hint="eastAsia" w:ascii="宋体" w:hAnsi="宋体"/>
                <w:color w:val="000000"/>
                <w:highlight w:val="none"/>
              </w:rPr>
              <w:t xml:space="preserve">无</w:t>
            </w:r>
            <w:r>
              <w:rPr>
                <w:color w:val="000000"/>
                <w:highlight w:val="none"/>
              </w:rPr>
            </w:r>
            <w:r/>
          </w:p>
        </w:tc>
      </w:tr>
      <w:tr>
        <w:trPr>
          <w:trHeight w:val="667"/>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第7.3款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保险要求</w:t>
            </w:r>
            <w:r>
              <w:rPr>
                <w:rFonts w:ascii="宋体" w:hAnsi="宋体"/>
                <w:color w:val="000000"/>
                <w:szCs w:val="21"/>
                <w:highlight w:val="none"/>
              </w:rPr>
            </w:r>
            <w:r/>
          </w:p>
        </w:tc>
        <w:tc>
          <w:tcPr>
            <w:tcW w:w="5170" w:type="dxa"/>
            <w:vAlign w:val="center"/>
            <w:textDirection w:val="lrTb"/>
            <w:noWrap w:val="false"/>
          </w:tcPr>
          <w:p>
            <w:pPr>
              <w:pStyle w:val="768"/>
              <w:jc w:val="left"/>
              <w:rPr>
                <w:color w:val="000000"/>
                <w:highlight w:val="none"/>
              </w:rPr>
            </w:pPr>
            <w:r>
              <w:rPr>
                <w:rFonts w:hint="eastAsia" w:ascii="宋体" w:hAnsi="宋体"/>
                <w:color w:val="000000"/>
                <w:highlight w:val="none"/>
              </w:rPr>
              <w:t xml:space="preserve">货物在交付甲方前发生的风险均由乙方负责</w:t>
            </w:r>
            <w:r>
              <w:rPr>
                <w:color w:val="000000"/>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不低于</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年。发现设备缺陷等质量问题，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负责无条件维修或调换；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000000"/>
                <w:szCs w:val="21"/>
                <w:highlight w:val="none"/>
                <w:lang w:eastAsia="zh-CN"/>
              </w:rPr>
              <w:t xml:space="preserve">日起</w:t>
            </w:r>
            <w:r>
              <w:rPr>
                <w:rFonts w:hint="eastAsia" w:ascii="宋体" w:hAnsi="宋体"/>
                <w:color w:val="000000"/>
                <w:szCs w:val="21"/>
                <w:highlight w:val="none"/>
              </w:rPr>
              <w:t xml:space="preserve">计算(设备厂家维护期大于</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年的，以设备厂家维护期为准，货物清单及技术规范中设备质保期有特殊要求的应不低于特殊要求）。</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货物质量缺陷</w:t>
            </w:r>
            <w:r>
              <w:rPr>
                <w:rFonts w:ascii="宋体" w:hAnsi="宋体"/>
                <w:color w:val="000000"/>
                <w:szCs w:val="21"/>
                <w:highlight w:val="none"/>
              </w:rPr>
            </w:r>
            <w:r/>
          </w:p>
          <w:p>
            <w:pPr>
              <w:pStyle w:val="768"/>
              <w:jc w:val="left"/>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000000"/>
                <w:szCs w:val="21"/>
                <w:highlight w:val="none"/>
                <w:lang w:val="en-US" w:eastAsia="zh-CN"/>
              </w:rPr>
              <w:t xml:space="preserve">在接到报修后2小时内初步响应，24小时内提供解决方案。</w:t>
            </w:r>
            <w:r>
              <w:rPr>
                <w:rFonts w:hint="eastAsia" w:ascii="宋体" w:hAnsi="宋体"/>
                <w:color w:val="000000"/>
                <w:szCs w:val="21"/>
                <w:highlight w:val="none"/>
              </w:rPr>
              <w:t xml:space="preserve">并为</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提供每周7天、每天24小时售后技术支持和服务。如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在接到通知工作日的24小时内没有答复或处理问题，则视为</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承认质量问题并承担由此而发生的一切费用。</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rFonts w:ascii="宋体" w:hAnsi="宋体" w:cs="宋体"/>
                <w:color w:val="000000"/>
                <w:szCs w:val="21"/>
                <w:highlight w:val="none"/>
              </w:rPr>
            </w:r>
            <w:r/>
          </w:p>
          <w:p>
            <w:pPr>
              <w:pStyle w:val="1228"/>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768"/>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00000"/>
                <w:szCs w:val="21"/>
                <w:highlight w:val="none"/>
              </w:rPr>
            </w:r>
            <w:r/>
          </w:p>
        </w:tc>
      </w:tr>
      <w:tr>
        <w:trPr>
          <w:trHeight w:val="697"/>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合同价款支付时间</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预付款：签订合同后，自收到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发票后10个工作日内支付合同总价款的30% 。</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进度款：货物到现场安装调试完毕，系统稳定运行并经</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验收合格后，自收到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发票后10个工作日内支付至合同总价款的100%。</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(1)可以采用数字人民币支付。</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(2)资金支付的时间:收到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(3)资金支付的条件:满足相应阶段的要求且收到</w:t>
            </w:r>
            <w:r>
              <w:rPr>
                <w:rFonts w:hint="eastAsia" w:ascii="宋体" w:hAnsi="宋体"/>
                <w:color w:val="000000"/>
                <w:highlight w:val="none"/>
              </w:rPr>
              <w:t xml:space="preserve">乙方</w:t>
            </w:r>
            <w:r>
              <w:rPr>
                <w:rFonts w:hint="eastAsia" w:ascii="宋体" w:hAnsi="宋体"/>
                <w:color w:val="000000"/>
                <w:szCs w:val="21"/>
                <w:highlight w:val="none"/>
              </w:rPr>
              <w:t xml:space="preserve">发票。</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(4)当采购数量与实际使用数量不一致时，</w:t>
            </w:r>
            <w:r>
              <w:rPr>
                <w:rFonts w:hint="eastAsia" w:ascii="宋体" w:hAnsi="宋体"/>
                <w:color w:val="000000"/>
                <w:highlight w:val="none"/>
              </w:rPr>
              <w:t xml:space="preserve">乙方</w:t>
            </w:r>
            <w:r>
              <w:rPr>
                <w:rFonts w:hint="eastAsia" w:ascii="宋体" w:hAnsi="宋体"/>
                <w:color w:val="000000"/>
                <w:szCs w:val="21"/>
                <w:highlight w:val="none"/>
              </w:rPr>
              <w:t xml:space="preserve">应根据实际使用量供货，合同的最终结算金额按实际使用量乘以中标单价进行计算。</w:t>
            </w:r>
            <w:r>
              <w:rPr>
                <w:rFonts w:hint="eastAsia" w:ascii="宋体" w:hAnsi="宋体"/>
                <w:color w:val="000000"/>
                <w:szCs w:val="21"/>
                <w:highlight w:val="none"/>
              </w:rPr>
            </w:r>
            <w:r/>
          </w:p>
          <w:p>
            <w:pPr>
              <w:pStyle w:val="768"/>
              <w:jc w:val="left"/>
              <w:rPr>
                <w:rFonts w:ascii="宋体" w:hAnsi="宋体"/>
                <w:color w:val="000000"/>
                <w:szCs w:val="21"/>
                <w:highlight w:val="none"/>
              </w:rPr>
            </w:pPr>
            <w:r>
              <w:rPr>
                <w:rFonts w:hint="eastAsia" w:ascii="宋体" w:hAnsi="宋体"/>
                <w:color w:val="000000"/>
                <w:szCs w:val="21"/>
                <w:highlight w:val="none"/>
              </w:rPr>
              <w:t xml:space="preserve">(5)在签订合同时，</w:t>
            </w:r>
            <w:r>
              <w:rPr>
                <w:rFonts w:hint="eastAsia" w:ascii="宋体" w:hAnsi="宋体"/>
                <w:color w:val="000000"/>
                <w:highlight w:val="none"/>
              </w:rPr>
              <w:t xml:space="preserve">乙方</w:t>
            </w:r>
            <w:r>
              <w:rPr>
                <w:rFonts w:hint="eastAsia" w:ascii="宋体" w:hAnsi="宋体"/>
                <w:color w:val="000000"/>
                <w:szCs w:val="21"/>
                <w:highlight w:val="none"/>
              </w:rPr>
              <w:t xml:space="preserve">明确表示无需预付款或者主动要求降低预付款比例的，</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可不适用前述规定。</w:t>
            </w:r>
            <w:r>
              <w:rPr>
                <w:rFonts w:ascii="宋体" w:hAnsi="宋体"/>
                <w:color w:val="000000"/>
                <w:szCs w:val="21"/>
                <w:highlight w:val="none"/>
              </w:rPr>
            </w:r>
            <w:r/>
          </w:p>
        </w:tc>
      </w:tr>
      <w:tr>
        <w:trPr>
          <w:trHeight w:val="697"/>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第13.2款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第13.3款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lang w:val="zh-CN"/>
              </w:rPr>
            </w:pPr>
            <w:r>
              <w:rPr>
                <w:rFonts w:hint="eastAsia" w:ascii="宋体" w:hAnsi="宋体"/>
                <w:color w:val="000000"/>
                <w:highlight w:val="none"/>
                <w:lang w:val="zh-CN"/>
              </w:rPr>
              <w:t xml:space="preserve">货物类项目，项目验收合格，出具验收报告及履约保证金收据申请退付；</w:t>
            </w:r>
            <w:r>
              <w:rPr>
                <w:rFonts w:hint="eastAsia" w:ascii="宋体" w:hAnsi="宋体"/>
                <w:color w:val="000000"/>
                <w:highlight w:val="none"/>
                <w:lang w:val="zh-CN"/>
              </w:rPr>
            </w:r>
            <w:r/>
          </w:p>
          <w:p>
            <w:pPr>
              <w:pStyle w:val="768"/>
              <w:jc w:val="left"/>
              <w:rPr>
                <w:rFonts w:hint="eastAsia" w:ascii="宋体" w:hAnsi="宋体"/>
                <w:color w:val="000000"/>
                <w:highlight w:val="none"/>
                <w:lang w:val="zh-CN"/>
              </w:rPr>
            </w:pPr>
            <w:r>
              <w:rPr>
                <w:rFonts w:hint="eastAsia" w:ascii="宋体" w:hAnsi="宋体"/>
                <w:color w:val="000000"/>
                <w:highlight w:val="none"/>
                <w:lang w:val="zh-CN"/>
              </w:rPr>
              <w:t xml:space="preserve">履约保证金退还时间：</w:t>
            </w:r>
            <w:r>
              <w:rPr>
                <w:rFonts w:hint="eastAsia" w:ascii="宋体" w:hAnsi="宋体"/>
                <w:color w:val="000000"/>
                <w:highlight w:val="none"/>
                <w:lang w:val="en-US" w:eastAsia="zh-CN"/>
              </w:rPr>
              <w:t xml:space="preserve">甲方</w:t>
            </w:r>
            <w:r>
              <w:rPr>
                <w:rFonts w:hint="eastAsia" w:ascii="宋体" w:hAnsi="宋体"/>
                <w:color w:val="000000"/>
                <w:highlight w:val="none"/>
                <w:lang w:val="zh-CN"/>
              </w:rPr>
              <w:t xml:space="preserve">收到</w:t>
            </w:r>
            <w:r>
              <w:rPr>
                <w:rFonts w:hint="eastAsia" w:ascii="宋体" w:hAnsi="宋体"/>
                <w:color w:val="000000"/>
                <w:highlight w:val="none"/>
                <w:lang w:val="en-US" w:eastAsia="zh-CN"/>
              </w:rPr>
              <w:t xml:space="preserve">乙方</w:t>
            </w:r>
            <w:r>
              <w:rPr>
                <w:rFonts w:hint="eastAsia" w:ascii="宋体" w:hAnsi="宋体"/>
                <w:color w:val="000000"/>
                <w:highlight w:val="none"/>
                <w:lang w:val="zh-CN"/>
              </w:rPr>
              <w:t xml:space="preserve">退付申请后5个工作日内退还；</w:t>
            </w:r>
            <w:r>
              <w:rPr>
                <w:rFonts w:hint="eastAsia" w:ascii="宋体" w:hAnsi="宋体"/>
                <w:color w:val="000000"/>
                <w:highlight w:val="none"/>
                <w:lang w:val="zh-CN"/>
              </w:rPr>
            </w:r>
            <w:r/>
          </w:p>
          <w:p>
            <w:pPr>
              <w:pStyle w:val="768"/>
              <w:jc w:val="left"/>
              <w:rPr>
                <w:rFonts w:ascii="宋体" w:hAnsi="宋体"/>
                <w:color w:val="000000"/>
                <w:szCs w:val="21"/>
                <w:highlight w:val="none"/>
              </w:rPr>
            </w:pPr>
            <w:r>
              <w:rPr>
                <w:rFonts w:hint="eastAsia" w:ascii="宋体" w:hAnsi="宋体"/>
                <w:color w:val="000000"/>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000000"/>
                <w:highlight w:val="none"/>
                <w:lang w:val="en-US" w:eastAsia="zh-CN"/>
              </w:rPr>
              <w:t xml:space="preserve">乙方</w:t>
            </w:r>
            <w:r>
              <w:rPr>
                <w:rFonts w:hint="eastAsia" w:ascii="宋体" w:hAnsi="宋体"/>
                <w:color w:val="000000"/>
                <w:highlight w:val="none"/>
                <w:lang w:val="zh-CN"/>
              </w:rPr>
              <w:t xml:space="preserve">自身原因导致无法及时退还的除外。</w:t>
            </w:r>
            <w:r>
              <w:rPr>
                <w:rFonts w:ascii="宋体" w:hAnsi="宋体"/>
                <w:color w:val="000000"/>
                <w:szCs w:val="21"/>
                <w:highlight w:val="none"/>
              </w:rPr>
            </w:r>
            <w:r/>
          </w:p>
        </w:tc>
      </w:tr>
      <w:tr>
        <w:trPr>
          <w:trHeight w:val="784"/>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第14.1（3）项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运行监督、维修期限</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000000"/>
                <w:highlight w:val="none"/>
              </w:rPr>
              <w:t xml:space="preserve">年</w:t>
            </w:r>
            <w:r>
              <w:rPr>
                <w:rFonts w:hint="eastAsia"/>
                <w:color w:val="000000"/>
                <w:highlight w:val="none"/>
              </w:rPr>
              <w:t xml:space="preserve">（自货物最终交付验收合格后）</w:t>
            </w:r>
            <w:r>
              <w:rPr>
                <w:rFonts w:ascii="宋体" w:hAnsi="宋体"/>
                <w:color w:val="000000"/>
                <w:szCs w:val="21"/>
                <w:highlight w:val="none"/>
              </w:rPr>
            </w:r>
            <w:r/>
          </w:p>
        </w:tc>
      </w:tr>
      <w:tr>
        <w:trPr>
          <w:trHeight w:val="784"/>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第14.1（5）项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无</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无</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修理、重</w:t>
            </w:r>
            <w:r>
              <w:rPr>
                <w:rFonts w:hint="eastAsia" w:ascii="宋体" w:hAnsi="宋体"/>
                <w:color w:val="000000"/>
                <w:szCs w:val="21"/>
                <w:highlight w:val="none"/>
                <w:lang w:eastAsia="zh-CN"/>
              </w:rPr>
              <w:t xml:space="preserve">做</w:t>
            </w:r>
            <w:r>
              <w:rPr>
                <w:rFonts w:hint="eastAsia" w:ascii="宋体" w:hAnsi="宋体"/>
                <w:color w:val="000000"/>
                <w:szCs w:val="21"/>
                <w:highlight w:val="none"/>
              </w:rPr>
              <w:t xml:space="preserve">、更换相关具体规定</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rPr>
            </w:pPr>
            <w:r>
              <w:rPr>
                <w:rFonts w:hint="eastAsia" w:ascii="宋体" w:hAnsi="宋体"/>
                <w:color w:val="000000"/>
                <w:highlight w:val="none"/>
              </w:rPr>
              <w:t xml:space="preserve">乙方提供的货物在质量期内因货物本身的质量问题发生故障，乙方应负责免费更换。对达不到技术要求者，根据实际情况，经双方协商，可按以下办法处理：</w:t>
            </w:r>
            <w:r>
              <w:rPr>
                <w:rFonts w:hint="eastAsia" w:ascii="宋体" w:hAnsi="宋体"/>
                <w:color w:val="000000"/>
                <w:highlight w:val="none"/>
              </w:rPr>
            </w:r>
            <w:r/>
          </w:p>
          <w:p>
            <w:pPr>
              <w:pStyle w:val="768"/>
              <w:jc w:val="left"/>
              <w:rPr>
                <w:rFonts w:hint="eastAsia" w:ascii="宋体" w:hAnsi="宋体"/>
                <w:color w:val="000000"/>
                <w:highlight w:val="none"/>
              </w:rPr>
            </w:pPr>
            <w:r>
              <w:rPr>
                <w:rFonts w:hint="eastAsia" w:ascii="宋体" w:hAnsi="宋体"/>
                <w:color w:val="000000"/>
                <w:highlight w:val="none"/>
              </w:rPr>
              <w:t xml:space="preserve">⑴更换：由乙方承担所发生的全部费用。</w:t>
            </w:r>
            <w:r>
              <w:rPr>
                <w:rFonts w:hint="eastAsia" w:ascii="宋体" w:hAnsi="宋体"/>
                <w:color w:val="000000"/>
                <w:highlight w:val="none"/>
              </w:rPr>
            </w:r>
            <w:r/>
          </w:p>
          <w:p>
            <w:pPr>
              <w:pStyle w:val="768"/>
              <w:jc w:val="left"/>
              <w:rPr>
                <w:rFonts w:hint="eastAsia" w:ascii="宋体" w:hAnsi="宋体"/>
                <w:color w:val="000000"/>
                <w:highlight w:val="none"/>
              </w:rPr>
            </w:pPr>
            <w:r>
              <w:rPr>
                <w:rFonts w:hint="eastAsia" w:ascii="宋体" w:hAnsi="宋体"/>
                <w:color w:val="000000"/>
                <w:highlight w:val="none"/>
              </w:rPr>
              <w:t xml:space="preserve">⑵贬值处理：由甲乙双方合议定价。</w:t>
            </w:r>
            <w:r>
              <w:rPr>
                <w:rFonts w:hint="eastAsia" w:ascii="宋体" w:hAnsi="宋体"/>
                <w:color w:val="000000"/>
                <w:highlight w:val="none"/>
              </w:rPr>
            </w:r>
            <w:r/>
          </w:p>
          <w:p>
            <w:pPr>
              <w:pStyle w:val="768"/>
              <w:jc w:val="left"/>
              <w:rPr>
                <w:rFonts w:ascii="宋体" w:hAnsi="宋体"/>
                <w:color w:val="000000"/>
                <w:szCs w:val="21"/>
                <w:highlight w:val="none"/>
              </w:rPr>
            </w:pPr>
            <w:r>
              <w:rPr>
                <w:rFonts w:hint="eastAsia" w:ascii="宋体" w:hAnsi="宋体"/>
                <w:color w:val="000000"/>
                <w:highlight w:val="none"/>
              </w:rPr>
              <w:t xml:space="preserve">⑶退货处理：乙方应退还甲方支付的合同款，同时应承担该货物的直接费用（运输、保险、检验、货款利息及银行手续费等）。</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u w:val="single"/>
              </w:rPr>
            </w:pPr>
            <w:r>
              <w:rPr>
                <w:rFonts w:hint="eastAsia" w:ascii="宋体" w:hAnsi="宋体"/>
                <w:color w:val="000000"/>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第15.3款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逾期付款利息</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u w:val="single"/>
              </w:rPr>
            </w:pPr>
            <w:r>
              <w:rPr>
                <w:rFonts w:hint="eastAsia" w:ascii="宋体" w:hAnsi="宋体"/>
                <w:color w:val="000000"/>
                <w:highlight w:val="none"/>
              </w:rPr>
              <w:t xml:space="preserve">甲方无故逾期验收和办理货款支付手续的</w:t>
            </w:r>
            <w:r>
              <w:rPr>
                <w:rFonts w:hint="eastAsia" w:ascii="宋体" w:hAnsi="宋体"/>
                <w:color w:val="000000"/>
                <w:highlight w:val="none"/>
                <w:lang w:eastAsia="zh-CN"/>
              </w:rPr>
              <w:t xml:space="preserve">，</w:t>
            </w:r>
            <w:r>
              <w:rPr>
                <w:rFonts w:hint="eastAsia" w:ascii="宋体" w:hAnsi="宋体"/>
                <w:color w:val="000000"/>
                <w:highlight w:val="none"/>
              </w:rPr>
              <w:t xml:space="preserve">甲方应按逾期付款总额每日万分之一向乙方支付违约金</w:t>
            </w:r>
            <w:r>
              <w:rPr>
                <w:rFonts w:ascii="宋体" w:hAnsi="宋体"/>
                <w:color w:val="000000"/>
                <w:szCs w:val="21"/>
                <w:highlight w:val="none"/>
                <w:u w:val="single"/>
              </w:rPr>
            </w:r>
            <w:r/>
          </w:p>
        </w:tc>
      </w:tr>
      <w:tr>
        <w:trPr>
          <w:trHeight w:val="87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u w:val="single"/>
              </w:rPr>
            </w:pPr>
            <w:r>
              <w:rPr>
                <w:rFonts w:hint="eastAsia" w:ascii="宋体" w:hAnsi="宋体"/>
                <w:color w:val="00000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768"/>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rPr>
                <w:rFonts w:ascii="宋体" w:hAnsi="宋体" w:cs="宋体"/>
                <w:iCs/>
                <w:color w:val="000000"/>
                <w:szCs w:val="21"/>
                <w:highlight w:val="none"/>
              </w:rPr>
            </w:r>
            <w:r/>
          </w:p>
          <w:p>
            <w:pPr>
              <w:pStyle w:val="768"/>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ascii="宋体" w:hAnsi="宋体" w:cs="宋体"/>
                <w:iCs/>
                <w:color w:val="000000"/>
                <w:szCs w:val="21"/>
                <w:highlight w:val="none"/>
              </w:rPr>
            </w:r>
            <w:r/>
          </w:p>
          <w:p>
            <w:pPr>
              <w:pStyle w:val="768"/>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泗洪县</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ascii="宋体" w:hAnsi="宋体"/>
                <w:color w:val="000000"/>
                <w:szCs w:val="21"/>
                <w:highlight w:val="none"/>
              </w:rPr>
            </w:r>
            <w:r/>
          </w:p>
        </w:tc>
      </w:tr>
    </w:tbl>
    <w:p>
      <w:pPr>
        <w:pStyle w:val="1153"/>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153"/>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153"/>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768"/>
        <w:spacing w:line="400" w:lineRule="exact"/>
        <w:rPr>
          <w:rFonts w:ascii="宋体" w:hAnsi="宋体"/>
          <w:bCs/>
          <w:sz w:val="24"/>
          <w:szCs w:val="24"/>
          <w:highlight w:val="none"/>
        </w:rPr>
      </w:pPr>
      <w:r>
        <w:rPr>
          <w:rFonts w:ascii="宋体" w:hAnsi="宋体"/>
          <w:bCs/>
          <w:sz w:val="24"/>
          <w:szCs w:val="24"/>
          <w:highlight w:val="none"/>
        </w:rPr>
      </w:r>
      <w:r/>
    </w:p>
    <w:p>
      <w:pPr>
        <w:pStyle w:val="768"/>
        <w:jc w:val="center"/>
        <w:keepLines/>
        <w:keepNext/>
        <w:pageBreakBefore/>
        <w:rPr>
          <w:b/>
          <w:sz w:val="44"/>
          <w:szCs w:val="44"/>
          <w:highlight w:val="none"/>
        </w:rPr>
        <w:outlineLvl w:val="0"/>
      </w:pPr>
      <w:r/>
      <w:bookmarkEnd w:id="127"/>
      <w:r/>
      <w:bookmarkEnd w:id="128"/>
      <w:r/>
      <w:bookmarkEnd w:id="129"/>
      <w:r/>
      <w:bookmarkStart w:id="130" w:name="_Toc81575170"/>
      <w:r/>
      <w:bookmarkStart w:id="131" w:name="_Toc19649"/>
      <w:r/>
      <w:bookmarkStart w:id="132" w:name="_Toc9003"/>
      <w:r/>
      <w:bookmarkStart w:id="133" w:name="_Toc22853"/>
      <w:r/>
      <w:bookmarkStart w:id="134" w:name="_Toc81575207"/>
      <w:r/>
      <w:bookmarkStart w:id="135" w:name="_Toc12937"/>
      <w:r>
        <w:rPr>
          <w:rFonts w:hint="eastAsia"/>
          <w:b/>
          <w:sz w:val="44"/>
          <w:szCs w:val="44"/>
          <w:highlight w:val="none"/>
        </w:rPr>
        <w:t xml:space="preserve">第六章  投标文件格式</w:t>
      </w:r>
      <w:bookmarkEnd w:id="130"/>
      <w:r/>
      <w:bookmarkEnd w:id="131"/>
      <w:r/>
      <w:bookmarkEnd w:id="132"/>
      <w:r/>
      <w:bookmarkEnd w:id="133"/>
      <w:r/>
      <w:bookmarkEnd w:id="134"/>
      <w:r/>
      <w:bookmarkEnd w:id="135"/>
      <w:r>
        <w:rPr>
          <w:b/>
          <w:sz w:val="44"/>
          <w:szCs w:val="44"/>
          <w:highlight w:val="none"/>
        </w:rPr>
      </w:r>
      <w:r/>
    </w:p>
    <w:p>
      <w:pPr>
        <w:pStyle w:val="768"/>
        <w:rPr>
          <w:highlight w:val="none"/>
        </w:rPr>
      </w:pPr>
      <w:r/>
      <w:bookmarkStart w:id="136" w:name="EB819316f773b24a75aef829f9b72900c0"/>
      <w:r>
        <w:rPr>
          <w:highlight w:val="none"/>
        </w:rPr>
      </w:r>
      <w:r/>
    </w:p>
    <w:p>
      <w:pPr>
        <w:pStyle w:val="768"/>
        <w:rPr>
          <w:rFonts w:ascii="Times New Roman" w:hAnsi="Times New Roman"/>
          <w:b/>
          <w:sz w:val="72"/>
          <w:highlight w:val="none"/>
        </w:rPr>
      </w:pPr>
      <w:r/>
      <w:bookmarkStart w:id="137" w:name="_Toc15716"/>
      <w:r>
        <w:rPr>
          <w:rFonts w:ascii="Times New Roman" w:hAnsi="Times New Roman"/>
          <w:b/>
          <w:sz w:val="72"/>
          <w:highlight w:val="none"/>
        </w:rPr>
      </w:r>
      <w:r/>
    </w:p>
    <w:p>
      <w:pPr>
        <w:pStyle w:val="768"/>
        <w:rPr>
          <w:rFonts w:ascii="Times New Roman" w:hAnsi="Times New Roman"/>
          <w:b/>
          <w:sz w:val="72"/>
          <w:highlight w:val="none"/>
        </w:rPr>
      </w:pPr>
      <w:r>
        <w:rPr>
          <w:rFonts w:ascii="Times New Roman" w:hAnsi="Times New Roman"/>
          <w:b/>
          <w:sz w:val="72"/>
          <w:highlight w:val="none"/>
        </w:rPr>
      </w:r>
      <w:r/>
    </w:p>
    <w:p>
      <w:pPr>
        <w:pStyle w:val="768"/>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hint="eastAsia" w:ascii="Times New Roman" w:hAnsi="Times New Roman"/>
          <w:b/>
          <w:sz w:val="72"/>
          <w:highlight w:val="none"/>
        </w:rPr>
        <w:t xml:space="preserve">投  标  文  件</w:t>
      </w: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36"/>
          <w:highlight w:val="none"/>
        </w:rPr>
      </w:pPr>
      <w:r>
        <w:rPr>
          <w:rFonts w:ascii="Times New Roman" w:hAnsi="Times New Roman"/>
          <w:b/>
          <w:sz w:val="36"/>
          <w:highlight w:val="none"/>
        </w:rPr>
      </w:r>
      <w:r/>
    </w:p>
    <w:p>
      <w:pPr>
        <w:pStyle w:val="768"/>
        <w:jc w:val="center"/>
        <w:rPr>
          <w:rFonts w:ascii="Times New Roman" w:hAnsi="Times New Roman"/>
          <w:b/>
          <w:sz w:val="36"/>
          <w:highlight w:val="none"/>
        </w:rPr>
      </w:pPr>
      <w:r>
        <w:rPr>
          <w:rFonts w:ascii="Times New Roman" w:hAnsi="Times New Roman"/>
          <w:b/>
          <w:sz w:val="36"/>
          <w:highlight w:val="none"/>
        </w:rPr>
      </w:r>
      <w:r/>
    </w:p>
    <w:p>
      <w:pPr>
        <w:pStyle w:val="768"/>
        <w:jc w:val="center"/>
        <w:rPr>
          <w:rFonts w:ascii="Times New Roman" w:hAnsi="Times New Roman"/>
          <w:b/>
          <w:sz w:val="36"/>
          <w:highlight w:val="none"/>
        </w:rPr>
      </w:pPr>
      <w:r>
        <w:rPr>
          <w:rFonts w:ascii="Times New Roman" w:hAnsi="Times New Roman"/>
          <w:b/>
          <w:sz w:val="36"/>
          <w:highlight w:val="none"/>
        </w:rPr>
      </w:r>
      <w:r/>
    </w:p>
    <w:p>
      <w:pPr>
        <w:pStyle w:val="768"/>
        <w:ind w:firstLine="1084"/>
        <w:rPr>
          <w:rFonts w:ascii="Times New Roman" w:hAnsi="Times New Roman"/>
          <w:b/>
          <w:sz w:val="36"/>
          <w:highlight w:val="none"/>
        </w:rPr>
      </w:pPr>
      <w:r>
        <w:rPr>
          <w:rFonts w:hint="eastAsia" w:ascii="Times New Roman" w:hAnsi="Times New Roman"/>
          <w:b/>
          <w:sz w:val="36"/>
          <w:highlight w:val="none"/>
        </w:rPr>
        <w:t xml:space="preserve">项 目 名 称：</w:t>
      </w:r>
      <w:r>
        <w:rPr>
          <w:rFonts w:hint="eastAsia" w:ascii="Times New Roman" w:hAnsi="Times New Roman"/>
          <w:b/>
          <w:sz w:val="36"/>
          <w:highlight w:val="none"/>
          <w:u w:val="single"/>
        </w:rPr>
        <w:t xml:space="preserve">               </w:t>
      </w:r>
      <w:r>
        <w:rPr>
          <w:rFonts w:ascii="Times New Roman" w:hAnsi="Times New Roman"/>
          <w:b/>
          <w:sz w:val="36"/>
          <w:highlight w:val="none"/>
        </w:rPr>
      </w:r>
      <w:r/>
    </w:p>
    <w:p>
      <w:pPr>
        <w:pStyle w:val="768"/>
        <w:ind w:firstLine="1084"/>
        <w:rPr>
          <w:rFonts w:ascii="Times New Roman" w:hAnsi="Times New Roman"/>
          <w:b/>
          <w:sz w:val="36"/>
          <w:highlight w:val="none"/>
          <w:u w:val="single"/>
        </w:rPr>
      </w:pPr>
      <w:r>
        <w:rPr>
          <w:rFonts w:hint="eastAsia" w:ascii="Times New Roman" w:hAnsi="Times New Roman"/>
          <w:b/>
          <w:sz w:val="36"/>
          <w:highlight w:val="none"/>
        </w:rPr>
        <w:t xml:space="preserve">项 目 编 号：</w:t>
      </w:r>
      <w:r>
        <w:rPr>
          <w:rFonts w:hint="eastAsia" w:ascii="Times New Roman" w:hAnsi="Times New Roman"/>
          <w:b/>
          <w:sz w:val="36"/>
          <w:highlight w:val="none"/>
          <w:u w:val="single"/>
        </w:rPr>
        <w:t xml:space="preserve">               </w:t>
      </w:r>
      <w:r>
        <w:rPr>
          <w:rFonts w:ascii="Times New Roman" w:hAnsi="Times New Roman"/>
          <w:b/>
          <w:sz w:val="36"/>
          <w:highlight w:val="none"/>
          <w:u w:val="single"/>
        </w:rPr>
      </w:r>
      <w:r/>
    </w:p>
    <w:p>
      <w:pPr>
        <w:pStyle w:val="768"/>
        <w:rPr>
          <w:rFonts w:ascii="Times New Roman" w:hAnsi="Times New Roman"/>
          <w:b/>
          <w:sz w:val="36"/>
          <w:highlight w:val="none"/>
          <w:u w:val="single"/>
        </w:rPr>
      </w:pPr>
      <w:r>
        <w:rPr>
          <w:rFonts w:hint="eastAsia" w:ascii="Times New Roman" w:hAnsi="Times New Roman"/>
          <w:b/>
          <w:sz w:val="36"/>
          <w:highlight w:val="none"/>
        </w:rPr>
        <w:t xml:space="preserve">      投标人名称 ：</w:t>
      </w:r>
      <w:r>
        <w:rPr>
          <w:rFonts w:hint="eastAsia" w:ascii="Times New Roman" w:hAnsi="Times New Roman"/>
          <w:b/>
          <w:sz w:val="36"/>
          <w:highlight w:val="none"/>
          <w:u w:val="single"/>
        </w:rPr>
        <w:t xml:space="preserve">（盖CA电子公章）</w:t>
      </w:r>
      <w:r>
        <w:rPr>
          <w:rFonts w:ascii="Times New Roman" w:hAnsi="Times New Roman"/>
          <w:b/>
          <w:sz w:val="36"/>
          <w:highlight w:val="none"/>
          <w:u w:val="single"/>
        </w:rPr>
      </w:r>
      <w:r/>
    </w:p>
    <w:p>
      <w:pPr>
        <w:pStyle w:val="768"/>
        <w:rPr>
          <w:rFonts w:ascii="Times New Roman" w:hAnsi="Times New Roman"/>
          <w:b/>
          <w:sz w:val="36"/>
          <w:highlight w:val="none"/>
          <w:u w:val="single"/>
        </w:rPr>
      </w:pPr>
      <w:r>
        <w:rPr>
          <w:rFonts w:hint="eastAsia" w:ascii="Times New Roman" w:hAnsi="Times New Roman"/>
          <w:b/>
          <w:sz w:val="36"/>
          <w:highlight w:val="none"/>
        </w:rPr>
        <w:t xml:space="preserve">      日      期 ：</w:t>
      </w:r>
      <w:r>
        <w:rPr>
          <w:rFonts w:hint="eastAsia" w:ascii="Times New Roman" w:hAnsi="Times New Roman"/>
          <w:b/>
          <w:sz w:val="36"/>
          <w:highlight w:val="none"/>
          <w:u w:val="single"/>
        </w:rPr>
        <w:t xml:space="preserve">               </w:t>
      </w:r>
      <w:bookmarkEnd w:id="137"/>
      <w:r>
        <w:rPr>
          <w:rFonts w:ascii="Times New Roman" w:hAnsi="Times New Roman"/>
          <w:b/>
          <w:sz w:val="36"/>
          <w:highlight w:val="none"/>
          <w:u w:val="singl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bookmarkEnd w:id="136"/>
      <w:r>
        <w:rPr>
          <w:rFonts w:ascii="宋体" w:hAnsi="宋体" w:eastAsia="宋体" w:cs="宋体"/>
          <w:highlight w:val="none"/>
        </w:rPr>
      </w:r>
      <w:r/>
    </w:p>
    <w:p>
      <w:pPr>
        <w:pStyle w:val="1051"/>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1051"/>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051"/>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68"/>
        <w:spacing w:line="360" w:lineRule="auto"/>
        <w:rPr>
          <w:rFonts w:ascii="Times New Roman" w:hAnsi="Times New Roman"/>
          <w:color w:val="000000"/>
          <w:sz w:val="28"/>
          <w:szCs w:val="28"/>
          <w:highlight w:val="none"/>
        </w:rPr>
      </w:pPr>
      <w:r/>
      <w:bookmarkStart w:id="138" w:name="_Toc26005"/>
      <w:r/>
      <w:bookmarkStart w:id="139" w:name="_Toc20577"/>
      <w:r>
        <w:rPr>
          <w:rFonts w:hint="eastAsia" w:ascii="Times New Roman" w:hAnsi="Times New Roman"/>
          <w:color w:val="000000"/>
          <w:sz w:val="28"/>
          <w:szCs w:val="28"/>
          <w:highlight w:val="none"/>
        </w:rPr>
        <w:t xml:space="preserve">一、投标函</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二、投标人基本情况</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、中小微企业声明函</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七</w:t>
      </w:r>
      <w:r>
        <w:rPr>
          <w:rFonts w:hint="eastAsia" w:ascii="Times New Roman" w:hAnsi="Times New Roman"/>
          <w:color w:val="000000"/>
          <w:sz w:val="28"/>
          <w:szCs w:val="28"/>
          <w:highlight w:val="none"/>
        </w:rPr>
        <w:t xml:space="preserve">、技术要求响应及偏离表</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w:t>
      </w:r>
      <w:r>
        <w:rPr>
          <w:rFonts w:hint="eastAsia" w:ascii="Times New Roman" w:hAnsi="Times New Roman"/>
          <w:color w:val="000000"/>
          <w:sz w:val="28"/>
          <w:szCs w:val="28"/>
          <w:highlight w:val="none"/>
          <w:lang w:val="en-US" w:eastAsia="zh-CN"/>
        </w:rPr>
        <w:t xml:space="preserve">人</w:t>
      </w:r>
      <w:r>
        <w:rPr>
          <w:rFonts w:hint="eastAsia" w:ascii="Times New Roman" w:hAnsi="Times New Roman"/>
          <w:color w:val="000000"/>
          <w:sz w:val="28"/>
          <w:szCs w:val="28"/>
          <w:highlight w:val="none"/>
        </w:rPr>
        <w:t xml:space="preserve">员</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、企业业绩</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十、项目实施方案</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一</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关于符合本国产品标准的声明函</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二</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演示</w:t>
      </w:r>
      <w:r>
        <w:rPr>
          <w:rFonts w:ascii="Times New Roman" w:hAnsi="Times New Roman"/>
          <w:color w:val="000000"/>
          <w:sz w:val="28"/>
          <w:szCs w:val="28"/>
          <w:highlight w:val="none"/>
        </w:rPr>
      </w:r>
      <w:r/>
    </w:p>
    <w:p>
      <w:pPr>
        <w:pStyle w:val="768"/>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投标所需其他材料</w:t>
      </w:r>
      <w:r>
        <w:rPr>
          <w:rFonts w:hint="eastAsia" w:ascii="Times New Roman" w:hAnsi="Times New Roman"/>
          <w:color w:val="000000"/>
          <w:sz w:val="28"/>
          <w:szCs w:val="28"/>
          <w:highlight w:val="none"/>
        </w:rPr>
      </w:r>
      <w:r/>
    </w:p>
    <w:p>
      <w:pPr>
        <w:pStyle w:val="768"/>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、分包意向协议书</w:t>
      </w:r>
      <w:r>
        <w:rPr>
          <w:rFonts w:hint="eastAsia"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1061"/>
        <w:rPr>
          <w:b w:val="0"/>
          <w:bCs/>
          <w:color w:val="000000"/>
          <w:highlight w:val="none"/>
        </w:rPr>
        <w:outlineLvl w:val="1"/>
      </w:pPr>
      <w:r/>
      <w:bookmarkStart w:id="140" w:name="_Toc8978"/>
      <w:r>
        <w:rPr>
          <w:rFonts w:hint="eastAsia"/>
          <w:b w:val="0"/>
          <w:bCs/>
          <w:color w:val="000000"/>
          <w:highlight w:val="none"/>
        </w:rPr>
        <w:t xml:space="preserve">一</w:t>
      </w:r>
      <w:r>
        <w:rPr>
          <w:b w:val="0"/>
          <w:bCs/>
          <w:color w:val="000000"/>
          <w:highlight w:val="none"/>
        </w:rPr>
        <w:t xml:space="preserve">、投标函</w:t>
      </w:r>
      <w:bookmarkEnd w:id="138"/>
      <w:r/>
      <w:bookmarkEnd w:id="139"/>
      <w:r/>
      <w:bookmarkEnd w:id="140"/>
      <w:r>
        <w:rPr>
          <w:b w:val="0"/>
          <w:bCs/>
          <w:color w:val="000000"/>
          <w:highlight w:val="none"/>
        </w:rPr>
      </w:r>
      <w:r/>
    </w:p>
    <w:p>
      <w:pPr>
        <w:pStyle w:val="1062"/>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6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ascii="方正小标宋_GBK" w:eastAsia="方正小标宋_GBK"/>
          <w:bCs/>
          <w:color w:val="000000"/>
          <w:sz w:val="32"/>
          <w:szCs w:val="32"/>
          <w:highlight w:val="none"/>
        </w:rPr>
      </w:r>
      <w:r/>
    </w:p>
    <w:p>
      <w:pPr>
        <w:pStyle w:val="1062"/>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四、如果我方的投标文件被接受，我方将按照《中华人民共和国民法典（第三编合同）》及其他有关法律、法规的规定，按期、按质、按量交付采购单位，全面做到履约守信；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六、我方同意采购人、采购代理机构将本函上网公开。</w:t>
      </w:r>
      <w:r>
        <w:rPr>
          <w:rFonts w:ascii="宋体" w:hAnsi="宋体"/>
          <w:color w:val="000000"/>
          <w:sz w:val="24"/>
          <w:szCs w:val="24"/>
          <w:highlight w:val="none"/>
        </w:rPr>
      </w:r>
      <w:r/>
    </w:p>
    <w:p>
      <w:pPr>
        <w:pStyle w:val="1062"/>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62"/>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1062"/>
        <w:ind w:firstLine="480"/>
        <w:rPr>
          <w:rFonts w:ascii="宋体" w:hAnsi="宋体"/>
          <w:color w:val="000000"/>
          <w:sz w:val="24"/>
          <w:szCs w:val="24"/>
          <w:highlight w:val="none"/>
        </w:rPr>
      </w:pPr>
      <w:r>
        <w:rPr>
          <w:rFonts w:ascii="宋体" w:hAnsi="宋体"/>
          <w:color w:val="000000"/>
          <w:sz w:val="24"/>
          <w:szCs w:val="24"/>
          <w:highlight w:val="none"/>
        </w:rPr>
      </w:r>
      <w:r/>
    </w:p>
    <w:p>
      <w:pPr>
        <w:pStyle w:val="1062"/>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1051"/>
        <w:spacing w:line="440" w:lineRule="exact"/>
        <w:rPr>
          <w:rFonts w:ascii="宋体" w:eastAsia="宋体" w:cs="宋体"/>
          <w:color w:val="000000"/>
          <w:highlight w:val="none"/>
        </w:rPr>
        <w:outlineLvl w:val="1"/>
      </w:pPr>
      <w:r>
        <w:rPr>
          <w:rFonts w:hint="eastAsia" w:ascii="宋体" w:eastAsia="宋体" w:cs="宋体"/>
          <w:b/>
          <w:color w:val="000000"/>
          <w:highlight w:val="none"/>
        </w:rPr>
        <w:t xml:space="preserve">二、投标人基本情况</w:t>
      </w:r>
      <w:r>
        <w:rPr>
          <w:rFonts w:ascii="宋体" w:eastAsia="宋体" w:cs="宋体"/>
          <w:color w:val="000000"/>
          <w:highlight w:val="none"/>
        </w:rPr>
      </w:r>
      <w:r/>
    </w:p>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投标人基本情况表</w:t>
      </w:r>
      <w:r>
        <w:rPr>
          <w:rFonts w:asci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投标人名称</w:t>
            </w:r>
            <w:r>
              <w:rPr>
                <w:rFonts w:ascii="宋体" w:cs="宋体"/>
                <w:color w:val="000000"/>
                <w:sz w:val="24"/>
                <w:szCs w:val="24"/>
                <w:highlight w:val="none"/>
              </w:rPr>
            </w:r>
            <w:r/>
          </w:p>
        </w:tc>
        <w:tc>
          <w:tcPr>
            <w:gridSpan w:val="3"/>
            <w:tcW w:w="699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法定代表人</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注册地区</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地址</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邮政编码</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成立时间</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单位性质</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注册号或社会信用代码</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注册资本（万元）</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投标人类别</w:t>
            </w:r>
            <w:r>
              <w:rPr>
                <w:rFonts w:ascii="宋体" w:cs="宋体"/>
                <w:color w:val="000000"/>
                <w:sz w:val="24"/>
                <w:szCs w:val="24"/>
                <w:highlight w:val="none"/>
              </w:rPr>
            </w:r>
            <w:r/>
          </w:p>
        </w:tc>
        <w:tc>
          <w:tcPr>
            <w:gridSpan w:val="3"/>
            <w:tcW w:w="699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开户银行</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账号</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联系人</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联系电话</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rHeight w:val="1046"/>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经营范围</w:t>
            </w:r>
            <w:r>
              <w:rPr>
                <w:rFonts w:ascii="宋体" w:cs="宋体"/>
                <w:color w:val="000000"/>
                <w:sz w:val="24"/>
                <w:szCs w:val="24"/>
                <w:highlight w:val="none"/>
              </w:rPr>
            </w:r>
            <w:r/>
          </w:p>
        </w:tc>
        <w:tc>
          <w:tcPr>
            <w:gridSpan w:val="3"/>
            <w:tcW w:w="6998" w:type="dxa"/>
            <w:vAlign w:val="top"/>
            <w:textDirection w:val="lrTb"/>
            <w:noWrap/>
          </w:tcPr>
          <w:p>
            <w:pPr>
              <w:pStyle w:val="1047"/>
              <w:ind w:firstLine="1432"/>
              <w:spacing w:line="440" w:lineRule="exact"/>
              <w:rPr>
                <w:rFonts w:ascii="宋体" w:cs="宋体"/>
                <w:color w:val="000000"/>
                <w:sz w:val="24"/>
                <w:szCs w:val="24"/>
                <w:highlight w:val="none"/>
              </w:rPr>
            </w:pPr>
            <w:r>
              <w:rPr>
                <w:rFonts w:ascii="宋体" w:cs="宋体"/>
                <w:color w:val="000000"/>
                <w:sz w:val="24"/>
                <w:szCs w:val="24"/>
                <w:highlight w:val="none"/>
              </w:rPr>
            </w:r>
            <w:r/>
          </w:p>
        </w:tc>
      </w:tr>
      <w:tr>
        <w:trPr>
          <w:trHeight w:val="1134"/>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备注</w:t>
            </w:r>
            <w:r>
              <w:rPr>
                <w:rFonts w:ascii="宋体" w:cs="宋体"/>
                <w:color w:val="000000"/>
                <w:sz w:val="24"/>
                <w:szCs w:val="24"/>
                <w:highlight w:val="none"/>
              </w:rPr>
            </w:r>
            <w:r/>
          </w:p>
        </w:tc>
        <w:tc>
          <w:tcPr>
            <w:gridSpan w:val="3"/>
            <w:tcW w:w="6998" w:type="dxa"/>
            <w:vAlign w:val="center"/>
            <w:textDirection w:val="lrTb"/>
            <w:noWrap/>
          </w:tcPr>
          <w:p>
            <w:pPr>
              <w:pStyle w:val="1047"/>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附营业执照</w:t>
            </w:r>
            <w:r>
              <w:rPr>
                <w:rFonts w:ascii="宋体" w:cs="宋体"/>
                <w:color w:val="000000"/>
                <w:sz w:val="24"/>
                <w:szCs w:val="24"/>
                <w:highlight w:val="none"/>
              </w:rPr>
            </w:r>
            <w:r/>
          </w:p>
        </w:tc>
      </w:tr>
    </w:tbl>
    <w:p>
      <w:pPr>
        <w:pStyle w:val="768"/>
        <w:ind w:firstLine="480"/>
        <w:spacing w:line="440" w:lineRule="exact"/>
        <w:rPr>
          <w:rFonts w:ascii="宋体" w:cs="宋体"/>
          <w:color w:val="000000"/>
          <w:sz w:val="24"/>
          <w:highlight w:val="none"/>
        </w:rPr>
      </w:pPr>
      <w:r>
        <w:rPr>
          <w:rFonts w:ascii="宋体" w:cs="宋体"/>
          <w:color w:val="000000"/>
          <w:sz w:val="24"/>
          <w:highlight w:val="none"/>
        </w:rPr>
      </w:r>
      <w:r/>
    </w:p>
    <w:p>
      <w:pPr>
        <w:pStyle w:val="768"/>
        <w:ind w:firstLine="480"/>
        <w:spacing w:line="440" w:lineRule="exact"/>
        <w:rPr>
          <w:rFonts w:ascii="宋体" w:cs="宋体"/>
          <w:color w:val="000000"/>
          <w:sz w:val="24"/>
          <w:highlight w:val="none"/>
        </w:rPr>
      </w:pPr>
      <w:r>
        <w:rPr>
          <w:rFonts w:ascii="宋体" w:cs="宋体"/>
          <w:color w:val="000000"/>
          <w:sz w:val="24"/>
          <w:highlight w:val="none"/>
        </w:rPr>
      </w:r>
      <w:r/>
    </w:p>
    <w:p>
      <w:pPr>
        <w:pStyle w:val="768"/>
        <w:ind w:firstLine="420"/>
        <w:spacing w:line="440" w:lineRule="exact"/>
        <w:rPr>
          <w:rFonts w:ascii="宋体" w:cs="宋体"/>
          <w:bCs/>
          <w:color w:val="000000"/>
          <w:sz w:val="24"/>
          <w:highlight w:val="none"/>
        </w:rPr>
      </w:pPr>
      <w:r>
        <w:rPr>
          <w:rFonts w:ascii="宋体" w:cs="宋体"/>
          <w:bCs/>
          <w:color w:val="000000"/>
          <w:sz w:val="24"/>
          <w:highlight w:val="none"/>
        </w:rPr>
      </w:r>
      <w:r/>
    </w:p>
    <w:p>
      <w:pPr>
        <w:pStyle w:val="768"/>
        <w:rPr>
          <w:color w:val="000000"/>
          <w:highlight w:val="none"/>
        </w:rPr>
        <w:outlineLvl w:val="1"/>
      </w:pPr>
      <w:r>
        <w:rPr>
          <w:rFonts w:hint="eastAsia"/>
          <w:color w:val="000000"/>
          <w:highlight w:val="none"/>
        </w:rPr>
        <w:br w:type="page" w:clear="all"/>
      </w:r>
      <w:bookmarkStart w:id="141" w:name="_Toc3680"/>
      <w:r/>
      <w:bookmarkStart w:id="142" w:name="_Toc29506"/>
      <w:r/>
      <w:bookmarkStart w:id="143" w:name="_Toc27409"/>
      <w:r>
        <w:rPr>
          <w:rFonts w:hint="eastAsia"/>
          <w:color w:val="000000"/>
          <w:highlight w:val="none"/>
          <w:lang w:val="en-US" w:eastAsia="zh-CN"/>
        </w:rPr>
        <w:t xml:space="preserve">三</w:t>
      </w:r>
      <w:r>
        <w:rPr>
          <w:rFonts w:hint="eastAsia" w:ascii="黑体" w:hAnsi="黑体" w:eastAsia="黑体" w:cs="黑体"/>
          <w:bCs/>
          <w:color w:val="000000"/>
          <w:sz w:val="32"/>
          <w:szCs w:val="24"/>
          <w:highlight w:val="none"/>
        </w:rPr>
        <w:t xml:space="preserve">、</w:t>
      </w:r>
      <w:bookmarkEnd w:id="141"/>
      <w:r/>
      <w:bookmarkEnd w:id="142"/>
      <w:r>
        <w:rPr>
          <w:rFonts w:hint="eastAsia" w:ascii="黑体" w:hAnsi="黑体" w:eastAsia="黑体" w:cs="黑体"/>
          <w:bCs/>
          <w:color w:val="000000"/>
          <w:sz w:val="32"/>
          <w:szCs w:val="24"/>
          <w:highlight w:val="none"/>
        </w:rPr>
        <w:t xml:space="preserve">法人授权书</w:t>
      </w:r>
      <w:bookmarkEnd w:id="143"/>
      <w:r>
        <w:rPr>
          <w:color w:val="000000"/>
          <w:highlight w:val="none"/>
        </w:rPr>
      </w:r>
      <w:r/>
    </w:p>
    <w:p>
      <w:pPr>
        <w:pStyle w:val="1062"/>
        <w:jc w:val="center"/>
        <w:rPr>
          <w:rFonts w:ascii="方正小标宋_GBK" w:eastAsia="方正小标宋_GBK"/>
          <w:bCs/>
          <w:color w:val="000000"/>
          <w:sz w:val="32"/>
          <w:szCs w:val="32"/>
          <w:highlight w:val="none"/>
        </w:rPr>
      </w:pPr>
      <w:r/>
      <w:bookmarkStart w:id="144" w:name="OLE_LINK6"/>
      <w:r>
        <w:rPr>
          <w:rFonts w:hint="eastAsia" w:ascii="方正小标宋_GBK" w:eastAsia="方正小标宋_GBK"/>
          <w:bCs/>
          <w:color w:val="000000"/>
          <w:sz w:val="32"/>
          <w:szCs w:val="32"/>
          <w:highlight w:val="none"/>
        </w:rPr>
        <w:t xml:space="preserve">法人授权书</w:t>
      </w:r>
      <w:bookmarkEnd w:id="144"/>
      <w:r>
        <w:rPr>
          <w:rFonts w:ascii="方正小标宋_GBK" w:eastAsia="方正小标宋_GBK"/>
          <w:bCs/>
          <w:color w:val="000000"/>
          <w:sz w:val="32"/>
          <w:szCs w:val="32"/>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本授权书声明：____________（投标人名称）授权________________（被授权人的姓名）为我方就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采购活动的合法代理人，以本单位名义全权处理一切与该项目采购有关的事务。</w:t>
      </w:r>
      <w:r>
        <w:rPr>
          <w:rFonts w:ascii="宋体" w:hAnsi="宋体" w:cs="宋体"/>
          <w:color w:val="000000"/>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本授权书于______年____月____日起生效，特此声明。</w:t>
      </w:r>
      <w:r>
        <w:rPr>
          <w:rFonts w:ascii="宋体" w:hAnsi="宋体" w:cs="宋体"/>
          <w:color w:val="000000"/>
          <w:highlight w:val="none"/>
        </w:rPr>
      </w:r>
      <w:r/>
    </w:p>
    <w:p>
      <w:pPr>
        <w:pStyle w:val="768"/>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被授权人身份证号码：</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68"/>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被授权人联系电话：（手机）</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授权单位名称：</w:t>
      </w:r>
      <w:r>
        <w:rPr>
          <w:rFonts w:hint="eastAsia" w:ascii="宋体" w:hAnsi="宋体" w:cs="宋体"/>
          <w:color w:val="000000"/>
          <w:sz w:val="24"/>
          <w:highlight w:val="none"/>
          <w:u w:val="single"/>
        </w:rPr>
        <w:t xml:space="preserve">（加盖CA电子公章）</w:t>
      </w:r>
      <w:r>
        <w:rPr>
          <w:rFonts w:ascii="宋体" w:hAnsi="宋体" w:cs="宋体"/>
          <w:color w:val="000000"/>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68"/>
        <w:spacing w:line="55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日期：</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1064"/>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768"/>
        <w:ind w:firstLine="480"/>
        <w:spacing w:line="49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注：投标人代理人(授权委托人)必须为本单位正式员工，并在投标文件中提供投标截止日前6个月内由本单位为其缴纳的任意1个月社会养老保险证明资料电子件。</w:t>
      </w:r>
      <w:r>
        <w:rPr>
          <w:rFonts w:ascii="宋体" w:hAnsi="宋体" w:cs="宋体"/>
          <w:b/>
          <w:bCs/>
          <w:color w:val="000000"/>
          <w:sz w:val="24"/>
          <w:highlight w:val="none"/>
        </w:rPr>
      </w:r>
      <w:r/>
    </w:p>
    <w:p>
      <w:pPr>
        <w:pStyle w:val="1067"/>
        <w:rPr>
          <w:color w:val="000000"/>
          <w:highlight w:val="none"/>
        </w:rPr>
        <w:outlineLvl w:val="1"/>
      </w:pPr>
      <w:r>
        <w:rPr>
          <w:color w:val="000000"/>
          <w:highlight w:val="none"/>
        </w:rPr>
        <w:br w:type="page" w:clear="all"/>
      </w:r>
      <w:bookmarkStart w:id="145" w:name="_Toc27199"/>
      <w:r/>
      <w:bookmarkStart w:id="146" w:name="_Toc30543"/>
      <w:r/>
      <w:bookmarkStart w:id="147" w:name="_Toc13550"/>
      <w:r>
        <w:rPr>
          <w:rFonts w:hint="eastAsia"/>
          <w:b w:val="0"/>
          <w:bCs/>
          <w:color w:val="000000"/>
          <w:highlight w:val="none"/>
          <w:lang w:val="en-US" w:eastAsia="zh-CN"/>
        </w:rPr>
        <w:t xml:space="preserve">四</w:t>
      </w:r>
      <w:r>
        <w:rPr>
          <w:b w:val="0"/>
          <w:bCs/>
          <w:color w:val="000000"/>
          <w:highlight w:val="none"/>
        </w:rPr>
        <w:t xml:space="preserve">、开标一览表</w:t>
      </w:r>
      <w:bookmarkEnd w:id="145"/>
      <w:r/>
      <w:bookmarkEnd w:id="146"/>
      <w:r/>
      <w:bookmarkEnd w:id="147"/>
      <w:r>
        <w:rPr>
          <w:color w:val="000000"/>
          <w:highlight w:val="none"/>
        </w:rPr>
      </w:r>
      <w:r/>
    </w:p>
    <w:p>
      <w:pPr>
        <w:pStyle w:val="1068"/>
        <w:rPr>
          <w:rFonts w:ascii="宋体" w:hAnsi="宋体" w:eastAsia="宋体" w:cs="宋体"/>
          <w:color w:val="000000"/>
          <w:highlight w:val="none"/>
        </w:rPr>
      </w:pPr>
      <w:r>
        <w:rPr>
          <w:rFonts w:ascii="宋体" w:hAnsi="宋体" w:eastAsia="宋体" w:cs="宋体"/>
          <w:color w:val="000000"/>
          <w:highlight w:val="none"/>
        </w:rPr>
      </w:r>
      <w:r/>
    </w:p>
    <w:p>
      <w:pPr>
        <w:pStyle w:val="1068"/>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768"/>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ascii="宋体" w:hAnsi="宋体" w:cs="宋体"/>
          <w:color w:val="000000"/>
          <w:sz w:val="24"/>
          <w:szCs w:val="24"/>
          <w:highlight w:val="none"/>
        </w:rPr>
      </w:r>
      <w:r/>
    </w:p>
    <w:p>
      <w:pPr>
        <w:pStyle w:val="768"/>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ascii="宋体" w:hAnsi="宋体" w:cs="宋体"/>
          <w:color w:val="000000"/>
          <w:sz w:val="24"/>
          <w:szCs w:val="24"/>
          <w:highlight w:val="none"/>
        </w:rPr>
      </w:r>
      <w:r/>
    </w:p>
    <w:p>
      <w:pPr>
        <w:pStyle w:val="768"/>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bl>
      <w:tblPr>
        <w:tblStyle w:val="12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8630" w:type="dxa"/>
            <w:vAlign w:val="top"/>
            <w:textDirection w:val="lrTb"/>
            <w:noWrap w:val="false"/>
          </w:tcPr>
          <w:p>
            <w:pPr>
              <w:pStyle w:val="768"/>
              <w:jc w:val="center"/>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投标总报价</w:t>
            </w:r>
            <w:r>
              <w:rPr>
                <w:rFonts w:ascii="宋体" w:hAnsi="宋体" w:cs="宋体"/>
                <w:color w:val="000000"/>
                <w:sz w:val="24"/>
                <w:szCs w:val="24"/>
                <w:highlight w:val="none"/>
              </w:rPr>
            </w:r>
            <w:r/>
          </w:p>
        </w:tc>
      </w:tr>
      <w:tr>
        <w:trPr/>
        <w:tc>
          <w:tcPr>
            <w:tcW w:w="8630" w:type="dxa"/>
            <w:vAlign w:val="top"/>
            <w:textDirection w:val="lrTb"/>
            <w:noWrap w:val="false"/>
          </w:tcPr>
          <w:p>
            <w:pPr>
              <w:pStyle w:val="768"/>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总价（小写）：          </w:t>
            </w:r>
            <w:r>
              <w:rPr>
                <w:rFonts w:ascii="宋体" w:hAnsi="宋体" w:cs="宋体"/>
                <w:color w:val="000000"/>
                <w:sz w:val="24"/>
                <w:szCs w:val="24"/>
                <w:highlight w:val="none"/>
              </w:rPr>
              <w:t xml:space="preserve">（人民币：元）</w:t>
            </w:r>
            <w:r>
              <w:rPr>
                <w:rFonts w:ascii="宋体" w:hAnsi="宋体" w:cs="宋体"/>
                <w:color w:val="000000"/>
                <w:sz w:val="24"/>
                <w:szCs w:val="24"/>
                <w:highlight w:val="none"/>
              </w:rPr>
            </w:r>
            <w:r/>
          </w:p>
        </w:tc>
      </w:tr>
      <w:tr>
        <w:trPr/>
        <w:tc>
          <w:tcPr>
            <w:tcW w:w="8630" w:type="dxa"/>
            <w:vAlign w:val="top"/>
            <w:textDirection w:val="lrTb"/>
            <w:noWrap w:val="false"/>
          </w:tcPr>
          <w:p>
            <w:pPr>
              <w:pStyle w:val="768"/>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总价（大写）：</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（人民币：元）</w:t>
            </w:r>
            <w:r>
              <w:rPr>
                <w:rFonts w:ascii="宋体" w:hAnsi="宋体" w:cs="宋体"/>
                <w:color w:val="000000"/>
                <w:sz w:val="24"/>
                <w:szCs w:val="24"/>
                <w:highlight w:val="none"/>
              </w:rPr>
            </w:r>
            <w:r/>
          </w:p>
        </w:tc>
      </w:tr>
    </w:tbl>
    <w:p>
      <w:pPr>
        <w:pStyle w:val="768"/>
        <w:spacing w:line="5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48"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48"/>
      <w:r>
        <w:rPr>
          <w:rFonts w:ascii="宋体" w:hAnsi="宋体" w:cs="宋体"/>
          <w:color w:val="000000"/>
          <w:sz w:val="24"/>
          <w:highlight w:val="none"/>
        </w:rPr>
      </w:r>
      <w:r/>
    </w:p>
    <w:p>
      <w:pPr>
        <w:pStyle w:val="1070"/>
        <w:rPr>
          <w:color w:val="000000"/>
          <w:highlight w:val="none"/>
        </w:rPr>
        <w:outlineLvl w:val="1"/>
      </w:pPr>
      <w:r>
        <w:rPr>
          <w:color w:val="000000"/>
          <w:highlight w:val="none"/>
        </w:rPr>
        <w:br w:type="page" w:clear="all"/>
      </w:r>
      <w:bookmarkStart w:id="149" w:name="_Toc26543"/>
      <w:r/>
      <w:bookmarkStart w:id="150" w:name="_Toc956"/>
      <w:r/>
      <w:bookmarkStart w:id="151" w:name="_Toc12614"/>
      <w:r>
        <w:rPr>
          <w:rFonts w:hint="eastAsia"/>
          <w:color w:val="000000"/>
          <w:highlight w:val="none"/>
          <w:lang w:val="en-US" w:eastAsia="zh-CN"/>
        </w:rPr>
        <w:t xml:space="preserve">五</w:t>
      </w:r>
      <w:r>
        <w:rPr>
          <w:b w:val="0"/>
          <w:bCs/>
          <w:color w:val="000000"/>
          <w:highlight w:val="none"/>
        </w:rPr>
        <w:t xml:space="preserve">、</w:t>
      </w:r>
      <w:bookmarkEnd w:id="149"/>
      <w:r/>
      <w:bookmarkEnd w:id="150"/>
      <w:r>
        <w:rPr>
          <w:rFonts w:hint="eastAsia"/>
          <w:b w:val="0"/>
          <w:bCs/>
          <w:color w:val="000000"/>
          <w:highlight w:val="none"/>
        </w:rPr>
        <w:t xml:space="preserve">分项报价表</w:t>
      </w:r>
      <w:bookmarkEnd w:id="151"/>
      <w:r>
        <w:rPr>
          <w:color w:val="000000"/>
          <w:highlight w:val="none"/>
        </w:rPr>
      </w:r>
      <w:r/>
    </w:p>
    <w:p>
      <w:pPr>
        <w:pStyle w:val="106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rPr>
          <w:rFonts w:ascii="方正小标宋_GBK" w:eastAsia="方正小标宋_GBK"/>
          <w:bCs/>
          <w:color w:val="000000"/>
          <w:sz w:val="32"/>
          <w:szCs w:val="32"/>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1"/>
        <w:gridCol w:w="660"/>
        <w:gridCol w:w="868"/>
        <w:gridCol w:w="1317"/>
        <w:gridCol w:w="1002"/>
        <w:gridCol w:w="748"/>
        <w:gridCol w:w="755"/>
        <w:gridCol w:w="1100"/>
        <w:gridCol w:w="760"/>
      </w:tblGrid>
      <w:tr>
        <w:trPr>
          <w:cantSplit/>
          <w:trHeight w:val="544"/>
        </w:trPr>
        <w:tc>
          <w:tcPr>
            <w:tcW w:w="267" w:type="dxa"/>
            <w:vAlign w:val="top"/>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产品</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名称</w:t>
            </w: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品牌</w:t>
            </w: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规格</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型号</w:t>
            </w: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制造商名称</w:t>
            </w:r>
            <w:r>
              <w:rPr>
                <w:rFonts w:ascii="宋体" w:hAnsi="宋体"/>
                <w:color w:val="000000"/>
                <w:sz w:val="24"/>
                <w:szCs w:val="24"/>
                <w:highlight w:val="none"/>
              </w:rPr>
            </w:r>
            <w:r/>
          </w:p>
        </w:tc>
        <w:tc>
          <w:tcPr>
            <w:tcW w:w="588"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产地</w:t>
            </w: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cantSplit/>
          <w:trHeight w:val="688"/>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96"/>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u w:val="single"/>
              </w:rPr>
            </w:pPr>
            <w:r>
              <w:rPr>
                <w:rFonts w:ascii="宋体" w:hAnsi="宋体"/>
                <w:color w:val="000000"/>
                <w:sz w:val="24"/>
                <w:szCs w:val="24"/>
                <w:highlight w:val="none"/>
                <w:u w:val="singl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724"/>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77"/>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77"/>
        </w:trPr>
        <w:tc>
          <w:tcPr>
            <w:gridSpan w:val="3"/>
            <w:tcW w:w="1967" w:type="dxa"/>
            <w:vAlign w:val="center"/>
            <w:textDirection w:val="lrTb"/>
            <w:noWrap w:val="false"/>
          </w:tcPr>
          <w:p>
            <w:pPr>
              <w:pStyle w:val="1158"/>
              <w:jc w:val="left"/>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rPr>
                <w:rFonts w:ascii="宋体" w:hAnsi="宋体"/>
                <w:b/>
                <w:bCs/>
                <w:color w:val="000000"/>
                <w:sz w:val="24"/>
                <w:highlight w:val="none"/>
              </w:rPr>
            </w:r>
            <w:r/>
          </w:p>
        </w:tc>
        <w:tc>
          <w:tcPr>
            <w:gridSpan w:val="7"/>
            <w:tcW w:w="6550" w:type="dxa"/>
            <w:vAlign w:val="center"/>
            <w:textDirection w:val="lrTb"/>
            <w:noWrap w:val="false"/>
          </w:tcPr>
          <w:p>
            <w:pPr>
              <w:pStyle w:val="1158"/>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b/>
                <w:bCs/>
                <w:color w:val="000000"/>
                <w:sz w:val="24"/>
                <w:highlight w:val="none"/>
              </w:rPr>
            </w:r>
            <w:r/>
          </w:p>
          <w:p>
            <w:pPr>
              <w:pStyle w:val="1158"/>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rPr>
                <w:rFonts w:ascii="宋体" w:hAnsi="宋体"/>
                <w:b/>
                <w:bCs/>
                <w:color w:val="000000"/>
                <w:sz w:val="24"/>
                <w:highlight w:val="none"/>
              </w:rPr>
            </w:r>
            <w:r/>
          </w:p>
        </w:tc>
      </w:tr>
      <w:tr>
        <w:trPr>
          <w:cantSplit/>
          <w:trHeight w:val="677"/>
        </w:trPr>
        <w:tc>
          <w:tcPr>
            <w:gridSpan w:val="10"/>
            <w:tcW w:w="8517" w:type="dxa"/>
            <w:vAlign w:val="center"/>
            <w:textDirection w:val="lrTb"/>
            <w:noWrap w:val="false"/>
          </w:tcPr>
          <w:p>
            <w:pPr>
              <w:pStyle w:val="1158"/>
              <w:jc w:val="left"/>
              <w:spacing w:line="500" w:lineRule="exact"/>
              <w:rPr>
                <w:rFonts w:ascii="宋体" w:hAnsi="宋体"/>
                <w:b/>
                <w:bCs/>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b/>
                <w:bCs/>
                <w:color w:val="000000"/>
                <w:sz w:val="24"/>
                <w:highlight w:val="none"/>
              </w:rPr>
            </w:r>
            <w:r/>
          </w:p>
        </w:tc>
      </w:tr>
    </w:tbl>
    <w:p>
      <w:pPr>
        <w:pStyle w:val="768"/>
        <w:numPr>
          <w:ilvl w:val="0"/>
          <w:numId w:val="0"/>
        </w:numPr>
        <w:spacing w:line="276" w:lineRule="auto"/>
        <w:rPr>
          <w:rFonts w:hint="eastAsia" w:ascii="仿宋" w:hAnsi="仿宋" w:eastAsia="仿宋"/>
          <w:color w:val="000000"/>
          <w:sz w:val="24"/>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lang w:val="en-US" w:eastAsia="zh-CN"/>
        </w:rPr>
        <w:t xml:space="preserve">1.</w:t>
      </w:r>
      <w:r>
        <w:rPr>
          <w:rFonts w:hint="eastAsia" w:ascii="仿宋" w:hAnsi="仿宋" w:eastAsia="仿宋"/>
          <w:color w:val="000000"/>
          <w:sz w:val="24"/>
        </w:rPr>
        <w:t xml:space="preserve">投标报价采用总承包方式，“投标总报价”应包括货款、标准附件、备品备件、专用工具、包装、运输、装卸、保险、税金、货到就位以及安装、调试、培训、保修等完成本项目所涉及到的一切相关费用，招标文件中另有规定的除外。</w:t>
      </w:r>
      <w:r>
        <w:rPr>
          <w:rFonts w:hint="eastAsia" w:ascii="仿宋" w:hAnsi="仿宋" w:eastAsia="仿宋"/>
          <w:color w:val="000000"/>
          <w:sz w:val="24"/>
        </w:rPr>
      </w:r>
      <w:r/>
    </w:p>
    <w:p>
      <w:pPr>
        <w:pStyle w:val="768"/>
        <w:ind w:firstLine="480"/>
        <w:spacing w:line="276" w:lineRule="auto"/>
        <w:rPr>
          <w:rFonts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rPr>
        <w:t xml:space="preserve">“</w:t>
      </w:r>
      <w:r>
        <w:rPr>
          <w:rFonts w:hint="eastAsia" w:ascii="仿宋" w:hAnsi="仿宋" w:eastAsia="仿宋"/>
          <w:color w:val="000000"/>
          <w:sz w:val="24"/>
        </w:rPr>
        <w:t xml:space="preserve">投标报价明细表</w:t>
      </w:r>
      <w:r>
        <w:rPr>
          <w:rFonts w:hint="eastAsia" w:ascii="仿宋" w:hAnsi="仿宋" w:eastAsia="仿宋"/>
          <w:color w:val="000000"/>
        </w:rPr>
        <w:t xml:space="preserve">”</w:t>
      </w:r>
      <w:r>
        <w:rPr>
          <w:rFonts w:hint="eastAsia" w:ascii="仿宋" w:hAnsi="仿宋" w:eastAsia="仿宋"/>
          <w:color w:val="000000"/>
          <w:sz w:val="24"/>
        </w:rPr>
        <w:t xml:space="preserve">中“投标总报价”数额应当与“开标一览表”中“投标总报价”数额一致。</w:t>
      </w:r>
      <w:r>
        <w:rPr>
          <w:rFonts w:ascii="仿宋" w:hAnsi="仿宋" w:eastAsia="仿宋"/>
          <w:color w:val="000000"/>
          <w:sz w:val="24"/>
        </w:rPr>
      </w:r>
      <w:r/>
    </w:p>
    <w:p>
      <w:pPr>
        <w:pStyle w:val="768"/>
        <w:ind w:firstLine="480"/>
        <w:spacing w:line="276" w:lineRule="auto"/>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olor w:val="000000"/>
          <w:sz w:val="24"/>
          <w:lang w:val="en-US" w:eastAsia="zh-CN"/>
        </w:rPr>
      </w:r>
      <w:r/>
    </w:p>
    <w:p>
      <w:pPr>
        <w:pStyle w:val="768"/>
        <w:ind w:firstLine="480"/>
        <w:spacing w:line="276" w:lineRule="auto"/>
        <w:rPr>
          <w:rFonts w:hint="eastAsia" w:ascii="仿宋" w:hAnsi="仿宋" w:eastAsia="仿宋"/>
          <w:b/>
          <w:bCs/>
          <w:color w:val="000000"/>
          <w:sz w:val="24"/>
          <w:highlight w:val="none"/>
          <w:lang w:val="en-US" w:eastAsia="zh-CN"/>
        </w:rPr>
      </w:pPr>
      <w:r>
        <w:rPr>
          <w:rFonts w:hint="eastAsia" w:ascii="仿宋" w:hAnsi="仿宋" w:eastAsia="仿宋"/>
          <w:color w:val="000000"/>
          <w:sz w:val="24"/>
          <w:highlight w:val="none"/>
          <w:lang w:val="en-US" w:eastAsia="zh-CN"/>
        </w:rPr>
        <w:t xml:space="preserve">4.</w:t>
      </w:r>
      <w:r>
        <w:rPr>
          <w:rFonts w:hint="eastAsia" w:ascii="仿宋" w:hAnsi="仿宋" w:eastAsia="仿宋"/>
          <w:b/>
          <w:bCs/>
          <w:color w:val="000000"/>
          <w:sz w:val="24"/>
          <w:highlight w:val="none"/>
          <w:lang w:val="en-US" w:eastAsia="zh-CN"/>
        </w:rPr>
        <w:t xml:space="preserve">投标人需认真填写本表，尤其注意设备品牌规格型号的准确填写。投标人须提供所投标的产品品牌、型号，须按照招标文件中投标文件格式要求填写完整。除辅材（含以施工为主的条目）和技术参数标明为定制的货物之外（具体为“清单及技术参数要求 二、AI智慧体育设备采购：序号44、序号45”）其它应该标明品牌和型号的产品，投标人在投标文件中必须标明品牌、型号，否则作无效投标处理。</w:t>
      </w:r>
      <w:r>
        <w:rPr>
          <w:rFonts w:hint="eastAsia" w:ascii="仿宋" w:hAnsi="仿宋" w:eastAsia="仿宋"/>
          <w:b/>
          <w:bCs/>
          <w:color w:val="000000"/>
          <w:sz w:val="24"/>
          <w:highlight w:val="none"/>
          <w:lang w:val="en-US" w:eastAsia="zh-CN"/>
        </w:rPr>
      </w:r>
      <w:r/>
    </w:p>
    <w:p>
      <w:pPr>
        <w:pStyle w:val="768"/>
        <w:spacing w:line="400" w:lineRule="exact"/>
        <w:rPr>
          <w:rFonts w:ascii="仿宋" w:hAnsi="仿宋" w:eastAsia="仿宋" w:cs="仿宋"/>
          <w:color w:val="000000"/>
          <w:highlight w:val="none"/>
        </w:rPr>
        <w:sectPr>
          <w:footnotePr/>
          <w:endnotePr/>
          <w:type w:val="continuous"/>
          <w:pgSz w:w="11906" w:h="16838" w:orient="portrait"/>
          <w:pgMar w:top="1440" w:right="1800" w:bottom="1440" w:left="1800" w:header="851" w:footer="992" w:gutter="0"/>
          <w:cols w:num="1" w:sep="0" w:space="1701" w:equalWidth="1"/>
          <w:docGrid w:linePitch="360"/>
        </w:sectPr>
      </w:pPr>
      <w:r>
        <w:rPr>
          <w:rFonts w:ascii="仿宋" w:hAnsi="仿宋" w:eastAsia="仿宋" w:cs="仿宋"/>
          <w:color w:val="000000"/>
          <w:highlight w:val="none"/>
        </w:rPr>
        <w:br w:type="page" w:clear="all"/>
      </w:r>
      <w:r/>
    </w:p>
    <w:p>
      <w:pPr>
        <w:pStyle w:val="864"/>
        <w:rPr>
          <w:rFonts w:ascii="仿宋" w:hAnsi="仿宋" w:eastAsia="仿宋" w:cs="仿宋"/>
          <w:color w:val="000000"/>
          <w:szCs w:val="32"/>
          <w:highlight w:val="none"/>
        </w:rPr>
        <w:outlineLvl w:val="1"/>
      </w:pPr>
      <w:r>
        <w:rPr>
          <w:rFonts w:hint="eastAsia" w:ascii="仿宋" w:hAnsi="仿宋" w:eastAsia="仿宋" w:cs="仿宋"/>
          <w:color w:val="000000"/>
          <w:highlight w:val="none"/>
          <w:lang w:val="en-US" w:eastAsia="zh-CN"/>
        </w:rPr>
        <w:t xml:space="preserve">六</w:t>
      </w:r>
      <w:r>
        <w:rPr>
          <w:rFonts w:hint="eastAsia" w:ascii="仿宋" w:hAnsi="仿宋" w:eastAsia="仿宋" w:cs="仿宋"/>
          <w:color w:val="000000"/>
          <w:highlight w:val="none"/>
        </w:rPr>
        <w:t xml:space="preserve">、中小微企业声明函</w:t>
      </w:r>
      <w:r>
        <w:rPr>
          <w:rFonts w:ascii="仿宋" w:hAnsi="仿宋" w:eastAsia="仿宋" w:cs="仿宋"/>
          <w:color w:val="000000"/>
          <w:szCs w:val="32"/>
          <w:highlight w:val="none"/>
        </w:rPr>
      </w:r>
      <w:r/>
    </w:p>
    <w:p>
      <w:pPr>
        <w:pStyle w:val="768"/>
        <w:ind w:firstLine="360"/>
        <w:jc w:val="center"/>
        <w:spacing w:line="560" w:lineRule="exact"/>
        <w:rPr>
          <w:rFonts w:ascii="仿宋" w:hAnsi="仿宋" w:eastAsia="仿宋" w:cs="仿宋"/>
          <w:color w:val="000000"/>
          <w:sz w:val="24"/>
          <w:highlight w:val="none"/>
        </w:rPr>
      </w:pPr>
      <w:r>
        <w:rPr>
          <w:rFonts w:hint="eastAsia" w:ascii="仿宋" w:hAnsi="仿宋" w:eastAsia="仿宋" w:cs="仿宋"/>
          <w:b/>
          <w:color w:val="000000"/>
          <w:sz w:val="32"/>
          <w:szCs w:val="24"/>
          <w:highlight w:val="none"/>
        </w:rPr>
        <w:t xml:space="preserve">中小微企业声明函（货物）</w:t>
      </w:r>
      <w:r>
        <w:rPr>
          <w:rFonts w:ascii="仿宋" w:hAnsi="仿宋" w:eastAsia="仿宋" w:cs="仿宋"/>
          <w:color w:val="000000"/>
          <w:sz w:val="24"/>
          <w:highlight w:val="none"/>
        </w:rPr>
      </w:r>
      <w:r/>
    </w:p>
    <w:p>
      <w:pPr>
        <w:pStyle w:val="768"/>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（采购包号：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rPr>
          <w:rFonts w:ascii="仿宋" w:hAnsi="仿宋" w:eastAsia="仿宋" w:cs="仿宋"/>
          <w:color w:val="000000"/>
          <w:sz w:val="24"/>
          <w:szCs w:val="24"/>
          <w:highlight w:val="none"/>
        </w:rPr>
      </w:r>
      <w:r/>
    </w:p>
    <w:p>
      <w:pPr>
        <w:pStyle w:val="768"/>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  1.</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68"/>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2.</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68"/>
        <w:ind w:firstLine="240"/>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3.</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68"/>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68"/>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ascii="仿宋" w:hAnsi="仿宋" w:eastAsia="仿宋" w:cs="仿宋"/>
          <w:color w:val="000000"/>
          <w:sz w:val="24"/>
          <w:szCs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768"/>
        <w:ind w:right="180" w:firstLine="360"/>
        <w:jc w:val="righ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right="180" w:firstLine="36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rPr>
          <w:rFonts w:ascii="仿宋" w:hAnsi="仿宋" w:eastAsia="仿宋" w:cs="仿宋"/>
          <w:color w:val="000000"/>
          <w:sz w:val="24"/>
          <w:highlight w:val="none"/>
        </w:rPr>
      </w:r>
      <w:r/>
    </w:p>
    <w:p>
      <w:pPr>
        <w:pStyle w:val="768"/>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  期：   年  月  日</w:t>
      </w:r>
      <w:r>
        <w:rPr>
          <w:rFonts w:ascii="仿宋" w:hAnsi="仿宋" w:eastAsia="仿宋" w:cs="仿宋"/>
          <w:color w:val="000000"/>
          <w:sz w:val="24"/>
          <w:highlight w:val="none"/>
        </w:rPr>
      </w:r>
      <w:r/>
    </w:p>
    <w:p>
      <w:pPr>
        <w:pStyle w:val="768"/>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2.供应商自行勾选制造商的企业规模类型。 </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3.此声明函将随中标结果同时公告，</w:t>
      </w:r>
      <w:r>
        <w:rPr>
          <w:rFonts w:hint="eastAsia" w:ascii="仿宋" w:hAnsi="仿宋" w:eastAsia="仿宋" w:cs="仿宋"/>
          <w:color w:val="000000"/>
          <w:sz w:val="24"/>
          <w:highlight w:val="none"/>
          <w:lang w:eastAsia="zh-CN"/>
        </w:rPr>
        <w:t xml:space="preserve">接受</w:t>
      </w:r>
      <w:r>
        <w:rPr>
          <w:rFonts w:hint="eastAsia" w:ascii="仿宋" w:hAnsi="仿宋" w:eastAsia="仿宋" w:cs="仿宋"/>
          <w:color w:val="000000"/>
          <w:sz w:val="24"/>
          <w:highlight w:val="none"/>
        </w:rPr>
        <w:t xml:space="preserve">社会监督。</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4.此声明函中的“标的名称”详见-招标文件-第四章 采购需求-采购清单-“名称”，请勿填写“项目名称”。</w:t>
      </w:r>
      <w:r>
        <w:rPr>
          <w:rFonts w:ascii="仿宋" w:hAnsi="仿宋" w:eastAsia="仿宋" w:cs="仿宋"/>
          <w:color w:val="000000"/>
          <w:sz w:val="24"/>
          <w:highlight w:val="none"/>
        </w:rPr>
      </w:r>
      <w:r/>
    </w:p>
    <w:p>
      <w:pPr>
        <w:pStyle w:val="768"/>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68"/>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68"/>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68"/>
        <w:ind w:firstLine="241"/>
        <w:jc w:val="center"/>
        <w:spacing w:line="55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rPr>
        <w:t xml:space="preserve"> </w:t>
      </w:r>
      <w:r>
        <w:rPr>
          <w:rFonts w:hint="eastAsia" w:ascii="仿宋" w:hAnsi="仿宋" w:eastAsia="仿宋" w:cs="仿宋"/>
          <w:b/>
          <w:color w:val="000000"/>
          <w:sz w:val="32"/>
          <w:szCs w:val="24"/>
          <w:highlight w:val="none"/>
        </w:rPr>
        <w:t xml:space="preserve">中小微企业声明函（服务/工程类项目）</w:t>
      </w:r>
      <w:r>
        <w:rPr>
          <w:rFonts w:ascii="宋体" w:hAnsi="宋体" w:cs="宋体"/>
          <w:b/>
          <w:color w:val="000000"/>
          <w:sz w:val="24"/>
          <w:highlight w:val="none"/>
        </w:rPr>
      </w:r>
      <w:r/>
    </w:p>
    <w:p>
      <w:pPr>
        <w:pStyle w:val="1078"/>
        <w:rPr>
          <w:rFonts w:ascii="宋体" w:hAnsi="宋体" w:cs="宋体"/>
          <w:b/>
          <w:color w:val="000000"/>
          <w:sz w:val="32"/>
          <w:szCs w:val="32"/>
          <w:highlight w:val="none"/>
        </w:rPr>
      </w:pPr>
      <w:r>
        <w:rPr>
          <w:rFonts w:ascii="宋体" w:hAnsi="宋体" w:cs="宋体"/>
          <w:b/>
          <w:color w:val="000000"/>
          <w:sz w:val="32"/>
          <w:szCs w:val="32"/>
          <w:highlight w:val="none"/>
        </w:rPr>
      </w:r>
      <w:r/>
    </w:p>
    <w:p>
      <w:pPr>
        <w:pStyle w:val="107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本公司（联合体）郑重声明，根据《政府采购促进中小企业发展管理办法》（财库〔2020〕46号）的规定，本公司（联合体）参加项目编号为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1"/>
          <w:highlight w:val="none"/>
        </w:rPr>
        <w:t xml:space="preserve">的</w:t>
      </w:r>
      <w:r>
        <w:rPr>
          <w:rFonts w:hint="eastAsia" w:ascii="仿宋" w:hAnsi="仿宋" w:eastAsia="仿宋" w:cs="仿宋"/>
          <w:color w:val="000000"/>
          <w:sz w:val="24"/>
          <w:szCs w:val="21"/>
          <w:highlight w:val="none"/>
          <w:u w:val="single"/>
        </w:rPr>
        <w:t xml:space="preserve"> </w:t>
      </w:r>
      <w:r>
        <w:rPr>
          <w:rFonts w:hint="eastAsia" w:ascii="仿宋" w:hAnsi="仿宋" w:eastAsia="仿宋" w:cs="仿宋"/>
          <w:bCs/>
          <w:iCs/>
          <w:color w:val="000000"/>
          <w:sz w:val="24"/>
          <w:szCs w:val="24"/>
          <w:highlight w:val="none"/>
          <w:u w:val="single"/>
        </w:rPr>
        <w:t xml:space="preserve">（</w:t>
      </w:r>
      <w:r>
        <w:rPr>
          <w:rFonts w:hint="eastAsia" w:ascii="仿宋" w:hAnsi="仿宋" w:eastAsia="仿宋" w:cs="仿宋"/>
          <w:color w:val="000000"/>
          <w:sz w:val="24"/>
          <w:szCs w:val="24"/>
          <w:highlight w:val="none"/>
          <w:u w:val="single"/>
        </w:rPr>
        <w:t xml:space="preserve">采购包号：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bCs/>
          <w:iCs/>
          <w:color w:val="000000"/>
          <w:sz w:val="24"/>
          <w:szCs w:val="24"/>
          <w:highlight w:val="none"/>
          <w:u w:val="single"/>
        </w:rPr>
        <w:t xml:space="preserve">）</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4"/>
          <w:highlight w:val="none"/>
        </w:rPr>
        <w:t xml:space="preserve">采购活动，服务全部由符合政策的中小微企业承接。相关企业（含联合体中的中小微企业、签订采购包意向协议的中小微企业）的具体情况如下：</w:t>
      </w:r>
      <w:r>
        <w:rPr>
          <w:rFonts w:ascii="仿宋" w:hAnsi="仿宋" w:eastAsia="仿宋" w:cs="仿宋"/>
          <w:color w:val="000000"/>
          <w:sz w:val="24"/>
          <w:szCs w:val="24"/>
          <w:highlight w:val="none"/>
        </w:rPr>
      </w:r>
      <w:r/>
    </w:p>
    <w:p>
      <w:pPr>
        <w:pStyle w:val="1078"/>
        <w:ind w:left="479" w:firstLine="64"/>
        <w:jc w:val="left"/>
        <w:spacing w:line="50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建筑业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     （企业名称）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□中型企业 □小型企业 □微型企业；</w:t>
      </w:r>
      <w:r>
        <w:rPr>
          <w:rFonts w:ascii="仿宋" w:hAnsi="仿宋" w:eastAsia="仿宋" w:cs="仿宋"/>
          <w:color w:val="000000"/>
          <w:sz w:val="24"/>
          <w:szCs w:val="24"/>
          <w:highlight w:val="none"/>
          <w:u w:val="single"/>
        </w:rPr>
      </w:r>
      <w:r/>
    </w:p>
    <w:p>
      <w:pPr>
        <w:pStyle w:val="1078"/>
        <w:ind w:left="479" w:firstLine="64"/>
        <w:jc w:val="left"/>
        <w:spacing w:line="50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建筑业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     （企业名称）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□中型企业 □小型企业 □微型企业；</w:t>
      </w:r>
      <w:r>
        <w:rPr>
          <w:rFonts w:ascii="仿宋" w:hAnsi="仿宋" w:eastAsia="仿宋" w:cs="仿宋"/>
          <w:color w:val="000000"/>
          <w:sz w:val="24"/>
          <w:szCs w:val="24"/>
          <w:highlight w:val="none"/>
          <w:u w:val="single"/>
        </w:rPr>
      </w:r>
      <w:r/>
    </w:p>
    <w:p>
      <w:pPr>
        <w:pStyle w:val="1078"/>
        <w:ind w:left="543"/>
        <w:jc w:val="left"/>
        <w:spacing w:line="500" w:lineRule="exact"/>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r>
      <w:r/>
    </w:p>
    <w:p>
      <w:pPr>
        <w:pStyle w:val="768"/>
        <w:ind w:firstLine="650"/>
        <w:spacing w:line="400" w:lineRule="atLeast"/>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w:t>
      </w:r>
      <w:r>
        <w:rPr>
          <w:rFonts w:ascii="仿宋" w:hAnsi="仿宋" w:eastAsia="仿宋" w:cs="仿宋"/>
          <w:color w:val="000000"/>
          <w:sz w:val="24"/>
          <w:szCs w:val="24"/>
          <w:highlight w:val="none"/>
          <w:u w:val="single"/>
        </w:rPr>
      </w:r>
      <w:r/>
    </w:p>
    <w:p>
      <w:pPr>
        <w:pStyle w:val="107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ascii="仿宋" w:hAnsi="仿宋" w:eastAsia="仿宋" w:cs="仿宋"/>
          <w:color w:val="000000"/>
          <w:sz w:val="24"/>
          <w:szCs w:val="24"/>
          <w:highlight w:val="none"/>
        </w:rPr>
      </w:r>
      <w:r/>
    </w:p>
    <w:p>
      <w:pPr>
        <w:pStyle w:val="107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ascii="仿宋" w:hAnsi="仿宋" w:eastAsia="仿宋" w:cs="仿宋"/>
          <w:color w:val="000000"/>
          <w:sz w:val="24"/>
          <w:szCs w:val="24"/>
          <w:highlight w:val="none"/>
        </w:rPr>
      </w:r>
      <w:r/>
    </w:p>
    <w:p>
      <w:pPr>
        <w:pStyle w:val="768"/>
        <w:ind w:right="72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68"/>
        <w:ind w:right="1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ascii="仿宋" w:hAnsi="仿宋" w:eastAsia="仿宋" w:cs="仿宋"/>
          <w:color w:val="000000"/>
          <w:sz w:val="24"/>
          <w:szCs w:val="24"/>
          <w:highlight w:val="none"/>
        </w:rPr>
      </w:r>
      <w:r/>
    </w:p>
    <w:p>
      <w:pPr>
        <w:pStyle w:val="768"/>
        <w:spacing w:line="360" w:lineRule="auto"/>
        <w:rPr>
          <w:rFonts w:ascii="仿宋" w:hAnsi="仿宋" w:eastAsia="仿宋" w:cs="仿宋"/>
          <w:color w:val="000000"/>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w:t>
      </w:r>
      <w:r>
        <w:rPr>
          <w:rFonts w:hint="eastAsia" w:ascii="仿宋" w:hAnsi="仿宋" w:eastAsia="仿宋" w:cs="仿宋"/>
          <w:color w:val="000000"/>
          <w:sz w:val="24"/>
          <w:szCs w:val="24"/>
          <w:highlight w:val="none"/>
        </w:rPr>
        <w:t xml:space="preserve">日</w:t>
      </w:r>
      <w:r>
        <w:rPr>
          <w:rFonts w:ascii="仿宋" w:hAnsi="仿宋" w:eastAsia="仿宋" w:cs="仿宋"/>
          <w:color w:val="000000"/>
          <w:highlight w:val="none"/>
        </w:rPr>
      </w:r>
      <w:r/>
    </w:p>
    <w:p>
      <w:pPr>
        <w:pStyle w:val="768"/>
        <w:ind w:firstLine="360"/>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2.供应商自行勾选制造商的企业规模类型。 </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3.此声明函将随中标结果同时公告，</w:t>
      </w:r>
      <w:r>
        <w:rPr>
          <w:rFonts w:hint="eastAsia" w:ascii="仿宋" w:hAnsi="仿宋" w:eastAsia="仿宋" w:cs="仿宋"/>
          <w:color w:val="000000"/>
          <w:sz w:val="24"/>
          <w:highlight w:val="none"/>
          <w:lang w:eastAsia="zh-CN"/>
        </w:rPr>
        <w:t xml:space="preserve">接受</w:t>
      </w:r>
      <w:r>
        <w:rPr>
          <w:rFonts w:hint="eastAsia" w:ascii="仿宋" w:hAnsi="仿宋" w:eastAsia="仿宋" w:cs="仿宋"/>
          <w:color w:val="000000"/>
          <w:sz w:val="24"/>
          <w:highlight w:val="none"/>
        </w:rPr>
        <w:t xml:space="preserve">社会监督。</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4.此声明函中的“标的名称”详见-招标文件-第四章 采购需求-采购清单-“名称”，请勿填写“项目名称”。</w:t>
      </w:r>
      <w:r>
        <w:rPr>
          <w:rFonts w:ascii="仿宋" w:hAnsi="仿宋" w:eastAsia="仿宋" w:cs="仿宋"/>
          <w:color w:val="000000"/>
          <w:sz w:val="24"/>
          <w:highlight w:val="none"/>
        </w:rPr>
      </w:r>
      <w:r/>
    </w:p>
    <w:p>
      <w:pPr>
        <w:pStyle w:val="768"/>
        <w:jc w:val="center"/>
        <w:spacing w:line="360" w:lineRule="auto"/>
        <w:rPr>
          <w:rFonts w:ascii="仿宋" w:hAnsi="仿宋" w:eastAsia="仿宋" w:cs="仿宋"/>
          <w:color w:val="000000"/>
          <w:sz w:val="32"/>
          <w:szCs w:val="32"/>
          <w:highlight w:val="none"/>
        </w:rPr>
        <w:outlineLvl w:val="1"/>
      </w:pPr>
      <w:r>
        <w:rPr>
          <w:rFonts w:hint="eastAsia" w:ascii="仿宋" w:hAnsi="仿宋" w:eastAsia="仿宋" w:cs="仿宋"/>
          <w:color w:val="000000"/>
          <w:sz w:val="32"/>
          <w:szCs w:val="32"/>
          <w:highlight w:val="none"/>
        </w:rPr>
        <w:br w:type="page" w:clear="all"/>
      </w:r>
      <w:bookmarkStart w:id="152" w:name="_Toc18617"/>
      <w:r/>
      <w:bookmarkStart w:id="153" w:name="_Toc158133337"/>
      <w:r/>
      <w:bookmarkStart w:id="154" w:name="_Toc158281568"/>
      <w:r/>
      <w:bookmarkStart w:id="155" w:name="_Toc158125008"/>
      <w:r>
        <w:rPr>
          <w:rFonts w:hint="eastAsia" w:ascii="仿宋" w:hAnsi="仿宋" w:eastAsia="仿宋" w:cs="仿宋"/>
          <w:color w:val="000000"/>
          <w:sz w:val="32"/>
          <w:szCs w:val="32"/>
          <w:highlight w:val="none"/>
        </w:rPr>
        <w:t xml:space="preserve">残疾人福利性单位声明函</w:t>
      </w:r>
      <w:bookmarkEnd w:id="152"/>
      <w:r/>
      <w:bookmarkEnd w:id="153"/>
      <w:r/>
      <w:bookmarkEnd w:id="154"/>
      <w:r/>
      <w:bookmarkEnd w:id="155"/>
      <w:r>
        <w:rPr>
          <w:rFonts w:ascii="仿宋" w:hAnsi="仿宋" w:eastAsia="仿宋" w:cs="仿宋"/>
          <w:color w:val="000000"/>
          <w:sz w:val="32"/>
          <w:szCs w:val="32"/>
          <w:highlight w:val="none"/>
        </w:rPr>
      </w:r>
      <w:r/>
    </w:p>
    <w:p>
      <w:pPr>
        <w:pStyle w:val="768"/>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highlight w:val="none"/>
          <w:u w:val="single"/>
        </w:rPr>
        <w:t xml:space="preserve">项目编号为：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u w:val="single"/>
        </w:rPr>
        <w:t xml:space="preserve">（项目名称：    ）</w:t>
      </w:r>
      <w:r>
        <w:rPr>
          <w:rFonts w:hint="eastAsia" w:ascii="仿宋" w:hAnsi="仿宋" w:eastAsia="仿宋" w:cs="仿宋"/>
          <w:color w:val="000000"/>
          <w:sz w:val="24"/>
          <w:highlight w:val="none"/>
          <w:u w:val="single"/>
        </w:rPr>
        <w:t xml:space="preserve">（采购包号：    ）</w:t>
      </w:r>
      <w:r>
        <w:rPr>
          <w:rFonts w:hint="eastAsia" w:ascii="仿宋" w:hAnsi="仿宋" w:eastAsia="仿宋" w:cs="仿宋"/>
          <w:color w:val="000000"/>
          <w:sz w:val="24"/>
          <w:highlight w:val="none"/>
        </w:rPr>
        <w:t xml:space="preserve">采购活动提供本单位制造的货物，或者提供其他残疾人福利性单位制造的货物（不包括使用非残疾人福利性单位注册商标的货物）。</w:t>
      </w:r>
      <w:r>
        <w:rPr>
          <w:rFonts w:ascii="仿宋" w:hAnsi="仿宋" w:eastAsia="仿宋" w:cs="仿宋"/>
          <w:color w:val="000000"/>
          <w:sz w:val="24"/>
          <w:highlight w:val="none"/>
        </w:rPr>
      </w:r>
      <w:r/>
    </w:p>
    <w:p>
      <w:pPr>
        <w:pStyle w:val="768"/>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768"/>
        <w:ind w:firstLine="480"/>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 非专门面向中小微型企业采购的项目，供应商如不提供此声明函，价格将不做相应扣除。</w:t>
      </w: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pacing w:val="6"/>
          <w:sz w:val="30"/>
          <w:szCs w:val="30"/>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rPr>
          <w:rFonts w:ascii="仿宋" w:hAnsi="仿宋" w:eastAsia="仿宋" w:cs="仿宋"/>
          <w:color w:val="000000"/>
          <w:spacing w:val="6"/>
          <w:sz w:val="30"/>
          <w:szCs w:val="30"/>
          <w:highlight w:val="none"/>
        </w:rPr>
      </w:r>
      <w:r/>
    </w:p>
    <w:p>
      <w:pPr>
        <w:pStyle w:val="1207"/>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768"/>
        <w:ind w:right="180" w:firstLine="36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rPr>
          <w:rFonts w:ascii="仿宋" w:hAnsi="仿宋" w:eastAsia="仿宋" w:cs="仿宋"/>
          <w:color w:val="000000"/>
          <w:sz w:val="24"/>
          <w:highlight w:val="none"/>
        </w:rPr>
      </w:r>
      <w:r/>
    </w:p>
    <w:p>
      <w:pPr>
        <w:pStyle w:val="768"/>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年___月___日</w:t>
      </w:r>
      <w:r>
        <w:rPr>
          <w:rFonts w:ascii="仿宋" w:hAnsi="仿宋" w:eastAsia="仿宋" w:cs="仿宋"/>
          <w:color w:val="000000"/>
          <w:sz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1079"/>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68"/>
        <w:jc w:val="left"/>
        <w:spacing w:line="440" w:lineRule="exact"/>
        <w:rPr>
          <w:rFonts w:asci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cs="宋体"/>
          <w:b/>
          <w:color w:val="000000"/>
          <w:sz w:val="24"/>
          <w:highlight w:val="none"/>
        </w:rPr>
      </w:r>
      <w:r/>
    </w:p>
    <w:p>
      <w:pPr>
        <w:pStyle w:val="768"/>
        <w:jc w:val="left"/>
        <w:spacing w:line="440" w:lineRule="exact"/>
        <w:rPr>
          <w:rFonts w:ascii="宋体" w:cs="宋体"/>
          <w:b/>
          <w:color w:val="000000"/>
          <w:sz w:val="24"/>
          <w:highlight w:val="none"/>
        </w:rPr>
        <w:outlineLvl w:val="1"/>
      </w:pPr>
      <w:r>
        <w:rPr>
          <w:rFonts w:hint="eastAsia" w:ascii="宋体" w:cs="宋体"/>
          <w:b/>
          <w:color w:val="000000"/>
          <w:sz w:val="24"/>
          <w:highlight w:val="none"/>
          <w:lang w:val="en-US" w:eastAsia="zh-CN"/>
        </w:rPr>
        <w:t xml:space="preserve">七</w:t>
      </w:r>
      <w:r>
        <w:rPr>
          <w:rFonts w:hint="eastAsia" w:ascii="宋体" w:cs="宋体"/>
          <w:b/>
          <w:color w:val="000000"/>
          <w:sz w:val="24"/>
          <w:highlight w:val="none"/>
        </w:rPr>
        <w:t xml:space="preserve">、技术要求响应及偏离表</w:t>
      </w:r>
      <w:r>
        <w:rPr>
          <w:rFonts w:ascii="宋体" w:cs="宋体"/>
          <w:b/>
          <w:color w:val="000000"/>
          <w:sz w:val="24"/>
          <w:highlight w:val="none"/>
        </w:rPr>
      </w:r>
      <w:r/>
    </w:p>
    <w:p>
      <w:pPr>
        <w:pStyle w:val="768"/>
        <w:ind w:firstLine="1446"/>
        <w:rPr>
          <w:rFonts w:asci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cs="宋体"/>
          <w:b/>
          <w:color w:val="000000"/>
          <w:sz w:val="24"/>
          <w:highlight w:val="none"/>
        </w:rPr>
      </w:r>
      <w:r/>
    </w:p>
    <w:p>
      <w:pPr>
        <w:pStyle w:val="768"/>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b/>
          <w:color w:val="000000"/>
          <w:sz w:val="24"/>
          <w:highlight w:val="none"/>
        </w:rPr>
        <w:t xml:space="preserve">实质性要求响应及偏离表（采购包号：）</w:t>
      </w:r>
      <w:r>
        <w:rPr>
          <w:color w:val="000000"/>
          <w:highlight w:val="none"/>
        </w:rPr>
      </w:r>
      <w:r/>
    </w:p>
    <w:tbl>
      <w:tblPr>
        <w:tblW w:w="0" w:type="auto"/>
        <w:tblInd w:w="-216"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序号</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技术要求和商务要求中的实质性要求</w:t>
            </w:r>
            <w:r>
              <w:rPr>
                <w:rFonts w:hint="eastAsia" w:ascii="宋体" w:cs="宋体"/>
                <w:i/>
                <w:color w:val="000000"/>
                <w:sz w:val="24"/>
                <w:highlight w:val="none"/>
                <w:u w:val="single"/>
              </w:rPr>
              <w:t xml:space="preserve">（</w:t>
            </w:r>
            <w:r>
              <w:rPr>
                <w:rFonts w:hint="eastAsia" w:ascii="宋体" w:cs="宋体"/>
                <w:color w:val="000000"/>
                <w:sz w:val="24"/>
                <w:highlight w:val="none"/>
                <w:u w:val="single"/>
              </w:rPr>
              <w:t xml:space="preserve">打“★”内容）</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投标响应情况</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超出、符合或偏离</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1</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2</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bl>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附件 证明材料1，证明材料2，……</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备注：</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1.投标人必须对技术要求和商务要求中的实质性要求</w:t>
      </w:r>
      <w:r>
        <w:rPr>
          <w:rFonts w:hint="eastAsia" w:ascii="宋体" w:cs="宋体"/>
          <w:i/>
          <w:color w:val="000000"/>
          <w:sz w:val="24"/>
          <w:highlight w:val="none"/>
          <w:u w:val="single"/>
        </w:rPr>
        <w:t xml:space="preserve">（</w:t>
      </w:r>
      <w:r>
        <w:rPr>
          <w:rFonts w:hint="eastAsia" w:ascii="宋体" w:cs="宋体"/>
          <w:color w:val="000000"/>
          <w:sz w:val="24"/>
          <w:highlight w:val="none"/>
          <w:u w:val="single"/>
        </w:rPr>
        <w:t xml:space="preserve">打“★”内容）</w:t>
      </w:r>
      <w:r>
        <w:rPr>
          <w:rFonts w:hint="eastAsia" w:ascii="宋体" w:cs="宋体"/>
          <w:color w:val="000000"/>
          <w:sz w:val="24"/>
          <w:highlight w:val="none"/>
        </w:rPr>
        <w:t xml:space="preserve">逐条做出明确响应。</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2.如果招标文件要求提供证明材料，投标人必须将证明材料列于该表之下。</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3.投标人未对实质性要求逐条作出明确响应的，或未按招标文件要求提供证明材料的，该采购包作无效标处理。</w:t>
      </w:r>
      <w:r>
        <w:rPr>
          <w:color w:val="000000"/>
          <w:highlight w:val="none"/>
        </w:rPr>
      </w:r>
      <w:r/>
    </w:p>
    <w:p>
      <w:pPr>
        <w:pStyle w:val="768"/>
        <w:jc w:val="center"/>
        <w:spacing w:line="560" w:lineRule="exact"/>
        <w:rPr>
          <w:rFonts w:ascii="宋体" w:cs="宋体"/>
          <w:b/>
          <w:color w:val="000000"/>
          <w:sz w:val="32"/>
          <w:szCs w:val="32"/>
          <w:highlight w:val="none"/>
        </w:rPr>
      </w:pPr>
      <w:r>
        <w:rPr>
          <w:rFonts w:ascii="宋体" w:cs="宋体"/>
          <w:b/>
          <w:color w:val="000000"/>
          <w:sz w:val="32"/>
          <w:szCs w:val="32"/>
          <w:highlight w:val="none"/>
        </w:rPr>
      </w:r>
      <w:r/>
    </w:p>
    <w:p>
      <w:pPr>
        <w:pStyle w:val="768"/>
        <w:jc w:val="center"/>
        <w:spacing w:line="560" w:lineRule="exact"/>
        <w:rPr>
          <w:rFonts w:ascii="宋体" w:cs="宋体"/>
          <w:b/>
          <w:color w:val="000000"/>
          <w:sz w:val="32"/>
          <w:szCs w:val="32"/>
          <w:highlight w:val="none"/>
        </w:rPr>
      </w:pPr>
      <w:r>
        <w:rPr>
          <w:rFonts w:ascii="宋体" w:cs="宋体"/>
          <w:b/>
          <w:color w:val="000000"/>
          <w:sz w:val="32"/>
          <w:szCs w:val="32"/>
          <w:highlight w:val="none"/>
        </w:rPr>
      </w:r>
      <w:r/>
    </w:p>
    <w:p>
      <w:pPr>
        <w:pStyle w:val="768"/>
        <w:jc w:val="center"/>
        <w:rPr>
          <w:rFonts w:ascii="宋体" w:cs="宋体"/>
          <w:b/>
          <w:color w:val="000000"/>
          <w:sz w:val="24"/>
          <w:highlight w:val="none"/>
        </w:rPr>
      </w:pPr>
      <w:r>
        <w:rPr>
          <w:rFonts w:hint="eastAsia" w:ascii="宋体" w:cs="宋体"/>
          <w:b/>
          <w:color w:val="000000"/>
          <w:sz w:val="24"/>
          <w:highlight w:val="none"/>
        </w:rPr>
        <w:t xml:space="preserve">技术要求响应及偏离表（采购包号：）</w:t>
      </w:r>
      <w:r>
        <w:rPr>
          <w:rFonts w:ascii="宋体" w:cs="宋体"/>
          <w:b/>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序号</w:t>
            </w:r>
            <w:r>
              <w:rPr>
                <w:rFonts w:ascii="宋体" w:cs="宋体"/>
                <w:color w:val="000000"/>
                <w:sz w:val="24"/>
                <w:highlight w:val="none"/>
              </w:rPr>
            </w:r>
            <w:r/>
          </w:p>
        </w:tc>
        <w:tc>
          <w:tcPr>
            <w:tcW w:w="3063"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技术要求</w:t>
            </w:r>
            <w:r>
              <w:rPr>
                <w:rFonts w:ascii="宋体" w:cs="宋体"/>
                <w:color w:val="000000"/>
                <w:sz w:val="24"/>
                <w:highlight w:val="none"/>
              </w:rPr>
            </w:r>
            <w:r/>
          </w:p>
        </w:tc>
        <w:tc>
          <w:tcPr>
            <w:tcW w:w="3191"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投标响应情况</w:t>
            </w:r>
            <w:r>
              <w:rPr>
                <w:rFonts w:ascii="宋体" w:cs="宋体"/>
                <w:color w:val="000000"/>
                <w:sz w:val="24"/>
                <w:highlight w:val="none"/>
              </w:rPr>
            </w:r>
            <w:r/>
          </w:p>
        </w:tc>
        <w:tc>
          <w:tcPr>
            <w:tcW w:w="2128"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超出、符合或偏离</w:t>
            </w: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1</w:t>
            </w: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3191"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12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w:t>
            </w:r>
            <w:r>
              <w:rPr>
                <w:rFonts w:ascii="宋体" w:cs="宋体"/>
                <w:color w:val="000000"/>
                <w:sz w:val="24"/>
                <w:highlight w:val="none"/>
              </w:rPr>
            </w:r>
            <w:r/>
          </w:p>
        </w:tc>
        <w:tc>
          <w:tcPr>
            <w:tcW w:w="3191"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12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bl>
    <w:p>
      <w:pPr>
        <w:pStyle w:val="768"/>
        <w:spacing w:line="400" w:lineRule="exact"/>
        <w:rPr>
          <w:rFonts w:ascii="宋体" w:cs="宋体"/>
          <w:color w:val="000000"/>
          <w:sz w:val="24"/>
          <w:highlight w:val="none"/>
        </w:rPr>
      </w:pPr>
      <w:r>
        <w:rPr>
          <w:rFonts w:hint="eastAsia" w:ascii="宋体" w:cs="宋体"/>
          <w:color w:val="000000"/>
          <w:sz w:val="24"/>
          <w:highlight w:val="none"/>
        </w:rPr>
        <w:t xml:space="preserve">附件  证明材料1，证明材料2，……</w:t>
      </w:r>
      <w:r>
        <w:rPr>
          <w:rFonts w:ascii="宋体" w:cs="宋体"/>
          <w:color w:val="000000"/>
          <w:sz w:val="24"/>
          <w:highlight w:val="none"/>
        </w:rPr>
      </w:r>
      <w:r/>
    </w:p>
    <w:p>
      <w:pPr>
        <w:pStyle w:val="768"/>
        <w:spacing w:line="400" w:lineRule="exact"/>
        <w:rPr>
          <w:rFonts w:ascii="宋体" w:cs="宋体"/>
          <w:color w:val="000000"/>
          <w:sz w:val="24"/>
          <w:highlight w:val="none"/>
        </w:rPr>
      </w:pP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备注：</w:t>
      </w: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1.投标人需对技术要求（</w:t>
      </w:r>
      <w:r>
        <w:rPr>
          <w:rFonts w:hint="eastAsia" w:ascii="宋体" w:cs="宋体"/>
          <w:iCs/>
          <w:color w:val="000000"/>
          <w:sz w:val="24"/>
          <w:highlight w:val="none"/>
          <w:u w:val="single"/>
        </w:rPr>
        <w:t xml:space="preserve">未打“★”内容</w:t>
      </w:r>
      <w:r>
        <w:rPr>
          <w:rFonts w:hint="eastAsia" w:ascii="宋体" w:cs="宋体"/>
          <w:color w:val="000000"/>
          <w:sz w:val="24"/>
          <w:highlight w:val="none"/>
        </w:rPr>
        <w:t xml:space="preserve">）逐条做出明确响应。</w:t>
      </w: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2.如果招标文件要求提供证明材料，投标人需将证明材料列于该表之下。</w:t>
      </w:r>
      <w:r>
        <w:rPr>
          <w:rFonts w:ascii="宋体" w:cs="宋体"/>
          <w:color w:val="000000"/>
          <w:sz w:val="24"/>
          <w:highlight w:val="none"/>
        </w:rPr>
      </w:r>
      <w:r/>
    </w:p>
    <w:p>
      <w:pPr>
        <w:pStyle w:val="768"/>
        <w:spacing w:line="400" w:lineRule="exact"/>
        <w:rPr>
          <w:rFonts w:ascii="宋体" w:cs="宋体"/>
          <w:color w:val="000000"/>
          <w:sz w:val="24"/>
          <w:highlight w:val="none"/>
        </w:rPr>
      </w:pPr>
      <w:r>
        <w:rPr>
          <w:rFonts w:ascii="宋体" w:cs="宋体"/>
          <w:color w:val="000000"/>
          <w:sz w:val="24"/>
          <w:highlight w:val="none"/>
        </w:rPr>
      </w:r>
      <w:r/>
    </w:p>
    <w:p>
      <w:pPr>
        <w:pStyle w:val="1096"/>
        <w:rPr>
          <w:rFonts w:ascii="宋体" w:eastAsia="宋体" w:cs="宋体"/>
          <w:color w:val="000000"/>
          <w:highlight w:val="none"/>
        </w:rPr>
      </w:pPr>
      <w:r>
        <w:rPr>
          <w:rFonts w:ascii="宋体" w:eastAsia="宋体" w:cs="宋体"/>
          <w:color w:val="000000"/>
          <w:highlight w:val="none"/>
        </w:rPr>
      </w:r>
      <w:r/>
    </w:p>
    <w:p>
      <w:pPr>
        <w:pStyle w:val="768"/>
        <w:jc w:val="left"/>
        <w:spacing w:line="360" w:lineRule="auto"/>
        <w:rPr>
          <w:rFonts w:ascii="宋体" w:cs="宋体"/>
          <w:b/>
          <w:color w:val="000000"/>
          <w:sz w:val="32"/>
          <w:highlight w:val="none"/>
        </w:rPr>
      </w:pPr>
      <w:r>
        <w:rPr>
          <w:rFonts w:ascii="宋体" w:cs="宋体"/>
          <w:b/>
          <w:color w:val="000000"/>
          <w:sz w:val="32"/>
          <w:highlight w:val="none"/>
        </w:rPr>
      </w:r>
      <w:r/>
    </w:p>
    <w:p>
      <w:pPr>
        <w:pStyle w:val="768"/>
        <w:jc w:val="center"/>
        <w:rPr>
          <w:rFonts w:ascii="宋体" w:cs="宋体"/>
          <w:b/>
          <w:color w:val="000000"/>
          <w:sz w:val="24"/>
          <w:highlight w:val="none"/>
        </w:rPr>
      </w:pPr>
      <w:r>
        <w:rPr>
          <w:rFonts w:hint="eastAsia" w:ascii="宋体" w:cs="宋体"/>
          <w:b/>
          <w:color w:val="000000"/>
          <w:sz w:val="24"/>
          <w:highlight w:val="none"/>
        </w:rPr>
        <w:t xml:space="preserve">商务要求响应及偏离表（采购包号：    ）</w:t>
      </w:r>
      <w:r>
        <w:rPr>
          <w:rFonts w:ascii="宋体" w:cs="宋体"/>
          <w:b/>
          <w:color w:val="000000"/>
          <w:sz w:val="24"/>
          <w:highlight w:val="none"/>
        </w:rPr>
      </w:r>
      <w:r/>
    </w:p>
    <w:tbl>
      <w:tblPr>
        <w:tblW w:w="844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序号</w:t>
            </w:r>
            <w:r>
              <w:rPr>
                <w:rFonts w:ascii="宋体" w:cs="宋体"/>
                <w:color w:val="000000"/>
                <w:sz w:val="24"/>
                <w:highlight w:val="none"/>
              </w:rPr>
            </w:r>
            <w:r/>
          </w:p>
        </w:tc>
        <w:tc>
          <w:tcPr>
            <w:tcW w:w="3063"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商务要求</w:t>
            </w:r>
            <w:r>
              <w:rPr>
                <w:rFonts w:ascii="宋体" w:cs="宋体"/>
                <w:color w:val="000000"/>
                <w:sz w:val="24"/>
                <w:highlight w:val="none"/>
              </w:rPr>
            </w:r>
            <w:r/>
          </w:p>
        </w:tc>
        <w:tc>
          <w:tcPr>
            <w:tcW w:w="2508"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投标响应情况</w:t>
            </w:r>
            <w:r>
              <w:rPr>
                <w:rFonts w:ascii="宋体" w:cs="宋体"/>
                <w:color w:val="000000"/>
                <w:sz w:val="24"/>
                <w:highlight w:val="none"/>
              </w:rPr>
            </w:r>
            <w:r/>
          </w:p>
        </w:tc>
        <w:tc>
          <w:tcPr>
            <w:tcW w:w="2324"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超出、符合或偏离</w:t>
            </w: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1</w:t>
            </w: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50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324"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w:t>
            </w:r>
            <w:r>
              <w:rPr>
                <w:rFonts w:ascii="宋体" w:cs="宋体"/>
                <w:color w:val="000000"/>
                <w:sz w:val="24"/>
                <w:highlight w:val="none"/>
              </w:rPr>
            </w:r>
            <w:r/>
          </w:p>
        </w:tc>
        <w:tc>
          <w:tcPr>
            <w:tcW w:w="250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324"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bl>
    <w:p>
      <w:pPr>
        <w:pStyle w:val="768"/>
        <w:spacing w:line="400" w:lineRule="exact"/>
        <w:rPr>
          <w:rFonts w:ascii="宋体" w:cs="宋体"/>
          <w:color w:val="000000"/>
          <w:sz w:val="24"/>
          <w:highlight w:val="none"/>
        </w:rPr>
      </w:pPr>
      <w:r>
        <w:rPr>
          <w:rFonts w:hint="eastAsia" w:ascii="宋体" w:cs="宋体"/>
          <w:color w:val="000000"/>
          <w:sz w:val="24"/>
          <w:highlight w:val="none"/>
        </w:rPr>
        <w:t xml:space="preserve">附件  证明材料1，证明材料2，……</w:t>
      </w:r>
      <w:r>
        <w:rPr>
          <w:rFonts w:ascii="宋体" w:cs="宋体"/>
          <w:color w:val="000000"/>
          <w:sz w:val="24"/>
          <w:highlight w:val="none"/>
        </w:rPr>
      </w:r>
      <w:r/>
    </w:p>
    <w:p>
      <w:pPr>
        <w:pStyle w:val="768"/>
        <w:spacing w:line="400" w:lineRule="exact"/>
        <w:rPr>
          <w:rFonts w:ascii="宋体" w:cs="宋体"/>
          <w:color w:val="000000"/>
          <w:sz w:val="24"/>
          <w:highlight w:val="none"/>
        </w:rPr>
      </w:pP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备注：</w:t>
      </w: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1.投标人需对商务要求（</w:t>
      </w:r>
      <w:r>
        <w:rPr>
          <w:rFonts w:hint="eastAsia" w:ascii="宋体" w:cs="宋体"/>
          <w:iCs/>
          <w:color w:val="000000"/>
          <w:sz w:val="24"/>
          <w:highlight w:val="none"/>
          <w:u w:val="single"/>
        </w:rPr>
        <w:t xml:space="preserve">未打“★”内容</w:t>
      </w:r>
      <w:r>
        <w:rPr>
          <w:rFonts w:hint="eastAsia" w:ascii="宋体" w:cs="宋体"/>
          <w:color w:val="000000"/>
          <w:sz w:val="24"/>
          <w:highlight w:val="none"/>
        </w:rPr>
        <w:t xml:space="preserve">）逐条做出明确响应。</w:t>
      </w:r>
      <w:r>
        <w:rPr>
          <w:rFonts w:ascii="宋体" w:cs="宋体"/>
          <w:color w:val="000000"/>
          <w:sz w:val="24"/>
          <w:highlight w:val="none"/>
        </w:rPr>
      </w:r>
      <w:r/>
    </w:p>
    <w:p>
      <w:pPr>
        <w:pStyle w:val="768"/>
        <w:spacing w:line="400" w:lineRule="exact"/>
        <w:rPr>
          <w:rFonts w:ascii="Times New Roman" w:hAnsi="Times New Roman"/>
          <w:color w:val="000000"/>
          <w:sz w:val="24"/>
          <w:szCs w:val="21"/>
          <w:highlight w:val="none"/>
        </w:rPr>
      </w:pPr>
      <w:r>
        <w:rPr>
          <w:rFonts w:hint="eastAsia" w:ascii="宋体" w:cs="宋体"/>
          <w:color w:val="000000"/>
          <w:sz w:val="24"/>
          <w:highlight w:val="none"/>
        </w:rPr>
        <w:t xml:space="preserve">2.如果招标文件要求提供证明材料，投标人需将证明材料列于该表之下。</w:t>
      </w:r>
      <w:r>
        <w:rPr>
          <w:rFonts w:ascii="Times New Roman" w:hAnsi="Times New Roman"/>
          <w:color w:val="000000"/>
          <w:sz w:val="24"/>
          <w:szCs w:val="21"/>
          <w:highlight w:val="none"/>
        </w:rPr>
      </w:r>
      <w:r/>
    </w:p>
    <w:p>
      <w:pPr>
        <w:pStyle w:val="768"/>
        <w:rPr>
          <w:rFonts w:ascii="宋体" w:hAnsi="宋体" w:cs="宋体"/>
          <w:color w:val="000000"/>
          <w:highlight w:val="none"/>
        </w:rPr>
      </w:pPr>
      <w:r>
        <w:rPr>
          <w:rFonts w:hint="eastAsia" w:ascii="宋体" w:hAnsi="宋体" w:cs="宋体"/>
          <w:bCs/>
          <w:color w:val="000000"/>
          <w:highlight w:val="none"/>
        </w:rPr>
        <w:br w:type="page" w:clear="all"/>
      </w:r>
      <w:r>
        <w:rPr>
          <w:rFonts w:ascii="宋体" w:hAnsi="宋体" w:cs="宋体"/>
          <w:color w:val="000000"/>
          <w:highlight w:val="none"/>
        </w:rPr>
      </w:r>
      <w:r/>
    </w:p>
    <w:p>
      <w:pPr>
        <w:pStyle w:val="1241"/>
        <w:rPr>
          <w:rFonts w:ascii="宋体" w:hAnsi="宋体" w:eastAsia="宋体" w:cs="宋体"/>
          <w:color w:val="000000"/>
          <w:highlight w:val="none"/>
        </w:rPr>
      </w:pPr>
      <w:r/>
      <w:bookmarkStart w:id="156" w:name="_Toc25337"/>
      <w:r/>
      <w:bookmarkStart w:id="157" w:name="_Toc15871"/>
      <w:r>
        <w:rPr>
          <w:rFonts w:hint="eastAsia" w:ascii="宋体" w:hAnsi="宋体" w:eastAsia="宋体" w:cs="宋体"/>
          <w:bCs/>
          <w:color w:val="000000"/>
          <w:highlight w:val="none"/>
          <w:lang w:val="en-US" w:eastAsia="zh-CN"/>
        </w:rPr>
        <w:t xml:space="preserve">八</w:t>
      </w:r>
      <w:r>
        <w:rPr>
          <w:rFonts w:hint="eastAsia" w:ascii="宋体" w:hAnsi="宋体" w:eastAsia="宋体" w:cs="宋体"/>
          <w:bCs/>
          <w:color w:val="000000"/>
          <w:highlight w:val="none"/>
        </w:rPr>
        <w:t xml:space="preserve">、项目组人员</w:t>
      </w:r>
      <w:r>
        <w:rPr>
          <w:rFonts w:ascii="宋体" w:hAnsi="宋体" w:eastAsia="宋体" w:cs="宋体"/>
          <w:color w:val="000000"/>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姓名</w:t>
            </w:r>
            <w:r>
              <w:rPr>
                <w:rFonts w:ascii="宋体" w:hAnsi="宋体" w:cs="仿宋"/>
                <w:color w:val="000000"/>
                <w:sz w:val="28"/>
                <w:szCs w:val="28"/>
                <w:highlight w:val="none"/>
              </w:rPr>
            </w:r>
            <w:r/>
          </w:p>
        </w:tc>
        <w:tc>
          <w:tcPr>
            <w:tcW w:w="1843"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职务</w:t>
            </w:r>
            <w:r>
              <w:rPr>
                <w:rFonts w:ascii="宋体" w:hAnsi="宋体" w:cs="仿宋"/>
                <w:color w:val="000000"/>
                <w:sz w:val="28"/>
                <w:szCs w:val="28"/>
                <w:highlight w:val="none"/>
              </w:rPr>
            </w:r>
            <w:r/>
          </w:p>
        </w:tc>
        <w:tc>
          <w:tcPr>
            <w:tcW w:w="992"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学历</w:t>
            </w:r>
            <w:r>
              <w:rPr>
                <w:rFonts w:ascii="宋体" w:hAnsi="宋体" w:cs="仿宋"/>
                <w:color w:val="000000"/>
                <w:sz w:val="28"/>
                <w:szCs w:val="28"/>
                <w:highlight w:val="none"/>
              </w:rPr>
            </w:r>
            <w:r/>
          </w:p>
        </w:tc>
        <w:tc>
          <w:tcPr>
            <w:tcW w:w="1984" w:type="dxa"/>
            <w:vAlign w:val="center"/>
            <w:textDirection w:val="lrTb"/>
            <w:noWrap w:val="false"/>
          </w:tcPr>
          <w:p>
            <w:pPr>
              <w:pStyle w:val="1167"/>
              <w:ind w:firstLine="280"/>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身份证号</w:t>
            </w:r>
            <w:r>
              <w:rPr>
                <w:rFonts w:ascii="宋体" w:hAnsi="宋体" w:cs="仿宋"/>
                <w:color w:val="000000"/>
                <w:sz w:val="28"/>
                <w:szCs w:val="28"/>
                <w:highlight w:val="none"/>
              </w:rPr>
            </w:r>
            <w:r/>
          </w:p>
        </w:tc>
        <w:tc>
          <w:tcPr>
            <w:tcW w:w="1702"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相关证书</w:t>
            </w:r>
            <w:r>
              <w:rPr>
                <w:rFonts w:ascii="宋体" w:hAnsi="宋体" w:cs="仿宋"/>
                <w:color w:val="000000"/>
                <w:sz w:val="28"/>
                <w:szCs w:val="28"/>
                <w:highlight w:val="none"/>
              </w:rPr>
            </w:r>
            <w:r/>
          </w:p>
        </w:tc>
        <w:tc>
          <w:tcPr>
            <w:tcW w:w="962" w:type="dxa"/>
            <w:vAlign w:val="center"/>
            <w:textDirection w:val="lrTb"/>
            <w:noWrap w:val="false"/>
          </w:tcPr>
          <w:p>
            <w:pPr>
              <w:pStyle w:val="1167"/>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备注</w:t>
            </w:r>
            <w:r>
              <w:rPr>
                <w:rFonts w:ascii="宋体" w:hAnsi="宋体"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bl>
    <w:p>
      <w:pPr>
        <w:pStyle w:val="768"/>
        <w:ind w:firstLine="210"/>
        <w:spacing w:line="480" w:lineRule="exact"/>
        <w:rPr>
          <w:rFonts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注：如投标人中标，项目组成员按本表承诺人员操作，不得随意更换。按招标文件要求附相关人员证书。</w:t>
      </w:r>
      <w:bookmarkStart w:id="158" w:name="_格式2__法定代表人授权书"/>
      <w:r/>
      <w:bookmarkEnd w:id="158"/>
      <w:r>
        <w:rPr>
          <w:rFonts w:ascii="Times New Roman" w:hAnsi="Times New Roman" w:cs="宋体"/>
          <w:color w:val="000000"/>
          <w:sz w:val="24"/>
          <w:szCs w:val="20"/>
          <w:highlight w:val="none"/>
        </w:rPr>
      </w:r>
      <w:r/>
    </w:p>
    <w:p>
      <w:pPr>
        <w:pStyle w:val="768"/>
        <w:ind w:firstLine="210"/>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768"/>
        <w:ind w:firstLine="210"/>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096"/>
        <w:ind w:left="210"/>
        <w:rPr>
          <w:rFonts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九</w:t>
      </w:r>
      <w:r>
        <w:rPr>
          <w:rFonts w:hint="eastAsia" w:ascii="宋体"/>
          <w:b w:val="0"/>
          <w:color w:val="000000"/>
          <w:szCs w:val="32"/>
          <w:highlight w:val="none"/>
        </w:rPr>
        <w:t xml:space="preserve">、企业业绩</w:t>
      </w:r>
      <w:bookmarkEnd w:id="156"/>
      <w:r/>
      <w:bookmarkEnd w:id="157"/>
      <w:r>
        <w:rPr>
          <w:rFonts w:ascii="宋体"/>
          <w:b w:val="0"/>
          <w:color w:val="000000"/>
          <w:szCs w:val="32"/>
          <w:highlight w:val="none"/>
        </w:rPr>
      </w:r>
      <w:r/>
    </w:p>
    <w:p>
      <w:pPr>
        <w:pStyle w:val="110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59"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月</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日以来承担</w:t>
      </w:r>
      <w:r>
        <w:rPr>
          <w:rFonts w:ascii="方正小标宋_GBK" w:eastAsia="方正小标宋_GBK"/>
          <w:bCs/>
          <w:color w:val="000000"/>
          <w:sz w:val="32"/>
          <w:szCs w:val="32"/>
          <w:highlight w:val="none"/>
        </w:rPr>
      </w:r>
      <w:r/>
    </w:p>
    <w:p>
      <w:pPr>
        <w:pStyle w:val="110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59"/>
      <w:r>
        <w:rPr>
          <w:rFonts w:ascii="方正小标宋_GBK" w:eastAsia="方正小标宋_GBK"/>
          <w:bCs/>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04"/>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rPr>
          <w:rFonts w:ascii="宋体" w:hAnsi="宋体"/>
          <w:bCs/>
          <w:color w:val="000000"/>
          <w:highlight w:val="none"/>
        </w:rPr>
      </w:r>
      <w:r/>
    </w:p>
    <w:p>
      <w:pPr>
        <w:pStyle w:val="768"/>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br w:type="page" w:clear="all"/>
      </w:r>
      <w:r>
        <w:rPr>
          <w:rFonts w:hint="eastAsia" w:ascii="宋体" w:hAnsi="黑体" w:eastAsia="黑体" w:cs="黑体"/>
          <w:color w:val="000000"/>
          <w:sz w:val="32"/>
          <w:szCs w:val="32"/>
          <w:highlight w:val="none"/>
        </w:rPr>
        <w:t xml:space="preserve">十、</w:t>
      </w:r>
      <w:bookmarkStart w:id="160" w:name="_Toc26048"/>
      <w:r/>
      <w:bookmarkStart w:id="161" w:name="_Toc9275"/>
      <w:r>
        <w:rPr>
          <w:rFonts w:hint="eastAsia" w:ascii="宋体" w:hAnsi="黑体" w:eastAsia="黑体" w:cs="黑体"/>
          <w:color w:val="000000"/>
          <w:sz w:val="32"/>
          <w:szCs w:val="32"/>
          <w:highlight w:val="none"/>
        </w:rPr>
        <w:t xml:space="preserve">项目实施方案</w:t>
      </w:r>
      <w:r>
        <w:rPr>
          <w:rFonts w:ascii="宋体" w:hAnsi="黑体" w:eastAsia="黑体" w:cs="黑体"/>
          <w:color w:val="000000"/>
          <w:sz w:val="32"/>
          <w:szCs w:val="32"/>
          <w:highlight w:val="none"/>
        </w:rPr>
      </w:r>
      <w:r/>
    </w:p>
    <w:p>
      <w:pPr>
        <w:pStyle w:val="768"/>
        <w:spacing w:line="480" w:lineRule="exact"/>
        <w:rPr>
          <w:color w:val="000000"/>
          <w:sz w:val="24"/>
          <w:szCs w:val="24"/>
          <w:highlight w:val="none"/>
        </w:rPr>
        <w:outlineLvl w:val="1"/>
      </w:pPr>
      <w:r>
        <w:rPr>
          <w:rFonts w:hint="eastAsia"/>
          <w:color w:val="000000"/>
          <w:sz w:val="24"/>
          <w:szCs w:val="24"/>
          <w:highlight w:val="none"/>
        </w:rPr>
        <w:t xml:space="preserve">根据评分办法自行编制</w:t>
      </w:r>
      <w:r>
        <w:rPr>
          <w:color w:val="000000"/>
          <w:sz w:val="24"/>
          <w:szCs w:val="24"/>
          <w:highlight w:val="none"/>
        </w:rPr>
      </w:r>
      <w:r/>
    </w:p>
    <w:p>
      <w:pPr>
        <w:pStyle w:val="768"/>
        <w:spacing w:line="480" w:lineRule="exact"/>
        <w:rPr>
          <w:color w:val="000000"/>
          <w:sz w:val="24"/>
          <w:szCs w:val="24"/>
          <w:highlight w:val="none"/>
        </w:rPr>
        <w:outlineLvl w:val="1"/>
      </w:pPr>
      <w:r>
        <w:rPr>
          <w:color w:val="000000"/>
          <w:sz w:val="24"/>
          <w:szCs w:val="24"/>
          <w:highlight w:val="none"/>
        </w:rPr>
      </w:r>
      <w:r/>
    </w:p>
    <w:p>
      <w:pPr>
        <w:pStyle w:val="768"/>
        <w:spacing w:line="480" w:lineRule="exact"/>
        <w:rPr>
          <w:color w:val="000000"/>
          <w:sz w:val="24"/>
          <w:szCs w:val="24"/>
          <w:highlight w:val="none"/>
        </w:rPr>
        <w:outlineLvl w:val="1"/>
      </w:pPr>
      <w:r>
        <w:rPr>
          <w:color w:val="000000"/>
          <w:sz w:val="24"/>
          <w:szCs w:val="24"/>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cs="宋体"/>
          <w:b/>
          <w:color w:val="000000"/>
          <w:sz w:val="24"/>
          <w:szCs w:val="24"/>
          <w:highlight w:val="none"/>
        </w:rPr>
        <w:outlineLvl w:val="1"/>
      </w:pPr>
      <w:r>
        <w:rPr>
          <w:rFonts w:hint="eastAsia" w:ascii="宋体" w:cs="宋体"/>
          <w:b/>
          <w:color w:val="000000"/>
          <w:sz w:val="24"/>
          <w:szCs w:val="24"/>
          <w:highlight w:val="none"/>
        </w:rPr>
        <w:t xml:space="preserve">十</w:t>
      </w:r>
      <w:r>
        <w:rPr>
          <w:rFonts w:hint="eastAsia" w:ascii="宋体" w:cs="宋体"/>
          <w:b/>
          <w:color w:val="000000"/>
          <w:sz w:val="24"/>
          <w:szCs w:val="24"/>
          <w:highlight w:val="none"/>
          <w:lang w:val="en-US" w:eastAsia="zh-CN"/>
        </w:rPr>
        <w:t xml:space="preserve">一</w:t>
      </w:r>
      <w:r>
        <w:rPr>
          <w:rFonts w:hint="eastAsia" w:ascii="宋体" w:cs="宋体"/>
          <w:b/>
          <w:color w:val="000000"/>
          <w:sz w:val="24"/>
          <w:szCs w:val="24"/>
          <w:highlight w:val="none"/>
        </w:rPr>
        <w:t xml:space="preserve">、关于符合本国产品标准的声明函（采购包号：**）</w:t>
      </w:r>
      <w:r>
        <w:rPr>
          <w:rFonts w:ascii="宋体" w:cs="宋体"/>
          <w:b/>
          <w:color w:val="000000"/>
          <w:sz w:val="24"/>
          <w:szCs w:val="24"/>
          <w:highlight w:val="none"/>
        </w:rPr>
      </w:r>
      <w:r/>
    </w:p>
    <w:p>
      <w:pPr>
        <w:pStyle w:val="768"/>
        <w:spacing w:line="480" w:lineRule="exact"/>
        <w:rPr>
          <w:rFonts w:ascii="宋体" w:hAnsi="宋体" w:eastAsia="黑体" w:cs="黑体"/>
          <w:color w:val="000000"/>
          <w:sz w:val="32"/>
          <w:szCs w:val="32"/>
          <w:highlight w:val="none"/>
        </w:rPr>
      </w:pPr>
      <w:r>
        <w:rPr>
          <w:rFonts w:ascii="宋体" w:hAnsi="宋体" w:eastAsia="黑体" w:cs="黑体"/>
          <w:color w:val="000000"/>
          <w:sz w:val="32"/>
          <w:szCs w:val="32"/>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cs="宋体"/>
          <w:color w:val="000000"/>
          <w:sz w:val="24"/>
          <w:szCs w:val="24"/>
          <w:highlight w:val="none"/>
        </w:rPr>
      </w:r>
      <w:r/>
    </w:p>
    <w:p>
      <w:pPr>
        <w:pStyle w:val="768"/>
        <w:numPr>
          <w:ilvl w:val="0"/>
          <w:numId w:val="7"/>
        </w:numPr>
        <w:ind w:firstLine="480"/>
        <w:jc w:val="left"/>
        <w:spacing w:line="480" w:lineRule="exact"/>
        <w:widowControl/>
        <w:rPr>
          <w:rFonts w:ascii="宋体" w:cs="宋体"/>
          <w:color w:val="000000"/>
          <w:sz w:val="24"/>
          <w:szCs w:val="24"/>
          <w:highlight w:val="none"/>
          <w:shd w:val="clear" w:color="auto" w:fill="ffffff"/>
        </w:rPr>
      </w:pPr>
      <w:r>
        <w:rPr>
          <w:rStyle w:val="1243"/>
          <w:rFonts w:hint="eastAsia" w:ascii="宋体" w:cs="宋体"/>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，生产厂为</w:t>
      </w:r>
      <w:r>
        <w:rPr>
          <w:rStyle w:val="1243"/>
          <w:rFonts w:hint="eastAsia" w:ascii="宋体" w:cs="宋体"/>
          <w:color w:val="000000"/>
          <w:sz w:val="24"/>
          <w:szCs w:val="24"/>
          <w:highlight w:val="none"/>
          <w:u w:val="single"/>
          <w:shd w:val="clear" w:color="auto" w:fill="ffffff"/>
        </w:rPr>
        <w:t xml:space="preserve">（厂名）</w:t>
      </w:r>
      <w:r>
        <w:rPr>
          <w:rFonts w:hint="eastAsia" w:ascii="宋体" w:cs="宋体"/>
          <w:color w:val="000000"/>
          <w:sz w:val="24"/>
          <w:szCs w:val="24"/>
          <w:highlight w:val="none"/>
          <w:shd w:val="clear" w:color="auto" w:fill="ffffff"/>
        </w:rPr>
        <w:t xml:space="preserve">，厂址为</w:t>
      </w:r>
      <w:r>
        <w:rPr>
          <w:rStyle w:val="1243"/>
          <w:rFonts w:hint="eastAsia" w:ascii="宋体" w:cs="宋体"/>
          <w:color w:val="000000"/>
          <w:sz w:val="24"/>
          <w:szCs w:val="24"/>
          <w:highlight w:val="none"/>
          <w:u w:val="single"/>
          <w:shd w:val="clear" w:color="auto" w:fill="ffffff"/>
        </w:rPr>
        <w:t xml:space="preserve">（生产厂址）</w:t>
      </w:r>
      <w:r>
        <w:rPr>
          <w:rFonts w:hint="eastAsia" w:ascii="宋体" w:cs="宋体"/>
          <w:color w:val="000000"/>
          <w:sz w:val="24"/>
          <w:szCs w:val="24"/>
          <w:highlight w:val="none"/>
          <w:shd w:val="clear" w:color="auto" w:fill="ffffff"/>
        </w:rPr>
        <w:t xml:space="preserve">。</w:t>
      </w:r>
      <w:r>
        <w:rPr>
          <w:rFonts w:hint="eastAsia" w:ascii="宋体" w:cs="宋体"/>
          <w:color w:val="000000"/>
          <w:sz w:val="24"/>
          <w:szCs w:val="24"/>
          <w:highlight w:val="none"/>
          <w:u w:val="single"/>
          <w:shd w:val="clear" w:color="auto" w:fill="ffffff"/>
        </w:rPr>
        <w:t xml:space="preserve"> </w:t>
      </w:r>
      <w:r>
        <w:rPr>
          <w:rStyle w:val="1243"/>
          <w:rFonts w:hint="eastAsia" w:ascii="宋体" w:cs="宋体"/>
          <w:strike/>
          <w:color w:val="000000"/>
          <w:sz w:val="24"/>
          <w:szCs w:val="24"/>
          <w:highlight w:val="none"/>
          <w:u w:val="single"/>
          <w:shd w:val="clear" w:color="auto" w:fill="ffffff"/>
        </w:rPr>
        <w:t xml:space="preserve">（产品名称1）</w:t>
      </w:r>
      <w:r>
        <w:rPr>
          <w:rStyle w:val="1243"/>
          <w:rFonts w:hint="eastAsia" w:ascii="宋体" w:cs="宋体"/>
          <w:color w:val="000000"/>
          <w:sz w:val="24"/>
          <w:szCs w:val="24"/>
          <w:highlight w:val="none"/>
          <w:u w:val="single"/>
          <w:shd w:val="clear" w:color="auto" w:fill="ffffff"/>
        </w:rPr>
        <w:t xml:space="preserve"> </w:t>
      </w:r>
      <w:r>
        <w:rPr>
          <w:rFonts w:hint="eastAsia" w:ascii="宋体" w:cs="宋体"/>
          <w:color w:val="000000"/>
          <w:sz w:val="24"/>
          <w:szCs w:val="24"/>
          <w:highlight w:val="none"/>
          <w:shd w:val="clear" w:color="auto" w:fill="ffffff"/>
        </w:rPr>
        <w:t xml:space="preserve">的中国境内生产的组件成本占比≥</w:t>
      </w:r>
      <w:r>
        <w:rPr>
          <w:rStyle w:val="1243"/>
          <w:rFonts w:hint="eastAsia" w:ascii="宋体" w:cs="宋体"/>
          <w:strike/>
          <w:color w:val="000000"/>
          <w:sz w:val="24"/>
          <w:szCs w:val="24"/>
          <w:highlight w:val="none"/>
          <w:u w:val="single"/>
          <w:shd w:val="clear" w:color="auto" w:fill="ffffff"/>
        </w:rPr>
        <w:t xml:space="preserve">（规定比例）</w:t>
      </w:r>
      <w:r>
        <w:rPr>
          <w:rFonts w:hint="eastAsia" w:ascii="宋体" w:cs="宋体"/>
          <w:color w:val="000000"/>
          <w:sz w:val="24"/>
          <w:szCs w:val="24"/>
          <w:highlight w:val="none"/>
          <w:shd w:val="clear" w:color="auto" w:fill="ffffff"/>
        </w:rPr>
        <w:t xml:space="preserve">。</w:t>
      </w:r>
      <w:r>
        <w:rPr>
          <w:rStyle w:val="1243"/>
          <w:rFonts w:hint="eastAsia" w:ascii="宋体" w:cs="宋体"/>
          <w:strike/>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（关键组件）</w:t>
      </w:r>
      <w:r>
        <w:rPr>
          <w:rFonts w:hint="eastAsia" w:ascii="宋体" w:cs="宋体"/>
          <w:color w:val="000000"/>
          <w:sz w:val="24"/>
          <w:szCs w:val="24"/>
          <w:highlight w:val="none"/>
          <w:shd w:val="clear" w:color="auto" w:fill="ffffff"/>
        </w:rPr>
        <w:t xml:space="preserve">在中国境内生产。</w:t>
      </w:r>
      <w:r>
        <w:rPr>
          <w:rStyle w:val="1243"/>
          <w:rFonts w:hint="eastAsia" w:ascii="宋体" w:cs="宋体"/>
          <w:strike/>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（关键工序）</w:t>
      </w:r>
      <w:r>
        <w:rPr>
          <w:rFonts w:hint="eastAsia" w:ascii="宋体" w:cs="宋体"/>
          <w:color w:val="000000"/>
          <w:sz w:val="24"/>
          <w:szCs w:val="24"/>
          <w:highlight w:val="none"/>
          <w:shd w:val="clear" w:color="auto" w:fill="ffffff"/>
        </w:rPr>
        <w:t xml:space="preserve">在中国境内完成。</w:t>
      </w:r>
      <w:r>
        <w:rPr>
          <w:rFonts w:ascii="宋体" w:cs="宋体"/>
          <w:color w:val="000000"/>
          <w:sz w:val="24"/>
          <w:szCs w:val="24"/>
          <w:highlight w:val="none"/>
          <w:shd w:val="clear" w:color="auto" w:fill="ffffff"/>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2.</w:t>
      </w:r>
      <w:r>
        <w:rPr>
          <w:rStyle w:val="1243"/>
          <w:rFonts w:hint="eastAsia" w:ascii="宋体" w:cs="宋体"/>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，生产厂为</w:t>
      </w:r>
      <w:r>
        <w:rPr>
          <w:rStyle w:val="1243"/>
          <w:rFonts w:hint="eastAsia" w:ascii="宋体" w:cs="宋体"/>
          <w:color w:val="000000"/>
          <w:sz w:val="24"/>
          <w:szCs w:val="24"/>
          <w:highlight w:val="none"/>
          <w:u w:val="single"/>
          <w:shd w:val="clear" w:color="auto" w:fill="ffffff"/>
        </w:rPr>
        <w:t xml:space="preserve">（厂名）</w:t>
      </w:r>
      <w:r>
        <w:rPr>
          <w:rFonts w:hint="eastAsia" w:ascii="宋体" w:cs="宋体"/>
          <w:color w:val="000000"/>
          <w:sz w:val="24"/>
          <w:szCs w:val="24"/>
          <w:highlight w:val="none"/>
          <w:shd w:val="clear" w:color="auto" w:fill="ffffff"/>
        </w:rPr>
        <w:t xml:space="preserve">，厂址为</w:t>
      </w:r>
      <w:r>
        <w:rPr>
          <w:rStyle w:val="1243"/>
          <w:rFonts w:hint="eastAsia" w:ascii="宋体" w:cs="宋体"/>
          <w:color w:val="000000"/>
          <w:sz w:val="24"/>
          <w:szCs w:val="24"/>
          <w:highlight w:val="none"/>
          <w:u w:val="single"/>
          <w:shd w:val="clear" w:color="auto" w:fill="ffffff"/>
        </w:rPr>
        <w:t xml:space="preserve">（生产厂址）</w:t>
      </w:r>
      <w:r>
        <w:rPr>
          <w:rFonts w:hint="eastAsia" w:ascii="宋体" w:cs="宋体"/>
          <w:color w:val="000000"/>
          <w:sz w:val="24"/>
          <w:szCs w:val="24"/>
          <w:highlight w:val="none"/>
          <w:shd w:val="clear" w:color="auto" w:fill="ffffff"/>
        </w:rPr>
        <w:t xml:space="preserve">。</w:t>
      </w:r>
      <w:r>
        <w:rPr>
          <w:rStyle w:val="1243"/>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的中国境内生产的组件成本占比≥</w:t>
      </w:r>
      <w:r>
        <w:rPr>
          <w:rStyle w:val="1243"/>
          <w:rFonts w:hint="eastAsia" w:ascii="宋体" w:cs="宋体"/>
          <w:strike/>
          <w:color w:val="000000"/>
          <w:sz w:val="24"/>
          <w:szCs w:val="24"/>
          <w:highlight w:val="none"/>
          <w:u w:val="single"/>
          <w:shd w:val="clear" w:color="auto" w:fill="ffffff"/>
        </w:rPr>
        <w:t xml:space="preserve">（规定比例）</w:t>
      </w:r>
      <w:r>
        <w:rPr>
          <w:rFonts w:hint="eastAsia" w:ascii="宋体" w:cs="宋体"/>
          <w:color w:val="000000"/>
          <w:sz w:val="24"/>
          <w:szCs w:val="24"/>
          <w:highlight w:val="none"/>
          <w:shd w:val="clear" w:color="auto" w:fill="ffffff"/>
        </w:rPr>
        <w:t xml:space="preserve">。</w:t>
      </w:r>
      <w:r>
        <w:rPr>
          <w:rStyle w:val="1243"/>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（关键组件）</w:t>
      </w:r>
      <w:r>
        <w:rPr>
          <w:rFonts w:hint="eastAsia" w:ascii="宋体" w:cs="宋体"/>
          <w:color w:val="000000"/>
          <w:sz w:val="24"/>
          <w:szCs w:val="24"/>
          <w:highlight w:val="none"/>
          <w:shd w:val="clear" w:color="auto" w:fill="ffffff"/>
        </w:rPr>
        <w:t xml:space="preserve">在中国境内生产。</w:t>
      </w:r>
      <w:r>
        <w:rPr>
          <w:rStyle w:val="1243"/>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（关键工序）</w:t>
      </w:r>
      <w:r>
        <w:rPr>
          <w:rFonts w:hint="eastAsia" w:ascii="宋体" w:cs="宋体"/>
          <w:color w:val="000000"/>
          <w:sz w:val="24"/>
          <w:szCs w:val="24"/>
          <w:highlight w:val="none"/>
          <w:shd w:val="clear" w:color="auto" w:fill="ffffff"/>
        </w:rPr>
        <w:t xml:space="preserve">在中国境内完成。</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本公司（单位）对上述声明内容的真实性负责。如有虚假，愿承担相应法律责任。</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公司（单位）名称（盖章）：　        </w:t>
      </w:r>
      <w:r>
        <w:rPr>
          <w:rFonts w:ascii="宋体" w:cs="宋体"/>
          <w:color w:val="000000"/>
          <w:sz w:val="24"/>
          <w:szCs w:val="24"/>
          <w:highlight w:val="none"/>
        </w:rPr>
      </w:r>
      <w:r/>
    </w:p>
    <w:p>
      <w:pPr>
        <w:pStyle w:val="768"/>
        <w:ind w:firstLine="480"/>
        <w:jc w:val="center"/>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                                日期：　   年　  月　  日         </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1.产品如有型号，请在“产品名称”栏一并填写。</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2.生产厂名与厂址应与生产厂营业执照载明的相关信息保持一致。</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3.该产品的中国境内生产的组件成本占比相关要求实施前，“规定比例”栏可不填，下同。</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4.该产品的关键组件要求实施前，“关键组件”栏可不填，下同。</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shd w:val="clear" w:color="auto" w:fill="ffffff"/>
        </w:rPr>
      </w:pPr>
      <w:r>
        <w:rPr>
          <w:rFonts w:hint="eastAsia" w:ascii="宋体" w:cs="宋体"/>
          <w:color w:val="000000"/>
          <w:sz w:val="24"/>
          <w:szCs w:val="24"/>
          <w:highlight w:val="none"/>
          <w:shd w:val="clear" w:color="auto" w:fill="ffffff"/>
        </w:rPr>
        <w:t xml:space="preserve">5.该产品的关键工序要求实施前，“关键工序”栏可不填，下同。</w:t>
      </w:r>
      <w:r>
        <w:rPr>
          <w:rFonts w:ascii="宋体" w:cs="宋体"/>
          <w:color w:val="000000"/>
          <w:sz w:val="24"/>
          <w:szCs w:val="24"/>
          <w:highlight w:val="none"/>
          <w:shd w:val="clear" w:color="auto" w:fill="ffffff"/>
        </w:rPr>
      </w:r>
      <w:r/>
    </w:p>
    <w:p>
      <w:pPr>
        <w:pStyle w:val="864"/>
        <w:ind w:firstLine="480"/>
        <w:spacing w:line="440" w:lineRule="exact"/>
        <w:rPr>
          <w:rFonts w:ascii="宋体" w:eastAsia="宋体" w:cs="宋体"/>
          <w:b w:val="0"/>
          <w:color w:val="000000"/>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color w:val="000000"/>
          <w:sz w:val="24"/>
          <w:highlight w:val="none"/>
          <w:shd w:val="clear" w:color="auto" w:fill="ffffff"/>
        </w:rPr>
        <w:t xml:space="preserve">6.用线划除的地方无需填写。</w:t>
      </w:r>
      <w:r>
        <w:rPr>
          <w:rFonts w:ascii="宋体" w:eastAsia="宋体" w:cs="宋体"/>
          <w:b w:val="0"/>
          <w:color w:val="000000"/>
          <w:sz w:val="24"/>
          <w:highlight w:val="none"/>
          <w:shd w:val="clear" w:color="auto" w:fill="ffffff"/>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ind w:firstLine="320"/>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二</w:t>
      </w:r>
      <w:r>
        <w:rPr>
          <w:rFonts w:hint="eastAsia" w:ascii="宋体" w:hAnsi="黑体" w:eastAsia="黑体" w:cs="黑体"/>
          <w:color w:val="000000"/>
          <w:sz w:val="32"/>
          <w:szCs w:val="32"/>
          <w:highlight w:val="none"/>
        </w:rPr>
        <w:t xml:space="preserve">、演示</w:t>
      </w:r>
      <w:r>
        <w:rPr>
          <w:rFonts w:ascii="宋体" w:hAnsi="黑体" w:eastAsia="黑体" w:cs="黑体"/>
          <w:color w:val="000000"/>
          <w:sz w:val="32"/>
          <w:szCs w:val="3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演示要求</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上传视频演示</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（1）投标人需按照招标文件规定的演示内容制作演示视频文件，视频文件的格式为</w:t>
      </w:r>
      <w:r>
        <w:rPr>
          <w:rFonts w:ascii="宋体" w:hAnsi="宋体" w:cs="宋体"/>
          <w:color w:val="000000"/>
          <w:sz w:val="22"/>
          <w:highlight w:val="none"/>
        </w:rPr>
        <w:t xml:space="preserve">*</w:t>
      </w:r>
      <w:r>
        <w:rPr>
          <w:rFonts w:hint="eastAsia" w:ascii="宋体" w:hAnsi="宋体" w:cs="宋体"/>
          <w:color w:val="000000"/>
          <w:sz w:val="22"/>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（2）演示内容如下：</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①……</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②……</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③……</w:t>
      </w:r>
      <w:r>
        <w:rPr>
          <w:rFonts w:ascii="宋体" w:hAnsi="宋体" w:cs="宋体"/>
          <w:color w:val="000000"/>
          <w:sz w:val="2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三</w:t>
      </w:r>
      <w:r>
        <w:rPr>
          <w:rFonts w:hint="eastAsia" w:ascii="宋体" w:hAnsi="黑体" w:eastAsia="黑体" w:cs="黑体"/>
          <w:color w:val="000000"/>
          <w:sz w:val="32"/>
          <w:szCs w:val="32"/>
          <w:highlight w:val="none"/>
        </w:rPr>
        <w:t xml:space="preserve">、投标所需其他材料</w:t>
      </w:r>
      <w:bookmarkEnd w:id="160"/>
      <w:r/>
      <w:bookmarkEnd w:id="161"/>
      <w:r>
        <w:rPr>
          <w:rFonts w:ascii="宋体" w:hAnsi="黑体" w:eastAsia="黑体" w:cs="黑体"/>
          <w:color w:val="000000"/>
          <w:sz w:val="32"/>
          <w:szCs w:val="32"/>
          <w:highlight w:val="none"/>
        </w:rPr>
      </w:r>
      <w:r/>
    </w:p>
    <w:p>
      <w:pPr>
        <w:pStyle w:val="1108"/>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sz w:val="24"/>
          <w:szCs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lang w:val="en-US" w:eastAsia="zh-CN"/>
        </w:rPr>
        <w:t xml:space="preserve">十四、</w:t>
      </w:r>
      <w:r>
        <w:rPr>
          <w:rFonts w:hint="eastAsia" w:ascii="宋体" w:hAnsi="黑体" w:eastAsia="黑体" w:cs="黑体"/>
          <w:color w:val="000000"/>
          <w:sz w:val="32"/>
          <w:szCs w:val="32"/>
          <w:highlight w:val="none"/>
        </w:rPr>
        <w:t xml:space="preserve">分包意向协议书</w:t>
      </w:r>
      <w:r>
        <w:rPr>
          <w:rFonts w:hint="eastAsia" w:ascii="宋体" w:hAnsi="黑体" w:eastAsia="黑体" w:cs="黑体"/>
          <w:color w:val="000000"/>
          <w:sz w:val="32"/>
          <w:szCs w:val="32"/>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ascii="仿宋" w:hAnsi="仿宋" w:eastAsia="仿宋" w:cs="仿宋"/>
          <w:bCs/>
          <w:color w:val="000000"/>
          <w:sz w:val="24"/>
          <w:highlight w:val="none"/>
        </w:rPr>
        <w:outlineLvl w:val="1"/>
      </w:pPr>
      <w:r>
        <w:rPr>
          <w:rFonts w:hint="eastAsia" w:ascii="仿宋" w:hAnsi="仿宋" w:eastAsia="仿宋" w:cs="仿宋"/>
          <w:bCs/>
          <w:color w:val="000000"/>
          <w:sz w:val="24"/>
          <w:highlight w:val="none"/>
        </w:rPr>
        <w:t xml:space="preserve">分包意向协议书</w:t>
      </w:r>
      <w:r>
        <w:rPr>
          <w:rFonts w:ascii="仿宋" w:hAnsi="仿宋" w:eastAsia="仿宋" w:cs="仿宋"/>
          <w:bCs/>
          <w:color w:val="000000"/>
          <w:sz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立约方：</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r>
      <w:r/>
    </w:p>
    <w:p>
      <w:pPr>
        <w:pStyle w:val="1185"/>
        <w:ind w:firstLine="800"/>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t xml:space="preserve">（乙公司全称）</w:t>
      </w:r>
      <w:r>
        <w:rPr>
          <w:rFonts w:ascii="仿宋" w:hAnsi="仿宋" w:eastAsia="仿宋" w:cs="仿宋"/>
          <w:color w:val="000000"/>
          <w:sz w:val="24"/>
          <w:szCs w:val="24"/>
          <w:highlight w:val="none"/>
          <w:u w:val="single"/>
        </w:rPr>
      </w:r>
      <w:r/>
    </w:p>
    <w:p>
      <w:pPr>
        <w:pStyle w:val="1185"/>
        <w:ind w:firstLine="800"/>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t xml:space="preserve">（……公司全称）</w:t>
      </w:r>
      <w:r>
        <w:rPr>
          <w:rFonts w:ascii="仿宋" w:hAnsi="仿宋" w:eastAsia="仿宋" w:cs="仿宋"/>
          <w:color w:val="000000"/>
          <w:sz w:val="24"/>
          <w:szCs w:val="24"/>
          <w:highlight w:val="none"/>
          <w:u w:val="singl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u w:val="single"/>
        </w:rPr>
        <w:t xml:space="preserve">（甲公司全称）、（乙公司全称）、（……公司全称）</w:t>
      </w:r>
      <w:r>
        <w:rPr>
          <w:rFonts w:ascii="仿宋" w:hAnsi="仿宋" w:eastAsia="仿宋" w:cs="仿宋"/>
          <w:color w:val="000000"/>
          <w:sz w:val="24"/>
          <w:szCs w:val="24"/>
          <w:highlight w:val="none"/>
        </w:rPr>
        <w:t xml:space="preserve">自愿达成分包意向，参加</w:t>
      </w:r>
      <w:r>
        <w:rPr>
          <w:rFonts w:ascii="仿宋" w:hAnsi="仿宋" w:eastAsia="仿宋" w:cs="仿宋"/>
          <w:color w:val="000000"/>
          <w:sz w:val="24"/>
          <w:szCs w:val="24"/>
          <w:highlight w:val="none"/>
          <w:u w:val="single"/>
        </w:rPr>
        <w:t xml:space="preserve">（采购项目名称：）（采购项目编号：）（分包号：）</w:t>
      </w:r>
      <w:r>
        <w:rPr>
          <w:rFonts w:ascii="仿宋" w:hAnsi="仿宋" w:eastAsia="仿宋" w:cs="仿宋"/>
          <w:color w:val="000000"/>
          <w:sz w:val="24"/>
          <w:szCs w:val="24"/>
          <w:highlight w:val="none"/>
        </w:rPr>
        <w:t xml:space="preserve">的响应活动。经各方充分协商一致，就项目的响应和合同实施阶段的有关事务协商一致订立意向如下：</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一、分包意向各方关系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u w:val="single"/>
        </w:rPr>
        <w:t xml:space="preserve">（甲公司全称）为投标方、（乙公司全称）、（……公司全称）</w:t>
      </w:r>
      <w:r>
        <w:rPr>
          <w:rFonts w:ascii="仿宋" w:hAnsi="仿宋" w:eastAsia="仿宋" w:cs="仿宋"/>
          <w:color w:val="000000"/>
          <w:sz w:val="24"/>
          <w:szCs w:val="24"/>
          <w:highlight w:val="none"/>
        </w:rPr>
        <w:t xml:space="preserve">为分包意向供应商，</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二、有关事项约定如下：</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1.如中标，分包供应商分别与</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签订合同书，并就中标项目分包部分向采购人负责有连带的和各自的法律责任；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2.分包意向供应商</w:t>
      </w:r>
      <w:r>
        <w:rPr>
          <w:rFonts w:ascii="仿宋" w:hAnsi="仿宋" w:eastAsia="仿宋" w:cs="仿宋"/>
          <w:color w:val="000000"/>
          <w:sz w:val="24"/>
          <w:szCs w:val="24"/>
          <w:highlight w:val="none"/>
          <w:u w:val="single"/>
        </w:rPr>
        <w:t xml:space="preserve">1（公司全称）</w:t>
      </w:r>
      <w:r>
        <w:rPr>
          <w:rFonts w:ascii="仿宋" w:hAnsi="仿宋" w:eastAsia="仿宋" w:cs="仿宋"/>
          <w:color w:val="000000"/>
          <w:sz w:val="24"/>
          <w:szCs w:val="24"/>
          <w:highlight w:val="none"/>
        </w:rPr>
        <w:t xml:space="preserve">为</w:t>
      </w:r>
      <w:r>
        <w:rPr>
          <w:rFonts w:ascii="仿宋" w:hAnsi="仿宋" w:eastAsia="仿宋" w:cs="仿宋"/>
          <w:color w:val="000000"/>
          <w:sz w:val="24"/>
          <w:szCs w:val="24"/>
          <w:highlight w:val="none"/>
          <w:u w:val="single"/>
        </w:rPr>
        <w:t xml:space="preserve">（请填写：中型、小型、微型）</w:t>
      </w:r>
      <w:r>
        <w:rPr>
          <w:rFonts w:ascii="仿宋" w:hAnsi="仿宋" w:eastAsia="仿宋" w:cs="仿宋"/>
          <w:color w:val="000000"/>
          <w:sz w:val="24"/>
          <w:szCs w:val="24"/>
          <w:highlight w:val="none"/>
        </w:rPr>
        <w:t xml:space="preserve">企业，将承担适宜分包部分</w:t>
      </w:r>
      <w:r>
        <w:rPr>
          <w:rFonts w:ascii="仿宋" w:hAnsi="仿宋" w:eastAsia="仿宋" w:cs="仿宋"/>
          <w:color w:val="000000"/>
          <w:sz w:val="24"/>
          <w:szCs w:val="24"/>
          <w:highlight w:val="none"/>
          <w:u w:val="single"/>
        </w:rPr>
        <w:t xml:space="preserve"> （具体分包内容）</w:t>
      </w:r>
      <w:r>
        <w:rPr>
          <w:rFonts w:ascii="仿宋" w:hAnsi="仿宋" w:eastAsia="仿宋" w:cs="仿宋"/>
          <w:color w:val="000000"/>
          <w:sz w:val="24"/>
          <w:szCs w:val="24"/>
          <w:highlight w:val="none"/>
        </w:rPr>
        <w:t xml:space="preserve">占合同总金额</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的工作内容。</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3.分包意向供应商</w:t>
      </w:r>
      <w:r>
        <w:rPr>
          <w:rFonts w:ascii="仿宋" w:hAnsi="仿宋" w:eastAsia="仿宋" w:cs="仿宋"/>
          <w:color w:val="000000"/>
          <w:sz w:val="24"/>
          <w:szCs w:val="24"/>
          <w:highlight w:val="none"/>
          <w:u w:val="single"/>
        </w:rPr>
        <w:t xml:space="preserve">2（公司全称）</w:t>
      </w:r>
      <w:r>
        <w:rPr>
          <w:rFonts w:ascii="仿宋" w:hAnsi="仿宋" w:eastAsia="仿宋" w:cs="仿宋"/>
          <w:color w:val="000000"/>
          <w:sz w:val="24"/>
          <w:szCs w:val="24"/>
          <w:highlight w:val="none"/>
        </w:rPr>
        <w:t xml:space="preserve">为</w:t>
      </w:r>
      <w:r>
        <w:rPr>
          <w:rFonts w:ascii="仿宋" w:hAnsi="仿宋" w:eastAsia="仿宋" w:cs="仿宋"/>
          <w:color w:val="000000"/>
          <w:sz w:val="24"/>
          <w:szCs w:val="24"/>
          <w:highlight w:val="none"/>
          <w:u w:val="single"/>
        </w:rPr>
        <w:t xml:space="preserve">（请填写：中型、小型、微型）</w:t>
      </w:r>
      <w:r>
        <w:rPr>
          <w:rFonts w:ascii="仿宋" w:hAnsi="仿宋" w:eastAsia="仿宋" w:cs="仿宋"/>
          <w:color w:val="000000"/>
          <w:sz w:val="24"/>
          <w:szCs w:val="24"/>
          <w:highlight w:val="none"/>
        </w:rPr>
        <w:t xml:space="preserve">企业，将承担适宜分包部分</w:t>
      </w:r>
      <w:r>
        <w:rPr>
          <w:rFonts w:ascii="仿宋" w:hAnsi="仿宋" w:eastAsia="仿宋" w:cs="仿宋"/>
          <w:color w:val="000000"/>
          <w:sz w:val="24"/>
          <w:szCs w:val="24"/>
          <w:highlight w:val="none"/>
          <w:u w:val="single"/>
        </w:rPr>
        <w:t xml:space="preserve">（具体分包内容）</w:t>
      </w:r>
      <w:r>
        <w:rPr>
          <w:rFonts w:ascii="仿宋" w:hAnsi="仿宋" w:eastAsia="仿宋" w:cs="仿宋"/>
          <w:color w:val="000000"/>
          <w:sz w:val="24"/>
          <w:szCs w:val="24"/>
          <w:highlight w:val="none"/>
        </w:rPr>
        <w:t xml:space="preserve">占合同总金额</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的工作内容。</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三、接受分包的企业与分包企业之间的关系：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1.分包意向供应商</w:t>
      </w:r>
      <w:r>
        <w:rPr>
          <w:rFonts w:ascii="仿宋" w:hAnsi="仿宋" w:eastAsia="仿宋" w:cs="仿宋"/>
          <w:color w:val="000000"/>
          <w:sz w:val="24"/>
          <w:szCs w:val="24"/>
          <w:highlight w:val="none"/>
          <w:u w:val="single"/>
        </w:rPr>
        <w:t xml:space="preserve"> 1（公司全称）</w:t>
      </w:r>
      <w:r>
        <w:rPr>
          <w:rFonts w:ascii="仿宋" w:hAnsi="仿宋" w:eastAsia="仿宋" w:cs="仿宋"/>
          <w:color w:val="000000"/>
          <w:sz w:val="24"/>
          <w:szCs w:val="24"/>
          <w:highlight w:val="none"/>
        </w:rPr>
        <w:t xml:space="preserve">与分包企业之间</w:t>
      </w:r>
      <w:r>
        <w:rPr>
          <w:rFonts w:ascii="仿宋" w:hAnsi="仿宋" w:eastAsia="仿宋" w:cs="仿宋"/>
          <w:color w:val="000000"/>
          <w:sz w:val="24"/>
          <w:szCs w:val="24"/>
          <w:highlight w:val="none"/>
          <w:u w:val="single"/>
        </w:rPr>
        <w:t xml:space="preserve">（请填写：是否存在）</w:t>
      </w:r>
      <w:r>
        <w:rPr>
          <w:rFonts w:ascii="仿宋" w:hAnsi="仿宋" w:eastAsia="仿宋" w:cs="仿宋"/>
          <w:color w:val="000000"/>
          <w:sz w:val="24"/>
          <w:szCs w:val="24"/>
          <w:highlight w:val="none"/>
        </w:rPr>
        <w:t xml:space="preserve">直接控股、管理关系的情形。</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2.分包意向供应商</w:t>
      </w:r>
      <w:r>
        <w:rPr>
          <w:rFonts w:ascii="仿宋" w:hAnsi="仿宋" w:eastAsia="仿宋" w:cs="仿宋"/>
          <w:color w:val="000000"/>
          <w:sz w:val="24"/>
          <w:szCs w:val="24"/>
          <w:highlight w:val="none"/>
          <w:u w:val="single"/>
        </w:rPr>
        <w:t xml:space="preserve"> 2（公司全称）</w:t>
      </w:r>
      <w:r>
        <w:rPr>
          <w:rFonts w:ascii="仿宋" w:hAnsi="仿宋" w:eastAsia="仿宋" w:cs="仿宋"/>
          <w:color w:val="000000"/>
          <w:sz w:val="24"/>
          <w:szCs w:val="24"/>
          <w:highlight w:val="none"/>
        </w:rPr>
        <w:t xml:space="preserve">与分包企业之间</w:t>
      </w:r>
      <w:r>
        <w:rPr>
          <w:rFonts w:ascii="仿宋" w:hAnsi="仿宋" w:eastAsia="仿宋" w:cs="仿宋"/>
          <w:color w:val="000000"/>
          <w:sz w:val="24"/>
          <w:szCs w:val="24"/>
          <w:highlight w:val="none"/>
          <w:u w:val="single"/>
        </w:rPr>
        <w:t xml:space="preserve">（请填写：是否存在）</w:t>
      </w:r>
      <w:r>
        <w:rPr>
          <w:rFonts w:ascii="仿宋" w:hAnsi="仿宋" w:eastAsia="仿宋" w:cs="仿宋"/>
          <w:color w:val="000000"/>
          <w:sz w:val="24"/>
          <w:szCs w:val="24"/>
          <w:highlight w:val="none"/>
        </w:rPr>
        <w:t xml:space="preserve">直接控股、管理关系的情形。</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四、如因违约过失责任而导致采购人经济损失或被索赔时，</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同意无条件优先清偿采购人的一切债务和经济赔偿。</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五、如中标，分包意向供应商不得以任何理由提出终止本意向协议。</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六、本意向书在自签署之日起生效，有效期内有效，如获中标资格，有效期延续至合同履行完毕之日。</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七、本意向书正本一式</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份，随投标文件装订</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份，（甲公司全称）及各分包意向供应商各一份。</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甲公司全称：（盖章）</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年 月 日</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乙公司全称：（盖章）</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 </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年 月 日</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……公司全称（盖章）</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年 月 日 </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185"/>
        <w:ind w:firstLine="402"/>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t xml:space="preserve">注：</w:t>
      </w:r>
      <w:r>
        <w:rPr>
          <w:rFonts w:ascii="仿宋" w:hAnsi="仿宋" w:eastAsia="仿宋" w:cs="仿宋"/>
          <w:b/>
          <w:bCs/>
          <w:color w:val="000000"/>
          <w:sz w:val="24"/>
          <w:szCs w:val="24"/>
          <w:highlight w:val="none"/>
        </w:rPr>
      </w:r>
      <w:r/>
    </w:p>
    <w:p>
      <w:pPr>
        <w:pStyle w:val="1185"/>
        <w:ind w:firstLine="402"/>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t xml:space="preserve">1．各方成员应在本意向书上共同盖章确认。 </w:t>
      </w:r>
      <w:r>
        <w:rPr>
          <w:rFonts w:ascii="仿宋" w:hAnsi="仿宋" w:eastAsia="仿宋" w:cs="仿宋"/>
          <w:b/>
          <w:bCs/>
          <w:color w:val="000000"/>
          <w:sz w:val="24"/>
          <w:szCs w:val="24"/>
          <w:highlight w:val="none"/>
        </w:rPr>
      </w:r>
      <w:r/>
    </w:p>
    <w:p>
      <w:pPr>
        <w:pStyle w:val="768"/>
        <w:ind w:firstLine="482"/>
        <w:rPr>
          <w:rFonts w:ascii="仿宋" w:hAnsi="仿宋" w:eastAsia="仿宋" w:cs="仿宋"/>
          <w:color w:val="000000"/>
          <w:sz w:val="24"/>
          <w:highlight w:val="none"/>
        </w:rPr>
      </w:pPr>
      <w:r>
        <w:rPr>
          <w:rFonts w:hint="eastAsia" w:ascii="仿宋" w:hAnsi="仿宋" w:eastAsia="仿宋" w:cs="仿宋"/>
          <w:b/>
          <w:bCs/>
          <w:color w:val="000000"/>
          <w:sz w:val="24"/>
          <w:szCs w:val="24"/>
          <w:highlight w:val="none"/>
        </w:rPr>
        <w:t xml:space="preserve">2.本意向书内容将作为签订合同的附件之一。</w:t>
      </w:r>
      <w:r>
        <w:rPr>
          <w:rFonts w:ascii="仿宋" w:hAnsi="仿宋" w:eastAsia="仿宋" w:cs="仿宋"/>
          <w:color w:val="000000"/>
          <w:sz w:val="24"/>
          <w:highlight w:val="none"/>
        </w:rPr>
      </w:r>
      <w:r/>
    </w:p>
    <w:p>
      <w:pPr>
        <w:pStyle w:val="768"/>
        <w:spacing w:line="44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1163"/>
        <w:ind w:firstLine="0"/>
        <w:spacing w:line="440" w:lineRule="exact"/>
        <w:rPr>
          <w:rFonts w:ascii="仿宋" w:hAnsi="仿宋" w:eastAsia="仿宋" w:cs="仿宋"/>
          <w:color w:val="000000"/>
          <w:highlight w:val="none"/>
        </w:rPr>
      </w:pPr>
      <w:r/>
      <w:bookmarkStart w:id="162" w:name="_Toc462564146"/>
      <w:r/>
      <w:bookmarkEnd w:id="162"/>
      <w:r/>
      <w:bookmarkStart w:id="163" w:name="_Hlt26671374"/>
      <w:r/>
      <w:bookmarkEnd w:id="163"/>
      <w:r/>
      <w:bookmarkStart w:id="164" w:name="_Hlt26609389"/>
      <w:r/>
      <w:bookmarkEnd w:id="164"/>
      <w:r/>
      <w:bookmarkStart w:id="165" w:name="_Hlt26955066"/>
      <w:r/>
      <w:bookmarkEnd w:id="165"/>
      <w:r>
        <w:rPr>
          <w:rFonts w:ascii="仿宋" w:hAnsi="仿宋" w:eastAsia="仿宋" w:cs="仿宋"/>
          <w:color w:val="000000"/>
          <w:highlight w:val="none"/>
        </w:rPr>
      </w:r>
      <w:r/>
    </w:p>
    <w:p>
      <w:pPr>
        <w:pStyle w:val="768"/>
        <w:spacing w:line="44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1151"/>
        <w:spacing w:line="44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51"/>
        <w:spacing w:line="44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68"/>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68"/>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6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68"/>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68"/>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sectPr>
      <w:headerReference w:type="default" r:id="rId10"/>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768"/>
                          </w:pPr>
                          <w:r/>
                          <w:r/>
                        </w:p>
                        <w:p>
                          <w:pPr>
                            <w:pStyle w:val="768"/>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768"/>
                    </w:pPr>
                    <w:r/>
                    <w:r/>
                  </w:p>
                  <w:p>
                    <w:pPr>
                      <w:pStyle w:val="768"/>
                    </w:pPr>
                    <w:r/>
                    <w:r/>
                  </w:p>
                </w:txbxContent>
              </v:textbox>
            </v:shape>
          </w:pict>
        </mc:Fallback>
      </mc:AlternateContent>
    </w:r>
    <w:r/>
  </w:p>
  <w:p>
    <w:pPr>
      <w:pStyle w:val="8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pPr>
                          <w:r/>
                          <w:r/>
                        </w:p>
                        <w:p>
                          <w:pPr>
                            <w:pStyle w:val="76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pPr>
                    <w:r/>
                    <w:r/>
                  </w:p>
                  <w:p>
                    <w:pPr>
                      <w:pStyle w:val="76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22"/>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2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69</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68"/>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69</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68"/>
                    </w:pPr>
                    <w:r/>
                    <w:r/>
                  </w:p>
                </w:txbxContent>
              </v:textbox>
            </v:shape>
          </w:pict>
        </mc:Fallback>
      </mc:AlternateContent>
    </w:r>
    <w:r/>
  </w:p>
  <w:p>
    <w:pPr>
      <w:pStyle w:val="82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911"/>
    <w:uiPriority w:val="9"/>
    <w:qFormat/>
    <w:pPr>
      <w:keepLines/>
      <w:keepNext/>
      <w:spacing w:before="480" w:after="200"/>
      <w:outlineLvl w:val="0"/>
    </w:pPr>
    <w:rPr>
      <w:rFonts w:ascii="Arial" w:hAnsi="Arial" w:eastAsia="Arial" w:cs="Arial"/>
      <w:sz w:val="40"/>
      <w:szCs w:val="40"/>
    </w:rPr>
  </w:style>
  <w:style w:type="paragraph" w:styleId="16">
    <w:name w:val="Heading 3"/>
    <w:basedOn w:val="768"/>
    <w:next w:val="768"/>
    <w:link w:val="91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8"/>
    <w:next w:val="768"/>
    <w:link w:val="91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8"/>
    <w:next w:val="768"/>
    <w:link w:val="91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8"/>
    <w:next w:val="768"/>
    <w:link w:val="91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8"/>
    <w:next w:val="76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8"/>
    <w:next w:val="768"/>
    <w:link w:val="91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8"/>
    <w:next w:val="768"/>
    <w:link w:val="91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8"/>
    <w:next w:val="768"/>
    <w:link w:val="920"/>
    <w:uiPriority w:val="10"/>
    <w:qFormat/>
    <w:pPr>
      <w:contextualSpacing/>
      <w:spacing w:before="300" w:after="200"/>
    </w:pPr>
    <w:rPr>
      <w:sz w:val="48"/>
      <w:szCs w:val="48"/>
    </w:rPr>
  </w:style>
  <w:style w:type="paragraph" w:styleId="35">
    <w:name w:val="Subtitle"/>
    <w:basedOn w:val="768"/>
    <w:next w:val="768"/>
    <w:link w:val="921"/>
    <w:uiPriority w:val="11"/>
    <w:qFormat/>
    <w:pPr>
      <w:spacing w:before="200" w:after="200"/>
    </w:pPr>
    <w:rPr>
      <w:sz w:val="24"/>
      <w:szCs w:val="24"/>
    </w:rPr>
  </w:style>
  <w:style w:type="paragraph" w:styleId="37">
    <w:name w:val="Quote"/>
    <w:basedOn w:val="768"/>
    <w:next w:val="768"/>
    <w:link w:val="922"/>
    <w:uiPriority w:val="29"/>
    <w:qFormat/>
    <w:pPr>
      <w:ind w:left="720" w:right="720"/>
    </w:pPr>
    <w:rPr>
      <w:i/>
    </w:rPr>
  </w:style>
  <w:style w:type="paragraph" w:styleId="39">
    <w:name w:val="Intense Quote"/>
    <w:basedOn w:val="768"/>
    <w:next w:val="768"/>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68"/>
    <w:link w:val="933"/>
    <w:uiPriority w:val="99"/>
    <w:unhideWhenUsed/>
    <w:pPr>
      <w:spacing w:after="0" w:line="240" w:lineRule="auto"/>
      <w:tabs>
        <w:tab w:val="center" w:pos="7143" w:leader="none"/>
        <w:tab w:val="right" w:pos="14287" w:leader="none"/>
      </w:tabs>
    </w:pPr>
  </w:style>
  <w:style w:type="paragraph" w:styleId="43">
    <w:name w:val="Footer"/>
    <w:basedOn w:val="768"/>
    <w:link w:val="924"/>
    <w:uiPriority w:val="99"/>
    <w:unhideWhenUsed/>
    <w:pPr>
      <w:spacing w:after="0" w:line="240" w:lineRule="auto"/>
      <w:tabs>
        <w:tab w:val="center" w:pos="7143" w:leader="none"/>
        <w:tab w:val="right" w:pos="14287" w:leader="none"/>
      </w:tabs>
    </w:pPr>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8"/>
    <w:link w:val="92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8"/>
    <w:link w:val="92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rFonts w:ascii="Calibri" w:hAnsi="Calibri"/>
      <w:sz w:val="21"/>
      <w:szCs w:val="22"/>
      <w:lang w:val="en-US" w:eastAsia="zh-CN" w:bidi="ar-SA"/>
    </w:rPr>
  </w:style>
  <w:style w:type="paragraph" w:styleId="769">
    <w:name w:val="标题 1"/>
    <w:basedOn w:val="768"/>
    <w:next w:val="768"/>
    <w:link w:val="780"/>
    <w:qFormat/>
    <w:pPr>
      <w:keepLines/>
      <w:keepNext/>
      <w:spacing w:before="480" w:after="200"/>
      <w:outlineLvl w:val="0"/>
    </w:pPr>
    <w:rPr>
      <w:rFonts w:ascii="Arial" w:hAnsi="Arial" w:eastAsia="Arial"/>
      <w:sz w:val="40"/>
      <w:szCs w:val="40"/>
    </w:rPr>
  </w:style>
  <w:style w:type="paragraph" w:styleId="770">
    <w:name w:val="标题 2"/>
    <w:basedOn w:val="768"/>
    <w:next w:val="782"/>
    <w:link w:val="781"/>
    <w:qFormat/>
    <w:pPr>
      <w:keepLines/>
      <w:keepNext/>
      <w:spacing w:before="260" w:after="260" w:line="413" w:lineRule="auto"/>
      <w:outlineLvl w:val="1"/>
    </w:pPr>
    <w:rPr>
      <w:rFonts w:ascii="Arial" w:hAnsi="Arial" w:eastAsia="Arial"/>
      <w:sz w:val="34"/>
      <w:szCs w:val="20"/>
    </w:rPr>
  </w:style>
  <w:style w:type="paragraph" w:styleId="771">
    <w:name w:val="标题 3"/>
    <w:basedOn w:val="784"/>
    <w:next w:val="786"/>
    <w:link w:val="785"/>
    <w:qFormat/>
    <w:pPr>
      <w:keepLines/>
      <w:keepNext/>
      <w:spacing w:before="320" w:after="200"/>
      <w:outlineLvl w:val="2"/>
    </w:pPr>
    <w:rPr>
      <w:rFonts w:ascii="Arial" w:hAnsi="Arial" w:eastAsia="Arial"/>
      <w:sz w:val="30"/>
      <w:szCs w:val="30"/>
    </w:rPr>
  </w:style>
  <w:style w:type="paragraph" w:styleId="772">
    <w:name w:val="标题 4"/>
    <w:basedOn w:val="768"/>
    <w:next w:val="768"/>
    <w:link w:val="790"/>
    <w:qFormat/>
    <w:pPr>
      <w:jc w:val="center"/>
      <w:keepNext/>
      <w:outlineLvl w:val="3"/>
    </w:pPr>
    <w:rPr>
      <w:rFonts w:ascii="Arial" w:hAnsi="Arial" w:eastAsia="Arial"/>
      <w:b/>
      <w:bCs/>
      <w:sz w:val="26"/>
      <w:szCs w:val="26"/>
    </w:rPr>
  </w:style>
  <w:style w:type="paragraph" w:styleId="773">
    <w:name w:val="标题 5"/>
    <w:basedOn w:val="768"/>
    <w:next w:val="768"/>
    <w:link w:val="791"/>
    <w:qFormat/>
    <w:pPr>
      <w:keepLines/>
      <w:keepNext/>
      <w:spacing w:before="320" w:after="200"/>
      <w:outlineLvl w:val="4"/>
    </w:pPr>
    <w:rPr>
      <w:rFonts w:ascii="Arial" w:hAnsi="Arial" w:eastAsia="Arial"/>
      <w:b/>
      <w:bCs/>
      <w:sz w:val="24"/>
      <w:szCs w:val="24"/>
    </w:rPr>
  </w:style>
  <w:style w:type="paragraph" w:styleId="774">
    <w:name w:val="标题 6"/>
    <w:basedOn w:val="768"/>
    <w:next w:val="768"/>
    <w:link w:val="792"/>
    <w:qFormat/>
    <w:pPr>
      <w:keepLines/>
      <w:keepNext/>
      <w:spacing w:before="320" w:after="200"/>
      <w:outlineLvl w:val="5"/>
    </w:pPr>
    <w:rPr>
      <w:rFonts w:ascii="Arial" w:hAnsi="Arial" w:eastAsia="Arial"/>
      <w:b/>
      <w:bCs/>
      <w:sz w:val="22"/>
    </w:rPr>
  </w:style>
  <w:style w:type="paragraph" w:styleId="775">
    <w:name w:val="标题 7"/>
    <w:basedOn w:val="768"/>
    <w:next w:val="768"/>
    <w:link w:val="793"/>
    <w:qFormat/>
    <w:pPr>
      <w:keepLines/>
      <w:keepNext/>
      <w:spacing w:before="320" w:after="200"/>
      <w:outlineLvl w:val="6"/>
    </w:pPr>
    <w:rPr>
      <w:rFonts w:ascii="Arial" w:hAnsi="Arial" w:eastAsia="Arial"/>
      <w:b/>
      <w:bCs/>
      <w:i/>
      <w:iCs/>
      <w:sz w:val="22"/>
    </w:rPr>
  </w:style>
  <w:style w:type="paragraph" w:styleId="776">
    <w:name w:val="标题 8"/>
    <w:basedOn w:val="768"/>
    <w:next w:val="768"/>
    <w:link w:val="794"/>
    <w:qFormat/>
    <w:pPr>
      <w:keepLines/>
      <w:keepNext/>
      <w:spacing w:before="320" w:after="200"/>
      <w:outlineLvl w:val="7"/>
    </w:pPr>
    <w:rPr>
      <w:rFonts w:ascii="Arial" w:hAnsi="Arial" w:eastAsia="Arial"/>
      <w:i/>
      <w:iCs/>
      <w:sz w:val="22"/>
    </w:rPr>
  </w:style>
  <w:style w:type="paragraph" w:styleId="777">
    <w:name w:val="标题 9"/>
    <w:basedOn w:val="768"/>
    <w:next w:val="768"/>
    <w:link w:val="795"/>
    <w:qFormat/>
    <w:pPr>
      <w:keepLines/>
      <w:keepNext/>
      <w:spacing w:before="320" w:after="200"/>
      <w:outlineLvl w:val="8"/>
    </w:pPr>
    <w:rPr>
      <w:rFonts w:ascii="Arial" w:hAnsi="Arial" w:eastAsia="Arial"/>
      <w:i/>
      <w:iCs/>
      <w:szCs w:val="21"/>
    </w:rPr>
  </w:style>
  <w:style w:type="character" w:styleId="778">
    <w:name w:val="默认段落字体"/>
    <w:next w:val="778"/>
    <w:link w:val="768"/>
    <w:uiPriority w:val="1"/>
    <w:unhideWhenUsed/>
    <w:qFormat/>
  </w:style>
  <w:style w:type="table" w:styleId="779">
    <w:name w:val="普通表格"/>
    <w:next w:val="779"/>
    <w:link w:val="768"/>
    <w:uiPriority w:val="99"/>
    <w:unhideWhenUsed/>
    <w:qFormat/>
    <w:tblPr/>
  </w:style>
  <w:style w:type="character" w:styleId="780">
    <w:name w:val="标题 1 Char"/>
    <w:next w:val="780"/>
    <w:link w:val="769"/>
    <w:qFormat/>
    <w:rPr>
      <w:rFonts w:ascii="Arial" w:hAnsi="Arial" w:eastAsia="Arial" w:cs="Arial"/>
      <w:sz w:val="40"/>
      <w:szCs w:val="40"/>
    </w:rPr>
  </w:style>
  <w:style w:type="character" w:styleId="781">
    <w:name w:val="标题 2 Char"/>
    <w:next w:val="781"/>
    <w:link w:val="770"/>
    <w:qFormat/>
    <w:rPr>
      <w:rFonts w:ascii="Arial" w:hAnsi="Arial" w:eastAsia="Arial" w:cs="Arial"/>
      <w:sz w:val="34"/>
    </w:rPr>
  </w:style>
  <w:style w:type="paragraph" w:styleId="782">
    <w:name w:val="正文缩进"/>
    <w:basedOn w:val="768"/>
    <w:next w:val="768"/>
    <w:link w:val="783"/>
    <w:qFormat/>
    <w:pPr>
      <w:ind w:firstLine="420"/>
    </w:pPr>
    <w:rPr>
      <w:rFonts w:ascii="宋体"/>
      <w:color w:val="000000"/>
      <w:sz w:val="24"/>
      <w:szCs w:val="20"/>
    </w:rPr>
  </w:style>
  <w:style w:type="character" w:styleId="783">
    <w:name w:val="正文缩进 Char"/>
    <w:next w:val="783"/>
    <w:link w:val="782"/>
    <w:qFormat/>
    <w:rPr>
      <w:rFonts w:ascii="宋体" w:hAnsi="Calibri"/>
      <w:color w:val="000000"/>
      <w:sz w:val="24"/>
    </w:rPr>
  </w:style>
  <w:style w:type="paragraph" w:styleId="784">
    <w:name w:val="Normal1"/>
    <w:next w:val="771"/>
    <w:link w:val="768"/>
    <w:qFormat/>
    <w:pPr>
      <w:jc w:val="both"/>
      <w:widowControl w:val="off"/>
    </w:pPr>
    <w:rPr>
      <w:rFonts w:ascii="Calibri" w:hAnsi="Calibri"/>
      <w:sz w:val="21"/>
      <w:szCs w:val="22"/>
      <w:lang w:val="en-US" w:eastAsia="zh-CN" w:bidi="ar-SA"/>
    </w:rPr>
  </w:style>
  <w:style w:type="character" w:styleId="785">
    <w:name w:val="标题 3 Char"/>
    <w:next w:val="785"/>
    <w:link w:val="771"/>
    <w:qFormat/>
    <w:rPr>
      <w:rFonts w:ascii="Arial" w:hAnsi="Arial" w:eastAsia="Arial" w:cs="Arial"/>
      <w:sz w:val="30"/>
      <w:szCs w:val="30"/>
    </w:rPr>
  </w:style>
  <w:style w:type="paragraph" w:styleId="786">
    <w:name w:val="Normal_19"/>
    <w:next w:val="787"/>
    <w:link w:val="768"/>
    <w:qFormat/>
    <w:rPr>
      <w:rFonts w:ascii="黑体" w:hAnsi="黑体" w:eastAsia="黑体" w:cs="黑体"/>
      <w:b/>
      <w:sz w:val="32"/>
      <w:szCs w:val="24"/>
      <w:lang w:val="en-US" w:eastAsia="zh-CN" w:bidi="ar-SA"/>
    </w:rPr>
  </w:style>
  <w:style w:type="paragraph" w:styleId="787">
    <w:name w:val="Normal1"/>
    <w:next w:val="788"/>
    <w:link w:val="768"/>
    <w:qFormat/>
    <w:pPr>
      <w:jc w:val="both"/>
      <w:widowControl w:val="off"/>
    </w:pPr>
    <w:rPr>
      <w:szCs w:val="21"/>
      <w:lang w:val="en-US" w:eastAsia="zh-CN" w:bidi="ar-SA"/>
    </w:rPr>
  </w:style>
  <w:style w:type="paragraph" w:styleId="788">
    <w:name w:val="Body Text First Indent1"/>
    <w:basedOn w:val="789"/>
    <w:next w:val="788"/>
    <w:link w:val="768"/>
    <w:uiPriority w:val="99"/>
    <w:unhideWhenUsed/>
    <w:qFormat/>
    <w:pPr>
      <w:ind w:firstLine="420"/>
    </w:pPr>
  </w:style>
  <w:style w:type="paragraph" w:styleId="789">
    <w:name w:val="Body Text1"/>
    <w:basedOn w:val="787"/>
    <w:next w:val="789"/>
    <w:link w:val="768"/>
    <w:uiPriority w:val="99"/>
    <w:unhideWhenUsed/>
    <w:qFormat/>
    <w:pPr>
      <w:spacing w:after="120"/>
    </w:pPr>
  </w:style>
  <w:style w:type="character" w:styleId="790">
    <w:name w:val="标题 4 Char"/>
    <w:next w:val="790"/>
    <w:link w:val="772"/>
    <w:qFormat/>
    <w:rPr>
      <w:rFonts w:ascii="Arial" w:hAnsi="Arial" w:eastAsia="Arial" w:cs="Arial"/>
      <w:b/>
      <w:bCs/>
      <w:sz w:val="26"/>
      <w:szCs w:val="26"/>
    </w:rPr>
  </w:style>
  <w:style w:type="character" w:styleId="791">
    <w:name w:val="标题 5 Char"/>
    <w:next w:val="791"/>
    <w:link w:val="773"/>
    <w:qFormat/>
    <w:rPr>
      <w:rFonts w:ascii="Arial" w:hAnsi="Arial" w:eastAsia="Arial" w:cs="Arial"/>
      <w:b/>
      <w:bCs/>
      <w:sz w:val="24"/>
      <w:szCs w:val="24"/>
    </w:rPr>
  </w:style>
  <w:style w:type="character" w:styleId="792">
    <w:name w:val="标题 6 Char"/>
    <w:next w:val="792"/>
    <w:link w:val="774"/>
    <w:qFormat/>
    <w:rPr>
      <w:rFonts w:ascii="Arial" w:hAnsi="Arial" w:eastAsia="Arial" w:cs="Arial"/>
      <w:b/>
      <w:bCs/>
      <w:sz w:val="22"/>
      <w:szCs w:val="22"/>
    </w:rPr>
  </w:style>
  <w:style w:type="character" w:styleId="793">
    <w:name w:val="标题 7 Char"/>
    <w:next w:val="793"/>
    <w:link w:val="775"/>
    <w:qFormat/>
    <w:rPr>
      <w:rFonts w:ascii="Arial" w:hAnsi="Arial" w:eastAsia="Arial" w:cs="Arial"/>
      <w:b/>
      <w:bCs/>
      <w:i/>
      <w:iCs/>
      <w:sz w:val="22"/>
      <w:szCs w:val="22"/>
    </w:rPr>
  </w:style>
  <w:style w:type="character" w:styleId="794">
    <w:name w:val="标题 8 Char"/>
    <w:next w:val="794"/>
    <w:link w:val="776"/>
    <w:qFormat/>
    <w:rPr>
      <w:rFonts w:ascii="Arial" w:hAnsi="Arial" w:eastAsia="Arial" w:cs="Arial"/>
      <w:i/>
      <w:iCs/>
      <w:sz w:val="22"/>
      <w:szCs w:val="22"/>
    </w:rPr>
  </w:style>
  <w:style w:type="character" w:styleId="795">
    <w:name w:val="标题 9 Char"/>
    <w:next w:val="795"/>
    <w:link w:val="777"/>
    <w:qFormat/>
    <w:rPr>
      <w:rFonts w:ascii="Arial" w:hAnsi="Arial" w:eastAsia="Arial" w:cs="Arial"/>
      <w:i/>
      <w:iCs/>
      <w:sz w:val="21"/>
      <w:szCs w:val="21"/>
    </w:rPr>
  </w:style>
  <w:style w:type="paragraph" w:styleId="796">
    <w:name w:val="列表 3"/>
    <w:basedOn w:val="768"/>
    <w:next w:val="796"/>
    <w:link w:val="768"/>
    <w:qFormat/>
    <w:pPr>
      <w:ind w:left="100" w:hanging="200"/>
    </w:pPr>
    <w:rPr>
      <w:rFonts w:ascii="Times New Roman" w:hAnsi="Times New Roman"/>
      <w:szCs w:val="21"/>
    </w:rPr>
  </w:style>
  <w:style w:type="paragraph" w:styleId="797">
    <w:name w:val="目录 7"/>
    <w:basedOn w:val="768"/>
    <w:next w:val="768"/>
    <w:link w:val="768"/>
    <w:unhideWhenUsed/>
    <w:qFormat/>
    <w:pPr>
      <w:ind w:left="1701"/>
      <w:spacing w:after="57"/>
    </w:pPr>
  </w:style>
  <w:style w:type="paragraph" w:styleId="798">
    <w:name w:val="题注"/>
    <w:basedOn w:val="768"/>
    <w:next w:val="768"/>
    <w:link w:val="768"/>
    <w:uiPriority w:val="35"/>
    <w:qFormat/>
    <w:pPr>
      <w:spacing w:line="276" w:lineRule="auto"/>
    </w:pPr>
    <w:rPr>
      <w:b/>
      <w:bCs/>
      <w:color w:val="5b9bd5"/>
      <w:sz w:val="18"/>
      <w:szCs w:val="18"/>
    </w:rPr>
  </w:style>
  <w:style w:type="paragraph" w:styleId="799">
    <w:name w:val="文档结构图"/>
    <w:basedOn w:val="768"/>
    <w:next w:val="799"/>
    <w:link w:val="800"/>
    <w:semiHidden/>
    <w:qFormat/>
    <w:pPr>
      <w:shd w:val="clear" w:color="auto" w:fill="000080"/>
    </w:pPr>
    <w:rPr>
      <w:rFonts w:ascii="Times New Roman" w:hAnsi="Times New Roman"/>
      <w:szCs w:val="21"/>
    </w:rPr>
  </w:style>
  <w:style w:type="character" w:styleId="800">
    <w:name w:val="文档结构图 Char"/>
    <w:next w:val="800"/>
    <w:link w:val="799"/>
    <w:semiHidden/>
    <w:qFormat/>
    <w:rPr>
      <w:sz w:val="21"/>
      <w:szCs w:val="21"/>
      <w:shd w:val="clear" w:color="auto" w:fill="000080"/>
    </w:rPr>
  </w:style>
  <w:style w:type="paragraph" w:styleId="801">
    <w:name w:val="批注文字"/>
    <w:basedOn w:val="768"/>
    <w:next w:val="801"/>
    <w:link w:val="802"/>
    <w:semiHidden/>
    <w:qFormat/>
    <w:pPr>
      <w:jc w:val="left"/>
    </w:pPr>
    <w:rPr>
      <w:rFonts w:ascii="Times New Roman" w:hAnsi="Times New Roman"/>
      <w:szCs w:val="21"/>
    </w:rPr>
  </w:style>
  <w:style w:type="character" w:styleId="802">
    <w:name w:val="批注文字 Char"/>
    <w:next w:val="802"/>
    <w:link w:val="801"/>
    <w:semiHidden/>
    <w:qFormat/>
    <w:rPr>
      <w:sz w:val="21"/>
      <w:szCs w:val="21"/>
    </w:rPr>
  </w:style>
  <w:style w:type="paragraph" w:styleId="803">
    <w:name w:val="正文文本 3"/>
    <w:basedOn w:val="768"/>
    <w:next w:val="803"/>
    <w:link w:val="804"/>
    <w:qFormat/>
    <w:rPr>
      <w:rFonts w:ascii="仿宋_GB2312" w:hAnsi="Arial" w:eastAsia="仿宋_GB2312"/>
      <w:sz w:val="32"/>
      <w:szCs w:val="32"/>
    </w:rPr>
  </w:style>
  <w:style w:type="character" w:styleId="804">
    <w:name w:val="正文文本 3 Char"/>
    <w:next w:val="804"/>
    <w:link w:val="803"/>
    <w:qFormat/>
    <w:rPr>
      <w:rFonts w:ascii="仿宋_GB2312" w:hAnsi="Arial" w:eastAsia="仿宋_GB2312"/>
      <w:sz w:val="32"/>
      <w:szCs w:val="32"/>
    </w:rPr>
  </w:style>
  <w:style w:type="paragraph" w:styleId="805">
    <w:name w:val="正文文本"/>
    <w:basedOn w:val="768"/>
    <w:next w:val="782"/>
    <w:link w:val="768"/>
    <w:semiHidden/>
    <w:qFormat/>
    <w:rPr>
      <w:rFonts w:ascii="仿宋" w:hAnsi="仿宋" w:eastAsia="仿宋" w:cs="仿宋"/>
      <w:sz w:val="32"/>
      <w:szCs w:val="32"/>
      <w:lang w:val="en-US" w:eastAsia="en-US" w:bidi="ar-SA"/>
    </w:rPr>
  </w:style>
  <w:style w:type="paragraph" w:styleId="806">
    <w:name w:val="正文文本缩进"/>
    <w:basedOn w:val="768"/>
    <w:next w:val="806"/>
    <w:link w:val="807"/>
    <w:qFormat/>
    <w:pPr>
      <w:ind w:firstLine="225"/>
    </w:pPr>
    <w:rPr>
      <w:rFonts w:ascii="仿宋_GB2312" w:eastAsia="仿宋_GB2312"/>
      <w:sz w:val="32"/>
    </w:rPr>
  </w:style>
  <w:style w:type="character" w:styleId="807">
    <w:name w:val="正文文本缩进 Char"/>
    <w:next w:val="807"/>
    <w:link w:val="806"/>
    <w:qFormat/>
    <w:rPr>
      <w:rFonts w:ascii="仿宋_GB2312" w:hAnsi="Calibri" w:eastAsia="仿宋_GB2312"/>
      <w:sz w:val="32"/>
      <w:szCs w:val="22"/>
    </w:rPr>
  </w:style>
  <w:style w:type="paragraph" w:styleId="808">
    <w:name w:val="列表 2"/>
    <w:basedOn w:val="768"/>
    <w:next w:val="808"/>
    <w:link w:val="768"/>
    <w:qFormat/>
    <w:pPr>
      <w:ind w:left="100" w:hanging="200"/>
    </w:pPr>
    <w:rPr>
      <w:rFonts w:ascii="Times New Roman" w:hAnsi="Times New Roman"/>
      <w:szCs w:val="21"/>
    </w:rPr>
  </w:style>
  <w:style w:type="paragraph" w:styleId="809">
    <w:name w:val="目录 5"/>
    <w:basedOn w:val="768"/>
    <w:next w:val="768"/>
    <w:link w:val="768"/>
    <w:unhideWhenUsed/>
    <w:qFormat/>
    <w:pPr>
      <w:ind w:left="1134"/>
      <w:spacing w:after="57"/>
    </w:pPr>
  </w:style>
  <w:style w:type="paragraph" w:styleId="810">
    <w:name w:val="目录 3"/>
    <w:basedOn w:val="768"/>
    <w:next w:val="768"/>
    <w:link w:val="768"/>
    <w:unhideWhenUsed/>
    <w:qFormat/>
    <w:pPr>
      <w:ind w:left="567"/>
      <w:spacing w:after="57"/>
    </w:pPr>
  </w:style>
  <w:style w:type="paragraph" w:styleId="811">
    <w:name w:val="纯文本"/>
    <w:basedOn w:val="768"/>
    <w:next w:val="811"/>
    <w:link w:val="812"/>
    <w:qFormat/>
    <w:rPr>
      <w:rFonts w:ascii="宋体" w:hAnsi="Courier New"/>
      <w:szCs w:val="21"/>
    </w:rPr>
  </w:style>
  <w:style w:type="character" w:styleId="812">
    <w:name w:val="纯文本 Char"/>
    <w:next w:val="812"/>
    <w:link w:val="811"/>
    <w:qFormat/>
    <w:rPr>
      <w:rFonts w:ascii="宋体" w:hAnsi="Courier New" w:cs="Courier New"/>
      <w:sz w:val="21"/>
      <w:szCs w:val="21"/>
    </w:rPr>
  </w:style>
  <w:style w:type="paragraph" w:styleId="813">
    <w:name w:val="目录 8"/>
    <w:basedOn w:val="768"/>
    <w:next w:val="768"/>
    <w:link w:val="768"/>
    <w:unhideWhenUsed/>
    <w:qFormat/>
    <w:pPr>
      <w:ind w:left="1984"/>
      <w:spacing w:after="57"/>
    </w:pPr>
  </w:style>
  <w:style w:type="paragraph" w:styleId="814">
    <w:name w:val="日期"/>
    <w:basedOn w:val="768"/>
    <w:next w:val="768"/>
    <w:link w:val="815"/>
    <w:qFormat/>
    <w:rPr>
      <w:rFonts w:ascii="Times New Roman" w:hAnsi="Times New Roman"/>
      <w:sz w:val="24"/>
      <w:szCs w:val="24"/>
    </w:rPr>
  </w:style>
  <w:style w:type="character" w:styleId="815">
    <w:name w:val="日期 Char"/>
    <w:next w:val="815"/>
    <w:link w:val="814"/>
    <w:qFormat/>
    <w:rPr>
      <w:sz w:val="24"/>
      <w:szCs w:val="24"/>
    </w:rPr>
  </w:style>
  <w:style w:type="paragraph" w:styleId="816">
    <w:name w:val="正文文本缩进 2"/>
    <w:basedOn w:val="768"/>
    <w:next w:val="816"/>
    <w:link w:val="817"/>
    <w:qFormat/>
    <w:pPr>
      <w:ind w:left="630" w:firstLine="645"/>
    </w:pPr>
    <w:rPr>
      <w:rFonts w:ascii="Arial" w:hAnsi="Arial" w:eastAsia="仿宋_GB2312"/>
      <w:sz w:val="32"/>
      <w:szCs w:val="32"/>
    </w:rPr>
  </w:style>
  <w:style w:type="character" w:styleId="817">
    <w:name w:val="正文文本缩进 2 Char"/>
    <w:next w:val="817"/>
    <w:link w:val="816"/>
    <w:qFormat/>
    <w:rPr>
      <w:rFonts w:ascii="Arial" w:hAnsi="Arial" w:eastAsia="仿宋_GB2312" w:cs="Arial"/>
      <w:sz w:val="32"/>
      <w:szCs w:val="32"/>
    </w:rPr>
  </w:style>
  <w:style w:type="paragraph" w:styleId="818">
    <w:name w:val="尾注文本"/>
    <w:basedOn w:val="768"/>
    <w:next w:val="818"/>
    <w:link w:val="819"/>
    <w:uiPriority w:val="99"/>
    <w:unhideWhenUsed/>
    <w:qFormat/>
    <w:rPr>
      <w:rFonts w:ascii="Times New Roman" w:hAnsi="Times New Roman"/>
      <w:sz w:val="20"/>
      <w:szCs w:val="20"/>
    </w:rPr>
  </w:style>
  <w:style w:type="character" w:styleId="819">
    <w:name w:val="尾注文本 Char"/>
    <w:next w:val="819"/>
    <w:link w:val="818"/>
    <w:uiPriority w:val="99"/>
    <w:qFormat/>
    <w:rPr>
      <w:sz w:val="20"/>
    </w:rPr>
  </w:style>
  <w:style w:type="paragraph" w:styleId="820">
    <w:name w:val="批注框文本"/>
    <w:basedOn w:val="768"/>
    <w:next w:val="820"/>
    <w:link w:val="821"/>
    <w:qFormat/>
    <w:rPr>
      <w:rFonts w:ascii="Times New Roman" w:hAnsi="Times New Roman"/>
      <w:sz w:val="18"/>
      <w:szCs w:val="18"/>
    </w:rPr>
  </w:style>
  <w:style w:type="character" w:styleId="821">
    <w:name w:val="批注框文本 Char"/>
    <w:next w:val="821"/>
    <w:link w:val="820"/>
    <w:qFormat/>
    <w:rPr>
      <w:sz w:val="18"/>
      <w:szCs w:val="18"/>
    </w:rPr>
  </w:style>
  <w:style w:type="paragraph" w:styleId="822">
    <w:name w:val="页脚"/>
    <w:basedOn w:val="768"/>
    <w:next w:val="822"/>
    <w:link w:val="823"/>
    <w:uiPriority w:val="99"/>
    <w:qFormat/>
    <w:pPr>
      <w:jc w:val="left"/>
      <w:tabs>
        <w:tab w:val="center" w:pos="4153" w:leader="none"/>
        <w:tab w:val="right" w:pos="8306" w:leader="none"/>
      </w:tabs>
    </w:pPr>
    <w:rPr>
      <w:sz w:val="18"/>
      <w:szCs w:val="18"/>
    </w:rPr>
  </w:style>
  <w:style w:type="character" w:styleId="823">
    <w:name w:val="页脚 Char"/>
    <w:next w:val="823"/>
    <w:link w:val="822"/>
    <w:uiPriority w:val="99"/>
    <w:qFormat/>
  </w:style>
  <w:style w:type="paragraph" w:styleId="824">
    <w:name w:val="寄信人地址"/>
    <w:basedOn w:val="768"/>
    <w:next w:val="824"/>
    <w:link w:val="768"/>
    <w:qFormat/>
    <w:rPr>
      <w:rFonts w:ascii="Arial" w:hAnsi="Arial"/>
    </w:rPr>
  </w:style>
  <w:style w:type="paragraph" w:styleId="825">
    <w:name w:val="页眉"/>
    <w:basedOn w:val="768"/>
    <w:next w:val="825"/>
    <w:link w:val="826"/>
    <w:qFormat/>
    <w:pPr>
      <w:jc w:val="center"/>
      <w:tabs>
        <w:tab w:val="center" w:pos="4153" w:leader="none"/>
        <w:tab w:val="right" w:pos="8306" w:leader="none"/>
      </w:tabs>
    </w:pPr>
    <w:rPr>
      <w:sz w:val="18"/>
      <w:szCs w:val="18"/>
    </w:rPr>
  </w:style>
  <w:style w:type="character" w:styleId="826">
    <w:name w:val="页眉 Char"/>
    <w:next w:val="826"/>
    <w:link w:val="825"/>
    <w:qFormat/>
    <w:rPr>
      <w:rFonts w:ascii="Calibri" w:hAnsi="Calibri"/>
      <w:sz w:val="18"/>
      <w:szCs w:val="18"/>
    </w:rPr>
  </w:style>
  <w:style w:type="paragraph" w:styleId="827">
    <w:name w:val="目录 1"/>
    <w:basedOn w:val="768"/>
    <w:next w:val="768"/>
    <w:link w:val="768"/>
    <w:uiPriority w:val="39"/>
    <w:qFormat/>
    <w:pPr>
      <w:jc w:val="left"/>
      <w:spacing w:before="120" w:after="120"/>
    </w:pPr>
    <w:rPr>
      <w:rFonts w:cs="Calibri"/>
      <w:b/>
      <w:bCs/>
      <w:caps/>
      <w:sz w:val="20"/>
      <w:szCs w:val="20"/>
    </w:rPr>
  </w:style>
  <w:style w:type="paragraph" w:styleId="828">
    <w:name w:val="目录 4"/>
    <w:basedOn w:val="768"/>
    <w:next w:val="768"/>
    <w:link w:val="768"/>
    <w:unhideWhenUsed/>
    <w:qFormat/>
    <w:pPr>
      <w:ind w:left="850"/>
      <w:spacing w:after="57"/>
    </w:pPr>
  </w:style>
  <w:style w:type="paragraph" w:styleId="829">
    <w:name w:val="副标题"/>
    <w:basedOn w:val="768"/>
    <w:next w:val="768"/>
    <w:link w:val="830"/>
    <w:uiPriority w:val="11"/>
    <w:qFormat/>
    <w:pPr>
      <w:spacing w:before="200" w:after="200"/>
    </w:pPr>
    <w:rPr>
      <w:rFonts w:ascii="Times New Roman" w:hAnsi="Times New Roman"/>
      <w:sz w:val="24"/>
      <w:szCs w:val="24"/>
    </w:rPr>
  </w:style>
  <w:style w:type="character" w:styleId="830">
    <w:name w:val="副标题 Char"/>
    <w:next w:val="830"/>
    <w:link w:val="829"/>
    <w:uiPriority w:val="11"/>
    <w:qFormat/>
    <w:rPr>
      <w:sz w:val="24"/>
      <w:szCs w:val="24"/>
    </w:rPr>
  </w:style>
  <w:style w:type="paragraph" w:styleId="831">
    <w:name w:val="列表"/>
    <w:basedOn w:val="768"/>
    <w:next w:val="831"/>
    <w:link w:val="768"/>
    <w:qFormat/>
    <w:pPr>
      <w:ind w:left="200" w:hanging="200"/>
    </w:pPr>
    <w:rPr>
      <w:rFonts w:ascii="Times New Roman" w:hAnsi="Times New Roman"/>
      <w:szCs w:val="21"/>
    </w:rPr>
  </w:style>
  <w:style w:type="paragraph" w:styleId="832">
    <w:name w:val="脚注文本"/>
    <w:basedOn w:val="768"/>
    <w:next w:val="832"/>
    <w:link w:val="833"/>
    <w:uiPriority w:val="99"/>
    <w:unhideWhenUsed/>
    <w:qFormat/>
    <w:pPr>
      <w:spacing w:after="40"/>
    </w:pPr>
    <w:rPr>
      <w:rFonts w:ascii="Times New Roman" w:hAnsi="Times New Roman"/>
      <w:sz w:val="18"/>
      <w:szCs w:val="20"/>
    </w:rPr>
  </w:style>
  <w:style w:type="character" w:styleId="833">
    <w:name w:val="脚注文本 Char"/>
    <w:next w:val="833"/>
    <w:link w:val="832"/>
    <w:uiPriority w:val="99"/>
    <w:qFormat/>
    <w:rPr>
      <w:sz w:val="18"/>
    </w:rPr>
  </w:style>
  <w:style w:type="paragraph" w:styleId="834">
    <w:name w:val="目录 6"/>
    <w:basedOn w:val="768"/>
    <w:next w:val="768"/>
    <w:link w:val="768"/>
    <w:unhideWhenUsed/>
    <w:qFormat/>
    <w:pPr>
      <w:ind w:left="1417"/>
      <w:spacing w:after="57"/>
    </w:pPr>
  </w:style>
  <w:style w:type="paragraph" w:styleId="835">
    <w:name w:val="正文文本缩进 3"/>
    <w:basedOn w:val="768"/>
    <w:next w:val="835"/>
    <w:link w:val="836"/>
    <w:qFormat/>
    <w:pPr>
      <w:ind w:left="645" w:firstLine="645"/>
    </w:pPr>
    <w:rPr>
      <w:rFonts w:ascii="Arial" w:hAnsi="Arial" w:eastAsia="仿宋_GB2312"/>
      <w:color w:val="ffff00"/>
      <w:sz w:val="32"/>
      <w:szCs w:val="32"/>
    </w:rPr>
  </w:style>
  <w:style w:type="character" w:styleId="836">
    <w:name w:val="正文文本缩进 3 Char"/>
    <w:next w:val="836"/>
    <w:link w:val="835"/>
    <w:qFormat/>
    <w:rPr>
      <w:rFonts w:ascii="Arial" w:hAnsi="Arial" w:eastAsia="仿宋_GB2312" w:cs="Arial"/>
      <w:color w:val="ffff00"/>
      <w:sz w:val="32"/>
      <w:szCs w:val="32"/>
    </w:rPr>
  </w:style>
  <w:style w:type="paragraph" w:styleId="837">
    <w:name w:val="图表目录"/>
    <w:basedOn w:val="768"/>
    <w:next w:val="768"/>
    <w:link w:val="768"/>
    <w:unhideWhenUsed/>
    <w:qFormat/>
  </w:style>
  <w:style w:type="paragraph" w:styleId="838">
    <w:name w:val="目录 2"/>
    <w:basedOn w:val="768"/>
    <w:next w:val="768"/>
    <w:link w:val="768"/>
    <w:qFormat/>
    <w:pPr>
      <w:ind w:left="210"/>
      <w:jc w:val="left"/>
    </w:pPr>
    <w:rPr>
      <w:rFonts w:cs="Calibri"/>
      <w:smallCaps/>
      <w:sz w:val="20"/>
      <w:szCs w:val="20"/>
    </w:rPr>
  </w:style>
  <w:style w:type="paragraph" w:styleId="839">
    <w:name w:val="目录 9"/>
    <w:basedOn w:val="768"/>
    <w:next w:val="768"/>
    <w:link w:val="768"/>
    <w:unhideWhenUsed/>
    <w:qFormat/>
    <w:pPr>
      <w:ind w:left="2268"/>
      <w:spacing w:after="57"/>
    </w:pPr>
  </w:style>
  <w:style w:type="paragraph" w:styleId="840">
    <w:name w:val="正文文本 2"/>
    <w:basedOn w:val="768"/>
    <w:next w:val="840"/>
    <w:link w:val="841"/>
    <w:qFormat/>
    <w:pPr>
      <w:jc w:val="center"/>
      <w:widowControl/>
    </w:pPr>
    <w:rPr>
      <w:rFonts w:ascii="楷体_GB2312" w:hAnsi="Times New Roman" w:eastAsia="楷体_GB2312"/>
      <w:sz w:val="28"/>
      <w:szCs w:val="28"/>
    </w:rPr>
  </w:style>
  <w:style w:type="character" w:styleId="841">
    <w:name w:val="正文文本 2 Char"/>
    <w:next w:val="841"/>
    <w:link w:val="840"/>
    <w:qFormat/>
    <w:rPr>
      <w:rFonts w:ascii="楷体_GB2312" w:eastAsia="楷体_GB2312"/>
      <w:sz w:val="28"/>
      <w:szCs w:val="28"/>
    </w:rPr>
  </w:style>
  <w:style w:type="paragraph" w:styleId="842">
    <w:name w:val="HTML 预设格式"/>
    <w:basedOn w:val="768"/>
    <w:next w:val="842"/>
    <w:link w:val="84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43">
    <w:name w:val="HTML 预设格式 Char"/>
    <w:next w:val="843"/>
    <w:link w:val="842"/>
    <w:uiPriority w:val="99"/>
    <w:qFormat/>
    <w:rPr>
      <w:rFonts w:ascii="宋体" w:hAnsi="宋体"/>
      <w:sz w:val="24"/>
      <w:szCs w:val="24"/>
    </w:rPr>
  </w:style>
  <w:style w:type="paragraph" w:styleId="844">
    <w:name w:val="普通(网站)"/>
    <w:basedOn w:val="768"/>
    <w:next w:val="844"/>
    <w:link w:val="768"/>
    <w:uiPriority w:val="99"/>
    <w:qFormat/>
    <w:pPr>
      <w:jc w:val="left"/>
      <w:spacing w:before="100" w:beforeAutospacing="1" w:after="100" w:afterAutospacing="1"/>
      <w:widowControl/>
    </w:pPr>
    <w:rPr>
      <w:rFonts w:ascii="宋体" w:hAnsi="宋体" w:cs="宋体"/>
      <w:sz w:val="24"/>
      <w:szCs w:val="24"/>
    </w:rPr>
  </w:style>
  <w:style w:type="paragraph" w:styleId="845">
    <w:name w:val="索引 1"/>
    <w:basedOn w:val="768"/>
    <w:next w:val="768"/>
    <w:link w:val="768"/>
    <w:semiHidden/>
    <w:qFormat/>
    <w:pPr>
      <w:spacing w:line="240" w:lineRule="atLeast"/>
    </w:pPr>
    <w:rPr>
      <w:rFonts w:ascii="Times New Roman" w:hAnsi="Times New Roman"/>
      <w:b/>
      <w:bCs/>
      <w:szCs w:val="21"/>
    </w:rPr>
  </w:style>
  <w:style w:type="paragraph" w:styleId="846">
    <w:name w:val="标题"/>
    <w:basedOn w:val="768"/>
    <w:next w:val="768"/>
    <w:link w:val="847"/>
    <w:uiPriority w:val="10"/>
    <w:qFormat/>
    <w:pPr>
      <w:contextualSpacing/>
      <w:spacing w:before="300" w:after="200"/>
    </w:pPr>
    <w:rPr>
      <w:rFonts w:ascii="Times New Roman" w:hAnsi="Times New Roman"/>
      <w:sz w:val="48"/>
      <w:szCs w:val="48"/>
    </w:rPr>
  </w:style>
  <w:style w:type="character" w:styleId="847">
    <w:name w:val="标题 Char"/>
    <w:next w:val="847"/>
    <w:link w:val="846"/>
    <w:uiPriority w:val="10"/>
    <w:qFormat/>
    <w:rPr>
      <w:sz w:val="48"/>
      <w:szCs w:val="48"/>
    </w:rPr>
  </w:style>
  <w:style w:type="paragraph" w:styleId="848">
    <w:name w:val="批注主题"/>
    <w:basedOn w:val="801"/>
    <w:next w:val="801"/>
    <w:link w:val="849"/>
    <w:semiHidden/>
    <w:qFormat/>
    <w:rPr>
      <w:b/>
      <w:bCs/>
    </w:rPr>
  </w:style>
  <w:style w:type="character" w:styleId="849">
    <w:name w:val="批注主题 Char"/>
    <w:next w:val="849"/>
    <w:link w:val="848"/>
    <w:semiHidden/>
    <w:qFormat/>
    <w:rPr>
      <w:b/>
      <w:bCs/>
      <w:sz w:val="21"/>
      <w:szCs w:val="21"/>
    </w:rPr>
  </w:style>
  <w:style w:type="paragraph" w:styleId="850">
    <w:name w:val="正文首行缩进 2"/>
    <w:basedOn w:val="806"/>
    <w:next w:val="850"/>
    <w:link w:val="851"/>
    <w:qFormat/>
    <w:pPr>
      <w:ind w:firstLine="420"/>
      <w:spacing w:line="360" w:lineRule="auto"/>
    </w:pPr>
    <w:rPr>
      <w:rFonts w:ascii="宋体" w:hAnsi="宋体"/>
      <w:sz w:val="21"/>
    </w:rPr>
  </w:style>
  <w:style w:type="character" w:styleId="851">
    <w:name w:val="正文首行缩进 2 Char"/>
    <w:next w:val="851"/>
    <w:link w:val="850"/>
    <w:qFormat/>
    <w:rPr>
      <w:rFonts w:ascii="宋体" w:hAnsi="宋体" w:eastAsia="仿宋_GB2312"/>
      <w:sz w:val="21"/>
      <w:szCs w:val="22"/>
    </w:rPr>
  </w:style>
  <w:style w:type="table" w:styleId="852">
    <w:name w:val="网格型"/>
    <w:basedOn w:val="779"/>
    <w:next w:val="852"/>
    <w:link w:val="768"/>
    <w:qFormat/>
    <w:pPr>
      <w:jc w:val="both"/>
      <w:widowControl w:val="off"/>
    </w:pPr>
    <w:tblPr/>
  </w:style>
  <w:style w:type="character" w:styleId="853">
    <w:name w:val="要点"/>
    <w:next w:val="853"/>
    <w:link w:val="768"/>
    <w:qFormat/>
    <w:rPr>
      <w:b/>
      <w:bCs/>
    </w:rPr>
  </w:style>
  <w:style w:type="character" w:styleId="854">
    <w:name w:val="尾注引用"/>
    <w:next w:val="854"/>
    <w:link w:val="768"/>
    <w:uiPriority w:val="99"/>
    <w:unhideWhenUsed/>
    <w:qFormat/>
    <w:rPr>
      <w:vertAlign w:val="superscript"/>
    </w:rPr>
  </w:style>
  <w:style w:type="character" w:styleId="855">
    <w:name w:val="页码"/>
    <w:next w:val="855"/>
    <w:link w:val="768"/>
    <w:qFormat/>
  </w:style>
  <w:style w:type="character" w:styleId="856">
    <w:name w:val="已访问的超链接"/>
    <w:next w:val="856"/>
    <w:link w:val="768"/>
    <w:qFormat/>
    <w:rPr>
      <w:color w:val="800080"/>
      <w:u w:val="single"/>
    </w:rPr>
  </w:style>
  <w:style w:type="character" w:styleId="857">
    <w:name w:val="超链接"/>
    <w:next w:val="857"/>
    <w:link w:val="768"/>
    <w:uiPriority w:val="99"/>
    <w:qFormat/>
    <w:rPr>
      <w:color w:val="0000ff"/>
      <w:u w:val="single"/>
    </w:rPr>
  </w:style>
  <w:style w:type="character" w:styleId="858">
    <w:name w:val="批注引用"/>
    <w:next w:val="858"/>
    <w:link w:val="768"/>
    <w:semiHidden/>
    <w:qFormat/>
    <w:rPr>
      <w:sz w:val="21"/>
      <w:szCs w:val="21"/>
    </w:rPr>
  </w:style>
  <w:style w:type="character" w:styleId="859">
    <w:name w:val="脚注引用"/>
    <w:next w:val="859"/>
    <w:link w:val="768"/>
    <w:uiPriority w:val="99"/>
    <w:unhideWhenUsed/>
    <w:qFormat/>
    <w:rPr>
      <w:vertAlign w:val="superscript"/>
    </w:rPr>
  </w:style>
  <w:style w:type="paragraph" w:styleId="860">
    <w:name w:val="正文首行缩进 21"/>
    <w:basedOn w:val="861"/>
    <w:next w:val="768"/>
    <w:link w:val="768"/>
    <w:qFormat/>
    <w:pPr>
      <w:ind w:firstLine="420"/>
      <w:spacing w:line="360" w:lineRule="auto"/>
    </w:pPr>
    <w:rPr>
      <w:rFonts w:ascii="宋体" w:hAnsi="宋体" w:eastAsia="宋体"/>
      <w:sz w:val="21"/>
      <w:szCs w:val="20"/>
    </w:rPr>
  </w:style>
  <w:style w:type="paragraph" w:styleId="861">
    <w:name w:val="正文文本缩进1"/>
    <w:basedOn w:val="768"/>
    <w:next w:val="862"/>
    <w:link w:val="768"/>
    <w:qFormat/>
    <w:pPr>
      <w:ind w:firstLine="645"/>
    </w:pPr>
    <w:rPr>
      <w:rFonts w:ascii="楷体_GB2312" w:eastAsia="楷体_GB2312"/>
      <w:sz w:val="32"/>
      <w:szCs w:val="32"/>
    </w:rPr>
  </w:style>
  <w:style w:type="paragraph" w:styleId="862">
    <w:name w:val="寄信人地址1"/>
    <w:basedOn w:val="768"/>
    <w:next w:val="862"/>
    <w:link w:val="768"/>
    <w:qFormat/>
    <w:rPr>
      <w:rFonts w:ascii="Arial" w:hAnsi="Arial"/>
    </w:rPr>
  </w:style>
  <w:style w:type="paragraph" w:styleId="863">
    <w:name w:val="标题 41"/>
    <w:basedOn w:val="864"/>
    <w:next w:val="768"/>
    <w:link w:val="76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64">
    <w:name w:val="Normal_20"/>
    <w:next w:val="864"/>
    <w:link w:val="768"/>
    <w:qFormat/>
    <w:rPr>
      <w:rFonts w:ascii="黑体" w:hAnsi="黑体" w:eastAsia="黑体" w:cs="黑体"/>
      <w:b/>
      <w:sz w:val="32"/>
      <w:szCs w:val="24"/>
      <w:lang w:val="en-US" w:eastAsia="zh-CN" w:bidi="ar-SA"/>
    </w:rPr>
  </w:style>
  <w:style w:type="paragraph" w:styleId="865">
    <w:name w:val="Body Text First Indent_2"/>
    <w:basedOn w:val="864"/>
    <w:next w:val="865"/>
    <w:link w:val="768"/>
    <w:qFormat/>
    <w:pPr>
      <w:ind w:firstLine="100"/>
      <w:spacing w:after="120"/>
    </w:pPr>
  </w:style>
  <w:style w:type="paragraph" w:styleId="866">
    <w:name w:val="脚注文本1"/>
    <w:basedOn w:val="768"/>
    <w:next w:val="866"/>
    <w:link w:val="768"/>
    <w:qFormat/>
    <w:pPr>
      <w:jc w:val="left"/>
    </w:pPr>
    <w:rPr>
      <w:rFonts w:eastAsia="Times New Roman"/>
      <w:sz w:val="18"/>
      <w:szCs w:val="24"/>
    </w:rPr>
  </w:style>
  <w:style w:type="table" w:styleId="867">
    <w:name w:val="Plain Table 1"/>
    <w:basedOn w:val="779"/>
    <w:next w:val="867"/>
    <w:link w:val="768"/>
    <w:uiPriority w:val="59"/>
    <w:qFormat/>
    <w:pPr>
      <w:spacing w:after="0" w:line="240" w:lineRule="auto"/>
    </w:pPr>
    <w:tblPr/>
  </w:style>
  <w:style w:type="table" w:styleId="868">
    <w:name w:val="Plain Table 2"/>
    <w:basedOn w:val="779"/>
    <w:next w:val="868"/>
    <w:link w:val="768"/>
    <w:uiPriority w:val="59"/>
    <w:qFormat/>
    <w:pPr>
      <w:spacing w:after="0" w:line="240" w:lineRule="auto"/>
    </w:pPr>
    <w:tblPr/>
  </w:style>
  <w:style w:type="table" w:styleId="869">
    <w:name w:val="Plain Table 3"/>
    <w:basedOn w:val="779"/>
    <w:next w:val="869"/>
    <w:link w:val="768"/>
    <w:uiPriority w:val="99"/>
    <w:qFormat/>
    <w:pPr>
      <w:spacing w:after="0" w:line="240" w:lineRule="auto"/>
    </w:pPr>
    <w:tblPr/>
  </w:style>
  <w:style w:type="table" w:styleId="870">
    <w:name w:val="Plain Table 4"/>
    <w:basedOn w:val="779"/>
    <w:next w:val="870"/>
    <w:link w:val="768"/>
    <w:uiPriority w:val="99"/>
    <w:qFormat/>
    <w:pPr>
      <w:spacing w:after="0" w:line="240" w:lineRule="auto"/>
    </w:pPr>
    <w:tblPr/>
  </w:style>
  <w:style w:type="table" w:styleId="871">
    <w:name w:val="Plain Table 5"/>
    <w:basedOn w:val="779"/>
    <w:next w:val="871"/>
    <w:link w:val="768"/>
    <w:uiPriority w:val="99"/>
    <w:qFormat/>
    <w:pPr>
      <w:spacing w:after="0" w:line="240" w:lineRule="auto"/>
    </w:pPr>
    <w:tblPr/>
  </w:style>
  <w:style w:type="table" w:styleId="872">
    <w:name w:val="Grid Table 1 Light"/>
    <w:basedOn w:val="779"/>
    <w:next w:val="872"/>
    <w:link w:val="768"/>
    <w:uiPriority w:val="99"/>
    <w:qFormat/>
    <w:pPr>
      <w:spacing w:after="0" w:line="240" w:lineRule="auto"/>
    </w:pPr>
    <w:tblPr/>
  </w:style>
  <w:style w:type="table" w:styleId="873">
    <w:name w:val="Grid Table 2"/>
    <w:basedOn w:val="779"/>
    <w:next w:val="873"/>
    <w:link w:val="768"/>
    <w:uiPriority w:val="99"/>
    <w:qFormat/>
    <w:pPr>
      <w:spacing w:after="0" w:line="240" w:lineRule="auto"/>
    </w:pPr>
    <w:tblPr/>
  </w:style>
  <w:style w:type="table" w:styleId="874">
    <w:name w:val="Grid Table 3"/>
    <w:basedOn w:val="779"/>
    <w:next w:val="874"/>
    <w:link w:val="768"/>
    <w:uiPriority w:val="99"/>
    <w:qFormat/>
    <w:pPr>
      <w:spacing w:after="0" w:line="240" w:lineRule="auto"/>
    </w:pPr>
    <w:tblPr/>
  </w:style>
  <w:style w:type="table" w:styleId="875">
    <w:name w:val="Grid Table 4"/>
    <w:basedOn w:val="779"/>
    <w:next w:val="875"/>
    <w:link w:val="768"/>
    <w:uiPriority w:val="59"/>
    <w:qFormat/>
    <w:pPr>
      <w:spacing w:after="0" w:line="240" w:lineRule="auto"/>
    </w:pPr>
    <w:tblPr/>
  </w:style>
  <w:style w:type="table" w:styleId="876">
    <w:name w:val="Grid Table 5 Dark"/>
    <w:basedOn w:val="779"/>
    <w:next w:val="876"/>
    <w:link w:val="768"/>
    <w:uiPriority w:val="99"/>
    <w:qFormat/>
    <w:pPr>
      <w:spacing w:after="0" w:line="240" w:lineRule="auto"/>
    </w:pPr>
    <w:tblPr/>
  </w:style>
  <w:style w:type="table" w:styleId="877">
    <w:name w:val="Grid Table 6 Colorful"/>
    <w:basedOn w:val="779"/>
    <w:next w:val="877"/>
    <w:link w:val="768"/>
    <w:uiPriority w:val="99"/>
    <w:qFormat/>
    <w:pPr>
      <w:spacing w:after="0" w:line="240" w:lineRule="auto"/>
    </w:pPr>
    <w:tblPr/>
  </w:style>
  <w:style w:type="table" w:styleId="878">
    <w:name w:val="Grid Table 7 Colorful"/>
    <w:basedOn w:val="779"/>
    <w:next w:val="878"/>
    <w:link w:val="768"/>
    <w:uiPriority w:val="99"/>
    <w:qFormat/>
    <w:pPr>
      <w:spacing w:after="0" w:line="240" w:lineRule="auto"/>
    </w:pPr>
    <w:tblPr/>
  </w:style>
  <w:style w:type="table" w:styleId="879">
    <w:name w:val="List Table 1 Light"/>
    <w:basedOn w:val="779"/>
    <w:next w:val="879"/>
    <w:link w:val="768"/>
    <w:uiPriority w:val="99"/>
    <w:qFormat/>
    <w:pPr>
      <w:spacing w:after="0" w:line="240" w:lineRule="auto"/>
    </w:pPr>
    <w:tblPr/>
  </w:style>
  <w:style w:type="table" w:styleId="880">
    <w:name w:val="List Table 2"/>
    <w:basedOn w:val="779"/>
    <w:next w:val="880"/>
    <w:link w:val="768"/>
    <w:uiPriority w:val="99"/>
    <w:qFormat/>
    <w:pPr>
      <w:spacing w:after="0" w:line="240" w:lineRule="auto"/>
    </w:pPr>
    <w:tblPr/>
  </w:style>
  <w:style w:type="table" w:styleId="881">
    <w:name w:val="List Table 3"/>
    <w:basedOn w:val="779"/>
    <w:next w:val="881"/>
    <w:link w:val="768"/>
    <w:uiPriority w:val="99"/>
    <w:qFormat/>
    <w:pPr>
      <w:spacing w:after="0" w:line="240" w:lineRule="auto"/>
    </w:pPr>
    <w:tblPr/>
  </w:style>
  <w:style w:type="table" w:styleId="882">
    <w:name w:val="List Table 4"/>
    <w:basedOn w:val="779"/>
    <w:next w:val="882"/>
    <w:link w:val="768"/>
    <w:uiPriority w:val="99"/>
    <w:qFormat/>
    <w:pPr>
      <w:spacing w:after="0" w:line="240" w:lineRule="auto"/>
    </w:pPr>
    <w:tblPr/>
  </w:style>
  <w:style w:type="table" w:styleId="883">
    <w:name w:val="List Table 5 Dark"/>
    <w:basedOn w:val="779"/>
    <w:next w:val="883"/>
    <w:link w:val="768"/>
    <w:uiPriority w:val="99"/>
    <w:qFormat/>
    <w:pPr>
      <w:spacing w:after="0" w:line="240" w:lineRule="auto"/>
    </w:pPr>
    <w:tblPr/>
  </w:style>
  <w:style w:type="table" w:styleId="884">
    <w:name w:val="List Table 6 Colorful"/>
    <w:basedOn w:val="779"/>
    <w:next w:val="884"/>
    <w:link w:val="768"/>
    <w:uiPriority w:val="99"/>
    <w:qFormat/>
    <w:pPr>
      <w:spacing w:after="0" w:line="240" w:lineRule="auto"/>
    </w:pPr>
    <w:tblPr/>
  </w:style>
  <w:style w:type="table" w:styleId="885">
    <w:name w:val="List Table 7 Colorful"/>
    <w:basedOn w:val="779"/>
    <w:next w:val="885"/>
    <w:link w:val="768"/>
    <w:uiPriority w:val="99"/>
    <w:qFormat/>
    <w:pPr>
      <w:spacing w:after="0" w:line="240" w:lineRule="auto"/>
    </w:pPr>
    <w:tblPr/>
  </w:style>
  <w:style w:type="paragraph" w:styleId="886">
    <w:name w:val="TOC Heading"/>
    <w:next w:val="886"/>
    <w:link w:val="768"/>
    <w:uiPriority w:val="39"/>
    <w:unhideWhenUsed/>
    <w:qFormat/>
    <w:rPr>
      <w:lang w:val="en-US" w:eastAsia="zh-CN" w:bidi="ar-SA"/>
    </w:rPr>
  </w:style>
  <w:style w:type="table" w:styleId="887">
    <w:name w:val="无格式表格 11"/>
    <w:basedOn w:val="779"/>
    <w:next w:val="887"/>
    <w:link w:val="768"/>
    <w:uiPriority w:val="59"/>
    <w:qFormat/>
    <w:tblPr/>
  </w:style>
  <w:style w:type="table" w:styleId="888">
    <w:name w:val="无格式表格 21"/>
    <w:basedOn w:val="779"/>
    <w:next w:val="888"/>
    <w:link w:val="768"/>
    <w:uiPriority w:val="59"/>
    <w:qFormat/>
    <w:tblPr/>
  </w:style>
  <w:style w:type="table" w:styleId="889">
    <w:name w:val="无格式表格 31"/>
    <w:basedOn w:val="779"/>
    <w:next w:val="889"/>
    <w:link w:val="768"/>
    <w:uiPriority w:val="99"/>
    <w:qFormat/>
    <w:tblPr/>
  </w:style>
  <w:style w:type="table" w:styleId="890">
    <w:name w:val="无格式表格 41"/>
    <w:basedOn w:val="779"/>
    <w:next w:val="890"/>
    <w:link w:val="768"/>
    <w:uiPriority w:val="99"/>
    <w:qFormat/>
    <w:tblPr/>
  </w:style>
  <w:style w:type="table" w:styleId="891">
    <w:name w:val="无格式表格 51"/>
    <w:basedOn w:val="779"/>
    <w:next w:val="891"/>
    <w:link w:val="768"/>
    <w:uiPriority w:val="99"/>
    <w:qFormat/>
    <w:tblPr/>
  </w:style>
  <w:style w:type="table" w:styleId="892">
    <w:name w:val="网格表 1 浅色1"/>
    <w:basedOn w:val="779"/>
    <w:next w:val="892"/>
    <w:link w:val="768"/>
    <w:uiPriority w:val="99"/>
    <w:qFormat/>
    <w:tblPr/>
  </w:style>
  <w:style w:type="table" w:styleId="893">
    <w:name w:val="网格表 21"/>
    <w:basedOn w:val="779"/>
    <w:next w:val="893"/>
    <w:link w:val="768"/>
    <w:uiPriority w:val="99"/>
    <w:qFormat/>
    <w:tblPr/>
  </w:style>
  <w:style w:type="table" w:styleId="894">
    <w:name w:val="网格表 31"/>
    <w:basedOn w:val="779"/>
    <w:next w:val="894"/>
    <w:link w:val="768"/>
    <w:uiPriority w:val="99"/>
    <w:qFormat/>
    <w:tblPr/>
  </w:style>
  <w:style w:type="table" w:styleId="895">
    <w:name w:val="网格表 41"/>
    <w:basedOn w:val="779"/>
    <w:next w:val="895"/>
    <w:link w:val="768"/>
    <w:uiPriority w:val="59"/>
    <w:qFormat/>
    <w:tblPr/>
  </w:style>
  <w:style w:type="table" w:styleId="896">
    <w:name w:val="网格表 5 深色1"/>
    <w:basedOn w:val="779"/>
    <w:next w:val="896"/>
    <w:link w:val="768"/>
    <w:uiPriority w:val="99"/>
    <w:qFormat/>
    <w:tblPr/>
  </w:style>
  <w:style w:type="table" w:styleId="897">
    <w:name w:val="网格表 6 彩色1"/>
    <w:basedOn w:val="779"/>
    <w:next w:val="897"/>
    <w:link w:val="768"/>
    <w:uiPriority w:val="99"/>
    <w:qFormat/>
    <w:tblPr/>
  </w:style>
  <w:style w:type="table" w:styleId="898">
    <w:name w:val="网格表 7 彩色1"/>
    <w:basedOn w:val="779"/>
    <w:next w:val="898"/>
    <w:link w:val="768"/>
    <w:uiPriority w:val="99"/>
    <w:qFormat/>
    <w:tblPr/>
  </w:style>
  <w:style w:type="table" w:styleId="899">
    <w:name w:val="清单表 1 浅色1"/>
    <w:basedOn w:val="779"/>
    <w:next w:val="899"/>
    <w:link w:val="768"/>
    <w:uiPriority w:val="99"/>
    <w:qFormat/>
    <w:tblPr/>
  </w:style>
  <w:style w:type="table" w:styleId="900">
    <w:name w:val="清单表 21"/>
    <w:basedOn w:val="779"/>
    <w:next w:val="900"/>
    <w:link w:val="768"/>
    <w:uiPriority w:val="99"/>
    <w:qFormat/>
    <w:tblPr/>
  </w:style>
  <w:style w:type="table" w:styleId="901">
    <w:name w:val="清单表 31"/>
    <w:basedOn w:val="779"/>
    <w:next w:val="901"/>
    <w:link w:val="768"/>
    <w:uiPriority w:val="99"/>
    <w:qFormat/>
    <w:tblPr/>
  </w:style>
  <w:style w:type="table" w:styleId="902">
    <w:name w:val="清单表 41"/>
    <w:basedOn w:val="779"/>
    <w:next w:val="902"/>
    <w:link w:val="768"/>
    <w:uiPriority w:val="99"/>
    <w:qFormat/>
    <w:tblPr/>
  </w:style>
  <w:style w:type="table" w:styleId="903">
    <w:name w:val="清单表 5 深色1"/>
    <w:basedOn w:val="779"/>
    <w:next w:val="903"/>
    <w:link w:val="768"/>
    <w:uiPriority w:val="99"/>
    <w:qFormat/>
    <w:tblPr/>
  </w:style>
  <w:style w:type="table" w:styleId="904">
    <w:name w:val="清单表 6 彩色1"/>
    <w:basedOn w:val="779"/>
    <w:next w:val="904"/>
    <w:link w:val="768"/>
    <w:uiPriority w:val="99"/>
    <w:qFormat/>
    <w:tblPr/>
  </w:style>
  <w:style w:type="table" w:styleId="905">
    <w:name w:val="清单表 7 彩色1"/>
    <w:basedOn w:val="779"/>
    <w:next w:val="905"/>
    <w:link w:val="768"/>
    <w:uiPriority w:val="99"/>
    <w:qFormat/>
    <w:tblPr/>
  </w:style>
  <w:style w:type="paragraph" w:styleId="906">
    <w:name w:val="TOC 标题1"/>
    <w:next w:val="906"/>
    <w:link w:val="768"/>
    <w:uiPriority w:val="39"/>
    <w:unhideWhenUsed/>
    <w:qFormat/>
    <w:rPr>
      <w:lang w:val="en-US" w:eastAsia="zh-CN" w:bidi="ar-SA"/>
    </w:rPr>
  </w:style>
  <w:style w:type="paragraph" w:styleId="907">
    <w:name w:val="Normal_21"/>
    <w:basedOn w:val="908"/>
    <w:next w:val="908"/>
    <w:link w:val="768"/>
    <w:qFormat/>
    <w:pPr>
      <w:jc w:val="both"/>
      <w:widowControl w:val="off"/>
    </w:pPr>
    <w:rPr>
      <w:rFonts w:ascii="Times New Roman" w:hAnsi="Times New Roman" w:eastAsia="宋体" w:cs="Times New Roman"/>
      <w:sz w:val="21"/>
      <w:szCs w:val="24"/>
      <w:lang w:val="en-US" w:eastAsia="zh-CN" w:bidi="ar-SA"/>
    </w:rPr>
  </w:style>
  <w:style w:type="paragraph" w:styleId="908">
    <w:name w:val="正文_16"/>
    <w:next w:val="908"/>
    <w:link w:val="768"/>
    <w:qFormat/>
    <w:pPr>
      <w:jc w:val="both"/>
      <w:widowControl w:val="off"/>
    </w:pPr>
    <w:rPr>
      <w:rFonts w:ascii="Calibri" w:hAnsi="Calibri"/>
      <w:sz w:val="21"/>
      <w:szCs w:val="22"/>
      <w:lang w:val="en-US" w:eastAsia="zh-CN" w:bidi="ar-SA"/>
    </w:rPr>
  </w:style>
  <w:style w:type="paragraph" w:styleId="909">
    <w:name w:val="正文_17"/>
    <w:next w:val="910"/>
    <w:link w:val="768"/>
    <w:qFormat/>
    <w:pPr>
      <w:jc w:val="both"/>
      <w:widowControl w:val="off"/>
    </w:pPr>
    <w:rPr>
      <w:sz w:val="21"/>
      <w:szCs w:val="22"/>
      <w:lang w:val="en-US" w:eastAsia="zh-CN" w:bidi="ar-SA"/>
    </w:rPr>
  </w:style>
  <w:style w:type="paragraph" w:styleId="910">
    <w:name w:val="标题 4_1"/>
    <w:basedOn w:val="909"/>
    <w:next w:val="909"/>
    <w:link w:val="76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11">
    <w:name w:val="Heading 1 Char"/>
    <w:next w:val="911"/>
    <w:link w:val="768"/>
    <w:uiPriority w:val="9"/>
    <w:qFormat/>
    <w:rPr>
      <w:rFonts w:ascii="Arial" w:hAnsi="Arial" w:eastAsia="Arial" w:cs="Arial"/>
      <w:sz w:val="40"/>
      <w:szCs w:val="40"/>
    </w:rPr>
  </w:style>
  <w:style w:type="character" w:styleId="912">
    <w:name w:val="Heading 2 Char"/>
    <w:next w:val="912"/>
    <w:link w:val="768"/>
    <w:uiPriority w:val="9"/>
    <w:qFormat/>
    <w:rPr>
      <w:rFonts w:ascii="Arial" w:hAnsi="Arial" w:eastAsia="Arial" w:cs="Arial"/>
      <w:sz w:val="34"/>
    </w:rPr>
  </w:style>
  <w:style w:type="character" w:styleId="913">
    <w:name w:val="Heading 3 Char"/>
    <w:next w:val="913"/>
    <w:link w:val="768"/>
    <w:uiPriority w:val="9"/>
    <w:qFormat/>
    <w:rPr>
      <w:rFonts w:ascii="Arial" w:hAnsi="Arial" w:eastAsia="Arial" w:cs="Arial"/>
      <w:sz w:val="30"/>
      <w:szCs w:val="30"/>
    </w:rPr>
  </w:style>
  <w:style w:type="character" w:styleId="914">
    <w:name w:val="Heading 4 Char"/>
    <w:next w:val="914"/>
    <w:link w:val="768"/>
    <w:uiPriority w:val="9"/>
    <w:qFormat/>
    <w:rPr>
      <w:rFonts w:ascii="Arial" w:hAnsi="Arial" w:eastAsia="Arial" w:cs="Arial"/>
      <w:b/>
      <w:bCs/>
      <w:sz w:val="26"/>
      <w:szCs w:val="26"/>
    </w:rPr>
  </w:style>
  <w:style w:type="character" w:styleId="915">
    <w:name w:val="Heading 5 Char"/>
    <w:next w:val="915"/>
    <w:link w:val="768"/>
    <w:uiPriority w:val="9"/>
    <w:qFormat/>
    <w:rPr>
      <w:rFonts w:ascii="Arial" w:hAnsi="Arial" w:eastAsia="Arial" w:cs="Arial"/>
      <w:b/>
      <w:bCs/>
      <w:sz w:val="24"/>
      <w:szCs w:val="24"/>
    </w:rPr>
  </w:style>
  <w:style w:type="character" w:styleId="916">
    <w:name w:val="Heading 6 Char"/>
    <w:next w:val="916"/>
    <w:link w:val="768"/>
    <w:uiPriority w:val="9"/>
    <w:qFormat/>
    <w:rPr>
      <w:rFonts w:ascii="Arial" w:hAnsi="Arial" w:eastAsia="Arial" w:cs="Arial"/>
      <w:b/>
      <w:bCs/>
      <w:sz w:val="22"/>
      <w:szCs w:val="22"/>
    </w:rPr>
  </w:style>
  <w:style w:type="character" w:styleId="917">
    <w:name w:val="Heading 7 Char"/>
    <w:next w:val="917"/>
    <w:link w:val="768"/>
    <w:uiPriority w:val="9"/>
    <w:qFormat/>
    <w:rPr>
      <w:rFonts w:ascii="Arial" w:hAnsi="Arial" w:eastAsia="Arial" w:cs="Arial"/>
      <w:b/>
      <w:bCs/>
      <w:i/>
      <w:iCs/>
      <w:sz w:val="22"/>
      <w:szCs w:val="22"/>
    </w:rPr>
  </w:style>
  <w:style w:type="character" w:styleId="918">
    <w:name w:val="Heading 8 Char"/>
    <w:next w:val="918"/>
    <w:link w:val="768"/>
    <w:uiPriority w:val="9"/>
    <w:qFormat/>
    <w:rPr>
      <w:rFonts w:ascii="Arial" w:hAnsi="Arial" w:eastAsia="Arial" w:cs="Arial"/>
      <w:i/>
      <w:iCs/>
      <w:sz w:val="22"/>
      <w:szCs w:val="22"/>
    </w:rPr>
  </w:style>
  <w:style w:type="character" w:styleId="919">
    <w:name w:val="Heading 9 Char"/>
    <w:next w:val="919"/>
    <w:link w:val="768"/>
    <w:uiPriority w:val="9"/>
    <w:qFormat/>
    <w:rPr>
      <w:rFonts w:ascii="Arial" w:hAnsi="Arial" w:eastAsia="Arial" w:cs="Arial"/>
      <w:i/>
      <w:iCs/>
      <w:sz w:val="21"/>
      <w:szCs w:val="21"/>
    </w:rPr>
  </w:style>
  <w:style w:type="character" w:styleId="920">
    <w:name w:val="Title Char"/>
    <w:next w:val="920"/>
    <w:link w:val="768"/>
    <w:uiPriority w:val="10"/>
    <w:qFormat/>
    <w:rPr>
      <w:sz w:val="48"/>
      <w:szCs w:val="48"/>
    </w:rPr>
  </w:style>
  <w:style w:type="character" w:styleId="921">
    <w:name w:val="Subtitle Char"/>
    <w:next w:val="921"/>
    <w:link w:val="768"/>
    <w:uiPriority w:val="11"/>
    <w:qFormat/>
    <w:rPr>
      <w:sz w:val="24"/>
      <w:szCs w:val="24"/>
    </w:rPr>
  </w:style>
  <w:style w:type="character" w:styleId="922">
    <w:name w:val="Quote Char"/>
    <w:next w:val="922"/>
    <w:link w:val="768"/>
    <w:uiPriority w:val="29"/>
    <w:qFormat/>
    <w:rPr>
      <w:i/>
    </w:rPr>
  </w:style>
  <w:style w:type="character" w:styleId="923">
    <w:name w:val="Intense Quote Char"/>
    <w:next w:val="923"/>
    <w:link w:val="768"/>
    <w:uiPriority w:val="30"/>
    <w:qFormat/>
    <w:rPr>
      <w:i/>
    </w:rPr>
  </w:style>
  <w:style w:type="character" w:styleId="924">
    <w:name w:val="Caption Char"/>
    <w:next w:val="924"/>
    <w:link w:val="768"/>
    <w:uiPriority w:val="99"/>
    <w:qFormat/>
  </w:style>
  <w:style w:type="character" w:styleId="925">
    <w:name w:val="Footnote Text Char"/>
    <w:next w:val="925"/>
    <w:link w:val="768"/>
    <w:uiPriority w:val="99"/>
    <w:qFormat/>
    <w:rPr>
      <w:sz w:val="18"/>
    </w:rPr>
  </w:style>
  <w:style w:type="character" w:styleId="926">
    <w:name w:val="Endnote Text Char"/>
    <w:next w:val="926"/>
    <w:link w:val="768"/>
    <w:uiPriority w:val="99"/>
    <w:qFormat/>
    <w:rPr>
      <w:sz w:val="20"/>
    </w:rPr>
  </w:style>
  <w:style w:type="paragraph" w:styleId="927">
    <w:name w:val="列出段落"/>
    <w:basedOn w:val="768"/>
    <w:next w:val="927"/>
    <w:link w:val="768"/>
    <w:qFormat/>
    <w:pPr>
      <w:contextualSpacing/>
      <w:ind w:left="720"/>
    </w:pPr>
  </w:style>
  <w:style w:type="paragraph" w:styleId="928">
    <w:name w:val="无间隔"/>
    <w:next w:val="928"/>
    <w:link w:val="768"/>
    <w:uiPriority w:val="99"/>
    <w:qFormat/>
    <w:rPr>
      <w:lang w:val="en-US" w:eastAsia="zh-CN" w:bidi="ar-SA"/>
    </w:rPr>
  </w:style>
  <w:style w:type="paragraph" w:styleId="929">
    <w:name w:val="引用"/>
    <w:basedOn w:val="768"/>
    <w:next w:val="768"/>
    <w:link w:val="930"/>
    <w:uiPriority w:val="29"/>
    <w:qFormat/>
    <w:pPr>
      <w:ind w:left="720" w:right="720"/>
    </w:pPr>
    <w:rPr>
      <w:rFonts w:ascii="Times New Roman" w:hAnsi="Times New Roman"/>
      <w:i/>
      <w:sz w:val="20"/>
      <w:szCs w:val="20"/>
    </w:rPr>
  </w:style>
  <w:style w:type="character" w:styleId="930">
    <w:name w:val="引用 Char"/>
    <w:next w:val="930"/>
    <w:link w:val="929"/>
    <w:uiPriority w:val="29"/>
    <w:qFormat/>
    <w:rPr>
      <w:i/>
    </w:rPr>
  </w:style>
  <w:style w:type="paragraph" w:styleId="931">
    <w:name w:val="明显引用"/>
    <w:basedOn w:val="768"/>
    <w:next w:val="768"/>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32">
    <w:name w:val="明显引用 Char"/>
    <w:next w:val="932"/>
    <w:link w:val="931"/>
    <w:uiPriority w:val="30"/>
    <w:qFormat/>
    <w:rPr>
      <w:i/>
    </w:rPr>
  </w:style>
  <w:style w:type="character" w:styleId="933">
    <w:name w:val="Header Char"/>
    <w:next w:val="933"/>
    <w:link w:val="768"/>
    <w:uiPriority w:val="99"/>
    <w:qFormat/>
  </w:style>
  <w:style w:type="character" w:styleId="934">
    <w:name w:val="Footer Char"/>
    <w:next w:val="934"/>
    <w:link w:val="768"/>
    <w:uiPriority w:val="99"/>
    <w:qFormat/>
  </w:style>
  <w:style w:type="table" w:styleId="935">
    <w:name w:val="Table Grid Light"/>
    <w:basedOn w:val="779"/>
    <w:next w:val="935"/>
    <w:link w:val="768"/>
    <w:uiPriority w:val="59"/>
    <w:qFormat/>
    <w:tblPr/>
  </w:style>
  <w:style w:type="table" w:styleId="936">
    <w:name w:val="Grid Table 1 Light - Accent 1"/>
    <w:basedOn w:val="779"/>
    <w:next w:val="936"/>
    <w:link w:val="768"/>
    <w:uiPriority w:val="99"/>
    <w:qFormat/>
    <w:tblPr/>
  </w:style>
  <w:style w:type="table" w:styleId="937">
    <w:name w:val="Grid Table 1 Light - Accent 2"/>
    <w:basedOn w:val="779"/>
    <w:next w:val="937"/>
    <w:link w:val="768"/>
    <w:uiPriority w:val="99"/>
    <w:qFormat/>
    <w:tblPr/>
  </w:style>
  <w:style w:type="table" w:styleId="938">
    <w:name w:val="Grid Table 1 Light - Accent 3"/>
    <w:basedOn w:val="779"/>
    <w:next w:val="938"/>
    <w:link w:val="768"/>
    <w:uiPriority w:val="99"/>
    <w:qFormat/>
    <w:tblPr/>
  </w:style>
  <w:style w:type="table" w:styleId="939">
    <w:name w:val="Grid Table 1 Light - Accent 4"/>
    <w:basedOn w:val="779"/>
    <w:next w:val="939"/>
    <w:link w:val="768"/>
    <w:uiPriority w:val="99"/>
    <w:qFormat/>
    <w:tblPr/>
  </w:style>
  <w:style w:type="table" w:styleId="940">
    <w:name w:val="Grid Table 1 Light - Accent 5"/>
    <w:basedOn w:val="779"/>
    <w:next w:val="940"/>
    <w:link w:val="768"/>
    <w:uiPriority w:val="99"/>
    <w:qFormat/>
    <w:tblPr/>
  </w:style>
  <w:style w:type="table" w:styleId="941">
    <w:name w:val="Grid Table 1 Light - Accent 6"/>
    <w:basedOn w:val="779"/>
    <w:next w:val="941"/>
    <w:link w:val="768"/>
    <w:uiPriority w:val="99"/>
    <w:qFormat/>
    <w:tblPr/>
  </w:style>
  <w:style w:type="table" w:styleId="942">
    <w:name w:val="Grid Table 2 - Accent 1"/>
    <w:basedOn w:val="779"/>
    <w:next w:val="942"/>
    <w:link w:val="768"/>
    <w:uiPriority w:val="99"/>
    <w:qFormat/>
    <w:tblPr/>
  </w:style>
  <w:style w:type="table" w:styleId="943">
    <w:name w:val="Grid Table 2 - Accent 2"/>
    <w:basedOn w:val="779"/>
    <w:next w:val="943"/>
    <w:link w:val="768"/>
    <w:uiPriority w:val="99"/>
    <w:qFormat/>
    <w:tblPr/>
  </w:style>
  <w:style w:type="table" w:styleId="944">
    <w:name w:val="Grid Table 2 - Accent 3"/>
    <w:basedOn w:val="779"/>
    <w:next w:val="944"/>
    <w:link w:val="768"/>
    <w:uiPriority w:val="99"/>
    <w:qFormat/>
    <w:tblPr/>
  </w:style>
  <w:style w:type="table" w:styleId="945">
    <w:name w:val="Grid Table 2 - Accent 4"/>
    <w:basedOn w:val="779"/>
    <w:next w:val="945"/>
    <w:link w:val="768"/>
    <w:uiPriority w:val="99"/>
    <w:qFormat/>
    <w:tblPr/>
  </w:style>
  <w:style w:type="table" w:styleId="946">
    <w:name w:val="Grid Table 2 - Accent 5"/>
    <w:basedOn w:val="779"/>
    <w:next w:val="946"/>
    <w:link w:val="768"/>
    <w:uiPriority w:val="99"/>
    <w:qFormat/>
    <w:tblPr/>
  </w:style>
  <w:style w:type="table" w:styleId="947">
    <w:name w:val="Grid Table 2 - Accent 6"/>
    <w:basedOn w:val="779"/>
    <w:next w:val="947"/>
    <w:link w:val="768"/>
    <w:uiPriority w:val="99"/>
    <w:qFormat/>
    <w:tblPr/>
  </w:style>
  <w:style w:type="table" w:styleId="948">
    <w:name w:val="Grid Table 3 - Accent 1"/>
    <w:basedOn w:val="779"/>
    <w:next w:val="948"/>
    <w:link w:val="768"/>
    <w:uiPriority w:val="99"/>
    <w:qFormat/>
    <w:tblPr/>
  </w:style>
  <w:style w:type="table" w:styleId="949">
    <w:name w:val="Grid Table 3 - Accent 2"/>
    <w:basedOn w:val="779"/>
    <w:next w:val="949"/>
    <w:link w:val="768"/>
    <w:uiPriority w:val="99"/>
    <w:qFormat/>
    <w:tblPr/>
  </w:style>
  <w:style w:type="table" w:styleId="950">
    <w:name w:val="Grid Table 3 - Accent 3"/>
    <w:basedOn w:val="779"/>
    <w:next w:val="950"/>
    <w:link w:val="768"/>
    <w:uiPriority w:val="99"/>
    <w:qFormat/>
    <w:tblPr/>
  </w:style>
  <w:style w:type="table" w:styleId="951">
    <w:name w:val="Grid Table 3 - Accent 4"/>
    <w:basedOn w:val="779"/>
    <w:next w:val="951"/>
    <w:link w:val="768"/>
    <w:uiPriority w:val="99"/>
    <w:qFormat/>
    <w:tblPr/>
  </w:style>
  <w:style w:type="table" w:styleId="952">
    <w:name w:val="Grid Table 3 - Accent 5"/>
    <w:basedOn w:val="779"/>
    <w:next w:val="952"/>
    <w:link w:val="768"/>
    <w:uiPriority w:val="99"/>
    <w:qFormat/>
    <w:tblPr/>
  </w:style>
  <w:style w:type="table" w:styleId="953">
    <w:name w:val="Grid Table 3 - Accent 6"/>
    <w:basedOn w:val="779"/>
    <w:next w:val="953"/>
    <w:link w:val="768"/>
    <w:uiPriority w:val="99"/>
    <w:qFormat/>
    <w:tblPr/>
  </w:style>
  <w:style w:type="table" w:styleId="954">
    <w:name w:val="Grid Table 4 - Accent 1"/>
    <w:basedOn w:val="779"/>
    <w:next w:val="954"/>
    <w:link w:val="768"/>
    <w:uiPriority w:val="59"/>
    <w:qFormat/>
    <w:tblPr/>
  </w:style>
  <w:style w:type="table" w:styleId="955">
    <w:name w:val="Grid Table 4 - Accent 2"/>
    <w:basedOn w:val="779"/>
    <w:next w:val="955"/>
    <w:link w:val="768"/>
    <w:uiPriority w:val="59"/>
    <w:qFormat/>
    <w:tblPr/>
  </w:style>
  <w:style w:type="table" w:styleId="956">
    <w:name w:val="Grid Table 4 - Accent 3"/>
    <w:basedOn w:val="779"/>
    <w:next w:val="956"/>
    <w:link w:val="768"/>
    <w:uiPriority w:val="59"/>
    <w:qFormat/>
    <w:tblPr/>
  </w:style>
  <w:style w:type="table" w:styleId="957">
    <w:name w:val="Grid Table 4 - Accent 4"/>
    <w:basedOn w:val="779"/>
    <w:next w:val="957"/>
    <w:link w:val="768"/>
    <w:uiPriority w:val="59"/>
    <w:qFormat/>
    <w:tblPr/>
  </w:style>
  <w:style w:type="table" w:styleId="958">
    <w:name w:val="Grid Table 4 - Accent 5"/>
    <w:basedOn w:val="779"/>
    <w:next w:val="958"/>
    <w:link w:val="768"/>
    <w:uiPriority w:val="59"/>
    <w:qFormat/>
    <w:tblPr/>
  </w:style>
  <w:style w:type="table" w:styleId="959">
    <w:name w:val="Grid Table 4 - Accent 6"/>
    <w:basedOn w:val="779"/>
    <w:next w:val="959"/>
    <w:link w:val="768"/>
    <w:uiPriority w:val="59"/>
    <w:qFormat/>
    <w:tblPr/>
  </w:style>
  <w:style w:type="table" w:styleId="960">
    <w:name w:val="Grid Table 5 Dark- Accent 1"/>
    <w:basedOn w:val="779"/>
    <w:next w:val="960"/>
    <w:link w:val="768"/>
    <w:uiPriority w:val="99"/>
    <w:qFormat/>
    <w:tblPr/>
  </w:style>
  <w:style w:type="table" w:styleId="961">
    <w:name w:val="Grid Table 5 Dark - Accent 2"/>
    <w:basedOn w:val="779"/>
    <w:next w:val="961"/>
    <w:link w:val="768"/>
    <w:uiPriority w:val="99"/>
    <w:qFormat/>
    <w:tblPr/>
  </w:style>
  <w:style w:type="table" w:styleId="962">
    <w:name w:val="Grid Table 5 Dark - Accent 3"/>
    <w:basedOn w:val="779"/>
    <w:next w:val="962"/>
    <w:link w:val="768"/>
    <w:uiPriority w:val="99"/>
    <w:qFormat/>
    <w:tblPr/>
  </w:style>
  <w:style w:type="table" w:styleId="963">
    <w:name w:val="Grid Table 5 Dark- Accent 4"/>
    <w:basedOn w:val="779"/>
    <w:next w:val="963"/>
    <w:link w:val="768"/>
    <w:uiPriority w:val="99"/>
    <w:qFormat/>
    <w:tblPr/>
  </w:style>
  <w:style w:type="table" w:styleId="964">
    <w:name w:val="Grid Table 5 Dark - Accent 5"/>
    <w:basedOn w:val="779"/>
    <w:next w:val="964"/>
    <w:link w:val="768"/>
    <w:uiPriority w:val="99"/>
    <w:qFormat/>
    <w:tblPr/>
  </w:style>
  <w:style w:type="table" w:styleId="965">
    <w:name w:val="Grid Table 5 Dark - Accent 6"/>
    <w:basedOn w:val="779"/>
    <w:next w:val="965"/>
    <w:link w:val="768"/>
    <w:uiPriority w:val="99"/>
    <w:qFormat/>
    <w:tblPr/>
  </w:style>
  <w:style w:type="table" w:styleId="966">
    <w:name w:val="Grid Table 6 Colorful - Accent 1"/>
    <w:basedOn w:val="779"/>
    <w:next w:val="966"/>
    <w:link w:val="768"/>
    <w:uiPriority w:val="99"/>
    <w:qFormat/>
    <w:tblPr/>
  </w:style>
  <w:style w:type="table" w:styleId="967">
    <w:name w:val="Grid Table 6 Colorful - Accent 2"/>
    <w:basedOn w:val="779"/>
    <w:next w:val="967"/>
    <w:link w:val="768"/>
    <w:uiPriority w:val="99"/>
    <w:qFormat/>
    <w:tblPr/>
  </w:style>
  <w:style w:type="table" w:styleId="968">
    <w:name w:val="Grid Table 6 Colorful - Accent 3"/>
    <w:basedOn w:val="779"/>
    <w:next w:val="968"/>
    <w:link w:val="768"/>
    <w:uiPriority w:val="99"/>
    <w:qFormat/>
    <w:tblPr/>
  </w:style>
  <w:style w:type="table" w:styleId="969">
    <w:name w:val="Grid Table 6 Colorful - Accent 4"/>
    <w:basedOn w:val="779"/>
    <w:next w:val="969"/>
    <w:link w:val="768"/>
    <w:uiPriority w:val="99"/>
    <w:qFormat/>
    <w:tblPr/>
  </w:style>
  <w:style w:type="table" w:styleId="970">
    <w:name w:val="Grid Table 6 Colorful - Accent 5"/>
    <w:basedOn w:val="779"/>
    <w:next w:val="970"/>
    <w:link w:val="768"/>
    <w:uiPriority w:val="99"/>
    <w:qFormat/>
    <w:tblPr/>
  </w:style>
  <w:style w:type="table" w:styleId="971">
    <w:name w:val="Grid Table 6 Colorful - Accent 6"/>
    <w:basedOn w:val="779"/>
    <w:next w:val="971"/>
    <w:link w:val="768"/>
    <w:uiPriority w:val="99"/>
    <w:qFormat/>
    <w:tblPr/>
  </w:style>
  <w:style w:type="table" w:styleId="972">
    <w:name w:val="Grid Table 7 Colorful - Accent 1"/>
    <w:basedOn w:val="779"/>
    <w:next w:val="972"/>
    <w:link w:val="768"/>
    <w:uiPriority w:val="99"/>
    <w:qFormat/>
    <w:tblPr/>
  </w:style>
  <w:style w:type="table" w:styleId="973">
    <w:name w:val="Grid Table 7 Colorful - Accent 2"/>
    <w:basedOn w:val="779"/>
    <w:next w:val="973"/>
    <w:link w:val="768"/>
    <w:uiPriority w:val="99"/>
    <w:qFormat/>
    <w:tblPr/>
  </w:style>
  <w:style w:type="table" w:styleId="974">
    <w:name w:val="Grid Table 7 Colorful - Accent 3"/>
    <w:basedOn w:val="779"/>
    <w:next w:val="974"/>
    <w:link w:val="768"/>
    <w:uiPriority w:val="99"/>
    <w:qFormat/>
    <w:tblPr/>
  </w:style>
  <w:style w:type="table" w:styleId="975">
    <w:name w:val="Grid Table 7 Colorful - Accent 4"/>
    <w:basedOn w:val="779"/>
    <w:next w:val="975"/>
    <w:link w:val="768"/>
    <w:uiPriority w:val="99"/>
    <w:qFormat/>
    <w:tblPr/>
  </w:style>
  <w:style w:type="table" w:styleId="976">
    <w:name w:val="Grid Table 7 Colorful - Accent 5"/>
    <w:basedOn w:val="779"/>
    <w:next w:val="976"/>
    <w:link w:val="768"/>
    <w:uiPriority w:val="99"/>
    <w:qFormat/>
    <w:tblPr/>
  </w:style>
  <w:style w:type="table" w:styleId="977">
    <w:name w:val="Grid Table 7 Colorful - Accent 6"/>
    <w:basedOn w:val="779"/>
    <w:next w:val="977"/>
    <w:link w:val="768"/>
    <w:uiPriority w:val="99"/>
    <w:qFormat/>
    <w:tblPr/>
  </w:style>
  <w:style w:type="table" w:styleId="978">
    <w:name w:val="List Table 1 Light - Accent 1"/>
    <w:basedOn w:val="779"/>
    <w:next w:val="978"/>
    <w:link w:val="768"/>
    <w:uiPriority w:val="99"/>
    <w:qFormat/>
    <w:tblPr/>
  </w:style>
  <w:style w:type="table" w:styleId="979">
    <w:name w:val="List Table 1 Light - Accent 2"/>
    <w:basedOn w:val="779"/>
    <w:next w:val="979"/>
    <w:link w:val="768"/>
    <w:uiPriority w:val="99"/>
    <w:qFormat/>
    <w:tblPr/>
  </w:style>
  <w:style w:type="table" w:styleId="980">
    <w:name w:val="List Table 1 Light - Accent 3"/>
    <w:basedOn w:val="779"/>
    <w:next w:val="980"/>
    <w:link w:val="768"/>
    <w:uiPriority w:val="99"/>
    <w:qFormat/>
    <w:tblPr/>
  </w:style>
  <w:style w:type="table" w:styleId="981">
    <w:name w:val="List Table 1 Light - Accent 4"/>
    <w:basedOn w:val="779"/>
    <w:next w:val="981"/>
    <w:link w:val="768"/>
    <w:uiPriority w:val="99"/>
    <w:qFormat/>
    <w:tblPr/>
  </w:style>
  <w:style w:type="table" w:styleId="982">
    <w:name w:val="List Table 1 Light - Accent 5"/>
    <w:basedOn w:val="779"/>
    <w:next w:val="982"/>
    <w:link w:val="768"/>
    <w:uiPriority w:val="99"/>
    <w:qFormat/>
    <w:tblPr/>
  </w:style>
  <w:style w:type="table" w:styleId="983">
    <w:name w:val="List Table 1 Light - Accent 6"/>
    <w:basedOn w:val="779"/>
    <w:next w:val="983"/>
    <w:link w:val="768"/>
    <w:uiPriority w:val="99"/>
    <w:qFormat/>
    <w:tblPr/>
  </w:style>
  <w:style w:type="table" w:styleId="984">
    <w:name w:val="List Table 2 - Accent 1"/>
    <w:basedOn w:val="779"/>
    <w:next w:val="984"/>
    <w:link w:val="768"/>
    <w:uiPriority w:val="99"/>
    <w:qFormat/>
    <w:tblPr/>
  </w:style>
  <w:style w:type="table" w:styleId="985">
    <w:name w:val="List Table 2 - Accent 2"/>
    <w:basedOn w:val="779"/>
    <w:next w:val="985"/>
    <w:link w:val="768"/>
    <w:uiPriority w:val="99"/>
    <w:qFormat/>
    <w:tblPr/>
  </w:style>
  <w:style w:type="table" w:styleId="986">
    <w:name w:val="List Table 2 - Accent 3"/>
    <w:basedOn w:val="779"/>
    <w:next w:val="986"/>
    <w:link w:val="768"/>
    <w:uiPriority w:val="99"/>
    <w:qFormat/>
    <w:tblPr/>
  </w:style>
  <w:style w:type="table" w:styleId="987">
    <w:name w:val="List Table 2 - Accent 4"/>
    <w:basedOn w:val="779"/>
    <w:next w:val="987"/>
    <w:link w:val="768"/>
    <w:uiPriority w:val="99"/>
    <w:qFormat/>
    <w:tblPr/>
  </w:style>
  <w:style w:type="table" w:styleId="988">
    <w:name w:val="List Table 2 - Accent 5"/>
    <w:basedOn w:val="779"/>
    <w:next w:val="988"/>
    <w:link w:val="768"/>
    <w:uiPriority w:val="99"/>
    <w:qFormat/>
    <w:tblPr/>
  </w:style>
  <w:style w:type="table" w:styleId="989">
    <w:name w:val="List Table 2 - Accent 6"/>
    <w:basedOn w:val="779"/>
    <w:next w:val="989"/>
    <w:link w:val="768"/>
    <w:uiPriority w:val="99"/>
    <w:qFormat/>
    <w:tblPr/>
  </w:style>
  <w:style w:type="table" w:styleId="990">
    <w:name w:val="List Table 3 - Accent 1"/>
    <w:basedOn w:val="779"/>
    <w:next w:val="990"/>
    <w:link w:val="768"/>
    <w:uiPriority w:val="99"/>
    <w:qFormat/>
    <w:tblPr/>
  </w:style>
  <w:style w:type="table" w:styleId="991">
    <w:name w:val="List Table 3 - Accent 2"/>
    <w:basedOn w:val="779"/>
    <w:next w:val="991"/>
    <w:link w:val="768"/>
    <w:uiPriority w:val="99"/>
    <w:qFormat/>
    <w:tblPr/>
  </w:style>
  <w:style w:type="table" w:styleId="992">
    <w:name w:val="List Table 3 - Accent 3"/>
    <w:basedOn w:val="779"/>
    <w:next w:val="992"/>
    <w:link w:val="768"/>
    <w:uiPriority w:val="99"/>
    <w:qFormat/>
    <w:tblPr/>
  </w:style>
  <w:style w:type="table" w:styleId="993">
    <w:name w:val="List Table 3 - Accent 4"/>
    <w:basedOn w:val="779"/>
    <w:next w:val="993"/>
    <w:link w:val="768"/>
    <w:uiPriority w:val="99"/>
    <w:qFormat/>
    <w:tblPr/>
  </w:style>
  <w:style w:type="table" w:styleId="994">
    <w:name w:val="List Table 3 - Accent 5"/>
    <w:basedOn w:val="779"/>
    <w:next w:val="994"/>
    <w:link w:val="768"/>
    <w:uiPriority w:val="99"/>
    <w:qFormat/>
    <w:tblPr/>
  </w:style>
  <w:style w:type="table" w:styleId="995">
    <w:name w:val="List Table 3 - Accent 6"/>
    <w:basedOn w:val="779"/>
    <w:next w:val="995"/>
    <w:link w:val="768"/>
    <w:uiPriority w:val="99"/>
    <w:qFormat/>
    <w:tblPr/>
  </w:style>
  <w:style w:type="table" w:styleId="996">
    <w:name w:val="List Table 4 - Accent 1"/>
    <w:basedOn w:val="779"/>
    <w:next w:val="996"/>
    <w:link w:val="768"/>
    <w:uiPriority w:val="99"/>
    <w:qFormat/>
    <w:tblPr/>
  </w:style>
  <w:style w:type="table" w:styleId="997">
    <w:name w:val="List Table 4 - Accent 2"/>
    <w:basedOn w:val="779"/>
    <w:next w:val="997"/>
    <w:link w:val="768"/>
    <w:uiPriority w:val="99"/>
    <w:qFormat/>
    <w:tblPr/>
  </w:style>
  <w:style w:type="table" w:styleId="998">
    <w:name w:val="List Table 4 - Accent 3"/>
    <w:basedOn w:val="779"/>
    <w:next w:val="998"/>
    <w:link w:val="768"/>
    <w:uiPriority w:val="99"/>
    <w:qFormat/>
    <w:tblPr/>
  </w:style>
  <w:style w:type="table" w:styleId="999">
    <w:name w:val="List Table 4 - Accent 4"/>
    <w:basedOn w:val="779"/>
    <w:next w:val="999"/>
    <w:link w:val="768"/>
    <w:uiPriority w:val="99"/>
    <w:qFormat/>
    <w:tblPr/>
  </w:style>
  <w:style w:type="table" w:styleId="1000">
    <w:name w:val="List Table 4 - Accent 5"/>
    <w:basedOn w:val="779"/>
    <w:next w:val="1000"/>
    <w:link w:val="768"/>
    <w:uiPriority w:val="99"/>
    <w:qFormat/>
    <w:tblPr/>
  </w:style>
  <w:style w:type="table" w:styleId="1001">
    <w:name w:val="List Table 4 - Accent 6"/>
    <w:basedOn w:val="779"/>
    <w:next w:val="1001"/>
    <w:link w:val="768"/>
    <w:uiPriority w:val="99"/>
    <w:qFormat/>
    <w:tblPr/>
  </w:style>
  <w:style w:type="table" w:styleId="1002">
    <w:name w:val="List Table 5 Dark - Accent 1"/>
    <w:basedOn w:val="779"/>
    <w:next w:val="1002"/>
    <w:link w:val="768"/>
    <w:uiPriority w:val="99"/>
    <w:qFormat/>
    <w:tblPr/>
  </w:style>
  <w:style w:type="table" w:styleId="1003">
    <w:name w:val="List Table 5 Dark - Accent 2"/>
    <w:basedOn w:val="779"/>
    <w:next w:val="1003"/>
    <w:link w:val="768"/>
    <w:uiPriority w:val="99"/>
    <w:qFormat/>
    <w:tblPr/>
  </w:style>
  <w:style w:type="table" w:styleId="1004">
    <w:name w:val="List Table 5 Dark - Accent 3"/>
    <w:basedOn w:val="779"/>
    <w:next w:val="1004"/>
    <w:link w:val="768"/>
    <w:uiPriority w:val="99"/>
    <w:qFormat/>
    <w:tblPr/>
  </w:style>
  <w:style w:type="table" w:styleId="1005">
    <w:name w:val="List Table 5 Dark - Accent 4"/>
    <w:basedOn w:val="779"/>
    <w:next w:val="1005"/>
    <w:link w:val="768"/>
    <w:uiPriority w:val="99"/>
    <w:qFormat/>
    <w:tblPr/>
  </w:style>
  <w:style w:type="table" w:styleId="1006">
    <w:name w:val="List Table 5 Dark - Accent 5"/>
    <w:basedOn w:val="779"/>
    <w:next w:val="1006"/>
    <w:link w:val="768"/>
    <w:uiPriority w:val="99"/>
    <w:qFormat/>
    <w:tblPr/>
  </w:style>
  <w:style w:type="table" w:styleId="1007">
    <w:name w:val="List Table 5 Dark - Accent 6"/>
    <w:basedOn w:val="779"/>
    <w:next w:val="1007"/>
    <w:link w:val="768"/>
    <w:uiPriority w:val="99"/>
    <w:qFormat/>
    <w:tblPr/>
  </w:style>
  <w:style w:type="table" w:styleId="1008">
    <w:name w:val="List Table 6 Colorful - Accent 1"/>
    <w:basedOn w:val="779"/>
    <w:next w:val="1008"/>
    <w:link w:val="768"/>
    <w:uiPriority w:val="99"/>
    <w:qFormat/>
    <w:tblPr/>
  </w:style>
  <w:style w:type="table" w:styleId="1009">
    <w:name w:val="List Table 6 Colorful - Accent 2"/>
    <w:basedOn w:val="779"/>
    <w:next w:val="1009"/>
    <w:link w:val="768"/>
    <w:uiPriority w:val="99"/>
    <w:qFormat/>
    <w:tblPr/>
  </w:style>
  <w:style w:type="table" w:styleId="1010">
    <w:name w:val="List Table 6 Colorful - Accent 3"/>
    <w:basedOn w:val="779"/>
    <w:next w:val="1010"/>
    <w:link w:val="768"/>
    <w:uiPriority w:val="99"/>
    <w:qFormat/>
    <w:tblPr/>
  </w:style>
  <w:style w:type="table" w:styleId="1011">
    <w:name w:val="List Table 6 Colorful - Accent 4"/>
    <w:basedOn w:val="779"/>
    <w:next w:val="1011"/>
    <w:link w:val="768"/>
    <w:uiPriority w:val="99"/>
    <w:qFormat/>
    <w:tblPr/>
  </w:style>
  <w:style w:type="table" w:styleId="1012">
    <w:name w:val="List Table 6 Colorful - Accent 5"/>
    <w:basedOn w:val="779"/>
    <w:next w:val="1012"/>
    <w:link w:val="768"/>
    <w:uiPriority w:val="99"/>
    <w:qFormat/>
    <w:tblPr/>
  </w:style>
  <w:style w:type="table" w:styleId="1013">
    <w:name w:val="List Table 6 Colorful - Accent 6"/>
    <w:basedOn w:val="779"/>
    <w:next w:val="1013"/>
    <w:link w:val="768"/>
    <w:uiPriority w:val="99"/>
    <w:qFormat/>
    <w:tblPr/>
  </w:style>
  <w:style w:type="table" w:styleId="1014">
    <w:name w:val="List Table 7 Colorful - Accent 1"/>
    <w:basedOn w:val="779"/>
    <w:next w:val="1014"/>
    <w:link w:val="768"/>
    <w:uiPriority w:val="99"/>
    <w:qFormat/>
    <w:tblPr/>
  </w:style>
  <w:style w:type="table" w:styleId="1015">
    <w:name w:val="List Table 7 Colorful - Accent 2"/>
    <w:basedOn w:val="779"/>
    <w:next w:val="1015"/>
    <w:link w:val="768"/>
    <w:uiPriority w:val="99"/>
    <w:qFormat/>
    <w:tblPr/>
  </w:style>
  <w:style w:type="table" w:styleId="1016">
    <w:name w:val="List Table 7 Colorful - Accent 3"/>
    <w:basedOn w:val="779"/>
    <w:next w:val="1016"/>
    <w:link w:val="768"/>
    <w:uiPriority w:val="99"/>
    <w:qFormat/>
    <w:tblPr/>
  </w:style>
  <w:style w:type="table" w:styleId="1017">
    <w:name w:val="List Table 7 Colorful - Accent 4"/>
    <w:basedOn w:val="779"/>
    <w:next w:val="1017"/>
    <w:link w:val="768"/>
    <w:uiPriority w:val="99"/>
    <w:qFormat/>
    <w:tblPr/>
  </w:style>
  <w:style w:type="table" w:styleId="1018">
    <w:name w:val="List Table 7 Colorful - Accent 5"/>
    <w:basedOn w:val="779"/>
    <w:next w:val="1018"/>
    <w:link w:val="768"/>
    <w:uiPriority w:val="99"/>
    <w:qFormat/>
    <w:tblPr/>
  </w:style>
  <w:style w:type="table" w:styleId="1019">
    <w:name w:val="List Table 7 Colorful - Accent 6"/>
    <w:basedOn w:val="779"/>
    <w:next w:val="1019"/>
    <w:link w:val="768"/>
    <w:uiPriority w:val="99"/>
    <w:qFormat/>
    <w:tblPr/>
  </w:style>
  <w:style w:type="table" w:styleId="1020">
    <w:name w:val="Lined - Accent"/>
    <w:basedOn w:val="779"/>
    <w:next w:val="1020"/>
    <w:link w:val="768"/>
    <w:uiPriority w:val="99"/>
    <w:qFormat/>
    <w:rPr>
      <w:color w:val="404040"/>
    </w:rPr>
    <w:tblPr/>
  </w:style>
  <w:style w:type="table" w:styleId="1021">
    <w:name w:val="Lined - Accent 1"/>
    <w:basedOn w:val="779"/>
    <w:next w:val="1021"/>
    <w:link w:val="768"/>
    <w:uiPriority w:val="99"/>
    <w:qFormat/>
    <w:rPr>
      <w:color w:val="404040"/>
    </w:rPr>
    <w:tblPr/>
  </w:style>
  <w:style w:type="table" w:styleId="1022">
    <w:name w:val="Lined - Accent 2"/>
    <w:basedOn w:val="779"/>
    <w:next w:val="1022"/>
    <w:link w:val="768"/>
    <w:uiPriority w:val="99"/>
    <w:qFormat/>
    <w:rPr>
      <w:color w:val="404040"/>
    </w:rPr>
    <w:tblPr/>
  </w:style>
  <w:style w:type="table" w:styleId="1023">
    <w:name w:val="Lined - Accent 3"/>
    <w:basedOn w:val="779"/>
    <w:next w:val="1023"/>
    <w:link w:val="768"/>
    <w:uiPriority w:val="99"/>
    <w:qFormat/>
    <w:rPr>
      <w:color w:val="404040"/>
    </w:rPr>
    <w:tblPr/>
  </w:style>
  <w:style w:type="table" w:styleId="1024">
    <w:name w:val="Lined - Accent 4"/>
    <w:basedOn w:val="779"/>
    <w:next w:val="1024"/>
    <w:link w:val="768"/>
    <w:uiPriority w:val="99"/>
    <w:qFormat/>
    <w:rPr>
      <w:color w:val="404040"/>
    </w:rPr>
    <w:tblPr/>
  </w:style>
  <w:style w:type="table" w:styleId="1025">
    <w:name w:val="Lined - Accent 5"/>
    <w:basedOn w:val="779"/>
    <w:next w:val="1025"/>
    <w:link w:val="768"/>
    <w:uiPriority w:val="99"/>
    <w:qFormat/>
    <w:rPr>
      <w:color w:val="404040"/>
    </w:rPr>
    <w:tblPr/>
  </w:style>
  <w:style w:type="table" w:styleId="1026">
    <w:name w:val="Lined - Accent 6"/>
    <w:basedOn w:val="779"/>
    <w:next w:val="1026"/>
    <w:link w:val="768"/>
    <w:uiPriority w:val="99"/>
    <w:qFormat/>
    <w:rPr>
      <w:color w:val="404040"/>
    </w:rPr>
    <w:tblPr/>
  </w:style>
  <w:style w:type="table" w:styleId="1027">
    <w:name w:val="Bordered &amp; Lined - Accent"/>
    <w:basedOn w:val="779"/>
    <w:next w:val="1027"/>
    <w:link w:val="768"/>
    <w:uiPriority w:val="99"/>
    <w:qFormat/>
    <w:rPr>
      <w:color w:val="404040"/>
    </w:rPr>
    <w:tblPr/>
  </w:style>
  <w:style w:type="table" w:styleId="1028">
    <w:name w:val="Bordered &amp; Lined - Accent 1"/>
    <w:basedOn w:val="779"/>
    <w:next w:val="1028"/>
    <w:link w:val="768"/>
    <w:uiPriority w:val="99"/>
    <w:qFormat/>
    <w:rPr>
      <w:color w:val="404040"/>
    </w:rPr>
    <w:tblPr/>
  </w:style>
  <w:style w:type="table" w:styleId="1029">
    <w:name w:val="Bordered &amp; Lined - Accent 2"/>
    <w:basedOn w:val="779"/>
    <w:next w:val="1029"/>
    <w:link w:val="768"/>
    <w:uiPriority w:val="99"/>
    <w:qFormat/>
    <w:rPr>
      <w:color w:val="404040"/>
    </w:rPr>
    <w:tblPr/>
  </w:style>
  <w:style w:type="table" w:styleId="1030">
    <w:name w:val="Bordered &amp; Lined - Accent 3"/>
    <w:basedOn w:val="779"/>
    <w:next w:val="1030"/>
    <w:link w:val="768"/>
    <w:uiPriority w:val="99"/>
    <w:qFormat/>
    <w:rPr>
      <w:color w:val="404040"/>
    </w:rPr>
    <w:tblPr/>
  </w:style>
  <w:style w:type="table" w:styleId="1031">
    <w:name w:val="Bordered &amp; Lined - Accent 4"/>
    <w:basedOn w:val="779"/>
    <w:next w:val="1031"/>
    <w:link w:val="768"/>
    <w:uiPriority w:val="99"/>
    <w:qFormat/>
    <w:rPr>
      <w:color w:val="404040"/>
    </w:rPr>
    <w:tblPr/>
  </w:style>
  <w:style w:type="table" w:styleId="1032">
    <w:name w:val="Bordered &amp; Lined - Accent 5"/>
    <w:basedOn w:val="779"/>
    <w:next w:val="1032"/>
    <w:link w:val="768"/>
    <w:uiPriority w:val="99"/>
    <w:qFormat/>
    <w:rPr>
      <w:color w:val="404040"/>
    </w:rPr>
    <w:tblPr/>
  </w:style>
  <w:style w:type="table" w:styleId="1033">
    <w:name w:val="Bordered &amp; Lined - Accent 6"/>
    <w:basedOn w:val="779"/>
    <w:next w:val="1033"/>
    <w:link w:val="768"/>
    <w:uiPriority w:val="99"/>
    <w:qFormat/>
    <w:rPr>
      <w:color w:val="404040"/>
    </w:rPr>
    <w:tblPr/>
  </w:style>
  <w:style w:type="table" w:styleId="1034">
    <w:name w:val="Bordered"/>
    <w:basedOn w:val="779"/>
    <w:next w:val="1034"/>
    <w:link w:val="768"/>
    <w:uiPriority w:val="99"/>
    <w:qFormat/>
    <w:tblPr/>
  </w:style>
  <w:style w:type="table" w:styleId="1035">
    <w:name w:val="Bordered - Accent 1"/>
    <w:basedOn w:val="779"/>
    <w:next w:val="1035"/>
    <w:link w:val="768"/>
    <w:uiPriority w:val="99"/>
    <w:qFormat/>
    <w:tblPr/>
  </w:style>
  <w:style w:type="table" w:styleId="1036">
    <w:name w:val="Bordered - Accent 2"/>
    <w:basedOn w:val="779"/>
    <w:next w:val="1036"/>
    <w:link w:val="768"/>
    <w:uiPriority w:val="99"/>
    <w:qFormat/>
    <w:tblPr/>
  </w:style>
  <w:style w:type="table" w:styleId="1037">
    <w:name w:val="Bordered - Accent 3"/>
    <w:basedOn w:val="779"/>
    <w:next w:val="1037"/>
    <w:link w:val="768"/>
    <w:uiPriority w:val="99"/>
    <w:qFormat/>
    <w:tblPr/>
  </w:style>
  <w:style w:type="table" w:styleId="1038">
    <w:name w:val="Bordered - Accent 4"/>
    <w:basedOn w:val="779"/>
    <w:next w:val="1038"/>
    <w:link w:val="768"/>
    <w:uiPriority w:val="99"/>
    <w:qFormat/>
    <w:tblPr/>
  </w:style>
  <w:style w:type="table" w:styleId="1039">
    <w:name w:val="Bordered - Accent 5"/>
    <w:basedOn w:val="779"/>
    <w:next w:val="1039"/>
    <w:link w:val="768"/>
    <w:uiPriority w:val="99"/>
    <w:qFormat/>
    <w:tblPr/>
  </w:style>
  <w:style w:type="table" w:styleId="1040">
    <w:name w:val="Bordered - Accent 6"/>
    <w:basedOn w:val="779"/>
    <w:next w:val="1040"/>
    <w:link w:val="768"/>
    <w:uiPriority w:val="99"/>
    <w:qFormat/>
    <w:tblPr/>
  </w:style>
  <w:style w:type="paragraph" w:styleId="1041">
    <w:name w:val="TOC 标题11"/>
    <w:next w:val="1041"/>
    <w:link w:val="768"/>
    <w:uiPriority w:val="39"/>
    <w:unhideWhenUsed/>
    <w:qFormat/>
    <w:rPr>
      <w:lang w:val="en-US" w:eastAsia="zh-CN" w:bidi="ar-SA"/>
    </w:rPr>
  </w:style>
  <w:style w:type="paragraph" w:styleId="1042">
    <w:name w:val="Normal_0"/>
    <w:next w:val="1042"/>
    <w:link w:val="768"/>
    <w:qFormat/>
    <w:rPr>
      <w:rFonts w:ascii="黑体" w:hAnsi="黑体" w:eastAsia="黑体"/>
      <w:b/>
      <w:sz w:val="32"/>
      <w:szCs w:val="24"/>
      <w:lang w:val="en-US" w:eastAsia="zh-CN" w:bidi="ar-SA"/>
    </w:rPr>
  </w:style>
  <w:style w:type="paragraph" w:styleId="1043">
    <w:name w:val="正文1"/>
    <w:next w:val="788"/>
    <w:link w:val="768"/>
    <w:qFormat/>
    <w:rPr>
      <w:rFonts w:eastAsia="Times New Roman"/>
      <w:sz w:val="24"/>
      <w:szCs w:val="24"/>
      <w:lang w:val="en-US" w:eastAsia="zh-CN" w:bidi="ar-SA"/>
    </w:rPr>
  </w:style>
  <w:style w:type="paragraph" w:styleId="1044">
    <w:name w:val="Normal_0_3"/>
    <w:next w:val="1044"/>
    <w:link w:val="768"/>
    <w:qFormat/>
    <w:rPr>
      <w:rFonts w:ascii="黑体" w:hAnsi="黑体" w:eastAsia="黑体" w:cs="黑体"/>
      <w:b/>
      <w:sz w:val="32"/>
      <w:szCs w:val="24"/>
      <w:lang w:val="en-US" w:eastAsia="zh-CN" w:bidi="ar-SA"/>
    </w:rPr>
  </w:style>
  <w:style w:type="paragraph" w:styleId="1045">
    <w:name w:val="正文首行缩进 2_0"/>
    <w:basedOn w:val="1046"/>
    <w:next w:val="1045"/>
    <w:link w:val="768"/>
    <w:qFormat/>
    <w:pPr>
      <w:ind w:left="200" w:firstLine="200"/>
      <w:spacing w:after="120"/>
    </w:pPr>
    <w:rPr>
      <w:rFonts w:ascii="Times New Roman" w:hAnsi="Times New Roman"/>
      <w:sz w:val="24"/>
      <w:szCs w:val="24"/>
    </w:rPr>
  </w:style>
  <w:style w:type="paragraph" w:styleId="1046">
    <w:name w:val="正文文本缩进_0"/>
    <w:basedOn w:val="1047"/>
    <w:next w:val="1046"/>
    <w:link w:val="768"/>
    <w:qFormat/>
    <w:pPr>
      <w:ind w:firstLine="225"/>
    </w:pPr>
    <w:rPr>
      <w:rFonts w:ascii="仿宋_GB2312" w:eastAsia="仿宋_GB2312"/>
      <w:sz w:val="32"/>
    </w:rPr>
  </w:style>
  <w:style w:type="paragraph" w:styleId="1047">
    <w:name w:val="正文_2"/>
    <w:next w:val="1047"/>
    <w:link w:val="768"/>
    <w:qFormat/>
    <w:pPr>
      <w:jc w:val="both"/>
      <w:widowControl w:val="off"/>
    </w:pPr>
    <w:rPr>
      <w:rFonts w:ascii="Calibri" w:hAnsi="Calibri"/>
      <w:sz w:val="21"/>
      <w:szCs w:val="22"/>
      <w:lang w:val="en-US" w:eastAsia="zh-CN" w:bidi="ar-SA"/>
    </w:rPr>
  </w:style>
  <w:style w:type="paragraph" w:styleId="1048">
    <w:name w:val="正文文本_0"/>
    <w:basedOn w:val="908"/>
    <w:next w:val="1047"/>
    <w:link w:val="768"/>
    <w:qFormat/>
    <w:pPr>
      <w:spacing w:line="60" w:lineRule="auto"/>
    </w:pPr>
    <w:rPr>
      <w:rFonts w:ascii="仿宋_GB2312" w:eastAsia="仿宋_GB2312"/>
      <w:sz w:val="32"/>
    </w:rPr>
  </w:style>
  <w:style w:type="paragraph" w:styleId="1049">
    <w:name w:val="Normal_0_2"/>
    <w:next w:val="1050"/>
    <w:link w:val="768"/>
    <w:qFormat/>
    <w:rPr>
      <w:rFonts w:ascii="黑体" w:hAnsi="黑体" w:eastAsia="黑体" w:cs="黑体"/>
      <w:b/>
      <w:sz w:val="32"/>
      <w:szCs w:val="24"/>
      <w:lang w:val="en-US" w:eastAsia="zh-CN" w:bidi="ar-SA"/>
    </w:rPr>
  </w:style>
  <w:style w:type="paragraph" w:styleId="1050">
    <w:name w:val="Body Text First Indent_1"/>
    <w:basedOn w:val="787"/>
    <w:next w:val="1050"/>
    <w:link w:val="768"/>
    <w:uiPriority w:val="99"/>
    <w:unhideWhenUsed/>
    <w:qFormat/>
    <w:pPr>
      <w:ind w:firstLine="420"/>
      <w:spacing w:after="120"/>
    </w:pPr>
    <w:rPr>
      <w:rFonts w:eastAsia="Times New Roman"/>
      <w:sz w:val="20"/>
    </w:rPr>
  </w:style>
  <w:style w:type="paragraph" w:styleId="1051">
    <w:name w:val="Normal_1_2"/>
    <w:next w:val="1051"/>
    <w:link w:val="768"/>
    <w:qFormat/>
    <w:rPr>
      <w:rFonts w:eastAsia="Times New Roman"/>
      <w:sz w:val="24"/>
      <w:szCs w:val="24"/>
      <w:lang w:val="en-US" w:eastAsia="zh-CN" w:bidi="ar-SA"/>
    </w:rPr>
  </w:style>
  <w:style w:type="paragraph" w:styleId="1052">
    <w:name w:val="Normal_0_1"/>
    <w:next w:val="1053"/>
    <w:link w:val="768"/>
    <w:qFormat/>
    <w:rPr>
      <w:rFonts w:ascii="黑体" w:hAnsi="黑体" w:eastAsia="黑体" w:cs="黑体"/>
      <w:b/>
      <w:sz w:val="32"/>
      <w:szCs w:val="24"/>
      <w:lang w:val="en-US" w:eastAsia="zh-CN" w:bidi="ar-SA"/>
    </w:rPr>
  </w:style>
  <w:style w:type="paragraph" w:styleId="1053">
    <w:name w:val="Body Text First Indent_0"/>
    <w:basedOn w:val="1054"/>
    <w:next w:val="1053"/>
    <w:link w:val="768"/>
    <w:uiPriority w:val="99"/>
    <w:unhideWhenUsed/>
    <w:qFormat/>
    <w:pPr>
      <w:ind w:firstLine="420"/>
      <w:spacing w:after="120"/>
    </w:pPr>
    <w:rPr>
      <w:rFonts w:eastAsia="Times New Roman"/>
    </w:rPr>
  </w:style>
  <w:style w:type="paragraph" w:styleId="1054">
    <w:name w:val="正文3"/>
    <w:next w:val="1055"/>
    <w:link w:val="768"/>
    <w:qFormat/>
    <w:rPr>
      <w:rFonts w:eastAsia="Times New Roman"/>
      <w:sz w:val="24"/>
      <w:szCs w:val="24"/>
      <w:lang w:val="en-US" w:eastAsia="zh-CN" w:bidi="ar-SA"/>
    </w:rPr>
  </w:style>
  <w:style w:type="paragraph" w:styleId="1055">
    <w:name w:val="正文首行缩进3"/>
    <w:basedOn w:val="1043"/>
    <w:next w:val="1055"/>
    <w:link w:val="768"/>
    <w:uiPriority w:val="99"/>
    <w:unhideWhenUsed/>
    <w:qFormat/>
    <w:pPr>
      <w:ind w:firstLine="420"/>
      <w:spacing w:after="120"/>
    </w:pPr>
    <w:rPr>
      <w:sz w:val="20"/>
    </w:rPr>
  </w:style>
  <w:style w:type="paragraph" w:styleId="1056">
    <w:name w:val="Normal_1_1"/>
    <w:next w:val="1056"/>
    <w:link w:val="768"/>
    <w:qFormat/>
    <w:rPr>
      <w:rFonts w:ascii="黑体" w:hAnsi="黑体" w:eastAsia="黑体" w:cs="黑体"/>
      <w:b/>
      <w:sz w:val="32"/>
      <w:szCs w:val="24"/>
      <w:lang w:val="en-US" w:eastAsia="zh-CN" w:bidi="ar-SA"/>
    </w:rPr>
  </w:style>
  <w:style w:type="paragraph" w:styleId="1057">
    <w:name w:val="正文_0_1"/>
    <w:next w:val="1057"/>
    <w:link w:val="768"/>
    <w:qFormat/>
    <w:pPr>
      <w:jc w:val="both"/>
      <w:widowControl w:val="off"/>
    </w:pPr>
    <w:rPr>
      <w:rFonts w:ascii="Calibri" w:hAnsi="Calibri"/>
      <w:sz w:val="21"/>
      <w:szCs w:val="22"/>
      <w:lang w:val="en-US" w:eastAsia="zh-CN" w:bidi="ar-SA"/>
    </w:rPr>
  </w:style>
  <w:style w:type="paragraph" w:styleId="1058">
    <w:name w:val="正文_1_1"/>
    <w:next w:val="1058"/>
    <w:link w:val="768"/>
    <w:qFormat/>
    <w:pPr>
      <w:jc w:val="both"/>
      <w:widowControl w:val="off"/>
    </w:pPr>
    <w:rPr>
      <w:rFonts w:ascii="Calibri" w:hAnsi="Calibri"/>
      <w:sz w:val="21"/>
      <w:szCs w:val="22"/>
      <w:lang w:val="en-US" w:eastAsia="zh-CN" w:bidi="ar-SA"/>
    </w:rPr>
  </w:style>
  <w:style w:type="paragraph" w:styleId="1059">
    <w:name w:val="Normal_2_0"/>
    <w:next w:val="1059"/>
    <w:link w:val="768"/>
    <w:qFormat/>
    <w:rPr>
      <w:rFonts w:ascii="黑体" w:hAnsi="黑体" w:eastAsia="黑体" w:cs="黑体"/>
      <w:b/>
      <w:sz w:val="32"/>
      <w:szCs w:val="24"/>
      <w:lang w:val="en-US" w:eastAsia="zh-CN" w:bidi="ar-SA"/>
    </w:rPr>
  </w:style>
  <w:style w:type="paragraph" w:styleId="1060">
    <w:name w:val="Normal_3_0"/>
    <w:next w:val="1060"/>
    <w:link w:val="768"/>
    <w:qFormat/>
    <w:pPr>
      <w:jc w:val="both"/>
      <w:widowControl w:val="off"/>
    </w:pPr>
    <w:rPr>
      <w:rFonts w:ascii="Calibri" w:hAnsi="Calibri"/>
      <w:sz w:val="21"/>
      <w:szCs w:val="22"/>
      <w:lang w:val="en-US" w:eastAsia="zh-CN" w:bidi="ar-SA"/>
    </w:rPr>
  </w:style>
  <w:style w:type="paragraph" w:styleId="1061">
    <w:name w:val="Normal_4_0"/>
    <w:next w:val="1061"/>
    <w:link w:val="768"/>
    <w:qFormat/>
    <w:rPr>
      <w:rFonts w:ascii="黑体" w:hAnsi="黑体" w:eastAsia="黑体" w:cs="黑体"/>
      <w:b/>
      <w:sz w:val="32"/>
      <w:szCs w:val="24"/>
      <w:lang w:val="en-US" w:eastAsia="zh-CN" w:bidi="ar-SA"/>
    </w:rPr>
  </w:style>
  <w:style w:type="paragraph" w:styleId="1062">
    <w:name w:val="Normal_5_0"/>
    <w:next w:val="1062"/>
    <w:link w:val="768"/>
    <w:qFormat/>
    <w:pPr>
      <w:jc w:val="both"/>
      <w:widowControl w:val="off"/>
    </w:pPr>
    <w:rPr>
      <w:rFonts w:ascii="Calibri" w:hAnsi="Calibri"/>
      <w:sz w:val="21"/>
      <w:szCs w:val="22"/>
      <w:lang w:val="en-US" w:eastAsia="zh-CN" w:bidi="ar-SA"/>
    </w:rPr>
  </w:style>
  <w:style w:type="paragraph" w:styleId="1063">
    <w:name w:val="Normal_6_0"/>
    <w:next w:val="1063"/>
    <w:link w:val="768"/>
    <w:qFormat/>
    <w:rPr>
      <w:rFonts w:ascii="黑体" w:hAnsi="黑体" w:eastAsia="黑体" w:cs="黑体"/>
      <w:b/>
      <w:sz w:val="32"/>
      <w:szCs w:val="24"/>
      <w:lang w:val="en-US" w:eastAsia="zh-CN" w:bidi="ar-SA"/>
    </w:rPr>
  </w:style>
  <w:style w:type="paragraph" w:styleId="1064">
    <w:name w:val="正文_1_0_0"/>
    <w:next w:val="1064"/>
    <w:link w:val="768"/>
    <w:qFormat/>
    <w:pPr>
      <w:jc w:val="both"/>
      <w:widowControl w:val="off"/>
    </w:pPr>
    <w:rPr>
      <w:sz w:val="21"/>
      <w:lang w:val="en-US" w:eastAsia="zh-CN" w:bidi="ar-SA"/>
    </w:rPr>
  </w:style>
  <w:style w:type="paragraph" w:styleId="1065">
    <w:name w:val="正文_0_0_0_0"/>
    <w:next w:val="1065"/>
    <w:link w:val="768"/>
    <w:qFormat/>
    <w:pPr>
      <w:jc w:val="both"/>
      <w:widowControl w:val="off"/>
    </w:pPr>
    <w:rPr>
      <w:sz w:val="21"/>
      <w:szCs w:val="24"/>
      <w:lang w:val="en-US" w:eastAsia="zh-CN" w:bidi="ar-SA"/>
    </w:rPr>
  </w:style>
  <w:style w:type="paragraph" w:styleId="1066">
    <w:name w:val="正文_1_0_0_0"/>
    <w:next w:val="1066"/>
    <w:link w:val="768"/>
    <w:qFormat/>
    <w:pPr>
      <w:jc w:val="both"/>
      <w:widowControl w:val="off"/>
    </w:pPr>
    <w:rPr>
      <w:sz w:val="21"/>
      <w:lang w:val="en-US" w:eastAsia="zh-CN" w:bidi="ar-SA"/>
    </w:rPr>
  </w:style>
  <w:style w:type="paragraph" w:styleId="1067">
    <w:name w:val="Normal_7_0"/>
    <w:next w:val="1067"/>
    <w:link w:val="768"/>
    <w:qFormat/>
    <w:rPr>
      <w:rFonts w:ascii="黑体" w:hAnsi="黑体" w:eastAsia="黑体" w:cs="黑体"/>
      <w:b/>
      <w:sz w:val="32"/>
      <w:szCs w:val="24"/>
      <w:lang w:val="en-US" w:eastAsia="zh-CN" w:bidi="ar-SA"/>
    </w:rPr>
  </w:style>
  <w:style w:type="paragraph" w:styleId="1068">
    <w:name w:val="Normal_8_0"/>
    <w:next w:val="1068"/>
    <w:link w:val="768"/>
    <w:qFormat/>
    <w:rPr>
      <w:rFonts w:eastAsia="Times New Roman"/>
      <w:sz w:val="24"/>
      <w:szCs w:val="24"/>
      <w:lang w:val="en-US" w:eastAsia="zh-CN" w:bidi="ar-SA"/>
    </w:rPr>
  </w:style>
  <w:style w:type="paragraph" w:styleId="1069">
    <w:name w:val="Normal_9_0"/>
    <w:next w:val="1069"/>
    <w:link w:val="768"/>
    <w:qFormat/>
    <w:rPr>
      <w:rFonts w:eastAsia="Times New Roman"/>
      <w:sz w:val="24"/>
      <w:szCs w:val="24"/>
      <w:lang w:val="en-US" w:eastAsia="zh-CN" w:bidi="ar-SA"/>
    </w:rPr>
  </w:style>
  <w:style w:type="paragraph" w:styleId="1070">
    <w:name w:val="Normal_10_0"/>
    <w:next w:val="1070"/>
    <w:link w:val="768"/>
    <w:qFormat/>
    <w:rPr>
      <w:rFonts w:ascii="黑体" w:hAnsi="黑体" w:eastAsia="黑体" w:cs="黑体"/>
      <w:b/>
      <w:sz w:val="32"/>
      <w:szCs w:val="24"/>
      <w:lang w:val="en-US" w:eastAsia="zh-CN" w:bidi="ar-SA"/>
    </w:rPr>
  </w:style>
  <w:style w:type="paragraph" w:styleId="1071">
    <w:name w:val="正文_3"/>
    <w:next w:val="1072"/>
    <w:link w:val="768"/>
    <w:qFormat/>
    <w:pPr>
      <w:jc w:val="both"/>
      <w:widowControl w:val="off"/>
    </w:pPr>
    <w:rPr>
      <w:rFonts w:ascii="Calibri" w:hAnsi="Calibri"/>
      <w:sz w:val="21"/>
      <w:szCs w:val="22"/>
      <w:lang w:val="en-US" w:eastAsia="zh-CN" w:bidi="ar-SA"/>
    </w:rPr>
  </w:style>
  <w:style w:type="paragraph" w:styleId="1072">
    <w:name w:val="正文首行缩进 2_1"/>
    <w:basedOn w:val="1073"/>
    <w:next w:val="1075"/>
    <w:link w:val="768"/>
    <w:qFormat/>
    <w:pPr>
      <w:ind w:left="200" w:firstLine="200"/>
      <w:spacing w:after="120"/>
    </w:pPr>
    <w:rPr>
      <w:rFonts w:ascii="Times New Roman"/>
      <w:szCs w:val="24"/>
    </w:rPr>
  </w:style>
  <w:style w:type="paragraph" w:styleId="1073">
    <w:name w:val="正文文本缩进_1"/>
    <w:basedOn w:val="1074"/>
    <w:next w:val="1072"/>
    <w:link w:val="768"/>
    <w:qFormat/>
    <w:pPr>
      <w:ind w:firstLine="225"/>
    </w:pPr>
    <w:rPr>
      <w:rFonts w:ascii="仿宋_GB2312" w:eastAsia="仿宋_GB2312"/>
      <w:sz w:val="32"/>
    </w:rPr>
  </w:style>
  <w:style w:type="paragraph" w:styleId="1074">
    <w:name w:val="正文_18"/>
    <w:next w:val="1073"/>
    <w:link w:val="768"/>
    <w:qFormat/>
    <w:pPr>
      <w:jc w:val="both"/>
      <w:widowControl w:val="off"/>
    </w:pPr>
    <w:rPr>
      <w:rFonts w:ascii="Calibri" w:hAnsi="Calibri"/>
      <w:sz w:val="21"/>
      <w:szCs w:val="22"/>
      <w:lang w:val="en-US" w:eastAsia="zh-CN" w:bidi="ar-SA"/>
    </w:rPr>
  </w:style>
  <w:style w:type="paragraph" w:styleId="1075">
    <w:name w:val="xl53_0"/>
    <w:next w:val="1071"/>
    <w:link w:val="76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76">
    <w:name w:val="正文_4_0"/>
    <w:next w:val="1076"/>
    <w:link w:val="768"/>
    <w:qFormat/>
    <w:pPr>
      <w:jc w:val="both"/>
      <w:widowControl w:val="off"/>
    </w:pPr>
    <w:rPr>
      <w:rFonts w:ascii="Calibri" w:hAnsi="Calibri"/>
      <w:sz w:val="21"/>
      <w:szCs w:val="22"/>
      <w:lang w:val="en-US" w:eastAsia="zh-CN" w:bidi="ar-SA"/>
    </w:rPr>
  </w:style>
  <w:style w:type="paragraph" w:styleId="1077">
    <w:name w:val="Normal_11_0"/>
    <w:next w:val="1077"/>
    <w:link w:val="768"/>
    <w:qFormat/>
    <w:rPr>
      <w:rFonts w:ascii="黑体" w:hAnsi="黑体" w:eastAsia="黑体" w:cs="黑体"/>
      <w:b/>
      <w:sz w:val="32"/>
      <w:szCs w:val="24"/>
      <w:lang w:val="en-US" w:eastAsia="zh-CN" w:bidi="ar-SA"/>
    </w:rPr>
  </w:style>
  <w:style w:type="paragraph" w:styleId="1078">
    <w:name w:val="Normal_12_0"/>
    <w:next w:val="1078"/>
    <w:link w:val="768"/>
    <w:qFormat/>
    <w:pPr>
      <w:jc w:val="both"/>
      <w:widowControl w:val="off"/>
    </w:pPr>
    <w:rPr>
      <w:rFonts w:ascii="Calibri" w:hAnsi="Calibri"/>
      <w:sz w:val="21"/>
      <w:szCs w:val="22"/>
      <w:lang w:val="en-US" w:eastAsia="zh-CN" w:bidi="ar-SA"/>
    </w:rPr>
  </w:style>
  <w:style w:type="paragraph" w:styleId="1079">
    <w:name w:val="正文_9_0"/>
    <w:next w:val="1079"/>
    <w:link w:val="768"/>
    <w:qFormat/>
    <w:pPr>
      <w:jc w:val="both"/>
      <w:widowControl w:val="off"/>
    </w:pPr>
    <w:rPr>
      <w:rFonts w:ascii="Calibri" w:hAnsi="Calibri"/>
      <w:sz w:val="21"/>
      <w:szCs w:val="22"/>
      <w:lang w:val="en-US" w:eastAsia="zh-CN" w:bidi="ar-SA"/>
    </w:rPr>
  </w:style>
  <w:style w:type="paragraph" w:styleId="1080">
    <w:name w:val="正文_8_1"/>
    <w:next w:val="1080"/>
    <w:link w:val="768"/>
    <w:qFormat/>
    <w:pPr>
      <w:jc w:val="both"/>
      <w:widowControl w:val="off"/>
    </w:pPr>
    <w:rPr>
      <w:rFonts w:ascii="Calibri" w:hAnsi="Calibri"/>
      <w:sz w:val="21"/>
      <w:szCs w:val="22"/>
      <w:lang w:val="en-US" w:eastAsia="zh-CN" w:bidi="ar-SA"/>
    </w:rPr>
  </w:style>
  <w:style w:type="paragraph" w:styleId="1081">
    <w:name w:val="正文_1_0_0_0_0"/>
    <w:next w:val="1081"/>
    <w:link w:val="768"/>
    <w:qFormat/>
    <w:pPr>
      <w:jc w:val="both"/>
      <w:widowControl w:val="off"/>
    </w:pPr>
    <w:rPr>
      <w:sz w:val="21"/>
      <w:lang w:val="en-US" w:eastAsia="zh-CN" w:bidi="ar-SA"/>
    </w:rPr>
  </w:style>
  <w:style w:type="paragraph" w:styleId="1082">
    <w:name w:val="列出段落_2"/>
    <w:basedOn w:val="1080"/>
    <w:next w:val="1082"/>
    <w:link w:val="768"/>
    <w:uiPriority w:val="34"/>
    <w:qFormat/>
    <w:pPr>
      <w:ind w:firstLine="420"/>
    </w:pPr>
  </w:style>
  <w:style w:type="paragraph" w:styleId="1083">
    <w:name w:val="Normal_13_0"/>
    <w:next w:val="1083"/>
    <w:link w:val="768"/>
    <w:qFormat/>
    <w:rPr>
      <w:rFonts w:ascii="黑体" w:hAnsi="黑体" w:eastAsia="黑体" w:cs="黑体"/>
      <w:b/>
      <w:sz w:val="32"/>
      <w:szCs w:val="24"/>
      <w:lang w:val="en-US" w:eastAsia="zh-CN" w:bidi="ar-SA"/>
    </w:rPr>
  </w:style>
  <w:style w:type="paragraph" w:styleId="1084">
    <w:name w:val="正文_7_1_0"/>
    <w:next w:val="1084"/>
    <w:link w:val="768"/>
    <w:qFormat/>
    <w:pPr>
      <w:jc w:val="both"/>
      <w:widowControl w:val="off"/>
    </w:pPr>
    <w:rPr>
      <w:rFonts w:ascii="Calibri" w:hAnsi="Calibri"/>
      <w:sz w:val="21"/>
      <w:szCs w:val="22"/>
      <w:lang w:val="en-US" w:eastAsia="zh-CN" w:bidi="ar-SA"/>
    </w:rPr>
  </w:style>
  <w:style w:type="paragraph" w:styleId="1085">
    <w:name w:val="纯文本_0_0"/>
    <w:basedOn w:val="1084"/>
    <w:next w:val="1085"/>
    <w:link w:val="768"/>
    <w:unhideWhenUsed/>
    <w:qFormat/>
    <w:rPr>
      <w:rFonts w:ascii="宋体" w:hAnsi="Courier New"/>
      <w:szCs w:val="21"/>
    </w:rPr>
  </w:style>
  <w:style w:type="paragraph" w:styleId="1086">
    <w:name w:val="正文_8_0"/>
    <w:next w:val="1086"/>
    <w:link w:val="768"/>
    <w:qFormat/>
    <w:pPr>
      <w:jc w:val="both"/>
      <w:widowControl w:val="off"/>
    </w:pPr>
    <w:rPr>
      <w:rFonts w:ascii="Calibri" w:hAnsi="Calibri"/>
      <w:sz w:val="21"/>
      <w:szCs w:val="22"/>
      <w:lang w:val="en-US" w:eastAsia="zh-CN" w:bidi="ar-SA"/>
    </w:rPr>
  </w:style>
  <w:style w:type="paragraph" w:styleId="1087">
    <w:name w:val="Normal_14_0"/>
    <w:next w:val="1087"/>
    <w:link w:val="768"/>
    <w:qFormat/>
    <w:rPr>
      <w:rFonts w:ascii="黑体" w:hAnsi="黑体" w:eastAsia="黑体" w:cs="黑体"/>
      <w:b/>
      <w:sz w:val="32"/>
      <w:szCs w:val="24"/>
      <w:lang w:val="en-US" w:eastAsia="zh-CN" w:bidi="ar-SA"/>
    </w:rPr>
  </w:style>
  <w:style w:type="paragraph" w:styleId="1088">
    <w:name w:val="正文_6_0"/>
    <w:next w:val="1088"/>
    <w:link w:val="768"/>
    <w:qFormat/>
    <w:pPr>
      <w:jc w:val="both"/>
      <w:widowControl w:val="off"/>
    </w:pPr>
    <w:rPr>
      <w:rFonts w:ascii="Calibri" w:hAnsi="Calibri"/>
      <w:sz w:val="21"/>
      <w:szCs w:val="22"/>
      <w:lang w:val="en-US" w:eastAsia="zh-CN" w:bidi="ar-SA"/>
    </w:rPr>
  </w:style>
  <w:style w:type="paragraph" w:styleId="1089">
    <w:name w:val="Normal_15_0"/>
    <w:next w:val="1089"/>
    <w:link w:val="768"/>
    <w:qFormat/>
    <w:rPr>
      <w:rFonts w:ascii="黑体" w:hAnsi="黑体" w:eastAsia="黑体" w:cs="黑体"/>
      <w:b/>
      <w:sz w:val="32"/>
      <w:szCs w:val="24"/>
      <w:lang w:val="en-US" w:eastAsia="zh-CN" w:bidi="ar-SA"/>
    </w:rPr>
  </w:style>
  <w:style w:type="paragraph" w:styleId="1090">
    <w:name w:val="正文_7_0"/>
    <w:next w:val="1090"/>
    <w:link w:val="768"/>
    <w:qFormat/>
    <w:pPr>
      <w:jc w:val="both"/>
      <w:widowControl w:val="off"/>
    </w:pPr>
    <w:rPr>
      <w:rFonts w:ascii="Calibri" w:hAnsi="Calibri"/>
      <w:sz w:val="21"/>
      <w:szCs w:val="22"/>
      <w:lang w:val="en-US" w:eastAsia="zh-CN" w:bidi="ar-SA"/>
    </w:rPr>
  </w:style>
  <w:style w:type="paragraph" w:styleId="1091">
    <w:name w:val="正文_9_1"/>
    <w:next w:val="1091"/>
    <w:link w:val="768"/>
    <w:qFormat/>
    <w:pPr>
      <w:jc w:val="both"/>
      <w:widowControl w:val="off"/>
    </w:pPr>
    <w:rPr>
      <w:sz w:val="21"/>
      <w:szCs w:val="24"/>
      <w:lang w:val="en-US" w:eastAsia="zh-CN" w:bidi="ar-SA"/>
    </w:rPr>
  </w:style>
  <w:style w:type="paragraph" w:styleId="1092">
    <w:name w:val="Normal_16_0"/>
    <w:next w:val="1092"/>
    <w:link w:val="768"/>
    <w:qFormat/>
    <w:rPr>
      <w:rFonts w:ascii="黑体" w:hAnsi="黑体" w:eastAsia="黑体" w:cs="黑体"/>
      <w:b/>
      <w:sz w:val="32"/>
      <w:szCs w:val="24"/>
      <w:lang w:val="en-US" w:eastAsia="zh-CN" w:bidi="ar-SA"/>
    </w:rPr>
  </w:style>
  <w:style w:type="paragraph" w:styleId="1093">
    <w:name w:val="正文_10_0"/>
    <w:next w:val="1093"/>
    <w:link w:val="768"/>
    <w:qFormat/>
    <w:pPr>
      <w:jc w:val="both"/>
      <w:widowControl w:val="off"/>
    </w:pPr>
    <w:rPr>
      <w:sz w:val="21"/>
      <w:szCs w:val="24"/>
      <w:lang w:val="en-US" w:eastAsia="zh-CN" w:bidi="ar-SA"/>
    </w:rPr>
  </w:style>
  <w:style w:type="paragraph" w:styleId="1094">
    <w:name w:val="Normal_17_0"/>
    <w:next w:val="1094"/>
    <w:link w:val="768"/>
    <w:qFormat/>
    <w:rPr>
      <w:rFonts w:ascii="黑体" w:hAnsi="黑体" w:eastAsia="黑体" w:cs="黑体"/>
      <w:b/>
      <w:sz w:val="32"/>
      <w:szCs w:val="24"/>
      <w:lang w:val="en-US" w:eastAsia="zh-CN" w:bidi="ar-SA"/>
    </w:rPr>
  </w:style>
  <w:style w:type="paragraph" w:styleId="1095">
    <w:name w:val="正文_10_0_0"/>
    <w:next w:val="1095"/>
    <w:link w:val="768"/>
    <w:qFormat/>
    <w:pPr>
      <w:jc w:val="both"/>
      <w:widowControl w:val="off"/>
    </w:pPr>
    <w:rPr>
      <w:sz w:val="21"/>
      <w:szCs w:val="24"/>
      <w:lang w:val="en-US" w:eastAsia="zh-CN" w:bidi="ar-SA"/>
    </w:rPr>
  </w:style>
  <w:style w:type="paragraph" w:styleId="1096">
    <w:name w:val="Normal_18_0"/>
    <w:next w:val="1096"/>
    <w:link w:val="768"/>
    <w:qFormat/>
    <w:rPr>
      <w:rFonts w:ascii="黑体" w:hAnsi="黑体" w:eastAsia="黑体" w:cs="黑体"/>
      <w:b/>
      <w:sz w:val="32"/>
      <w:szCs w:val="24"/>
      <w:lang w:val="en-US" w:eastAsia="zh-CN" w:bidi="ar-SA"/>
    </w:rPr>
  </w:style>
  <w:style w:type="paragraph" w:styleId="1097">
    <w:name w:val="正文_12_0"/>
    <w:next w:val="1097"/>
    <w:link w:val="768"/>
    <w:qFormat/>
    <w:pPr>
      <w:jc w:val="both"/>
      <w:widowControl w:val="off"/>
    </w:pPr>
    <w:rPr>
      <w:rFonts w:ascii="Calibri" w:hAnsi="Calibri"/>
      <w:sz w:val="21"/>
      <w:szCs w:val="22"/>
      <w:lang w:val="en-US" w:eastAsia="zh-CN" w:bidi="ar-SA"/>
    </w:rPr>
  </w:style>
  <w:style w:type="paragraph" w:styleId="1098">
    <w:name w:val="正文_9_1_0"/>
    <w:next w:val="1098"/>
    <w:link w:val="768"/>
    <w:qFormat/>
    <w:pPr>
      <w:jc w:val="both"/>
      <w:widowControl w:val="off"/>
    </w:pPr>
    <w:rPr>
      <w:sz w:val="21"/>
      <w:szCs w:val="24"/>
      <w:lang w:val="en-US" w:eastAsia="zh-CN" w:bidi="ar-SA"/>
    </w:rPr>
  </w:style>
  <w:style w:type="paragraph" w:styleId="1099">
    <w:name w:val="Normal_14_0_0"/>
    <w:next w:val="1099"/>
    <w:link w:val="768"/>
    <w:qFormat/>
    <w:rPr>
      <w:rFonts w:ascii="黑体" w:hAnsi="黑体" w:eastAsia="黑体"/>
      <w:b/>
      <w:sz w:val="32"/>
      <w:szCs w:val="24"/>
      <w:lang w:val="en-US" w:eastAsia="zh-CN" w:bidi="ar-SA"/>
    </w:rPr>
  </w:style>
  <w:style w:type="paragraph" w:styleId="1100">
    <w:name w:val="正文_12_0_0"/>
    <w:next w:val="1100"/>
    <w:link w:val="768"/>
    <w:qFormat/>
    <w:pPr>
      <w:jc w:val="both"/>
      <w:widowControl w:val="off"/>
    </w:pPr>
    <w:rPr>
      <w:sz w:val="21"/>
      <w:szCs w:val="24"/>
      <w:lang w:val="en-US" w:eastAsia="zh-CN" w:bidi="ar-SA"/>
    </w:rPr>
  </w:style>
  <w:style w:type="paragraph" w:styleId="1101">
    <w:name w:val="正文_12_0_0_0"/>
    <w:next w:val="1101"/>
    <w:link w:val="768"/>
    <w:qFormat/>
    <w:pPr>
      <w:jc w:val="both"/>
      <w:widowControl w:val="off"/>
    </w:pPr>
    <w:rPr>
      <w:sz w:val="21"/>
      <w:szCs w:val="24"/>
      <w:lang w:val="en-US" w:eastAsia="zh-CN" w:bidi="ar-SA"/>
    </w:rPr>
  </w:style>
  <w:style w:type="paragraph" w:styleId="1102">
    <w:name w:val="正文_13_0"/>
    <w:next w:val="1102"/>
    <w:link w:val="768"/>
    <w:qFormat/>
    <w:pPr>
      <w:jc w:val="both"/>
      <w:widowControl w:val="off"/>
    </w:pPr>
    <w:rPr>
      <w:rFonts w:ascii="Calibri" w:hAnsi="Calibri"/>
      <w:sz w:val="21"/>
      <w:szCs w:val="22"/>
      <w:lang w:val="en-US" w:eastAsia="zh-CN" w:bidi="ar-SA"/>
    </w:rPr>
  </w:style>
  <w:style w:type="paragraph" w:styleId="1103">
    <w:name w:val="正文_13_0_0"/>
    <w:next w:val="1103"/>
    <w:link w:val="768"/>
    <w:qFormat/>
    <w:pPr>
      <w:jc w:val="both"/>
      <w:widowControl w:val="off"/>
    </w:pPr>
    <w:rPr>
      <w:sz w:val="21"/>
      <w:szCs w:val="24"/>
      <w:lang w:val="en-US" w:eastAsia="zh-CN" w:bidi="ar-SA"/>
    </w:rPr>
  </w:style>
  <w:style w:type="paragraph" w:styleId="1104">
    <w:name w:val="正文_14_0"/>
    <w:next w:val="1104"/>
    <w:link w:val="768"/>
    <w:qFormat/>
    <w:pPr>
      <w:jc w:val="both"/>
      <w:widowControl w:val="off"/>
    </w:pPr>
    <w:rPr>
      <w:rFonts w:ascii="Calibri" w:hAnsi="Calibri"/>
      <w:sz w:val="21"/>
      <w:szCs w:val="22"/>
      <w:lang w:val="en-US" w:eastAsia="zh-CN" w:bidi="ar-SA"/>
    </w:rPr>
  </w:style>
  <w:style w:type="paragraph" w:styleId="1105">
    <w:name w:val="正文_14_0_0"/>
    <w:next w:val="1105"/>
    <w:link w:val="768"/>
    <w:qFormat/>
    <w:pPr>
      <w:jc w:val="both"/>
      <w:widowControl w:val="off"/>
    </w:pPr>
    <w:rPr>
      <w:sz w:val="21"/>
      <w:szCs w:val="24"/>
      <w:lang w:val="en-US" w:eastAsia="zh-CN" w:bidi="ar-SA"/>
    </w:rPr>
  </w:style>
  <w:style w:type="paragraph" w:styleId="1106">
    <w:name w:val="Normal Indent_0"/>
    <w:basedOn w:val="864"/>
    <w:next w:val="1106"/>
    <w:link w:val="768"/>
    <w:qFormat/>
    <w:pPr>
      <w:ind w:firstLine="420"/>
    </w:pPr>
    <w:rPr>
      <w:rFonts w:ascii="宋体" w:eastAsia="Times New Roman"/>
      <w:color w:val="000000"/>
      <w:sz w:val="24"/>
      <w:szCs w:val="20"/>
    </w:rPr>
  </w:style>
  <w:style w:type="paragraph" w:styleId="1107">
    <w:name w:val="Heading 3_0"/>
    <w:basedOn w:val="864"/>
    <w:next w:val="864"/>
    <w:link w:val="768"/>
    <w:qFormat/>
    <w:pPr>
      <w:keepLines/>
      <w:keepNext/>
      <w:spacing w:before="260" w:after="260" w:line="413" w:lineRule="auto"/>
      <w:outlineLvl w:val="2"/>
    </w:pPr>
    <w:rPr>
      <w:rFonts w:ascii="Times New Roman" w:hAnsi="Times New Roman" w:eastAsia="Times New Roman"/>
      <w:szCs w:val="20"/>
    </w:rPr>
  </w:style>
  <w:style w:type="paragraph" w:styleId="1108">
    <w:name w:val="正文_15_0"/>
    <w:next w:val="1108"/>
    <w:link w:val="768"/>
    <w:qFormat/>
    <w:pPr>
      <w:jc w:val="both"/>
      <w:widowControl w:val="off"/>
    </w:pPr>
    <w:rPr>
      <w:rFonts w:ascii="Calibri" w:hAnsi="Calibri"/>
      <w:sz w:val="21"/>
      <w:szCs w:val="22"/>
      <w:lang w:val="en-US" w:eastAsia="zh-CN" w:bidi="ar-SA"/>
    </w:rPr>
  </w:style>
  <w:style w:type="paragraph" w:styleId="1109">
    <w:name w:val="正文2"/>
    <w:basedOn w:val="768"/>
    <w:next w:val="1109"/>
    <w:link w:val="768"/>
    <w:qFormat/>
    <w:pPr>
      <w:ind w:firstLine="510"/>
      <w:spacing w:before="156" w:line="360" w:lineRule="auto"/>
    </w:pPr>
    <w:rPr>
      <w:sz w:val="24"/>
      <w:szCs w:val="20"/>
    </w:rPr>
  </w:style>
  <w:style w:type="paragraph" w:styleId="1110">
    <w:name w:val="Default"/>
    <w:next w:val="1110"/>
    <w:link w:val="768"/>
    <w:qFormat/>
    <w:pPr>
      <w:widowControl w:val="off"/>
    </w:pPr>
    <w:rPr>
      <w:rFonts w:ascii="宋体" w:cs="宋体"/>
      <w:color w:val="000000"/>
      <w:sz w:val="24"/>
      <w:szCs w:val="24"/>
      <w:lang w:val="en-US" w:eastAsia="zh-CN" w:bidi="ar-SA"/>
    </w:rPr>
  </w:style>
  <w:style w:type="paragraph" w:styleId="1111">
    <w:name w:val="正文_0_2_0"/>
    <w:next w:val="1111"/>
    <w:link w:val="768"/>
    <w:qFormat/>
    <w:pPr>
      <w:jc w:val="both"/>
      <w:widowControl w:val="off"/>
    </w:pPr>
    <w:rPr>
      <w:szCs w:val="24"/>
      <w:lang w:val="en-US" w:eastAsia="zh-CN" w:bidi="ar-SA"/>
    </w:rPr>
  </w:style>
  <w:style w:type="paragraph" w:styleId="1112">
    <w:name w:val="Normal_19_1_0"/>
    <w:next w:val="1113"/>
    <w:link w:val="768"/>
    <w:qFormat/>
    <w:pPr>
      <w:jc w:val="both"/>
      <w:widowControl w:val="off"/>
    </w:pPr>
    <w:rPr>
      <w:rFonts w:ascii="Calibri" w:hAnsi="Calibri"/>
      <w:szCs w:val="24"/>
      <w:lang w:val="en-US" w:eastAsia="zh-CN" w:bidi="ar-SA"/>
    </w:rPr>
  </w:style>
  <w:style w:type="paragraph" w:styleId="1113">
    <w:name w:val="正文_16_0"/>
    <w:basedOn w:val="1074"/>
    <w:next w:val="1072"/>
    <w:link w:val="768"/>
    <w:qFormat/>
    <w:rPr>
      <w:rFonts w:ascii="Times New Roman" w:hAnsi="Times New Roman"/>
    </w:rPr>
  </w:style>
  <w:style w:type="paragraph" w:styleId="1114">
    <w:name w:val="Normal_19_0"/>
    <w:basedOn w:val="784"/>
    <w:next w:val="1115"/>
    <w:link w:val="768"/>
    <w:qFormat/>
    <w:rPr>
      <w:szCs w:val="24"/>
    </w:rPr>
  </w:style>
  <w:style w:type="paragraph" w:styleId="1115">
    <w:name w:val="Body Text First Indent_1_0"/>
    <w:basedOn w:val="1114"/>
    <w:next w:val="1115"/>
    <w:link w:val="768"/>
    <w:qFormat/>
    <w:pPr>
      <w:ind w:firstLine="100"/>
      <w:spacing w:after="120"/>
    </w:pPr>
  </w:style>
  <w:style w:type="paragraph" w:styleId="1116">
    <w:name w:val="Body Text_0"/>
    <w:basedOn w:val="1114"/>
    <w:next w:val="1116"/>
    <w:link w:val="768"/>
    <w:qFormat/>
    <w:pPr>
      <w:spacing w:line="60" w:lineRule="auto"/>
    </w:pPr>
    <w:rPr>
      <w:rFonts w:ascii="仿宋_GB2312" w:eastAsia="仿宋_GB2312"/>
      <w:sz w:val="32"/>
    </w:rPr>
  </w:style>
  <w:style w:type="paragraph" w:styleId="1117">
    <w:name w:val="Normal_19_1"/>
    <w:next w:val="864"/>
    <w:link w:val="768"/>
    <w:qFormat/>
    <w:pPr>
      <w:jc w:val="both"/>
      <w:widowControl w:val="off"/>
    </w:pPr>
    <w:rPr>
      <w:rFonts w:ascii="Calibri" w:hAnsi="Calibri"/>
      <w:szCs w:val="24"/>
      <w:lang w:val="en-US" w:eastAsia="zh-CN" w:bidi="ar-SA"/>
    </w:rPr>
  </w:style>
  <w:style w:type="paragraph" w:styleId="1118">
    <w:name w:val="正文_6_0_0"/>
    <w:next w:val="1118"/>
    <w:link w:val="768"/>
    <w:qFormat/>
    <w:pPr>
      <w:jc w:val="both"/>
      <w:widowControl w:val="off"/>
    </w:pPr>
    <w:rPr>
      <w:rFonts w:ascii="Calibri" w:hAnsi="Calibri"/>
      <w:lang w:val="en-US" w:eastAsia="zh-CN" w:bidi="ar-SA"/>
    </w:rPr>
  </w:style>
  <w:style w:type="paragraph" w:styleId="1119">
    <w:name w:val="正文_7_1"/>
    <w:next w:val="1119"/>
    <w:link w:val="768"/>
    <w:qFormat/>
    <w:pPr>
      <w:jc w:val="both"/>
      <w:widowControl w:val="off"/>
    </w:pPr>
    <w:rPr>
      <w:rFonts w:ascii="Calibri" w:hAnsi="Calibri"/>
      <w:lang w:val="en-US" w:eastAsia="zh-CN" w:bidi="ar-SA"/>
    </w:rPr>
  </w:style>
  <w:style w:type="paragraph" w:styleId="1120">
    <w:name w:val="正文1_1"/>
    <w:basedOn w:val="1068"/>
    <w:next w:val="1120"/>
    <w:link w:val="768"/>
    <w:qFormat/>
    <w:pPr>
      <w:jc w:val="both"/>
      <w:widowControl w:val="off"/>
    </w:pPr>
    <w:rPr>
      <w:sz w:val="20"/>
      <w:szCs w:val="20"/>
    </w:rPr>
  </w:style>
  <w:style w:type="paragraph" w:styleId="1121">
    <w:name w:val="Normal_8_0_0"/>
    <w:next w:val="1121"/>
    <w:link w:val="768"/>
    <w:qFormat/>
    <w:rPr>
      <w:rFonts w:eastAsia="Times New Roman"/>
      <w:sz w:val="24"/>
      <w:szCs w:val="24"/>
      <w:lang w:val="en-US" w:eastAsia="zh-CN" w:bidi="ar-SA"/>
    </w:rPr>
  </w:style>
  <w:style w:type="paragraph" w:styleId="1122">
    <w:name w:val="Normal_8_0_0_0"/>
    <w:next w:val="1122"/>
    <w:link w:val="768"/>
    <w:qFormat/>
    <w:pPr>
      <w:jc w:val="both"/>
      <w:widowControl w:val="off"/>
    </w:pPr>
    <w:rPr>
      <w:rFonts w:ascii="Calibri" w:hAnsi="Calibri"/>
      <w:lang w:val="en-US" w:eastAsia="zh-CN" w:bidi="ar-SA"/>
    </w:rPr>
  </w:style>
  <w:style w:type="paragraph" w:styleId="1123">
    <w:name w:val="Normal_16_1"/>
    <w:next w:val="1123"/>
    <w:link w:val="768"/>
    <w:qFormat/>
    <w:rPr>
      <w:rFonts w:ascii="黑体" w:hAnsi="黑体" w:eastAsia="黑体"/>
      <w:b/>
      <w:sz w:val="32"/>
      <w:szCs w:val="24"/>
      <w:lang w:val="en-US" w:eastAsia="zh-CN" w:bidi="ar-SA"/>
    </w:rPr>
  </w:style>
  <w:style w:type="paragraph" w:styleId="1124">
    <w:name w:val="Normal_19_0_1"/>
    <w:next w:val="1124"/>
    <w:link w:val="768"/>
    <w:qFormat/>
    <w:rPr>
      <w:rFonts w:ascii="Tahoma" w:hAnsi="Tahoma" w:eastAsia="微软雅黑"/>
      <w:lang w:val="en-US" w:eastAsia="zh-CN" w:bidi="ar-SA"/>
    </w:rPr>
  </w:style>
  <w:style w:type="paragraph" w:styleId="1125">
    <w:name w:val="Normal_16_0_0"/>
    <w:next w:val="1125"/>
    <w:link w:val="768"/>
    <w:qFormat/>
    <w:pPr>
      <w:jc w:val="both"/>
      <w:widowControl w:val="off"/>
    </w:pPr>
    <w:rPr>
      <w:rFonts w:ascii="Calibri" w:hAnsi="Calibri"/>
      <w:lang w:val="en-US" w:eastAsia="zh-CN" w:bidi="ar-SA"/>
    </w:rPr>
  </w:style>
  <w:style w:type="paragraph" w:styleId="1126">
    <w:name w:val="Normal_22_0"/>
    <w:next w:val="1126"/>
    <w:link w:val="768"/>
    <w:qFormat/>
    <w:pPr>
      <w:jc w:val="both"/>
      <w:widowControl w:val="off"/>
    </w:pPr>
    <w:rPr>
      <w:rFonts w:ascii="Calibri" w:hAnsi="Calibri"/>
      <w:szCs w:val="24"/>
      <w:lang w:val="en-US" w:eastAsia="zh-CN" w:bidi="ar-SA"/>
    </w:rPr>
  </w:style>
  <w:style w:type="paragraph" w:styleId="1127">
    <w:name w:val="Normal_17_0_0"/>
    <w:next w:val="1127"/>
    <w:link w:val="768"/>
    <w:qFormat/>
    <w:rPr>
      <w:rFonts w:ascii="黑体" w:hAnsi="黑体" w:eastAsia="黑体"/>
      <w:b/>
      <w:sz w:val="32"/>
      <w:szCs w:val="24"/>
      <w:lang w:val="en-US" w:eastAsia="zh-CN" w:bidi="ar-SA"/>
    </w:rPr>
  </w:style>
  <w:style w:type="paragraph" w:styleId="1128">
    <w:name w:val="Normal_19_0_1_0"/>
    <w:next w:val="1128"/>
    <w:link w:val="768"/>
    <w:qFormat/>
    <w:rPr>
      <w:rFonts w:ascii="Tahoma" w:hAnsi="Tahoma" w:eastAsia="微软雅黑"/>
      <w:lang w:val="en-US" w:eastAsia="zh-CN" w:bidi="ar-SA"/>
    </w:rPr>
  </w:style>
  <w:style w:type="paragraph" w:styleId="1129">
    <w:name w:val="Normal_19_3"/>
    <w:next w:val="1130"/>
    <w:link w:val="768"/>
    <w:qFormat/>
    <w:pPr>
      <w:jc w:val="both"/>
      <w:widowControl w:val="off"/>
    </w:pPr>
    <w:rPr>
      <w:rFonts w:ascii="Calibri" w:hAnsi="Calibri" w:eastAsia="Times New Roman"/>
      <w:szCs w:val="24"/>
      <w:lang w:val="en-US" w:eastAsia="zh-CN" w:bidi="ar-SA"/>
    </w:rPr>
  </w:style>
  <w:style w:type="paragraph" w:styleId="1130">
    <w:name w:val="正文_17_0"/>
    <w:next w:val="1130"/>
    <w:link w:val="768"/>
    <w:qFormat/>
    <w:pPr>
      <w:jc w:val="both"/>
      <w:widowControl w:val="off"/>
    </w:pPr>
    <w:rPr>
      <w:rFonts w:ascii="Calibri" w:hAnsi="Calibri"/>
      <w:sz w:val="21"/>
      <w:szCs w:val="22"/>
      <w:lang w:val="en-US" w:eastAsia="zh-CN" w:bidi="ar-SA"/>
    </w:rPr>
  </w:style>
  <w:style w:type="paragraph" w:styleId="1131">
    <w:name w:val="Normal_22_0_0"/>
    <w:next w:val="1131"/>
    <w:link w:val="768"/>
    <w:qFormat/>
    <w:pPr>
      <w:jc w:val="both"/>
      <w:widowControl w:val="off"/>
    </w:pPr>
    <w:rPr>
      <w:rFonts w:ascii="Calibri" w:hAnsi="Calibri"/>
      <w:szCs w:val="24"/>
      <w:lang w:val="en-US" w:eastAsia="zh-CN" w:bidi="ar-SA"/>
    </w:rPr>
  </w:style>
  <w:style w:type="character" w:styleId="1132">
    <w:name w:val="custom-tag-placeholder-class"/>
    <w:next w:val="1132"/>
    <w:link w:val="768"/>
    <w:qFormat/>
  </w:style>
  <w:style w:type="paragraph" w:styleId="1133">
    <w:name w:val="Normal_19_0_0"/>
    <w:basedOn w:val="864"/>
    <w:next w:val="1134"/>
    <w:link w:val="768"/>
    <w:qFormat/>
    <w:rPr>
      <w:rFonts w:ascii="Calibri" w:hAnsi="Calibri" w:eastAsia="Times New Roman"/>
      <w:sz w:val="24"/>
    </w:rPr>
  </w:style>
  <w:style w:type="paragraph" w:styleId="1134">
    <w:name w:val="Body Text First Indent_1_0_0"/>
    <w:basedOn w:val="1133"/>
    <w:next w:val="1134"/>
    <w:link w:val="768"/>
    <w:pPr>
      <w:ind w:firstLine="100"/>
      <w:spacing w:after="120"/>
    </w:pPr>
    <w:rPr>
      <w:rFonts w:eastAsia="Times New Roman"/>
    </w:rPr>
  </w:style>
  <w:style w:type="paragraph" w:styleId="1135">
    <w:name w:val="正文首行缩进1"/>
    <w:basedOn w:val="1136"/>
    <w:next w:val="1135"/>
    <w:link w:val="768"/>
    <w:qFormat/>
    <w:pPr>
      <w:ind w:firstLine="100"/>
      <w:spacing w:after="120" w:line="240" w:lineRule="auto"/>
    </w:pPr>
    <w:rPr>
      <w:rFonts w:ascii="Times New Roman" w:hAnsi="Times New Roman" w:eastAsia="宋体"/>
      <w:sz w:val="21"/>
    </w:rPr>
  </w:style>
  <w:style w:type="paragraph" w:styleId="1136">
    <w:name w:val="正文文本1"/>
    <w:basedOn w:val="768"/>
    <w:next w:val="1136"/>
    <w:link w:val="768"/>
    <w:qFormat/>
    <w:pPr>
      <w:spacing w:line="60" w:lineRule="auto"/>
    </w:pPr>
    <w:rPr>
      <w:rFonts w:ascii="仿宋_GB2312" w:eastAsia="仿宋_GB2312"/>
      <w:sz w:val="32"/>
    </w:rPr>
  </w:style>
  <w:style w:type="paragraph" w:styleId="1137">
    <w:name w:val="正文_2_0"/>
    <w:next w:val="1137"/>
    <w:link w:val="768"/>
    <w:qFormat/>
    <w:pPr>
      <w:jc w:val="both"/>
      <w:widowControl w:val="off"/>
    </w:pPr>
    <w:rPr>
      <w:rFonts w:ascii="Calibri" w:hAnsi="Calibri"/>
      <w:sz w:val="21"/>
      <w:szCs w:val="22"/>
      <w:lang w:val="en-US" w:eastAsia="zh-CN" w:bidi="ar-SA"/>
    </w:rPr>
  </w:style>
  <w:style w:type="paragraph" w:styleId="1138">
    <w:name w:val="List Paragraph_0"/>
    <w:basedOn w:val="1047"/>
    <w:next w:val="1138"/>
    <w:link w:val="768"/>
    <w:qFormat/>
    <w:pPr>
      <w:ind w:firstLine="420"/>
    </w:pPr>
  </w:style>
  <w:style w:type="paragraph" w:styleId="1139">
    <w:name w:val="纯文本_1"/>
    <w:basedOn w:val="1137"/>
    <w:next w:val="1139"/>
    <w:link w:val="768"/>
    <w:qFormat/>
    <w:rPr>
      <w:rFonts w:ascii="宋体" w:hAnsi="Times New Roman"/>
      <w:sz w:val="20"/>
      <w:szCs w:val="21"/>
    </w:rPr>
  </w:style>
  <w:style w:type="paragraph" w:styleId="1140">
    <w:name w:val="正文_16_0_0"/>
    <w:next w:val="909"/>
    <w:link w:val="768"/>
    <w:qFormat/>
    <w:pPr>
      <w:jc w:val="both"/>
      <w:widowControl w:val="off"/>
    </w:pPr>
    <w:rPr>
      <w:rFonts w:ascii="Calibri" w:hAnsi="Calibri"/>
      <w:sz w:val="21"/>
      <w:szCs w:val="22"/>
      <w:lang w:val="en-US" w:eastAsia="zh-CN" w:bidi="ar-SA"/>
    </w:rPr>
  </w:style>
  <w:style w:type="paragraph" w:styleId="1141">
    <w:name w:val="正文_11_0"/>
    <w:basedOn w:val="909"/>
    <w:next w:val="1141"/>
    <w:link w:val="768"/>
    <w:qFormat/>
    <w:rPr>
      <w:rFonts w:ascii="Calibri" w:hAnsi="Calibri"/>
      <w:szCs w:val="20"/>
    </w:rPr>
  </w:style>
  <w:style w:type="paragraph" w:styleId="1142">
    <w:name w:val="Normal_19_0_0_0"/>
    <w:basedOn w:val="784"/>
    <w:next w:val="1142"/>
    <w:link w:val="768"/>
    <w:qFormat/>
    <w:rPr>
      <w:rFonts w:cs="黑体"/>
      <w:szCs w:val="24"/>
    </w:rPr>
  </w:style>
  <w:style w:type="paragraph" w:styleId="1143">
    <w:name w:val="无间隔1"/>
    <w:basedOn w:val="1054"/>
    <w:next w:val="1143"/>
    <w:link w:val="768"/>
    <w:qFormat/>
    <w:rPr>
      <w:rFonts w:ascii="Calibri" w:hAnsi="Calibri" w:cs="Calibri"/>
    </w:rPr>
  </w:style>
  <w:style w:type="paragraph" w:styleId="1144">
    <w:name w:val="标题 31"/>
    <w:basedOn w:val="1054"/>
    <w:next w:val="1054"/>
    <w:link w:val="768"/>
    <w:qFormat/>
    <w:pPr>
      <w:keepLines/>
      <w:keepNext/>
      <w:spacing w:before="260" w:after="260" w:line="413" w:lineRule="auto"/>
      <w:outlineLvl w:val="2"/>
    </w:pPr>
    <w:rPr>
      <w:b/>
      <w:sz w:val="32"/>
      <w:szCs w:val="20"/>
    </w:rPr>
  </w:style>
  <w:style w:type="character" w:styleId="1145">
    <w:name w:val="标题 2 Char_0"/>
    <w:next w:val="1145"/>
    <w:link w:val="1146"/>
    <w:qFormat/>
    <w:rPr>
      <w:rFonts w:ascii="Arial" w:hAnsi="Arial" w:eastAsia="黑体"/>
      <w:b/>
      <w:sz w:val="32"/>
      <w:szCs w:val="22"/>
    </w:rPr>
  </w:style>
  <w:style w:type="paragraph" w:styleId="1146">
    <w:name w:val="标题 21"/>
    <w:basedOn w:val="786"/>
    <w:next w:val="786"/>
    <w:link w:val="1145"/>
    <w:unhideWhenUsed/>
    <w:qFormat/>
    <w:pPr>
      <w:keepLines/>
      <w:keepNext/>
      <w:spacing w:before="260" w:after="260" w:line="413" w:lineRule="auto"/>
      <w:outlineLvl w:val="1"/>
    </w:pPr>
    <w:rPr>
      <w:rFonts w:ascii="Arial" w:hAnsi="Arial" w:cs="Times New Roman"/>
      <w:szCs w:val="22"/>
    </w:rPr>
  </w:style>
  <w:style w:type="paragraph" w:styleId="1147">
    <w:name w:val="Normal_19_1_0_0"/>
    <w:next w:val="1148"/>
    <w:link w:val="768"/>
    <w:qFormat/>
    <w:pPr>
      <w:jc w:val="both"/>
      <w:widowControl w:val="off"/>
    </w:pPr>
    <w:rPr>
      <w:rFonts w:ascii="Calibri" w:hAnsi="Calibri"/>
      <w:sz w:val="21"/>
      <w:szCs w:val="24"/>
      <w:lang w:val="en-US" w:eastAsia="zh-CN" w:bidi="ar-SA"/>
    </w:rPr>
  </w:style>
  <w:style w:type="paragraph" w:styleId="1148">
    <w:name w:val="正文_16_0_1"/>
    <w:next w:val="1148"/>
    <w:link w:val="768"/>
    <w:qFormat/>
    <w:pPr>
      <w:jc w:val="both"/>
      <w:widowControl w:val="off"/>
    </w:pPr>
    <w:rPr>
      <w:sz w:val="21"/>
      <w:szCs w:val="22"/>
      <w:lang w:val="en-US" w:eastAsia="zh-CN" w:bidi="ar-SA"/>
    </w:rPr>
  </w:style>
  <w:style w:type="paragraph" w:styleId="1149">
    <w:name w:val="正文1_0_0"/>
    <w:basedOn w:val="786"/>
    <w:next w:val="1149"/>
    <w:link w:val="768"/>
    <w:qFormat/>
    <w:pPr>
      <w:ind w:left="357" w:firstLine="420"/>
      <w:spacing w:line="360" w:lineRule="auto"/>
    </w:pPr>
    <w:rPr>
      <w:rFonts w:eastAsia="Times New Roman" w:cs="Arial"/>
    </w:rPr>
  </w:style>
  <w:style w:type="paragraph" w:styleId="1150">
    <w:name w:val="普通正文"/>
    <w:basedOn w:val="768"/>
    <w:next w:val="1150"/>
    <w:link w:val="768"/>
    <w:qFormat/>
    <w:pPr>
      <w:ind w:firstLine="480"/>
      <w:jc w:val="left"/>
      <w:spacing w:before="120" w:after="120" w:line="360" w:lineRule="auto"/>
    </w:pPr>
    <w:rPr>
      <w:rFonts w:ascii="Arial" w:hAnsi="Arial"/>
      <w:sz w:val="24"/>
      <w:szCs w:val="24"/>
    </w:rPr>
  </w:style>
  <w:style w:type="paragraph" w:styleId="1151">
    <w:name w:val="正文空2字"/>
    <w:basedOn w:val="1152"/>
    <w:next w:val="1151"/>
    <w:link w:val="768"/>
    <w:uiPriority w:val="99"/>
    <w:qFormat/>
    <w:pPr>
      <w:ind w:firstLine="640"/>
      <w:spacing w:line="560" w:lineRule="exact"/>
      <w:widowControl w:val="off"/>
    </w:pPr>
    <w:rPr>
      <w:rFonts w:ascii="仿宋_GB2312" w:hAnsi="仿宋_GB2312" w:cs="仿宋_GB2312"/>
      <w:lang w:val="zh-TW"/>
    </w:rPr>
  </w:style>
  <w:style w:type="paragraph" w:styleId="1152">
    <w:name w:val="左对齐正文"/>
    <w:next w:val="1152"/>
    <w:link w:val="768"/>
    <w:uiPriority w:val="99"/>
    <w:qFormat/>
    <w:rPr>
      <w:rFonts w:ascii="Calibri" w:hAnsi="Calibri" w:eastAsia="仿宋_GB2312" w:cs="Calibri"/>
      <w:sz w:val="32"/>
      <w:szCs w:val="32"/>
      <w:lang w:val="en-US" w:eastAsia="zh-CN" w:bidi="ar-SA"/>
    </w:rPr>
  </w:style>
  <w:style w:type="paragraph" w:styleId="1153">
    <w:name w:val="普通(网站)1"/>
    <w:basedOn w:val="768"/>
    <w:next w:val="1153"/>
    <w:link w:val="768"/>
    <w:qFormat/>
    <w:rPr>
      <w:sz w:val="24"/>
    </w:rPr>
  </w:style>
  <w:style w:type="character" w:styleId="1154">
    <w:name w:val="16"/>
    <w:next w:val="1154"/>
    <w:link w:val="768"/>
    <w:qFormat/>
    <w:rPr>
      <w:rFonts w:ascii="Times New Roman" w:hAnsi="Times New Roman"/>
      <w:sz w:val="21"/>
      <w:szCs w:val="21"/>
      <w:lang w:val="en-US" w:eastAsia="zh-CN" w:bidi="ar-SA"/>
    </w:rPr>
  </w:style>
  <w:style w:type="paragraph" w:styleId="1155">
    <w:name w:val="正文缩进_1"/>
    <w:basedOn w:val="1047"/>
    <w:next w:val="1047"/>
    <w:link w:val="768"/>
    <w:qFormat/>
    <w:pPr>
      <w:ind w:firstLine="420"/>
    </w:pPr>
    <w:rPr>
      <w:rFonts w:ascii="宋体"/>
      <w:color w:val="000000"/>
      <w:sz w:val="24"/>
      <w:szCs w:val="20"/>
    </w:rPr>
  </w:style>
  <w:style w:type="paragraph" w:styleId="1156">
    <w:name w:val="Table Paragraph"/>
    <w:basedOn w:val="864"/>
    <w:next w:val="1156"/>
    <w:link w:val="768"/>
    <w:uiPriority w:val="1"/>
    <w:qFormat/>
    <w:rPr>
      <w:rFonts w:ascii="宋体" w:hAnsi="宋体" w:cs="宋体"/>
      <w:sz w:val="22"/>
      <w:lang w:val="zh-CN" w:bidi="zh-CN"/>
    </w:rPr>
  </w:style>
  <w:style w:type="paragraph" w:styleId="1157">
    <w:name w:val="Normal_19_2"/>
    <w:basedOn w:val="1158"/>
    <w:next w:val="1157"/>
    <w:link w:val="768"/>
    <w:qFormat/>
    <w:rPr>
      <w:rFonts w:ascii="Times New Roman" w:hAnsi="Times New Roman"/>
      <w:szCs w:val="21"/>
    </w:rPr>
  </w:style>
  <w:style w:type="paragraph" w:styleId="1158">
    <w:name w:val="正文_3_0"/>
    <w:next w:val="1046"/>
    <w:link w:val="768"/>
    <w:qFormat/>
    <w:pPr>
      <w:jc w:val="both"/>
      <w:widowControl w:val="off"/>
    </w:pPr>
    <w:rPr>
      <w:rFonts w:ascii="Calibri" w:hAnsi="Calibri"/>
      <w:sz w:val="21"/>
      <w:szCs w:val="22"/>
      <w:lang w:val="en-US" w:eastAsia="zh-CN" w:bidi="ar-SA"/>
    </w:rPr>
  </w:style>
  <w:style w:type="paragraph" w:styleId="1159">
    <w:name w:val="正文文本2"/>
    <w:basedOn w:val="907"/>
    <w:next w:val="1159"/>
    <w:link w:val="768"/>
    <w:qFormat/>
    <w:pPr>
      <w:spacing w:line="60" w:lineRule="auto"/>
    </w:pPr>
    <w:rPr>
      <w:rFonts w:ascii="仿宋_GB2312" w:eastAsia="仿宋_GB2312"/>
      <w:sz w:val="32"/>
      <w:szCs w:val="22"/>
    </w:rPr>
  </w:style>
  <w:style w:type="paragraph" w:styleId="1160">
    <w:name w:val="正文1_0"/>
    <w:basedOn w:val="1137"/>
    <w:next w:val="1160"/>
    <w:link w:val="768"/>
    <w:qFormat/>
    <w:pPr>
      <w:ind w:left="357" w:firstLine="420"/>
      <w:jc w:val="left"/>
      <w:spacing w:line="360" w:lineRule="auto"/>
      <w:widowControl/>
    </w:pPr>
    <w:rPr>
      <w:rFonts w:cs="Arial"/>
      <w:szCs w:val="20"/>
    </w:rPr>
  </w:style>
  <w:style w:type="paragraph" w:styleId="1161">
    <w:name w:val="Normal_19_2_0"/>
    <w:basedOn w:val="1162"/>
    <w:next w:val="1161"/>
    <w:link w:val="768"/>
    <w:qFormat/>
    <w:rPr>
      <w:rFonts w:ascii="Times New Roman" w:hAnsi="Times New Roman"/>
      <w:szCs w:val="21"/>
    </w:rPr>
  </w:style>
  <w:style w:type="paragraph" w:styleId="1162">
    <w:name w:val="正文_3_1"/>
    <w:next w:val="1162"/>
    <w:link w:val="768"/>
    <w:qFormat/>
    <w:pPr>
      <w:jc w:val="both"/>
      <w:widowControl w:val="off"/>
    </w:pPr>
    <w:rPr>
      <w:rFonts w:ascii="Calibri" w:hAnsi="Calibri"/>
      <w:sz w:val="21"/>
      <w:szCs w:val="22"/>
      <w:lang w:val="en-US" w:eastAsia="zh-CN" w:bidi="ar-SA"/>
    </w:rPr>
  </w:style>
  <w:style w:type="paragraph" w:styleId="1163">
    <w:name w:val="正文缩进1"/>
    <w:basedOn w:val="768"/>
    <w:next w:val="768"/>
    <w:link w:val="768"/>
    <w:qFormat/>
    <w:pPr>
      <w:ind w:firstLine="420"/>
      <w:jc w:val="left"/>
    </w:pPr>
    <w:rPr>
      <w:rFonts w:ascii="宋体" w:hAnsi="Calibri" w:eastAsia="宋体" w:cs="Times New Roman"/>
      <w:sz w:val="24"/>
    </w:rPr>
  </w:style>
  <w:style w:type="paragraph" w:styleId="1164">
    <w:name w:val="纯文本1"/>
    <w:basedOn w:val="908"/>
    <w:next w:val="1164"/>
    <w:link w:val="768"/>
    <w:qFormat/>
    <w:rPr>
      <w:rFonts w:ascii="宋体" w:hAnsi="Courier New" w:eastAsia="宋体" w:cs="Times New Roman"/>
    </w:rPr>
  </w:style>
  <w:style w:type="paragraph" w:styleId="1165">
    <w:name w:val="Normal_21_0"/>
    <w:next w:val="1166"/>
    <w:link w:val="768"/>
    <w:qFormat/>
    <w:pPr>
      <w:jc w:val="both"/>
      <w:widowControl w:val="off"/>
    </w:pPr>
    <w:rPr>
      <w:sz w:val="21"/>
      <w:szCs w:val="24"/>
      <w:lang w:val="en-US" w:eastAsia="zh-CN" w:bidi="ar-SA"/>
    </w:rPr>
  </w:style>
  <w:style w:type="paragraph" w:styleId="1166">
    <w:name w:val="Heading 1_0"/>
    <w:basedOn w:val="1165"/>
    <w:next w:val="1165"/>
    <w:link w:val="768"/>
    <w:qFormat/>
    <w:pPr>
      <w:jc w:val="center"/>
      <w:keepLines/>
      <w:keepNext/>
      <w:spacing w:before="240" w:after="120" w:line="300" w:lineRule="auto"/>
      <w:outlineLvl w:val="0"/>
    </w:pPr>
    <w:rPr>
      <w:rFonts w:ascii="宋体"/>
      <w:b/>
      <w:sz w:val="32"/>
      <w:szCs w:val="20"/>
    </w:rPr>
  </w:style>
  <w:style w:type="paragraph" w:styleId="1167">
    <w:name w:val="正文_12_0_0_0_0"/>
    <w:next w:val="1167"/>
    <w:link w:val="768"/>
    <w:qFormat/>
    <w:pPr>
      <w:jc w:val="both"/>
      <w:widowControl w:val="off"/>
    </w:pPr>
    <w:rPr>
      <w:sz w:val="21"/>
      <w:szCs w:val="24"/>
      <w:lang w:val="en-US" w:eastAsia="zh-CN" w:bidi="ar-SA"/>
    </w:rPr>
  </w:style>
  <w:style w:type="character" w:styleId="1168">
    <w:name w:val="正文文本 字符"/>
    <w:next w:val="1168"/>
    <w:link w:val="768"/>
    <w:qFormat/>
    <w:rPr>
      <w:rFonts w:ascii="楷体_GB2312" w:hAnsi="Arial" w:eastAsia="楷体_GB2312" w:cs="Times New Roman"/>
      <w:sz w:val="28"/>
      <w:szCs w:val="28"/>
    </w:rPr>
  </w:style>
  <w:style w:type="character" w:styleId="1169">
    <w:name w:val="正文文本缩进 字符"/>
    <w:next w:val="1169"/>
    <w:link w:val="768"/>
    <w:qFormat/>
    <w:rPr>
      <w:rFonts w:ascii="楷体_GB2312" w:hAnsi="Times New Roman" w:eastAsia="楷体_GB2312" w:cs="Times New Roman"/>
      <w:sz w:val="32"/>
      <w:szCs w:val="32"/>
    </w:rPr>
  </w:style>
  <w:style w:type="character" w:styleId="1170">
    <w:name w:val="正文文本 字符1"/>
    <w:next w:val="1170"/>
    <w:link w:val="768"/>
    <w:qFormat/>
    <w:rPr>
      <w:rFonts w:ascii="Calibri" w:hAnsi="Calibri"/>
      <w:sz w:val="28"/>
      <w:szCs w:val="24"/>
    </w:rPr>
  </w:style>
  <w:style w:type="character" w:styleId="1171">
    <w:name w:val="正文文本首行缩进 字符"/>
    <w:next w:val="1171"/>
    <w:link w:val="768"/>
    <w:qFormat/>
    <w:rPr>
      <w:rFonts w:ascii="仿宋_GB2312" w:hAnsi="Calibri" w:eastAsia="仿宋_GB2312"/>
      <w:sz w:val="30"/>
      <w:szCs w:val="30"/>
    </w:rPr>
  </w:style>
  <w:style w:type="paragraph" w:styleId="1172">
    <w:name w:val="索引 41"/>
    <w:basedOn w:val="768"/>
    <w:next w:val="768"/>
    <w:link w:val="768"/>
    <w:semiHidden/>
    <w:qFormat/>
    <w:pPr>
      <w:ind w:left="1260"/>
    </w:pPr>
    <w:rPr>
      <w:rFonts w:eastAsia="Calibri" w:cs="宋体"/>
      <w:sz w:val="20"/>
      <w:szCs w:val="21"/>
      <w:lang w:val="zh-CN"/>
    </w:rPr>
  </w:style>
  <w:style w:type="character" w:styleId="1173">
    <w:name w:val="font5 Char"/>
    <w:next w:val="1173"/>
    <w:link w:val="768"/>
    <w:qFormat/>
    <w:rPr>
      <w:rFonts w:ascii="宋体" w:hAnsi="宋体" w:eastAsia="宋体"/>
      <w:sz w:val="28"/>
      <w:szCs w:val="28"/>
      <w:lang w:val="en-US" w:eastAsia="zh-CN" w:bidi="ar-SA"/>
    </w:rPr>
  </w:style>
  <w:style w:type="character" w:styleId="1174">
    <w:name w:val="二级目录 Char"/>
    <w:next w:val="1174"/>
    <w:link w:val="1175"/>
    <w:qFormat/>
    <w:rPr>
      <w:b/>
      <w:sz w:val="30"/>
      <w:szCs w:val="28"/>
      <w:lang w:val="en-US" w:eastAsia="zh-CN" w:bidi="ar-SA"/>
    </w:rPr>
  </w:style>
  <w:style w:type="paragraph" w:styleId="1175">
    <w:name w:val="二级目录"/>
    <w:next w:val="768"/>
    <w:link w:val="1174"/>
    <w:qFormat/>
    <w:pPr>
      <w:tabs>
        <w:tab w:val="left" w:pos="907" w:leader="none"/>
        <w:tab w:val="left" w:pos="1145" w:leader="none"/>
      </w:tabs>
      <w:outlineLvl w:val="1"/>
    </w:pPr>
    <w:rPr>
      <w:b/>
      <w:sz w:val="30"/>
      <w:szCs w:val="28"/>
      <w:lang w:val="en-US" w:eastAsia="zh-CN" w:bidi="ar-SA"/>
    </w:rPr>
  </w:style>
  <w:style w:type="character" w:styleId="1176">
    <w:name w:val="列出段落 Char,Bullet List Char,numbered Char,FooterText Char,List Paragraph1 Char,Paragraphe de liste1 Char"/>
    <w:next w:val="1176"/>
    <w:link w:val="1177"/>
    <w:qFormat/>
    <w:rPr>
      <w:rFonts w:ascii="Calibri" w:hAnsi="Calibri"/>
      <w:sz w:val="24"/>
      <w:szCs w:val="24"/>
      <w:lang w:eastAsia="en-US" w:bidi="en-US"/>
    </w:rPr>
  </w:style>
  <w:style w:type="paragraph" w:styleId="1177">
    <w:name w:val="列出段落1"/>
    <w:basedOn w:val="768"/>
    <w:next w:val="1177"/>
    <w:link w:val="1176"/>
    <w:qFormat/>
    <w:pPr>
      <w:contextualSpacing/>
      <w:ind w:left="720"/>
      <w:jc w:val="left"/>
      <w:widowControl/>
    </w:pPr>
    <w:rPr>
      <w:sz w:val="24"/>
      <w:szCs w:val="24"/>
      <w:lang w:eastAsia="en-US" w:bidi="en-US"/>
    </w:rPr>
  </w:style>
  <w:style w:type="paragraph" w:styleId="1178">
    <w:name w:val="Body Text(ch)"/>
    <w:basedOn w:val="768"/>
    <w:next w:val="1178"/>
    <w:link w:val="768"/>
    <w:qFormat/>
    <w:pPr>
      <w:spacing w:after="120"/>
    </w:pPr>
    <w:rPr>
      <w:rFonts w:ascii="宋体" w:hAnsi="Arial"/>
      <w:bCs/>
      <w:iCs/>
      <w:szCs w:val="24"/>
    </w:rPr>
  </w:style>
  <w:style w:type="paragraph" w:styleId="1179">
    <w:name w:val="xl27"/>
    <w:basedOn w:val="768"/>
    <w:next w:val="1179"/>
    <w:link w:val="7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0">
    <w:name w:val="xl26"/>
    <w:basedOn w:val="768"/>
    <w:next w:val="1180"/>
    <w:link w:val="7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1">
    <w:name w:val="Char"/>
    <w:basedOn w:val="768"/>
    <w:next w:val="1181"/>
    <w:link w:val="768"/>
    <w:qFormat/>
    <w:pPr>
      <w:ind w:firstLine="200"/>
      <w:tabs>
        <w:tab w:val="left" w:pos="360" w:leader="none"/>
      </w:tabs>
    </w:pPr>
    <w:rPr>
      <w:rFonts w:ascii="Times New Roman" w:hAnsi="Times New Roman"/>
      <w:sz w:val="28"/>
      <w:szCs w:val="30"/>
    </w:rPr>
  </w:style>
  <w:style w:type="paragraph" w:styleId="1182">
    <w:name w:val="Char1"/>
    <w:basedOn w:val="799"/>
    <w:next w:val="1182"/>
    <w:link w:val="768"/>
    <w:qFormat/>
    <w:rPr>
      <w:rFonts w:ascii="Tahoma" w:hAnsi="Tahoma"/>
      <w:sz w:val="24"/>
      <w:szCs w:val="24"/>
    </w:rPr>
  </w:style>
  <w:style w:type="paragraph" w:styleId="1183">
    <w:name w:val="table_lines"/>
    <w:basedOn w:val="768"/>
    <w:next w:val="1183"/>
    <w:link w:val="768"/>
    <w:qFormat/>
    <w:pPr>
      <w:jc w:val="left"/>
      <w:widowControl/>
    </w:pPr>
    <w:rPr>
      <w:rFonts w:ascii="Times New Roman" w:hAnsi="Times New Roman"/>
      <w:sz w:val="20"/>
      <w:szCs w:val="20"/>
      <w:lang w:val="de-DE" w:eastAsia="de-DE"/>
    </w:rPr>
  </w:style>
  <w:style w:type="paragraph" w:styleId="1184">
    <w:name w:val="附录1"/>
    <w:next w:val="1184"/>
    <w:link w:val="768"/>
    <w:qFormat/>
    <w:pPr>
      <w:spacing w:before="240" w:line="600" w:lineRule="atLeast"/>
      <w:tabs>
        <w:tab w:val="left" w:pos="907" w:leader="none"/>
      </w:tabs>
    </w:pPr>
    <w:rPr>
      <w:b/>
      <w:i/>
      <w:sz w:val="28"/>
      <w:lang w:val="en-US" w:eastAsia="zh-CN" w:bidi="ar-SA"/>
    </w:rPr>
  </w:style>
  <w:style w:type="paragraph" w:styleId="1185">
    <w:name w:val="font7"/>
    <w:basedOn w:val="768"/>
    <w:next w:val="1185"/>
    <w:link w:val="768"/>
    <w:qFormat/>
    <w:pPr>
      <w:jc w:val="left"/>
      <w:spacing w:before="100" w:beforeAutospacing="1" w:after="100" w:afterAutospacing="1"/>
      <w:widowControl/>
    </w:pPr>
    <w:rPr>
      <w:rFonts w:hint="eastAsia" w:ascii="宋体" w:hAnsi="宋体"/>
      <w:sz w:val="18"/>
      <w:szCs w:val="18"/>
    </w:rPr>
  </w:style>
  <w:style w:type="paragraph" w:styleId="1186">
    <w:name w:val="Char Char Char Char"/>
    <w:basedOn w:val="799"/>
    <w:next w:val="1186"/>
    <w:link w:val="768"/>
    <w:qFormat/>
    <w:pPr>
      <w:spacing w:line="360" w:lineRule="auto"/>
    </w:pPr>
    <w:rPr>
      <w:rFonts w:ascii="Tahoma" w:hAnsi="Tahoma"/>
      <w:sz w:val="24"/>
      <w:szCs w:val="24"/>
    </w:rPr>
  </w:style>
  <w:style w:type="paragraph" w:styleId="1187">
    <w:name w:val="4"/>
    <w:basedOn w:val="768"/>
    <w:next w:val="835"/>
    <w:link w:val="768"/>
    <w:qFormat/>
    <w:pPr>
      <w:ind w:firstLine="420"/>
      <w:spacing w:line="360" w:lineRule="auto"/>
    </w:pPr>
    <w:rPr>
      <w:rFonts w:ascii="Times New Roman" w:hAnsi="Times New Roman"/>
      <w:color w:val="ff0000"/>
      <w:sz w:val="24"/>
      <w:szCs w:val="24"/>
    </w:rPr>
  </w:style>
  <w:style w:type="paragraph" w:styleId="1188">
    <w:name w:val="普通 (Web)"/>
    <w:basedOn w:val="768"/>
    <w:next w:val="1188"/>
    <w:link w:val="768"/>
    <w:qFormat/>
    <w:pPr>
      <w:jc w:val="left"/>
      <w:spacing w:before="100" w:beforeAutospacing="1" w:after="100" w:afterAutospacing="1"/>
      <w:widowControl/>
    </w:pPr>
    <w:rPr>
      <w:rFonts w:ascii="宋体" w:hAnsi="宋体"/>
      <w:sz w:val="24"/>
      <w:szCs w:val="24"/>
    </w:rPr>
  </w:style>
  <w:style w:type="paragraph" w:styleId="1189">
    <w:name w:val="Char Char Char Char Char Char Char Char Char Char"/>
    <w:basedOn w:val="768"/>
    <w:next w:val="1189"/>
    <w:link w:val="768"/>
    <w:qFormat/>
    <w:pPr>
      <w:spacing w:line="360" w:lineRule="auto"/>
    </w:pPr>
    <w:rPr>
      <w:rFonts w:ascii="Times New Roman" w:hAnsi="Times New Roman"/>
      <w:sz w:val="24"/>
      <w:szCs w:val="20"/>
    </w:rPr>
  </w:style>
  <w:style w:type="paragraph" w:styleId="1190">
    <w:name w:val="样式1"/>
    <w:basedOn w:val="768"/>
    <w:next w:val="1190"/>
    <w:link w:val="768"/>
    <w:qFormat/>
    <w:pPr>
      <w:tabs>
        <w:tab w:val="left" w:pos="709" w:leader="none"/>
      </w:tabs>
    </w:pPr>
    <w:rPr>
      <w:rFonts w:ascii="宋体" w:hAnsi="宋体"/>
      <w:szCs w:val="21"/>
    </w:rPr>
  </w:style>
  <w:style w:type="paragraph" w:styleId="1191">
    <w:name w:val="font6"/>
    <w:basedOn w:val="768"/>
    <w:next w:val="1191"/>
    <w:link w:val="768"/>
    <w:qFormat/>
    <w:pPr>
      <w:jc w:val="left"/>
      <w:spacing w:before="100" w:beforeAutospacing="1" w:after="100" w:afterAutospacing="1"/>
      <w:widowControl/>
    </w:pPr>
    <w:rPr>
      <w:rFonts w:hint="eastAsia" w:ascii="宋体" w:hAnsi="宋体"/>
      <w:sz w:val="28"/>
      <w:szCs w:val="28"/>
      <w:u w:val="single"/>
    </w:rPr>
  </w:style>
  <w:style w:type="paragraph" w:styleId="1192">
    <w:name w:val="xl25"/>
    <w:basedOn w:val="768"/>
    <w:next w:val="1192"/>
    <w:link w:val="76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3">
    <w:name w:val="图标"/>
    <w:basedOn w:val="768"/>
    <w:next w:val="768"/>
    <w:link w:val="76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4">
    <w:name w:val="标题3"/>
    <w:basedOn w:val="768"/>
    <w:next w:val="768"/>
    <w:link w:val="768"/>
    <w:qFormat/>
    <w:pPr>
      <w:ind w:firstLine="624"/>
      <w:spacing w:line="590" w:lineRule="atLeast"/>
    </w:pPr>
    <w:rPr>
      <w:rFonts w:ascii="方正黑体_GBK" w:hAnsi="Times New Roman" w:eastAsia="方正黑体_GBK"/>
      <w:sz w:val="32"/>
      <w:szCs w:val="32"/>
    </w:rPr>
  </w:style>
  <w:style w:type="paragraph" w:styleId="1195">
    <w:name w:val="xl24"/>
    <w:basedOn w:val="768"/>
    <w:next w:val="1195"/>
    <w:link w:val="7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6">
    <w:name w:val="xl29"/>
    <w:basedOn w:val="768"/>
    <w:next w:val="1196"/>
    <w:link w:val="76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7">
    <w:name w:val="Char Char Char Char Char Char Char Char"/>
    <w:basedOn w:val="768"/>
    <w:next w:val="1197"/>
    <w:link w:val="768"/>
    <w:qFormat/>
    <w:pPr>
      <w:jc w:val="left"/>
      <w:spacing w:after="160" w:line="240" w:lineRule="exact"/>
      <w:widowControl/>
    </w:pPr>
    <w:rPr>
      <w:rFonts w:ascii="Verdana" w:hAnsi="Verdana"/>
      <w:sz w:val="20"/>
      <w:szCs w:val="20"/>
      <w:lang w:eastAsia="en-US"/>
    </w:rPr>
  </w:style>
  <w:style w:type="paragraph" w:styleId="1198">
    <w:name w:val="xl28"/>
    <w:basedOn w:val="768"/>
    <w:next w:val="1198"/>
    <w:link w:val="76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9">
    <w:name w:val="Char Char Char Char Char Char Char Char1"/>
    <w:basedOn w:val="768"/>
    <w:next w:val="1199"/>
    <w:link w:val="768"/>
    <w:qFormat/>
    <w:pPr>
      <w:jc w:val="left"/>
      <w:spacing w:after="160" w:line="240" w:lineRule="exact"/>
      <w:widowControl/>
    </w:pPr>
    <w:rPr>
      <w:rFonts w:ascii="Verdana" w:hAnsi="Verdana"/>
      <w:sz w:val="20"/>
      <w:szCs w:val="20"/>
      <w:lang w:eastAsia="en-US"/>
    </w:rPr>
  </w:style>
  <w:style w:type="paragraph" w:styleId="1200">
    <w:name w:val="xl30"/>
    <w:basedOn w:val="768"/>
    <w:next w:val="1200"/>
    <w:link w:val="768"/>
    <w:qFormat/>
    <w:pPr>
      <w:jc w:val="center"/>
      <w:spacing w:before="100" w:beforeAutospacing="1" w:after="100" w:afterAutospacing="1"/>
      <w:widowControl/>
    </w:pPr>
    <w:rPr>
      <w:rFonts w:ascii="宋体" w:hAnsi="宋体"/>
      <w:b/>
      <w:bCs/>
      <w:sz w:val="36"/>
      <w:szCs w:val="36"/>
    </w:rPr>
  </w:style>
  <w:style w:type="paragraph" w:styleId="1201">
    <w:name w:val="Char Char Char Char1"/>
    <w:basedOn w:val="799"/>
    <w:next w:val="1201"/>
    <w:link w:val="768"/>
    <w:qFormat/>
    <w:pPr>
      <w:spacing w:line="360" w:lineRule="auto"/>
    </w:pPr>
    <w:rPr>
      <w:rFonts w:ascii="Tahoma" w:hAnsi="Tahoma"/>
      <w:sz w:val="24"/>
      <w:szCs w:val="24"/>
    </w:rPr>
  </w:style>
  <w:style w:type="paragraph" w:styleId="1202">
    <w:name w:val="table_1stline"/>
    <w:basedOn w:val="768"/>
    <w:next w:val="1202"/>
    <w:link w:val="768"/>
    <w:qFormat/>
    <w:pPr>
      <w:jc w:val="left"/>
      <w:spacing w:before="120"/>
      <w:widowControl/>
    </w:pPr>
    <w:rPr>
      <w:rFonts w:ascii="Times New Roman" w:hAnsi="Times New Roman"/>
      <w:bCs/>
      <w:sz w:val="20"/>
      <w:szCs w:val="20"/>
      <w:lang w:val="de-DE" w:eastAsia="de-DE"/>
    </w:rPr>
  </w:style>
  <w:style w:type="paragraph" w:styleId="1203">
    <w:name w:val="font5"/>
    <w:basedOn w:val="768"/>
    <w:next w:val="1203"/>
    <w:link w:val="768"/>
    <w:qFormat/>
    <w:pPr>
      <w:jc w:val="left"/>
      <w:spacing w:before="100" w:beforeAutospacing="1" w:after="100" w:afterAutospacing="1"/>
      <w:widowControl/>
    </w:pPr>
    <w:rPr>
      <w:rFonts w:hint="eastAsia" w:ascii="宋体" w:hAnsi="宋体"/>
      <w:sz w:val="28"/>
      <w:szCs w:val="28"/>
    </w:rPr>
  </w:style>
  <w:style w:type="paragraph" w:styleId="1204">
    <w:name w:val="标题1"/>
    <w:basedOn w:val="768"/>
    <w:next w:val="768"/>
    <w:link w:val="76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5">
    <w:name w:val="修订1"/>
    <w:next w:val="1205"/>
    <w:link w:val="768"/>
    <w:uiPriority w:val="99"/>
    <w:semiHidden/>
    <w:qFormat/>
    <w:rPr>
      <w:sz w:val="21"/>
      <w:szCs w:val="21"/>
      <w:lang w:val="en-US" w:eastAsia="zh-CN" w:bidi="ar-SA"/>
    </w:rPr>
  </w:style>
  <w:style w:type="table" w:styleId="1206">
    <w:name w:val="Table Normal"/>
    <w:next w:val="1206"/>
    <w:link w:val="768"/>
    <w:qFormat/>
    <w:rPr>
      <w:lang w:val="en-US" w:eastAsia="zh-CN" w:bidi="ar-SA"/>
    </w:rPr>
    <w:tblPr/>
  </w:style>
  <w:style w:type="paragraph" w:styleId="1207">
    <w:name w:val="正文文本12"/>
    <w:basedOn w:val="768"/>
    <w:next w:val="1207"/>
    <w:link w:val="768"/>
    <w:uiPriority w:val="1"/>
    <w:qFormat/>
    <w:pPr>
      <w:ind w:left="120"/>
    </w:pPr>
    <w:rPr>
      <w:rFonts w:ascii="宋体" w:hAnsi="宋体" w:cs="宋体"/>
      <w:szCs w:val="21"/>
      <w:lang w:val="zh-CN" w:bidi="zh-CN"/>
    </w:rPr>
  </w:style>
  <w:style w:type="paragraph" w:styleId="1208">
    <w:name w:val="首行缩进"/>
    <w:basedOn w:val="768"/>
    <w:next w:val="1208"/>
    <w:link w:val="768"/>
    <w:qFormat/>
    <w:pPr>
      <w:ind w:firstLine="480"/>
    </w:pPr>
    <w:rPr>
      <w:rFonts w:ascii="Times New Roman" w:hAnsi="Times New Roman"/>
      <w:szCs w:val="21"/>
      <w:lang w:val="zh-CN"/>
    </w:rPr>
  </w:style>
  <w:style w:type="paragraph" w:styleId="1209">
    <w:name w:val="部分1"/>
    <w:basedOn w:val="768"/>
    <w:next w:val="1209"/>
    <w:link w:val="76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10">
    <w:name w:val="15"/>
    <w:next w:val="1210"/>
    <w:link w:val="768"/>
    <w:qFormat/>
    <w:rPr>
      <w:rFonts w:ascii="Times New Roman" w:hAnsi="Times New Roman" w:cs="Times New Roman"/>
    </w:rPr>
  </w:style>
  <w:style w:type="paragraph" w:styleId="1211">
    <w:name w:val="正文文本缩进 2_0"/>
    <w:basedOn w:val="1047"/>
    <w:next w:val="1211"/>
    <w:link w:val="768"/>
    <w:qFormat/>
    <w:pPr>
      <w:ind w:firstLine="720"/>
      <w:jc w:val="left"/>
      <w:spacing w:line="540" w:lineRule="exact"/>
    </w:pPr>
    <w:rPr>
      <w:rFonts w:ascii="仿宋_GB2312" w:hAnsi="仿宋_GB2312" w:cs="宋体"/>
      <w:sz w:val="32"/>
      <w:szCs w:val="32"/>
    </w:rPr>
  </w:style>
  <w:style w:type="character" w:styleId="1212">
    <w:name w:val="10"/>
    <w:next w:val="1212"/>
    <w:link w:val="768"/>
    <w:qFormat/>
    <w:rPr>
      <w:rFonts w:ascii="Times New Roman" w:hAnsi="Times New Roman" w:cs="Times New Roman"/>
    </w:rPr>
  </w:style>
  <w:style w:type="paragraph" w:styleId="1213">
    <w:name w:val="正文_16_1"/>
    <w:basedOn w:val="768"/>
    <w:next w:val="1213"/>
    <w:link w:val="768"/>
    <w:qFormat/>
    <w:rPr>
      <w:rFonts w:ascii="Times New Roman" w:hAnsi="Times New Roman"/>
      <w:szCs w:val="21"/>
    </w:rPr>
  </w:style>
  <w:style w:type="paragraph" w:styleId="1214">
    <w:name w:val="页脚1"/>
    <w:basedOn w:val="768"/>
    <w:next w:val="1214"/>
    <w:link w:val="768"/>
    <w:qFormat/>
    <w:pPr>
      <w:jc w:val="left"/>
      <w:tabs>
        <w:tab w:val="center" w:pos="4153" w:leader="none"/>
        <w:tab w:val="right" w:pos="8306" w:leader="none"/>
      </w:tabs>
    </w:pPr>
    <w:rPr>
      <w:sz w:val="18"/>
      <w:szCs w:val="18"/>
    </w:rPr>
  </w:style>
  <w:style w:type="character" w:styleId="1215">
    <w:name w:val="页码1"/>
    <w:next w:val="1215"/>
    <w:link w:val="768"/>
    <w:qFormat/>
  </w:style>
  <w:style w:type="paragraph" w:styleId="1216">
    <w:name w:val="*正文"/>
    <w:basedOn w:val="782"/>
    <w:next w:val="1216"/>
    <w:link w:val="768"/>
    <w:qFormat/>
    <w:pPr>
      <w:ind w:firstLine="200"/>
    </w:pPr>
    <w:rPr>
      <w:rFonts w:ascii="宋体" w:hAnsi="宋体"/>
      <w:color w:val="000000"/>
      <w:sz w:val="24"/>
      <w:szCs w:val="24"/>
    </w:rPr>
  </w:style>
  <w:style w:type="paragraph" w:styleId="1217">
    <w:name w:val="*正文_0"/>
    <w:basedOn w:val="1218"/>
    <w:next w:val="1217"/>
    <w:link w:val="768"/>
    <w:qFormat/>
    <w:pPr>
      <w:ind w:firstLine="200"/>
      <w:spacing w:line="360" w:lineRule="auto"/>
    </w:pPr>
    <w:rPr>
      <w:rFonts w:ascii="宋体" w:hAnsi="宋体" w:eastAsia="Arial" w:cs="Arial"/>
      <w:color w:val="000000"/>
      <w:sz w:val="24"/>
    </w:rPr>
  </w:style>
  <w:style w:type="paragraph" w:styleId="1218">
    <w:name w:val="正文缩进_2"/>
    <w:basedOn w:val="1071"/>
    <w:next w:val="1218"/>
    <w:link w:val="768"/>
    <w:unhideWhenUsed/>
    <w:qFormat/>
    <w:pPr>
      <w:ind w:firstLine="420"/>
      <w:jc w:val="left"/>
      <w:widowControl/>
    </w:pPr>
    <w:rPr>
      <w:rFonts w:ascii="Times New Roman" w:hAnsi="Times New Roman"/>
      <w:sz w:val="20"/>
      <w:szCs w:val="24"/>
    </w:rPr>
  </w:style>
  <w:style w:type="paragraph" w:styleId="1219">
    <w:name w:val="*正文_0_0"/>
    <w:basedOn w:val="1071"/>
    <w:next w:val="1219"/>
    <w:link w:val="768"/>
    <w:qFormat/>
    <w:pPr>
      <w:ind w:firstLine="200"/>
      <w:jc w:val="left"/>
      <w:spacing w:line="360" w:lineRule="auto"/>
      <w:widowControl/>
    </w:pPr>
    <w:rPr>
      <w:rFonts w:ascii="宋体" w:hAnsi="宋体" w:eastAsia="Arial" w:cs="Arial"/>
      <w:color w:val="000000"/>
      <w:sz w:val="24"/>
      <w:szCs w:val="24"/>
    </w:rPr>
  </w:style>
  <w:style w:type="paragraph" w:styleId="1220">
    <w:name w:val="无间隔1_0_0"/>
    <w:basedOn w:val="1071"/>
    <w:next w:val="1220"/>
    <w:link w:val="768"/>
    <w:qFormat/>
    <w:rPr>
      <w:rFonts w:ascii="Times New Roman" w:hAnsi="Times New Roman"/>
      <w:szCs w:val="21"/>
    </w:rPr>
  </w:style>
  <w:style w:type="paragraph" w:styleId="1221">
    <w:name w:val="正文_0_2"/>
    <w:next w:val="1221"/>
    <w:link w:val="768"/>
    <w:qFormat/>
    <w:pPr>
      <w:jc w:val="both"/>
      <w:widowControl w:val="off"/>
    </w:pPr>
    <w:rPr>
      <w:szCs w:val="24"/>
      <w:lang w:val="en-US" w:eastAsia="zh-CN" w:bidi="ar-SA"/>
    </w:rPr>
  </w:style>
  <w:style w:type="paragraph" w:styleId="1222">
    <w:name w:val="标题 4_0"/>
    <w:basedOn w:val="1223"/>
    <w:next w:val="1223"/>
    <w:link w:val="768"/>
    <w:uiPriority w:val="9"/>
    <w:unhideWhenUsed/>
    <w:qFormat/>
    <w:pPr>
      <w:keepLines/>
      <w:keepNext/>
      <w:spacing w:before="280" w:after="290" w:line="372" w:lineRule="auto"/>
      <w:outlineLvl w:val="3"/>
    </w:pPr>
    <w:rPr>
      <w:rFonts w:ascii="Arial" w:hAnsi="Arial" w:eastAsia="黑体"/>
      <w:b/>
      <w:sz w:val="28"/>
    </w:rPr>
  </w:style>
  <w:style w:type="paragraph" w:styleId="1223">
    <w:name w:val="正文4"/>
    <w:next w:val="1223"/>
    <w:link w:val="768"/>
    <w:qFormat/>
    <w:pPr>
      <w:jc w:val="both"/>
      <w:widowControl w:val="off"/>
    </w:pPr>
    <w:rPr>
      <w:rFonts w:ascii="Calibri" w:hAnsi="Calibri"/>
      <w:lang w:val="en-US" w:eastAsia="zh-CN" w:bidi="ar-SA"/>
    </w:rPr>
  </w:style>
  <w:style w:type="paragraph" w:styleId="1224">
    <w:name w:val="正文_3_0_0"/>
    <w:next w:val="1224"/>
    <w:link w:val="768"/>
    <w:qFormat/>
    <w:pPr>
      <w:jc w:val="both"/>
      <w:widowControl w:val="off"/>
    </w:pPr>
    <w:rPr>
      <w:lang w:val="en-US" w:eastAsia="zh-CN" w:bidi="ar-SA"/>
    </w:rPr>
  </w:style>
  <w:style w:type="paragraph" w:styleId="1225">
    <w:name w:val="p17_0_0"/>
    <w:basedOn w:val="1114"/>
    <w:next w:val="1225"/>
    <w:link w:val="768"/>
    <w:qFormat/>
    <w:pPr>
      <w:jc w:val="left"/>
      <w:spacing w:before="100" w:beforeAutospacing="1" w:after="100" w:afterAutospacing="1"/>
      <w:widowControl/>
    </w:pPr>
    <w:rPr>
      <w:rFonts w:ascii="宋体" w:hAnsi="宋体" w:eastAsia="Times New Roman" w:cs="宋体"/>
      <w:sz w:val="24"/>
      <w:szCs w:val="24"/>
    </w:rPr>
  </w:style>
  <w:style w:type="paragraph" w:styleId="1226">
    <w:name w:val="p17_0"/>
    <w:basedOn w:val="786"/>
    <w:next w:val="1226"/>
    <w:link w:val="768"/>
    <w:qFormat/>
    <w:pPr>
      <w:jc w:val="left"/>
      <w:spacing w:before="100" w:beforeAutospacing="1" w:after="100" w:afterAutospacing="1"/>
      <w:widowControl/>
    </w:pPr>
    <w:rPr>
      <w:rFonts w:ascii="宋体" w:hAnsi="宋体" w:eastAsia="Times New Roman" w:cs="宋体"/>
      <w:sz w:val="24"/>
      <w:szCs w:val="24"/>
    </w:rPr>
  </w:style>
  <w:style w:type="paragraph" w:styleId="1227">
    <w:name w:val="普通(网站)11"/>
    <w:basedOn w:val="768"/>
    <w:next w:val="1227"/>
    <w:link w:val="768"/>
    <w:uiPriority w:val="99"/>
    <w:qFormat/>
    <w:rPr>
      <w:sz w:val="24"/>
    </w:rPr>
  </w:style>
  <w:style w:type="paragraph" w:styleId="1228">
    <w:name w:val="AONormal"/>
    <w:next w:val="1228"/>
    <w:link w:val="768"/>
    <w:qFormat/>
    <w:pPr>
      <w:ind w:firstLine="440"/>
      <w:spacing w:line="400" w:lineRule="exact"/>
    </w:pPr>
    <w:rPr>
      <w:rFonts w:ascii="华文楷体" w:hAnsi="华文楷体" w:eastAsia="华文楷体" w:cs="华文楷体"/>
      <w:sz w:val="22"/>
      <w:szCs w:val="21"/>
      <w:lang w:val="en-US" w:eastAsia="zh-CN" w:bidi="ar-SA"/>
    </w:rPr>
  </w:style>
  <w:style w:type="paragraph" w:styleId="1229">
    <w:name w:val="标题 5_0"/>
    <w:basedOn w:val="1071"/>
    <w:next w:val="1071"/>
    <w:link w:val="768"/>
    <w:qFormat/>
    <w:pPr>
      <w:ind w:left="522"/>
      <w:jc w:val="left"/>
      <w:spacing w:before="100" w:beforeAutospacing="1" w:after="100" w:afterAutospacing="1"/>
      <w:outlineLvl w:val="4"/>
    </w:pPr>
    <w:rPr>
      <w:rFonts w:ascii="仿宋" w:hAnsi="仿宋" w:eastAsia="仿宋" w:cs="宋体"/>
      <w:b/>
      <w:bCs/>
      <w:sz w:val="28"/>
      <w:szCs w:val="28"/>
    </w:rPr>
  </w:style>
  <w:style w:type="paragraph" w:styleId="1230">
    <w:name w:val="正文_0"/>
    <w:next w:val="1230"/>
    <w:link w:val="768"/>
    <w:qFormat/>
    <w:pPr>
      <w:jc w:val="both"/>
      <w:widowControl w:val="off"/>
    </w:pPr>
    <w:rPr>
      <w:sz w:val="21"/>
      <w:szCs w:val="24"/>
      <w:lang w:val="en-US" w:eastAsia="zh-CN" w:bidi="ar-SA"/>
    </w:rPr>
  </w:style>
  <w:style w:type="paragraph" w:styleId="1231">
    <w:name w:val="Heading 2"/>
    <w:basedOn w:val="768"/>
    <w:next w:val="768"/>
    <w:link w:val="1232"/>
    <w:uiPriority w:val="9"/>
    <w:unhideWhenUsed/>
    <w:qFormat/>
    <w:pPr>
      <w:keepLines/>
      <w:keepNext/>
      <w:spacing w:before="360" w:after="200"/>
      <w:outlineLvl w:val="1"/>
    </w:pPr>
    <w:rPr>
      <w:rFonts w:ascii="Arial" w:hAnsi="Arial" w:eastAsia="Arial"/>
      <w:sz w:val="34"/>
      <w:szCs w:val="21"/>
    </w:rPr>
  </w:style>
  <w:style w:type="character" w:styleId="1232">
    <w:name w:val="标题 2 字符1"/>
    <w:next w:val="1232"/>
    <w:link w:val="1231"/>
    <w:uiPriority w:val="9"/>
    <w:qFormat/>
    <w:rPr>
      <w:rFonts w:ascii="Arial" w:hAnsi="Arial" w:eastAsia="Arial"/>
      <w:sz w:val="34"/>
      <w:szCs w:val="21"/>
    </w:rPr>
  </w:style>
  <w:style w:type="paragraph" w:styleId="1233">
    <w:name w:val="Footer1"/>
    <w:basedOn w:val="768"/>
    <w:next w:val="1233"/>
    <w:link w:val="1234"/>
    <w:uiPriority w:val="99"/>
    <w:unhideWhenUsed/>
    <w:qFormat/>
    <w:pPr>
      <w:tabs>
        <w:tab w:val="center" w:pos="7143" w:leader="none"/>
        <w:tab w:val="right" w:pos="14287" w:leader="none"/>
      </w:tabs>
    </w:pPr>
    <w:rPr>
      <w:rFonts w:ascii="Times New Roman" w:hAnsi="Times New Roman"/>
      <w:szCs w:val="21"/>
    </w:rPr>
  </w:style>
  <w:style w:type="character" w:styleId="1234">
    <w:name w:val="页脚 字符1"/>
    <w:next w:val="1234"/>
    <w:link w:val="1233"/>
    <w:uiPriority w:val="99"/>
    <w:qFormat/>
    <w:rPr>
      <w:sz w:val="21"/>
      <w:szCs w:val="21"/>
    </w:rPr>
  </w:style>
  <w:style w:type="paragraph" w:styleId="1235">
    <w:name w:val="Header1"/>
    <w:basedOn w:val="768"/>
    <w:next w:val="1235"/>
    <w:link w:val="1236"/>
    <w:uiPriority w:val="99"/>
    <w:unhideWhenUsed/>
    <w:qFormat/>
    <w:pPr>
      <w:tabs>
        <w:tab w:val="center" w:pos="7143" w:leader="none"/>
        <w:tab w:val="right" w:pos="14287" w:leader="none"/>
      </w:tabs>
    </w:pPr>
    <w:rPr>
      <w:rFonts w:ascii="Times New Roman" w:hAnsi="Times New Roman"/>
      <w:szCs w:val="21"/>
    </w:rPr>
  </w:style>
  <w:style w:type="character" w:styleId="1236">
    <w:name w:val="页眉 字符1"/>
    <w:next w:val="1236"/>
    <w:link w:val="1235"/>
    <w:uiPriority w:val="99"/>
    <w:qFormat/>
    <w:rPr>
      <w:sz w:val="21"/>
      <w:szCs w:val="21"/>
    </w:rPr>
  </w:style>
  <w:style w:type="paragraph" w:styleId="1237">
    <w:name w:val="正文文本11"/>
    <w:basedOn w:val="768"/>
    <w:next w:val="768"/>
    <w:link w:val="768"/>
    <w:qFormat/>
    <w:rPr>
      <w:rFonts w:ascii="楷体_GB2312" w:hAnsi="Arial" w:eastAsia="楷体_GB2312"/>
      <w:sz w:val="28"/>
      <w:szCs w:val="28"/>
    </w:rPr>
  </w:style>
  <w:style w:type="paragraph" w:styleId="1238">
    <w:name w:val="正文文本 2_0"/>
    <w:basedOn w:val="908"/>
    <w:next w:val="1238"/>
    <w:link w:val="768"/>
    <w:qFormat/>
    <w:rPr>
      <w:rFonts w:ascii="仿宋_GB2312" w:eastAsia="仿宋_GB2312"/>
      <w:sz w:val="28"/>
    </w:rPr>
  </w:style>
  <w:style w:type="table" w:styleId="1239">
    <w:name w:val="网格型1"/>
    <w:basedOn w:val="1240"/>
    <w:next w:val="1239"/>
    <w:link w:val="768"/>
    <w:qFormat/>
    <w:pPr>
      <w:jc w:val="both"/>
      <w:widowControl w:val="off"/>
    </w:pPr>
    <w:tblPr/>
  </w:style>
  <w:style w:type="table" w:styleId="1240">
    <w:name w:val="普通表格1"/>
    <w:next w:val="1240"/>
    <w:link w:val="768"/>
    <w:uiPriority w:val="99"/>
    <w:unhideWhenUsed/>
    <w:qFormat/>
    <w:tblPr/>
  </w:style>
  <w:style w:type="paragraph" w:styleId="1241">
    <w:name w:val="标题 211"/>
    <w:basedOn w:val="768"/>
    <w:next w:val="1242"/>
    <w:link w:val="768"/>
    <w:qFormat/>
    <w:pPr>
      <w:keepLines/>
      <w:keepNext/>
      <w:spacing w:before="260" w:after="260" w:line="413" w:lineRule="auto"/>
      <w:outlineLvl w:val="1"/>
    </w:pPr>
    <w:rPr>
      <w:rFonts w:ascii="Arial" w:hAnsi="Arial" w:eastAsia="黑体"/>
      <w:b/>
      <w:sz w:val="32"/>
      <w:szCs w:val="20"/>
    </w:rPr>
  </w:style>
  <w:style w:type="paragraph" w:styleId="1242">
    <w:name w:val="正文缩进11"/>
    <w:basedOn w:val="768"/>
    <w:next w:val="768"/>
    <w:link w:val="768"/>
    <w:qFormat/>
    <w:pPr>
      <w:ind w:firstLine="420"/>
    </w:pPr>
    <w:rPr>
      <w:rFonts w:ascii="宋体"/>
      <w:color w:val="000000"/>
      <w:sz w:val="24"/>
      <w:szCs w:val="20"/>
    </w:rPr>
  </w:style>
  <w:style w:type="character" w:styleId="1243">
    <w:name w:val="强调1"/>
    <w:next w:val="1243"/>
    <w:link w:val="768"/>
    <w:qFormat/>
    <w:rPr>
      <w:rFonts w:ascii="Calibri" w:hAnsi="Calibri" w:eastAsia="宋体" w:cs="Times New Roman"/>
      <w:sz w:val="21"/>
      <w:szCs w:val="22"/>
      <w:lang w:val="en-US" w:eastAsia="zh-CN" w:bidi="ar-SA"/>
    </w:rPr>
  </w:style>
  <w:style w:type="paragraph" w:styleId="1244">
    <w:name w:val="正文_25"/>
    <w:next w:val="1244"/>
    <w:link w:val="768"/>
    <w:qFormat/>
    <w:pPr>
      <w:jc w:val="both"/>
      <w:widowControl w:val="off"/>
    </w:pPr>
    <w:rPr>
      <w:rFonts w:ascii="Calibri" w:hAnsi="Calibri" w:eastAsia="宋体" w:cs="Times New Roman"/>
      <w:sz w:val="21"/>
      <w:szCs w:val="22"/>
      <w:lang w:val="en-US" w:eastAsia="zh-CN" w:bidi="ar-SA"/>
    </w:rPr>
  </w:style>
  <w:style w:type="character" w:styleId="30948" w:default="1">
    <w:name w:val="Default Paragraph Font"/>
    <w:uiPriority w:val="1"/>
    <w:semiHidden/>
    <w:unhideWhenUsed/>
  </w:style>
  <w:style w:type="numbering" w:styleId="30949" w:default="1">
    <w:name w:val="No List"/>
    <w:uiPriority w:val="99"/>
    <w:semiHidden/>
    <w:unhideWhenUsed/>
  </w:style>
  <w:style w:type="table" w:styleId="30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嘻嘻</dc:creator>
  <cp:lastModifiedBy>王利春</cp:lastModifiedBy>
  <cp:revision>2</cp:revision>
  <dcterms:created xsi:type="dcterms:W3CDTF">2025-06-10T07:15:00Z</dcterms:created>
  <dcterms:modified xsi:type="dcterms:W3CDTF">2026-10-22T09:48:13Z</dcterms:modified>
</cp:coreProperties>
</file>