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360" w:lineRule="auto"/>
        <w:rPr>
          <w:rFonts w:hint="eastAsia" w:ascii="宋体" w:hAnsi="宋体" w:eastAsia="宋体" w:cs="宋体"/>
          <w:b/>
          <w:bCs/>
          <w:color w:val="auto"/>
          <w:sz w:val="32"/>
          <w:szCs w:val="32"/>
        </w:rPr>
      </w:pPr>
      <w:r/>
      <w:bookmarkStart w:id="0" w:name="_Toc7713_WPSOffice_Type1"/>
      <w:r/>
      <w:bookmarkStart w:id="38" w:name="_GoBack"/>
      <w:r/>
      <w:bookmarkEnd w:id="38"/>
      <w:r>
        <w:rPr>
          <w:rFonts w:hint="eastAsia" w:ascii="宋体" w:hAnsi="宋体" w:cs="宋体"/>
          <w:b/>
          <w:bCs/>
          <w:color w:val="auto"/>
          <w:sz w:val="52"/>
          <w:szCs w:val="52"/>
          <w:lang w:val="en-US" w:eastAsia="zh-CN"/>
        </w:rPr>
        <mc:AlternateContent>
          <mc:Choice Requires="wpg">
            <w:drawing>
              <wp:inline xmlns:wp="http://schemas.openxmlformats.org/drawingml/2006/wordprocessingDrawing" distT="0" distB="0" distL="0" distR="0">
                <wp:extent cx="6182360" cy="8820785"/>
                <wp:effectExtent l="0" t="0" r="8890" b="18415"/>
                <wp:docPr id="1" name="图片 1" descr="CCF_00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CF_001309"/>
                        <pic:cNvPicPr>
                          <a:picLocks noChangeAspect="1"/>
                        </pic:cNvPicPr>
                        <pic:nvPr/>
                      </pic:nvPicPr>
                      <pic:blipFill>
                        <a:blip r:embed="rId12"/>
                        <a:stretch/>
                      </pic:blipFill>
                      <pic:spPr bwMode="auto">
                        <a:xfrm>
                          <a:off x="0" y="0"/>
                          <a:ext cx="6182360" cy="88207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86.8pt;height:694.5pt;mso-wrap-distance-left:0.0pt;mso-wrap-distance-top:0.0pt;mso-wrap-distance-right:0.0pt;mso-wrap-distance-bottom:0.0pt;" stroked="false">
                <v:path textboxrect="0,0,0,0"/>
                <v:imagedata r:id="rId12" o:title=""/>
              </v:shape>
            </w:pict>
          </mc:Fallback>
        </mc:AlternateContent>
      </w:r>
      <w:r>
        <w:rPr>
          <w:rFonts w:hint="eastAsia" w:ascii="宋体" w:hAnsi="宋体" w:cs="宋体"/>
          <w:b/>
          <w:bCs/>
          <w:color w:val="auto"/>
          <w:sz w:val="52"/>
          <w:szCs w:val="52"/>
          <w:lang w:val="en-US" w:eastAsia="zh-CN"/>
        </w:rPr>
        <w:t xml:space="preserve">              </w:t>
      </w:r>
      <w:r/>
    </w:p>
    <w:p>
      <w:pPr>
        <w:keepLines w:val="0"/>
        <w:keepNext w:val="0"/>
        <w:pageBreakBefore w:val="0"/>
        <w:spacing w:line="360" w:lineRule="auto"/>
        <w:rPr>
          <w:rFonts w:hint="eastAsia" w:ascii="宋体" w:hAnsi="宋体" w:eastAsia="宋体" w:cs="宋体"/>
          <w:color w:val="auto"/>
          <w:sz w:val="36"/>
          <w:szCs w:val="36"/>
        </w:rPr>
      </w:pPr>
      <w:r>
        <w:rPr>
          <w:rFonts w:hint="eastAsia" w:ascii="宋体" w:hAnsi="宋体" w:eastAsia="宋体" w:cs="宋体"/>
          <w:color w:val="auto"/>
          <w:sz w:val="36"/>
          <w:szCs w:val="36"/>
        </w:rPr>
      </w:r>
      <w:r/>
    </w:p>
    <w:p>
      <w:pPr>
        <w:ind w:left="0" w:right="0" w:firstLine="0"/>
        <w:jc w:val="center"/>
        <w:keepLines w:val="0"/>
        <w:keepNext w:val="0"/>
        <w:pageBreakBefore w:val="0"/>
        <w:spacing w:before="0" w:after="0" w:line="360" w:lineRule="auto"/>
        <w:rPr>
          <w:rFonts w:hint="eastAsia" w:ascii="宋体" w:hAnsi="宋体" w:eastAsia="宋体" w:cs="宋体"/>
          <w:color w:val="auto"/>
          <w:sz w:val="36"/>
          <w:szCs w:val="36"/>
        </w:rPr>
      </w:pPr>
      <w:r>
        <w:rPr>
          <w:rFonts w:hint="eastAsia" w:ascii="宋体" w:hAnsi="宋体" w:eastAsia="宋体" w:cs="宋体"/>
          <w:b/>
          <w:bCs/>
          <w:color w:val="auto"/>
          <w:sz w:val="36"/>
          <w:szCs w:val="36"/>
        </w:rPr>
        <w:t xml:space="preserve">目</w:t>
      </w:r>
      <w:r>
        <w:rPr>
          <w:rFonts w:hint="eastAsia" w:ascii="宋体" w:hAnsi="宋体" w:cs="宋体"/>
          <w:b/>
          <w:bCs/>
          <w:color w:val="auto"/>
          <w:sz w:val="36"/>
          <w:szCs w:val="36"/>
          <w:lang w:val="en-US" w:eastAsia="zh-CN"/>
        </w:rPr>
        <w:t xml:space="preserve"> </w:t>
      </w:r>
      <w:r>
        <w:rPr>
          <w:rFonts w:hint="eastAsia" w:ascii="宋体" w:hAnsi="宋体" w:eastAsia="宋体" w:cs="宋体"/>
          <w:b/>
          <w:bCs/>
          <w:color w:val="auto"/>
          <w:sz w:val="36"/>
          <w:szCs w:val="36"/>
        </w:rPr>
        <w:t xml:space="preserve">录</w:t>
      </w:r>
      <w:r/>
    </w:p>
    <w:p>
      <w:pPr>
        <w:pStyle w:val="970"/>
        <w:keepLines w:val="0"/>
        <w:keepNext w:val="0"/>
        <w:pageBreakBefore w:val="0"/>
        <w:spacing w:line="360" w:lineRule="auto"/>
        <w:tabs>
          <w:tab w:val="right" w:pos="9540" w:leader="dot"/>
        </w:tabs>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970"/>
        <w:keepLines w:val="0"/>
        <w:keepNext w:val="0"/>
        <w:pageBreakBefore w:val="0"/>
        <w:spacing w:line="360" w:lineRule="auto"/>
        <w:tabs>
          <w:tab w:val="right" w:pos="9540"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_Toc24195_WPSOffice_Level1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第一章 </w:t>
      </w:r>
      <w:r>
        <w:rPr>
          <w:rFonts w:hint="eastAsia" w:ascii="宋体" w:hAnsi="宋体" w:eastAsia="宋体" w:cs="宋体"/>
          <w:color w:val="auto"/>
          <w:sz w:val="28"/>
          <w:szCs w:val="28"/>
          <w:lang w:val="en-US" w:eastAsia="zh-CN"/>
        </w:rPr>
        <w:t xml:space="preserve"> </w:t>
      </w:r>
      <w:r>
        <w:rPr>
          <w:rFonts w:hint="eastAsia" w:ascii="宋体" w:hAnsi="宋体" w:cs="宋体"/>
          <w:color w:val="auto"/>
          <w:sz w:val="28"/>
          <w:szCs w:val="28"/>
          <w:lang w:val="en-US" w:eastAsia="zh-CN"/>
        </w:rPr>
        <w:t xml:space="preserve">投标</w:t>
      </w:r>
      <w:r>
        <w:rPr>
          <w:rFonts w:hint="eastAsia" w:ascii="宋体" w:hAnsi="宋体" w:eastAsia="宋体" w:cs="宋体"/>
          <w:color w:val="auto"/>
          <w:sz w:val="28"/>
          <w:szCs w:val="28"/>
        </w:rPr>
        <w:t xml:space="preserve">邀请</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end"/>
      </w:r>
      <w:r/>
    </w:p>
    <w:p>
      <w:pPr>
        <w:pStyle w:val="970"/>
        <w:keepLines w:val="0"/>
        <w:keepNext w:val="0"/>
        <w:pageBreakBefore w:val="0"/>
        <w:spacing w:line="360" w:lineRule="auto"/>
        <w:tabs>
          <w:tab w:val="right" w:pos="9540"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_Toc12470_WPSOffice_Level1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第二章  </w:t>
      </w:r>
      <w:r>
        <w:rPr>
          <w:rFonts w:hint="eastAsia" w:ascii="宋体" w:hAnsi="宋体" w:cs="宋体"/>
          <w:color w:val="auto"/>
          <w:sz w:val="28"/>
          <w:szCs w:val="28"/>
          <w:lang w:val="en-US" w:eastAsia="zh-CN"/>
        </w:rPr>
        <w:t xml:space="preserve">投标</w:t>
      </w:r>
      <w:r>
        <w:rPr>
          <w:rFonts w:hint="eastAsia" w:ascii="宋体" w:hAnsi="宋体" w:eastAsia="宋体" w:cs="宋体"/>
          <w:color w:val="auto"/>
          <w:sz w:val="28"/>
          <w:szCs w:val="28"/>
        </w:rPr>
        <w:t xml:space="preserve">须知</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end"/>
      </w:r>
      <w:r/>
    </w:p>
    <w:p>
      <w:pPr>
        <w:pStyle w:val="970"/>
        <w:keepLines w:val="0"/>
        <w:keepNext w:val="0"/>
        <w:pageBreakBefore w:val="0"/>
        <w:spacing w:line="360" w:lineRule="auto"/>
        <w:tabs>
          <w:tab w:val="right" w:pos="9540" w:leader="dot"/>
        </w:tabs>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_Toc8139_WPSOffice_Level1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第三章  </w:t>
      </w:r>
      <w:r>
        <w:rPr>
          <w:rFonts w:hint="eastAsia" w:ascii="宋体" w:hAnsi="宋体" w:cs="宋体"/>
          <w:color w:val="auto"/>
          <w:sz w:val="28"/>
          <w:szCs w:val="28"/>
          <w:lang w:val="en-US" w:eastAsia="zh-CN"/>
        </w:rPr>
        <w:t xml:space="preserve">评标</w:t>
      </w:r>
      <w:r>
        <w:rPr>
          <w:rFonts w:hint="eastAsia" w:ascii="宋体" w:hAnsi="宋体" w:eastAsia="宋体" w:cs="宋体"/>
          <w:color w:val="auto"/>
          <w:sz w:val="28"/>
          <w:szCs w:val="28"/>
        </w:rPr>
        <w:t xml:space="preserve">标准</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end"/>
      </w:r>
      <w:r/>
    </w:p>
    <w:p>
      <w:pPr>
        <w:pStyle w:val="970"/>
        <w:keepLines w:val="0"/>
        <w:keepNext w:val="0"/>
        <w:pageBreakBefore w:val="0"/>
        <w:spacing w:line="360" w:lineRule="auto"/>
        <w:tabs>
          <w:tab w:val="right" w:pos="9540" w:leader="dot"/>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_Toc11567_WPSOffice_Level1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第四章  合同格式及条款</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end"/>
      </w:r>
      <w:r/>
    </w:p>
    <w:p>
      <w:pPr>
        <w:pStyle w:val="970"/>
        <w:keepLines w:val="0"/>
        <w:keepNext w:val="0"/>
        <w:pageBreakBefore w:val="0"/>
        <w:spacing w:line="360" w:lineRule="auto"/>
        <w:tabs>
          <w:tab w:val="right" w:pos="9540" w:leader="dot"/>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_Toc4620_WPSOffice_Level1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第五章  项目采购需求</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end"/>
      </w:r>
      <w:r/>
    </w:p>
    <w:p>
      <w:pPr>
        <w:pStyle w:val="970"/>
        <w:keepLines w:val="0"/>
        <w:keepNext w:val="0"/>
        <w:pageBreakBefore w:val="0"/>
        <w:spacing w:line="360" w:lineRule="auto"/>
        <w:tabs>
          <w:tab w:val="right" w:pos="9540" w:leader="dot"/>
        </w:tabs>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_Toc4620_WPSOffice_Level1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w:t>
      </w:r>
      <w:r>
        <w:rPr>
          <w:rFonts w:hint="eastAsia" w:ascii="宋体" w:hAnsi="宋体" w:eastAsia="宋体" w:cs="宋体"/>
          <w:color w:val="auto"/>
          <w:sz w:val="28"/>
          <w:szCs w:val="28"/>
          <w:lang w:val="en-US" w:eastAsia="zh-CN"/>
        </w:rPr>
        <w:t xml:space="preserve">六</w:t>
      </w:r>
      <w:r>
        <w:rPr>
          <w:rFonts w:hint="eastAsia" w:ascii="宋体" w:hAnsi="宋体" w:eastAsia="宋体" w:cs="宋体"/>
          <w:color w:val="auto"/>
          <w:sz w:val="28"/>
          <w:szCs w:val="28"/>
        </w:rPr>
        <w:t xml:space="preserve">章  </w:t>
      </w:r>
      <w:r>
        <w:rPr>
          <w:rFonts w:hint="eastAsia" w:ascii="宋体" w:hAnsi="宋体" w:cs="宋体"/>
          <w:color w:val="auto"/>
          <w:sz w:val="28"/>
          <w:szCs w:val="28"/>
          <w:lang w:val="en-US" w:eastAsia="zh-CN"/>
        </w:rPr>
        <w:t xml:space="preserve">投标</w:t>
      </w:r>
      <w:r>
        <w:rPr>
          <w:rFonts w:hint="eastAsia" w:ascii="宋体" w:hAnsi="宋体" w:eastAsia="宋体" w:cs="宋体"/>
          <w:color w:val="auto"/>
          <w:sz w:val="28"/>
          <w:szCs w:val="28"/>
          <w:lang w:val="en-US" w:eastAsia="zh-CN"/>
        </w:rPr>
        <w:t xml:space="preserve">文件格式</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end"/>
      </w:r>
      <w:r/>
    </w:p>
    <w:p>
      <w:pPr>
        <w:pStyle w:val="970"/>
        <w:tabs>
          <w:tab w:val="right" w:pos="9540" w:leader="dot"/>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r>
      <w:bookmarkEnd w:id="0"/>
      <w:r/>
      <w:r/>
    </w:p>
    <w:p>
      <w:pPr>
        <w:ind w:firstLine="560"/>
        <w:spacing w:line="112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numPr>
          <w:ilvl w:val="0"/>
          <w:numId w:val="0"/>
        </w:numPr>
        <w:jc w:val="center"/>
        <w:keepLines w:val="0"/>
        <w:keepNext w:val="0"/>
        <w:pageBreakBefore w:val="0"/>
        <w:spacing w:line="360" w:lineRule="auto"/>
        <w:widowControl w:val="off"/>
        <w:rPr>
          <w:rFonts w:hint="eastAsia" w:ascii="宋体" w:hAnsi="宋体" w:eastAsia="宋体" w:cs="宋体"/>
          <w:b/>
          <w:color w:val="auto"/>
          <w:sz w:val="36"/>
          <w:szCs w:val="36"/>
          <w:lang w:eastAsia="zh-CN"/>
        </w:rPr>
      </w:pPr>
      <w:r>
        <w:rPr>
          <w:rFonts w:hint="eastAsia" w:ascii="宋体" w:hAnsi="宋体" w:eastAsia="宋体" w:cs="宋体"/>
          <w:b/>
          <w:color w:val="auto"/>
          <w:sz w:val="36"/>
          <w:szCs w:val="36"/>
        </w:rPr>
        <w:br w:type="page" w:clear="all"/>
      </w:r>
      <w:bookmarkStart w:id="1" w:name="_Toc24195_WPSOffice_Level1"/>
      <w:r>
        <w:rPr>
          <w:rFonts w:hint="eastAsia" w:ascii="宋体" w:hAnsi="宋体" w:cs="宋体"/>
          <w:b/>
          <w:color w:val="auto"/>
          <w:sz w:val="36"/>
          <w:szCs w:val="36"/>
          <w:lang w:val="en-US" w:eastAsia="zh-CN"/>
        </w:rPr>
        <w:t xml:space="preserve">第一章  </w:t>
      </w:r>
      <w:bookmarkEnd w:id="1"/>
      <w:r>
        <w:rPr>
          <w:rFonts w:hint="eastAsia" w:ascii="宋体" w:hAnsi="宋体" w:cs="宋体"/>
          <w:b/>
          <w:color w:val="auto"/>
          <w:sz w:val="36"/>
          <w:szCs w:val="36"/>
          <w:lang w:eastAsia="zh-CN"/>
        </w:rPr>
        <w:t xml:space="preserve">投标邀请</w:t>
      </w:r>
      <w:r/>
    </w:p>
    <w:tbl>
      <w:tblPr>
        <w:tblStyle w:val="701"/>
        <w:tblW w:w="0" w:type="auto"/>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29"/>
      </w:tblGrid>
      <w:tr>
        <w:trPr>
          <w:trHeight w:val="2047"/>
        </w:trPr>
        <w:tc>
          <w:tcPr>
            <w:tcW w:w="9529" w:type="dxa"/>
            <w:vAlign w:val="center"/>
            <w:textDirection w:val="lrTb"/>
            <w:noWrap w:val="false"/>
          </w:tcPr>
          <w:p>
            <w:pPr>
              <w:pStyle w:val="965"/>
              <w:jc w:val="both"/>
              <w:keepLines w:val="0"/>
              <w:keepNext w:val="0"/>
              <w:pageBreakBefore w:val="0"/>
              <w:spacing w:line="360" w:lineRule="auto"/>
              <w:widowControl/>
              <w:rPr>
                <w:rFonts w:hint="eastAsia" w:ascii="宋体" w:hAnsi="宋体" w:eastAsia="宋体" w:cs="宋体"/>
                <w:color w:val="auto"/>
                <w:szCs w:val="24"/>
                <w:lang w:val="en-US"/>
              </w:rPr>
            </w:pPr>
            <w:r>
              <w:rPr>
                <w:rFonts w:hint="eastAsia" w:ascii="宋体" w:hAnsi="宋体" w:eastAsia="宋体" w:cs="宋体"/>
                <w:color w:val="auto"/>
                <w:szCs w:val="24"/>
                <w:lang w:val="en-US"/>
              </w:rPr>
              <w:t xml:space="preserve">项目概况：</w:t>
            </w:r>
            <w:r/>
          </w:p>
          <w:p>
            <w:pPr>
              <w:pStyle w:val="965"/>
              <w:ind w:firstLine="440"/>
              <w:jc w:val="both"/>
              <w:keepLines w:val="0"/>
              <w:keepNext w:val="0"/>
              <w:pageBreakBefore w:val="0"/>
              <w:spacing w:line="360" w:lineRule="auto"/>
              <w:widowControl/>
              <w:rPr>
                <w:rFonts w:hint="eastAsia" w:ascii="宋体" w:hAnsi="宋体" w:eastAsia="宋体" w:cs="宋体"/>
                <w:color w:val="auto"/>
                <w:szCs w:val="24"/>
                <w:lang w:val="en-US"/>
              </w:rPr>
            </w:pPr>
            <w:r>
              <w:rPr>
                <w:rFonts w:hint="eastAsia" w:ascii="宋体" w:hAnsi="宋体" w:eastAsia="宋体" w:cs="宋体"/>
                <w:color w:val="auto"/>
                <w:szCs w:val="24"/>
                <w:u w:val="single"/>
                <w:lang w:val="en-US" w:eastAsia="zh-CN"/>
              </w:rPr>
              <w:t xml:space="preserve">金湖中等专业学校异地扩建项目功能室（艺体类）设备采购项目（</w:t>
            </w:r>
            <w:r>
              <w:rPr>
                <w:rFonts w:hint="eastAsia" w:ascii="宋体" w:hAnsi="宋体" w:eastAsia="宋体" w:cs="宋体"/>
                <w:color w:val="auto"/>
                <w:szCs w:val="24"/>
                <w:u w:val="single"/>
                <w:lang w:val="en-US"/>
              </w:rPr>
              <w:t xml:space="preserve">项目编号：</w:t>
            </w:r>
            <w:r>
              <w:rPr>
                <w:rFonts w:hint="eastAsia" w:ascii="宋体" w:hAnsi="宋体" w:eastAsia="宋体" w:cs="宋体"/>
                <w:color w:val="auto"/>
                <w:szCs w:val="24"/>
                <w:u w:val="single"/>
                <w:lang w:val="en-US" w:eastAsia="zh-CN"/>
              </w:rPr>
              <w:t xml:space="preserve"> JSZC-320831-JLXM-G2026-0006 ）</w:t>
            </w:r>
            <w:r>
              <w:rPr>
                <w:rFonts w:hint="eastAsia" w:ascii="宋体" w:hAnsi="宋体" w:eastAsia="宋体" w:cs="宋体"/>
                <w:color w:val="auto"/>
                <w:szCs w:val="24"/>
                <w:lang w:val="en-US"/>
              </w:rPr>
              <w:t xml:space="preserve">招标项目的潜在投标人应在江苏政府采购网或者淮安市政府采购网获取</w:t>
            </w:r>
            <w:r>
              <w:rPr>
                <w:rFonts w:hint="eastAsia" w:ascii="宋体" w:hAnsi="宋体" w:eastAsia="宋体" w:cs="宋体"/>
                <w:color w:val="auto"/>
                <w:szCs w:val="24"/>
                <w:lang w:val="en-US" w:eastAsia="zh-CN"/>
              </w:rPr>
              <w:t xml:space="preserve">招标</w:t>
            </w:r>
            <w:r>
              <w:rPr>
                <w:rFonts w:hint="eastAsia" w:ascii="宋体" w:hAnsi="宋体" w:eastAsia="宋体" w:cs="宋体"/>
                <w:color w:val="auto"/>
                <w:szCs w:val="24"/>
                <w:lang w:val="en-US"/>
              </w:rPr>
              <w:t xml:space="preserve">文件，并于</w:t>
            </w:r>
            <w:r>
              <w:rPr>
                <w:rFonts w:hint="eastAsia" w:ascii="宋体" w:hAnsi="宋体" w:eastAsia="宋体" w:cs="宋体"/>
                <w:color w:val="auto"/>
                <w:szCs w:val="24"/>
                <w:u w:val="single"/>
                <w:lang w:val="en-US" w:eastAsia="zh-CN"/>
              </w:rPr>
              <w:t xml:space="preserve">2026-11-06 9:00</w:t>
            </w:r>
            <w:r>
              <w:rPr>
                <w:rFonts w:hint="eastAsia" w:ascii="宋体" w:hAnsi="宋体" w:eastAsia="宋体" w:cs="宋体"/>
                <w:color w:val="auto"/>
                <w:szCs w:val="24"/>
                <w:u w:val="single"/>
                <w:lang w:val="en-US"/>
              </w:rPr>
              <w:t xml:space="preserve">（北京时间）</w:t>
            </w:r>
            <w:r>
              <w:rPr>
                <w:rFonts w:hint="eastAsia" w:ascii="宋体" w:hAnsi="宋体" w:eastAsia="宋体" w:cs="宋体"/>
                <w:color w:val="auto"/>
                <w:szCs w:val="24"/>
                <w:lang w:val="en-US"/>
              </w:rPr>
              <w:t xml:space="preserve">前递交</w:t>
            </w:r>
            <w:r>
              <w:rPr>
                <w:rFonts w:hint="eastAsia" w:ascii="宋体" w:hAnsi="宋体" w:eastAsia="宋体" w:cs="宋体"/>
                <w:color w:val="auto"/>
                <w:szCs w:val="24"/>
                <w:lang w:val="en-US" w:eastAsia="zh-CN"/>
              </w:rPr>
              <w:t xml:space="preserve">投标文件</w:t>
            </w:r>
            <w:r>
              <w:rPr>
                <w:rFonts w:hint="eastAsia" w:ascii="宋体" w:hAnsi="宋体" w:eastAsia="宋体" w:cs="宋体"/>
                <w:color w:val="auto"/>
                <w:szCs w:val="24"/>
                <w:lang w:val="en-US"/>
              </w:rPr>
              <w:t xml:space="preserve">。</w:t>
            </w:r>
            <w:r/>
          </w:p>
        </w:tc>
      </w:tr>
    </w:tbl>
    <w:p>
      <w:pPr>
        <w:ind w:left="0" w:right="0" w:firstLine="484"/>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一、项目基本情况</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JSZC-320831-JLXM-G2026-0006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项目名称：金湖中等专业学校异地扩建项目功能室（艺体类）设备采购项目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预算金额：220.759700万元</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最高限价：220万元；报价不得超过最高限价，否则作废标处理。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采购需求：本项目共分1个包，具体详见第五章“项目采购需求”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rPr>
          <w:rFonts w:ascii="SimSun" w:hAnsi="SimSun" w:eastAsia="SimSun" w:cs="SimSun"/>
          <w:color w:val="000000"/>
          <w:spacing w:val="-3"/>
          <w:sz w:val="24"/>
        </w:rPr>
        <w:t xml:space="preserve">合同签订后</w:t>
      </w:r>
      <w:r>
        <w:rPr>
          <w:rFonts w:ascii="Times New Roman" w:hAnsi="Times New Roman" w:eastAsia="Times New Roman" w:cs="Times New Roman"/>
          <w:color w:val="000000"/>
          <w:spacing w:val="-3"/>
          <w:sz w:val="24"/>
        </w:rPr>
        <w:t xml:space="preserve">60</w:t>
      </w:r>
      <w:r>
        <w:rPr>
          <w:rFonts w:ascii="SimSun" w:hAnsi="SimSun" w:eastAsia="SimSun" w:cs="SimSun"/>
          <w:color w:val="000000"/>
          <w:spacing w:val="-3"/>
          <w:sz w:val="24"/>
        </w:rPr>
        <w:t xml:space="preserve">天内完成供货及安装调试</w:t>
      </w:r>
      <w:r>
        <w:rPr>
          <w:rFonts w:ascii="SimSun" w:hAnsi="SimSun" w:eastAsia="SimSun" w:cs="SimSun"/>
          <w:color w:val="000000"/>
          <w:spacing w:val="-4"/>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本项目（是/否）接受联合体投标：否</w:t>
      </w:r>
      <w:r/>
    </w:p>
    <w:p>
      <w:pPr>
        <w:ind w:left="0" w:right="0" w:firstLine="240"/>
        <w:spacing w:before="240" w:after="240" w:line="4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w:t>
      </w:r>
      <w:r>
        <w:rPr>
          <w:rFonts w:ascii="SimSun" w:hAnsi="SimSun" w:eastAsia="SimSun" w:cs="SimSun"/>
          <w:color w:val="000000"/>
          <w:sz w:val="24"/>
        </w:rPr>
        <w:t xml:space="preserve">申请人的资格要求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（一）符合《中华人民共和国政府采购法》第二十二条规定：</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1.符合《中华人民共和国政府采购法》第二十二条规定的六项条件（提供书面承诺书印章齐全，格式见示范格式）</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2.落实政府采购政策需满足的资格要求：（提供以下材料之一）</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1）企业声明函（详见示范格式四）；</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2）《残疾人福利性单位声明函》（详见示范格式五）；</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3）由省级以上监狱管理局、戒毒管理局（含新疆生产建设兵团）出具的属于监狱企业的证明文件）（加盖出具单位公章的原件扫描上传）。</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注：监狱企业、残疾人福利性单位视同小微企业。</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3.本项目不接受联合体供应商参加投标。（不是联合体即可。）</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4.拒绝符合下述条件的供应商参加本次采购活动：（格式见示范格式三）</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1、供应商单位负责人为同一人或者存在直接控股、管理关系的不同供应商，不得同时参加同一合同项下的政府采购活动；（提供书面承诺书印章齐全）</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2、凡为采购项目提供整体设计、规范编制或者项目管理、监理、检测等服务的供应商，不得再参加本项目的采购活动； （提供书面承诺书印章齐全）</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3、“列入失信被执行人、重大税收违法案件当事人名单、政府采购严重违法失信行为记录名单中的供应商不得参加本项目的采购活动”的书面承诺； （提供书面承诺书印章齐全）</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5.报价供应商提供下列之一（提供相关材料）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1、供应商法定代表人参加投标的，提供法定代表人资格证明（格式按照示范格式一要求填写印章齐全）和法定代表人有效身份证（原件扫描上传加盖章）；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2、供应商授权委托人参加投标的，提供授权委托书（格式按照示范格式二要求填写印章齐全）和受托人有效身份证（原件扫描上传加盖章）。</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本项目按照以下第</w:t>
      </w:r>
      <w:r>
        <w:rPr>
          <w:rFonts w:ascii="SimSun" w:hAnsi="SimSun" w:eastAsia="SimSun" w:cs="SimSun"/>
          <w:color w:val="000000"/>
          <w:sz w:val="24"/>
          <w:u w:val="single"/>
        </w:rPr>
        <w:t xml:space="preserve">（1）</w:t>
      </w:r>
      <w:r>
        <w:rPr>
          <w:rFonts w:ascii="SimSun" w:hAnsi="SimSun" w:eastAsia="SimSun" w:cs="SimSun"/>
          <w:color w:val="000000"/>
          <w:sz w:val="24"/>
        </w:rPr>
        <w:t xml:space="preserve">种方式落实政府采购促进中小企业发展的要求：</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（1）本项目为专门面向中小企业采购的项目。</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（2）本项目通过以下第（）种方式预留部分采购份额采购中小企业服务：</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①本项目要求供应商以联合体形式参加，中小企业合同金额应当达到的比例为%，其中小微企业所占比例应为%（两项比例均应符合《政府采购促进中小企业发展管理办法》第八条规定）。</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②本项目要求供应商进行合同分包，中小企业合同金额应当达到的比例为%，其中小微企业所占比例应为%（两项比例均应符合《政府采购促进中小企业发展管理办法》第八条规定）。</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（3）本项目为非预留份额的采购项目，对小微企业报价给予扣除，用扣除后的价格参加评审，具体详见第二章“供应商须知”第31项。</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注：监狱企业、残疾人福利性单位视同小微企业。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本项目采购标的对应的中小企业划分标准所属行业为</w:t>
      </w:r>
      <w:r>
        <w:rPr>
          <w:rFonts w:ascii="SimSun" w:hAnsi="SimSun" w:eastAsia="SimSun" w:cs="SimSun"/>
          <w:color w:val="000000"/>
          <w:sz w:val="24"/>
          <w:u w:val="single"/>
        </w:rPr>
        <w:t xml:space="preserve">制造业</w:t>
      </w:r>
      <w:r/>
    </w:p>
    <w:p>
      <w:pPr>
        <w:ind w:left="0" w:right="0" w:firstLine="48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（三）本项目的特定资格要求：无</w:t>
      </w:r>
      <w:r/>
    </w:p>
    <w:p>
      <w:pPr>
        <w:ind w:left="0" w:right="0" w:firstLine="487"/>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时间：自招标文件公告发布之日起5个工作日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地点：江苏政府采购网或淮安市政府采购网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方式：江苏政府采购网或淮安市政府采购网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 </w:t>
      </w:r>
      <w:r/>
    </w:p>
    <w:p>
      <w:pPr>
        <w:ind w:left="0" w:right="0" w:firstLine="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四、提交投标文件时间、开标时间和地点</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2026-11-06   09：00（北京时间）</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地点：“苏采云”政府采购交易系统网上开标大厅</w:t>
      </w:r>
      <w:r/>
    </w:p>
    <w:p>
      <w:pPr>
        <w:ind w:left="0" w:right="0" w:firstLine="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4"/>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1、本项目采用不见面电子投标。请供应商严格按照招标文件的规定编制、提交投标文件，否则所造成的一切后果由供应商自负。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2、本项目无需投标保证金。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3、本项目仅采购非进口产品（注：本文件所称进口产品是指通过中国海关报关验放进入中国境内且产自关境外的产品）。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4、采购代理（下称代理人）：采购人委托江苏建霖项目管理有限公司负责代理本次招标的相关事宜。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5、采购代理费：参照苏政采协[2024]20号文件规定标准的85%为此次项目的招标代理费，中标人在领取中标通知书前向采购代理人一次性缴纳采购代理费。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aa2b0d9312230633c</w:t>
      </w:r>
      <w:r>
        <w:rPr>
          <w:rFonts w:ascii="SimSun" w:hAnsi="SimSun" w:eastAsia="SimSun" w:cs="SimSun"/>
          <w:color w:val="000000"/>
          <w:sz w:val="24"/>
        </w:rPr>
        <w:t xml:space="preserve">e9.html。</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8、有关本次招标的事项若存在变动或修改，敬请及时关注采购人（代理机构）在“淮安市政府采购网”、“江苏政府采购网”发布的更正公告。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9、本次招标不收取投标保证金。</w:t>
      </w:r>
      <w:r/>
    </w:p>
    <w:p>
      <w:pPr>
        <w:ind w:left="0" w:right="0" w:firstLine="0"/>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七、凡对本次采购提出询问，请按以下方式联系</w:t>
      </w:r>
      <w:r/>
    </w:p>
    <w:p>
      <w:pPr>
        <w:ind w:left="0" w:right="0" w:firstLine="484"/>
        <w:jc w:val="both"/>
        <w:spacing w:before="0" w:after="0" w:line="4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单位名称：金湖县教育体育局</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单位地址：金湖县建设西路2号</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联系方式：姚先生</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电话：13952332221</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2、采购代理机构信息（如有）</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单位名称：江苏建霖项目管理有限公司</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单位地址：金湖县市民中心三楼西二区308室</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 伍秀莲</w:t>
      </w:r>
      <w:r/>
    </w:p>
    <w:p>
      <w:pPr>
        <w:ind w:left="0" w:right="0" w:firstLine="24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电话：15380630688</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项目联系人：伍秀莲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SimSun" w:hAnsi="SimSun" w:eastAsia="SimSun" w:cs="SimSun"/>
          <w:color w:val="000000"/>
          <w:sz w:val="24"/>
        </w:rPr>
        <w:t xml:space="preserve">15380630688</w:t>
      </w:r>
      <w:r/>
    </w:p>
    <w:p>
      <w:pPr>
        <w:ind w:firstLine="420"/>
        <w:spacing w:line="360" w:lineRule="auto"/>
        <w:rPr>
          <w:rFonts w:hint="eastAsia" w:ascii="宋体" w:hAnsi="宋体" w:cs="宋体"/>
          <w:color w:val="000000"/>
          <w:sz w:val="24"/>
        </w:rPr>
      </w:pPr>
      <w:r>
        <w:rPr>
          <w:rFonts w:hint="eastAsia" w:ascii="宋体" w:hAnsi="宋体" w:cs="宋体"/>
          <w:color w:val="000000"/>
          <w:sz w:val="24"/>
        </w:rPr>
      </w:r>
      <w:r/>
    </w:p>
    <w:p>
      <w:pPr>
        <w:jc w:val="center"/>
        <w:keepNext w:val="0"/>
        <w:pageBreakBefore w:val="0"/>
        <w:spacing w:line="360" w:lineRule="auto"/>
        <w:rPr>
          <w:rFonts w:hint="eastAsia" w:ascii="宋体" w:hAnsi="宋体" w:eastAsia="宋体" w:cs="宋体"/>
          <w:b/>
          <w:bCs/>
          <w:color w:val="auto"/>
          <w:sz w:val="36"/>
          <w:szCs w:val="36"/>
        </w:rPr>
      </w:pPr>
      <w:r>
        <w:rPr>
          <w:rFonts w:hint="eastAsia" w:ascii="宋体" w:hAnsi="宋体" w:eastAsia="宋体" w:cs="宋体"/>
          <w:b/>
          <w:bCs/>
          <w:color w:val="auto"/>
          <w:sz w:val="36"/>
          <w:szCs w:val="36"/>
        </w:rPr>
      </w:r>
      <w:bookmarkEnd w:id="2"/>
      <w:r/>
      <w:r/>
    </w:p>
    <w:p>
      <w:pPr>
        <w:jc w:val="center"/>
        <w:keepNext w:val="0"/>
        <w:pageBreakBefore w:val="0"/>
        <w:spacing w:line="360" w:lineRule="auto"/>
        <w:rPr>
          <w:rFonts w:hint="eastAsia" w:ascii="宋体" w:hAnsi="宋体" w:eastAsia="宋体" w:cs="宋体"/>
          <w:b/>
          <w:bCs/>
          <w:color w:val="auto"/>
          <w:sz w:val="36"/>
          <w:szCs w:val="36"/>
        </w:rPr>
      </w:pPr>
      <w:r/>
      <w:bookmarkStart w:id="3" w:name="_Toc8139_WPSOffice_Level1"/>
      <w:r>
        <w:rPr>
          <w:rFonts w:hint="eastAsia" w:ascii="宋体" w:hAnsi="宋体" w:eastAsia="宋体" w:cs="宋体"/>
          <w:b/>
          <w:bCs/>
          <w:color w:val="auto"/>
          <w:sz w:val="36"/>
          <w:szCs w:val="36"/>
        </w:rPr>
        <w:t xml:space="preserve">第二章</w:t>
      </w:r>
      <w:r>
        <w:rPr>
          <w:rFonts w:hint="eastAsia" w:ascii="宋体" w:hAnsi="宋体" w:cs="宋体"/>
          <w:b/>
          <w:bCs/>
          <w:color w:val="auto"/>
          <w:sz w:val="36"/>
          <w:szCs w:val="36"/>
          <w:lang w:val="en-US" w:eastAsia="zh-CN"/>
        </w:rPr>
        <w:t xml:space="preserve">  </w:t>
      </w:r>
      <w:r>
        <w:rPr>
          <w:rFonts w:hint="eastAsia" w:ascii="宋体" w:hAnsi="宋体" w:cs="宋体"/>
          <w:b/>
          <w:bCs/>
          <w:color w:val="auto"/>
          <w:sz w:val="36"/>
          <w:szCs w:val="36"/>
          <w:lang w:eastAsia="zh-CN"/>
        </w:rPr>
        <w:t xml:space="preserve">投标人</w:t>
      </w:r>
      <w:r>
        <w:rPr>
          <w:rFonts w:hint="eastAsia" w:ascii="宋体" w:hAnsi="宋体" w:eastAsia="宋体" w:cs="宋体"/>
          <w:b/>
          <w:bCs/>
          <w:color w:val="auto"/>
          <w:sz w:val="36"/>
          <w:szCs w:val="36"/>
        </w:rPr>
        <w:t xml:space="preserve">须知</w:t>
      </w:r>
      <w:r/>
    </w:p>
    <w:p>
      <w:pPr>
        <w:ind w:left="0" w:right="0"/>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一、总则</w:t>
      </w:r>
      <w:r/>
    </w:p>
    <w:p>
      <w:pPr>
        <w:ind w:left="0" w:right="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1.适用范围</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招标文件仅适用于本次投标邀请中所述项目的采购。</w:t>
      </w:r>
      <w:r/>
    </w:p>
    <w:p>
      <w:pPr>
        <w:ind w:left="0" w:right="0"/>
        <w:keepLines w:val="0"/>
        <w:keepNext w:val="0"/>
        <w:pageBreakBefore w:val="0"/>
        <w:spacing w:line="360" w:lineRule="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2.合格的</w:t>
      </w:r>
      <w:r>
        <w:rPr>
          <w:rFonts w:hint="eastAsia" w:ascii="宋体" w:hAnsi="宋体" w:cs="宋体"/>
          <w:bCs/>
          <w:color w:val="auto"/>
          <w:sz w:val="24"/>
          <w:szCs w:val="24"/>
          <w:lang w:eastAsia="zh-CN"/>
        </w:rPr>
        <w:t xml:space="preserve">投标人</w:t>
      </w:r>
      <w:r/>
    </w:p>
    <w:p>
      <w:pPr>
        <w:ind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2.1满足第一章投标邀请中投标人资格要求的规定。 </w:t>
      </w:r>
      <w:r/>
    </w:p>
    <w:p>
      <w:pPr>
        <w:ind w:left="0" w:right="0" w:firstLine="488"/>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2.2</w:t>
      </w:r>
      <w:r>
        <w:rPr>
          <w:rFonts w:hint="eastAsia" w:ascii="宋体" w:hAnsi="宋体" w:eastAsia="宋体" w:cs="宋体"/>
          <w:color w:val="auto"/>
          <w:sz w:val="24"/>
          <w:szCs w:val="24"/>
        </w:rPr>
        <w:t xml:space="preserve">满足招标文件中实质性条款的规定。</w:t>
      </w:r>
      <w:r/>
    </w:p>
    <w:p>
      <w:pPr>
        <w:ind w:left="0" w:right="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3.适用法律</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3.1《中华人民共和国政府采购法</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中华人民共和国政府采购法实施条例</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政府采购货物和服务招标投标管理办法》等有关法律、规章和规定等。</w:t>
      </w:r>
      <w:r/>
    </w:p>
    <w:p>
      <w:pPr>
        <w:ind w:left="0" w:right="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4.投标费用</w:t>
      </w:r>
      <w:r/>
    </w:p>
    <w:p>
      <w:pPr>
        <w:ind w:firstLine="480"/>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4.1投标人应自行承担所有与参与投标有关的费用。不论投标的结果如何，招标人（</w:t>
      </w:r>
      <w:r>
        <w:rPr>
          <w:rFonts w:hint="eastAsia" w:ascii="宋体" w:hAnsi="宋体" w:cs="宋体"/>
          <w:color w:val="auto"/>
          <w:sz w:val="24"/>
          <w:lang w:val="en-US" w:eastAsia="zh-CN"/>
        </w:rPr>
        <w:t xml:space="preserve">代理</w:t>
      </w:r>
      <w:r>
        <w:rPr>
          <w:rFonts w:hint="eastAsia" w:ascii="宋体" w:hAnsi="宋体" w:cs="宋体"/>
          <w:color w:val="auto"/>
          <w:sz w:val="24"/>
        </w:rPr>
        <w:t xml:space="preserve">机构）在任何情况下均无义务和责任承担这些费用。</w:t>
      </w:r>
      <w:r/>
    </w:p>
    <w:p>
      <w:pPr>
        <w:ind w:firstLine="480"/>
        <w:jc w:val="left"/>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4.2招标代理（下称代理机构）：招标人委托</w:t>
      </w:r>
      <w:r>
        <w:rPr>
          <w:rFonts w:hint="eastAsia" w:ascii="宋体" w:hAnsi="宋体" w:cs="宋体"/>
          <w:color w:val="auto"/>
          <w:sz w:val="24"/>
          <w:lang w:eastAsia="zh-CN"/>
        </w:rPr>
        <w:t xml:space="preserve">江苏建霖项目管理有限公司</w:t>
      </w:r>
      <w:r>
        <w:rPr>
          <w:rFonts w:hint="eastAsia" w:ascii="宋体" w:hAnsi="宋体" w:cs="宋体"/>
          <w:color w:val="auto"/>
          <w:sz w:val="24"/>
        </w:rPr>
        <w:t xml:space="preserve">负责代理本项目的相关事宜。</w:t>
      </w:r>
      <w:r/>
    </w:p>
    <w:p>
      <w:pPr>
        <w:ind w:firstLine="480"/>
        <w:jc w:val="left"/>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4.3招标代理费：</w:t>
      </w:r>
      <w:r>
        <w:rPr>
          <w:rFonts w:hint="eastAsia" w:ascii="宋体" w:hAnsi="宋体" w:cs="宋体"/>
          <w:color w:val="000000"/>
          <w:sz w:val="24"/>
        </w:rPr>
        <w:t xml:space="preserve">参照苏政采协[2024]20号文件规定标准的85%为此次项目的招标代理费，中标人在领取中标通知书前向采购代理人一次性缴纳采购代理费。</w:t>
      </w:r>
      <w:r/>
    </w:p>
    <w:p>
      <w:pPr>
        <w:ind w:firstLine="480"/>
        <w:jc w:val="left"/>
        <w:keepNext w:val="0"/>
        <w:pageBreakBefore w:val="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firstLine="482"/>
        <w:jc w:val="left"/>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b/>
          <w:bCs/>
          <w:color w:val="auto"/>
          <w:sz w:val="24"/>
          <w:szCs w:val="24"/>
          <w:highlight w:val="none"/>
          <w:lang w:eastAsia="zh-CN"/>
        </w:rPr>
        <w:t xml:space="preserve">注</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根据《关于在全市公共资源交易领域全面推广应用数字人民币的通知》</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淮协调办〔2023〕33号</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要求，本项目代理费支付形式建议采用数字人民币支付：</w:t>
      </w:r>
      <w:r>
        <w:rPr>
          <w:rFonts w:hint="eastAsia" w:cs="宋体"/>
          <w:b/>
          <w:bCs/>
          <w:color w:val="auto"/>
          <w:sz w:val="24"/>
          <w:szCs w:val="24"/>
          <w:highlight w:val="none"/>
          <w:lang w:eastAsia="zh-CN"/>
        </w:rPr>
        <w:t xml:space="preserve">招标人</w:t>
      </w:r>
      <w:r>
        <w:rPr>
          <w:rFonts w:hint="eastAsia" w:ascii="宋体" w:hAnsi="宋体" w:cs="宋体"/>
          <w:b/>
          <w:bCs/>
          <w:color w:val="auto"/>
          <w:sz w:val="24"/>
          <w:szCs w:val="24"/>
          <w:highlight w:val="none"/>
          <w:lang w:eastAsia="zh-CN"/>
        </w:rPr>
        <w:t xml:space="preserve">（</w:t>
      </w:r>
      <w:r>
        <w:rPr>
          <w:rFonts w:hint="eastAsia" w:cs="宋体"/>
          <w:b/>
          <w:bCs/>
          <w:color w:val="auto"/>
          <w:sz w:val="24"/>
          <w:szCs w:val="24"/>
          <w:highlight w:val="none"/>
          <w:lang w:eastAsia="zh-CN"/>
        </w:rPr>
        <w:t xml:space="preserve">中标人</w:t>
      </w:r>
      <w:r>
        <w:rPr>
          <w:rFonts w:hint="eastAsia" w:ascii="宋体" w:hAnsi="宋体" w:cs="宋体"/>
          <w:b/>
          <w:bCs/>
          <w:color w:val="auto"/>
          <w:sz w:val="24"/>
          <w:szCs w:val="24"/>
          <w:highlight w:val="none"/>
          <w:lang w:eastAsia="zh-CN"/>
        </w:rPr>
        <w:t xml:space="preserve">）须在</w:t>
      </w:r>
      <w:r>
        <w:rPr>
          <w:rFonts w:hint="eastAsia" w:cs="宋体"/>
          <w:b/>
          <w:bCs/>
          <w:color w:val="auto"/>
          <w:sz w:val="24"/>
          <w:szCs w:val="24"/>
          <w:highlight w:val="none"/>
          <w:lang w:eastAsia="zh-CN"/>
        </w:rPr>
        <w:t xml:space="preserve">基本账户</w:t>
      </w:r>
      <w:r>
        <w:rPr>
          <w:rFonts w:hint="eastAsia" w:ascii="宋体" w:hAnsi="宋体" w:cs="宋体"/>
          <w:b/>
          <w:bCs/>
          <w:color w:val="auto"/>
          <w:sz w:val="24"/>
          <w:szCs w:val="24"/>
          <w:highlight w:val="none"/>
          <w:lang w:eastAsia="zh-CN"/>
        </w:rPr>
        <w:t xml:space="preserve">下</w:t>
      </w:r>
      <w:r>
        <w:rPr>
          <w:rFonts w:hint="eastAsia" w:cs="宋体"/>
          <w:b/>
          <w:bCs/>
          <w:color w:val="auto"/>
          <w:sz w:val="24"/>
          <w:szCs w:val="24"/>
          <w:highlight w:val="none"/>
          <w:lang w:eastAsia="zh-CN"/>
        </w:rPr>
        <w:t xml:space="preserve">开通数字人民币</w:t>
      </w:r>
      <w:r>
        <w:rPr>
          <w:rFonts w:hint="eastAsia" w:ascii="宋体" w:hAnsi="宋体" w:cs="宋体"/>
          <w:b/>
          <w:bCs/>
          <w:color w:val="auto"/>
          <w:sz w:val="24"/>
          <w:szCs w:val="24"/>
          <w:highlight w:val="none"/>
          <w:lang w:eastAsia="zh-CN"/>
        </w:rPr>
        <w:t xml:space="preserve">钱包</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ID</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向代理机构数字人民币钱包</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ID</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支付项目代理费。</w:t>
      </w:r>
      <w:r/>
    </w:p>
    <w:p>
      <w:pPr>
        <w:ind w:left="0" w:right="0"/>
        <w:keepLines w:val="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 xml:space="preserve">二、</w:t>
      </w:r>
      <w:r>
        <w:rPr>
          <w:rFonts w:hint="eastAsia" w:ascii="宋体" w:hAnsi="宋体" w:cs="宋体"/>
          <w:b/>
          <w:bCs/>
          <w:color w:val="auto"/>
          <w:sz w:val="24"/>
          <w:szCs w:val="24"/>
          <w:lang w:eastAsia="zh-CN"/>
        </w:rPr>
        <w:t xml:space="preserve">招标文件</w:t>
      </w:r>
      <w:r/>
    </w:p>
    <w:p>
      <w:pPr>
        <w:ind w:left="0" w:right="0"/>
        <w:keepLines w:val="0"/>
        <w:keepNext w:val="0"/>
        <w:pageBreakBefore w:val="0"/>
        <w:spacing w:line="360" w:lineRule="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5.</w:t>
      </w:r>
      <w:r>
        <w:rPr>
          <w:rFonts w:hint="eastAsia" w:ascii="宋体" w:hAnsi="宋体" w:cs="宋体"/>
          <w:bCs/>
          <w:color w:val="auto"/>
          <w:sz w:val="24"/>
          <w:szCs w:val="24"/>
          <w:lang w:eastAsia="zh-CN"/>
        </w:rPr>
        <w:t xml:space="preserve">招标文件</w:t>
      </w:r>
      <w:r>
        <w:rPr>
          <w:rFonts w:hint="eastAsia" w:ascii="宋体" w:hAnsi="宋体" w:eastAsia="宋体" w:cs="宋体"/>
          <w:bCs/>
          <w:color w:val="auto"/>
          <w:sz w:val="24"/>
          <w:szCs w:val="24"/>
        </w:rPr>
        <w:t xml:space="preserve">由以下部分组成</w:t>
      </w:r>
      <w:r>
        <w:rPr>
          <w:rFonts w:hint="eastAsia" w:ascii="宋体" w:hAnsi="宋体" w:cs="宋体"/>
          <w:color w:val="auto"/>
          <w:sz w:val="24"/>
          <w:szCs w:val="24"/>
          <w:lang w:eastAsia="zh-CN"/>
        </w:rPr>
        <w:t xml:space="preserve">：</w:t>
      </w:r>
      <w:r/>
    </w:p>
    <w:p>
      <w:pPr>
        <w:ind w:left="0" w:right="0" w:firstLine="555"/>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5.招标文件由以下部分组成</w:t>
      </w:r>
      <w:r>
        <w:rPr>
          <w:rFonts w:hint="eastAsia" w:ascii="宋体" w:hAnsi="宋体" w:cs="宋体"/>
          <w:color w:val="auto"/>
          <w:sz w:val="24"/>
          <w:szCs w:val="24"/>
          <w:lang w:eastAsia="zh-CN"/>
        </w:rPr>
        <w:t xml:space="preserve">：</w:t>
      </w:r>
      <w:r/>
    </w:p>
    <w:p>
      <w:pPr>
        <w:ind w:left="0" w:right="0" w:firstLine="555"/>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5.1投标邀请</w:t>
      </w:r>
      <w:r/>
    </w:p>
    <w:p>
      <w:pPr>
        <w:ind w:left="0" w:right="0" w:firstLine="555"/>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5.2投标人须知</w:t>
      </w:r>
      <w:r/>
    </w:p>
    <w:p>
      <w:pPr>
        <w:ind w:left="0" w:right="0" w:firstLine="555"/>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5.3评标标准</w:t>
      </w:r>
      <w:r/>
    </w:p>
    <w:p>
      <w:pPr>
        <w:ind w:left="0" w:right="0" w:firstLine="555"/>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5.4合同格式及条款</w:t>
      </w:r>
      <w:r/>
    </w:p>
    <w:p>
      <w:pPr>
        <w:ind w:left="0" w:right="0" w:firstLine="555"/>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5.5项目采购需求</w:t>
      </w:r>
      <w:r/>
    </w:p>
    <w:p>
      <w:pPr>
        <w:ind w:left="0" w:right="0" w:firstLine="555"/>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5.6投标文件格式</w:t>
      </w:r>
      <w:r/>
    </w:p>
    <w:p>
      <w:pPr>
        <w:ind w:left="0" w:right="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rPr>
        <w:t xml:space="preserve">6.</w:t>
      </w:r>
      <w:r>
        <w:rPr>
          <w:rFonts w:hint="eastAsia" w:ascii="宋体" w:hAnsi="宋体" w:cs="宋体"/>
          <w:bCs/>
          <w:color w:val="auto"/>
          <w:sz w:val="24"/>
          <w:szCs w:val="24"/>
          <w:lang w:eastAsia="zh-CN"/>
        </w:rPr>
        <w:t xml:space="preserve">招标文件</w:t>
      </w:r>
      <w:r>
        <w:rPr>
          <w:rFonts w:hint="eastAsia" w:ascii="宋体" w:hAnsi="宋体" w:eastAsia="宋体" w:cs="宋体"/>
          <w:bCs/>
          <w:color w:val="auto"/>
          <w:sz w:val="24"/>
          <w:szCs w:val="24"/>
        </w:rPr>
        <w:t xml:space="preserve">的澄清</w:t>
      </w:r>
      <w:r/>
    </w:p>
    <w:p>
      <w:pPr>
        <w:ind w:left="0" w:right="0" w:firstLine="46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任何要求对招标文件进行澄清的投标人，应在投标截止期十日前按招标公告中的通讯地址，以书面形式通知</w:t>
      </w:r>
      <w:r>
        <w:rPr>
          <w:rFonts w:hint="eastAsia" w:ascii="宋体" w:hAnsi="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（代理机构）</w:t>
      </w:r>
      <w:r>
        <w:rPr>
          <w:rFonts w:hint="eastAsia" w:ascii="宋体" w:hAnsi="宋体" w:cs="宋体"/>
          <w:bCs/>
          <w:color w:val="auto"/>
          <w:sz w:val="24"/>
          <w:highlight w:val="none"/>
        </w:rPr>
        <w:t xml:space="preserve">。</w:t>
      </w:r>
      <w:r/>
    </w:p>
    <w:p>
      <w:pPr>
        <w:ind w:left="0" w:right="0"/>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bCs/>
          <w:color w:val="auto"/>
          <w:sz w:val="24"/>
          <w:szCs w:val="24"/>
        </w:rPr>
        <w:t xml:space="preserve">7.</w:t>
      </w:r>
      <w:r>
        <w:rPr>
          <w:rFonts w:hint="eastAsia" w:ascii="宋体" w:hAnsi="宋体" w:cs="宋体"/>
          <w:bCs/>
          <w:color w:val="auto"/>
          <w:sz w:val="24"/>
          <w:szCs w:val="24"/>
          <w:lang w:eastAsia="zh-CN"/>
        </w:rPr>
        <w:t xml:space="preserve">招标文件</w:t>
      </w:r>
      <w:r>
        <w:rPr>
          <w:rFonts w:hint="eastAsia" w:ascii="宋体" w:hAnsi="宋体" w:eastAsia="宋体" w:cs="宋体"/>
          <w:bCs/>
          <w:color w:val="auto"/>
          <w:sz w:val="24"/>
          <w:szCs w:val="24"/>
        </w:rPr>
        <w:t xml:space="preserve">的更正或补充</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7.1 在投标截止时间前，招标人（代理机构）可主动或在解答投标人提出的澄清问题时对招标文件用更正公告的方式进行</w:t>
      </w:r>
      <w:r>
        <w:rPr>
          <w:rFonts w:hint="eastAsia" w:ascii="宋体" w:hAnsi="宋体" w:cs="宋体"/>
          <w:color w:val="auto"/>
          <w:sz w:val="24"/>
          <w:szCs w:val="24"/>
          <w:lang w:eastAsia="zh-CN"/>
        </w:rPr>
        <w:t xml:space="preserve">修改</w:t>
      </w:r>
      <w:r>
        <w:rPr>
          <w:rFonts w:hint="eastAsia" w:ascii="宋体" w:hAnsi="宋体" w:eastAsia="宋体" w:cs="宋体"/>
          <w:color w:val="auto"/>
          <w:sz w:val="24"/>
          <w:szCs w:val="24"/>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7.2对招标文件的更正将在江苏政府采购网、淮安市政府采购网进行公告。更正公告将作为招标文件的组成部分，对所有参加本次投标的投标人都具有约束力。</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7.3为使投标人有足够的时间按招标文件的更正要求</w:t>
      </w:r>
      <w:r>
        <w:rPr>
          <w:rFonts w:hint="eastAsia" w:ascii="宋体" w:hAnsi="宋体" w:cs="宋体"/>
          <w:color w:val="auto"/>
          <w:sz w:val="24"/>
          <w:szCs w:val="24"/>
          <w:lang w:eastAsia="zh-CN"/>
        </w:rPr>
        <w:t xml:space="preserve">修改</w:t>
      </w:r>
      <w:r>
        <w:rPr>
          <w:rFonts w:hint="eastAsia" w:ascii="宋体" w:hAnsi="宋体" w:eastAsia="宋体" w:cs="宋体"/>
          <w:color w:val="auto"/>
          <w:sz w:val="24"/>
          <w:szCs w:val="24"/>
        </w:rPr>
        <w:t xml:space="preserve">投标文件，招标人（代理机构）有权按照相关法定的要求推迟投标截止时间和开标日期。</w:t>
      </w:r>
      <w:r/>
    </w:p>
    <w:p>
      <w:pPr>
        <w:ind w:left="0" w:right="0"/>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w:t>
      </w:r>
      <w:r>
        <w:rPr>
          <w:rFonts w:hint="eastAsia" w:ascii="宋体" w:hAnsi="宋体" w:cs="宋体"/>
          <w:b/>
          <w:bCs/>
          <w:color w:val="auto"/>
          <w:sz w:val="24"/>
          <w:szCs w:val="24"/>
          <w:lang w:eastAsia="zh-CN"/>
        </w:rPr>
        <w:t xml:space="preserve">投标文件</w:t>
      </w:r>
      <w:r>
        <w:rPr>
          <w:rFonts w:hint="eastAsia" w:ascii="宋体" w:hAnsi="宋体" w:eastAsia="宋体" w:cs="宋体"/>
          <w:b/>
          <w:bCs/>
          <w:color w:val="auto"/>
          <w:sz w:val="24"/>
          <w:szCs w:val="24"/>
        </w:rPr>
        <w:t xml:space="preserve">的编制</w:t>
      </w:r>
      <w:r/>
    </w:p>
    <w:p>
      <w:pPr>
        <w:ind w:left="0" w:right="0"/>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w:t>
      </w:r>
      <w:r>
        <w:rPr>
          <w:rFonts w:hint="eastAsia" w:ascii="宋体" w:hAnsi="宋体" w:cs="宋体"/>
          <w:bCs/>
          <w:color w:val="auto"/>
          <w:sz w:val="24"/>
          <w:szCs w:val="24"/>
          <w:lang w:eastAsia="zh-CN"/>
        </w:rPr>
        <w:t xml:space="preserve">投标文件</w:t>
      </w:r>
      <w:r>
        <w:rPr>
          <w:rFonts w:hint="eastAsia" w:ascii="宋体" w:hAnsi="宋体" w:eastAsia="宋体" w:cs="宋体"/>
          <w:bCs/>
          <w:color w:val="auto"/>
          <w:sz w:val="24"/>
          <w:szCs w:val="24"/>
        </w:rPr>
        <w:t xml:space="preserve">的编制</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8.1投标人编写的投标文件应按招标文件第六章“投标文件格式”中的要求进行编写。</w:t>
      </w:r>
      <w:r/>
    </w:p>
    <w:p>
      <w:pPr>
        <w:ind w:firstLine="480"/>
        <w:keepNext w:val="0"/>
        <w:pageBreakBefore w:val="0"/>
        <w:spacing w:line="360" w:lineRule="auto"/>
        <w:rPr>
          <w:rFonts w:hint="eastAsia" w:ascii="宋体" w:hAnsi="宋体" w:eastAsia="宋体" w:cs="宋体"/>
          <w:b w:val="0"/>
          <w:bCs w:val="0"/>
          <w:color w:val="auto"/>
          <w:sz w:val="24"/>
          <w:highlight w:val="none"/>
        </w:rPr>
      </w:pPr>
      <w:r>
        <w:rPr>
          <w:rFonts w:hint="eastAsia" w:ascii="宋体" w:hAnsi="宋体" w:cs="宋体"/>
          <w:bCs/>
          <w:color w:val="auto"/>
          <w:sz w:val="24"/>
          <w:highlight w:val="none"/>
        </w:rPr>
        <w:t xml:space="preserve">8.2</w:t>
      </w:r>
      <w:r>
        <w:rPr>
          <w:rFonts w:hint="eastAsia" w:ascii="宋体" w:hAnsi="宋体"/>
          <w:color w:val="auto"/>
          <w:sz w:val="24"/>
          <w:szCs w:val="21"/>
          <w:highlight w:val="none"/>
        </w:rPr>
        <w:t xml:space="preserve">投标人编写的投标文件应包括资格证明文件、符合性证明文件、</w:t>
      </w:r>
      <w:r>
        <w:rPr>
          <w:rFonts w:hint="eastAsia" w:ascii="宋体" w:hAnsi="宋体"/>
          <w:color w:val="auto"/>
          <w:sz w:val="24"/>
          <w:szCs w:val="21"/>
          <w:highlight w:val="none"/>
          <w:lang w:val="en-US" w:eastAsia="zh-CN"/>
        </w:rPr>
        <w:t xml:space="preserve">投标报价明细表</w:t>
      </w:r>
      <w:r>
        <w:rPr>
          <w:rFonts w:hint="eastAsia" w:ascii="宋体" w:hAnsi="宋体"/>
          <w:color w:val="auto"/>
          <w:sz w:val="24"/>
          <w:szCs w:val="21"/>
          <w:highlight w:val="none"/>
        </w:rPr>
        <w:t xml:space="preserve">、技术</w:t>
      </w:r>
      <w:r>
        <w:rPr>
          <w:rFonts w:hint="eastAsia" w:ascii="宋体" w:hAnsi="宋体"/>
          <w:color w:val="auto"/>
          <w:sz w:val="24"/>
          <w:szCs w:val="21"/>
          <w:highlight w:val="none"/>
          <w:lang w:eastAsia="zh-CN"/>
        </w:rPr>
        <w:t xml:space="preserve">规格</w:t>
      </w:r>
      <w:r>
        <w:rPr>
          <w:rFonts w:hint="eastAsia" w:ascii="宋体" w:hAnsi="宋体"/>
          <w:color w:val="auto"/>
          <w:sz w:val="24"/>
          <w:szCs w:val="21"/>
          <w:highlight w:val="none"/>
        </w:rPr>
        <w:t xml:space="preserve">响应及偏离表、其他证明文件、投标函、开标一览表等部分。</w:t>
      </w:r>
      <w:r/>
    </w:p>
    <w:p>
      <w:pPr>
        <w:ind w:left="0" w:right="0" w:firstLine="482"/>
        <w:keepLines w:val="0"/>
        <w:keepNext w:val="0"/>
        <w:pageBreakBefore w:val="0"/>
        <w:spacing w:line="360" w:lineRule="auto"/>
        <w:rPr>
          <w:rFonts w:hint="eastAsia" w:ascii="宋体" w:hAnsi="宋体" w:eastAsia="宋体" w:cs="宋体"/>
          <w:b/>
          <w:bCs/>
          <w:color w:val="auto"/>
          <w:sz w:val="24"/>
          <w:highlight w:val="yellow"/>
          <w:lang w:val="en-US" w:eastAsia="zh-CN"/>
        </w:rPr>
      </w:pPr>
      <w:r>
        <w:rPr>
          <w:rFonts w:hint="eastAsia" w:ascii="宋体" w:hAnsi="宋体" w:eastAsia="宋体" w:cs="宋体"/>
          <w:b/>
          <w:bCs/>
          <w:color w:val="auto"/>
          <w:sz w:val="24"/>
          <w:highlight w:val="none"/>
          <w:lang w:val="en-US" w:eastAsia="zh-CN"/>
        </w:rPr>
        <w:t xml:space="preserve">8.3如标书制作工具中格式和内容与</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淮安市政府采购网</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江苏政府采购网</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发布的招标文件不一致，请以</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淮安市政府采购网</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江苏政府采购网</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发布的招标文件为准。</w:t>
      </w:r>
      <w:r/>
    </w:p>
    <w:p>
      <w:pPr>
        <w:ind w:left="0" w:right="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9.开标一览表</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9.1</w:t>
      </w:r>
      <w:r>
        <w:rPr>
          <w:rFonts w:hint="eastAsia" w:ascii="宋体" w:hAnsi="宋体" w:eastAsia="宋体" w:cs="宋体"/>
          <w:color w:val="auto"/>
          <w:sz w:val="24"/>
          <w:szCs w:val="24"/>
          <w:highlight w:val="none"/>
        </w:rPr>
        <w:t xml:space="preserve">投标人应按照招标文件中提供的格式完整、正确填写投标函、开标一览表。</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9.2</w:t>
      </w:r>
      <w:r>
        <w:rPr>
          <w:rFonts w:hint="eastAsia" w:ascii="宋体" w:hAnsi="宋体" w:eastAsia="宋体" w:cs="宋体"/>
          <w:color w:val="auto"/>
          <w:sz w:val="24"/>
          <w:szCs w:val="24"/>
          <w:highlight w:val="none"/>
        </w:rPr>
        <w:t xml:space="preserve">对于采用货币报价的项目，开标一览表中的投标总报价应与</w:t>
      </w:r>
      <w:r>
        <w:rPr>
          <w:rFonts w:hint="eastAsia" w:ascii="宋体" w:hAnsi="宋体"/>
          <w:color w:val="auto"/>
          <w:sz w:val="24"/>
          <w:szCs w:val="21"/>
          <w:highlight w:val="none"/>
          <w:lang w:val="en-US" w:eastAsia="zh-CN"/>
        </w:rPr>
        <w:t xml:space="preserve">投标报价明细表</w:t>
      </w:r>
      <w:r>
        <w:rPr>
          <w:rFonts w:hint="eastAsia" w:ascii="宋体" w:hAnsi="宋体" w:eastAsia="宋体" w:cs="宋体"/>
          <w:color w:val="auto"/>
          <w:sz w:val="24"/>
          <w:szCs w:val="24"/>
          <w:highlight w:val="none"/>
        </w:rPr>
        <w:t xml:space="preserve">中的投标总报价一致，如不一致，不作为无效投标处理，但评标时按开标一览表中</w:t>
      </w:r>
      <w:r>
        <w:rPr>
          <w:rFonts w:hint="eastAsia" w:ascii="宋体" w:hAnsi="宋体" w:eastAsia="宋体" w:cs="宋体"/>
          <w:color w:val="auto"/>
          <w:sz w:val="24"/>
          <w:szCs w:val="24"/>
          <w:highlight w:val="none"/>
          <w:lang w:eastAsia="zh-CN"/>
        </w:rPr>
        <w:t xml:space="preserve">价格</w:t>
      </w:r>
      <w:r>
        <w:rPr>
          <w:rFonts w:hint="eastAsia" w:ascii="宋体" w:hAnsi="宋体" w:eastAsia="宋体" w:cs="宋体"/>
          <w:color w:val="auto"/>
          <w:sz w:val="24"/>
          <w:szCs w:val="24"/>
          <w:highlight w:val="none"/>
        </w:rPr>
        <w:t xml:space="preserve">。</w:t>
      </w:r>
      <w:r/>
    </w:p>
    <w:p>
      <w:pPr>
        <w:ind w:left="0" w:right="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10.投标报价</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10.1报价为一次报价，于开标会议当场公布。</w:t>
      </w:r>
      <w:r/>
    </w:p>
    <w:p>
      <w:pPr>
        <w:ind w:left="0" w:right="0" w:firstLine="480"/>
        <w:keepLines w:val="0"/>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val="en-US" w:eastAsia="zh-CN"/>
        </w:rPr>
        <w:t xml:space="preserve">10.2</w:t>
      </w:r>
      <w:r>
        <w:rPr>
          <w:rFonts w:hint="eastAsia" w:ascii="宋体" w:hAnsi="宋体" w:eastAsia="宋体" w:cs="宋体"/>
          <w:color w:val="auto"/>
          <w:sz w:val="24"/>
          <w:szCs w:val="24"/>
        </w:rPr>
        <w:t xml:space="preserve">本项目不接受备选的投标方案或有选择的报价，只允许有一个报价。投标报价应是</w:t>
      </w:r>
      <w:r>
        <w:rPr>
          <w:rFonts w:hint="eastAsia" w:ascii="宋体" w:hAnsi="宋体" w:eastAsia="宋体" w:cs="宋体"/>
          <w:color w:val="auto"/>
          <w:sz w:val="24"/>
          <w:szCs w:val="24"/>
          <w:lang w:eastAsia="zh-CN"/>
        </w:rPr>
        <w:t xml:space="preserve">招标文件</w:t>
      </w:r>
      <w:r>
        <w:rPr>
          <w:rFonts w:hint="eastAsia" w:ascii="宋体" w:hAnsi="宋体" w:eastAsia="宋体" w:cs="宋体"/>
          <w:color w:val="auto"/>
          <w:sz w:val="24"/>
          <w:szCs w:val="24"/>
        </w:rPr>
        <w:t xml:space="preserve">所确定发包范围内的全部内容的价格体现。投标全费用综合单价应包括</w:t>
      </w:r>
      <w:r>
        <w:rPr>
          <w:rFonts w:hint="eastAsia" w:ascii="宋体" w:hAnsi="宋体" w:eastAsia="宋体" w:cs="宋体"/>
          <w:color w:val="auto"/>
          <w:sz w:val="24"/>
          <w:szCs w:val="24"/>
          <w:lang w:eastAsia="zh-CN"/>
        </w:rPr>
        <w:t xml:space="preserve">招标文件</w:t>
      </w:r>
      <w:r>
        <w:rPr>
          <w:rFonts w:hint="eastAsia" w:ascii="宋体" w:hAnsi="宋体" w:eastAsia="宋体" w:cs="宋体"/>
          <w:color w:val="auto"/>
          <w:sz w:val="24"/>
          <w:szCs w:val="24"/>
        </w:rPr>
        <w:t xml:space="preserve">所确定的发包范围内的全部内容以及为完成上述内容所必须的货物、材料、劳务、机械、设备、生产制造、采购、管理、运输、装卸、材料设备自检、缺陷修补、利润、税金、政策性文件规定、市场风险以及合同明示或暗示的所有责任、义务和一般风险等所需的全部费用，还包括为完成本项目可能发生的和投标人认为需要的一切费用。</w:t>
      </w:r>
      <w:r/>
    </w:p>
    <w:p>
      <w:pPr>
        <w:ind w:left="0" w:right="0" w:firstLine="480"/>
        <w:keepLines w:val="0"/>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val="en-US" w:eastAsia="zh-CN"/>
        </w:rPr>
        <w:t xml:space="preserve">10.3</w:t>
      </w:r>
      <w:r>
        <w:rPr>
          <w:rFonts w:hint="eastAsia" w:ascii="宋体" w:hAnsi="宋体" w:cs="宋体"/>
          <w:color w:val="auto"/>
          <w:sz w:val="24"/>
          <w:szCs w:val="24"/>
          <w:lang w:eastAsia="zh-CN"/>
        </w:rPr>
        <w:t xml:space="preserve">投标人的任何错漏、优惠、竞争性报价不得作为减轻责任、减少服务、增加收费、降低质量的理由。</w:t>
      </w:r>
      <w:r/>
    </w:p>
    <w:p>
      <w:pPr>
        <w:ind w:left="0" w:right="0" w:firstLine="480"/>
        <w:keepLines w:val="0"/>
        <w:keepNext w:val="0"/>
        <w:pageBreakBefore w:val="0"/>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10.4.报价注意事项：</w:t>
      </w:r>
      <w:r/>
    </w:p>
    <w:p>
      <w:pPr>
        <w:ind w:left="0" w:right="0" w:firstLine="480"/>
        <w:keepLines w:val="0"/>
        <w:keepNext w:val="0"/>
        <w:pageBreakBefore w:val="0"/>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10.4.1</w:t>
      </w:r>
      <w:r>
        <w:rPr>
          <w:rFonts w:hint="eastAsia" w:ascii="宋体" w:hAnsi="宋体" w:cs="宋体"/>
          <w:color w:val="auto"/>
          <w:sz w:val="24"/>
          <w:szCs w:val="24"/>
          <w:highlight w:val="none"/>
          <w:lang w:val="en-US" w:eastAsia="zh-CN"/>
        </w:rPr>
        <w:t xml:space="preserve">投标货币。投标文件中的单价和总价无特殊规定的采用人民币报价，以元为单位标注。招标文件中另有规定的按规定执行。</w:t>
      </w:r>
      <w:r/>
    </w:p>
    <w:p>
      <w:pPr>
        <w:ind w:left="0" w:right="0" w:firstLine="480"/>
        <w:keepLines w:val="0"/>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10.4.2投标人报价时应充分考虑所有可能影响到报价的因素，一旦评标结束最终中标，如发生漏、缺、少项，都将被认为是中标人的报价让利行为，损失自负。</w:t>
      </w:r>
      <w:r/>
    </w:p>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11.</w:t>
      </w:r>
      <w:r>
        <w:rPr>
          <w:rFonts w:hint="eastAsia" w:ascii="宋体" w:hAnsi="宋体"/>
          <w:color w:val="auto"/>
          <w:sz w:val="24"/>
          <w:szCs w:val="21"/>
          <w:highlight w:val="none"/>
        </w:rPr>
        <w:t xml:space="preserve">技术</w:t>
      </w:r>
      <w:r>
        <w:rPr>
          <w:rFonts w:hint="eastAsia" w:ascii="宋体" w:hAnsi="宋体"/>
          <w:color w:val="auto"/>
          <w:sz w:val="24"/>
          <w:szCs w:val="21"/>
          <w:highlight w:val="none"/>
          <w:lang w:eastAsia="zh-CN"/>
        </w:rPr>
        <w:t xml:space="preserve">规格</w:t>
      </w:r>
      <w:r>
        <w:rPr>
          <w:rFonts w:hint="eastAsia" w:ascii="宋体" w:hAnsi="宋体"/>
          <w:color w:val="auto"/>
          <w:sz w:val="24"/>
          <w:szCs w:val="21"/>
          <w:highlight w:val="none"/>
        </w:rPr>
        <w:t xml:space="preserve">响应及偏离</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11.1投标人需对招标文件中的技术要求逐项作出响应或偏离，并说明原因。</w:t>
      </w:r>
      <w:r/>
    </w:p>
    <w:p>
      <w:pPr>
        <w:ind w:left="0" w:righ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11.2投标人可在投标文件中提供认为需要的其他技术文件或说明。</w:t>
      </w:r>
      <w:r/>
    </w:p>
    <w:p>
      <w:pPr>
        <w:ind w:left="0" w:right="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12</w:t>
      </w:r>
      <w:r>
        <w:rPr>
          <w:rFonts w:hint="eastAsia" w:ascii="宋体" w:hAnsi="宋体" w:eastAsia="宋体" w:cs="宋体"/>
          <w:color w:val="auto"/>
          <w:sz w:val="24"/>
        </w:rPr>
        <w:t xml:space="preserve">.服务承诺</w:t>
      </w:r>
      <w:r/>
    </w:p>
    <w:p>
      <w:pPr>
        <w:ind w:left="0" w:right="0" w:firstLine="480"/>
        <w:keepLines w:val="0"/>
        <w:keepNext w:val="0"/>
        <w:pageBreakBefore w:val="0"/>
        <w:spacing w:line="360" w:lineRule="auto"/>
        <w:rPr>
          <w:rFonts w:hint="eastAsia" w:ascii="宋体" w:hAnsi="宋体" w:eastAsia="宋体" w:cs="宋体"/>
          <w:color w:val="auto"/>
          <w:sz w:val="24"/>
          <w:highlight w:val="yellow"/>
        </w:rPr>
      </w:pPr>
      <w:r>
        <w:rPr>
          <w:rFonts w:hint="eastAsia" w:ascii="宋体" w:hAnsi="宋体" w:cs="宋体"/>
          <w:color w:val="auto"/>
          <w:sz w:val="24"/>
          <w:lang w:val="en-US" w:eastAsia="zh-CN"/>
        </w:rPr>
        <w:t xml:space="preserve">12.1</w:t>
      </w:r>
      <w:r>
        <w:rPr>
          <w:rFonts w:hint="eastAsia" w:ascii="宋体" w:hAnsi="宋体" w:eastAsia="宋体" w:cs="宋体"/>
          <w:color w:val="auto"/>
          <w:sz w:val="24"/>
        </w:rPr>
        <w:t xml:space="preserve">投标人的服务承诺应按不低于招标文件中服务要求的标准。</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13.投标保证金</w:t>
      </w:r>
      <w:r/>
    </w:p>
    <w:p>
      <w:pPr>
        <w:ind w:left="0" w:right="0" w:firstLine="482"/>
        <w:jc w:val="both"/>
        <w:keepLines w:val="0"/>
        <w:keepNext w:val="0"/>
        <w:spacing w:before="0" w:beforeAutospacing="0" w:after="0" w:afterAutospacing="0" w:line="480" w:lineRule="exact"/>
        <w:widowControl w:val="off"/>
        <w:rPr>
          <w:rFonts w:hint="eastAsia" w:ascii="宋体" w:hAnsi="宋体" w:eastAsia="宋体" w:cs="宋体"/>
          <w:b/>
          <w:bCs w:val="0"/>
          <w:sz w:val="24"/>
          <w:szCs w:val="24"/>
          <w:lang w:val="en-US"/>
        </w:rPr>
        <w:suppressLineNumbers w:val="0"/>
      </w:pPr>
      <w:r>
        <w:rPr>
          <w:rFonts w:hint="eastAsia" w:ascii="宋体" w:hAnsi="宋体" w:eastAsia="宋体" w:cs="宋体"/>
          <w:b/>
          <w:bCs w:val="0"/>
          <w:sz w:val="24"/>
          <w:szCs w:val="24"/>
          <w:lang w:val="en-US" w:eastAsia="zh-CN" w:bidi="ar"/>
        </w:rPr>
        <w:t xml:space="preserve">本项目无需投标保证金</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14.方案部分（如果本项目涉及的话）</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14.1本项目评标标准中的方案部分是否采用暗标方式进行评审：</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☑不采用      □采用</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14.2方案部分采用暗标方式进行评审的编制要求：</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方案部分文字要求宋体四号字（图表文字为宋体，字号不限制），文字部分不得有加黑、斜体、下划线；不得设置页眉页脚；不得出现可识别投标人身份的字符和徽标（包括人员姓名、企业名称、投标人独享的企业标准或编号），相关人员姓名以职务或职称代替。方案部分上传地址在投标文件制作工具（苏采云“政府采购客户端”）的“技术方案（暗标）”节点。本项目在评审过程中，只要有任一家投标人方案部分能够正常显示的，即视为苏采云系统方案部分暗标功能运行无故障。</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14.3方案部分采用暗标方式的，投标人需按14.2的要求编制方案。经三分之二评委认定，投标人未按14.2的要求编制方案的，按未提供方案处理。</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15.投标有效期</w:t>
      </w:r>
      <w:r>
        <w:rPr>
          <w:rFonts w:hint="eastAsia" w:ascii="宋体" w:hAnsi="宋体" w:eastAsia="宋体" w:cs="宋体"/>
          <w:sz w:val="24"/>
          <w:szCs w:val="24"/>
          <w:lang w:val="en-US" w:eastAsia="zh-CN" w:bidi="ar"/>
        </w:rPr>
        <w:tab/>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15.1投标有效期为从开标之日起计算的九十天。投标有效期比规定短的将被视为非响应投标而予以拒绝。</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15.2在特殊情况下，招标人（代理机构）于原投标有效期满之前，可向投标人提出延长投标有效期的要求，这种要求与答复均应采用书面形式如信件、传真或电报等。投标人可以拒绝接受这一要求而放弃投标，同意延长的投标人既不能要求也不允许修改其投标文件，同时受投标有效期约束的所有权利与义务均延长至新的有效期。</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16.投标文件的签署</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16.1投标人应严格按照投标人须知第8条的要求编制投标文件。</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16.2投标文件应</w:t>
      </w:r>
      <w:r>
        <w:rPr>
          <w:rFonts w:hint="eastAsia" w:ascii="Times New Roman" w:hAnsi="Times New Roman" w:eastAsia="宋体" w:cs="宋体"/>
          <w:bCs/>
          <w:sz w:val="24"/>
          <w:szCs w:val="24"/>
          <w:lang w:val="en-US" w:eastAsia="zh-CN" w:bidi="ar"/>
        </w:rPr>
        <w:t xml:space="preserve">按招标文件要求</w:t>
      </w:r>
      <w:r>
        <w:rPr>
          <w:rFonts w:hint="eastAsia" w:ascii="宋体" w:hAnsi="宋体" w:eastAsia="宋体" w:cs="宋体"/>
          <w:bCs/>
          <w:sz w:val="24"/>
          <w:szCs w:val="24"/>
          <w:lang w:val="en-US" w:eastAsia="zh-CN" w:bidi="ar"/>
        </w:rPr>
        <w:t xml:space="preserve">进行电子签章。电子投标文件不得涂改、行间插字或删除，如果出现上述情况应重新编制。</w:t>
      </w:r>
      <w:r/>
    </w:p>
    <w:p>
      <w:pPr>
        <w:ind w:left="0" w:right="0" w:firstLine="482"/>
        <w:jc w:val="both"/>
        <w:keepLines w:val="0"/>
        <w:keepNext w:val="0"/>
        <w:spacing w:before="0" w:beforeAutospacing="0" w:after="0" w:afterAutospacing="0" w:line="480" w:lineRule="exact"/>
        <w:widowControl w:val="off"/>
        <w:rPr>
          <w:rFonts w:hint="eastAsia" w:ascii="宋体" w:hAnsi="宋体" w:eastAsia="宋体" w:cs="宋体"/>
          <w:b/>
          <w:bCs w:val="0"/>
          <w:sz w:val="24"/>
          <w:szCs w:val="24"/>
          <w:lang w:val="en-US"/>
        </w:rPr>
        <w:outlineLvl w:val="1"/>
        <w:suppressLineNumbers w:val="0"/>
      </w:pPr>
      <w:r/>
      <w:bookmarkStart w:id="4" w:name="_Toc4234"/>
      <w:r/>
      <w:bookmarkStart w:id="5" w:name="_Toc15372"/>
      <w:r>
        <w:rPr>
          <w:rFonts w:hint="eastAsia" w:ascii="宋体" w:hAnsi="宋体" w:eastAsia="宋体" w:cs="宋体"/>
          <w:b/>
          <w:bCs w:val="0"/>
          <w:sz w:val="24"/>
          <w:szCs w:val="24"/>
          <w:lang w:val="en-US" w:eastAsia="zh-CN" w:bidi="ar"/>
        </w:rPr>
        <w:t xml:space="preserve">四、投标文件的递交</w:t>
      </w:r>
      <w:bookmarkEnd w:id="4"/>
      <w:r/>
      <w:bookmarkEnd w:id="5"/>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17.投标文件递交</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17.1投标人应当按照《苏采云供应商操作手册》规定，在投标文件递交截止时间前制作并上传电子投标文件。</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en-US" w:eastAsia="zh-CN" w:bidi="ar"/>
        </w:rPr>
        <w:t xml:space="preserve">17.2投标人上传的电子投标文件内容不清楚或不清晰的（含扫描件），造成无法评审或部分影响评审的，</w:t>
      </w:r>
      <w:r>
        <w:rPr>
          <w:rFonts w:hint="eastAsia" w:ascii="宋体" w:hAnsi="宋体" w:eastAsia="宋体" w:cs="宋体"/>
          <w:sz w:val="24"/>
          <w:szCs w:val="24"/>
          <w:lang w:val="zh-CN" w:eastAsia="zh-CN" w:bidi="ar"/>
        </w:rPr>
        <w:t xml:space="preserve">责任由</w:t>
      </w:r>
      <w:r>
        <w:rPr>
          <w:rFonts w:hint="eastAsia" w:ascii="宋体" w:hAnsi="宋体" w:eastAsia="宋体" w:cs="宋体"/>
          <w:sz w:val="24"/>
          <w:szCs w:val="24"/>
          <w:lang w:val="en-US" w:eastAsia="zh-CN" w:bidi="ar"/>
        </w:rPr>
        <w:t xml:space="preserve">投标人</w:t>
      </w:r>
      <w:r>
        <w:rPr>
          <w:rFonts w:hint="eastAsia" w:ascii="宋体" w:hAnsi="宋体" w:eastAsia="宋体" w:cs="宋体"/>
          <w:sz w:val="24"/>
          <w:szCs w:val="24"/>
          <w:lang w:val="zh-CN" w:eastAsia="zh-CN" w:bidi="ar"/>
        </w:rPr>
        <w:t xml:space="preserve">自负。</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17.3投标人上传电子投标文件的时间不得迟于投标邀请中规定的投标文件递交截止时间。</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17.4招标人（采购代理）可以按第7条规定，通过修改招标文件有权酌情延长投标文件接收截止时间。在此情况下，投标人的所有权利和义务以及投标人受制约的截止日期均应以延长后新的截止日期为准。</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17.5中标单位在领取中标通知书之前，必须提供两份与电子投标文件一致的纸质打印投标文件。</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18.投标文件被拒绝接收的情形</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18.1在招标文件规定的投标截止时间后上传的电子投标文件。</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
          <w:bCs w:val="0"/>
          <w:sz w:val="24"/>
          <w:szCs w:val="24"/>
          <w:lang w:val="en-US"/>
        </w:rPr>
        <w:suppressLineNumbers w:val="0"/>
      </w:pPr>
      <w:r>
        <w:rPr>
          <w:rFonts w:hint="eastAsia" w:ascii="宋体" w:hAnsi="宋体" w:eastAsia="宋体" w:cs="宋体"/>
          <w:sz w:val="24"/>
          <w:szCs w:val="24"/>
          <w:lang w:val="en-US" w:eastAsia="zh-CN" w:bidi="ar"/>
        </w:rPr>
        <w:t xml:space="preserve">19.投标文件的修改和撤回</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19.1投标人在递交投标文件后可以对其修改或撤回，但这种修改和撤回，必须在规定的投标截止时间前。</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19.2对于电子投标文件的修改，投标人可在投标截止时间前登录苏采云系统撤回电子投标文件，并上传新的投标文件。</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19.3投标人不得在投标截止时间以后修改投标文件。</w:t>
      </w:r>
      <w:r/>
    </w:p>
    <w:p>
      <w:pPr>
        <w:ind w:left="0" w:right="0" w:firstLine="482"/>
        <w:jc w:val="both"/>
        <w:keepLines w:val="0"/>
        <w:keepNext w:val="0"/>
        <w:spacing w:before="0" w:beforeAutospacing="0" w:after="0" w:afterAutospacing="0" w:line="480" w:lineRule="exact"/>
        <w:widowControl w:val="off"/>
        <w:rPr>
          <w:rFonts w:hint="eastAsia" w:ascii="宋体" w:hAnsi="宋体" w:eastAsia="宋体" w:cs="宋体"/>
          <w:b/>
          <w:bCs w:val="0"/>
          <w:sz w:val="24"/>
          <w:szCs w:val="24"/>
          <w:lang w:val="en-US"/>
        </w:rPr>
        <w:outlineLvl w:val="1"/>
        <w:suppressLineNumbers w:val="0"/>
      </w:pPr>
      <w:r/>
      <w:bookmarkStart w:id="6" w:name="_Toc28487"/>
      <w:r/>
      <w:bookmarkStart w:id="7" w:name="_Toc18117"/>
      <w:r/>
      <w:bookmarkStart w:id="8" w:name="_Toc162083530"/>
      <w:r>
        <w:rPr>
          <w:rFonts w:hint="eastAsia" w:ascii="宋体" w:hAnsi="宋体" w:eastAsia="宋体" w:cs="宋体"/>
          <w:b/>
          <w:bCs w:val="0"/>
          <w:sz w:val="24"/>
          <w:szCs w:val="24"/>
          <w:lang w:val="en-US" w:eastAsia="zh-CN" w:bidi="ar"/>
        </w:rPr>
        <w:t xml:space="preserve">五、开标及评标</w:t>
      </w:r>
      <w:bookmarkEnd w:id="6"/>
      <w:r/>
      <w:bookmarkEnd w:id="7"/>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20.开标</w:t>
      </w:r>
      <w:bookmarkEnd w:id="8"/>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20</w:t>
      </w:r>
      <w:r>
        <w:rPr>
          <w:rFonts w:hint="eastAsia" w:ascii="宋体" w:hAnsi="宋体" w:cs="宋体"/>
          <w:sz w:val="24"/>
        </w:rPr>
        <w:t xml:space="preserve">.1招标人（代理机构）将在招标公告中规定的时间和地点组织开标。投标人应当按照《操作手册》规定，参加开标活动和在苏采云系统规定的时间内对投标文件进行解密。</w:t>
      </w:r>
      <w:r/>
    </w:p>
    <w:p>
      <w:pPr>
        <w:ind w:firstLine="480"/>
        <w:spacing w:line="360" w:lineRule="auto"/>
        <w:tabs>
          <w:tab w:val="left" w:pos="900" w:leader="none"/>
        </w:tabs>
        <w:rPr>
          <w:rFonts w:hint="eastAsia" w:ascii="宋体" w:hAnsi="宋体" w:cs="宋体"/>
          <w:sz w:val="24"/>
        </w:rPr>
      </w:pPr>
      <w:r>
        <w:rPr>
          <w:rFonts w:hint="eastAsia" w:ascii="宋体" w:hAnsi="宋体" w:cs="宋体"/>
          <w:sz w:val="24"/>
          <w:lang w:val="en-US" w:eastAsia="zh-CN"/>
        </w:rPr>
        <w:t xml:space="preserve">20</w:t>
      </w:r>
      <w:r>
        <w:rPr>
          <w:rFonts w:hint="eastAsia" w:ascii="宋体" w:hAnsi="宋体" w:cs="宋体"/>
          <w:sz w:val="24"/>
        </w:rPr>
        <w:t xml:space="preserve">.2开标仪式由招标人（代理机构）组织。苏采云系统将自动对项目进行开标，并宣布各投标人名称和投标价格。</w:t>
      </w:r>
      <w:r/>
    </w:p>
    <w:p>
      <w:pPr>
        <w:ind w:firstLine="480"/>
        <w:spacing w:line="360" w:lineRule="auto"/>
        <w:tabs>
          <w:tab w:val="left" w:pos="900" w:leader="none"/>
        </w:tabs>
        <w:rPr>
          <w:rFonts w:hint="eastAsia" w:ascii="宋体" w:hAnsi="宋体" w:cs="宋体"/>
          <w:sz w:val="24"/>
        </w:rPr>
      </w:pPr>
      <w:r>
        <w:rPr>
          <w:rFonts w:hint="eastAsia" w:ascii="宋体" w:hAnsi="宋体" w:cs="宋体"/>
          <w:sz w:val="24"/>
          <w:lang w:val="en-US" w:eastAsia="zh-CN"/>
        </w:rPr>
        <w:t xml:space="preserve">20</w:t>
      </w:r>
      <w:r>
        <w:rPr>
          <w:rFonts w:hint="eastAsia" w:ascii="宋体" w:hAnsi="宋体" w:cs="宋体"/>
          <w:sz w:val="24"/>
        </w:rPr>
        <w:t xml:space="preserve">.3投标人在开标过程中涉及到的投标文件解密、开标结果确认等工作，应按照《操作手册》规定执行。</w:t>
      </w:r>
      <w:r/>
    </w:p>
    <w:p>
      <w:pPr>
        <w:ind w:firstLine="480"/>
        <w:spacing w:line="360" w:lineRule="auto"/>
        <w:tabs>
          <w:tab w:val="left" w:pos="900" w:leader="none"/>
        </w:tabs>
        <w:rPr>
          <w:rFonts w:hint="eastAsia" w:ascii="宋体" w:hAnsi="宋体" w:cs="宋体"/>
          <w:sz w:val="24"/>
        </w:rPr>
      </w:pPr>
      <w:r>
        <w:rPr>
          <w:rFonts w:hint="eastAsia" w:ascii="宋体" w:hAnsi="宋体" w:cs="宋体"/>
          <w:sz w:val="24"/>
          <w:lang w:val="en-US" w:eastAsia="zh-CN"/>
        </w:rPr>
        <w:t xml:space="preserve">20</w:t>
      </w:r>
      <w:r>
        <w:rPr>
          <w:rFonts w:hint="eastAsia" w:ascii="宋体" w:hAnsi="宋体" w:cs="宋体"/>
          <w:sz w:val="24"/>
        </w:rPr>
        <w:t xml:space="preserve">.4投标人如果对开标过程和开标记录有疑义，应当根据《操作手册》规定提出，如苏采云系统中《开标记录表》宣布后5分钟内未提出的，视同认可开标结果。</w:t>
      </w:r>
      <w:r/>
    </w:p>
    <w:p>
      <w:pPr>
        <w:ind w:firstLine="480"/>
        <w:spacing w:line="360" w:lineRule="auto"/>
        <w:tabs>
          <w:tab w:val="left" w:pos="900" w:leader="none"/>
        </w:tabs>
        <w:rPr>
          <w:rFonts w:hint="eastAsia" w:ascii="宋体" w:hAnsi="宋体" w:cs="宋体"/>
          <w:sz w:val="24"/>
          <w:lang w:val="zh-CN"/>
        </w:rPr>
      </w:pPr>
      <w:r>
        <w:rPr>
          <w:rFonts w:hint="eastAsia" w:ascii="宋体" w:hAnsi="宋体" w:cs="宋体"/>
          <w:sz w:val="24"/>
          <w:lang w:val="en-US" w:eastAsia="zh-CN"/>
        </w:rPr>
        <w:t xml:space="preserve">20</w:t>
      </w:r>
      <w:r>
        <w:rPr>
          <w:rFonts w:hint="eastAsia" w:ascii="宋体" w:hAnsi="宋体" w:cs="宋体"/>
          <w:sz w:val="24"/>
          <w:lang w:val="zh-CN"/>
        </w:rPr>
        <w:t xml:space="preserve">.</w:t>
      </w:r>
      <w:r>
        <w:rPr>
          <w:rFonts w:hint="eastAsia" w:ascii="宋体" w:hAnsi="宋体" w:cs="宋体"/>
          <w:sz w:val="24"/>
        </w:rPr>
        <w:t xml:space="preserve">5投标截止时间结束后参加投标的投标人不足三家情况的，除采购任务取消情形外，按财政部令第87号第四十三条条款进行处理</w:t>
      </w:r>
      <w:r>
        <w:rPr>
          <w:rFonts w:hint="eastAsia" w:ascii="宋体" w:hAnsi="宋体" w:cs="宋体"/>
          <w:sz w:val="24"/>
          <w:lang w:val="zh-CN"/>
        </w:rPr>
        <w:t xml:space="preserve">。</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21.评标</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21.1评标组织</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zh-CN" w:eastAsia="zh-CN" w:bidi="ar"/>
        </w:rPr>
        <w:t xml:space="preserve">2</w:t>
      </w:r>
      <w:r>
        <w:rPr>
          <w:rFonts w:hint="eastAsia" w:ascii="宋体" w:hAnsi="宋体" w:eastAsia="宋体" w:cs="宋体"/>
          <w:sz w:val="24"/>
          <w:szCs w:val="24"/>
          <w:lang w:val="en-US" w:eastAsia="zh-CN" w:bidi="ar"/>
        </w:rPr>
        <w:t xml:space="preserve">1</w:t>
      </w:r>
      <w:r>
        <w:rPr>
          <w:rFonts w:hint="eastAsia" w:ascii="宋体" w:hAnsi="宋体" w:eastAsia="宋体" w:cs="宋体"/>
          <w:sz w:val="24"/>
          <w:szCs w:val="24"/>
          <w:lang w:val="zh-CN" w:eastAsia="zh-CN" w:bidi="ar"/>
        </w:rPr>
        <w:t xml:space="preserve">.1.1评标工作由招标人（代理机构）负责组织，具体评标事务由依法组建的评标委员会负责，并独立履行</w:t>
      </w:r>
      <w:r>
        <w:rPr>
          <w:rFonts w:hint="eastAsia" w:ascii="宋体" w:hAnsi="宋体" w:eastAsia="宋体" w:cs="宋体"/>
          <w:sz w:val="24"/>
          <w:szCs w:val="24"/>
          <w:lang w:val="en-US" w:eastAsia="zh-CN" w:bidi="ar"/>
        </w:rPr>
        <w:t xml:space="preserve">下列职责：</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（1）审查、评价投标文件是否符合招标文件的商务、技术等实质性要求；</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（2）要求投标人对投标文件有关事项作出澄清或者说明；</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（3）对投标文件进行比较和评价；</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（4）确定中标候选人名单，根据招标人委托协议直接确定中标人；</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（5）向招标人、财政部门报告评标中发现的违法行为。</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zh-CN" w:eastAsia="zh-CN"/>
        </w:rPr>
        <w:suppressLineNumbers w:val="0"/>
      </w:pPr>
      <w:r>
        <w:rPr>
          <w:rFonts w:hint="eastAsia" w:ascii="宋体" w:hAnsi="宋体" w:eastAsia="宋体" w:cs="宋体"/>
          <w:bCs/>
          <w:sz w:val="24"/>
          <w:szCs w:val="24"/>
          <w:lang w:val="en-US" w:eastAsia="zh-CN" w:bidi="ar"/>
        </w:rPr>
        <w:t xml:space="preserve">21</w:t>
      </w:r>
      <w:r>
        <w:rPr>
          <w:rFonts w:hint="eastAsia" w:ascii="宋体" w:hAnsi="宋体" w:eastAsia="宋体" w:cs="宋体"/>
          <w:bCs/>
          <w:sz w:val="24"/>
          <w:szCs w:val="24"/>
          <w:lang w:val="zh-CN" w:eastAsia="zh-CN" w:bidi="ar"/>
        </w:rPr>
        <w:t xml:space="preserve">.1.2</w:t>
      </w:r>
      <w:r>
        <w:rPr>
          <w:rFonts w:hint="eastAsia" w:ascii="宋体" w:hAnsi="宋体" w:eastAsia="宋体" w:cs="宋体"/>
          <w:sz w:val="24"/>
          <w:szCs w:val="24"/>
          <w:lang w:val="zh-CN" w:eastAsia="zh-CN" w:bidi="ar"/>
        </w:rPr>
        <w:t xml:space="preserve">评标委员会由招标人代表和有关技术、经济等方面的专家组成，独立开展评审工作。</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21.2评标程序</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21.2.1投标文件的资格审查。</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21.2.1.1招标人或采购代理机构将依法根据招标文件对投标人的资格进行审查。</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en-US" w:eastAsia="zh-CN" w:bidi="ar"/>
        </w:rPr>
        <w:t xml:space="preserve">21</w:t>
      </w:r>
      <w:r>
        <w:rPr>
          <w:rFonts w:hint="eastAsia" w:ascii="宋体" w:hAnsi="宋体" w:eastAsia="宋体" w:cs="宋体"/>
          <w:sz w:val="24"/>
          <w:szCs w:val="24"/>
          <w:lang w:val="zh-CN" w:eastAsia="zh-CN" w:bidi="ar"/>
        </w:rPr>
        <w:t xml:space="preserve">.2.1.2资格性审查：依据法律法规和招标文件的规定，对投标文件中的资格证明文件、投标保证金等进行审查，以确定投标人是否具备投标资格。</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en-US" w:eastAsia="zh-CN" w:bidi="ar"/>
        </w:rPr>
        <w:t xml:space="preserve">21</w:t>
      </w:r>
      <w:r>
        <w:rPr>
          <w:rFonts w:hint="eastAsia" w:ascii="宋体" w:hAnsi="宋体" w:eastAsia="宋体" w:cs="宋体"/>
          <w:sz w:val="24"/>
          <w:szCs w:val="24"/>
          <w:lang w:val="zh-CN" w:eastAsia="zh-CN" w:bidi="ar"/>
        </w:rPr>
        <w:t xml:space="preserve">.2.1.3在进行资格性审查的同时，将在“信用中国”网站、“中国政府采购网”对投标人是否被列入失信被执行人、重大税收违法案件当事人名单、政府采购严重违法失信行为记录名单的情况进行查询，以确定投标人是否具备投标资格。查询结果将以网页打印的形式留存并归档。</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21</w:t>
      </w:r>
      <w:r>
        <w:rPr>
          <w:rFonts w:hint="eastAsia" w:ascii="宋体" w:hAnsi="宋体" w:eastAsia="宋体" w:cs="宋体"/>
          <w:sz w:val="24"/>
          <w:szCs w:val="24"/>
          <w:lang w:val="zh-CN" w:eastAsia="zh-CN" w:bidi="ar"/>
        </w:rPr>
        <w:t xml:space="preserve">.2.1.4投标文件有下列情况之一的，在资格性审查时按照无效投标处理：</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bidi="ar"/>
        </w:rPr>
        <w:t xml:space="preserve">（1）不具备招标文件中规定的资格要求的；</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bidi="ar"/>
        </w:rPr>
        <w:t xml:space="preserve">（2）投标人被“信用中国”网站列入失信被执行人或重大税收违法案件当事人名单或政府采购严重失信行为记录名单。</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21.2.2投标文件的符合性审查</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en-US" w:eastAsia="zh-CN" w:bidi="ar"/>
        </w:rPr>
        <w:t xml:space="preserve">21</w:t>
      </w:r>
      <w:r>
        <w:rPr>
          <w:rFonts w:hint="eastAsia" w:ascii="宋体" w:hAnsi="宋体" w:eastAsia="宋体" w:cs="宋体"/>
          <w:sz w:val="24"/>
          <w:szCs w:val="24"/>
          <w:lang w:val="zh-CN" w:eastAsia="zh-CN" w:bidi="ar"/>
        </w:rPr>
        <w:t xml:space="preserve">.2.2.1评标委员会将依据法律法规和招标文件的规定，对投标文件的有效性、完整性和对招标文件的响应程度进行审查，以确定是否对招标文件的实质性要求作出响应。</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en-US" w:eastAsia="zh-CN" w:bidi="ar"/>
        </w:rPr>
        <w:t xml:space="preserve">21</w:t>
      </w:r>
      <w:r>
        <w:rPr>
          <w:rFonts w:hint="eastAsia" w:ascii="宋体" w:hAnsi="宋体" w:eastAsia="宋体" w:cs="宋体"/>
          <w:sz w:val="24"/>
          <w:szCs w:val="24"/>
          <w:lang w:val="zh-CN" w:eastAsia="zh-CN" w:bidi="ar"/>
        </w:rPr>
        <w:t xml:space="preserve">.2.2.2实质性要求是指本招标文件中用带星号（“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sz w:val="24"/>
          <w:szCs w:val="24"/>
          <w:lang w:val="zh-CN" w:eastAsia="zh-CN" w:bidi="ar"/>
        </w:rPr>
        <w:t xml:space="preserve">”）的商务和技术要求。</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en-US" w:eastAsia="zh-CN" w:bidi="ar"/>
        </w:rPr>
        <w:t xml:space="preserve">21</w:t>
      </w:r>
      <w:r>
        <w:rPr>
          <w:rFonts w:hint="eastAsia" w:ascii="宋体" w:hAnsi="宋体" w:eastAsia="宋体" w:cs="宋体"/>
          <w:sz w:val="24"/>
          <w:szCs w:val="24"/>
          <w:lang w:val="zh-CN" w:eastAsia="zh-CN" w:bidi="ar"/>
        </w:rPr>
        <w:t xml:space="preserve">.2.2.3如果投标文件实质上没有响应招标文件的要求，评标委员会将予以拒绝，投标人不得通过修改或撤销不</w:t>
      </w:r>
      <w:r>
        <w:rPr>
          <w:rFonts w:hint="eastAsia" w:ascii="宋体" w:hAnsi="宋体" w:eastAsia="宋体" w:cs="宋体"/>
          <w:sz w:val="24"/>
          <w:szCs w:val="24"/>
          <w:lang w:val="en-US" w:eastAsia="zh-CN" w:bidi="ar"/>
        </w:rPr>
        <w:t xml:space="preserve">符合</w:t>
      </w:r>
      <w:r>
        <w:rPr>
          <w:rFonts w:hint="eastAsia" w:ascii="宋体" w:hAnsi="宋体" w:eastAsia="宋体" w:cs="宋体"/>
          <w:sz w:val="24"/>
          <w:szCs w:val="24"/>
          <w:lang w:val="zh-CN" w:eastAsia="zh-CN" w:bidi="ar"/>
        </w:rPr>
        <w:t xml:space="preserve">要求的偏离或保留而使其投标成为实质性响应的投标。</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sz w:val="24"/>
          <w:szCs w:val="24"/>
          <w:lang w:val="en-US"/>
        </w:rPr>
        <w:suppressLineNumbers w:val="0"/>
      </w:pPr>
      <w:r>
        <w:rPr>
          <w:rFonts w:hint="eastAsia" w:ascii="宋体" w:hAnsi="宋体" w:eastAsia="宋体" w:cs="宋体"/>
          <w:sz w:val="24"/>
          <w:szCs w:val="24"/>
          <w:lang w:val="en-US" w:eastAsia="zh-CN" w:bidi="ar"/>
        </w:rPr>
        <w:t xml:space="preserve">21.2.2.4</w:t>
      </w:r>
      <w:r>
        <w:rPr>
          <w:rFonts w:hint="eastAsia" w:ascii="宋体" w:hAnsi="宋体" w:eastAsia="宋体" w:cs="宋体"/>
          <w:bCs/>
          <w:sz w:val="24"/>
          <w:szCs w:val="24"/>
          <w:lang w:val="en-US" w:eastAsia="zh-CN" w:bidi="ar"/>
        </w:rPr>
        <w:t xml:space="preserve">评标委员会将对确定为实质性响应的投标进行进一步审核，看其是否有计算上或累加上的算术错误，修正错误的原则如下：</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（1）投标文件中开标一览表（报价表）内容与投标文件中相应内容不一致的，以开标一览表（报价表）为准。</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（2）大写金额和小写金额不一致的，以大写金额为准。</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（3）单价金额小数点或者百分比有明显错位的，以开标一览表的总价为准，并修改单价。</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（4）总价金额与按单价汇总金额不一致的，以单价金额计算结果为准。</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同时出现两种以上错误的，按照前款规定的顺序修正。</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sz w:val="24"/>
          <w:szCs w:val="24"/>
          <w:lang w:val="en-US"/>
        </w:rPr>
        <w:suppressLineNumbers w:val="0"/>
      </w:pPr>
      <w:r>
        <w:rPr>
          <w:rFonts w:hint="eastAsia" w:ascii="宋体" w:hAnsi="宋体" w:eastAsia="宋体" w:cs="宋体"/>
          <w:sz w:val="24"/>
          <w:szCs w:val="24"/>
          <w:lang w:val="en-US" w:eastAsia="zh-CN" w:bidi="ar"/>
        </w:rPr>
        <w:t xml:space="preserve">21.2.2.5</w:t>
      </w:r>
      <w:r>
        <w:rPr>
          <w:rFonts w:hint="eastAsia" w:ascii="宋体" w:hAnsi="宋体" w:eastAsia="宋体" w:cs="宋体"/>
          <w:bCs/>
          <w:sz w:val="24"/>
          <w:szCs w:val="24"/>
          <w:lang w:val="en-US" w:eastAsia="zh-CN" w:bidi="ar"/>
        </w:rPr>
        <w:t xml:space="preserve">评标委员会将按上述修正错误的方法调整投标文件中的投标报价，调整后的价格应对投标人具有约束力。如果投标人不确认签字，其投标无效。</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21.2.2.6对投标文件中含义不明确、同类问题表述不一致或者明显文字错误的内容，评标委员会可以要求投标人作出必要的澄清、说明或者补正。（在视频交流时，评标委员会首先会核实授权委托人或法人代表的身份信息，如身份信息不符则视同投标人放弃澄清、说明或者补正的权利）。投标人的澄清、说明、补正要通过开标大厅向评标委员会进行澄清回复，同时必须将澄清、说明、补正的内容形成电子文件加盖电子签章通过开标大厅上传。投标人的澄清、说明、补正不得超出投标文件的范围或者改变投标文件的实质性内容。</w:t>
      </w:r>
      <w:r/>
    </w:p>
    <w:p>
      <w:pPr>
        <w:pStyle w:val="727"/>
        <w:ind w:left="0" w:right="0" w:firstLine="480"/>
        <w:jc w:val="left"/>
        <w:keepLines w:val="0"/>
        <w:keepNext w:val="0"/>
        <w:spacing w:before="0" w:beforeAutospacing="0" w:after="0" w:afterAutospacing="0" w:line="480" w:lineRule="exact"/>
        <w:widowControl w:val="off"/>
        <w:rPr>
          <w:rFonts w:hint="eastAsia" w:ascii="宋体" w:hAnsi="宋体" w:eastAsia="宋体" w:cs="宋体"/>
          <w:color w:val="auto"/>
          <w:lang w:val="en-US"/>
        </w:rPr>
        <w:suppressLineNumbers w:val="0"/>
      </w:pPr>
      <w:r>
        <w:rPr>
          <w:rFonts w:hint="eastAsia" w:ascii="宋体" w:hAnsi="宋体" w:eastAsia="宋体" w:cs="宋体"/>
          <w:color w:val="auto"/>
          <w:sz w:val="24"/>
          <w:szCs w:val="24"/>
          <w:lang w:val="en-US" w:eastAsia="zh-CN" w:bidi="ar"/>
        </w:rPr>
        <w:t xml:space="preserve">21.2.2.7接到评标委员会澄清要求的投标人如未按第21.2.2.6条的规定做出澄清，将视为放弃该权利。</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21.2.2.8</w:t>
      </w:r>
      <w:r>
        <w:rPr>
          <w:rFonts w:hint="eastAsia" w:ascii="宋体" w:hAnsi="宋体" w:eastAsia="宋体" w:cs="宋体"/>
          <w:color w:val="000000"/>
          <w:sz w:val="24"/>
          <w:szCs w:val="21"/>
          <w:lang w:val="en-US" w:eastAsia="zh-CN" w:bidi="ar"/>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sz w:val="24"/>
          <w:szCs w:val="24"/>
          <w:lang w:val="en-US" w:eastAsia="zh-CN" w:bidi="ar"/>
        </w:rPr>
        <w:t xml:space="preserve">。</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color w:val="000000"/>
          <w:sz w:val="24"/>
          <w:szCs w:val="21"/>
          <w:lang w:val="en-US" w:eastAsia="zh-CN" w:bidi="ar"/>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通过随机抽取的方式）确定一个中标候选人，其他同品牌投标人不作为中标候选人。</w:t>
      </w:r>
      <w:r/>
    </w:p>
    <w:p>
      <w:pPr>
        <w:ind w:left="0" w:right="0" w:firstLine="480"/>
        <w:jc w:val="both"/>
        <w:keepLines w:val="0"/>
        <w:keepNext w:val="0"/>
        <w:spacing w:before="0" w:beforeAutospacing="0" w:after="0" w:afterAutospacing="0" w:line="480" w:lineRule="exact"/>
        <w:widowControl w:val="off"/>
        <w:rPr>
          <w:rFonts w:hint="eastAsia" w:ascii="宋体" w:hAnsi="宋体" w:cs="宋体"/>
          <w:sz w:val="24"/>
          <w:szCs w:val="24"/>
          <w:highlight w:val="none"/>
          <w:lang w:val="en-US" w:eastAsia="zh-CN" w:bidi="ar"/>
        </w:rPr>
        <w:suppressLineNumbers w:val="0"/>
      </w:pPr>
      <w:r>
        <w:rPr>
          <w:rFonts w:hint="eastAsia" w:ascii="宋体" w:hAnsi="宋体" w:eastAsia="宋体" w:cs="宋体"/>
          <w:sz w:val="24"/>
          <w:szCs w:val="24"/>
          <w:lang w:val="en-US" w:eastAsia="zh-CN" w:bidi="ar"/>
        </w:rPr>
        <w:t xml:space="preserve">非单一产品采购项目，招标文件中将载明其中的核心产品，多家投标人提供的核心产品均为同一品牌相同的，按前两款规定</w:t>
      </w:r>
      <w:r>
        <w:rPr>
          <w:rFonts w:hint="eastAsia" w:ascii="宋体" w:hAnsi="宋体" w:eastAsia="宋体" w:cs="宋体"/>
          <w:sz w:val="24"/>
          <w:szCs w:val="24"/>
          <w:highlight w:val="none"/>
          <w:lang w:val="en-US" w:eastAsia="zh-CN" w:bidi="ar"/>
        </w:rPr>
        <w:t xml:space="preserve">处理。</w:t>
      </w:r>
      <w:r>
        <w:rPr>
          <w:rFonts w:hint="eastAsia" w:ascii="宋体" w:hAnsi="宋体" w:cs="宋体"/>
          <w:sz w:val="24"/>
          <w:szCs w:val="24"/>
          <w:highlight w:val="none"/>
          <w:lang w:val="en-US" w:eastAsia="zh-CN" w:bidi="ar"/>
        </w:rPr>
        <w:t xml:space="preserve"> </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21.2.2.9投标文件有下列情况之一的，在符合性审查时按照无效投标处理：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bookmarkStart w:id="9" w:name="20.2.2.11有下列情形之一的予以废标，同时将废标理由通知所有投标人:"/>
      <w:r/>
      <w:bookmarkEnd w:id="9"/>
      <w:r>
        <w:rPr>
          <w:rFonts w:hint="eastAsia" w:ascii="宋体" w:hAnsi="宋体" w:eastAsia="宋体" w:cs="宋体"/>
          <w:sz w:val="24"/>
          <w:szCs w:val="24"/>
          <w:lang w:val="en-US" w:eastAsia="zh-CN" w:bidi="ar"/>
        </w:rPr>
        <w:t xml:space="preserve">（1）投标人在苏采云系统规定的时间内未成功解密电子投标文件的。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（2）投标人未按照招标文件要求上传电子投标文件的。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（3）同一投标人提交两个（含两个）以上不同的投标报价的。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（4）投标人不具备招标文件中规定资格要求的。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（5）投标人的报价超过了采购预算或最高限价的。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（6）投标文件含有招标人不能接受的附加条件的；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（7）不符合招标文件中规定的实质性要求和条件的（第五章“项目采购需求”中加“</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sz w:val="24"/>
          <w:szCs w:val="24"/>
          <w:lang w:val="en-US" w:eastAsia="zh-CN" w:bidi="ar"/>
        </w:rPr>
        <w:t xml:space="preserve">”项为实质性条款不接受负偏离，不响应作无效标处理）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（8）经查实提供虚假材料谋取成交的；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（9）投标文件未按照招标文件要求加盖CA电子公章的。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（10）未通过符合性审查的。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11）评标委员会认为供应商的报价属于《财政部关于推动解决政府采购异常低价问题的通知》（财库〔2026〕2号）异常低价情形的，将通过苏采云系统，按照（财库〔2026〕2号）文件要求启动异常低价响应审查程序，要求其在合理的时间内提供说明，必要时提交相关证明材料；供应商不能证明其报价合理性的，评标委员会应当将其作为无效投标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（12）按照第</w:t>
      </w:r>
      <w:r>
        <w:rPr>
          <w:rFonts w:hint="eastAsia" w:ascii="宋体" w:hAnsi="宋体" w:cs="宋体"/>
          <w:sz w:val="24"/>
          <w:szCs w:val="24"/>
          <w:lang w:val="en-US" w:eastAsia="zh-CN" w:bidi="ar"/>
        </w:rPr>
        <w:t xml:space="preserve">32</w:t>
      </w:r>
      <w:r>
        <w:rPr>
          <w:rFonts w:hint="eastAsia" w:ascii="宋体" w:hAnsi="宋体" w:eastAsia="宋体" w:cs="宋体"/>
          <w:sz w:val="24"/>
          <w:szCs w:val="24"/>
          <w:lang w:val="en-US" w:eastAsia="zh-CN" w:bidi="ar"/>
        </w:rPr>
        <w:t xml:space="preserve">的要求本项目中具有“强制采购”产品，但未提供经国家确定的认证机构出具的、处于有效期之内该节能产品认证证书图片的；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（13） 其他法律、法规及本招标文件规定的无效投标的情形。</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在评标期间，出现符合专业条件的投标人或者对招标文件作出实质性响应的投标人不足三家情形的，按政府采购相关规定执行。</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21.2.2.10有下列情形之一的予以废标，同时将废标理由通知所有投标人：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（1）符合专业条件的投标人或者对招标文件作实质性响应的投标人不足三家的；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（2）出现影响采购公正的违法、违规行为的；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（3）因重大变故，采购任务取消的；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（4）评标委员会认定招标文件存在歧义、重大缺陷导致评审工作无法进行。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（5）因苏采云系统故障原因造成开标不成功的。</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（6）投标截止时间结束后参加投标的供应商不足三家的。</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22.评审及中标</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22.1评标委员会将对通过资格性审查和符合性审查的投标文件进行评价和比较。</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22.2评标委员会按招标文件第三章中公布的评标标准对每份合格投标文件进行评审，确定中标投标人，任何单项因素的最优不能作为中标的保证。</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23.评标过程的保密</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23.1在宣布中标结果之前，凡属于审查、澄清、评价、比较投标文件和中标意向等有关信息，相关当事人均不得泄露给任何投标人或与评审工作无关的人员。</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23.2招标人（代理机构）和评审委员会不向未中标的投标人解释未中标原因，也不公布评审过程中的相关细节。</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23.</w:t>
      </w:r>
      <w:r>
        <w:rPr>
          <w:rFonts w:hint="default" w:ascii="Times New Roman" w:hAnsi="Times New Roman" w:eastAsia="宋体" w:cs="宋体"/>
          <w:sz w:val="24"/>
          <w:szCs w:val="24"/>
          <w:lang w:val="en-US" w:eastAsia="zh-CN" w:bidi="ar"/>
        </w:rPr>
        <w:t xml:space="preserve">3</w:t>
      </w:r>
      <w:r>
        <w:rPr>
          <w:rFonts w:hint="eastAsia" w:ascii="宋体" w:hAnsi="宋体" w:eastAsia="宋体" w:cs="宋体"/>
          <w:sz w:val="24"/>
          <w:szCs w:val="24"/>
          <w:lang w:val="en-US" w:eastAsia="zh-CN" w:bidi="ar"/>
        </w:rPr>
        <w:t xml:space="preserve">评标委员会名单在开标前确定，并在招标结果确定前保密。</w:t>
      </w:r>
      <w:r/>
    </w:p>
    <w:p>
      <w:pPr>
        <w:ind w:left="0" w:right="0" w:firstLine="482"/>
        <w:jc w:val="both"/>
        <w:keepLines w:val="0"/>
        <w:keepNext w:val="0"/>
        <w:spacing w:before="0" w:beforeAutospacing="0" w:after="0" w:afterAutospacing="0" w:line="480" w:lineRule="exact"/>
        <w:widowControl w:val="off"/>
        <w:rPr>
          <w:rFonts w:hint="eastAsia" w:ascii="宋体" w:hAnsi="宋体" w:eastAsia="宋体" w:cs="宋体"/>
          <w:b/>
          <w:bCs w:val="0"/>
          <w:sz w:val="24"/>
          <w:szCs w:val="24"/>
          <w:lang w:val="en-US"/>
        </w:rPr>
        <w:outlineLvl w:val="1"/>
        <w:suppressLineNumbers w:val="0"/>
      </w:pPr>
      <w:r/>
      <w:bookmarkStart w:id="10" w:name="_Toc24245"/>
      <w:r/>
      <w:bookmarkStart w:id="11" w:name="_Toc3075"/>
      <w:r>
        <w:rPr>
          <w:rFonts w:hint="eastAsia" w:ascii="宋体" w:hAnsi="宋体" w:eastAsia="宋体" w:cs="宋体"/>
          <w:b/>
          <w:bCs w:val="0"/>
          <w:sz w:val="24"/>
          <w:szCs w:val="24"/>
          <w:lang w:val="en-US" w:eastAsia="zh-CN" w:bidi="ar"/>
        </w:rPr>
        <w:t xml:space="preserve">六、定标及合同签订</w:t>
      </w:r>
      <w:bookmarkEnd w:id="10"/>
      <w:r/>
      <w:bookmarkEnd w:id="11"/>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24.确定中标投标人</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sz w:val="24"/>
          <w:szCs w:val="24"/>
          <w:lang w:val="en-US"/>
        </w:rPr>
        <w:suppressLineNumbers w:val="0"/>
      </w:pPr>
      <w:r>
        <w:rPr>
          <w:rFonts w:hint="eastAsia" w:ascii="宋体" w:hAnsi="宋体" w:eastAsia="宋体" w:cs="宋体"/>
          <w:sz w:val="24"/>
          <w:szCs w:val="24"/>
          <w:lang w:val="en-US" w:eastAsia="zh-CN" w:bidi="ar"/>
        </w:rPr>
        <w:t xml:space="preserve">24.1</w:t>
      </w:r>
      <w:r>
        <w:rPr>
          <w:rFonts w:hint="eastAsia" w:ascii="宋体" w:hAnsi="宋体" w:eastAsia="宋体" w:cs="宋体"/>
          <w:bCs/>
          <w:sz w:val="24"/>
          <w:szCs w:val="24"/>
          <w:lang w:val="en-US" w:eastAsia="zh-CN" w:bidi="ar"/>
        </w:rPr>
        <w:t xml:space="preserve">评委会根据招标文件中规定的评标标准对投标人进行综合评审，最终按综合评审得分由高到低的顺序推荐出3名中标候选人。</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24.2招标人应根据评标委员会推荐的中标候选人确认中标人。</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sz w:val="24"/>
          <w:szCs w:val="24"/>
          <w:lang w:val="en-US"/>
        </w:rPr>
        <w:suppressLineNumbers w:val="0"/>
      </w:pPr>
      <w:r>
        <w:rPr>
          <w:rFonts w:hint="eastAsia" w:ascii="宋体" w:hAnsi="宋体" w:eastAsia="宋体" w:cs="宋体"/>
          <w:sz w:val="24"/>
          <w:szCs w:val="24"/>
          <w:lang w:val="en-US" w:eastAsia="zh-CN" w:bidi="ar"/>
        </w:rPr>
        <w:t xml:space="preserve">24.3</w:t>
      </w:r>
      <w:r>
        <w:rPr>
          <w:rFonts w:hint="eastAsia" w:ascii="宋体" w:hAnsi="宋体" w:eastAsia="宋体" w:cs="宋体"/>
          <w:bCs/>
          <w:sz w:val="24"/>
          <w:szCs w:val="24"/>
          <w:lang w:val="en-US" w:eastAsia="zh-CN" w:bidi="ar"/>
        </w:rPr>
        <w:t xml:space="preserve">招标人（代理机构）将在江苏政府采购网、淮安市政府采购网发布中标公告，公告期限为1个工作日。</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sz w:val="24"/>
          <w:szCs w:val="24"/>
          <w:lang w:val="en-US" w:eastAsia="zh-CN" w:bidi="ar"/>
        </w:rPr>
        <w:t xml:space="preserve">24.4</w:t>
      </w:r>
      <w:r>
        <w:rPr>
          <w:rFonts w:hint="eastAsia" w:ascii="宋体" w:hAnsi="宋体" w:eastAsia="宋体" w:cs="宋体"/>
          <w:color w:val="000000"/>
          <w:sz w:val="24"/>
          <w:szCs w:val="24"/>
          <w:lang w:val="en-US" w:eastAsia="zh-CN" w:bidi="ar"/>
        </w:rPr>
        <w:t xml:space="preserve">若有充分证据证明，中标人出现下列情况之一的，一经查实，将被取消中标资格：</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24.4.1提供虚假材料谋取中标的。</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24.4.2向采购人、采购中心行贿或者提供其他不正当利益的。</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24.4.3属于本文件规定的无效条件，但在评标过程中又未被评委会发现的。</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24.4.4与采购人或者其他供应商恶意串通的。</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24.4.5采取不正当手段诋毁、排挤其他供应商的。</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bCs/>
          <w:sz w:val="24"/>
          <w:szCs w:val="24"/>
          <w:lang w:val="en-US"/>
        </w:rPr>
        <w:outlineLvl w:val="2"/>
        <w:suppressLineNumbers w:val="0"/>
      </w:pPr>
      <w:r>
        <w:rPr>
          <w:rFonts w:hint="eastAsia" w:ascii="宋体" w:hAnsi="宋体" w:eastAsia="宋体" w:cs="宋体"/>
          <w:color w:val="000000"/>
          <w:sz w:val="24"/>
          <w:szCs w:val="24"/>
          <w:lang w:val="en-US" w:eastAsia="zh-CN" w:bidi="ar"/>
        </w:rPr>
        <w:t xml:space="preserve">24.5</w:t>
      </w:r>
      <w:r>
        <w:rPr>
          <w:rFonts w:hint="eastAsia" w:ascii="宋体" w:hAnsi="宋体" w:eastAsia="宋体" w:cs="宋体"/>
          <w:bCs/>
          <w:sz w:val="24"/>
          <w:szCs w:val="24"/>
          <w:lang w:val="en-US" w:eastAsia="zh-CN" w:bidi="ar"/>
        </w:rPr>
        <w:t xml:space="preserve">有下列情形之一的，视为投标人串通投标，投标无效：</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bCs/>
          <w:sz w:val="24"/>
          <w:szCs w:val="24"/>
          <w:lang w:val="en-US"/>
        </w:rPr>
        <w:outlineLvl w:val="2"/>
        <w:suppressLineNumbers w:val="0"/>
      </w:pPr>
      <w:r>
        <w:rPr>
          <w:rFonts w:hint="eastAsia" w:ascii="宋体" w:hAnsi="宋体" w:eastAsia="宋体" w:cs="宋体"/>
          <w:bCs/>
          <w:sz w:val="24"/>
          <w:szCs w:val="24"/>
          <w:lang w:val="en-US" w:eastAsia="zh-CN" w:bidi="ar"/>
        </w:rPr>
        <w:t xml:space="preserve">24.5.1不同投标人的投标文件由同一单位或者个人编制；</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bCs/>
          <w:sz w:val="24"/>
          <w:szCs w:val="24"/>
          <w:lang w:val="en-US"/>
        </w:rPr>
        <w:outlineLvl w:val="2"/>
        <w:suppressLineNumbers w:val="0"/>
      </w:pPr>
      <w:r>
        <w:rPr>
          <w:rFonts w:hint="eastAsia" w:ascii="宋体" w:hAnsi="宋体" w:eastAsia="宋体" w:cs="宋体"/>
          <w:bCs/>
          <w:sz w:val="24"/>
          <w:szCs w:val="24"/>
          <w:lang w:val="en-US" w:eastAsia="zh-CN" w:bidi="ar"/>
        </w:rPr>
        <w:t xml:space="preserve">24.5.2不同投标人委托同一单位或者个人办理投标事宜；</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bCs/>
          <w:sz w:val="24"/>
          <w:szCs w:val="24"/>
          <w:lang w:val="en-US"/>
        </w:rPr>
        <w:outlineLvl w:val="2"/>
        <w:suppressLineNumbers w:val="0"/>
      </w:pPr>
      <w:r>
        <w:rPr>
          <w:rFonts w:hint="eastAsia" w:ascii="宋体" w:hAnsi="宋体" w:eastAsia="宋体" w:cs="宋体"/>
          <w:bCs/>
          <w:sz w:val="24"/>
          <w:szCs w:val="24"/>
          <w:lang w:val="en-US" w:eastAsia="zh-CN" w:bidi="ar"/>
        </w:rPr>
        <w:t xml:space="preserve">24.5.3 不同投标人的投标文件载明的项目管理成员或者联系人员为同一人；</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b/>
          <w:bCs w:val="0"/>
          <w:sz w:val="24"/>
          <w:szCs w:val="24"/>
          <w:lang w:val="en-US"/>
        </w:rPr>
        <w:outlineLvl w:val="2"/>
        <w:suppressLineNumbers w:val="0"/>
      </w:pPr>
      <w:r>
        <w:rPr>
          <w:rFonts w:hint="eastAsia" w:ascii="宋体" w:hAnsi="宋体" w:eastAsia="宋体" w:cs="宋体"/>
          <w:bCs/>
          <w:sz w:val="24"/>
          <w:szCs w:val="24"/>
          <w:lang w:val="en-US" w:eastAsia="zh-CN" w:bidi="ar"/>
        </w:rPr>
        <w:t xml:space="preserve">24.5.4不同投标人的投标文件异常一致或者投标报价呈规律性差异</w:t>
      </w:r>
      <w:r>
        <w:rPr>
          <w:rFonts w:hint="eastAsia" w:ascii="宋体" w:hAnsi="宋体" w:eastAsia="宋体" w:cs="宋体"/>
          <w:b/>
          <w:bCs w:val="0"/>
          <w:sz w:val="24"/>
          <w:szCs w:val="24"/>
          <w:lang w:val="en-US" w:eastAsia="zh-CN" w:bidi="ar"/>
        </w:rPr>
        <w:t xml:space="preserve">；</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25.中标通知书</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25.1在公告中标结果的同时，招标人（代理机构）将向中标人发出中标通知书。</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25.2中标人在接到招标人（代理机构）通知后五个工作日内必须到招标人（代理机构）处领取中标通知书并办理相关交费手续，逾期未办理作自动放弃处理。中标投标人在领取中标通知书的同时必须递交与电子投标文件一致的纸质投标文件（印章齐全）正本一份，副本一份。</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25.3中标通知书将是合同的一个组成部分。</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26.签订合同</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26.1招标人与中标人应在中标通知书发出之日起三十日内签订政府采购合同。招标文件、中标人的投标文件及澄清文件等均为签订合同依据。</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26.2中标人自中标通知书发出之日起三十日内无正当理由不与招标人签订合同，将按财政部第87号令相关规定进行处理。</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27.货物和服务的减少</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27.1采购结束后，招标人若由于各种客观原因，必须对采购项目所牵涉的货物和服务进行适当的减少时，在双方协商一致的前提下，可以按照招标采购时的价格水平做相应的调减，并据此签订补充合同。</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28  履约保证金：</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outlineLvl w:val="1"/>
        <w:suppressLineNumbers w:val="0"/>
      </w:pPr>
      <w:r/>
      <w:bookmarkStart w:id="12" w:name="_Toc10360"/>
      <w:r/>
      <w:bookmarkStart w:id="13" w:name="_Toc23726"/>
      <w:r>
        <w:rPr>
          <w:rFonts w:hint="eastAsia" w:ascii="宋体" w:hAnsi="宋体" w:cs="宋体"/>
          <w:sz w:val="24"/>
          <w:lang w:val="en-US" w:eastAsia="zh-CN"/>
        </w:rPr>
        <w:t xml:space="preserve">28.1、</w:t>
      </w:r>
      <w:r>
        <w:rPr>
          <w:rFonts w:hint="eastAsia" w:ascii="宋体" w:hAnsi="宋体" w:eastAsia="宋体" w:cs="宋体"/>
          <w:sz w:val="24"/>
          <w:szCs w:val="24"/>
          <w:lang w:val="en-US" w:eastAsia="zh-CN" w:bidi="ar"/>
        </w:rPr>
        <w:t xml:space="preserve">本项目中标后需缴纳1%的履约保证金。</w:t>
      </w:r>
      <w:r/>
    </w:p>
    <w:p>
      <w:pPr>
        <w:pStyle w:val="703"/>
        <w:ind w:firstLine="480"/>
        <w:keepLines w:val="0"/>
        <w:keepNext w:val="0"/>
        <w:pageBreakBefore w:val="0"/>
        <w:spacing w:line="440" w:lineRule="exact"/>
        <w:widowControl w:val="off"/>
        <w:rPr>
          <w:rFonts w:hint="eastAsia" w:ascii="宋体" w:hAnsi="宋体" w:cs="宋体"/>
          <w:sz w:val="24"/>
          <w:lang w:val="en-US" w:eastAsia="zh-CN"/>
        </w:rPr>
      </w:pPr>
      <w:r>
        <w:rPr>
          <w:rFonts w:hint="eastAsia" w:ascii="宋体" w:hAnsi="宋体" w:cs="宋体"/>
          <w:sz w:val="24"/>
          <w:lang w:val="en-US" w:eastAsia="zh-CN"/>
        </w:rPr>
        <w:t xml:space="preserve">注：乙方选取以履约保函（保险）形式向采购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r/>
    </w:p>
    <w:p>
      <w:pPr>
        <w:pStyle w:val="703"/>
        <w:ind w:firstLine="480"/>
        <w:keepLines w:val="0"/>
        <w:keepNext w:val="0"/>
        <w:pageBreakBefore w:val="0"/>
        <w:spacing w:line="440" w:lineRule="exact"/>
        <w:widowControl w:val="off"/>
        <w:rPr>
          <w:rFonts w:hint="eastAsia" w:ascii="宋体" w:hAnsi="宋体" w:cs="宋体"/>
          <w:sz w:val="24"/>
          <w:lang w:val="en-US" w:eastAsia="zh-CN"/>
        </w:rPr>
      </w:pPr>
      <w:r>
        <w:rPr>
          <w:rFonts w:hint="eastAsia" w:ascii="宋体" w:hAnsi="宋体" w:cs="宋体"/>
          <w:sz w:val="24"/>
          <w:lang w:val="en-US" w:eastAsia="zh-CN"/>
        </w:rPr>
        <w:t xml:space="preserve">28.2、乙方提供的履约保证金可以是人民币形式（银行本票、汇票、支票、电汇），或银行保函、担保公司的保证担保或保险公司的保证保险等多种形式。</w:t>
      </w:r>
      <w:r/>
    </w:p>
    <w:p>
      <w:pPr>
        <w:ind w:firstLine="480"/>
        <w:jc w:val="left"/>
        <w:keepLines w:val="0"/>
        <w:keepNext w:val="0"/>
        <w:pageBreakBefore w:val="0"/>
        <w:spacing w:line="440" w:lineRule="exact"/>
        <w:widowControl w:val="off"/>
        <w:rPr>
          <w:rFonts w:hint="eastAsia" w:ascii="宋体" w:hAnsi="宋体" w:cs="宋体"/>
          <w:sz w:val="24"/>
          <w:lang w:val="en-US" w:eastAsia="zh-CN"/>
        </w:rPr>
      </w:pPr>
      <w:r>
        <w:rPr>
          <w:rFonts w:hint="eastAsia" w:ascii="宋体" w:hAnsi="宋体" w:cs="宋体"/>
          <w:sz w:val="24"/>
          <w:lang w:val="en-US" w:eastAsia="zh-CN"/>
        </w:rPr>
        <w:t xml:space="preserve">28.3、乙方选取银行保函、担保公司的保证担保或保险公司的保证保险等形式的向采购人缴纳的，如保函（担保、保险等）的约定期到期但乙方履约仍未结束的，乙方须进行续保。</w:t>
      </w:r>
      <w:r/>
    </w:p>
    <w:p>
      <w:pPr>
        <w:ind w:firstLine="480"/>
        <w:jc w:val="left"/>
        <w:keepLines w:val="0"/>
        <w:keepNext w:val="0"/>
        <w:pageBreakBefore w:val="0"/>
        <w:spacing w:line="440" w:lineRule="exact"/>
        <w:widowControl w:val="off"/>
        <w:rPr>
          <w:rFonts w:hint="eastAsia" w:ascii="宋体" w:hAnsi="宋体" w:cs="宋体"/>
          <w:sz w:val="24"/>
          <w:lang w:val="en-US" w:eastAsia="zh-CN"/>
        </w:rPr>
      </w:pPr>
      <w:r>
        <w:rPr>
          <w:rFonts w:hint="eastAsia" w:ascii="宋体" w:hAnsi="宋体" w:cs="宋体"/>
          <w:sz w:val="24"/>
          <w:lang w:val="en-US" w:eastAsia="zh-CN"/>
        </w:rPr>
        <w:t xml:space="preserve">28.4、如乙方未能履行合同规定的义务，甲方有权从履约保证金中取得补偿。</w:t>
      </w:r>
      <w:r/>
    </w:p>
    <w:p>
      <w:pPr>
        <w:ind w:firstLine="480"/>
        <w:jc w:val="left"/>
        <w:keepLines w:val="0"/>
        <w:keepNext w:val="0"/>
        <w:pageBreakBefore w:val="0"/>
        <w:spacing w:line="440" w:lineRule="exact"/>
        <w:widowControl w:val="off"/>
        <w:rPr>
          <w:rFonts w:hint="eastAsia" w:ascii="宋体" w:hAnsi="宋体" w:cs="宋体"/>
          <w:sz w:val="24"/>
          <w:lang w:val="en-US" w:eastAsia="zh-CN"/>
        </w:rPr>
      </w:pPr>
      <w:r>
        <w:rPr>
          <w:rFonts w:hint="eastAsia" w:ascii="宋体" w:hAnsi="宋体" w:cs="宋体"/>
          <w:sz w:val="24"/>
          <w:lang w:val="en-US" w:eastAsia="zh-CN"/>
        </w:rPr>
        <w:t xml:space="preserve">28.5、履约保证金在合同约定期间内不予退还或者应完全有效，约定期间届满之日起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ind w:firstLine="480"/>
        <w:jc w:val="left"/>
        <w:keepLines w:val="0"/>
        <w:keepNext w:val="0"/>
        <w:pageBreakBefore w:val="0"/>
        <w:spacing w:line="440" w:lineRule="exact"/>
        <w:widowControl w:val="off"/>
        <w:rPr>
          <w:rFonts w:hint="eastAsia" w:ascii="宋体" w:hAnsi="宋体" w:cs="宋体"/>
          <w:sz w:val="24"/>
          <w:lang w:val="en-US" w:eastAsia="zh-CN"/>
        </w:rPr>
      </w:pPr>
      <w:r>
        <w:rPr>
          <w:rFonts w:hint="eastAsia" w:ascii="宋体" w:hAnsi="宋体" w:cs="宋体"/>
          <w:sz w:val="24"/>
          <w:lang w:val="en-US" w:eastAsia="zh-CN"/>
        </w:rPr>
        <w:t xml:space="preserve">28.6、履约保证金在合同约定期间内不予退还或者应完全有效，履约保证金在项目验收合格后无息退还给乙方。</w:t>
      </w:r>
      <w:r/>
    </w:p>
    <w:p>
      <w:pPr>
        <w:ind w:left="0" w:right="0" w:firstLine="482"/>
        <w:jc w:val="both"/>
        <w:keepLines w:val="0"/>
        <w:keepNext w:val="0"/>
        <w:spacing w:before="0" w:beforeAutospacing="0" w:after="0" w:afterAutospacing="0" w:line="480" w:lineRule="exact"/>
        <w:widowControl w:val="off"/>
        <w:rPr>
          <w:rFonts w:hint="eastAsia" w:ascii="宋体" w:hAnsi="宋体" w:eastAsia="宋体" w:cs="宋体"/>
          <w:b/>
          <w:bCs w:val="0"/>
          <w:sz w:val="24"/>
          <w:szCs w:val="24"/>
          <w:lang w:val="en-US"/>
        </w:rPr>
        <w:outlineLvl w:val="1"/>
        <w:suppressLineNumbers w:val="0"/>
      </w:pPr>
      <w:r>
        <w:rPr>
          <w:rFonts w:hint="eastAsia" w:ascii="宋体" w:hAnsi="宋体" w:eastAsia="宋体" w:cs="宋体"/>
          <w:b/>
          <w:bCs w:val="0"/>
          <w:sz w:val="24"/>
          <w:szCs w:val="24"/>
          <w:lang w:val="en-US" w:eastAsia="zh-CN" w:bidi="ar"/>
        </w:rPr>
        <w:t xml:space="preserve">七、质疑处理</w:t>
      </w:r>
      <w:bookmarkEnd w:id="12"/>
      <w:r/>
      <w:bookmarkEnd w:id="13"/>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29.质疑处理</w:t>
      </w:r>
      <w:r/>
    </w:p>
    <w:p>
      <w:pPr>
        <w:pStyle w:val="737"/>
        <w:ind w:firstLine="480"/>
        <w:spacing w:before="0" w:after="0" w:line="360" w:lineRule="auto"/>
        <w:rPr>
          <w:rFonts w:hint="eastAsia" w:ascii="宋体" w:hAnsi="宋体" w:cs="宋体"/>
          <w:bCs/>
        </w:rPr>
      </w:pPr>
      <w:r>
        <w:rPr>
          <w:rFonts w:hint="eastAsia" w:ascii="宋体" w:hAnsi="宋体" w:eastAsia="宋体" w:cs="宋体"/>
          <w:sz w:val="24"/>
          <w:szCs w:val="24"/>
          <w:lang w:val="en-US" w:eastAsia="zh-CN" w:bidi="ar"/>
        </w:rPr>
        <w:t xml:space="preserve">29.1投标人</w:t>
      </w:r>
      <w:r>
        <w:rPr>
          <w:rFonts w:hint="eastAsia" w:ascii="宋体" w:hAnsi="宋体" w:cs="宋体"/>
          <w:bCs/>
        </w:rPr>
        <w:t xml:space="preserve">认为采购文件、采购过程和中标结果使自己的权益受到损害的，可以在知道或者应知其权益受到损害之日起七个工作日内，以书面形式提出质疑；同时必须将质疑函的原件邮寄至招标人（招标代理）。未以书面形式提出、未邮寄质疑函原件、七个工作日之外以及匿名的质疑均不予受理。</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29.2上述应知其权益受到损害之日是指：</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（1）对招标文件提出质疑的，为收到采购文件之日或者采购文件公告期限届满之日起计算；</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（2）对采购过程提出质疑的，为各采购程序环节结束之日起计算；</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（3）对中标结果提出质疑的，为中标结果公告期限届满之日起计算。</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29.3质疑投标人是指直接参加本次投标活动的投标人，未参加投标活动的投标人或在投标活动中自身权益未受到损害的投标人所提出的质疑不予受理。</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29.4质疑投标人在法定质疑期内应当一次性提出针对同一采购环节提出质疑。</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29.5质疑函必须以参加投标投标人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招标人（代理机构）有权不予受理。</w:t>
      </w:r>
      <w:r/>
    </w:p>
    <w:p>
      <w:pPr>
        <w:pStyle w:val="737"/>
        <w:ind w:firstLine="480"/>
        <w:spacing w:before="0" w:after="0" w:line="360" w:lineRule="auto"/>
        <w:rPr>
          <w:rFonts w:hint="eastAsia" w:ascii="宋体" w:hAnsi="宋体" w:eastAsia="宋体" w:cs="宋体"/>
          <w:sz w:val="24"/>
          <w:szCs w:val="24"/>
          <w:lang w:val="en-US"/>
        </w:rPr>
      </w:pPr>
      <w:r>
        <w:rPr>
          <w:rFonts w:hint="eastAsia" w:ascii="宋体" w:hAnsi="宋体" w:eastAsia="宋体" w:cs="宋体"/>
          <w:sz w:val="24"/>
          <w:szCs w:val="24"/>
          <w:lang w:val="en-US" w:eastAsia="zh-CN" w:bidi="ar"/>
        </w:rPr>
        <w:t xml:space="preserve">29.6投标人提出质疑应当提交质疑函和必要的证明材料。质疑函应当包括下列内容</w:t>
      </w:r>
      <w:r>
        <w:rPr>
          <w:rFonts w:hint="eastAsia" w:ascii="宋体" w:hAnsi="宋体" w:cs="宋体"/>
          <w:sz w:val="24"/>
          <w:szCs w:val="24"/>
          <w:lang w:val="en-US" w:eastAsia="zh-CN" w:bidi="ar"/>
        </w:rPr>
        <w:t xml:space="preserve">，</w:t>
      </w:r>
      <w:r>
        <w:rPr>
          <w:rFonts w:hint="eastAsia" w:ascii="宋体" w:hAnsi="宋体" w:cs="宋体"/>
          <w:bCs/>
        </w:rPr>
        <w:t xml:space="preserve">并按照“谁主张、谁举证 ”的原则，附上相关证明材料。否则，招标人（代理机构）不予受理。</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（1）投标人的姓名或者名称、地址、邮编、联系人及联系电话； </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（2）质疑项目的名称、编号；</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outlineLvl w:val="0"/>
        <w:suppressLineNumbers w:val="0"/>
      </w:pPr>
      <w:r/>
      <w:bookmarkStart w:id="14" w:name="_Toc16743"/>
      <w:r>
        <w:rPr>
          <w:rFonts w:hint="eastAsia" w:ascii="宋体" w:hAnsi="宋体" w:eastAsia="宋体" w:cs="宋体"/>
          <w:sz w:val="24"/>
          <w:szCs w:val="24"/>
          <w:lang w:val="en-US" w:eastAsia="zh-CN" w:bidi="ar"/>
        </w:rPr>
        <w:t xml:space="preserve">（3）具体、明确的质疑事项和与质疑事项相关的请求；</w:t>
      </w:r>
      <w:bookmarkEnd w:id="14"/>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outlineLvl w:val="0"/>
        <w:suppressLineNumbers w:val="0"/>
      </w:pPr>
      <w:r/>
      <w:bookmarkStart w:id="15" w:name="_Toc20203"/>
      <w:r>
        <w:rPr>
          <w:rFonts w:hint="eastAsia" w:ascii="宋体" w:hAnsi="宋体" w:eastAsia="宋体" w:cs="宋体"/>
          <w:sz w:val="24"/>
          <w:szCs w:val="24"/>
          <w:lang w:val="en-US" w:eastAsia="zh-CN" w:bidi="ar"/>
        </w:rPr>
        <w:t xml:space="preserve">（4）事实依据；</w:t>
      </w:r>
      <w:bookmarkEnd w:id="15"/>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outlineLvl w:val="0"/>
        <w:suppressLineNumbers w:val="0"/>
      </w:pPr>
      <w:r/>
      <w:bookmarkStart w:id="16" w:name="_Toc18795"/>
      <w:r>
        <w:rPr>
          <w:rFonts w:hint="eastAsia" w:ascii="宋体" w:hAnsi="宋体" w:eastAsia="宋体" w:cs="宋体"/>
          <w:sz w:val="24"/>
          <w:szCs w:val="24"/>
          <w:lang w:val="en-US" w:eastAsia="zh-CN" w:bidi="ar"/>
        </w:rPr>
        <w:t xml:space="preserve">（5）必要的法律依据；</w:t>
      </w:r>
      <w:bookmarkEnd w:id="16"/>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outlineLvl w:val="0"/>
        <w:suppressLineNumbers w:val="0"/>
      </w:pPr>
      <w:r/>
      <w:bookmarkStart w:id="17" w:name="_Toc6388"/>
      <w:r>
        <w:rPr>
          <w:rFonts w:hint="eastAsia" w:ascii="宋体" w:hAnsi="宋体" w:eastAsia="宋体" w:cs="宋体"/>
          <w:sz w:val="24"/>
          <w:szCs w:val="24"/>
          <w:lang w:val="en-US" w:eastAsia="zh-CN" w:bidi="ar"/>
        </w:rPr>
        <w:t xml:space="preserve">（6）提起质疑的日期；</w:t>
      </w:r>
      <w:bookmarkEnd w:id="17"/>
      <w:r/>
      <w:r/>
    </w:p>
    <w:p>
      <w:pPr>
        <w:pStyle w:val="737"/>
        <w:ind w:firstLine="480"/>
        <w:spacing w:before="0" w:after="0" w:line="360" w:lineRule="auto"/>
        <w:rPr>
          <w:rFonts w:hint="eastAsia" w:ascii="宋体" w:hAnsi="宋体" w:cs="宋体"/>
          <w:bCs/>
        </w:rPr>
      </w:pPr>
      <w:r>
        <w:rPr>
          <w:rFonts w:hint="eastAsia" w:ascii="宋体" w:hAnsi="宋体" w:cs="宋体"/>
          <w:bCs/>
        </w:rPr>
        <w:t xml:space="preserve">【质疑函必须署名，由法定代表人或者其授权代表签字，并加盖单位公章。授权代表签字的，还需提供法定代表人出具的办理质疑事项授权书（授权中必须载明具体权限、期限和事项）】</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29.7招标人（代理机构）收到质疑函后，将对质疑的形式和内容进行审查，如质疑函内容、格式不符合规定，招标人（代理机构）将告知质疑人进行补正。质疑人应当在法定质疑期限内进行补正并重新提交质疑函，拒不补正或者超过法定期限后未重新提交质疑函的，为无效质疑，招标人有权不予受理。</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29.8对于内容、格式符合规定的质疑函，招标人（代理机构）将在七个工作日内以书面形式作出答复。</w:t>
      </w: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29.9投标人提出书面质疑必须有理、有据，不得恶意质疑或提交虚假质疑。否则，一经查实，招标人有权依据政府采购的有关规定，报请政府采购监管部门对该投标人列入失信行为或不良行为记录名单，进行相应的行政处罚。</w:t>
      </w:r>
      <w:r/>
    </w:p>
    <w:p>
      <w:pPr>
        <w:pStyle w:val="727"/>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auto"/>
          <w:sz w:val="24"/>
          <w:szCs w:val="20"/>
          <w:lang w:val="en-US"/>
        </w:rPr>
        <w:suppressLineNumbers w:val="0"/>
      </w:pPr>
      <w:r>
        <w:rPr>
          <w:rFonts w:hint="eastAsia" w:ascii="宋体" w:hAnsi="宋体" w:eastAsia="宋体" w:cs="宋体"/>
          <w:color w:val="auto"/>
          <w:sz w:val="24"/>
          <w:szCs w:val="20"/>
          <w:lang w:val="en-US" w:eastAsia="zh-CN" w:bidi="ar"/>
        </w:rPr>
        <w:t xml:space="preserve">30.投诉 </w:t>
      </w:r>
      <w:r/>
    </w:p>
    <w:p>
      <w:pPr>
        <w:pStyle w:val="727"/>
        <w:ind w:left="0" w:right="0" w:firstLine="480"/>
        <w:jc w:val="left"/>
        <w:keepLines w:val="0"/>
        <w:keepNext w:val="0"/>
        <w:spacing w:before="0" w:beforeAutospacing="0" w:after="0" w:afterAutospacing="0" w:line="480" w:lineRule="exact"/>
        <w:widowControl w:val="off"/>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30.1质疑人对采购人和采购代理机构的答复不满意，或采购人和采购代理机构未在规定的时间内作出答复的，可以在答复期满后十五个工作日内向采购人同级监管部门投诉。</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4"/>
          <w:szCs w:val="24"/>
          <w:lang w:val="en-US"/>
        </w:rPr>
        <w:suppressLineNumbers w:val="0"/>
      </w:pPr>
      <w:r>
        <w:rPr>
          <w:rFonts w:hint="eastAsia" w:ascii="宋体" w:hAnsi="宋体" w:eastAsia="宋体" w:cs="宋体"/>
          <w:b/>
          <w:bCs w:val="0"/>
          <w:sz w:val="24"/>
          <w:szCs w:val="24"/>
          <w:lang w:val="en-US" w:eastAsia="zh-CN" w:bidi="ar"/>
        </w:rPr>
        <w:t xml:space="preserve">八、政府采购政策功能落实</w:t>
      </w:r>
      <w:r/>
    </w:p>
    <w:p>
      <w:pPr>
        <w:ind w:left="0" w:right="0" w:firstLine="482"/>
        <w:jc w:val="both"/>
        <w:keepLines w:val="0"/>
        <w:keepNext w:val="0"/>
        <w:spacing w:before="0" w:beforeAutospacing="0" w:after="0" w:afterAutospacing="0" w:line="440" w:lineRule="exact"/>
        <w:widowControl w:val="off"/>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eastAsia="zh-CN" w:bidi="ar"/>
        </w:rPr>
        <w:t xml:space="preserve">31.政策功能落实</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（一）小微型企业价格扣除</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rPr>
          <w:rFonts w:hint="eastAsia" w:ascii="宋体" w:hAnsi="宋体" w:eastAsia="宋体" w:cs="宋体"/>
          <w:sz w:val="24"/>
          <w:szCs w:val="24"/>
          <w:lang w:val="zh-CN" w:eastAsia="zh-CN" w:bidi="ar"/>
        </w:rPr>
        <w:t xml:space="preserve">对于未专门面向中小企业或者未预留份额专门面向中小企业采购的采购项目，供应商提供的货物或者服务</w:t>
      </w:r>
      <w:r>
        <w:rPr>
          <w:rFonts w:hint="eastAsia" w:ascii="宋体" w:hAnsi="宋体" w:eastAsia="宋体" w:cs="宋体"/>
          <w:sz w:val="24"/>
          <w:szCs w:val="24"/>
          <w:lang w:val="en-US" w:eastAsia="zh-CN" w:bidi="ar"/>
        </w:rPr>
        <w:t xml:space="preserve">符合下列情形的，享受本办法规定的中小企业扶持政策给予小型和微型企业报价20%的扣除，用扣除后的价格参与评审。</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（2）投标人需按照招标文件的要求提供相应的《企业声明函》，详见招标文件第六章示范格式。</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（3）企业标准请参照《关于印发中小企业划型标准规定的通知》（工信部联企业〔2011〕300号）文件规定自行填写。</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（4）在货物采购项目中，供应商提供的货物既有中小企业制造货物，也有大型企业制造货物的，不享受本办法规定的中小企业扶持政策。</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（二）残疾人福利单位价格扣除</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（1）本项目对残疾人福利性单位视同小型、微型企业，给予20%的价格扣除，用扣除后的价格参与评审。</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（2）残疾人福利单位需按照招标文件的要求提供《残疾人福利性单位声明函》，详见招标文件第六章示范格式。</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（3）残疾人福利单位标准请参照《关于促进残疾人就业政府采购政策的通知》（财库〔2017〕141号）。</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（三）监狱和戒毒企业价格扣除</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（1）本项目对监狱和戒毒企业（简称监狱企业）视同小型、微型企业，给予20%的价格扣除，用扣除后的价格参与评审。</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监狱企业参加政府采购活动时，需提供由省级以上监狱管理局、戒毒管理局（含新疆生产建设兵团）出具的属于监狱企业的证明文件）（投标文件中上传加盖出具单位公章的电子件）。如不提供上述证明文件，价格将不做相应扣除。</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（3）监狱企业标准请参照《关于政府采购支持监狱企业发展有关问题的通知》（财库〔2014〕68号）。</w:t>
      </w:r>
      <w:r/>
    </w:p>
    <w:p>
      <w:pPr>
        <w:ind w:left="0" w:right="0" w:firstLine="480"/>
        <w:jc w:val="both"/>
        <w:keepLines w:val="0"/>
        <w:keepNext w:val="0"/>
        <w:spacing w:before="0" w:beforeAutospacing="0" w:after="0" w:afterAutospacing="0" w:line="440" w:lineRule="exact"/>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（四）对于同时属于小型、微型企业、残疾人福利单位、监狱企业的，不重复享受政策。</w:t>
      </w:r>
      <w:r/>
    </w:p>
    <w:p>
      <w:pPr>
        <w:ind w:left="0" w:right="0" w:firstLine="240"/>
        <w:jc w:val="both"/>
        <w:keepLines w:val="0"/>
        <w:keepNext w:val="0"/>
        <w:spacing w:before="0" w:beforeAutospacing="0" w:after="0" w:afterAutospacing="0" w:line="52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32. 节能、环保政策</w:t>
      </w:r>
      <w:r/>
    </w:p>
    <w:p>
      <w:pPr>
        <w:ind w:left="0" w:right="0" w:firstLine="240"/>
        <w:jc w:val="both"/>
        <w:keepLines w:val="0"/>
        <w:keepNext w:val="0"/>
        <w:spacing w:before="0" w:beforeAutospacing="0" w:after="0" w:afterAutospacing="0" w:line="52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32.1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left="0" w:right="0" w:firstLine="240"/>
        <w:jc w:val="both"/>
        <w:keepLines w:val="0"/>
        <w:keepNext w:val="0"/>
        <w:spacing w:before="0" w:beforeAutospacing="0" w:after="0" w:afterAutospacing="0" w:line="52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32.2节能产品（本项目不涉及）</w:t>
      </w:r>
      <w:r/>
    </w:p>
    <w:p>
      <w:pPr>
        <w:ind w:left="0" w:right="0" w:firstLine="240"/>
        <w:jc w:val="both"/>
        <w:keepLines w:val="0"/>
        <w:keepNext w:val="0"/>
        <w:spacing w:before="0" w:beforeAutospacing="0" w:after="0" w:afterAutospacing="0" w:line="52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本项目</w:t>
      </w:r>
      <w:r>
        <w:rPr>
          <w:rFonts w:hint="eastAsia" w:ascii="宋体" w:hAnsi="宋体" w:eastAsia="宋体" w:cs="宋体"/>
          <w:sz w:val="24"/>
          <w:szCs w:val="24"/>
          <w:u w:val="single"/>
          <w:lang w:val="en-US" w:eastAsia="zh-CN" w:bidi="ar"/>
        </w:rPr>
        <w:t xml:space="preserve">(采购产品)</w:t>
      </w:r>
      <w:r>
        <w:rPr>
          <w:rFonts w:hint="eastAsia" w:ascii="宋体" w:hAnsi="宋体" w:eastAsia="宋体" w:cs="宋体"/>
          <w:sz w:val="24"/>
          <w:szCs w:val="24"/>
          <w:lang w:val="en-US" w:eastAsia="zh-CN" w:bidi="ar"/>
        </w:rPr>
        <w:t xml:space="preserve">被列入“节能产品品目清单”的，实行</w:t>
      </w:r>
      <w:r>
        <w:rPr>
          <w:rFonts w:hint="eastAsia" w:ascii="宋体" w:hAnsi="宋体" w:eastAsia="宋体" w:cs="宋体"/>
          <w:sz w:val="24"/>
          <w:szCs w:val="24"/>
          <w:u w:val="single"/>
          <w:lang w:val="en-US" w:eastAsia="zh-CN" w:bidi="ar"/>
        </w:rPr>
        <w:t xml:space="preserve">(优先采购/强制采购）。</w:t>
      </w:r>
      <w:r/>
    </w:p>
    <w:p>
      <w:pPr>
        <w:ind w:left="0" w:right="0" w:firstLine="240"/>
        <w:jc w:val="both"/>
        <w:keepLines w:val="0"/>
        <w:keepNext w:val="0"/>
        <w:spacing w:before="0" w:beforeAutospacing="0" w:after="0" w:afterAutospacing="0" w:line="52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32.3环保产品（本项目不涉及）</w:t>
      </w:r>
      <w:r/>
    </w:p>
    <w:p>
      <w:pPr>
        <w:ind w:left="0" w:right="0" w:firstLine="240"/>
        <w:jc w:val="both"/>
        <w:keepLines w:val="0"/>
        <w:keepNext w:val="0"/>
        <w:spacing w:before="0" w:beforeAutospacing="0" w:after="0" w:afterAutospacing="0" w:line="52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w:t>
      </w:r>
      <w:r>
        <w:rPr>
          <w:rFonts w:hint="eastAsia" w:ascii="宋体" w:hAnsi="宋体" w:eastAsia="宋体" w:cs="宋体"/>
          <w:sz w:val="24"/>
          <w:szCs w:val="24"/>
          <w:u w:val="single"/>
          <w:lang w:val="en-US" w:eastAsia="zh-CN" w:bidi="ar"/>
        </w:rPr>
        <w:t xml:space="preserve">  (采购产品)</w:t>
      </w:r>
      <w:r>
        <w:rPr>
          <w:rFonts w:hint="eastAsia" w:ascii="宋体" w:hAnsi="宋体" w:eastAsia="宋体" w:cs="宋体"/>
          <w:sz w:val="24"/>
          <w:szCs w:val="24"/>
          <w:lang w:val="en-US" w:eastAsia="zh-CN" w:bidi="ar"/>
        </w:rPr>
        <w:t xml:space="preserve">中投标产品被列入“环境标志产品品目清单”，实行优先采购。</w:t>
      </w:r>
      <w:r/>
    </w:p>
    <w:p>
      <w:pPr>
        <w:ind w:left="0" w:right="0" w:firstLine="240"/>
        <w:jc w:val="both"/>
        <w:keepLines w:val="0"/>
        <w:keepNext w:val="0"/>
        <w:spacing w:before="0" w:beforeAutospacing="0" w:after="0" w:afterAutospacing="0" w:line="52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32.4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left="0" w:right="0" w:firstLine="240"/>
        <w:jc w:val="both"/>
        <w:keepLines w:val="0"/>
        <w:keepNext w:val="0"/>
        <w:spacing w:before="0" w:beforeAutospacing="0" w:after="0" w:afterAutospacing="0" w:line="520" w:lineRule="exact"/>
        <w:widowControl w:val="off"/>
        <w:rPr>
          <w:rFonts w:hint="eastAsia" w:ascii="宋体" w:hAnsi="宋体" w:eastAsia="宋体" w:cs="宋体"/>
          <w:bCs/>
          <w:sz w:val="24"/>
          <w:szCs w:val="24"/>
          <w:lang w:val="en-US"/>
        </w:rPr>
        <w:suppressLineNumbers w:val="0"/>
      </w:pPr>
      <w:r>
        <w:rPr>
          <w:rFonts w:hint="eastAsia" w:ascii="宋体" w:hAnsi="宋体" w:eastAsia="宋体" w:cs="宋体"/>
          <w:sz w:val="24"/>
          <w:szCs w:val="24"/>
          <w:lang w:val="en-US" w:eastAsia="zh-CN" w:bidi="ar"/>
        </w:rPr>
        <w:t xml:space="preserve">32.5节能、环保产品的品目清单按照《关于印发环境标志产品政府采购品目清单的通知》（财库〔2019〕18号）、《关于印发节能产品政府采购品目清单的</w:t>
      </w:r>
      <w:r>
        <w:rPr>
          <w:rFonts w:hint="eastAsia" w:ascii="宋体" w:hAnsi="宋体" w:eastAsia="宋体" w:cs="宋体"/>
          <w:bCs/>
          <w:sz w:val="24"/>
          <w:szCs w:val="24"/>
          <w:lang w:val="en-US" w:eastAsia="zh-CN" w:bidi="ar"/>
        </w:rPr>
        <w:t xml:space="preserve">通知》（财库〔2019〕19号）执行。国家对品目清单进行调整的，按照最新调整的品目清单执行。</w:t>
      </w:r>
      <w:r/>
    </w:p>
    <w:p>
      <w:pPr>
        <w:ind w:left="0" w:right="0" w:firstLine="240"/>
        <w:jc w:val="both"/>
        <w:keepLines w:val="0"/>
        <w:keepNext w:val="0"/>
        <w:spacing w:before="0" w:beforeAutospacing="0" w:after="0" w:afterAutospacing="0" w:line="520" w:lineRule="exact"/>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33．政府绿色采购</w:t>
      </w:r>
      <w:r/>
    </w:p>
    <w:p>
      <w:pPr>
        <w:ind w:left="0" w:right="0" w:firstLine="240"/>
        <w:jc w:val="both"/>
        <w:keepLines w:val="0"/>
        <w:keepNext w:val="0"/>
        <w:spacing w:before="0" w:beforeAutospacing="0" w:after="0" w:afterAutospacing="0" w:line="520" w:lineRule="exact"/>
        <w:widowControl w:val="off"/>
        <w:rPr>
          <w:rFonts w:hint="eastAsia" w:ascii="宋体" w:hAnsi="宋体" w:eastAsia="宋体" w:cs="宋体"/>
          <w:bCs/>
          <w:sz w:val="24"/>
          <w:szCs w:val="24"/>
          <w:lang w:val="en-US"/>
        </w:rPr>
        <w:suppressLineNumbers w:val="0"/>
      </w:pPr>
      <w:r>
        <w:rPr>
          <w:rFonts w:hint="eastAsia" w:ascii="宋体" w:hAnsi="宋体" w:eastAsia="宋体" w:cs="宋体"/>
          <w:sz w:val="24"/>
          <w:szCs w:val="24"/>
          <w:lang w:val="en-US" w:eastAsia="zh-CN" w:bidi="ar"/>
        </w:rPr>
        <w:t xml:space="preserve">根据《江苏省财政厅关于加强政府绿色采购有关事项的通知》（苏财购〔2023〕65号）的要求，落实政府绿色采购相关政策，具体如下：</w:t>
      </w:r>
      <w:r/>
    </w:p>
    <w:p>
      <w:pPr>
        <w:ind w:left="0" w:right="0" w:firstLine="240"/>
        <w:jc w:val="both"/>
        <w:keepLines w:val="0"/>
        <w:keepNext w:val="0"/>
        <w:spacing w:before="0" w:beforeAutospacing="0" w:after="0" w:afterAutospacing="0" w:line="52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33.1本项目为货物类采购项目的，所提供的产品需综合考虑节能环保、节水、循环再生、低碳、有机等因素；本项目为物业、合同能源管理等服务类采购项目的，应在服务中加强绿色低碳管理。</w:t>
      </w:r>
      <w:r/>
    </w:p>
    <w:p>
      <w:pPr>
        <w:pStyle w:val="727"/>
        <w:ind w:left="0" w:right="0" w:firstLine="240"/>
        <w:jc w:val="both"/>
        <w:keepLines w:val="0"/>
        <w:keepNext w:val="0"/>
        <w:spacing w:before="0" w:beforeAutospacing="0" w:after="0" w:afterAutospacing="0" w:line="520" w:lineRule="exact"/>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33.2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727"/>
        <w:ind w:left="0" w:right="0" w:firstLine="240"/>
        <w:jc w:val="both"/>
        <w:keepLines w:val="0"/>
        <w:keepNext w:val="0"/>
        <w:spacing w:before="0" w:beforeAutospacing="0" w:after="120" w:afterAutospacing="0" w:line="520" w:lineRule="exact"/>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33.3本项目中涉及涂料、胶黏剂、油墨、清洗剂等挥发性有机物产品的，要执行国家和江苏省VOCs含量限制标准，优先使用低挥发性原辅材料，使用低VOCs含量的涂料、胶黏剂等。</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34.政府采购履约资金扶持政策</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34.1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34.2有融资贷款需求的中标人，与采购人在苏采云【合同在线签订】模块中进行合同在线签订时，【账户信息完善】的“是否融资”一栏中需选择“是”，同时完善收款账号信息和合同补充协议（融资账号）。</w:t>
      </w:r>
      <w:r/>
    </w:p>
    <w:p>
      <w:pPr>
        <w:pStyle w:val="727"/>
        <w:ind w:left="0" w:right="0" w:firstLine="0"/>
        <w:jc w:val="both"/>
        <w:keepLines w:val="0"/>
        <w:keepNext w:val="0"/>
        <w:spacing w:before="0" w:beforeAutospacing="0" w:after="0" w:afterAutospacing="0" w:line="360" w:lineRule="auto"/>
        <w:widowControl/>
        <w:rPr>
          <w:rFonts w:hint="eastAsia" w:ascii="宋体" w:hAnsi="宋体" w:eastAsia="宋体" w:cs="宋体"/>
          <w:b/>
          <w:bCs w:val="0"/>
          <w:lang w:val="en-US"/>
        </w:rPr>
        <w:suppressLineNumbers w:val="0"/>
      </w:pPr>
      <w:r>
        <w:rPr>
          <w:rFonts w:hint="eastAsia" w:ascii="宋体" w:hAnsi="宋体" w:eastAsia="宋体" w:cs="宋体"/>
          <w:b/>
          <w:bCs w:val="0"/>
          <w:sz w:val="24"/>
          <w:szCs w:val="24"/>
          <w:lang w:val="en-US" w:eastAsia="zh-CN" w:bidi="ar"/>
        </w:rPr>
        <w:t xml:space="preserve">35.采购本国产品的支持政策</w:t>
      </w:r>
      <w:r/>
    </w:p>
    <w:p>
      <w:pPr>
        <w:pStyle w:val="727"/>
        <w:ind w:left="0" w:right="0" w:firstLine="468"/>
        <w:jc w:val="both"/>
        <w:keepLines w:val="0"/>
        <w:keepNext w:val="0"/>
        <w:spacing w:before="0" w:beforeAutospacing="0" w:after="0" w:afterAutospacing="0" w:line="360" w:lineRule="auto"/>
        <w:widowControl/>
        <w:rPr>
          <w:rFonts w:hint="eastAsia" w:ascii="宋体" w:hAnsi="宋体" w:eastAsia="宋体" w:cs="宋体"/>
          <w:bCs/>
          <w:lang w:val="en-US"/>
        </w:rPr>
        <w:suppressLineNumbers w:val="0"/>
      </w:pPr>
      <w:r>
        <w:rPr>
          <w:rFonts w:hint="eastAsia" w:ascii="宋体" w:hAnsi="宋体" w:eastAsia="宋体" w:cs="宋体"/>
          <w:bCs/>
          <w:sz w:val="24"/>
          <w:szCs w:val="24"/>
          <w:lang w:val="en-US" w:eastAsia="zh-CN" w:bidi="ar"/>
        </w:rPr>
        <w:t xml:space="preserve">35.1本项目政府采购活动中既有本国产品又有非本国产品参与竞争的，依法对本国产品给予价格评审优惠，对本国产品的报价给予20%的价格扣除，用扣除后的价格参与评审。</w:t>
      </w:r>
      <w:r/>
    </w:p>
    <w:p>
      <w:pPr>
        <w:pStyle w:val="727"/>
        <w:ind w:left="0" w:right="0" w:firstLine="468"/>
        <w:jc w:val="both"/>
        <w:keepLines w:val="0"/>
        <w:keepNext w:val="0"/>
        <w:spacing w:before="0" w:beforeAutospacing="0" w:after="0" w:afterAutospacing="0" w:line="360" w:lineRule="auto"/>
        <w:widowControl/>
        <w:rPr>
          <w:rFonts w:hint="eastAsia" w:ascii="宋体" w:hAnsi="宋体" w:eastAsia="宋体" w:cs="宋体"/>
          <w:bCs/>
          <w:lang w:val="en-US"/>
        </w:rPr>
        <w:suppressLineNumbers w:val="0"/>
      </w:pPr>
      <w:r>
        <w:rPr>
          <w:rFonts w:hint="eastAsia" w:ascii="宋体" w:hAnsi="宋体" w:eastAsia="宋体" w:cs="宋体"/>
          <w:bCs/>
          <w:sz w:val="24"/>
          <w:szCs w:val="24"/>
          <w:lang w:val="en-US" w:eastAsia="zh-CN" w:bidi="ar"/>
        </w:rPr>
        <w:t xml:space="preserve">35.2 当采购项目或者采购包中含有多种产品，投标人为该采购项目或者采购包提供的符合本国产品标准的产品成本之和占该投标人提供的全部产品成本之和的比例达到80%以上时（投标人需在“第六章 投标文件格式”的“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727"/>
        <w:ind w:left="0" w:right="0" w:firstLine="480"/>
        <w:jc w:val="both"/>
        <w:keepLines w:val="0"/>
        <w:keepNext w:val="0"/>
        <w:spacing w:before="0" w:beforeAutospacing="0" w:after="0" w:afterAutospacing="0" w:line="360" w:lineRule="auto"/>
        <w:widowControl/>
        <w:rPr>
          <w:rFonts w:hint="eastAsia" w:ascii="宋体" w:hAnsi="宋体" w:eastAsia="宋体" w:cs="宋体"/>
          <w:bCs/>
          <w:lang w:val="en-US"/>
        </w:rPr>
        <w:suppressLineNumbers w:val="0"/>
      </w:pPr>
      <w:r>
        <w:rPr>
          <w:rFonts w:hint="eastAsia" w:ascii="宋体" w:hAnsi="宋体" w:eastAsia="宋体" w:cs="宋体"/>
          <w:bCs/>
          <w:sz w:val="24"/>
          <w:szCs w:val="24"/>
          <w:lang w:val="en-US" w:eastAsia="zh-CN" w:bidi="ar"/>
        </w:rPr>
        <w:t xml:space="preserve">35.3 投标人需按照招标文件的要求提供《关于符合本国产品标准的声明函》（以下简称《声明函》，详见第六章“示范格式六”），如不提供将不享受本国产品价格评审优惠。</w:t>
      </w:r>
      <w:r/>
    </w:p>
    <w:p>
      <w:pPr>
        <w:pStyle w:val="727"/>
        <w:ind w:left="0" w:right="0" w:firstLine="480"/>
        <w:jc w:val="both"/>
        <w:keepLines w:val="0"/>
        <w:keepNext w:val="0"/>
        <w:spacing w:before="0" w:beforeAutospacing="0" w:after="0" w:afterAutospacing="0" w:line="360" w:lineRule="auto"/>
        <w:widowControl/>
        <w:rPr>
          <w:rFonts w:hint="eastAsia" w:ascii="宋体" w:hAnsi="宋体" w:eastAsia="宋体" w:cs="宋体"/>
          <w:bCs/>
          <w:lang w:val="en-US"/>
        </w:rPr>
        <w:suppressLineNumbers w:val="0"/>
      </w:pPr>
      <w:r>
        <w:rPr>
          <w:rFonts w:hint="eastAsia" w:ascii="宋体" w:hAnsi="宋体" w:eastAsia="宋体" w:cs="宋体"/>
          <w:bCs/>
          <w:sz w:val="24"/>
          <w:szCs w:val="24"/>
          <w:lang w:val="en-US" w:eastAsia="zh-CN" w:bidi="ar"/>
        </w:rPr>
        <w:t xml:space="preserve">35.4 投标人需在《声明函》中逐一、准确填写产品名称、厂名、生产厂址三项信息，三项信息中任意一项未填写的视为该项产品不符合本国产品标准，不享受本国产品价格评审优惠。</w:t>
      </w:r>
      <w:r/>
    </w:p>
    <w:p>
      <w:pPr>
        <w:pStyle w:val="727"/>
        <w:ind w:left="0" w:right="0" w:firstLine="480"/>
        <w:jc w:val="both"/>
        <w:keepLines w:val="0"/>
        <w:keepNext w:val="0"/>
        <w:spacing w:before="0" w:beforeAutospacing="0" w:after="0" w:afterAutospacing="0" w:line="360" w:lineRule="auto"/>
        <w:widowControl/>
        <w:rPr>
          <w:rFonts w:hint="eastAsia" w:ascii="宋体" w:hAnsi="宋体" w:eastAsia="宋体" w:cs="宋体"/>
          <w:bCs/>
          <w:lang w:val="en-US"/>
        </w:rPr>
        <w:suppressLineNumbers w:val="0"/>
      </w:pPr>
      <w:r>
        <w:rPr>
          <w:rFonts w:hint="eastAsia" w:ascii="宋体" w:hAnsi="宋体" w:eastAsia="宋体" w:cs="宋体"/>
          <w:bCs/>
          <w:sz w:val="24"/>
          <w:szCs w:val="24"/>
          <w:lang w:val="en-US" w:eastAsia="zh-CN" w:bidi="ar"/>
        </w:rPr>
        <w:t xml:space="preserve">35.5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727"/>
        <w:ind w:left="0" w:right="0" w:firstLine="200"/>
        <w:jc w:val="both"/>
        <w:keepLines w:val="0"/>
        <w:keepNext w:val="0"/>
        <w:spacing w:before="0" w:beforeAutospacing="0" w:after="0" w:afterAutospacing="0" w:line="360" w:lineRule="auto"/>
        <w:widowControl/>
        <w:rPr>
          <w:rFonts w:hint="eastAsia" w:ascii="宋体" w:hAnsi="宋体" w:eastAsia="宋体" w:cs="宋体"/>
          <w:bCs/>
          <w:lang w:val="en-US"/>
        </w:rPr>
        <w:suppressLineNumbers w:val="0"/>
      </w:pPr>
      <w:r>
        <w:rPr>
          <w:rFonts w:hint="eastAsia" w:ascii="宋体" w:hAnsi="宋体" w:eastAsia="宋体" w:cs="宋体"/>
          <w:bCs/>
          <w:sz w:val="24"/>
          <w:szCs w:val="24"/>
          <w:lang w:val="en-US" w:eastAsia="zh-CN" w:bidi="ar"/>
        </w:rPr>
        <w:t xml:space="preserve">注：本项目对采购本国产品给予政策支持；适用本国产品标准的货物具体是指《政</w:t>
      </w:r>
      <w:r>
        <w:rPr>
          <w:rFonts w:hint="eastAsia" w:ascii="宋体" w:hAnsi="宋体" w:eastAsia="宋体" w:cs="宋体"/>
          <w:bCs/>
          <w:sz w:val="24"/>
          <w:szCs w:val="24"/>
          <w:lang w:val="en-US" w:eastAsia="zh-CN" w:bidi="ar"/>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27"/>
        <w:ind w:left="0" w:right="0" w:firstLine="200"/>
        <w:jc w:val="both"/>
        <w:keepLines w:val="0"/>
        <w:keepNext w:val="0"/>
        <w:spacing w:before="0" w:beforeAutospacing="0" w:after="0" w:afterAutospacing="0" w:line="360" w:lineRule="auto"/>
        <w:widowControl/>
        <w:rPr>
          <w:rFonts w:hint="eastAsia" w:ascii="宋体" w:hAnsi="宋体" w:eastAsia="宋体" w:cs="宋体"/>
          <w:b/>
          <w:bCs w:val="0"/>
          <w:lang w:val="en-US"/>
        </w:rPr>
        <w:suppressLineNumbers w:val="0"/>
      </w:pPr>
      <w:r>
        <w:rPr>
          <w:rFonts w:hint="eastAsia" w:ascii="宋体" w:hAnsi="宋体" w:eastAsia="宋体" w:cs="宋体"/>
          <w:b/>
          <w:bCs w:val="0"/>
          <w:sz w:val="24"/>
          <w:szCs w:val="24"/>
          <w:lang w:val="en-US" w:eastAsia="zh-CN" w:bidi="ar"/>
        </w:rPr>
        <w:t xml:space="preserve">36异常低价情形：</w:t>
      </w:r>
      <w:r/>
    </w:p>
    <w:p>
      <w:pPr>
        <w:pStyle w:val="727"/>
        <w:ind w:left="0" w:right="0" w:firstLine="200"/>
        <w:jc w:val="both"/>
        <w:keepLines w:val="0"/>
        <w:keepNext w:val="0"/>
        <w:spacing w:before="0" w:beforeAutospacing="0" w:after="0" w:afterAutospacing="0" w:line="360" w:lineRule="auto"/>
        <w:widowControl/>
        <w:rPr>
          <w:rFonts w:hint="eastAsia" w:ascii="宋体" w:hAnsi="宋体" w:eastAsia="宋体" w:cs="宋体"/>
          <w:bCs/>
          <w:lang w:val="en-US"/>
        </w:rPr>
        <w:suppressLineNumbers w:val="0"/>
      </w:pPr>
      <w:r>
        <w:rPr>
          <w:rFonts w:hint="eastAsia" w:ascii="宋体" w:hAnsi="宋体" w:eastAsia="宋体" w:cs="宋体"/>
          <w:bCs/>
          <w:sz w:val="24"/>
          <w:szCs w:val="24"/>
          <w:lang w:val="en-US" w:eastAsia="zh-CN" w:bidi="ar"/>
        </w:rPr>
        <w:t xml:space="preserve">1.投标(响应)报价低于全部通过符合性审查供应商投标(响应)报价平均值50%的，即投标(响应)报价&lt;全部通过符合性审查供应商投标(响应)报价平均值x50%;</w:t>
      </w:r>
      <w:r/>
    </w:p>
    <w:p>
      <w:pPr>
        <w:pStyle w:val="727"/>
        <w:ind w:left="0" w:right="0" w:firstLine="200"/>
        <w:jc w:val="both"/>
        <w:keepLines w:val="0"/>
        <w:keepNext w:val="0"/>
        <w:spacing w:before="0" w:beforeAutospacing="0" w:after="0" w:afterAutospacing="0" w:line="360" w:lineRule="auto"/>
        <w:widowControl/>
        <w:rPr>
          <w:rFonts w:hint="eastAsia" w:ascii="宋体" w:hAnsi="宋体" w:eastAsia="宋体" w:cs="宋体"/>
          <w:bCs/>
          <w:lang w:val="en-US"/>
        </w:rPr>
        <w:suppressLineNumbers w:val="0"/>
      </w:pPr>
      <w:r>
        <w:rPr>
          <w:rFonts w:hint="eastAsia" w:ascii="宋体" w:hAnsi="宋体" w:eastAsia="宋体" w:cs="宋体"/>
          <w:bCs/>
          <w:sz w:val="24"/>
          <w:szCs w:val="24"/>
          <w:lang w:val="en-US" w:eastAsia="zh-CN" w:bidi="ar"/>
        </w:rPr>
        <w:t xml:space="preserve">2.投标(响应)报价低于通过符合性审查的次低报价供应商投标(响应)报价50%的，即投标(响应)报价&lt;通过符合性审查的次低报价供应商投标(响应)报价X50%;</w:t>
      </w:r>
      <w:r/>
    </w:p>
    <w:p>
      <w:pPr>
        <w:pStyle w:val="727"/>
        <w:ind w:left="0" w:right="0" w:firstLine="200"/>
        <w:jc w:val="both"/>
        <w:keepLines w:val="0"/>
        <w:keepNext w:val="0"/>
        <w:spacing w:before="0" w:beforeAutospacing="0" w:after="0" w:afterAutospacing="0" w:line="360" w:lineRule="auto"/>
        <w:widowControl/>
        <w:rPr>
          <w:rFonts w:hint="eastAsia" w:ascii="宋体" w:hAnsi="宋体" w:eastAsia="宋体" w:cs="宋体"/>
          <w:bCs/>
          <w:lang w:val="en-US"/>
        </w:rPr>
        <w:suppressLineNumbers w:val="0"/>
      </w:pPr>
      <w:r>
        <w:rPr>
          <w:rFonts w:hint="eastAsia" w:ascii="宋体" w:hAnsi="宋体" w:eastAsia="宋体" w:cs="宋体"/>
          <w:bCs/>
          <w:sz w:val="24"/>
          <w:szCs w:val="24"/>
          <w:lang w:val="en-US" w:eastAsia="zh-CN" w:bidi="ar"/>
        </w:rPr>
        <w:t xml:space="preserve">3.投标(响应)报价低于采购项目最高限价45%的，即投标(响应)报价&lt;采购项目最高限价X45%;</w:t>
      </w:r>
      <w:r/>
    </w:p>
    <w:p>
      <w:pPr>
        <w:pStyle w:val="727"/>
        <w:ind w:left="0" w:right="0" w:firstLine="200"/>
        <w:jc w:val="both"/>
        <w:keepLines w:val="0"/>
        <w:keepNext w:val="0"/>
        <w:spacing w:before="0" w:beforeAutospacing="0" w:after="0" w:afterAutospacing="0" w:line="360" w:lineRule="auto"/>
        <w:widowControl/>
        <w:rPr>
          <w:rFonts w:hint="eastAsia" w:ascii="宋体" w:hAnsi="宋体" w:eastAsia="宋体" w:cs="宋体"/>
          <w:bCs/>
          <w:lang w:val="en-US"/>
        </w:rPr>
        <w:suppressLineNumbers w:val="0"/>
      </w:pPr>
      <w:r>
        <w:rPr>
          <w:rFonts w:hint="eastAsia" w:ascii="宋体" w:hAnsi="宋体" w:eastAsia="宋体" w:cs="宋体"/>
          <w:bCs/>
          <w:sz w:val="24"/>
          <w:szCs w:val="24"/>
          <w:lang w:val="en-US" w:eastAsia="zh-CN" w:bidi="ar"/>
        </w:rPr>
        <w:t xml:space="preserve">4.评审委员会基于专业判断，认为供应商报价过低，有可能影响产品质量或者不能诚信履约的其他情形。</w:t>
      </w:r>
      <w:r/>
    </w:p>
    <w:p>
      <w:pPr>
        <w:ind w:right="0"/>
        <w:jc w:val="both"/>
        <w:keepLines w:val="0"/>
        <w:keepNext w:val="0"/>
        <w:pageBreakBefore w:val="0"/>
        <w:spacing w:line="360" w:lineRule="auto"/>
        <w:widowControl w:val="off"/>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ind w:right="0"/>
        <w:jc w:val="center"/>
        <w:keepLines w:val="0"/>
        <w:keepNext w:val="0"/>
        <w:pageBreakBefore w:val="0"/>
        <w:spacing w:line="360" w:lineRule="auto"/>
        <w:widowControl w:val="off"/>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ind w:right="0"/>
        <w:jc w:val="center"/>
        <w:keepLines w:val="0"/>
        <w:keepNext w:val="0"/>
        <w:pageBreakBefore w:val="0"/>
        <w:spacing w:line="360" w:lineRule="auto"/>
        <w:widowControl w:val="off"/>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ind w:right="0"/>
        <w:jc w:val="center"/>
        <w:keepLines w:val="0"/>
        <w:keepNext w:val="0"/>
        <w:pageBreakBefore w:val="0"/>
        <w:spacing w:line="360" w:lineRule="auto"/>
        <w:widowControl w:val="off"/>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ind w:right="0"/>
        <w:jc w:val="center"/>
        <w:keepLines w:val="0"/>
        <w:keepNext w:val="0"/>
        <w:pageBreakBefore w:val="0"/>
        <w:spacing w:line="360" w:lineRule="auto"/>
        <w:widowControl w:val="off"/>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ind w:right="0"/>
        <w:jc w:val="center"/>
        <w:keepLines w:val="0"/>
        <w:keepNext w:val="0"/>
        <w:pageBreakBefore w:val="0"/>
        <w:spacing w:line="360" w:lineRule="auto"/>
        <w:widowControl w:val="off"/>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ind w:right="0"/>
        <w:jc w:val="center"/>
        <w:keepLines w:val="0"/>
        <w:keepNext w:val="0"/>
        <w:pageBreakBefore w:val="0"/>
        <w:spacing w:line="360" w:lineRule="auto"/>
        <w:widowControl w:val="off"/>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ind w:right="0"/>
        <w:jc w:val="center"/>
        <w:keepLines w:val="0"/>
        <w:keepNext w:val="0"/>
        <w:pageBreakBefore w:val="0"/>
        <w:spacing w:line="360" w:lineRule="auto"/>
        <w:widowControl w:val="off"/>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ind w:right="0"/>
        <w:jc w:val="center"/>
        <w:keepLines w:val="0"/>
        <w:keepNext w:val="0"/>
        <w:pageBreakBefore w:val="0"/>
        <w:spacing w:line="360" w:lineRule="auto"/>
        <w:widowControl w:val="off"/>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ind w:right="0"/>
        <w:jc w:val="center"/>
        <w:keepLines w:val="0"/>
        <w:keepNext w:val="0"/>
        <w:pageBreakBefore w:val="0"/>
        <w:spacing w:line="360" w:lineRule="auto"/>
        <w:widowControl w:val="off"/>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ind w:right="0"/>
        <w:jc w:val="center"/>
        <w:keepLines w:val="0"/>
        <w:keepNext w:val="0"/>
        <w:pageBreakBefore w:val="0"/>
        <w:spacing w:line="360" w:lineRule="auto"/>
        <w:widowControl w:val="off"/>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ind w:right="0"/>
        <w:jc w:val="center"/>
        <w:keepLines w:val="0"/>
        <w:keepNext w:val="0"/>
        <w:pageBreakBefore w:val="0"/>
        <w:spacing w:line="360" w:lineRule="auto"/>
        <w:widowControl w:val="off"/>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ind w:right="0"/>
        <w:jc w:val="center"/>
        <w:keepLines w:val="0"/>
        <w:keepNext w:val="0"/>
        <w:pageBreakBefore w:val="0"/>
        <w:spacing w:line="360" w:lineRule="auto"/>
        <w:widowControl w:val="off"/>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ind w:right="0"/>
        <w:jc w:val="center"/>
        <w:keepLines w:val="0"/>
        <w:keepNext w:val="0"/>
        <w:pageBreakBefore w:val="0"/>
        <w:spacing w:line="360" w:lineRule="auto"/>
        <w:widowControl w:val="off"/>
        <w:rPr>
          <w:rFonts w:hint="eastAsia" w:ascii="宋体" w:hAnsi="宋体" w:eastAsia="宋体" w:cs="宋体"/>
          <w:b/>
          <w:color w:val="auto"/>
          <w:sz w:val="36"/>
          <w:szCs w:val="36"/>
        </w:rPr>
      </w:pPr>
      <w:r>
        <w:rPr>
          <w:rFonts w:hint="eastAsia" w:ascii="宋体" w:hAnsi="宋体" w:eastAsia="宋体" w:cs="宋体"/>
          <w:b/>
          <w:color w:val="auto"/>
          <w:sz w:val="36"/>
          <w:szCs w:val="36"/>
        </w:rPr>
        <w:t xml:space="preserve">第三章  </w:t>
      </w:r>
      <w:r>
        <w:rPr>
          <w:rFonts w:hint="eastAsia" w:ascii="宋体" w:hAnsi="宋体" w:cs="宋体"/>
          <w:b/>
          <w:color w:val="auto"/>
          <w:sz w:val="36"/>
          <w:szCs w:val="36"/>
          <w:lang w:eastAsia="zh-CN"/>
        </w:rPr>
        <w:t xml:space="preserve">评标</w:t>
      </w:r>
      <w:r>
        <w:rPr>
          <w:rFonts w:hint="eastAsia" w:ascii="宋体" w:hAnsi="宋体" w:eastAsia="宋体" w:cs="宋体"/>
          <w:b/>
          <w:color w:val="auto"/>
          <w:sz w:val="36"/>
          <w:szCs w:val="36"/>
        </w:rPr>
        <w:t xml:space="preserve">标准</w:t>
      </w:r>
      <w:r/>
    </w:p>
    <w:p>
      <w:pPr>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 xml:space="preserve">一、本项目采用综合评分法。</w:t>
      </w:r>
      <w:r/>
    </w:p>
    <w:p>
      <w:pPr>
        <w:ind w:firstLine="47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评委会仅对确定为实质上响应招标文件要求的投标文件进行评价和比较。综合评分法，是指投标文件满足招标文件全部实质性要求</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且按照评审因素的量化指标评审得分最高的投标人为中标候选人的评标方法。</w:t>
      </w:r>
      <w:bookmarkEnd w:id="3"/>
      <w:r/>
      <w:r/>
    </w:p>
    <w:p>
      <w:pPr>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bookmarkStart w:id="18" w:name="_Toc4620_WPSOffice_Level1"/>
      <w:r>
        <w:rPr>
          <w:rFonts w:hint="eastAsia" w:ascii="宋体" w:hAnsi="宋体" w:cs="宋体"/>
          <w:b/>
          <w:bCs/>
          <w:color w:val="auto"/>
          <w:sz w:val="24"/>
          <w:szCs w:val="24"/>
          <w:highlight w:val="none"/>
          <w:lang w:val="en-US" w:eastAsia="zh-CN"/>
        </w:rPr>
        <w:t xml:space="preserve">二、</w:t>
      </w:r>
      <w:r>
        <w:rPr>
          <w:rFonts w:hint="eastAsia" w:ascii="宋体" w:hAnsi="宋体" w:cs="宋体"/>
          <w:b w:val="0"/>
          <w:bCs w:val="0"/>
          <w:color w:val="auto"/>
          <w:sz w:val="24"/>
          <w:szCs w:val="24"/>
          <w:highlight w:val="none"/>
          <w:lang w:val="en-US" w:eastAsia="zh-CN"/>
        </w:rPr>
        <w:t xml:space="preserve">评委会将依据下列评标标准进行评标，本评标标准的总分为100分。按评审后得分由高到低顺序排列。得分相同的，按投标报价由低到高顺序排列。得分且投标报价相同的并列， 由评标委员会通过随机抽取的方式确定中标候选人。</w:t>
      </w:r>
      <w:r/>
    </w:p>
    <w:p>
      <w:pPr>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三、具体标准：</w:t>
      </w:r>
      <w:r/>
    </w:p>
    <w:tbl>
      <w:tblPr>
        <w:tblStyle w:val="701"/>
        <w:tblW w:w="101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265"/>
        <w:gridCol w:w="8864"/>
      </w:tblGrid>
      <w:tr>
        <w:trPr>
          <w:jc w:val="center"/>
          <w:trHeight w:val="570"/>
        </w:trPr>
        <w:tc>
          <w:tcPr>
            <w:tcW w:w="1265" w:type="dxa"/>
            <w:vAlign w:val="center"/>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评审</w:t>
            </w:r>
            <w:r/>
          </w:p>
          <w:p>
            <w:pPr>
              <w:ind w:left="0" w:right="0" w:firstLine="0"/>
              <w:jc w:val="center"/>
              <w:keepLines w:val="0"/>
              <w:keepNext w:val="0"/>
              <w:pageBreakBefore w:val="0"/>
              <w:spacing w:line="4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w:t>
            </w:r>
            <w:r/>
          </w:p>
        </w:tc>
        <w:tc>
          <w:tcPr>
            <w:tcW w:w="8864" w:type="dxa"/>
            <w:vAlign w:val="center"/>
            <w:textDirection w:val="lrTb"/>
            <w:noWrap w:val="false"/>
          </w:tcPr>
          <w:p>
            <w:pPr>
              <w:ind w:left="0" w:right="0" w:firstLine="0"/>
              <w:jc w:val="center"/>
              <w:keepLines w:val="0"/>
              <w:keepNext w:val="0"/>
              <w:pageBreakBefore w:val="0"/>
              <w:spacing w:line="4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评分标准</w:t>
            </w:r>
            <w:r/>
          </w:p>
        </w:tc>
      </w:tr>
      <w:tr>
        <w:trPr>
          <w:jc w:val="center"/>
          <w:trHeight w:val="1203"/>
        </w:trPr>
        <w:tc>
          <w:tcPr>
            <w:tcW w:w="1265" w:type="dxa"/>
            <w:vAlign w:val="center"/>
            <w:textDirection w:val="lrTb"/>
            <w:noWrap w:val="false"/>
          </w:tcPr>
          <w:p>
            <w:pPr>
              <w:numPr>
                <w:ilvl w:val="0"/>
                <w:numId w:val="0"/>
              </w:numPr>
              <w:ind w:left="0" w:right="0" w:firstLine="0"/>
              <w:jc w:val="center"/>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投标报价</w:t>
            </w:r>
            <w:r/>
          </w:p>
          <w:p>
            <w:pPr>
              <w:numPr>
                <w:ilvl w:val="0"/>
                <w:numId w:val="0"/>
              </w:numPr>
              <w:ind w:left="0" w:right="0" w:firstLine="0"/>
              <w:jc w:val="center"/>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（30分）</w:t>
            </w:r>
            <w:r/>
          </w:p>
        </w:tc>
        <w:tc>
          <w:tcPr>
            <w:tcW w:w="8864" w:type="dxa"/>
            <w:vAlign w:val="center"/>
            <w:textDirection w:val="lrTb"/>
            <w:noWrap w:val="false"/>
          </w:tcPr>
          <w:p>
            <w:pPr>
              <w:numPr>
                <w:ilvl w:val="0"/>
                <w:numId w:val="0"/>
              </w:numPr>
              <w:ind w:left="0" w:right="0" w:firstLine="0"/>
              <w:keepLines w:val="0"/>
              <w:keepNext w:val="0"/>
              <w:pageBreakBefore w:val="0"/>
              <w:spacing w:line="400" w:lineRule="exact"/>
              <w:rPr>
                <w:rFonts w:hint="eastAsia"/>
                <w:highlight w:val="none"/>
              </w:rPr>
            </w:pPr>
            <w:r>
              <w:rPr>
                <w:rFonts w:hint="eastAsia" w:ascii="宋体" w:hAnsi="宋体" w:eastAsia="宋体" w:cs="宋体"/>
                <w:sz w:val="21"/>
                <w:szCs w:val="21"/>
                <w:highlight w:val="none"/>
                <w:lang w:val="en-US" w:eastAsia="zh-CN" w:bidi="ar-SA"/>
              </w:rPr>
              <w:t xml:space="preserve">满足招标文件要求且投标价格最低为评标基准价，其价格分为满分。其他投标人的价格分按照下列公式计算（小数点保留两位）：投标报价得分＝（评标基准价/投标报价）×30分。</w:t>
            </w:r>
            <w:r/>
          </w:p>
        </w:tc>
      </w:tr>
      <w:tr>
        <w:trPr>
          <w:jc w:val="center"/>
          <w:trHeight w:val="2301"/>
        </w:trPr>
        <w:tc>
          <w:tcPr>
            <w:tcW w:w="1265" w:type="dxa"/>
            <w:vAlign w:val="center"/>
            <w:textDirection w:val="lrTb"/>
            <w:noWrap w:val="false"/>
          </w:tcPr>
          <w:p>
            <w:pPr>
              <w:numPr>
                <w:ilvl w:val="0"/>
                <w:numId w:val="0"/>
              </w:numPr>
              <w:ind w:left="0" w:right="0" w:firstLine="0"/>
              <w:jc w:val="center"/>
              <w:keepLines w:val="0"/>
              <w:keepNext w:val="0"/>
              <w:pageBreakBefore w:val="0"/>
              <w:spacing w:line="4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技术部分(25分）</w:t>
            </w:r>
            <w:r/>
          </w:p>
        </w:tc>
        <w:tc>
          <w:tcPr>
            <w:tcW w:w="8864" w:type="dxa"/>
            <w:vAlign w:val="center"/>
            <w:textDirection w:val="lrTb"/>
            <w:noWrap w:val="false"/>
          </w:tcPr>
          <w:p>
            <w:pPr>
              <w:pStyle w:val="712"/>
              <w:jc w:val="left"/>
              <w:spacing w:line="360" w:lineRule="exact"/>
              <w:rPr>
                <w:rFonts w:hint="eastAsia" w:hAnsi="宋体" w:cs="宋体"/>
                <w:szCs w:val="21"/>
                <w:highlight w:val="none"/>
              </w:rPr>
            </w:pPr>
            <w:r>
              <w:rPr>
                <w:rFonts w:hint="eastAsia" w:hAnsi="宋体" w:cs="宋体"/>
                <w:szCs w:val="21"/>
                <w:highlight w:val="none"/>
              </w:rPr>
              <w:t xml:space="preserve">投标人所投产品完全符合招标文件中各项技术参数要求的得</w:t>
            </w:r>
            <w:r>
              <w:rPr>
                <w:rFonts w:hint="eastAsia" w:hAnsi="宋体" w:cs="宋体"/>
                <w:szCs w:val="21"/>
                <w:highlight w:val="none"/>
                <w:lang w:val="en-US" w:eastAsia="zh-CN"/>
              </w:rPr>
              <w:t xml:space="preserve">25</w:t>
            </w:r>
            <w:r>
              <w:rPr>
                <w:rFonts w:hint="eastAsia" w:hAnsi="宋体" w:cs="宋体"/>
                <w:szCs w:val="21"/>
                <w:highlight w:val="none"/>
              </w:rPr>
              <w:t xml:space="preserve">分。招标文件技术参数中标记“▲”的有一项负偏离的扣</w:t>
            </w:r>
            <w:r>
              <w:rPr>
                <w:rFonts w:hint="eastAsia" w:hAnsi="宋体" w:cs="宋体"/>
                <w:szCs w:val="21"/>
                <w:highlight w:val="none"/>
                <w:lang w:val="en-US" w:eastAsia="zh-CN"/>
              </w:rPr>
              <w:t xml:space="preserve">1</w:t>
            </w:r>
            <w:r>
              <w:rPr>
                <w:rFonts w:hint="eastAsia" w:hAnsi="宋体" w:cs="宋体"/>
                <w:szCs w:val="21"/>
                <w:highlight w:val="none"/>
              </w:rPr>
              <w:t xml:space="preserve">分，扣完为止</w:t>
            </w:r>
            <w:r>
              <w:rPr>
                <w:rFonts w:hint="eastAsia" w:hAnsi="宋体" w:cs="宋体"/>
                <w:szCs w:val="21"/>
                <w:highlight w:val="none"/>
                <w:lang w:eastAsia="zh-CN"/>
              </w:rPr>
              <w:t xml:space="preserve">；</w:t>
            </w:r>
            <w:r>
              <w:rPr>
                <w:rFonts w:hint="eastAsia" w:hAnsi="宋体" w:cs="宋体"/>
                <w:szCs w:val="21"/>
                <w:highlight w:val="none"/>
              </w:rPr>
              <w:t xml:space="preserve">招标文件技术参数未标记“▲”号的有一项负偏离的扣</w:t>
            </w:r>
            <w:r>
              <w:rPr>
                <w:rFonts w:hint="eastAsia" w:hAnsi="宋体" w:cs="宋体"/>
                <w:szCs w:val="21"/>
                <w:highlight w:val="none"/>
                <w:lang w:val="en-US" w:eastAsia="zh-CN"/>
              </w:rPr>
              <w:t xml:space="preserve">0.5</w:t>
            </w:r>
            <w:r>
              <w:rPr>
                <w:rFonts w:hint="eastAsia" w:hAnsi="宋体" w:cs="宋体"/>
                <w:szCs w:val="21"/>
                <w:highlight w:val="none"/>
              </w:rPr>
              <w:t xml:space="preserve">分，扣完为止。</w:t>
            </w:r>
            <w:r/>
          </w:p>
          <w:p>
            <w:pPr>
              <w:pStyle w:val="712"/>
              <w:jc w:val="left"/>
              <w:spacing w:line="360" w:lineRule="exact"/>
              <w:rPr>
                <w:rFonts w:hint="default" w:eastAsia="宋体"/>
                <w:highlight w:val="none"/>
                <w:lang w:val="en-US" w:eastAsia="zh-CN"/>
              </w:rPr>
            </w:pPr>
            <w:r>
              <w:rPr>
                <w:rFonts w:hint="eastAsia" w:hAnsi="宋体" w:cs="宋体"/>
                <w:b/>
                <w:bCs/>
                <w:szCs w:val="21"/>
                <w:highlight w:val="none"/>
              </w:rPr>
              <w:t xml:space="preserve">注：以招标文件中技术偏离表及技术参数中要求提供的有关证明材料为评审依据</w:t>
            </w:r>
            <w:r>
              <w:rPr>
                <w:rFonts w:hint="eastAsia" w:hAnsi="宋体" w:cs="宋体"/>
                <w:b/>
                <w:bCs/>
                <w:szCs w:val="21"/>
                <w:highlight w:val="none"/>
                <w:lang w:val="en-US" w:eastAsia="zh-CN"/>
              </w:rPr>
              <w:t xml:space="preserve">。</w:t>
            </w:r>
            <w:r/>
          </w:p>
        </w:tc>
      </w:tr>
      <w:tr>
        <w:trPr>
          <w:jc w:val="center"/>
          <w:trHeight w:val="2840"/>
        </w:trPr>
        <w:tc>
          <w:tcPr>
            <w:tcW w:w="1265" w:type="dxa"/>
            <w:vAlign w:val="center"/>
            <w:textDirection w:val="lrTb"/>
            <w:noWrap w:val="false"/>
          </w:tcPr>
          <w:p>
            <w:pPr>
              <w:ind w:left="0" w:right="0" w:firstLine="0"/>
              <w:jc w:val="center"/>
              <w:keepLines w:val="0"/>
              <w:keepNext w:val="0"/>
              <w:pageBreakBefore w:val="0"/>
              <w:spacing w:line="400" w:lineRule="exact"/>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商务</w:t>
            </w:r>
            <w:r>
              <w:rPr>
                <w:rFonts w:hint="eastAsia" w:ascii="宋体" w:hAnsi="宋体" w:cs="宋体"/>
                <w:sz w:val="24"/>
                <w:szCs w:val="24"/>
                <w:highlight w:val="none"/>
                <w:lang w:val="en-US" w:eastAsia="zh-CN"/>
              </w:rPr>
              <w:t xml:space="preserve">部分（5分）</w:t>
            </w:r>
            <w:r/>
          </w:p>
          <w:p>
            <w:pPr>
              <w:pStyle w:val="728"/>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8864" w:type="dxa"/>
            <w:vAlign w:val="center"/>
            <w:textDirection w:val="lrTb"/>
            <w:noWrap w:val="false"/>
          </w:tcPr>
          <w:p>
            <w:pPr>
              <w:jc w:val="left"/>
              <w:keepLines w:val="0"/>
              <w:keepNext w:val="0"/>
              <w:widowControl/>
              <w:rPr>
                <w:rFonts w:hint="eastAsia"/>
                <w:szCs w:val="21"/>
                <w:highlight w:val="none"/>
                <w:lang w:val="zh-CN"/>
              </w:rPr>
              <w:suppressLineNumbers w:val="0"/>
            </w:pPr>
            <w:r>
              <w:rPr>
                <w:rFonts w:hint="eastAsia"/>
                <w:szCs w:val="21"/>
                <w:highlight w:val="none"/>
                <w:lang w:val="en-US" w:eastAsia="zh-CN"/>
              </w:rPr>
              <w:t xml:space="preserve">1、</w:t>
            </w:r>
            <w:r>
              <w:rPr>
                <w:rFonts w:hint="eastAsia"/>
                <w:szCs w:val="21"/>
                <w:highlight w:val="none"/>
                <w:lang w:val="zh-CN"/>
              </w:rPr>
              <w:t xml:space="preserve">投标</w:t>
            </w:r>
            <w:r>
              <w:rPr>
                <w:rFonts w:hint="eastAsia"/>
                <w:szCs w:val="21"/>
                <w:highlight w:val="none"/>
                <w:lang w:val="en-US" w:eastAsia="zh-CN"/>
              </w:rPr>
              <w:t xml:space="preserve">人</w:t>
            </w:r>
            <w:r>
              <w:rPr>
                <w:rFonts w:hint="eastAsia"/>
                <w:szCs w:val="21"/>
                <w:highlight w:val="none"/>
                <w:lang w:val="zh-CN"/>
              </w:rPr>
              <w:t xml:space="preserve">提供</w:t>
            </w:r>
            <w:r>
              <w:rPr>
                <w:rFonts w:hint="eastAsia"/>
                <w:szCs w:val="21"/>
                <w:highlight w:val="none"/>
              </w:rPr>
              <w:t xml:space="preserve">自</w:t>
            </w:r>
            <w:r>
              <w:rPr>
                <w:rFonts w:hint="eastAsia"/>
                <w:szCs w:val="21"/>
                <w:highlight w:val="none"/>
                <w:lang w:val="zh-CN"/>
              </w:rPr>
              <w:t xml:space="preserve">20</w:t>
            </w:r>
            <w:r>
              <w:rPr>
                <w:rFonts w:hint="eastAsia"/>
                <w:szCs w:val="21"/>
                <w:highlight w:val="none"/>
              </w:rPr>
              <w:t xml:space="preserve">2</w:t>
            </w:r>
            <w:r>
              <w:rPr>
                <w:rFonts w:hint="eastAsia"/>
                <w:szCs w:val="21"/>
                <w:highlight w:val="none"/>
                <w:lang w:val="en-US" w:eastAsia="zh-CN"/>
              </w:rPr>
              <w:t xml:space="preserve">2</w:t>
            </w:r>
            <w:r>
              <w:rPr>
                <w:rFonts w:hint="eastAsia"/>
                <w:szCs w:val="21"/>
                <w:highlight w:val="none"/>
                <w:lang w:val="zh-CN"/>
              </w:rPr>
              <w:t xml:space="preserve">年</w:t>
            </w:r>
            <w:r>
              <w:rPr>
                <w:rFonts w:hint="eastAsia"/>
                <w:szCs w:val="21"/>
                <w:highlight w:val="none"/>
                <w:lang w:val="en-US" w:eastAsia="zh-CN"/>
              </w:rPr>
              <w:t xml:space="preserve">1</w:t>
            </w:r>
            <w:r>
              <w:rPr>
                <w:rFonts w:hint="eastAsia"/>
                <w:szCs w:val="21"/>
                <w:highlight w:val="none"/>
                <w:lang w:val="zh-CN"/>
              </w:rPr>
              <w:t xml:space="preserve">月（</w:t>
            </w:r>
            <w:r>
              <w:rPr>
                <w:rFonts w:hint="eastAsia"/>
                <w:szCs w:val="21"/>
                <w:highlight w:val="none"/>
                <w:lang w:val="zh-CN" w:eastAsia="zh-CN"/>
              </w:rPr>
              <w:t xml:space="preserve">以合同签订时间为准</w:t>
            </w:r>
            <w:r>
              <w:rPr>
                <w:rFonts w:hint="eastAsia"/>
                <w:szCs w:val="21"/>
                <w:highlight w:val="none"/>
                <w:lang w:val="zh-CN"/>
              </w:rPr>
              <w:t xml:space="preserve">）至今政府采购类似项目业绩的证明材料，每提供一份得1分，最高得2分。（提供中标通知书、合同及验收报告原件扫描件</w:t>
            </w:r>
            <w:r>
              <w:rPr>
                <w:rFonts w:hint="eastAsia"/>
                <w:szCs w:val="21"/>
                <w:highlight w:val="none"/>
                <w:lang w:val="en-US" w:eastAsia="zh-CN"/>
              </w:rPr>
              <w:t xml:space="preserve">上传，</w:t>
            </w:r>
            <w:r>
              <w:rPr>
                <w:rFonts w:hint="eastAsia"/>
                <w:szCs w:val="21"/>
                <w:highlight w:val="none"/>
                <w:lang w:val="zh-CN" w:eastAsia="zh-CN"/>
              </w:rPr>
              <w:t xml:space="preserve">未提供、提供</w:t>
            </w:r>
            <w:r>
              <w:rPr>
                <w:rFonts w:hint="eastAsia"/>
                <w:szCs w:val="21"/>
                <w:highlight w:val="none"/>
                <w:lang w:val="en-US" w:eastAsia="zh-CN"/>
              </w:rPr>
              <w:t xml:space="preserve">不全</w:t>
            </w:r>
            <w:r>
              <w:rPr>
                <w:rFonts w:hint="eastAsia"/>
                <w:szCs w:val="21"/>
                <w:highlight w:val="none"/>
                <w:lang w:val="zh-CN" w:eastAsia="zh-CN"/>
              </w:rPr>
              <w:t xml:space="preserve">、不清晰不得分</w:t>
            </w:r>
            <w:r>
              <w:rPr>
                <w:rFonts w:hint="eastAsia"/>
                <w:szCs w:val="21"/>
                <w:highlight w:val="none"/>
                <w:lang w:val="zh-CN"/>
              </w:rPr>
              <w:t xml:space="preserve">）</w:t>
            </w:r>
            <w:r>
              <w:rPr>
                <w:rFonts w:hint="eastAsia"/>
                <w:szCs w:val="21"/>
                <w:highlight w:val="none"/>
                <w:lang w:val="en-US" w:eastAsia="zh-CN"/>
              </w:rPr>
              <w:t xml:space="preserve"> </w:t>
            </w:r>
            <w:r/>
          </w:p>
          <w:p>
            <w:pPr>
              <w:ind w:left="0" w:right="0" w:firstLine="0"/>
              <w:keepLines w:val="0"/>
              <w:keepNext w:val="0"/>
              <w:pageBreakBefore w:val="0"/>
              <w:spacing w:line="400" w:lineRule="exact"/>
              <w:rPr>
                <w:rFonts w:hint="eastAsia"/>
                <w:szCs w:val="21"/>
                <w:highlight w:val="none"/>
                <w:lang w:val="en-US" w:eastAsia="zh-CN"/>
              </w:rPr>
            </w:pPr>
            <w:r>
              <w:rPr>
                <w:rFonts w:hint="eastAsia"/>
                <w:szCs w:val="21"/>
                <w:highlight w:val="none"/>
                <w:lang w:val="en-US" w:eastAsia="zh-CN"/>
              </w:rPr>
              <w:t xml:space="preserve">2、投标人具有ISO9001质量管理体系列认证、ISO45001职业健康安全管理体系认证、ISO14001环境管理体系认证的，每提供一个得 1 分，本项最多得3分，没有不得分。（</w:t>
            </w:r>
            <w:r>
              <w:rPr>
                <w:rFonts w:hint="eastAsia"/>
                <w:szCs w:val="21"/>
                <w:highlight w:val="none"/>
                <w:lang w:val="zh-CN"/>
              </w:rPr>
              <w:t xml:space="preserve">提供</w:t>
            </w:r>
            <w:r>
              <w:rPr>
                <w:rFonts w:hint="eastAsia"/>
                <w:szCs w:val="21"/>
                <w:highlight w:val="none"/>
                <w:lang w:val="en-US" w:eastAsia="zh-CN"/>
              </w:rPr>
              <w:t xml:space="preserve">有效期内的认证证书原件扫描件及</w:t>
            </w:r>
            <w:r>
              <w:rPr>
                <w:rFonts w:hint="eastAsia"/>
                <w:szCs w:val="21"/>
                <w:highlight w:val="none"/>
                <w:lang w:val="zh-CN"/>
              </w:rPr>
              <w:t xml:space="preserve">国家认监委网站截图，不提供不得分</w:t>
            </w:r>
            <w:r>
              <w:rPr>
                <w:rFonts w:hint="eastAsia"/>
                <w:szCs w:val="21"/>
                <w:highlight w:val="none"/>
                <w:lang w:val="en-US" w:eastAsia="zh-CN"/>
              </w:rPr>
              <w:t xml:space="preserve">）</w:t>
            </w:r>
            <w:r/>
          </w:p>
          <w:p>
            <w:pPr>
              <w:ind w:left="0" w:right="0" w:firstLine="0"/>
              <w:keepLines w:val="0"/>
              <w:keepNext w:val="0"/>
              <w:pageBreakBefore w:val="0"/>
              <w:spacing w:line="400" w:lineRule="exact"/>
              <w:rPr>
                <w:rFonts w:hint="default"/>
                <w:highlight w:val="none"/>
                <w:lang w:val="en-US" w:eastAsia="zh-CN"/>
              </w:rPr>
            </w:pPr>
            <w:r>
              <w:rPr>
                <w:rFonts w:hint="default"/>
                <w:highlight w:val="none"/>
                <w:lang w:val="en-US" w:eastAsia="zh-CN"/>
              </w:rPr>
            </w:r>
            <w:r/>
          </w:p>
        </w:tc>
      </w:tr>
      <w:tr>
        <w:trPr>
          <w:jc w:val="center"/>
          <w:trHeight w:val="3470"/>
        </w:trPr>
        <w:tc>
          <w:tcPr>
            <w:tcW w:w="1265" w:type="dxa"/>
            <w:vAlign w:val="center"/>
            <w:textDirection w:val="lrTb"/>
            <w:noWrap w:val="false"/>
          </w:tcPr>
          <w:p>
            <w:pPr>
              <w:ind w:left="0" w:right="0" w:firstLine="0"/>
              <w:jc w:val="center"/>
              <w:keepLines w:val="0"/>
              <w:keepNext w:val="0"/>
              <w:pageBreakBefore w:val="0"/>
              <w:spacing w:line="400" w:lineRule="exact"/>
              <w:widowControl/>
              <w:rPr>
                <w:rFonts w:hint="default"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eastAsia="zh-CN"/>
              </w:rPr>
              <w:t xml:space="preserve">方案</w:t>
            </w:r>
            <w:r>
              <w:rPr>
                <w:rFonts w:hint="eastAsia" w:ascii="宋体" w:hAnsi="宋体" w:cs="宋体"/>
                <w:color w:val="000000"/>
                <w:sz w:val="24"/>
                <w:szCs w:val="24"/>
                <w:highlight w:val="none"/>
                <w:lang w:val="en-US" w:eastAsia="zh-CN"/>
              </w:rPr>
              <w:t xml:space="preserve">部分(40分）</w:t>
            </w:r>
            <w:r/>
          </w:p>
        </w:tc>
        <w:tc>
          <w:tcPr>
            <w:tcW w:w="8864" w:type="dxa"/>
            <w:vAlign w:val="center"/>
            <w:textDirection w:val="lrTb"/>
            <w:noWrap w:val="false"/>
          </w:tcPr>
          <w:p>
            <w:pPr>
              <w:numPr>
                <w:ilvl w:val="0"/>
                <w:numId w:val="0"/>
              </w:numPr>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1、质量保证措施方案（10分）</w:t>
            </w:r>
            <w:r/>
          </w:p>
          <w:p>
            <w:pPr>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投标人结合项目招标需求</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制定</w:t>
            </w:r>
            <w:r>
              <w:rPr>
                <w:rFonts w:hint="eastAsia" w:ascii="宋体" w:hAnsi="宋体" w:cs="宋体"/>
                <w:color w:val="000000"/>
                <w:szCs w:val="21"/>
                <w:highlight w:val="none"/>
              </w:rPr>
              <w:t xml:space="preserve">质量保证措施（包括：项目重难点分析及应对方案，专业设备、人员的投入等）</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评标委员会对方案进行综合比较打分，方案内容</w:t>
            </w:r>
            <w:r>
              <w:rPr>
                <w:rFonts w:hint="eastAsia" w:ascii="宋体" w:hAnsi="宋体" w:cs="宋体"/>
                <w:color w:val="000000"/>
                <w:szCs w:val="21"/>
                <w:highlight w:val="none"/>
                <w:lang w:val="en-US" w:eastAsia="zh-CN"/>
              </w:rPr>
              <w:t xml:space="preserve">详细、全面、合理</w:t>
            </w:r>
            <w:r>
              <w:rPr>
                <w:rFonts w:hint="eastAsia" w:ascii="宋体" w:hAnsi="宋体" w:cs="宋体"/>
                <w:color w:val="000000"/>
                <w:szCs w:val="21"/>
                <w:highlight w:val="none"/>
              </w:rPr>
              <w:t xml:space="preserve">得</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分；方案内容</w:t>
            </w:r>
            <w:r>
              <w:rPr>
                <w:rFonts w:hint="eastAsia" w:ascii="宋体" w:hAnsi="宋体" w:cs="宋体"/>
                <w:color w:val="000000"/>
                <w:szCs w:val="21"/>
                <w:highlight w:val="none"/>
                <w:lang w:val="en-US" w:eastAsia="zh-CN"/>
              </w:rPr>
              <w:t xml:space="preserve">较详细、全面、合理</w:t>
            </w:r>
            <w:r>
              <w:rPr>
                <w:rFonts w:hint="eastAsia" w:ascii="宋体" w:hAnsi="宋体" w:cs="宋体"/>
                <w:color w:val="000000"/>
                <w:szCs w:val="21"/>
                <w:highlight w:val="none"/>
              </w:rPr>
              <w:t xml:space="preserve">得</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分；方案内容一般的得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存在明显不足</w:t>
            </w:r>
            <w:r>
              <w:rPr>
                <w:rFonts w:hint="eastAsia" w:ascii="宋体" w:hAnsi="宋体" w:cs="宋体"/>
                <w:color w:val="000000"/>
                <w:szCs w:val="21"/>
                <w:highlight w:val="none"/>
              </w:rPr>
              <w:t xml:space="preserve">得2分；不提供不得分。</w:t>
            </w:r>
            <w:r/>
          </w:p>
          <w:p>
            <w:pPr>
              <w:keepLines w:val="0"/>
              <w:keepNext w:val="0"/>
              <w:pageBreakBefore w:val="0"/>
              <w:spacing w:line="360" w:lineRule="auto"/>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2、进度保证措施方案（10分）</w:t>
            </w:r>
            <w:r/>
          </w:p>
          <w:p>
            <w:pPr>
              <w:keepLines w:val="0"/>
              <w:keepNext w:val="0"/>
              <w:pageBreakBefore w:val="0"/>
              <w:spacing w:line="360" w:lineRule="auto"/>
              <w:widowControl w:val="off"/>
              <w:rPr>
                <w:rFonts w:hint="eastAsia" w:ascii="宋体" w:hAnsi="宋体" w:cs="宋体"/>
                <w:color w:val="000000"/>
                <w:szCs w:val="21"/>
                <w:highlight w:val="none"/>
                <w:lang w:eastAsia="zh-CN"/>
              </w:rPr>
            </w:pPr>
            <w:r>
              <w:rPr>
                <w:rFonts w:hint="eastAsia" w:ascii="宋体" w:hAnsi="宋体" w:cs="宋体"/>
                <w:color w:val="000000"/>
                <w:szCs w:val="21"/>
                <w:highlight w:val="none"/>
              </w:rPr>
              <w:t xml:space="preserve">投标人结合项目招标需求</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制定</w:t>
            </w:r>
            <w:r>
              <w:rPr>
                <w:rFonts w:hint="eastAsia" w:ascii="宋体" w:hAnsi="宋体" w:cs="宋体"/>
                <w:color w:val="000000"/>
                <w:szCs w:val="21"/>
                <w:highlight w:val="none"/>
              </w:rPr>
              <w:t xml:space="preserve">进度保证措施（包括：项目进度计划和安排，重要节点的应对方案等）</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评标委员会对方案进行综合比较打分，方案内容</w:t>
            </w:r>
            <w:r>
              <w:rPr>
                <w:rFonts w:hint="eastAsia" w:ascii="宋体" w:hAnsi="宋体" w:cs="宋体"/>
                <w:color w:val="000000"/>
                <w:szCs w:val="21"/>
                <w:highlight w:val="none"/>
                <w:lang w:val="en-US" w:eastAsia="zh-CN"/>
              </w:rPr>
              <w:t xml:space="preserve">详细、全面、合理</w:t>
            </w:r>
            <w:r>
              <w:rPr>
                <w:rFonts w:hint="eastAsia" w:ascii="宋体" w:hAnsi="宋体" w:cs="宋体"/>
                <w:color w:val="000000"/>
                <w:szCs w:val="21"/>
                <w:highlight w:val="none"/>
              </w:rPr>
              <w:t xml:space="preserve">得</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分；方案内容</w:t>
            </w:r>
            <w:r>
              <w:rPr>
                <w:rFonts w:hint="eastAsia" w:ascii="宋体" w:hAnsi="宋体" w:cs="宋体"/>
                <w:color w:val="000000"/>
                <w:szCs w:val="21"/>
                <w:highlight w:val="none"/>
                <w:lang w:val="en-US" w:eastAsia="zh-CN"/>
              </w:rPr>
              <w:t xml:space="preserve">较详细、全面、合理</w:t>
            </w:r>
            <w:r>
              <w:rPr>
                <w:rFonts w:hint="eastAsia" w:ascii="宋体" w:hAnsi="宋体" w:cs="宋体"/>
                <w:color w:val="000000"/>
                <w:szCs w:val="21"/>
                <w:highlight w:val="none"/>
              </w:rPr>
              <w:t xml:space="preserve">得</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分；方案内容一般的得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存在明显不足</w:t>
            </w:r>
            <w:r>
              <w:rPr>
                <w:rFonts w:hint="eastAsia" w:ascii="宋体" w:hAnsi="宋体" w:cs="宋体"/>
                <w:color w:val="000000"/>
                <w:szCs w:val="21"/>
                <w:highlight w:val="none"/>
              </w:rPr>
              <w:t xml:space="preserve">得2分；不提供不得分。</w:t>
            </w:r>
            <w:r/>
          </w:p>
          <w:p>
            <w:pPr>
              <w:keepLines w:val="0"/>
              <w:keepNext w:val="0"/>
              <w:pageBreakBefore w:val="0"/>
              <w:spacing w:line="360" w:lineRule="auto"/>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3、实施方案（10分）</w:t>
            </w:r>
            <w:r/>
          </w:p>
          <w:p>
            <w:pPr>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投标人结合项目招标需求，制定安装方案（包括设备安装流程、功能布局、难点分析等）</w:t>
            </w:r>
            <w:r>
              <w:rPr>
                <w:rFonts w:hint="default"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评标委员会对方案进行综合比较打分，方案内容</w:t>
            </w:r>
            <w:r>
              <w:rPr>
                <w:rFonts w:hint="eastAsia" w:ascii="宋体" w:hAnsi="宋体" w:cs="宋体"/>
                <w:color w:val="000000"/>
                <w:szCs w:val="21"/>
                <w:highlight w:val="none"/>
                <w:lang w:val="en-US" w:eastAsia="zh-CN"/>
              </w:rPr>
              <w:t xml:space="preserve">详细、全面、合理</w:t>
            </w:r>
            <w:r>
              <w:rPr>
                <w:rFonts w:hint="eastAsia" w:ascii="宋体" w:hAnsi="宋体" w:cs="宋体"/>
                <w:color w:val="000000"/>
                <w:szCs w:val="21"/>
                <w:highlight w:val="none"/>
              </w:rPr>
              <w:t xml:space="preserve">得</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分；方案内容</w:t>
            </w:r>
            <w:r>
              <w:rPr>
                <w:rFonts w:hint="eastAsia" w:ascii="宋体" w:hAnsi="宋体" w:cs="宋体"/>
                <w:color w:val="000000"/>
                <w:szCs w:val="21"/>
                <w:highlight w:val="none"/>
                <w:lang w:val="en-US" w:eastAsia="zh-CN"/>
              </w:rPr>
              <w:t xml:space="preserve">较详细、全面、合理</w:t>
            </w:r>
            <w:r>
              <w:rPr>
                <w:rFonts w:hint="eastAsia" w:ascii="宋体" w:hAnsi="宋体" w:cs="宋体"/>
                <w:color w:val="000000"/>
                <w:szCs w:val="21"/>
                <w:highlight w:val="none"/>
              </w:rPr>
              <w:t xml:space="preserve">得</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分；方案内容一般的得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存在明显不足</w:t>
            </w:r>
            <w:r>
              <w:rPr>
                <w:rFonts w:hint="eastAsia" w:ascii="宋体" w:hAnsi="宋体" w:cs="宋体"/>
                <w:color w:val="000000"/>
                <w:szCs w:val="21"/>
                <w:highlight w:val="none"/>
              </w:rPr>
              <w:t xml:space="preserve">得2分；不提供不得分。</w:t>
            </w:r>
            <w:r/>
          </w:p>
          <w:p>
            <w:pPr>
              <w:keepLines w:val="0"/>
              <w:keepNext w:val="0"/>
              <w:pageBreakBefore w:val="0"/>
              <w:spacing w:line="360" w:lineRule="auto"/>
              <w:widowControl w:val="off"/>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4、售后服务方案（10分）</w:t>
            </w:r>
            <w:r/>
          </w:p>
          <w:p>
            <w:pPr>
              <w:keepLines w:val="0"/>
              <w:keepNext w:val="0"/>
              <w:pageBreakBefore w:val="0"/>
              <w:spacing w:line="360" w:lineRule="auto"/>
              <w:widowControl w:val="off"/>
              <w:rPr>
                <w:rFonts w:hint="eastAsia" w:eastAsia="宋体"/>
                <w:highlight w:val="none"/>
                <w:lang w:val="en-US" w:eastAsia="zh-CN"/>
              </w:rPr>
            </w:pPr>
            <w:r>
              <w:rPr>
                <w:rFonts w:hint="eastAsia" w:ascii="宋体" w:hAnsi="宋体" w:cs="宋体"/>
                <w:color w:val="000000"/>
                <w:szCs w:val="21"/>
                <w:highlight w:val="none"/>
              </w:rPr>
              <w:t xml:space="preserve">投标人针对本项目提供的售后服务方案内容（包括产品质保期、售后服务保证措施和培训方案等）。评标委员会对方案进行综合比较打分，方案内容</w:t>
            </w:r>
            <w:r>
              <w:rPr>
                <w:rFonts w:hint="eastAsia" w:ascii="宋体" w:hAnsi="宋体" w:cs="宋体"/>
                <w:color w:val="000000"/>
                <w:szCs w:val="21"/>
                <w:highlight w:val="none"/>
                <w:lang w:val="en-US" w:eastAsia="zh-CN"/>
              </w:rPr>
              <w:t xml:space="preserve">详细、全面、合理</w:t>
            </w:r>
            <w:r>
              <w:rPr>
                <w:rFonts w:hint="eastAsia" w:ascii="宋体" w:hAnsi="宋体" w:cs="宋体"/>
                <w:color w:val="000000"/>
                <w:szCs w:val="21"/>
                <w:highlight w:val="none"/>
              </w:rPr>
              <w:t xml:space="preserve">得</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分；方案内容</w:t>
            </w:r>
            <w:r>
              <w:rPr>
                <w:rFonts w:hint="eastAsia" w:ascii="宋体" w:hAnsi="宋体" w:cs="宋体"/>
                <w:color w:val="000000"/>
                <w:szCs w:val="21"/>
                <w:highlight w:val="none"/>
                <w:lang w:val="en-US" w:eastAsia="zh-CN"/>
              </w:rPr>
              <w:t xml:space="preserve">较详细、全面、合理</w:t>
            </w:r>
            <w:r>
              <w:rPr>
                <w:rFonts w:hint="eastAsia" w:ascii="宋体" w:hAnsi="宋体" w:cs="宋体"/>
                <w:color w:val="000000"/>
                <w:szCs w:val="21"/>
                <w:highlight w:val="none"/>
              </w:rPr>
              <w:t xml:space="preserve">得</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分；方案内容一般的得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存在明显不足</w:t>
            </w:r>
            <w:r>
              <w:rPr>
                <w:rFonts w:hint="eastAsia" w:ascii="宋体" w:hAnsi="宋体" w:cs="宋体"/>
                <w:color w:val="000000"/>
                <w:szCs w:val="21"/>
                <w:highlight w:val="none"/>
              </w:rPr>
              <w:t xml:space="preserve">得2分；不提供不得分。</w:t>
            </w:r>
            <w:r/>
          </w:p>
        </w:tc>
      </w:tr>
    </w:tbl>
    <w:p>
      <w:pPr>
        <w:keepLines w:val="0"/>
        <w:keepNext w:val="0"/>
        <w:pageBreakBefore w:val="0"/>
        <w:spacing w:line="360"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r>
      <w:r/>
    </w:p>
    <w:p>
      <w:pPr>
        <w:keepLines w:val="0"/>
        <w:keepNext w:val="0"/>
        <w:pageBreakBefore w:val="0"/>
        <w:spacing w:line="360"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r>
      <w:r/>
    </w:p>
    <w:p>
      <w:pPr>
        <w:keepLines w:val="0"/>
        <w:keepNext w:val="0"/>
        <w:pageBreakBefore w:val="0"/>
        <w:spacing w:line="360"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注</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rPr>
        <w:t xml:space="preserve">以上所有要求提供的证明材料在投标截止时间之前</w:t>
      </w:r>
      <w:r>
        <w:rPr>
          <w:rFonts w:hint="eastAsia" w:ascii="宋体" w:hAnsi="宋体" w:cs="宋体"/>
          <w:b w:val="0"/>
          <w:bCs w:val="0"/>
          <w:color w:val="auto"/>
          <w:sz w:val="24"/>
          <w:szCs w:val="24"/>
          <w:highlight w:val="none"/>
          <w:lang w:val="en-US" w:eastAsia="zh-CN"/>
        </w:rPr>
        <w:t xml:space="preserve">原件</w:t>
      </w:r>
      <w:r>
        <w:rPr>
          <w:rFonts w:hint="eastAsia" w:ascii="宋体" w:hAnsi="宋体" w:cs="宋体"/>
          <w:b w:val="0"/>
          <w:bCs w:val="0"/>
          <w:color w:val="auto"/>
          <w:sz w:val="24"/>
          <w:szCs w:val="24"/>
          <w:highlight w:val="none"/>
        </w:rPr>
        <w:t xml:space="preserve">扫描件加盖公章</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电子公章</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上传，用投标文件制作工具制作并生成上传至苏采云平台，纸质文件不作为审查对象。</w:t>
      </w:r>
      <w:r/>
    </w:p>
    <w:p>
      <w:pPr>
        <w:numPr>
          <w:ilvl w:val="0"/>
          <w:numId w:val="4"/>
        </w:numPr>
        <w:keepLines w:val="0"/>
        <w:keepNext w:val="0"/>
        <w:pageBreakBefore w:val="0"/>
        <w:spacing w:line="360"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投标人所提供的资格证明材料应真实、有效，招标人保留对投标人提供的资格证明材料进行核查的权利。如发现投标人提供虚假资格证明材料，履约保证金将不予退还，招标人有权终止合同。</w:t>
      </w:r>
      <w:bookmarkEnd w:id="18"/>
      <w:r/>
      <w:r/>
    </w:p>
    <w:p>
      <w:pPr>
        <w:ind w:right="0"/>
        <w:jc w:val="center"/>
        <w:keepLines w:val="0"/>
        <w:keepNext w:val="0"/>
        <w:pageBreakBefore w:val="0"/>
        <w:spacing w:line="360" w:lineRule="auto"/>
        <w:widowControl w:val="off"/>
        <w:rPr>
          <w:rFonts w:hint="eastAsia" w:ascii="宋体" w:hAnsi="宋体" w:eastAsia="宋体" w:cs="宋体"/>
          <w:b/>
          <w:color w:val="auto"/>
          <w:sz w:val="36"/>
          <w:szCs w:val="36"/>
        </w:rPr>
      </w:pPr>
      <w:r/>
      <w:bookmarkStart w:id="19" w:name="_Toc9610_WPSOffice_Level1"/>
      <w:r>
        <w:rPr>
          <w:rFonts w:hint="eastAsia" w:ascii="宋体" w:hAnsi="宋体" w:eastAsia="宋体" w:cs="宋体"/>
          <w:b/>
          <w:color w:val="auto"/>
          <w:sz w:val="36"/>
          <w:szCs w:val="36"/>
        </w:rPr>
        <w:t xml:space="preserve">第四章 合同格式及条款</w:t>
      </w:r>
      <w:r/>
    </w:p>
    <w:p>
      <w:pPr>
        <w:pStyle w:val="706"/>
        <w:keepLines w:val="0"/>
        <w:keepNext w:val="0"/>
        <w:pageBreakBefore w:val="0"/>
        <w:spacing w:before="55" w:line="240" w:lineRule="auto"/>
        <w:widowControl w:val="off"/>
        <w:rPr>
          <w:rFonts w:hint="eastAsia" w:ascii="宋体" w:hAnsi="宋体" w:eastAsia="宋体" w:cs="宋体"/>
          <w:spacing w:val="7"/>
          <w:sz w:val="24"/>
          <w:szCs w:val="24"/>
        </w:rPr>
      </w:pPr>
      <w:r>
        <w:rPr>
          <w:rFonts w:hint="eastAsia" w:ascii="宋体" w:hAnsi="宋体" w:eastAsia="宋体" w:cs="宋体"/>
          <w:spacing w:val="7"/>
          <w:sz w:val="24"/>
          <w:szCs w:val="24"/>
        </w:rPr>
        <w:t xml:space="preserve">注：以下为采购人提出成交后签订本项目合同的条款，供应商必须实质性响应，成交供应商不得提出实质性的修改，关于专用条款将由采购人与成交供应商结合本项目具体情况协商后签订。</w:t>
      </w:r>
      <w:r/>
    </w:p>
    <w:p>
      <w:pPr>
        <w:pStyle w:val="706"/>
        <w:jc w:val="center"/>
        <w:keepLines w:val="0"/>
        <w:keepNext w:val="0"/>
        <w:pageBreakBefore w:val="0"/>
        <w:spacing w:before="55" w:line="240" w:lineRule="auto"/>
        <w:widowControl w:val="off"/>
        <w:rPr>
          <w:rFonts w:hint="eastAsia" w:ascii="宋体" w:hAnsi="宋体" w:eastAsia="宋体" w:cs="宋体"/>
          <w:b w:val="0"/>
          <w:bCs w:val="0"/>
          <w:sz w:val="24"/>
          <w:szCs w:val="24"/>
        </w:rPr>
      </w:pPr>
      <w:r>
        <w:rPr>
          <w:rFonts w:hint="eastAsia" w:ascii="宋体" w:hAnsi="宋体" w:eastAsia="宋体" w:cs="宋体"/>
          <w:b w:val="0"/>
          <w:bCs w:val="0"/>
          <w:spacing w:val="7"/>
          <w:sz w:val="24"/>
          <w:szCs w:val="24"/>
        </w:rPr>
        <w:t xml:space="preserve">合同条款前附表</w:t>
      </w:r>
      <w:r/>
    </w:p>
    <w:tbl>
      <w:tblPr>
        <w:tblStyle w:val="701"/>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3"/>
        <w:gridCol w:w="8709"/>
      </w:tblGrid>
      <w:tr>
        <w:trPr>
          <w:jc w:val="center"/>
          <w:trHeight w:val="454" w:hRule="exact"/>
          <w:tblHeader/>
        </w:trPr>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ind w:left="0" w:right="0" w:firstLine="0"/>
              <w:jc w:val="center"/>
              <w:rPr>
                <w:rFonts w:hint="eastAsia" w:ascii="宋体" w:hAnsi="宋体" w:eastAsia="宋体" w:cs="宋体"/>
                <w:b w:val="0"/>
                <w:bCs w:val="0"/>
                <w:sz w:val="28"/>
              </w:rPr>
            </w:pPr>
            <w:r>
              <w:rPr>
                <w:rFonts w:hint="eastAsia" w:ascii="宋体" w:hAnsi="宋体" w:eastAsia="宋体" w:cs="宋体"/>
                <w:b w:val="0"/>
                <w:bCs w:val="0"/>
                <w:sz w:val="28"/>
              </w:rPr>
              <w:t xml:space="preserve">序号</w:t>
            </w:r>
            <w:r/>
          </w:p>
        </w:tc>
        <w:tc>
          <w:tcPr>
            <w:tcBorders>
              <w:top w:val="single" w:color="auto" w:sz="4" w:space="0"/>
              <w:left w:val="single" w:color="auto" w:sz="4" w:space="0"/>
              <w:bottom w:val="single" w:color="auto" w:sz="4" w:space="0"/>
              <w:right w:val="single" w:color="auto" w:sz="4" w:space="0"/>
            </w:tcBorders>
            <w:tcW w:w="8709" w:type="dxa"/>
            <w:vAlign w:val="center"/>
            <w:textDirection w:val="lrTb"/>
            <w:noWrap w:val="false"/>
          </w:tcPr>
          <w:p>
            <w:pPr>
              <w:ind w:left="0" w:right="0" w:firstLine="0"/>
              <w:jc w:val="center"/>
              <w:rPr>
                <w:rFonts w:hint="eastAsia" w:ascii="宋体" w:hAnsi="宋体" w:eastAsia="宋体" w:cs="宋体"/>
                <w:b w:val="0"/>
                <w:bCs w:val="0"/>
                <w:sz w:val="28"/>
              </w:rPr>
            </w:pPr>
            <w:r>
              <w:rPr>
                <w:rFonts w:hint="eastAsia" w:ascii="宋体" w:hAnsi="宋体" w:eastAsia="宋体" w:cs="宋体"/>
                <w:b w:val="0"/>
                <w:bCs w:val="0"/>
                <w:sz w:val="28"/>
              </w:rPr>
              <w:t xml:space="preserve">内容</w:t>
            </w:r>
            <w:r/>
          </w:p>
        </w:tc>
      </w:tr>
      <w:tr>
        <w:trPr>
          <w:jc w:val="center"/>
          <w:trHeight w:val="1692" w:hRule="exact"/>
        </w:trPr>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ind w:left="0" w:right="0" w:firstLine="0"/>
              <w:jc w:val="center"/>
              <w:spacing w:line="24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1</w:t>
            </w:r>
            <w:r/>
          </w:p>
        </w:tc>
        <w:tc>
          <w:tcPr>
            <w:tcBorders>
              <w:top w:val="single" w:color="auto" w:sz="4" w:space="0"/>
              <w:left w:val="single" w:color="auto" w:sz="4" w:space="0"/>
              <w:bottom w:val="single" w:color="auto" w:sz="4" w:space="0"/>
              <w:right w:val="single" w:color="auto" w:sz="4" w:space="0"/>
            </w:tcBorders>
            <w:tcW w:w="8709" w:type="dxa"/>
            <w:vAlign w:val="center"/>
            <w:textDirection w:val="lrTb"/>
            <w:noWrap w:val="false"/>
          </w:tcPr>
          <w:p>
            <w:pPr>
              <w:ind w:right="0"/>
              <w:jc w:val="left"/>
              <w:keepLines w:val="0"/>
              <w:keepNext w:val="0"/>
              <w:pageBreakBefore w:val="0"/>
              <w:spacing w:line="360" w:lineRule="auto"/>
              <w:widowControl w:val="off"/>
              <w:rPr>
                <w:rFonts w:hint="default" w:eastAsia="宋体"/>
                <w:b w:val="0"/>
                <w:bCs w:val="0"/>
                <w:color w:val="auto"/>
                <w:highlight w:val="none"/>
                <w:u w:val="none"/>
                <w:lang w:val="en-US" w:eastAsia="zh-CN"/>
              </w:rPr>
            </w:pPr>
            <w:r>
              <w:rPr>
                <w:rStyle w:val="731"/>
                <w:rFonts w:hint="eastAsia" w:ascii="宋体" w:hAnsi="宋体" w:eastAsia="宋体" w:cs="宋体"/>
                <w:b/>
                <w:bCs/>
                <w:color w:val="1f2329"/>
                <w:sz w:val="24"/>
                <w:szCs w:val="24"/>
                <w:highlight w:val="none"/>
                <w:lang w:val="en-US" w:eastAsia="zh-CN" w:bidi="ar"/>
              </w:rPr>
              <w:t xml:space="preserve">付款方式：</w:t>
            </w:r>
            <w:r>
              <w:rPr>
                <w:rStyle w:val="731"/>
                <w:rFonts w:hint="eastAsia" w:ascii="宋体" w:hAnsi="宋体" w:eastAsia="宋体" w:cs="宋体"/>
                <w:b w:val="0"/>
                <w:bCs w:val="0"/>
                <w:color w:val="1f2329"/>
                <w:sz w:val="24"/>
                <w:szCs w:val="24"/>
                <w:highlight w:val="none"/>
                <w:lang w:val="en-US" w:eastAsia="zh-CN" w:bidi="ar"/>
              </w:rPr>
              <w:t xml:space="preserve">合同签订后预付合同价款的40%，项目全部供货、安装、调试、验收合格并正式交付使用后，采购人支付合同价款的60%尾款。如因财政审批导致的迟延支付，采购人不承担迟延支付的违约责任，付款进度以财政资金下款时间为准。</w:t>
            </w:r>
            <w:r>
              <w:rPr>
                <w:rStyle w:val="731"/>
                <w:rFonts w:hint="eastAsia" w:ascii="宋体" w:hAnsi="宋体" w:cs="宋体"/>
                <w:b w:val="0"/>
                <w:bCs w:val="0"/>
                <w:color w:val="auto"/>
                <w:sz w:val="24"/>
                <w:szCs w:val="24"/>
                <w:highlight w:val="none"/>
                <w:u w:val="none"/>
                <w:lang w:val="en-US" w:eastAsia="zh-CN" w:bidi="ar"/>
              </w:rPr>
              <w:t xml:space="preserve">卖方在请求付款前应当提供足额发票。</w:t>
            </w:r>
            <w:r/>
          </w:p>
          <w:p>
            <w:pPr>
              <w:numPr>
                <w:ilvl w:val="0"/>
                <w:numId w:val="0"/>
              </w:numPr>
              <w:ind w:right="0"/>
              <w:jc w:val="both"/>
              <w:keepLines w:val="0"/>
              <w:keepNext w:val="0"/>
              <w:spacing w:before="0" w:beforeAutospacing="0" w:after="0" w:afterAutospacing="0" w:line="360" w:lineRule="atLeast"/>
              <w:widowControl/>
              <w:rPr>
                <w:rFonts w:hint="eastAsia" w:ascii="宋体" w:hAnsi="宋体" w:eastAsia="宋体" w:cs="宋体"/>
                <w:b w:val="0"/>
                <w:bCs w:val="0"/>
                <w:sz w:val="24"/>
                <w:highlight w:val="none"/>
                <w:lang w:val="en-US"/>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highlight w:val="none"/>
                <w:lang w:val="en-US"/>
              </w:rPr>
            </w:r>
            <w:r/>
          </w:p>
        </w:tc>
      </w:tr>
      <w:tr>
        <w:trPr>
          <w:jc w:val="center"/>
          <w:trHeight w:val="480" w:hRule="exact"/>
        </w:trPr>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ind w:left="0" w:right="0" w:firstLine="0"/>
              <w:jc w:val="center"/>
              <w:spacing w:line="24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2</w:t>
            </w:r>
            <w:r/>
          </w:p>
        </w:tc>
        <w:tc>
          <w:tcPr>
            <w:tcBorders>
              <w:top w:val="single" w:color="auto" w:sz="4" w:space="0"/>
              <w:left w:val="single" w:color="auto" w:sz="4" w:space="0"/>
              <w:bottom w:val="single" w:color="auto" w:sz="4" w:space="0"/>
              <w:right w:val="single" w:color="auto" w:sz="4" w:space="0"/>
            </w:tcBorders>
            <w:tcW w:w="8709"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highlight w:val="none"/>
              </w:rPr>
              <w:t xml:space="preserve">合同履行期限</w:t>
            </w:r>
            <w:r>
              <w:rPr>
                <w:rFonts w:hint="eastAsia" w:ascii="宋体" w:hAnsi="宋体" w:eastAsia="宋体" w:cs="宋体"/>
                <w:b w:val="0"/>
                <w:bCs w:val="0"/>
                <w:color w:val="auto"/>
                <w:sz w:val="24"/>
                <w:szCs w:val="24"/>
                <w:highlight w:val="none"/>
                <w:shd w:val="clear" w:color="auto" w:fill="auto"/>
                <w:lang w:eastAsia="zh-CN"/>
              </w:rPr>
              <w:t xml:space="preserve">：</w:t>
            </w:r>
            <w:r>
              <w:rPr>
                <w:spacing w:val="-3"/>
                <w:sz w:val="24"/>
                <w:highlight w:val="none"/>
              </w:rPr>
              <w:t xml:space="preserve">合同签订后</w:t>
            </w:r>
            <w:r>
              <w:rPr>
                <w:rFonts w:hint="eastAsia"/>
                <w:spacing w:val="-48"/>
                <w:sz w:val="24"/>
                <w:highlight w:val="none"/>
                <w:lang w:val="en-US" w:eastAsia="zh-CN"/>
              </w:rPr>
              <w:t xml:space="preserve">60</w:t>
            </w:r>
            <w:r>
              <w:rPr>
                <w:spacing w:val="-3"/>
                <w:sz w:val="24"/>
                <w:highlight w:val="none"/>
              </w:rPr>
              <w:t xml:space="preserve">天内完成供货及安装调试</w:t>
            </w:r>
            <w:r>
              <w:rPr>
                <w:rFonts w:hint="eastAsia"/>
                <w:spacing w:val="-4"/>
                <w:sz w:val="24"/>
                <w:highlight w:val="none"/>
              </w:rPr>
              <w:t xml:space="preserve">。</w:t>
            </w:r>
            <w:r/>
          </w:p>
          <w:p>
            <w:pPr>
              <w:ind w:left="0" w:right="0" w:firstLine="0"/>
              <w:jc w:val="left"/>
              <w:spacing w:line="240" w:lineRule="auto"/>
              <w:rPr>
                <w:rFonts w:hint="eastAsia" w:ascii="宋体" w:hAnsi="宋体" w:eastAsia="宋体" w:cs="宋体"/>
                <w:b w:val="0"/>
                <w:bCs w:val="0"/>
                <w:sz w:val="24"/>
                <w:highlight w:val="none"/>
                <w:lang w:val="en-US"/>
              </w:rPr>
            </w:pPr>
            <w:r>
              <w:rPr>
                <w:rFonts w:hint="eastAsia" w:ascii="宋体" w:hAnsi="宋体" w:eastAsia="宋体" w:cs="宋体"/>
                <w:b w:val="0"/>
                <w:bCs w:val="0"/>
                <w:sz w:val="24"/>
                <w:highlight w:val="none"/>
                <w:lang w:val="en-US"/>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t xml:space="preserve">3</w:t>
            </w:r>
            <w:r/>
          </w:p>
        </w:tc>
        <w:tc>
          <w:tcPr>
            <w:tcBorders>
              <w:top w:val="single" w:color="auto" w:sz="4" w:space="0"/>
              <w:left w:val="single" w:color="auto" w:sz="4" w:space="0"/>
              <w:bottom w:val="single" w:color="auto" w:sz="4" w:space="0"/>
              <w:right w:val="single" w:color="auto" w:sz="4" w:space="0"/>
            </w:tcBorders>
            <w:tcW w:w="8709" w:type="dxa"/>
            <w:vAlign w:val="center"/>
            <w:textDirection w:val="lrTb"/>
            <w:noWrap w:val="false"/>
          </w:tcPr>
          <w:p>
            <w:pPr>
              <w:ind w:left="0" w:right="0" w:firstLine="0"/>
              <w:jc w:val="left"/>
              <w:spacing w:line="240" w:lineRule="auto"/>
              <w:rPr>
                <w:rFonts w:hint="eastAsia" w:ascii="宋体" w:hAnsi="宋体" w:cs="宋体"/>
                <w:sz w:val="24"/>
                <w:highlight w:val="none"/>
              </w:rPr>
            </w:pPr>
            <w:r>
              <w:rPr>
                <w:rFonts w:hint="eastAsia" w:ascii="宋体" w:hAnsi="宋体" w:cs="宋体"/>
                <w:sz w:val="24"/>
                <w:highlight w:val="none"/>
              </w:rPr>
              <w:t xml:space="preserve">收货地点：按采购人要求</w:t>
            </w:r>
            <w:r/>
          </w:p>
          <w:p>
            <w:pPr>
              <w:pStyle w:val="729"/>
              <w:rPr>
                <w:rFonts w:hint="eastAsia" w:ascii="宋体" w:hAnsi="宋体" w:cs="宋体"/>
                <w:sz w:val="24"/>
                <w:highlight w:val="none"/>
              </w:rPr>
            </w:pPr>
            <w:r>
              <w:rPr>
                <w:rFonts w:hint="eastAsia" w:ascii="宋体" w:hAnsi="宋体" w:cs="宋体"/>
                <w:sz w:val="24"/>
                <w:highlight w:val="none"/>
              </w:rPr>
            </w:r>
            <w:r/>
          </w:p>
          <w:p>
            <w:pPr>
              <w:rPr>
                <w:rFonts w:hint="eastAsia"/>
                <w:highlight w:val="none"/>
              </w:rPr>
            </w:pPr>
            <w:r>
              <w:rPr>
                <w:rFonts w:hint="eastAsia"/>
                <w:highlight w:val="none"/>
              </w:rPr>
            </w:r>
            <w:r/>
          </w:p>
        </w:tc>
      </w:tr>
    </w:tbl>
    <w:p>
      <w:pPr>
        <w:pStyle w:val="706"/>
        <w:ind w:firstLine="470"/>
        <w:jc w:val="both"/>
        <w:keepLines w:val="0"/>
        <w:keepNext w:val="0"/>
        <w:pageBreakBefore w:val="0"/>
        <w:spacing w:before="114" w:line="440" w:lineRule="exact"/>
        <w:widowControl w:val="off"/>
        <w:rPr>
          <w:rFonts w:hint="eastAsia" w:ascii="宋体" w:hAnsi="宋体" w:eastAsia="宋体" w:cs="宋体"/>
          <w:b/>
          <w:bCs/>
          <w:spacing w:val="-3"/>
          <w:sz w:val="24"/>
          <w:szCs w:val="24"/>
          <w:highlight w:val="none"/>
        </w:rPr>
      </w:pPr>
      <w:r>
        <w:rPr>
          <w:rFonts w:hint="eastAsia" w:ascii="宋体" w:hAnsi="宋体" w:eastAsia="宋体" w:cs="宋体"/>
          <w:b/>
          <w:bCs/>
          <w:spacing w:val="-3"/>
          <w:sz w:val="24"/>
          <w:szCs w:val="24"/>
          <w:highlight w:val="none"/>
        </w:rPr>
      </w:r>
      <w:r/>
    </w:p>
    <w:p>
      <w:pPr>
        <w:pStyle w:val="706"/>
        <w:ind w:firstLine="470"/>
        <w:jc w:val="center"/>
        <w:keepLines w:val="0"/>
        <w:keepNext w:val="0"/>
        <w:pageBreakBefore w:val="0"/>
        <w:spacing w:before="114" w:line="440" w:lineRule="exact"/>
        <w:widowControl w:val="off"/>
        <w:rPr>
          <w:rFonts w:hint="eastAsia" w:ascii="宋体" w:hAnsi="宋体" w:eastAsia="宋体" w:cs="宋体"/>
          <w:b/>
          <w:bCs/>
          <w:sz w:val="24"/>
          <w:szCs w:val="24"/>
          <w:highlight w:val="none"/>
        </w:rPr>
      </w:pPr>
      <w:r>
        <w:rPr>
          <w:rFonts w:hint="eastAsia" w:ascii="宋体" w:hAnsi="宋体" w:eastAsia="宋体" w:cs="宋体"/>
          <w:b/>
          <w:bCs/>
          <w:spacing w:val="-3"/>
          <w:sz w:val="24"/>
          <w:szCs w:val="24"/>
          <w:highlight w:val="none"/>
        </w:rPr>
        <w:t xml:space="preserve">合同</w:t>
      </w:r>
      <w:r>
        <w:rPr>
          <w:rFonts w:hint="eastAsia" w:ascii="宋体" w:hAnsi="宋体" w:eastAsia="宋体" w:cs="宋体"/>
          <w:b/>
          <w:bCs/>
          <w:spacing w:val="-3"/>
          <w:sz w:val="24"/>
          <w:szCs w:val="24"/>
          <w:highlight w:val="none"/>
          <w:lang w:eastAsia="zh-CN"/>
        </w:rPr>
        <w:t xml:space="preserve">通用</w:t>
      </w:r>
      <w:r>
        <w:rPr>
          <w:rFonts w:hint="eastAsia" w:ascii="宋体" w:hAnsi="宋体" w:eastAsia="宋体" w:cs="宋体"/>
          <w:b/>
          <w:bCs/>
          <w:spacing w:val="-3"/>
          <w:sz w:val="24"/>
          <w:szCs w:val="24"/>
          <w:highlight w:val="none"/>
        </w:rPr>
        <w:t xml:space="preserve">条款</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1.定义</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本合同中的下列术语应解释为：</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eastAsia="zh-CN"/>
        </w:rPr>
        <w:t xml:space="preserve">）</w:t>
      </w:r>
      <w:r>
        <w:rPr>
          <w:rFonts w:hint="eastAsia" w:ascii="宋体" w:hAnsi="宋体" w:cs="宋体"/>
          <w:sz w:val="24"/>
          <w:highlight w:val="none"/>
        </w:rPr>
        <w:t xml:space="preserve">“合同”系指买方与卖方签署的、合同格式中列明的买方与卖方所达成的协议，包括所有的附件、附录和构成合同的所有文件。</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eastAsia="zh-CN"/>
        </w:rPr>
        <w:t xml:space="preserve">）</w:t>
      </w:r>
      <w:r>
        <w:rPr>
          <w:rFonts w:hint="eastAsia" w:ascii="宋体" w:hAnsi="宋体" w:cs="宋体"/>
          <w:sz w:val="24"/>
          <w:highlight w:val="none"/>
        </w:rPr>
        <w:t xml:space="preserve">“合同价”系指根据合同规定，卖方在完全履行合同义务后买方应支付给卖方的价格。</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eastAsia="zh-CN"/>
        </w:rPr>
        <w:t xml:space="preserve">）</w:t>
      </w:r>
      <w:r>
        <w:rPr>
          <w:rFonts w:hint="eastAsia" w:ascii="宋体" w:hAnsi="宋体" w:cs="宋体"/>
          <w:sz w:val="24"/>
          <w:highlight w:val="none"/>
        </w:rPr>
        <w:t xml:space="preserve">“货物”系指卖方按合同要求，须向买方提供的一切设备、机械、仪表、备件、工具、手册和其他技术资料及其他材料。</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lang w:eastAsia="zh-CN"/>
        </w:rPr>
        <w:t xml:space="preserve">）</w:t>
      </w:r>
      <w:r>
        <w:rPr>
          <w:rFonts w:hint="eastAsia" w:ascii="宋体" w:hAnsi="宋体" w:cs="宋体"/>
          <w:sz w:val="24"/>
          <w:highlight w:val="none"/>
        </w:rPr>
        <w:t xml:space="preserve">“服务”系指根据合同规定卖方承担与供货有关的所有辅助服务，如运输、保险以及其它的服务，如安装、调试、提供技术援助、培训及其他类似的义务。</w:t>
      </w:r>
      <w:r/>
    </w:p>
    <w:p>
      <w:pPr>
        <w:ind w:firstLine="480"/>
        <w:keepLines w:val="0"/>
        <w:keepNext w:val="0"/>
        <w:pageBreakBefore w:val="0"/>
        <w:spacing w:line="440" w:lineRule="exact"/>
        <w:widowControl w:val="off"/>
        <w:rPr>
          <w:rFonts w:hint="eastAsia" w:ascii="宋体" w:hAnsi="宋体" w:eastAsia="宋体" w:cs="宋体"/>
          <w:sz w:val="24"/>
          <w:highlight w:val="none"/>
          <w:lang w:eastAsia="zh-CN"/>
        </w:rPr>
      </w:pPr>
      <w:r>
        <w:rPr>
          <w:rFonts w:hint="eastAsia" w:ascii="宋体" w:hAnsi="宋体" w:cs="宋体"/>
          <w:sz w:val="24"/>
          <w:highlight w:val="none"/>
        </w:rPr>
        <w:t xml:space="preserve">（5</w:t>
      </w:r>
      <w:r>
        <w:rPr>
          <w:rFonts w:hint="eastAsia" w:ascii="宋体" w:hAnsi="宋体" w:cs="宋体"/>
          <w:sz w:val="24"/>
          <w:highlight w:val="none"/>
          <w:lang w:eastAsia="zh-CN"/>
        </w:rPr>
        <w:t xml:space="preserve">）</w:t>
      </w:r>
      <w:r>
        <w:rPr>
          <w:rFonts w:hint="eastAsia" w:ascii="宋体" w:hAnsi="宋体" w:cs="宋体"/>
          <w:sz w:val="24"/>
          <w:highlight w:val="none"/>
        </w:rPr>
        <w:t xml:space="preserve">“买方”系指</w:t>
      </w:r>
      <w:r>
        <w:rPr>
          <w:rFonts w:hint="eastAsia" w:ascii="宋体" w:hAnsi="宋体" w:cs="宋体"/>
          <w:sz w:val="24"/>
          <w:highlight w:val="none"/>
          <w:lang w:eastAsia="zh-CN"/>
        </w:rPr>
        <w:t xml:space="preserve">金湖县教育体育局。</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（6</w:t>
      </w:r>
      <w:r>
        <w:rPr>
          <w:rFonts w:hint="eastAsia" w:ascii="宋体" w:hAnsi="宋体" w:cs="宋体"/>
          <w:sz w:val="24"/>
          <w:highlight w:val="none"/>
          <w:lang w:eastAsia="zh-CN"/>
        </w:rPr>
        <w:t xml:space="preserve">）</w:t>
      </w:r>
      <w:r>
        <w:rPr>
          <w:rFonts w:hint="eastAsia" w:ascii="宋体" w:hAnsi="宋体" w:cs="宋体"/>
          <w:sz w:val="24"/>
          <w:highlight w:val="none"/>
        </w:rPr>
        <w:t xml:space="preserve">“卖方”系指提供货物和服务的供应商。</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2.技术规格</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2.1卖方所提供货物的技术规格应与招标文件规定的技术规格以及所附的技术规格响应偏离表相一致。</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3.专利权</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3.1卖方应保证买方在使用该货物或其任何一部分时不受第三方提出侵犯其专利权、商标权和工业设计权的起诉。一旦出现专利侵权，卖方应负全部责任，且买方拒付全部货款。</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4.包装要求</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4.1除合同另有规定外，卖方提供的全部货物均按标准保护措施进行包装。该包装应适应于远距离运输、防潮、防震、防锈和防野蛮装卸，以确保货物安全无损运抵制定现场。由于包装不善所引起的货物锈蚀、损坏和损失均由卖方承担。</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4.2每件包装箱内应附一份详细装箱单和质量合格标识。</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4.3 所有包装物，买方不负责退还并且不承担任何费用。</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5.装运条件</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5.1根据采购人指定地点，卖方负责安排运输，运输费由卖方承担。</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6.付款</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6.1本合同以人民币付款。</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6.2卖方应按照与买方签订的合同规定交货。交货后卖方向买方提供下列单据，买方按合同规定审核后付款：</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eastAsia="zh-CN"/>
        </w:rPr>
        <w:t xml:space="preserve">）</w:t>
      </w:r>
      <w:r>
        <w:rPr>
          <w:rFonts w:hint="eastAsia" w:ascii="宋体" w:hAnsi="宋体" w:cs="宋体"/>
          <w:sz w:val="24"/>
          <w:highlight w:val="none"/>
        </w:rPr>
        <w:t xml:space="preserve">发票；</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eastAsia="zh-CN"/>
        </w:rPr>
        <w:t xml:space="preserve">）</w:t>
      </w:r>
      <w:r>
        <w:rPr>
          <w:rFonts w:hint="eastAsia" w:ascii="宋体" w:hAnsi="宋体" w:cs="宋体"/>
          <w:sz w:val="24"/>
          <w:highlight w:val="none"/>
        </w:rPr>
        <w:t xml:space="preserve">制造厂家出具的质量检验合格证书等；</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eastAsia="zh-CN"/>
        </w:rPr>
        <w:t xml:space="preserve">）</w:t>
      </w:r>
      <w:r>
        <w:rPr>
          <w:rFonts w:hint="eastAsia" w:ascii="宋体" w:hAnsi="宋体" w:cs="宋体"/>
          <w:sz w:val="24"/>
          <w:highlight w:val="none"/>
        </w:rPr>
        <w:t xml:space="preserve">装箱单；</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lang w:eastAsia="zh-CN"/>
        </w:rPr>
        <w:t xml:space="preserve">）</w:t>
      </w:r>
      <w:r>
        <w:rPr>
          <w:rFonts w:hint="eastAsia" w:ascii="宋体" w:hAnsi="宋体" w:cs="宋体"/>
          <w:sz w:val="24"/>
          <w:highlight w:val="none"/>
        </w:rPr>
        <w:t xml:space="preserve">采购人加盖公章证明货物交付使用合格的验收表；</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lang w:eastAsia="zh-CN"/>
        </w:rPr>
        <w:t xml:space="preserve">）</w:t>
      </w:r>
      <w:r>
        <w:rPr>
          <w:rFonts w:hint="eastAsia" w:ascii="宋体" w:hAnsi="宋体" w:cs="宋体"/>
          <w:sz w:val="24"/>
          <w:highlight w:val="none"/>
        </w:rPr>
        <w:t xml:space="preserve">双方确认的验收合格证书。</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6.3买方将按“合同条款前附表”规定的付款计划安排付款。</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7.伴随服务</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7.1卖方应按照国家有关规定和合同中所附的服务承诺无偿提供服务。</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7.2除第7.1条规定外，卖方还应提供下列服务：</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eastAsia="zh-CN"/>
        </w:rPr>
        <w:t xml:space="preserve">）</w:t>
      </w:r>
      <w:r>
        <w:rPr>
          <w:rFonts w:hint="eastAsia" w:ascii="宋体" w:hAnsi="宋体" w:cs="宋体"/>
          <w:sz w:val="24"/>
          <w:highlight w:val="none"/>
        </w:rPr>
        <w:t xml:space="preserve">货物的现场安装和启动监督；</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eastAsia="zh-CN"/>
        </w:rPr>
        <w:t xml:space="preserve">）</w:t>
      </w:r>
      <w:r>
        <w:rPr>
          <w:rFonts w:hint="eastAsia" w:ascii="宋体" w:hAnsi="宋体" w:cs="宋体"/>
          <w:sz w:val="24"/>
          <w:highlight w:val="none"/>
        </w:rPr>
        <w:t xml:space="preserve">提供货物组装和维修所需的工具；</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highlight w:val="none"/>
        </w:rPr>
        <w:t xml:space="preserve">（3</w:t>
      </w:r>
      <w:r>
        <w:rPr>
          <w:rFonts w:hint="eastAsia" w:ascii="宋体" w:hAnsi="宋体" w:cs="宋体"/>
          <w:sz w:val="24"/>
          <w:highlight w:val="none"/>
          <w:lang w:eastAsia="zh-CN"/>
        </w:rPr>
        <w:t xml:space="preserve">）</w:t>
      </w:r>
      <w:r>
        <w:rPr>
          <w:rFonts w:hint="eastAsia" w:ascii="宋体" w:hAnsi="宋体" w:cs="宋体"/>
          <w:sz w:val="24"/>
          <w:highlight w:val="none"/>
        </w:rPr>
        <w:t xml:space="preserve">在合同中卖方承诺的期限内对所提供货物实施运行监督、</w:t>
      </w:r>
      <w:r>
        <w:rPr>
          <w:rFonts w:hint="eastAsia" w:ascii="宋体" w:hAnsi="宋体" w:cs="宋体"/>
          <w:sz w:val="24"/>
        </w:rPr>
        <w:t xml:space="preserve">维修，但前提条件是该服务并不能免除卖方在质量保证期内应承担的义务；</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（4</w:t>
      </w:r>
      <w:r>
        <w:rPr>
          <w:rFonts w:hint="eastAsia" w:ascii="宋体" w:hAnsi="宋体" w:cs="宋体"/>
          <w:sz w:val="24"/>
          <w:lang w:eastAsia="zh-CN"/>
        </w:rPr>
        <w:t xml:space="preserve">）</w:t>
      </w:r>
      <w:r>
        <w:rPr>
          <w:rFonts w:hint="eastAsia" w:ascii="宋体" w:hAnsi="宋体" w:cs="宋体"/>
          <w:sz w:val="24"/>
        </w:rPr>
        <w:t xml:space="preserve">在项目交货现场就货物的安装、启动、运行、维护对买方人员进行培训。</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7.3伴随服务的费用应含在合同价中，不另行支付其他任何费用。</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8.质量保证</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8.1卖方所提供货物必须符合招标文件要求并不低于国家有关标准。</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8.2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8.3根据法定检验机构的检验结果或者在质量保证内，如果货物的数量、质量或规格与合同不符，或证明货物是有缺陷的，包括潜在的缺陷或使用不符合要求的材料等，买方以书面形式向卖方提出本保证下的索赔。</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8.4卖方在收到通知后，应在合同中所附服务承诺约定的时间内免费维修、更换有缺陷的货物或部件。</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8.5如果卖方在收到通知后，在合同中所附服务承诺约定的时间内没有弥补缺陷，买方可采取必要的补救措施，但风险和费用将由卖方承担。</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9.检验</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9.1在发货前，卖方应对货物的质量、规格、性能、数量和重量等进行准确而全面的检验，并出具一份证明货物符合合同规定的证书。但有关质量、规格、性能、数量或重量的检验不应视为最终检验。卖方检验的结果和细节应附在检验证书后面。</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9.2买方将在卖方交货并收到卖方提供的相应验收资料及验收通知后三个工作日内组织验收，如果货物的质量和规格与合同规定相符，买方应及时填写验收表，加盖公章后报给采购中心，但货物的质量的规格与合同规定不符买方可以拒收。在质量保证期内发现货物是有缺陷的，包括潜在缺陷或使用不符合要求的材料，买方应报请法定检验机构进行检查，并有权凭其出具的检验报告向卖方提出索赔。卖方应负责对设备的安装调试确保合格，买方出具的调试合格确认书是支付货款的条件之一。</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10.索赔</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10.1买方有权根据法定检验机构出具的检验报告，向卖方提出索赔。</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10.2根据合同规定的检验期和质量保证期内，如果卖方对买方提出的索赔和差异负有责任，卖方应按照买方同意的下列一种或多种方式解决索赔事宜；</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w:t>
      </w:r>
      <w:r>
        <w:rPr>
          <w:rFonts w:hint="eastAsia" w:ascii="宋体" w:hAnsi="宋体" w:cs="宋体"/>
          <w:sz w:val="24"/>
          <w:lang w:eastAsia="zh-CN"/>
        </w:rPr>
        <w:t xml:space="preserve">）</w:t>
      </w:r>
      <w:r>
        <w:rPr>
          <w:rFonts w:hint="eastAsia" w:ascii="宋体" w:hAnsi="宋体" w:cs="宋体"/>
          <w:sz w:val="24"/>
        </w:rPr>
        <w:t xml:space="preserve">卖方同意退货，并用合同中规定的货币将货款退还给买方，并承担由此发生的一切损失和费用，包括利息、银行手续费、运费、保险费、检验费、仓储费、装卸费以及为保护退回货物所需的其它必要费用和由此给买方带来的一切相关损失。</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（2</w:t>
      </w:r>
      <w:r>
        <w:rPr>
          <w:rFonts w:hint="eastAsia" w:ascii="宋体" w:hAnsi="宋体" w:cs="宋体"/>
          <w:sz w:val="24"/>
          <w:lang w:eastAsia="zh-CN"/>
        </w:rPr>
        <w:t xml:space="preserve">）</w:t>
      </w:r>
      <w:r>
        <w:rPr>
          <w:rFonts w:hint="eastAsia" w:ascii="宋体" w:hAnsi="宋体" w:cs="宋体"/>
          <w:sz w:val="24"/>
        </w:rPr>
        <w:t xml:space="preserve">根据货物的低劣程度、损坏程度以及买方所遭损失的数额，卖方必须降低货物的价格。</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（3</w:t>
      </w:r>
      <w:r>
        <w:rPr>
          <w:rFonts w:hint="eastAsia" w:ascii="宋体" w:hAnsi="宋体" w:cs="宋体"/>
          <w:sz w:val="24"/>
          <w:lang w:eastAsia="zh-CN"/>
        </w:rPr>
        <w:t xml:space="preserve">）</w:t>
      </w:r>
      <w:r>
        <w:rPr>
          <w:rFonts w:hint="eastAsia" w:ascii="宋体" w:hAnsi="宋体" w:cs="宋体"/>
          <w:sz w:val="24"/>
        </w:rPr>
        <w:t xml:space="preserve">用符合合同规定的规格、质量和性能要求的新零件、部件或设备来更换和或修补有缺陷的部分，卖方应承担一切费用和风险并负担买方所蒙受的全部直接损失费用。同时，卖方应按合同规定，对更换和修补件相应延长质量保证期。</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10.3如果在买方发出索赔通知后贰拾天内，卖方未作答复，上述索赔应视为已被卖方接受，如卖方未能在买方提出索赔通知后贰拾天内或买方同意的更长时间内，按照本合同规定的任何一种方法解决索赔事宜，买方将从卖方缴纳的履约保证金中扣回索赔金额并报监管部门备案，或采用法律手段解决索赔事宜。</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11.卖方迟交货、安装</w:t>
      </w:r>
      <w:r/>
    </w:p>
    <w:p>
      <w:pPr>
        <w:ind w:firstLine="480"/>
        <w:jc w:val="left"/>
        <w:keepLines w:val="0"/>
        <w:keepNext w:val="0"/>
        <w:pageBreakBefore w:val="0"/>
        <w:spacing w:line="440" w:lineRule="exact"/>
        <w:widowControl w:val="off"/>
        <w:rPr>
          <w:rFonts w:hint="eastAsia" w:ascii="宋体" w:hAnsi="宋体" w:cs="宋体"/>
          <w:color w:val="000000"/>
          <w:sz w:val="24"/>
        </w:rPr>
      </w:pPr>
      <w:r>
        <w:rPr>
          <w:rFonts w:hint="eastAsia" w:ascii="宋体" w:hAnsi="宋体" w:cs="宋体"/>
          <w:color w:val="000000"/>
          <w:sz w:val="24"/>
        </w:rPr>
        <w:t xml:space="preserve">11.1卖方应在规定时间内完成安装、验收，并交付买方验收使用。如卖方无正当理由未在</w:t>
      </w:r>
      <w:r>
        <w:rPr>
          <w:rFonts w:hint="eastAsia" w:ascii="宋体" w:hAnsi="宋体" w:cs="宋体"/>
          <w:color w:val="000000"/>
          <w:sz w:val="24"/>
          <w:lang w:eastAsia="zh-CN"/>
        </w:rPr>
        <w:t xml:space="preserve">规定时间</w:t>
      </w:r>
      <w:r>
        <w:rPr>
          <w:rFonts w:hint="eastAsia" w:ascii="宋体" w:hAnsi="宋体" w:cs="宋体"/>
          <w:color w:val="000000"/>
          <w:sz w:val="24"/>
        </w:rPr>
        <w:t xml:space="preserve">内完成，或不满足本项目要求的，或无故拖延安装、验收及交付时间的，将受到以下制裁：责令整改，加收误期赔偿直至终止合同。</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力。</w:t>
      </w:r>
      <w:r/>
    </w:p>
    <w:p>
      <w:pPr>
        <w:pStyle w:val="703"/>
        <w:ind w:firstLine="480"/>
        <w:keepLines w:val="0"/>
        <w:keepNext w:val="0"/>
        <w:pageBreakBefore w:val="0"/>
        <w:spacing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11.3卖方无正当理由出现11.1条情形的，卖方有权按合同规定条款执行外，同时有权追究卖方的赔偿责任，并上报相关主管部门对其进行相应处罚。</w:t>
      </w:r>
      <w:r/>
    </w:p>
    <w:p>
      <w:pPr>
        <w:pStyle w:val="703"/>
        <w:ind w:firstLine="480"/>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12.误期赔偿</w:t>
      </w:r>
      <w:r/>
    </w:p>
    <w:p>
      <w:pPr>
        <w:pStyle w:val="703"/>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cs="宋体"/>
          <w:sz w:val="24"/>
        </w:rPr>
        <w:t xml:space="preserve">12.1除合同条款第13条规定外，如果卖方没有按照合同规定的时间交货和提供服务，买方将从货款中扣除误期赔偿费而不影响合同项目的其他补救方法，</w:t>
      </w:r>
      <w:r>
        <w:rPr>
          <w:rFonts w:hint="eastAsia" w:ascii="宋体" w:hAnsi="宋体" w:eastAsia="宋体" w:cs="宋体"/>
          <w:sz w:val="24"/>
          <w:szCs w:val="24"/>
          <w:lang w:eastAsia="zh-CN"/>
        </w:rPr>
        <w:t xml:space="preserve">其他违约条款详见合同协议书第十四条违约责任</w:t>
      </w:r>
      <w:r>
        <w:rPr>
          <w:rFonts w:hint="eastAsia" w:ascii="宋体" w:hAnsi="宋体" w:eastAsia="宋体" w:cs="宋体"/>
          <w:sz w:val="24"/>
          <w:szCs w:val="24"/>
        </w:rPr>
        <w:t xml:space="preserve">。</w:t>
      </w:r>
      <w:r/>
    </w:p>
    <w:p>
      <w:pPr>
        <w:pStyle w:val="703"/>
        <w:ind w:firstLine="480"/>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13.不可抗力</w:t>
      </w:r>
      <w:r/>
    </w:p>
    <w:p>
      <w:pPr>
        <w:pStyle w:val="703"/>
        <w:ind w:firstLine="480"/>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13.1尽管有合同条款第11条、12条和17条的规定，如果卖方因不可抗力而导致合同实施延误或不能履行合同义务的话，不应该被没收履约保证金，也不应该承担误期赔偿或终止合同的责任。</w:t>
      </w:r>
      <w:r/>
    </w:p>
    <w:p>
      <w:pPr>
        <w:pStyle w:val="703"/>
        <w:ind w:firstLine="480"/>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13.2本条所述的“不可抗力”系指那些卖方无法控制、不可预见的事件，但不包括卖方的违约或疏忽。这些事件包括：战争、严重火灾、洪水、台风、地震以及其它买方和卖方商定的事件。</w:t>
      </w:r>
      <w:r/>
    </w:p>
    <w:p>
      <w:pPr>
        <w:pStyle w:val="703"/>
        <w:ind w:firstLine="480"/>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r/>
    </w:p>
    <w:p>
      <w:pPr>
        <w:pStyle w:val="703"/>
        <w:ind w:firstLine="480"/>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14.税费</w:t>
      </w:r>
      <w:r/>
    </w:p>
    <w:p>
      <w:pPr>
        <w:pStyle w:val="703"/>
        <w:ind w:firstLine="480"/>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14.1中国政府根据现行税法规定对买方征收的、与本合同有关的一切税费，均由买方负担，招标文件另有规定的除外。</w:t>
      </w:r>
      <w:r/>
    </w:p>
    <w:p>
      <w:pPr>
        <w:pStyle w:val="703"/>
        <w:ind w:firstLine="480"/>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14.2中国政府根据现行税法规定对卖方征收的、与本合同有关的一切税费，均由卖方负担。</w:t>
      </w:r>
      <w:r/>
    </w:p>
    <w:p>
      <w:pPr>
        <w:pStyle w:val="703"/>
        <w:ind w:firstLine="480"/>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15.履约保证金：</w:t>
      </w:r>
      <w:r/>
    </w:p>
    <w:p>
      <w:pPr>
        <w:pStyle w:val="703"/>
        <w:ind w:firstLine="480"/>
        <w:keepLines w:val="0"/>
        <w:keepNext w:val="0"/>
        <w:pageBreakBefore w:val="0"/>
        <w:spacing w:line="440" w:lineRule="exact"/>
        <w:widowControl w:val="off"/>
        <w:rPr>
          <w:rFonts w:hint="eastAsia" w:ascii="宋体" w:hAnsi="宋体" w:cs="宋体"/>
          <w:sz w:val="24"/>
          <w:lang w:val="en-US" w:eastAsia="zh-CN"/>
        </w:rPr>
      </w:pPr>
      <w:r>
        <w:rPr>
          <w:rFonts w:hint="eastAsia" w:ascii="宋体" w:hAnsi="宋体" w:cs="宋体"/>
          <w:sz w:val="24"/>
          <w:lang w:val="en-US" w:eastAsia="zh-CN"/>
        </w:rPr>
        <w:t xml:space="preserve">1.乙方缴纳人民币</w:t>
      </w:r>
      <w:r>
        <w:rPr>
          <w:rFonts w:hint="eastAsia" w:ascii="宋体" w:hAnsi="宋体" w:cs="宋体"/>
          <w:sz w:val="24"/>
          <w:u w:val="single"/>
          <w:lang w:val="en-US" w:eastAsia="zh-CN"/>
        </w:rPr>
        <w:t xml:space="preserve">     元</w:t>
      </w:r>
      <w:r>
        <w:rPr>
          <w:rFonts w:hint="eastAsia" w:ascii="宋体" w:hAnsi="宋体" w:cs="宋体"/>
          <w:sz w:val="24"/>
          <w:lang w:val="en-US" w:eastAsia="zh-CN"/>
        </w:rPr>
        <w:t xml:space="preserve">作为本合同的履约保证金（不得超过合同金额的1%）</w:t>
      </w:r>
      <w:r/>
    </w:p>
    <w:p>
      <w:pPr>
        <w:pStyle w:val="703"/>
        <w:ind w:firstLine="480"/>
        <w:keepLines w:val="0"/>
        <w:keepNext w:val="0"/>
        <w:pageBreakBefore w:val="0"/>
        <w:spacing w:line="440" w:lineRule="exact"/>
        <w:widowControl w:val="off"/>
        <w:rPr>
          <w:rFonts w:hint="eastAsia" w:ascii="宋体" w:hAnsi="宋体" w:cs="宋体"/>
          <w:sz w:val="24"/>
          <w:lang w:val="en-US" w:eastAsia="zh-CN"/>
        </w:rPr>
      </w:pPr>
      <w:r>
        <w:rPr>
          <w:rFonts w:hint="eastAsia" w:ascii="宋体" w:hAnsi="宋体" w:cs="宋体"/>
          <w:sz w:val="24"/>
          <w:lang w:val="en-US" w:eastAsia="zh-CN"/>
        </w:rPr>
        <w:t xml:space="preserve">注：乙方选取以履约保函（保险）形式向采购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r/>
    </w:p>
    <w:p>
      <w:pPr>
        <w:pStyle w:val="703"/>
        <w:ind w:firstLine="480"/>
        <w:keepLines w:val="0"/>
        <w:keepNext w:val="0"/>
        <w:pageBreakBefore w:val="0"/>
        <w:spacing w:line="440" w:lineRule="exact"/>
        <w:widowControl w:val="off"/>
        <w:rPr>
          <w:rFonts w:hint="eastAsia" w:ascii="宋体" w:hAnsi="宋体" w:cs="宋体"/>
          <w:sz w:val="24"/>
          <w:lang w:val="en-US" w:eastAsia="zh-CN"/>
        </w:rPr>
      </w:pPr>
      <w:r>
        <w:rPr>
          <w:rFonts w:hint="eastAsia" w:ascii="宋体" w:hAnsi="宋体" w:cs="宋体"/>
          <w:sz w:val="24"/>
          <w:lang w:val="en-US" w:eastAsia="zh-CN"/>
        </w:rPr>
        <w:t xml:space="preserve">2.乙方提供的履约保证金可以是人民币形式（银行本票、汇票、支票、电汇），或银行保函、担保公司的保证担保或保险公司的保证保险等多种形式。</w:t>
      </w:r>
      <w:r/>
    </w:p>
    <w:p>
      <w:pPr>
        <w:ind w:firstLine="480"/>
        <w:jc w:val="left"/>
        <w:keepLines w:val="0"/>
        <w:keepNext w:val="0"/>
        <w:pageBreakBefore w:val="0"/>
        <w:spacing w:line="440" w:lineRule="exact"/>
        <w:widowControl w:val="off"/>
        <w:rPr>
          <w:rFonts w:hint="eastAsia" w:ascii="宋体" w:hAnsi="宋体" w:cs="宋体"/>
          <w:sz w:val="24"/>
          <w:lang w:val="en-US" w:eastAsia="zh-CN"/>
        </w:rPr>
      </w:pPr>
      <w:r>
        <w:rPr>
          <w:rFonts w:hint="eastAsia" w:ascii="宋体" w:hAnsi="宋体" w:cs="宋体"/>
          <w:sz w:val="24"/>
          <w:lang w:val="en-US" w:eastAsia="zh-CN"/>
        </w:rPr>
        <w:t xml:space="preserve">3.乙方选取银行保函、担保公司的保证担保或保险公司的保证保险等形式的向采购人缴纳的，如保函（担保、保险等）的约定期到期但乙方履约仍未结束的，乙方须进行续保。</w:t>
      </w:r>
      <w:r/>
    </w:p>
    <w:p>
      <w:pPr>
        <w:ind w:firstLine="480"/>
        <w:jc w:val="left"/>
        <w:keepLines w:val="0"/>
        <w:keepNext w:val="0"/>
        <w:pageBreakBefore w:val="0"/>
        <w:spacing w:line="440" w:lineRule="exact"/>
        <w:widowControl w:val="off"/>
        <w:rPr>
          <w:rFonts w:hint="eastAsia" w:ascii="宋体" w:hAnsi="宋体" w:cs="宋体"/>
          <w:sz w:val="24"/>
          <w:lang w:val="en-US" w:eastAsia="zh-CN"/>
        </w:rPr>
      </w:pPr>
      <w:r>
        <w:rPr>
          <w:rFonts w:hint="eastAsia" w:ascii="宋体" w:hAnsi="宋体" w:cs="宋体"/>
          <w:sz w:val="24"/>
          <w:lang w:val="en-US" w:eastAsia="zh-CN"/>
        </w:rPr>
        <w:t xml:space="preserve">4.如乙方未能履行合同规定的义务，甲方有权从履约保证金中取得补偿。</w:t>
      </w:r>
      <w:r/>
    </w:p>
    <w:p>
      <w:pPr>
        <w:ind w:firstLine="480"/>
        <w:jc w:val="left"/>
        <w:keepLines w:val="0"/>
        <w:keepNext w:val="0"/>
        <w:pageBreakBefore w:val="0"/>
        <w:spacing w:line="440" w:lineRule="exact"/>
        <w:widowControl w:val="off"/>
        <w:rPr>
          <w:rFonts w:hint="eastAsia" w:ascii="宋体" w:hAnsi="宋体" w:cs="宋体"/>
          <w:sz w:val="24"/>
          <w:lang w:val="en-US" w:eastAsia="zh-CN"/>
        </w:rPr>
      </w:pPr>
      <w:r>
        <w:rPr>
          <w:rFonts w:hint="eastAsia" w:ascii="宋体" w:hAnsi="宋体" w:cs="宋体"/>
          <w:sz w:val="24"/>
          <w:lang w:val="en-US" w:eastAsia="zh-CN"/>
        </w:rPr>
        <w:t xml:space="preserve">5.履约保证金在合同约定期间内不予退还或者应完全有效，约定期间届满之日起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ind w:firstLine="480"/>
        <w:jc w:val="left"/>
        <w:keepLines w:val="0"/>
        <w:keepNext w:val="0"/>
        <w:pageBreakBefore w:val="0"/>
        <w:spacing w:line="440" w:lineRule="exact"/>
        <w:widowControl w:val="off"/>
        <w:rPr>
          <w:rFonts w:hint="eastAsia" w:ascii="宋体" w:hAnsi="宋体" w:cs="宋体"/>
          <w:sz w:val="24"/>
          <w:lang w:val="en-US" w:eastAsia="zh-CN"/>
        </w:rPr>
      </w:pPr>
      <w:r>
        <w:rPr>
          <w:rFonts w:hint="eastAsia" w:ascii="宋体" w:hAnsi="宋体" w:cs="宋体"/>
          <w:sz w:val="24"/>
          <w:lang w:val="en-US" w:eastAsia="zh-CN"/>
        </w:rPr>
        <w:t xml:space="preserve">6.履约保证金在合同约定期间内不予退还或者应完全有效，履约保证金在项目验收合格后无息退还给乙方。</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16.争端解决</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16.1在执行本合同所发生的或与本合同有关一切争端，买方和卖方应通过友好协商的办法进行解决。如从协商开始叁拾天内仍不能解决，应将争端提交有关市政府或行业主管部门寻求可能解决的办法。如果提交有关市政府或行业主管部门后叁拾天内仍得不到解决，则依法诉讼裁决。</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16.2本合同如发生争议，且双方无法达成共识，则任一方均有权向买方所在地人民法院提请裁决。</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17.违约终止合同</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17.1在买方对卖方违约而采取的任何补救措施不受影响的情况下，买方可向卖方发出终止部分或全部合同的书面通知书。</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w:t>
      </w:r>
      <w:r>
        <w:rPr>
          <w:rFonts w:hint="eastAsia" w:ascii="宋体" w:hAnsi="宋体" w:cs="宋体"/>
          <w:sz w:val="24"/>
          <w:lang w:eastAsia="zh-CN"/>
        </w:rPr>
        <w:t xml:space="preserve">）</w:t>
      </w:r>
      <w:r>
        <w:rPr>
          <w:rFonts w:hint="eastAsia" w:ascii="宋体" w:hAnsi="宋体" w:cs="宋体"/>
          <w:sz w:val="24"/>
        </w:rPr>
        <w:t xml:space="preserve">如果卖方未能按合同规定的期限或买方同意延长的限期内提供部分或全部货物；</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（2</w:t>
      </w:r>
      <w:r>
        <w:rPr>
          <w:rFonts w:hint="eastAsia" w:ascii="宋体" w:hAnsi="宋体" w:cs="宋体"/>
          <w:sz w:val="24"/>
          <w:lang w:eastAsia="zh-CN"/>
        </w:rPr>
        <w:t xml:space="preserve">）</w:t>
      </w:r>
      <w:r>
        <w:rPr>
          <w:rFonts w:hint="eastAsia" w:ascii="宋体" w:hAnsi="宋体" w:cs="宋体"/>
          <w:sz w:val="24"/>
        </w:rPr>
        <w:t xml:space="preserve">卖方在收到买方发出的违约通知后贰拾天内，或经买方书面认可可延长的时间内未能纠正其过失；</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（3</w:t>
      </w:r>
      <w:r>
        <w:rPr>
          <w:rFonts w:hint="eastAsia" w:ascii="宋体" w:hAnsi="宋体" w:cs="宋体"/>
          <w:sz w:val="24"/>
          <w:lang w:eastAsia="zh-CN"/>
        </w:rPr>
        <w:t xml:space="preserve">）</w:t>
      </w:r>
      <w:r>
        <w:rPr>
          <w:rFonts w:hint="eastAsia" w:ascii="宋体" w:hAnsi="宋体" w:cs="宋体"/>
          <w:sz w:val="24"/>
        </w:rPr>
        <w:t xml:space="preserve">如果卖方未能履行合同规定的其他义务。</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17.2在买方根据上述第17.1条规定，终止了全部或部分合同后，买方可以依其认为适当的条件和方法购买与未交货物类似的货物，卖方应对买方购买类似货物所超出的那部分费用负责，并继续执行合同中未终止的部分。</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18.破产中止合同</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18.1如果卖方破产或无清偿能力，买方可在任何时候以书面形式通知卖方中止合同而不给卖方补偿。该中止合同将不损害或影响买方和使用方已经采取或将要采取的任何行动或补救措施的权力</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19.转让</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19.1 除买方事先书面同意外，卖方不得部分转让或全部转让其应履行的合同义务。</w:t>
      </w:r>
      <w:r/>
    </w:p>
    <w:p>
      <w:pPr>
        <w:ind w:firstLine="482"/>
        <w:jc w:val="left"/>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20</w:t>
      </w:r>
      <w:r>
        <w:rPr>
          <w:rFonts w:hint="eastAsia" w:ascii="宋体" w:hAnsi="宋体" w:cs="宋体"/>
          <w:b/>
          <w:bCs/>
          <w:sz w:val="24"/>
          <w:szCs w:val="24"/>
          <w:lang w:val="en-US" w:eastAsia="zh-CN"/>
        </w:rPr>
        <w:t xml:space="preserve">.</w:t>
      </w:r>
      <w:r>
        <w:rPr>
          <w:rFonts w:hint="eastAsia" w:ascii="宋体" w:hAnsi="宋体" w:eastAsia="宋体" w:cs="宋体"/>
          <w:b/>
          <w:bCs/>
          <w:sz w:val="24"/>
          <w:szCs w:val="24"/>
          <w:lang w:val="en-US" w:eastAsia="zh-CN"/>
        </w:rPr>
        <w:t xml:space="preserve">项目验收</w:t>
      </w:r>
      <w:r/>
    </w:p>
    <w:p>
      <w:pPr>
        <w:ind w:firstLine="480"/>
        <w:jc w:val="left"/>
        <w:keepLines w:val="0"/>
        <w:keepNext w:val="0"/>
        <w:pageBreakBefore w:val="0"/>
        <w:spacing w:line="440" w:lineRule="exact"/>
        <w:widowControl w:val="off"/>
        <w:rPr>
          <w:rFonts w:hint="eastAsia" w:ascii="宋体" w:hAnsi="宋体" w:cs="宋体"/>
          <w:sz w:val="24"/>
          <w:lang w:val="en-US" w:eastAsia="zh-CN"/>
        </w:rPr>
      </w:pPr>
      <w:r>
        <w:rPr>
          <w:rFonts w:hint="eastAsia" w:ascii="宋体" w:hAnsi="宋体" w:cs="宋体"/>
          <w:sz w:val="24"/>
          <w:lang w:val="en-US" w:eastAsia="zh-CN"/>
        </w:rPr>
        <w:t xml:space="preserve">20.1 甲方依法组织履约验收工作。</w:t>
      </w:r>
      <w:r/>
    </w:p>
    <w:p>
      <w:pPr>
        <w:ind w:firstLine="480"/>
        <w:jc w:val="left"/>
        <w:keepLines w:val="0"/>
        <w:keepNext w:val="0"/>
        <w:pageBreakBefore w:val="0"/>
        <w:spacing w:line="440" w:lineRule="exact"/>
        <w:widowControl w:val="off"/>
        <w:rPr>
          <w:rFonts w:hint="eastAsia" w:ascii="宋体" w:hAnsi="宋体" w:cs="宋体"/>
          <w:sz w:val="24"/>
          <w:lang w:val="en-US" w:eastAsia="zh-CN"/>
        </w:rPr>
      </w:pPr>
      <w:r>
        <w:rPr>
          <w:rFonts w:hint="eastAsia" w:ascii="宋体" w:hAnsi="宋体" w:cs="宋体"/>
          <w:sz w:val="24"/>
          <w:lang w:val="en-US" w:eastAsia="zh-CN"/>
        </w:rPr>
        <w:t xml:space="preserve">20.2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keepLines w:val="0"/>
        <w:keepNext w:val="0"/>
        <w:pageBreakBefore w:val="0"/>
        <w:spacing w:line="440" w:lineRule="exact"/>
        <w:widowControl w:val="off"/>
        <w:rPr>
          <w:rFonts w:hint="eastAsia" w:ascii="宋体" w:hAnsi="宋体" w:cs="宋体"/>
          <w:sz w:val="24"/>
          <w:lang w:val="en-US" w:eastAsia="zh-CN"/>
        </w:rPr>
      </w:pPr>
      <w:r>
        <w:rPr>
          <w:rFonts w:hint="eastAsia" w:ascii="宋体" w:hAnsi="宋体" w:cs="宋体"/>
          <w:sz w:val="24"/>
          <w:lang w:val="en-US" w:eastAsia="zh-CN"/>
        </w:rPr>
        <w:t xml:space="preserve">20.3 对于实际使用人和甲方分离的项目，甲方邀请实际使用人参与验收。</w:t>
      </w:r>
      <w:r/>
    </w:p>
    <w:p>
      <w:pPr>
        <w:ind w:firstLine="480"/>
        <w:jc w:val="left"/>
        <w:keepLines w:val="0"/>
        <w:keepNext w:val="0"/>
        <w:pageBreakBefore w:val="0"/>
        <w:spacing w:line="440" w:lineRule="exact"/>
        <w:widowControl w:val="off"/>
        <w:rPr>
          <w:rFonts w:hint="eastAsia" w:ascii="宋体" w:hAnsi="宋体" w:cs="宋体"/>
          <w:sz w:val="24"/>
          <w:lang w:val="en-US" w:eastAsia="zh-CN"/>
        </w:rPr>
      </w:pPr>
      <w:r>
        <w:rPr>
          <w:rFonts w:hint="eastAsia" w:ascii="宋体" w:hAnsi="宋体" w:cs="宋体"/>
          <w:sz w:val="24"/>
          <w:lang w:val="en-US" w:eastAsia="zh-CN"/>
        </w:rPr>
        <w:t xml:space="preserve">20.4 如有必要，甲方邀请参加本项目的其他供应商或第三方专业机构及专家参与验收，相关意见将作为验收书的参考资料。</w:t>
      </w:r>
      <w:r/>
    </w:p>
    <w:p>
      <w:pPr>
        <w:ind w:firstLine="480"/>
        <w:jc w:val="left"/>
        <w:keepLines w:val="0"/>
        <w:keepNext w:val="0"/>
        <w:pageBreakBefore w:val="0"/>
        <w:spacing w:line="440" w:lineRule="exact"/>
        <w:widowControl w:val="off"/>
        <w:rPr>
          <w:rFonts w:hint="eastAsia" w:ascii="宋体" w:hAnsi="宋体" w:cs="宋体"/>
          <w:sz w:val="24"/>
          <w:lang w:val="en-US" w:eastAsia="zh-CN"/>
        </w:rPr>
      </w:pPr>
      <w:r>
        <w:rPr>
          <w:rFonts w:hint="eastAsia" w:ascii="宋体" w:hAnsi="宋体" w:cs="宋体"/>
          <w:sz w:val="24"/>
          <w:lang w:val="en-US" w:eastAsia="zh-CN"/>
        </w:rPr>
        <w:t xml:space="preserve">20.5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keepLines w:val="0"/>
        <w:keepNext w:val="0"/>
        <w:pageBreakBefore w:val="0"/>
        <w:spacing w:line="440" w:lineRule="exact"/>
        <w:widowControl w:val="off"/>
        <w:rPr>
          <w:rFonts w:hint="eastAsia" w:ascii="宋体" w:hAnsi="宋体" w:cs="宋体"/>
          <w:sz w:val="24"/>
          <w:lang w:val="en-US" w:eastAsia="zh-CN"/>
        </w:rPr>
      </w:pPr>
      <w:r>
        <w:rPr>
          <w:rFonts w:hint="eastAsia" w:ascii="宋体" w:hAnsi="宋体" w:cs="宋体"/>
          <w:sz w:val="24"/>
          <w:lang w:val="en-US" w:eastAsia="zh-CN"/>
        </w:rPr>
        <w:t xml:space="preserve">20.6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1</w:t>
      </w:r>
      <w:r>
        <w:rPr>
          <w:rFonts w:hint="eastAsia" w:ascii="宋体" w:hAnsi="宋体" w:cs="宋体"/>
          <w:sz w:val="24"/>
        </w:rPr>
        <w:t xml:space="preserve">.合同生效及其它</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1</w:t>
      </w:r>
      <w:r>
        <w:rPr>
          <w:rFonts w:hint="eastAsia" w:ascii="宋体" w:hAnsi="宋体" w:cs="宋体"/>
          <w:sz w:val="24"/>
        </w:rPr>
        <w:t xml:space="preserve">.1金湖县</w:t>
      </w:r>
      <w:r>
        <w:rPr>
          <w:rFonts w:hint="eastAsia" w:ascii="宋体" w:hAnsi="宋体" w:cs="宋体"/>
          <w:sz w:val="24"/>
          <w:u w:val="single"/>
        </w:rPr>
        <w:t xml:space="preserve">           </w:t>
      </w:r>
      <w:r>
        <w:rPr>
          <w:rFonts w:hint="eastAsia" w:ascii="宋体" w:hAnsi="宋体" w:cs="宋体"/>
          <w:sz w:val="24"/>
        </w:rPr>
        <w:t xml:space="preserve">招标文件、投标方提交的</w:t>
      </w:r>
      <w:r>
        <w:rPr>
          <w:rFonts w:hint="eastAsia" w:ascii="宋体" w:hAnsi="宋体" w:cs="宋体"/>
          <w:sz w:val="24"/>
          <w:u w:val="single"/>
        </w:rPr>
        <w:t xml:space="preserve">         </w:t>
      </w:r>
      <w:r>
        <w:rPr>
          <w:rFonts w:hint="eastAsia" w:ascii="宋体" w:hAnsi="宋体" w:cs="宋体"/>
          <w:sz w:val="24"/>
        </w:rPr>
        <w:t xml:space="preserve">投标文件、本次招标的中标通知书和招标过程中卖方的投标澄清等内容将作为本次采购合同文件的主要内容。卖方在合同履行过程中若发生服务内容缩减、服务不及时的现象，买方有权对卖方处以适当的经济处罚。</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1</w:t>
      </w:r>
      <w:r>
        <w:rPr>
          <w:rFonts w:hint="eastAsia" w:ascii="宋体" w:hAnsi="宋体" w:cs="宋体"/>
          <w:sz w:val="24"/>
        </w:rPr>
        <w:t xml:space="preserve">.2本合同应在买方和卖方双方盖章，并在卖方向采购人</w:t>
      </w:r>
      <w:r>
        <w:rPr>
          <w:rFonts w:hint="eastAsia" w:ascii="宋体" w:hAnsi="宋体" w:cs="宋体"/>
          <w:sz w:val="24"/>
          <w:lang w:val="en-US" w:eastAsia="zh-CN"/>
        </w:rPr>
        <w:t xml:space="preserve">缴纳</w:t>
      </w:r>
      <w:r>
        <w:rPr>
          <w:rFonts w:hint="eastAsia" w:ascii="宋体" w:hAnsi="宋体" w:cs="宋体"/>
          <w:sz w:val="24"/>
        </w:rPr>
        <w:t xml:space="preserve">履约保证金后生效。</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1</w:t>
      </w:r>
      <w:r>
        <w:rPr>
          <w:rFonts w:hint="eastAsia" w:ascii="宋体" w:hAnsi="宋体" w:cs="宋体"/>
          <w:sz w:val="24"/>
        </w:rPr>
        <w:t xml:space="preserve">.3本合同一式五份，以中文书写，买方、卖方各执二份，备案一份。</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1</w:t>
      </w:r>
      <w:r>
        <w:rPr>
          <w:rFonts w:hint="eastAsia" w:ascii="宋体" w:hAnsi="宋体" w:cs="宋体"/>
          <w:sz w:val="24"/>
        </w:rPr>
        <w:t xml:space="preserve">.4合同货物交付使用后所发生的合同纠纷，买方与卖方进行处理。</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1</w:t>
      </w:r>
      <w:r>
        <w:rPr>
          <w:rFonts w:hint="eastAsia" w:ascii="宋体" w:hAnsi="宋体" w:cs="宋体"/>
          <w:sz w:val="24"/>
        </w:rPr>
        <w:t xml:space="preserve">.5如需修改或补充合同内容，应经卖方、买方协商，签署书面修改或补充协议。该协议将作为本合同不可分割的一部分。</w:t>
      </w:r>
      <w:r/>
    </w:p>
    <w:p>
      <w:pPr>
        <w:ind w:firstLine="480"/>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1</w:t>
      </w:r>
      <w:r>
        <w:rPr>
          <w:rFonts w:hint="eastAsia" w:ascii="宋体" w:hAnsi="宋体" w:cs="宋体"/>
          <w:sz w:val="24"/>
        </w:rPr>
        <w:t xml:space="preserve">.6本合同应按照中华人民共和国的现行法律进行解释。</w:t>
      </w:r>
      <w:r/>
    </w:p>
    <w:p>
      <w:pPr>
        <w:ind w:right="0" w:firstLine="0"/>
        <w:jc w:val="center"/>
        <w:keepLines w:val="0"/>
        <w:keepNext w:val="0"/>
        <w:pageBreakBefore w:val="0"/>
        <w:spacing w:line="360" w:lineRule="auto"/>
        <w:rPr>
          <w:rFonts w:hint="eastAsia" w:ascii="宋体" w:hAnsi="宋体" w:eastAsia="宋体" w:cs="宋体"/>
          <w:b/>
          <w:bCs w:val="0"/>
          <w:sz w:val="32"/>
          <w:szCs w:val="32"/>
          <w:lang w:eastAsia="zh-CN"/>
        </w:rPr>
      </w:pPr>
      <w:r>
        <w:rPr>
          <w:rFonts w:hint="eastAsia" w:ascii="宋体" w:hAnsi="宋体" w:eastAsia="宋体" w:cs="宋体"/>
          <w:b/>
          <w:bCs w:val="0"/>
          <w:color w:val="auto"/>
          <w:sz w:val="32"/>
          <w:szCs w:val="32"/>
        </w:rPr>
        <w:t xml:space="preserve">项目采购合同</w:t>
      </w:r>
      <w:r>
        <w:rPr>
          <w:rFonts w:hint="eastAsia" w:ascii="宋体" w:hAnsi="宋体" w:eastAsia="宋体" w:cs="宋体"/>
          <w:b/>
          <w:bCs w:val="0"/>
          <w:color w:val="auto"/>
          <w:sz w:val="32"/>
          <w:szCs w:val="32"/>
          <w:lang w:eastAsia="zh-CN"/>
        </w:rPr>
        <w:t xml:space="preserve">协</w:t>
      </w:r>
      <w:r>
        <w:rPr>
          <w:rFonts w:hint="eastAsia" w:ascii="宋体" w:hAnsi="宋体" w:eastAsia="宋体" w:cs="宋体"/>
          <w:b/>
          <w:bCs w:val="0"/>
          <w:sz w:val="32"/>
          <w:szCs w:val="32"/>
          <w:lang w:eastAsia="zh-CN"/>
        </w:rPr>
        <w:t xml:space="preserve">议书</w:t>
      </w:r>
      <w:r/>
    </w:p>
    <w:p>
      <w:pPr>
        <w:pStyle w:val="737"/>
        <w:ind w:left="0" w:right="0" w:firstLine="0"/>
        <w:keepLines w:val="0"/>
        <w:keepNext w:val="0"/>
        <w:pageBreakBefore w:val="0"/>
        <w:spacing w:before="0" w:after="0" w:line="360" w:lineRule="auto"/>
        <w:rPr>
          <w:rFonts w:hint="eastAsia" w:ascii="宋体" w:hAnsi="宋体" w:eastAsia="宋体" w:cs="宋体"/>
          <w:sz w:val="24"/>
          <w:szCs w:val="24"/>
          <w:u w:val="single"/>
          <w:lang w:val="en-US" w:eastAsia="zh-CN" w:bidi="zh-CN"/>
        </w:rPr>
      </w:pPr>
      <w:r>
        <w:rPr>
          <w:rFonts w:hint="eastAsia" w:ascii="宋体" w:hAnsi="宋体" w:cs="宋体"/>
          <w:sz w:val="24"/>
          <w:szCs w:val="24"/>
          <w:lang w:val="en-US" w:eastAsia="zh-CN" w:bidi="zh-CN"/>
        </w:rPr>
        <w:t xml:space="preserve">买方</w:t>
      </w:r>
      <w:r>
        <w:rPr>
          <w:rFonts w:hint="eastAsia" w:ascii="宋体" w:hAnsi="宋体" w:eastAsia="宋体" w:cs="宋体"/>
          <w:sz w:val="24"/>
          <w:szCs w:val="24"/>
          <w:lang w:val="zh-CN" w:eastAsia="zh-CN" w:bidi="zh-CN"/>
        </w:rPr>
        <w:t xml:space="preserve">：</w:t>
      </w:r>
      <w:r>
        <w:rPr>
          <w:rFonts w:hint="eastAsia" w:ascii="宋体" w:hAnsi="宋体" w:eastAsia="宋体" w:cs="宋体"/>
          <w:sz w:val="24"/>
          <w:szCs w:val="24"/>
          <w:u w:val="single"/>
          <w:lang w:val="en-US" w:eastAsia="zh-CN" w:bidi="zh-CN"/>
        </w:rPr>
        <w:t xml:space="preserve">                 </w:t>
      </w:r>
      <w:r>
        <w:rPr>
          <w:rFonts w:hint="eastAsia" w:ascii="宋体" w:hAnsi="宋体" w:cs="宋体"/>
          <w:sz w:val="24"/>
          <w:szCs w:val="24"/>
          <w:u w:val="single"/>
          <w:lang w:val="en-US" w:eastAsia="zh-CN" w:bidi="zh-CN"/>
        </w:rPr>
        <w:t xml:space="preserve">  </w:t>
      </w:r>
      <w:r/>
    </w:p>
    <w:p>
      <w:pPr>
        <w:pStyle w:val="737"/>
        <w:ind w:left="0" w:right="0" w:firstLine="0"/>
        <w:keepLines w:val="0"/>
        <w:keepNext w:val="0"/>
        <w:pageBreakBefore w:val="0"/>
        <w:spacing w:before="0" w:after="0" w:line="360" w:lineRule="auto"/>
        <w:rPr>
          <w:rFonts w:hint="default" w:ascii="宋体" w:hAnsi="宋体" w:eastAsia="宋体" w:cs="宋体"/>
          <w:sz w:val="24"/>
          <w:szCs w:val="24"/>
          <w:lang w:val="en-US" w:eastAsia="zh-CN" w:bidi="zh-CN"/>
        </w:rPr>
      </w:pPr>
      <w:r>
        <w:rPr>
          <w:rFonts w:hint="eastAsia" w:ascii="宋体" w:hAnsi="宋体" w:cs="宋体"/>
          <w:sz w:val="24"/>
          <w:szCs w:val="24"/>
          <w:lang w:val="en-US" w:eastAsia="zh-CN" w:bidi="zh-CN"/>
        </w:rPr>
        <w:t xml:space="preserve">卖方</w:t>
      </w:r>
      <w:r>
        <w:rPr>
          <w:rFonts w:hint="eastAsia" w:ascii="宋体" w:hAnsi="宋体" w:eastAsia="宋体" w:cs="宋体"/>
          <w:sz w:val="24"/>
          <w:szCs w:val="24"/>
          <w:lang w:val="en-US" w:eastAsia="zh-CN" w:bidi="zh-CN"/>
        </w:rPr>
        <w:t xml:space="preserve">：</w:t>
      </w:r>
      <w:r>
        <w:rPr>
          <w:rFonts w:hint="eastAsia" w:ascii="宋体" w:hAnsi="宋体" w:eastAsia="宋体" w:cs="宋体"/>
          <w:sz w:val="24"/>
          <w:szCs w:val="24"/>
          <w:u w:val="single"/>
          <w:lang w:val="en-US" w:eastAsia="zh-CN" w:bidi="zh-CN"/>
        </w:rPr>
        <w:t xml:space="preserve">                 </w:t>
      </w:r>
      <w:r>
        <w:rPr>
          <w:rFonts w:hint="eastAsia" w:ascii="宋体" w:hAnsi="宋体" w:cs="宋体"/>
          <w:sz w:val="24"/>
          <w:szCs w:val="24"/>
          <w:u w:val="single"/>
          <w:lang w:val="en-US" w:eastAsia="zh-CN" w:bidi="zh-CN"/>
        </w:rPr>
        <w:t xml:space="preserve">  </w:t>
      </w:r>
      <w:r/>
    </w:p>
    <w:p>
      <w:pPr>
        <w:pStyle w:val="706"/>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甲、乙双方根据</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公开招标</w:t>
      </w:r>
      <w:r>
        <w:rPr>
          <w:rFonts w:hint="eastAsia" w:ascii="宋体" w:hAnsi="宋体" w:eastAsia="宋体" w:cs="宋体"/>
          <w:sz w:val="24"/>
          <w:szCs w:val="24"/>
        </w:rPr>
        <w:t xml:space="preserve">采购的结果，签署本合同。</w:t>
      </w:r>
      <w:r/>
    </w:p>
    <w:p>
      <w:pPr>
        <w:pStyle w:val="693"/>
        <w:ind w:right="0"/>
        <w:keepLines w:val="0"/>
        <w:keepNext w:val="0"/>
        <w:pageBreakBefore w:val="0"/>
        <w:spacing w:before="0" w:after="0"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一、合同文件</w:t>
      </w:r>
      <w:r/>
    </w:p>
    <w:p>
      <w:pPr>
        <w:pStyle w:val="706"/>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下列关于</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文件及响应文件是构成本合同不可分割的部分：</w:t>
      </w:r>
      <w:r/>
    </w:p>
    <w:p>
      <w:pPr>
        <w:pStyle w:val="753"/>
        <w:numPr>
          <w:ilvl w:val="0"/>
          <w:numId w:val="0"/>
        </w:numPr>
        <w:ind w:right="0" w:firstLine="480"/>
        <w:jc w:val="left"/>
        <w:keepLines w:val="0"/>
        <w:keepNext w:val="0"/>
        <w:pageBreakBefore w:val="0"/>
        <w:spacing w:line="360" w:lineRule="auto"/>
        <w:widowControl w:val="off"/>
        <w:tabs>
          <w:tab w:val="left" w:pos="1005" w:leader="none"/>
        </w:tabs>
        <w:rPr>
          <w:rFonts w:hint="eastAsia" w:ascii="宋体" w:hAnsi="宋体" w:eastAsia="宋体" w:cs="宋体"/>
          <w:sz w:val="24"/>
          <w:szCs w:val="24"/>
          <w:lang w:val="en-US" w:eastAsia="zh-CN" w:bidi="zh-CN"/>
        </w:rPr>
      </w:pPr>
      <w:r>
        <w:rPr>
          <w:rFonts w:hint="eastAsia" w:ascii="宋体" w:hAnsi="宋体" w:cs="宋体"/>
          <w:sz w:val="24"/>
          <w:szCs w:val="24"/>
          <w:lang w:val="en-US" w:eastAsia="zh-CN" w:bidi="zh-CN"/>
        </w:rPr>
        <w:t xml:space="preserve">1.</w:t>
      </w:r>
      <w:r>
        <w:rPr>
          <w:rFonts w:hint="eastAsia" w:ascii="宋体" w:hAnsi="宋体" w:eastAsia="宋体" w:cs="宋体"/>
          <w:sz w:val="24"/>
          <w:szCs w:val="24"/>
          <w:lang w:val="en-US" w:eastAsia="zh-CN" w:bidi="zh-CN"/>
        </w:rPr>
        <w:t xml:space="preserve">合同主要条款及通用条款；</w:t>
      </w:r>
      <w:r/>
    </w:p>
    <w:p>
      <w:pPr>
        <w:pStyle w:val="753"/>
        <w:numPr>
          <w:ilvl w:val="0"/>
          <w:numId w:val="0"/>
        </w:numPr>
        <w:ind w:right="0" w:firstLine="480"/>
        <w:jc w:val="left"/>
        <w:keepLines w:val="0"/>
        <w:keepNext w:val="0"/>
        <w:pageBreakBefore w:val="0"/>
        <w:spacing w:line="360" w:lineRule="auto"/>
        <w:widowControl w:val="off"/>
        <w:tabs>
          <w:tab w:val="left" w:pos="1005" w:leader="none"/>
        </w:tabs>
        <w:rPr>
          <w:rFonts w:hint="eastAsia" w:ascii="宋体" w:hAnsi="宋体" w:eastAsia="宋体" w:cs="宋体"/>
          <w:sz w:val="24"/>
          <w:szCs w:val="24"/>
          <w:lang w:val="en-US" w:eastAsia="zh-CN" w:bidi="zh-CN"/>
        </w:rPr>
      </w:pPr>
      <w:r>
        <w:rPr>
          <w:rFonts w:hint="eastAsia" w:ascii="宋体" w:hAnsi="宋体" w:cs="宋体"/>
          <w:sz w:val="24"/>
          <w:szCs w:val="24"/>
          <w:lang w:val="en-US" w:eastAsia="zh-CN" w:bidi="zh-CN"/>
        </w:rPr>
        <w:t xml:space="preserve">2.卖方</w:t>
      </w:r>
      <w:r>
        <w:rPr>
          <w:rFonts w:hint="eastAsia" w:ascii="宋体" w:hAnsi="宋体" w:eastAsia="宋体" w:cs="宋体"/>
          <w:sz w:val="24"/>
          <w:szCs w:val="24"/>
          <w:lang w:val="en-US" w:eastAsia="zh-CN" w:bidi="zh-CN"/>
        </w:rPr>
        <w:t xml:space="preserve">提交的响应文件；</w:t>
      </w:r>
      <w:r/>
    </w:p>
    <w:p>
      <w:pPr>
        <w:pStyle w:val="753"/>
        <w:numPr>
          <w:ilvl w:val="0"/>
          <w:numId w:val="0"/>
        </w:numPr>
        <w:ind w:right="0" w:firstLine="480"/>
        <w:jc w:val="left"/>
        <w:keepLines w:val="0"/>
        <w:keepNext w:val="0"/>
        <w:pageBreakBefore w:val="0"/>
        <w:spacing w:line="360" w:lineRule="auto"/>
        <w:widowControl w:val="off"/>
        <w:tabs>
          <w:tab w:val="left" w:pos="1005" w:leader="none"/>
        </w:tabs>
        <w:rPr>
          <w:rFonts w:hint="eastAsia" w:ascii="宋体" w:hAnsi="宋体" w:eastAsia="宋体" w:cs="宋体"/>
          <w:sz w:val="24"/>
          <w:szCs w:val="24"/>
          <w:lang w:val="en-US" w:eastAsia="zh-CN" w:bidi="zh-CN"/>
        </w:rPr>
      </w:pPr>
      <w:r>
        <w:rPr>
          <w:rFonts w:hint="eastAsia" w:ascii="宋体" w:hAnsi="宋体" w:cs="宋体"/>
          <w:sz w:val="24"/>
          <w:szCs w:val="24"/>
          <w:lang w:val="en-US" w:eastAsia="zh-CN" w:bidi="zh-CN"/>
        </w:rPr>
        <w:t xml:space="preserve">3.</w:t>
      </w:r>
      <w:r>
        <w:rPr>
          <w:rFonts w:hint="eastAsia" w:ascii="宋体" w:hAnsi="宋体" w:eastAsia="宋体" w:cs="宋体"/>
          <w:sz w:val="24"/>
          <w:szCs w:val="24"/>
          <w:lang w:val="en-US" w:eastAsia="zh-CN" w:bidi="zh-CN"/>
        </w:rPr>
        <w:t xml:space="preserve">成交通知书；</w:t>
      </w:r>
      <w:r/>
    </w:p>
    <w:p>
      <w:pPr>
        <w:pStyle w:val="753"/>
        <w:numPr>
          <w:ilvl w:val="0"/>
          <w:numId w:val="0"/>
        </w:numPr>
        <w:ind w:right="0" w:firstLine="480"/>
        <w:jc w:val="left"/>
        <w:keepLines w:val="0"/>
        <w:keepNext w:val="0"/>
        <w:pageBreakBefore w:val="0"/>
        <w:spacing w:line="360" w:lineRule="auto"/>
        <w:widowControl w:val="off"/>
        <w:tabs>
          <w:tab w:val="left" w:pos="1005" w:leader="none"/>
        </w:tabs>
        <w:rPr>
          <w:rFonts w:hint="eastAsia" w:ascii="宋体" w:hAnsi="宋体" w:eastAsia="宋体" w:cs="宋体"/>
          <w:sz w:val="24"/>
          <w:szCs w:val="24"/>
          <w:highlight w:val="none"/>
          <w:lang w:val="en-US" w:eastAsia="zh-CN" w:bidi="zh-CN"/>
        </w:rPr>
      </w:pPr>
      <w:r>
        <w:rPr>
          <w:rFonts w:hint="eastAsia" w:ascii="宋体" w:hAnsi="宋体" w:cs="宋体"/>
          <w:sz w:val="24"/>
          <w:szCs w:val="24"/>
          <w:lang w:val="en-US" w:eastAsia="zh-CN" w:bidi="zh-CN"/>
        </w:rPr>
        <w:t xml:space="preserve">4.买方</w:t>
      </w:r>
      <w:r>
        <w:rPr>
          <w:rFonts w:hint="eastAsia" w:ascii="宋体" w:hAnsi="宋体" w:eastAsia="宋体" w:cs="宋体"/>
          <w:sz w:val="24"/>
          <w:szCs w:val="24"/>
          <w:lang w:val="en-US" w:eastAsia="zh-CN" w:bidi="zh-CN"/>
        </w:rPr>
        <w:t xml:space="preserve">和</w:t>
      </w:r>
      <w:r>
        <w:rPr>
          <w:rFonts w:hint="eastAsia" w:ascii="宋体" w:hAnsi="宋体" w:cs="宋体"/>
          <w:sz w:val="24"/>
          <w:szCs w:val="24"/>
          <w:lang w:val="en-US" w:eastAsia="zh-CN" w:bidi="zh-CN"/>
        </w:rPr>
        <w:t xml:space="preserve">卖方</w:t>
      </w:r>
      <w:r>
        <w:rPr>
          <w:rFonts w:hint="eastAsia" w:ascii="宋体" w:hAnsi="宋体" w:eastAsia="宋体" w:cs="宋体"/>
          <w:sz w:val="24"/>
          <w:szCs w:val="24"/>
          <w:lang w:val="en-US" w:eastAsia="zh-CN" w:bidi="zh-CN"/>
        </w:rPr>
        <w:t xml:space="preserve">商定的其他必要文</w:t>
      </w:r>
      <w:r>
        <w:rPr>
          <w:rFonts w:hint="eastAsia" w:ascii="宋体" w:hAnsi="宋体" w:eastAsia="宋体" w:cs="宋体"/>
          <w:sz w:val="24"/>
          <w:szCs w:val="24"/>
          <w:highlight w:val="none"/>
          <w:lang w:val="en-US" w:eastAsia="zh-CN" w:bidi="zh-CN"/>
        </w:rPr>
        <w:t xml:space="preserve">件。</w:t>
      </w:r>
      <w:r/>
    </w:p>
    <w:p>
      <w:pPr>
        <w:pStyle w:val="753"/>
        <w:numPr>
          <w:ilvl w:val="0"/>
          <w:numId w:val="0"/>
        </w:numPr>
        <w:ind w:right="0"/>
        <w:jc w:val="left"/>
        <w:keepLines w:val="0"/>
        <w:keepNext w:val="0"/>
        <w:pageBreakBefore w:val="0"/>
        <w:spacing w:line="360" w:lineRule="auto"/>
        <w:widowControl w:val="off"/>
        <w:tabs>
          <w:tab w:val="left" w:pos="976" w:leader="none"/>
        </w:tabs>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二、合同金额</w:t>
      </w:r>
      <w:r>
        <w:rPr>
          <w:rFonts w:hint="eastAsia" w:ascii="宋体" w:hAnsi="宋体" w:cs="宋体"/>
          <w:b/>
          <w:bCs/>
          <w:sz w:val="24"/>
          <w:szCs w:val="24"/>
          <w:highlight w:val="none"/>
          <w:lang w:val="en-US" w:eastAsia="zh-CN"/>
        </w:rPr>
        <w:t xml:space="preserve">与支付</w:t>
      </w:r>
      <w:r/>
    </w:p>
    <w:p>
      <w:pPr>
        <w:ind w:right="0" w:firstLine="480"/>
        <w:jc w:val="left"/>
        <w:keepLines w:val="0"/>
        <w:keepNext w:val="0"/>
        <w:pageBreakBefore w:val="0"/>
        <w:spacing w:line="360" w:lineRule="auto"/>
        <w:widowControl w:val="off"/>
        <w:rPr>
          <w:rFonts w:hint="eastAsia" w:ascii="宋体" w:hAnsi="宋体" w:cs="宋体"/>
          <w:spacing w:val="-3"/>
          <w:sz w:val="24"/>
          <w:szCs w:val="24"/>
          <w:highlight w:val="none"/>
          <w:lang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本合同金额</w:t>
      </w:r>
      <w:r>
        <w:rPr>
          <w:rFonts w:hint="eastAsia" w:ascii="宋体" w:hAnsi="宋体" w:eastAsia="宋体" w:cs="宋体"/>
          <w:spacing w:val="-3"/>
          <w:sz w:val="24"/>
          <w:szCs w:val="24"/>
          <w:highlight w:val="none"/>
        </w:rPr>
        <w:t xml:space="preserve">为</w:t>
      </w:r>
      <w:r>
        <w:rPr>
          <w:rFonts w:hint="eastAsia" w:ascii="宋体" w:hAnsi="宋体" w:eastAsia="宋体" w:cs="宋体"/>
          <w:spacing w:val="-3"/>
          <w:sz w:val="24"/>
          <w:szCs w:val="24"/>
          <w:highlight w:val="none"/>
          <w:lang w:eastAsia="zh-CN"/>
        </w:rPr>
        <w:t xml:space="preserve">：</w:t>
      </w:r>
      <w:r>
        <w:rPr>
          <w:rFonts w:hint="eastAsia" w:ascii="宋体" w:hAnsi="宋体" w:eastAsia="宋体" w:cs="宋体"/>
          <w:sz w:val="24"/>
          <w:szCs w:val="24"/>
          <w:highlight w:val="none"/>
          <w:u w:val="single"/>
          <w:lang w:val="en-US" w:eastAsia="zh-CN"/>
        </w:rPr>
        <w:t xml:space="preserve">人民币</w:t>
      </w:r>
      <w:r>
        <w:rPr>
          <w:rFonts w:hint="eastAsia" w:ascii="宋体" w:hAnsi="宋体" w:eastAsia="宋体" w:cs="宋体"/>
          <w:spacing w:val="-3"/>
          <w:sz w:val="24"/>
          <w:szCs w:val="24"/>
          <w:highlight w:val="none"/>
          <w:u w:val="single"/>
        </w:rPr>
        <w:t xml:space="preserve"> </w:t>
      </w:r>
      <w:r>
        <w:rPr>
          <w:rFonts w:hint="eastAsia" w:ascii="宋体" w:hAnsi="宋体" w:eastAsia="宋体" w:cs="宋体"/>
          <w:spacing w:val="-3"/>
          <w:sz w:val="24"/>
          <w:szCs w:val="24"/>
          <w:highlight w:val="none"/>
          <w:u w:val="single"/>
          <w:lang w:val="en-US" w:eastAsia="zh-CN"/>
        </w:rPr>
        <w:t xml:space="preserve">        </w:t>
      </w:r>
      <w:r>
        <w:rPr>
          <w:rFonts w:hint="eastAsia" w:ascii="宋体" w:hAnsi="宋体" w:eastAsia="宋体" w:cs="宋体"/>
          <w:spacing w:val="-3"/>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pacing w:val="-3"/>
          <w:sz w:val="24"/>
          <w:szCs w:val="24"/>
          <w:highlight w:val="none"/>
          <w:u w:val="single"/>
        </w:rPr>
        <w:t xml:space="preserve">）</w:t>
      </w:r>
      <w:r>
        <w:rPr>
          <w:rFonts w:hint="eastAsia" w:ascii="宋体" w:hAnsi="宋体" w:eastAsia="宋体" w:cs="宋体"/>
          <w:spacing w:val="-3"/>
          <w:sz w:val="24"/>
          <w:szCs w:val="24"/>
          <w:highlight w:val="none"/>
        </w:rPr>
        <w:t xml:space="preserve">。分项价格详见卖方提交的报价明细表</w:t>
      </w:r>
      <w:r>
        <w:rPr>
          <w:rFonts w:hint="eastAsia" w:ascii="宋体" w:hAnsi="宋体" w:cs="宋体"/>
          <w:spacing w:val="-3"/>
          <w:sz w:val="24"/>
          <w:szCs w:val="24"/>
          <w:highlight w:val="none"/>
          <w:lang w:eastAsia="zh-CN"/>
        </w:rPr>
        <w:t xml:space="preserve">。</w:t>
      </w:r>
      <w:r/>
    </w:p>
    <w:p>
      <w:pPr>
        <w:ind w:right="0" w:firstLine="468"/>
        <w:jc w:val="left"/>
        <w:keepLines w:val="0"/>
        <w:keepNext w:val="0"/>
        <w:pageBreakBefore w:val="0"/>
        <w:spacing w:line="360" w:lineRule="auto"/>
        <w:widowControl w:val="off"/>
        <w:rPr>
          <w:rStyle w:val="731"/>
          <w:rFonts w:hint="eastAsia" w:ascii="宋体" w:hAnsi="宋体" w:cs="宋体"/>
          <w:b w:val="0"/>
          <w:bCs w:val="0"/>
          <w:color w:val="auto"/>
          <w:sz w:val="24"/>
          <w:szCs w:val="24"/>
          <w:highlight w:val="none"/>
          <w:u w:val="none"/>
          <w:lang w:val="en-US" w:eastAsia="zh-CN" w:bidi="ar"/>
        </w:rPr>
      </w:pPr>
      <w:r>
        <w:rPr>
          <w:rFonts w:hint="eastAsia" w:ascii="宋体" w:hAnsi="宋体" w:eastAsia="宋体" w:cs="宋体"/>
          <w:spacing w:val="-3"/>
          <w:sz w:val="24"/>
          <w:szCs w:val="24"/>
          <w:highlight w:val="none"/>
          <w:lang w:val="en-US" w:eastAsia="zh-CN"/>
        </w:rPr>
        <w:t xml:space="preserve">2.付款方式：</w:t>
      </w:r>
      <w:r>
        <w:rPr>
          <w:rStyle w:val="731"/>
          <w:rFonts w:hint="eastAsia" w:ascii="宋体" w:hAnsi="宋体" w:eastAsia="宋体" w:cs="宋体"/>
          <w:b w:val="0"/>
          <w:bCs w:val="0"/>
          <w:color w:val="1f2329"/>
          <w:sz w:val="24"/>
          <w:szCs w:val="24"/>
          <w:highlight w:val="none"/>
          <w:lang w:val="en-US" w:eastAsia="zh-CN" w:bidi="ar"/>
        </w:rPr>
        <w:t xml:space="preserve">合同签订后预付合同价款的40%，项目全部供货、安装、调试、验收合格并正式交付使用后，采购人支付合同价款的60%尾款。如因财政审批导致的迟延支付，采购人不承担迟延支付的违约责任，付款进度以财政资金下款时间为准。</w:t>
      </w:r>
      <w:r>
        <w:rPr>
          <w:rStyle w:val="731"/>
          <w:rFonts w:hint="eastAsia" w:ascii="宋体" w:hAnsi="宋体" w:cs="宋体"/>
          <w:b w:val="0"/>
          <w:bCs w:val="0"/>
          <w:color w:val="auto"/>
          <w:sz w:val="24"/>
          <w:szCs w:val="24"/>
          <w:highlight w:val="none"/>
          <w:u w:val="none"/>
          <w:lang w:val="en-US" w:eastAsia="zh-CN" w:bidi="ar"/>
        </w:rPr>
        <w:t xml:space="preserve">卖方在请求付款前应当提供足额发票。</w:t>
      </w:r>
      <w:r/>
    </w:p>
    <w:p>
      <w:pPr>
        <w:numPr>
          <w:ilvl w:val="0"/>
          <w:numId w:val="0"/>
        </w:numPr>
        <w:ind w:right="0"/>
        <w:jc w:val="left"/>
        <w:keepLines w:val="0"/>
        <w:keepNext w:val="0"/>
        <w:pageBreakBefore w:val="0"/>
        <w:spacing w:line="360" w:lineRule="auto"/>
        <w:widowControl w:val="off"/>
        <w:rPr>
          <w:rFonts w:hint="eastAsia" w:ascii="宋体" w:hAnsi="宋体" w:cs="宋体"/>
          <w:b/>
          <w:bCs w:val="0"/>
          <w:spacing w:val="-5"/>
          <w:sz w:val="24"/>
          <w:szCs w:val="24"/>
          <w:highlight w:val="none"/>
          <w:lang w:val="en-US" w:eastAsia="zh-CN"/>
        </w:rPr>
      </w:pPr>
      <w:r>
        <w:rPr>
          <w:rFonts w:hint="eastAsia" w:ascii="宋体" w:hAnsi="宋体" w:cs="宋体"/>
          <w:b/>
          <w:bCs w:val="0"/>
          <w:spacing w:val="-5"/>
          <w:sz w:val="24"/>
          <w:szCs w:val="24"/>
          <w:highlight w:val="none"/>
          <w:lang w:val="en-US" w:eastAsia="zh-CN"/>
        </w:rPr>
        <w:t xml:space="preserve">三、交货时间和地点</w:t>
      </w:r>
      <w:r/>
    </w:p>
    <w:p>
      <w:pPr>
        <w:numPr>
          <w:ilvl w:val="0"/>
          <w:numId w:val="0"/>
        </w:numPr>
        <w:ind w:right="0" w:firstLine="460"/>
        <w:jc w:val="left"/>
        <w:keepLines w:val="0"/>
        <w:keepNext w:val="0"/>
        <w:pageBreakBefore w:val="0"/>
        <w:spacing w:line="360" w:lineRule="auto"/>
        <w:widowControl w:val="off"/>
        <w:rPr>
          <w:rFonts w:hint="eastAsia" w:ascii="宋体" w:hAnsi="宋体" w:eastAsia="宋体" w:cs="宋体"/>
          <w:b w:val="0"/>
          <w:bCs/>
          <w:spacing w:val="-5"/>
          <w:sz w:val="24"/>
          <w:szCs w:val="24"/>
          <w:highlight w:val="none"/>
          <w:lang w:eastAsia="zh-CN"/>
        </w:rPr>
      </w:pPr>
      <w:r>
        <w:rPr>
          <w:rFonts w:hint="eastAsia" w:ascii="宋体" w:hAnsi="宋体" w:eastAsia="宋体" w:cs="宋体"/>
          <w:b w:val="0"/>
          <w:bCs/>
          <w:spacing w:val="-5"/>
          <w:sz w:val="24"/>
          <w:szCs w:val="24"/>
          <w:highlight w:val="none"/>
          <w:lang w:eastAsia="zh-CN"/>
        </w:rPr>
        <w:t xml:space="preserve">本合同交货时间和地点在“合同条款前附表”中有明确规定。</w:t>
      </w:r>
      <w:r/>
    </w:p>
    <w:p>
      <w:pPr>
        <w:numPr>
          <w:ilvl w:val="0"/>
          <w:numId w:val="5"/>
        </w:numPr>
        <w:ind w:right="0"/>
        <w:jc w:val="left"/>
        <w:keepLines w:val="0"/>
        <w:keepNext w:val="0"/>
        <w:pageBreakBefore w:val="0"/>
        <w:spacing w:line="360" w:lineRule="auto"/>
        <w:widowControl w:val="off"/>
        <w:rPr>
          <w:rFonts w:hint="eastAsia" w:ascii="宋体" w:hAnsi="宋体" w:eastAsia="宋体" w:cs="宋体"/>
          <w:b/>
          <w:bCs w:val="0"/>
          <w:spacing w:val="-5"/>
          <w:sz w:val="24"/>
          <w:szCs w:val="24"/>
          <w:highlight w:val="none"/>
          <w:lang w:val="en-US" w:eastAsia="zh-CN"/>
        </w:rPr>
      </w:pPr>
      <w:r>
        <w:rPr>
          <w:rFonts w:hint="eastAsia" w:ascii="宋体" w:hAnsi="宋体" w:eastAsia="宋体" w:cs="宋体"/>
          <w:b/>
          <w:bCs w:val="0"/>
          <w:spacing w:val="-5"/>
          <w:sz w:val="24"/>
          <w:szCs w:val="24"/>
          <w:highlight w:val="none"/>
          <w:lang w:val="en-US" w:eastAsia="zh-CN"/>
        </w:rPr>
        <w:t xml:space="preserve">质量标准</w:t>
      </w:r>
      <w:r/>
    </w:p>
    <w:p>
      <w:pPr>
        <w:numPr>
          <w:ilvl w:val="0"/>
          <w:numId w:val="0"/>
        </w:numPr>
        <w:ind w:right="0" w:firstLine="460"/>
        <w:jc w:val="left"/>
        <w:keepLines w:val="0"/>
        <w:keepNext w:val="0"/>
        <w:pageBreakBefore w:val="0"/>
        <w:spacing w:line="360" w:lineRule="auto"/>
        <w:widowControl w:val="off"/>
        <w:rPr>
          <w:rFonts w:hint="eastAsia" w:ascii="宋体" w:hAnsi="宋体" w:cs="宋体"/>
          <w:b w:val="0"/>
          <w:bCs/>
          <w:spacing w:val="-5"/>
          <w:sz w:val="24"/>
          <w:szCs w:val="24"/>
          <w:highlight w:val="none"/>
          <w:lang w:val="en-US" w:eastAsia="zh-CN"/>
        </w:rPr>
      </w:pPr>
      <w:r>
        <w:rPr>
          <w:rFonts w:hint="eastAsia" w:ascii="宋体" w:hAnsi="宋体" w:cs="宋体"/>
          <w:b w:val="0"/>
          <w:bCs/>
          <w:spacing w:val="-5"/>
          <w:sz w:val="24"/>
          <w:szCs w:val="24"/>
          <w:highlight w:val="none"/>
          <w:lang w:val="en-US" w:eastAsia="zh-CN"/>
        </w:rPr>
        <w:t xml:space="preserve">合格。</w:t>
      </w:r>
      <w:r/>
    </w:p>
    <w:p>
      <w:pPr>
        <w:numPr>
          <w:ilvl w:val="0"/>
          <w:numId w:val="0"/>
        </w:numPr>
        <w:ind w:right="0"/>
        <w:jc w:val="left"/>
        <w:keepLines w:val="0"/>
        <w:keepNext w:val="0"/>
        <w:pageBreakBefore w:val="0"/>
        <w:spacing w:line="360" w:lineRule="auto"/>
        <w:widowControl w:val="off"/>
        <w:rPr>
          <w:rFonts w:hint="eastAsia" w:ascii="宋体" w:hAnsi="宋体" w:cs="宋体"/>
          <w:b/>
          <w:bCs w:val="0"/>
          <w:spacing w:val="-5"/>
          <w:sz w:val="24"/>
          <w:szCs w:val="24"/>
          <w:highlight w:val="none"/>
          <w:lang w:val="en-US" w:eastAsia="zh-CN"/>
        </w:rPr>
      </w:pPr>
      <w:r>
        <w:rPr>
          <w:rFonts w:hint="eastAsia" w:ascii="宋体" w:hAnsi="宋体" w:cs="宋体"/>
          <w:b/>
          <w:bCs w:val="0"/>
          <w:spacing w:val="-5"/>
          <w:sz w:val="24"/>
          <w:szCs w:val="24"/>
          <w:highlight w:val="none"/>
          <w:lang w:val="en-US" w:eastAsia="zh-CN"/>
        </w:rPr>
        <w:t xml:space="preserve">五、质保期</w:t>
      </w:r>
      <w:r/>
    </w:p>
    <w:p>
      <w:pPr>
        <w:numPr>
          <w:ilvl w:val="0"/>
          <w:numId w:val="0"/>
        </w:numPr>
        <w:ind w:right="0" w:firstLine="460"/>
        <w:jc w:val="left"/>
        <w:keepLines w:val="0"/>
        <w:keepNext w:val="0"/>
        <w:pageBreakBefore w:val="0"/>
        <w:spacing w:line="360" w:lineRule="auto"/>
        <w:widowControl w:val="off"/>
        <w:rPr>
          <w:rFonts w:hint="default" w:ascii="宋体" w:hAnsi="宋体" w:eastAsia="宋体" w:cs="宋体"/>
          <w:b w:val="0"/>
          <w:bCs/>
          <w:spacing w:val="-5"/>
          <w:sz w:val="24"/>
          <w:szCs w:val="24"/>
          <w:highlight w:val="none"/>
          <w:lang w:val="en-US" w:eastAsia="zh-CN"/>
        </w:rPr>
      </w:pPr>
      <w:r>
        <w:rPr>
          <w:rFonts w:hint="eastAsia" w:ascii="宋体" w:hAnsi="宋体" w:cs="宋体"/>
          <w:b w:val="0"/>
          <w:bCs/>
          <w:spacing w:val="-5"/>
          <w:sz w:val="24"/>
          <w:szCs w:val="24"/>
          <w:highlight w:val="none"/>
          <w:lang w:val="en-US" w:eastAsia="zh-CN"/>
        </w:rPr>
        <w:t xml:space="preserve">免费质保期：</w:t>
      </w:r>
      <w:r>
        <w:rPr>
          <w:rFonts w:hint="eastAsia" w:ascii="宋体" w:hAnsi="宋体" w:eastAsia="宋体" w:cs="宋体"/>
          <w:spacing w:val="-3"/>
          <w:sz w:val="24"/>
          <w:szCs w:val="24"/>
          <w:highlight w:val="none"/>
          <w:lang w:val="en-US" w:eastAsia="zh-CN"/>
        </w:rPr>
        <w:t xml:space="preserve">     </w:t>
      </w:r>
      <w:r>
        <w:rPr>
          <w:rFonts w:hint="eastAsia" w:ascii="宋体" w:hAnsi="宋体" w:cs="宋体"/>
          <w:b w:val="0"/>
          <w:bCs/>
          <w:spacing w:val="-5"/>
          <w:sz w:val="24"/>
          <w:szCs w:val="24"/>
          <w:highlight w:val="none"/>
          <w:lang w:val="en-US" w:eastAsia="zh-CN"/>
        </w:rPr>
        <w:t xml:space="preserve">年。免费质保期间，卖方免费包维修、保养、安检、调换等；对于买方人为原因造成的故障，卖方只收取维保成本费用。</w:t>
      </w:r>
      <w:r/>
    </w:p>
    <w:p>
      <w:pPr>
        <w:numPr>
          <w:ilvl w:val="0"/>
          <w:numId w:val="0"/>
        </w:numPr>
        <w:ind w:right="0"/>
        <w:jc w:val="left"/>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cs="宋体"/>
          <w:b/>
          <w:sz w:val="24"/>
          <w:szCs w:val="24"/>
          <w:highlight w:val="none"/>
          <w:lang w:val="en-US" w:eastAsia="zh-CN"/>
        </w:rPr>
        <w:t xml:space="preserve">六</w:t>
      </w:r>
      <w:r>
        <w:rPr>
          <w:rFonts w:hint="eastAsia" w:ascii="宋体" w:hAnsi="宋体" w:eastAsia="宋体" w:cs="宋体"/>
          <w:b/>
          <w:sz w:val="24"/>
          <w:szCs w:val="24"/>
          <w:highlight w:val="none"/>
        </w:rPr>
        <w:t xml:space="preserve">、技术要求</w:t>
      </w:r>
      <w:r/>
    </w:p>
    <w:p>
      <w:pPr>
        <w:numPr>
          <w:ilvl w:val="0"/>
          <w:numId w:val="0"/>
        </w:numPr>
        <w:ind w:right="0" w:firstLine="480"/>
        <w:jc w:val="left"/>
        <w:keepLines w:val="0"/>
        <w:keepNext w:val="0"/>
        <w:pageBreakBefore w:val="0"/>
        <w:spacing w:line="360" w:lineRule="auto"/>
        <w:widowControl w:val="off"/>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按照采购文件</w:t>
      </w:r>
      <w:r>
        <w:rPr>
          <w:rFonts w:hint="eastAsia" w:ascii="宋体" w:hAnsi="宋体" w:eastAsia="宋体" w:cs="宋体"/>
          <w:b w:val="0"/>
          <w:bCs/>
          <w:sz w:val="24"/>
          <w:szCs w:val="24"/>
          <w:highlight w:val="none"/>
          <w:lang w:val="en-US" w:eastAsia="zh-CN"/>
        </w:rPr>
        <w:t xml:space="preserve">第五章项目采购</w:t>
      </w:r>
      <w:r>
        <w:rPr>
          <w:rFonts w:hint="eastAsia" w:ascii="宋体" w:hAnsi="宋体" w:eastAsia="宋体" w:cs="宋体"/>
          <w:b w:val="0"/>
          <w:bCs/>
          <w:sz w:val="24"/>
          <w:szCs w:val="24"/>
          <w:highlight w:val="none"/>
        </w:rPr>
        <w:t xml:space="preserve">需求</w:t>
      </w:r>
      <w:r>
        <w:rPr>
          <w:rFonts w:hint="eastAsia" w:ascii="宋体" w:hAnsi="宋体" w:eastAsia="宋体" w:cs="宋体"/>
          <w:b w:val="0"/>
          <w:bCs/>
          <w:sz w:val="24"/>
          <w:szCs w:val="24"/>
          <w:highlight w:val="none"/>
          <w:lang w:eastAsia="zh-CN"/>
        </w:rPr>
        <w:t xml:space="preserve">的要求执行。</w:t>
      </w:r>
      <w:r/>
    </w:p>
    <w:p>
      <w:pPr>
        <w:numPr>
          <w:ilvl w:val="0"/>
          <w:numId w:val="0"/>
        </w:numPr>
        <w:ind w:right="0"/>
        <w:jc w:val="left"/>
        <w:keepLines w:val="0"/>
        <w:keepNext w:val="0"/>
        <w:pageBreakBefore w:val="0"/>
        <w:spacing w:line="360" w:lineRule="auto"/>
        <w:widowControl w:val="off"/>
        <w:rPr>
          <w:rFonts w:hint="default" w:ascii="宋体" w:hAnsi="宋体" w:cs="宋体"/>
          <w:b/>
          <w:bCs/>
          <w:sz w:val="24"/>
          <w:highlight w:val="none"/>
          <w:lang w:val="en-US" w:eastAsia="zh-CN"/>
        </w:rPr>
      </w:pPr>
      <w:r>
        <w:rPr>
          <w:rFonts w:hint="eastAsia" w:ascii="宋体" w:hAnsi="宋体" w:cs="宋体"/>
          <w:b/>
          <w:bCs/>
          <w:sz w:val="24"/>
          <w:highlight w:val="none"/>
          <w:lang w:val="en-US" w:eastAsia="zh-CN"/>
        </w:rPr>
        <w:t xml:space="preserve">七、“首件产品验收”环节：</w:t>
      </w:r>
      <w:r/>
    </w:p>
    <w:p>
      <w:pPr>
        <w:numPr>
          <w:ilvl w:val="0"/>
          <w:numId w:val="0"/>
        </w:numPr>
        <w:ind w:right="0" w:firstLine="480"/>
        <w:jc w:val="left"/>
        <w:keepLines w:val="0"/>
        <w:keepNext w:val="0"/>
        <w:pageBreakBefore w:val="0"/>
        <w:spacing w:line="360" w:lineRule="auto"/>
        <w:widowControl w:val="off"/>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1.卖方供货前，提供完整篮球架和乒乓球桌各一套，提交买方验收</w:t>
      </w:r>
      <w:r>
        <w:rPr>
          <w:rFonts w:hint="eastAsia" w:ascii="宋体" w:hAnsi="宋体" w:cs="宋体"/>
          <w:b w:val="0"/>
          <w:bCs w:val="0"/>
          <w:color w:val="auto"/>
          <w:sz w:val="24"/>
          <w:highlight w:val="none"/>
          <w:lang w:val="en-US" w:eastAsia="zh-CN"/>
        </w:rPr>
        <w:t xml:space="preserve">，样品</w:t>
      </w:r>
      <w:r>
        <w:rPr>
          <w:rFonts w:hint="eastAsia" w:ascii="宋体" w:hAnsi="宋体" w:cs="宋体"/>
          <w:b/>
          <w:bCs/>
          <w:color w:val="auto"/>
          <w:sz w:val="24"/>
          <w:highlight w:val="none"/>
          <w:u w:val="single"/>
          <w:lang w:val="en-US" w:eastAsia="zh-CN"/>
        </w:rPr>
        <w:t xml:space="preserve">书面</w:t>
      </w:r>
      <w:r>
        <w:rPr>
          <w:rFonts w:hint="eastAsia" w:ascii="宋体" w:hAnsi="宋体" w:cs="宋体"/>
          <w:b w:val="0"/>
          <w:bCs w:val="0"/>
          <w:color w:val="auto"/>
          <w:sz w:val="24"/>
          <w:highlight w:val="none"/>
          <w:lang w:val="en-US" w:eastAsia="zh-CN"/>
        </w:rPr>
        <w:t xml:space="preserve">确认</w:t>
      </w:r>
      <w:r>
        <w:rPr>
          <w:rFonts w:hint="eastAsia" w:ascii="宋体" w:hAnsi="宋体" w:cs="宋体"/>
          <w:b w:val="0"/>
          <w:bCs w:val="0"/>
          <w:sz w:val="24"/>
          <w:highlight w:val="none"/>
          <w:lang w:val="en-US" w:eastAsia="zh-CN"/>
        </w:rPr>
        <w:t xml:space="preserve">合格后方可批量供货。</w:t>
      </w:r>
      <w:r/>
    </w:p>
    <w:p>
      <w:pPr>
        <w:numPr>
          <w:ilvl w:val="0"/>
          <w:numId w:val="0"/>
        </w:numPr>
        <w:ind w:right="0" w:firstLine="480"/>
        <w:jc w:val="left"/>
        <w:keepLines w:val="0"/>
        <w:keepNext w:val="0"/>
        <w:pageBreakBefore w:val="0"/>
        <w:spacing w:line="360" w:lineRule="auto"/>
        <w:widowControl w:val="off"/>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2.样品不合格的，按合同约定的违约责任处理。</w:t>
      </w:r>
      <w:r/>
    </w:p>
    <w:p>
      <w:pPr>
        <w:numPr>
          <w:ilvl w:val="0"/>
          <w:numId w:val="0"/>
        </w:numPr>
        <w:ind w:right="0"/>
        <w:jc w:val="left"/>
        <w:keepLines w:val="0"/>
        <w:keepNext w:val="0"/>
        <w:pageBreakBefore w:val="0"/>
        <w:spacing w:line="360" w:lineRule="auto"/>
        <w:widowControl w:val="off"/>
        <w:rPr>
          <w:rFonts w:ascii="宋体" w:hAnsi="宋体" w:cs="宋体"/>
          <w:b/>
          <w:bCs/>
          <w:sz w:val="24"/>
          <w:highlight w:val="none"/>
        </w:rPr>
      </w:pPr>
      <w:r>
        <w:rPr>
          <w:rFonts w:hint="eastAsia" w:ascii="宋体" w:hAnsi="宋体" w:cs="宋体"/>
          <w:b/>
          <w:bCs/>
          <w:sz w:val="24"/>
          <w:highlight w:val="none"/>
          <w:lang w:val="en-US" w:eastAsia="zh-CN"/>
        </w:rPr>
        <w:t xml:space="preserve">八、</w:t>
      </w:r>
      <w:r>
        <w:rPr>
          <w:rFonts w:ascii="宋体" w:hAnsi="宋体" w:cs="宋体"/>
          <w:b/>
          <w:bCs/>
          <w:sz w:val="24"/>
          <w:highlight w:val="none"/>
        </w:rPr>
        <w:t xml:space="preserve">质量与验收： </w:t>
      </w:r>
      <w:r/>
    </w:p>
    <w:p>
      <w:pPr>
        <w:ind w:firstLine="480"/>
        <w:jc w:val="left"/>
        <w:keepLines w:val="0"/>
        <w:keepNext w:val="0"/>
        <w:pageBreakBefore w:val="0"/>
        <w:spacing w:line="360" w:lineRule="auto"/>
        <w:rPr>
          <w:rFonts w:hint="eastAsia" w:ascii="宋体" w:hAnsi="宋体" w:cs="宋体"/>
          <w:sz w:val="24"/>
          <w:highlight w:val="none"/>
        </w:rPr>
      </w:pPr>
      <w:r>
        <w:rPr>
          <w:rFonts w:hint="eastAsia" w:ascii="宋体" w:hAnsi="宋体" w:cs="宋体"/>
          <w:sz w:val="24"/>
          <w:highlight w:val="none"/>
        </w:rPr>
        <w:t xml:space="preserve">1.卖方应按照</w:t>
      </w: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的有关规定提供合格产品； </w:t>
      </w:r>
      <w:r/>
    </w:p>
    <w:p>
      <w:pPr>
        <w:ind w:firstLine="480"/>
        <w:jc w:val="left"/>
        <w:keepLines w:val="0"/>
        <w:keepNext w:val="0"/>
        <w:pageBreakBefore w:val="0"/>
        <w:spacing w:line="360" w:lineRule="auto"/>
        <w:rPr>
          <w:rFonts w:hint="eastAsia" w:ascii="宋体" w:hAnsi="宋体" w:cs="宋体"/>
          <w:sz w:val="24"/>
          <w:highlight w:val="none"/>
        </w:rPr>
      </w:pPr>
      <w:r>
        <w:rPr>
          <w:rFonts w:hint="eastAsia" w:ascii="宋体" w:hAnsi="宋体" w:cs="宋体"/>
          <w:sz w:val="24"/>
          <w:highlight w:val="none"/>
        </w:rPr>
        <w:t xml:space="preserve">2.质量出现问题，卖方负责调试、维护，费用由卖方承担； </w:t>
      </w:r>
      <w:r/>
    </w:p>
    <w:p>
      <w:pPr>
        <w:ind w:firstLine="480"/>
        <w:jc w:val="left"/>
        <w:keepLines w:val="0"/>
        <w:keepNext w:val="0"/>
        <w:pageBreakBefore w:val="0"/>
        <w:spacing w:line="360" w:lineRule="auto"/>
        <w:rPr>
          <w:rFonts w:hint="default" w:ascii="宋体" w:hAnsi="宋体" w:eastAsia="宋体" w:cs="宋体"/>
          <w:b/>
          <w:bCs/>
          <w:color w:val="auto"/>
          <w:sz w:val="24"/>
          <w:highlight w:val="none"/>
          <w:u w:val="single"/>
          <w:lang w:val="en-US" w:eastAsia="zh-CN"/>
        </w:rPr>
      </w:pPr>
      <w:r>
        <w:rPr>
          <w:rFonts w:hint="eastAsia" w:ascii="宋体" w:hAnsi="宋体" w:cs="宋体"/>
          <w:sz w:val="24"/>
          <w:highlight w:val="none"/>
        </w:rPr>
        <w:t xml:space="preserve">3.验收标准：根据相关规定并按国家相关标准进行验收通过</w:t>
      </w:r>
      <w:r>
        <w:rPr>
          <w:rFonts w:hint="eastAsia" w:ascii="宋体" w:hAnsi="宋体" w:cs="宋体"/>
          <w:color w:val="auto"/>
          <w:sz w:val="24"/>
          <w:highlight w:val="none"/>
        </w:rPr>
        <w:t xml:space="preserve">。</w:t>
      </w:r>
      <w:r>
        <w:rPr>
          <w:rFonts w:hint="eastAsia" w:ascii="宋体" w:hAnsi="宋体" w:cs="宋体"/>
          <w:b/>
          <w:bCs/>
          <w:color w:val="auto"/>
          <w:sz w:val="24"/>
          <w:highlight w:val="none"/>
          <w:u w:val="single"/>
          <w:lang w:val="en-US" w:eastAsia="zh-CN"/>
        </w:rPr>
        <w:t xml:space="preserve">验收过程中如发现货物质量、安装调试结果不符合合同约定，卖方应当在完成整改后提请二次验收；二次验收仍不合格的，买方有权解除合同并要求卖方返还已经支付的全部款项，在整改以及验收不合格导致产生的费用由卖方承担。</w:t>
      </w:r>
      <w:r/>
    </w:p>
    <w:p>
      <w:pPr>
        <w:ind w:firstLine="480"/>
        <w:jc w:val="left"/>
        <w:keepLines w:val="0"/>
        <w:keepNext w:val="0"/>
        <w:pageBreakBefore w:val="0"/>
        <w:spacing w:line="360" w:lineRule="auto"/>
        <w:rPr>
          <w:rFonts w:hint="eastAsia" w:ascii="宋体" w:hAnsi="宋体" w:cs="宋体"/>
          <w:sz w:val="24"/>
          <w:highlight w:val="none"/>
        </w:rPr>
      </w:pPr>
      <w:r>
        <w:rPr>
          <w:rFonts w:hint="eastAsia" w:ascii="宋体" w:hAnsi="宋体" w:cs="宋体"/>
          <w:sz w:val="24"/>
          <w:highlight w:val="none"/>
        </w:rPr>
        <w:t xml:space="preserve">4.卖方交付验收时应先用书面、传真等方式通告买方；</w:t>
      </w:r>
      <w:r/>
    </w:p>
    <w:p>
      <w:pPr>
        <w:ind w:firstLine="480"/>
        <w:jc w:val="left"/>
        <w:keepLines w:val="0"/>
        <w:keepNext w:val="0"/>
        <w:pageBreakBefore w:val="0"/>
        <w:spacing w:line="360" w:lineRule="auto"/>
        <w:rPr>
          <w:rFonts w:hint="eastAsia" w:ascii="宋体" w:hAnsi="宋体" w:cs="宋体"/>
          <w:sz w:val="24"/>
          <w:highlight w:val="none"/>
        </w:rPr>
      </w:pPr>
      <w:r>
        <w:rPr>
          <w:rFonts w:hint="eastAsia" w:ascii="宋体" w:hAnsi="宋体" w:cs="宋体"/>
          <w:sz w:val="24"/>
          <w:highlight w:val="none"/>
        </w:rPr>
        <w:t xml:space="preserve">5.卖方必须严格按照投标时所提供的材料和承诺书执行，如发现未按投标材料和承诺执行，买方有权将对其进行处罚。</w:t>
      </w:r>
      <w:r/>
    </w:p>
    <w:p>
      <w:pPr>
        <w:ind w:firstLine="480"/>
        <w:jc w:val="left"/>
        <w:keepLines w:val="0"/>
        <w:keepNext w:val="0"/>
        <w:pageBreakBefore w:val="0"/>
        <w:spacing w:line="360" w:lineRule="auto"/>
        <w:rPr>
          <w:rFonts w:hint="eastAsia" w:ascii="宋体" w:hAnsi="宋体" w:eastAsia="宋体" w:cs="宋体"/>
          <w:sz w:val="24"/>
          <w:highlight w:val="none"/>
        </w:rPr>
      </w:pPr>
      <w:r>
        <w:rPr>
          <w:rFonts w:ascii="宋体" w:hAnsi="宋体" w:cs="宋体"/>
          <w:sz w:val="24"/>
          <w:highlight w:val="none"/>
        </w:rPr>
        <w:t xml:space="preserve">6.卖方必须严格按照</w:t>
      </w:r>
      <w:r>
        <w:rPr>
          <w:rFonts w:hint="eastAsia" w:ascii="宋体" w:hAnsi="宋体" w:cs="宋体"/>
          <w:sz w:val="24"/>
          <w:highlight w:val="none"/>
          <w:lang w:eastAsia="zh-CN"/>
        </w:rPr>
        <w:t xml:space="preserve">采购文件</w:t>
      </w:r>
      <w:r>
        <w:rPr>
          <w:rFonts w:ascii="宋体" w:hAnsi="宋体" w:cs="宋体"/>
          <w:sz w:val="24"/>
          <w:highlight w:val="none"/>
        </w:rPr>
        <w:t xml:space="preserve">、投标文件的内容及买方的要求完成项目内容等，如出现无法履约或提供产品不合格的情况，买方有权要求整改，若整改后还无法达到要求并影响项目验</w:t>
      </w:r>
      <w:r>
        <w:rPr>
          <w:rFonts w:hint="eastAsia" w:ascii="宋体" w:hAnsi="宋体" w:eastAsia="宋体" w:cs="宋体"/>
          <w:sz w:val="24"/>
          <w:highlight w:val="none"/>
        </w:rPr>
        <w:t xml:space="preserve">收的，买方有权终止合同，</w:t>
      </w:r>
      <w:r>
        <w:rPr>
          <w:rFonts w:hint="eastAsia" w:ascii="宋体" w:hAnsi="宋体" w:cs="宋体"/>
          <w:sz w:val="24"/>
          <w:highlight w:val="none"/>
          <w:lang w:eastAsia="zh-CN"/>
        </w:rPr>
        <w:t xml:space="preserve">扣除履约保证金并</w:t>
      </w:r>
      <w:r>
        <w:rPr>
          <w:rFonts w:hint="eastAsia" w:ascii="宋体" w:hAnsi="宋体" w:eastAsia="宋体" w:cs="宋体"/>
          <w:sz w:val="24"/>
          <w:highlight w:val="none"/>
        </w:rPr>
        <w:t xml:space="preserve">要求赔偿相应损失。</w:t>
      </w:r>
      <w:r/>
    </w:p>
    <w:p>
      <w:pPr>
        <w:ind w:firstLine="480"/>
        <w:jc w:val="left"/>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7.项目中所有安装耗材、调试、线路等，卖方需供货时自行调整到位，确保项目顺利验收。</w:t>
      </w:r>
      <w:r/>
    </w:p>
    <w:p>
      <w:pPr>
        <w:jc w:val="left"/>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九、</w:t>
      </w:r>
      <w:r>
        <w:rPr>
          <w:rFonts w:hint="eastAsia" w:ascii="宋体" w:hAnsi="宋体" w:cs="宋体"/>
          <w:b/>
          <w:bCs/>
          <w:color w:val="auto"/>
          <w:sz w:val="24"/>
          <w:highlight w:val="none"/>
        </w:rPr>
        <w:t xml:space="preserve">违约责任： </w:t>
      </w:r>
      <w:r/>
    </w:p>
    <w:p>
      <w:pPr>
        <w:ind w:firstLine="480"/>
        <w:jc w:val="left"/>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1买方无正当理由拒收货物的，买方向卖方偿付拒收货款总值的百分之五违约金。</w:t>
      </w:r>
      <w:r/>
    </w:p>
    <w:p>
      <w:pPr>
        <w:ind w:firstLine="480"/>
        <w:jc w:val="left"/>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2.买方无故逾期验收和办理货款支付手续的</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买方应按逾期付款总额每日万分之五向卖方支付违约金。如因财政审批导致的迟延支付，采购人不承担迟延支付的违约责任，付款进度以财政资金下款时间为准。</w:t>
      </w:r>
      <w:r/>
    </w:p>
    <w:p>
      <w:pPr>
        <w:ind w:firstLine="480"/>
        <w:jc w:val="left"/>
        <w:keepLines w:val="0"/>
        <w:keepNext w:val="0"/>
        <w:pageBreakBefore w:val="0"/>
        <w:spacing w:line="360" w:lineRule="auto"/>
        <w:rPr>
          <w:rFonts w:hint="eastAsia" w:ascii="宋体" w:hAnsi="宋体" w:cs="宋体"/>
          <w:sz w:val="24"/>
          <w:highlight w:val="none"/>
        </w:rPr>
      </w:pPr>
      <w:r>
        <w:rPr>
          <w:rFonts w:hint="eastAsia" w:ascii="宋体" w:hAnsi="宋体" w:cs="宋体"/>
          <w:sz w:val="24"/>
          <w:highlight w:val="none"/>
        </w:rPr>
        <w:t xml:space="preserve">3.卖方逾期交付货物的，卖方应按逾期交货总额每日千分之六向买方支付违约金，由买方从待付货款中扣除。逾期超过约定日期10个工作日不能交货的，买方可解除本合同。卖方因逾期交货或因其他违约行为导致买方解除合同的，卖方应向买方支付合同总值5%的违约金，如造成买方损失超过违约金的，超出部分由卖方继续承担赔偿责任。 </w:t>
      </w:r>
      <w:r/>
    </w:p>
    <w:p>
      <w:pPr>
        <w:ind w:firstLine="480"/>
        <w:jc w:val="left"/>
        <w:keepLines w:val="0"/>
        <w:keepNext w:val="0"/>
        <w:pageBreakBefore w:val="0"/>
        <w:spacing w:line="360" w:lineRule="auto"/>
        <w:rPr>
          <w:rFonts w:hint="eastAsia" w:ascii="宋体" w:hAnsi="宋体" w:cs="宋体"/>
          <w:sz w:val="24"/>
          <w:highlight w:val="none"/>
        </w:rPr>
      </w:pPr>
      <w:r>
        <w:rPr>
          <w:rFonts w:hint="eastAsia" w:ascii="宋体" w:hAnsi="宋体" w:cs="宋体"/>
          <w:sz w:val="24"/>
          <w:highlight w:val="none"/>
        </w:rPr>
        <w:t xml:space="preserve">4.卖方所交的货物品种、型号、规格、技术参数、质量不符合合同规定及</w:t>
      </w: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规定标准的，买方有权拒收该货物，卖方愿意更换货物但逾期交货的，按卖方逾期交货处理。卖方拒绝更换货物的，买方可单方面解除合同。</w:t>
      </w:r>
      <w:r/>
    </w:p>
    <w:p>
      <w:pPr>
        <w:ind w:firstLine="480"/>
        <w:jc w:val="left"/>
        <w:keepLines w:val="0"/>
        <w:keepNext w:val="0"/>
        <w:pageBreakBefore w:val="0"/>
        <w:spacing w:line="360" w:lineRule="auto"/>
        <w:rPr>
          <w:rFonts w:hint="eastAsia" w:ascii="宋体" w:hAnsi="宋体" w:cs="宋体"/>
          <w:sz w:val="24"/>
        </w:rPr>
      </w:pPr>
      <w:r>
        <w:rPr>
          <w:rFonts w:hint="eastAsia" w:ascii="宋体" w:hAnsi="宋体" w:cs="宋体"/>
          <w:sz w:val="24"/>
          <w:highlight w:val="none"/>
        </w:rPr>
        <w:t xml:space="preserve">5.由于一方违约造成的损失，由违约方承担，另一方要求违约方继续履行合同时，违约方承担上述违约责任后仍应继续履行合同。</w:t>
      </w:r>
      <w:r>
        <w:rPr>
          <w:rFonts w:hint="eastAsia" w:ascii="宋体" w:hAnsi="宋体" w:cs="宋体"/>
          <w:sz w:val="24"/>
        </w:rPr>
        <w:t xml:space="preserve"> </w:t>
      </w:r>
      <w:r/>
    </w:p>
    <w:p>
      <w:pPr>
        <w:ind w:firstLine="480"/>
        <w:jc w:val="left"/>
        <w:keepLines w:val="0"/>
        <w:keepNext w:val="0"/>
        <w:pageBreakBefore w:val="0"/>
        <w:spacing w:line="360" w:lineRule="auto"/>
        <w:rPr>
          <w:rFonts w:hint="eastAsia" w:ascii="宋体" w:hAnsi="宋体" w:cs="宋体"/>
          <w:sz w:val="24"/>
        </w:rPr>
      </w:pPr>
      <w:r>
        <w:rPr>
          <w:rFonts w:hint="eastAsia" w:ascii="宋体" w:hAnsi="宋体" w:cs="宋体"/>
          <w:sz w:val="24"/>
        </w:rPr>
        <w:t xml:space="preserve">6.由于违约造成第三方损失的，也由违约方在赔偿另一方损失的基础上再赔偿第三方损失。</w:t>
      </w:r>
      <w:r/>
    </w:p>
    <w:p>
      <w:pPr>
        <w:keepLines w:val="0"/>
        <w:keepNext w:val="0"/>
        <w:pageBreakBefore w:val="0"/>
        <w:spacing w:line="360" w:lineRule="auto"/>
        <w:rPr>
          <w:rFonts w:hint="eastAsia" w:ascii="宋体" w:hAnsi="宋体" w:cs="宋体"/>
          <w:b/>
          <w:bCs/>
          <w:sz w:val="24"/>
        </w:rPr>
      </w:pPr>
      <w:r>
        <w:rPr>
          <w:rFonts w:hint="eastAsia" w:ascii="宋体" w:hAnsi="宋体" w:cs="宋体"/>
          <w:b/>
          <w:bCs/>
          <w:sz w:val="24"/>
          <w:lang w:val="en-US" w:eastAsia="zh-CN"/>
        </w:rPr>
        <w:t xml:space="preserve">十、</w:t>
      </w:r>
      <w:r>
        <w:rPr>
          <w:rFonts w:hint="eastAsia" w:ascii="宋体" w:hAnsi="宋体" w:cs="宋体"/>
          <w:b/>
          <w:bCs/>
          <w:sz w:val="24"/>
        </w:rPr>
        <w:t xml:space="preserve">其他约定：</w:t>
      </w:r>
      <w:r/>
    </w:p>
    <w:p>
      <w:pPr>
        <w:ind w:firstLine="480"/>
        <w:jc w:val="left"/>
        <w:keepLines w:val="0"/>
        <w:keepNext w:val="0"/>
        <w:pageBreakBefore w:val="0"/>
        <w:spacing w:line="360" w:lineRule="auto"/>
        <w:rPr>
          <w:rFonts w:hint="eastAsia" w:ascii="宋体" w:hAnsi="宋体" w:cs="宋体"/>
          <w:sz w:val="24"/>
        </w:rPr>
      </w:pPr>
      <w:r>
        <w:rPr>
          <w:rFonts w:hint="eastAsia" w:ascii="宋体" w:hAnsi="宋体" w:cs="宋体"/>
          <w:sz w:val="24"/>
        </w:rPr>
        <w:t xml:space="preserve">1.凡是卖方提供的技术标准证明或产品认证证书必须是真实有效的，如有伪造，按该项</w:t>
      </w:r>
      <w:r>
        <w:rPr>
          <w:rFonts w:hint="eastAsia" w:ascii="宋体" w:hAnsi="宋体" w:cs="宋体"/>
          <w:sz w:val="24"/>
          <w:lang w:eastAsia="zh-CN"/>
        </w:rPr>
        <w:t xml:space="preserve">货物</w:t>
      </w:r>
      <w:r>
        <w:rPr>
          <w:rFonts w:hint="eastAsia" w:ascii="宋体" w:hAnsi="宋体" w:cs="宋体"/>
          <w:sz w:val="24"/>
        </w:rPr>
        <w:t xml:space="preserve">价值3倍罚款。</w:t>
      </w:r>
      <w:r/>
    </w:p>
    <w:p>
      <w:pPr>
        <w:ind w:firstLine="480"/>
        <w:jc w:val="left"/>
        <w:keepLines w:val="0"/>
        <w:keepNext w:val="0"/>
        <w:pageBreakBefore w:val="0"/>
        <w:spacing w:line="360" w:lineRule="auto"/>
        <w:rPr>
          <w:rFonts w:hint="eastAsia" w:ascii="宋体" w:hAnsi="宋体" w:cs="宋体"/>
          <w:sz w:val="24"/>
        </w:rPr>
      </w:pPr>
      <w:r>
        <w:rPr>
          <w:rFonts w:hint="eastAsia" w:ascii="宋体" w:hAnsi="宋体" w:cs="宋体"/>
          <w:sz w:val="24"/>
        </w:rPr>
        <w:t xml:space="preserve">2.卖方在供货时须提供所投产品全国联保售后服务的质保函原件，未提供的，买方有权终止合同，造成的相关损失由卖方承担。</w:t>
      </w:r>
      <w:r/>
    </w:p>
    <w:p>
      <w:pPr>
        <w:jc w:val="left"/>
        <w:keepLines w:val="0"/>
        <w:keepNext w:val="0"/>
        <w:pageBreakBefore w:val="0"/>
        <w:spacing w:line="360" w:lineRule="auto"/>
        <w:rPr>
          <w:rFonts w:hint="eastAsia" w:ascii="宋体" w:hAnsi="宋体" w:cs="宋体"/>
          <w:b/>
          <w:bCs/>
          <w:sz w:val="24"/>
        </w:rPr>
      </w:pPr>
      <w:r>
        <w:rPr>
          <w:rFonts w:hint="eastAsia" w:ascii="宋体" w:hAnsi="宋体" w:cs="宋体"/>
          <w:b/>
          <w:bCs/>
          <w:sz w:val="24"/>
          <w:lang w:val="en-US" w:eastAsia="zh-CN"/>
        </w:rPr>
        <w:t xml:space="preserve">十一、</w:t>
      </w:r>
      <w:r>
        <w:rPr>
          <w:rFonts w:hint="eastAsia" w:ascii="宋体" w:hAnsi="宋体" w:cs="宋体"/>
          <w:b/>
          <w:bCs/>
          <w:sz w:val="24"/>
        </w:rPr>
        <w:t xml:space="preserve">合同纠纷处理</w:t>
      </w:r>
      <w:r/>
    </w:p>
    <w:p>
      <w:pPr>
        <w:ind w:firstLine="360"/>
        <w:jc w:val="left"/>
        <w:keepLines w:val="0"/>
        <w:keepNext w:val="0"/>
        <w:pageBreakBefore w:val="0"/>
        <w:spacing w:line="360" w:lineRule="auto"/>
        <w:rPr>
          <w:rFonts w:hint="eastAsia" w:ascii="宋体" w:hAnsi="宋体" w:cs="宋体"/>
          <w:sz w:val="24"/>
        </w:rPr>
      </w:pPr>
      <w:r>
        <w:rPr>
          <w:rFonts w:hint="eastAsia" w:ascii="宋体" w:hAnsi="宋体" w:cs="宋体"/>
          <w:sz w:val="24"/>
        </w:rPr>
        <w:t xml:space="preserve">本合同签订后所发生的经济纠纷，按照《中华人民共和国民法典》，由买方直接与卖方进行处理，处理不成由</w:t>
      </w:r>
      <w:r>
        <w:rPr>
          <w:rFonts w:hint="eastAsia" w:ascii="宋体" w:hAnsi="宋体" w:cs="宋体"/>
          <w:sz w:val="24"/>
          <w:lang w:val="en-US" w:eastAsia="zh-CN"/>
        </w:rPr>
        <w:t xml:space="preserve">金湖县人民</w:t>
      </w:r>
      <w:r>
        <w:rPr>
          <w:rFonts w:hint="eastAsia" w:ascii="宋体" w:hAnsi="宋体" w:cs="宋体"/>
          <w:sz w:val="24"/>
        </w:rPr>
        <w:t xml:space="preserve">法院管辖。</w:t>
      </w:r>
      <w:r/>
    </w:p>
    <w:p>
      <w:pPr>
        <w:jc w:val="left"/>
        <w:keepLines w:val="0"/>
        <w:keepNext w:val="0"/>
        <w:pageBreakBefore w:val="0"/>
        <w:spacing w:line="360" w:lineRule="auto"/>
        <w:rPr>
          <w:rFonts w:hint="eastAsia" w:ascii="宋体" w:hAnsi="宋体" w:cs="宋体"/>
          <w:b/>
          <w:bCs/>
          <w:sz w:val="24"/>
        </w:rPr>
      </w:pPr>
      <w:r>
        <w:rPr>
          <w:rFonts w:hint="eastAsia" w:ascii="宋体" w:hAnsi="宋体" w:cs="宋体"/>
          <w:b/>
          <w:bCs/>
          <w:sz w:val="24"/>
          <w:lang w:eastAsia="zh-CN"/>
        </w:rPr>
        <w:t xml:space="preserve">十</w:t>
      </w:r>
      <w:r>
        <w:rPr>
          <w:rFonts w:hint="eastAsia" w:ascii="宋体" w:hAnsi="宋体" w:cs="宋体"/>
          <w:b/>
          <w:bCs/>
          <w:sz w:val="24"/>
          <w:lang w:val="en-US" w:eastAsia="zh-CN"/>
        </w:rPr>
        <w:t xml:space="preserve">二</w:t>
      </w:r>
      <w:r>
        <w:rPr>
          <w:rFonts w:hint="eastAsia" w:ascii="宋体" w:hAnsi="宋体" w:cs="宋体"/>
          <w:b/>
          <w:bCs/>
          <w:sz w:val="24"/>
        </w:rPr>
        <w:t xml:space="preserve">、合同生效及其</w:t>
      </w:r>
      <w:r>
        <w:rPr>
          <w:rFonts w:hint="eastAsia" w:ascii="宋体" w:hAnsi="宋体" w:cs="宋体"/>
          <w:b/>
          <w:bCs/>
          <w:sz w:val="24"/>
          <w:lang w:eastAsia="zh-CN"/>
        </w:rPr>
        <w:t xml:space="preserve">他</w:t>
      </w:r>
      <w:r/>
    </w:p>
    <w:p>
      <w:pPr>
        <w:ind w:firstLine="360"/>
        <w:jc w:val="left"/>
        <w:keepLines w:val="0"/>
        <w:keepNext w:val="0"/>
        <w:pageBreakBefore w:val="0"/>
        <w:spacing w:line="360" w:lineRule="auto"/>
        <w:rPr>
          <w:rFonts w:hint="eastAsia" w:ascii="宋体" w:hAnsi="宋体" w:cs="宋体"/>
          <w:sz w:val="24"/>
        </w:rPr>
      </w:pPr>
      <w:r>
        <w:rPr>
          <w:rFonts w:hint="eastAsia" w:ascii="宋体" w:hAnsi="宋体" w:cs="宋体"/>
          <w:sz w:val="24"/>
        </w:rPr>
        <w:t xml:space="preserve">1.本合同经买方、卖方双方盖章后方可生效。如有变动，双方自行商讨签订补充协议。</w:t>
      </w:r>
      <w:r/>
    </w:p>
    <w:p>
      <w:pPr>
        <w:ind w:firstLine="360"/>
        <w:jc w:val="left"/>
        <w:keepLines w:val="0"/>
        <w:keepNext w:val="0"/>
        <w:pageBreakBefore w:val="0"/>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t xml:space="preserve">合同在执行过程中出现的未尽事宜，双方在不违背本合同和</w:t>
      </w:r>
      <w:r>
        <w:rPr>
          <w:rFonts w:hint="eastAsia" w:ascii="宋体" w:hAnsi="宋体" w:cs="宋体"/>
          <w:sz w:val="24"/>
          <w:lang w:eastAsia="zh-CN"/>
        </w:rPr>
        <w:t xml:space="preserve">采购文件</w:t>
      </w:r>
      <w:r>
        <w:rPr>
          <w:rFonts w:ascii="宋体" w:hAnsi="宋体" w:cs="宋体"/>
          <w:sz w:val="24"/>
        </w:rPr>
        <w:t xml:space="preserve">的原则下协商解决，协商结果以书面形式盖章记录在案，作为本合同的附件，与本合同具有同等效力。</w:t>
      </w:r>
      <w:r/>
    </w:p>
    <w:p>
      <w:pPr>
        <w:ind w:firstLine="360"/>
        <w:jc w:val="left"/>
        <w:keepLines w:val="0"/>
        <w:keepNext w:val="0"/>
        <w:pageBreakBefore w:val="0"/>
        <w:spacing w:line="360" w:lineRule="auto"/>
        <w:rPr>
          <w:rFonts w:hint="eastAsia" w:ascii="宋体" w:hAnsi="宋体" w:cs="宋体"/>
          <w:sz w:val="24"/>
        </w:rPr>
      </w:pPr>
      <w:r>
        <w:rPr>
          <w:rFonts w:hint="eastAsia" w:ascii="宋体" w:hAnsi="宋体" w:cs="宋体"/>
          <w:sz w:val="24"/>
        </w:rPr>
        <w:t xml:space="preserve">3.本合同</w:t>
      </w:r>
      <w:r>
        <w:rPr>
          <w:rFonts w:hint="eastAsia" w:ascii="宋体" w:hAnsi="宋体" w:cs="宋体"/>
          <w:sz w:val="24"/>
          <w:lang w:eastAsia="zh-CN"/>
        </w:rPr>
        <w:t xml:space="preserve">一式</w:t>
      </w:r>
      <w:r>
        <w:rPr>
          <w:rFonts w:hint="eastAsia" w:ascii="宋体" w:hAnsi="宋体" w:cs="宋体"/>
          <w:sz w:val="24"/>
          <w:lang w:val="en-US" w:eastAsia="zh-CN"/>
        </w:rPr>
        <w:t xml:space="preserve">五</w:t>
      </w:r>
      <w:r>
        <w:rPr>
          <w:rFonts w:hint="eastAsia" w:ascii="宋体" w:hAnsi="宋体" w:cs="宋体"/>
          <w:sz w:val="24"/>
          <w:lang w:eastAsia="zh-CN"/>
        </w:rPr>
        <w:t xml:space="preserve">份</w:t>
      </w:r>
      <w:r>
        <w:rPr>
          <w:rFonts w:hint="eastAsia" w:ascii="宋体" w:hAnsi="宋体" w:cs="宋体"/>
          <w:sz w:val="24"/>
        </w:rPr>
        <w:t xml:space="preserve">，买方、卖方各执二份，备案一份。</w:t>
      </w:r>
      <w:r/>
    </w:p>
    <w:p>
      <w:pPr>
        <w:ind w:firstLine="360"/>
        <w:jc w:val="left"/>
        <w:keepLines w:val="0"/>
        <w:keepNext w:val="0"/>
        <w:pageBreakBefore w:val="0"/>
        <w:spacing w:line="360" w:lineRule="auto"/>
        <w:rPr>
          <w:rFonts w:hint="eastAsia" w:ascii="宋体" w:hAnsi="宋体" w:cs="宋体"/>
          <w:sz w:val="24"/>
        </w:rPr>
      </w:pPr>
      <w:r>
        <w:rPr>
          <w:rFonts w:hint="eastAsia" w:ascii="宋体" w:hAnsi="宋体" w:cs="宋体"/>
          <w:sz w:val="24"/>
        </w:rPr>
      </w:r>
      <w:r/>
    </w:p>
    <w:p>
      <w:pPr>
        <w:ind w:firstLine="360"/>
        <w:jc w:val="left"/>
        <w:keepLines w:val="0"/>
        <w:keepNext w:val="0"/>
        <w:pageBreakBefore w:val="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lang w:eastAsia="zh-CN"/>
        </w:rPr>
        <w:t xml:space="preserve">买方：</w:t>
      </w:r>
      <w:r>
        <w:rPr>
          <w:rFonts w:hint="eastAsia" w:ascii="宋体" w:hAnsi="宋体" w:eastAsia="宋体" w:cs="宋体"/>
          <w:b w:val="0"/>
          <w:bCs/>
          <w:sz w:val="24"/>
          <w:szCs w:val="24"/>
        </w:rPr>
        <w:t xml:space="preserve">（盖章）</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lang w:eastAsia="zh-CN"/>
        </w:rPr>
        <w:t xml:space="preserve">卖方：</w:t>
      </w:r>
      <w:r>
        <w:rPr>
          <w:rFonts w:hint="eastAsia" w:ascii="宋体" w:hAnsi="宋体" w:eastAsia="宋体" w:cs="宋体"/>
          <w:b w:val="0"/>
          <w:bCs/>
          <w:sz w:val="24"/>
          <w:szCs w:val="24"/>
        </w:rPr>
        <w:t xml:space="preserve">（盖章）</w:t>
      </w:r>
      <w:r/>
    </w:p>
    <w:p>
      <w:pPr>
        <w:rPr>
          <w:rFonts w:hint="default" w:hAnsi="宋体" w:cs="宋体"/>
          <w:b/>
          <w:bCs/>
          <w:sz w:val="24"/>
          <w:lang w:val="en-US"/>
        </w:rPr>
      </w:pPr>
      <w:r>
        <w:rPr>
          <w:rFonts w:hint="eastAsia" w:ascii="宋体" w:hAnsi="宋体" w:eastAsia="宋体" w:cs="宋体"/>
          <w:b w:val="0"/>
          <w:bCs/>
          <w:sz w:val="24"/>
          <w:szCs w:val="24"/>
          <w:u w:val="none"/>
          <w:lang w:val="en-US" w:eastAsia="zh-CN"/>
        </w:rPr>
        <w:t xml:space="preserve">日期：    </w:t>
      </w:r>
      <w:r>
        <w:rPr>
          <w:rFonts w:hint="eastAsia" w:ascii="宋体" w:hAnsi="宋体" w:eastAsia="宋体" w:cs="宋体"/>
          <w:b w:val="0"/>
          <w:bCs/>
          <w:sz w:val="24"/>
          <w:szCs w:val="24"/>
          <w:u w:val="none"/>
        </w:rPr>
        <w:t xml:space="preserve">年</w:t>
      </w:r>
      <w:r>
        <w:rPr>
          <w:rFonts w:hint="eastAsia" w:ascii="宋体" w:hAnsi="宋体" w:eastAsia="宋体" w:cs="宋体"/>
          <w:b w:val="0"/>
          <w:bCs/>
          <w:sz w:val="24"/>
          <w:szCs w:val="24"/>
          <w:u w:val="none"/>
          <w:lang w:val="en-US" w:eastAsia="zh-CN"/>
        </w:rPr>
        <w:t xml:space="preserve">    </w:t>
      </w:r>
      <w:r>
        <w:rPr>
          <w:rFonts w:hint="eastAsia" w:ascii="宋体" w:hAnsi="宋体" w:eastAsia="宋体" w:cs="宋体"/>
          <w:b w:val="0"/>
          <w:bCs/>
          <w:sz w:val="24"/>
          <w:szCs w:val="24"/>
          <w:u w:val="none"/>
        </w:rPr>
        <w:t xml:space="preserve">月</w:t>
      </w:r>
      <w:r>
        <w:rPr>
          <w:rFonts w:hint="eastAsia" w:ascii="宋体" w:hAnsi="宋体" w:eastAsia="宋体" w:cs="宋体"/>
          <w:b w:val="0"/>
          <w:bCs/>
          <w:sz w:val="24"/>
          <w:szCs w:val="24"/>
          <w:u w:val="none"/>
          <w:lang w:val="en-US" w:eastAsia="zh-CN"/>
        </w:rPr>
        <w:t xml:space="preserve">    </w:t>
      </w:r>
      <w:r>
        <w:rPr>
          <w:rFonts w:hint="eastAsia" w:ascii="宋体" w:hAnsi="宋体" w:eastAsia="宋体" w:cs="宋体"/>
          <w:b w:val="0"/>
          <w:bCs/>
          <w:sz w:val="24"/>
          <w:szCs w:val="24"/>
          <w:u w:val="none"/>
        </w:rPr>
        <w:t xml:space="preserve">日</w:t>
      </w:r>
      <w:r>
        <w:rPr>
          <w:rFonts w:hint="eastAsia" w:ascii="宋体" w:hAnsi="宋体" w:eastAsia="宋体" w:cs="宋体"/>
          <w:b w:val="0"/>
          <w:bCs/>
          <w:sz w:val="24"/>
          <w:szCs w:val="24"/>
          <w:u w:val="none"/>
          <w:lang w:val="en-US" w:eastAsia="zh-CN"/>
        </w:rPr>
        <w:t xml:space="preserve">                  日期：    </w:t>
      </w:r>
      <w:r>
        <w:rPr>
          <w:rFonts w:hint="eastAsia" w:ascii="宋体" w:hAnsi="宋体" w:eastAsia="宋体" w:cs="宋体"/>
          <w:b w:val="0"/>
          <w:bCs/>
          <w:sz w:val="24"/>
          <w:szCs w:val="24"/>
          <w:u w:val="none"/>
        </w:rPr>
        <w:t xml:space="preserve">年</w:t>
      </w:r>
      <w:r>
        <w:rPr>
          <w:rFonts w:hint="eastAsia" w:ascii="宋体" w:hAnsi="宋体" w:eastAsia="宋体" w:cs="宋体"/>
          <w:b w:val="0"/>
          <w:bCs/>
          <w:sz w:val="24"/>
          <w:szCs w:val="24"/>
          <w:u w:val="none"/>
          <w:lang w:val="en-US" w:eastAsia="zh-CN"/>
        </w:rPr>
        <w:t xml:space="preserve">    </w:t>
      </w:r>
      <w:r>
        <w:rPr>
          <w:rFonts w:hint="eastAsia" w:ascii="宋体" w:hAnsi="宋体" w:eastAsia="宋体" w:cs="宋体"/>
          <w:b w:val="0"/>
          <w:bCs/>
          <w:sz w:val="24"/>
          <w:szCs w:val="24"/>
          <w:u w:val="none"/>
        </w:rPr>
        <w:t xml:space="preserve">月</w:t>
      </w:r>
      <w:r>
        <w:rPr>
          <w:rFonts w:hint="eastAsia" w:ascii="宋体" w:hAnsi="宋体" w:eastAsia="宋体" w:cs="宋体"/>
          <w:b w:val="0"/>
          <w:bCs/>
          <w:sz w:val="24"/>
          <w:szCs w:val="24"/>
          <w:u w:val="none"/>
          <w:lang w:val="en-US" w:eastAsia="zh-CN"/>
        </w:rPr>
        <w:t xml:space="preserve">   日</w:t>
      </w:r>
      <w:r/>
    </w:p>
    <w:p>
      <w:pPr>
        <w:spacing w:line="360" w:lineRule="auto"/>
        <w:rPr>
          <w:rFonts w:ascii="宋体" w:hAnsi="宋体" w:cs="宋体"/>
          <w:b/>
          <w:bCs/>
          <w:sz w:val="24"/>
        </w:rPr>
      </w:pPr>
      <w:r/>
      <w:bookmarkStart w:id="20" w:name="_Hlk146638061"/>
      <w:r/>
      <w:r/>
    </w:p>
    <w:p>
      <w:pPr>
        <w:spacing w:line="360" w:lineRule="auto"/>
        <w:rPr>
          <w:rFonts w:ascii="宋体" w:hAnsi="宋体" w:cs="宋体"/>
          <w:b/>
          <w:bCs/>
          <w:sz w:val="24"/>
        </w:rPr>
      </w:pPr>
      <w:r>
        <w:rPr>
          <w:rFonts w:ascii="宋体" w:hAnsi="宋体" w:cs="宋体"/>
          <w:b/>
          <w:bCs/>
          <w:sz w:val="24"/>
        </w:rPr>
      </w:r>
      <w:r/>
    </w:p>
    <w:p>
      <w:pPr>
        <w:pStyle w:val="702"/>
        <w:rPr>
          <w:rFonts w:ascii="宋体" w:hAnsi="宋体" w:cs="宋体"/>
          <w:b/>
          <w:bCs/>
          <w:sz w:val="24"/>
        </w:rPr>
      </w:pPr>
      <w:r>
        <w:rPr>
          <w:rFonts w:ascii="宋体" w:hAnsi="宋体" w:cs="宋体"/>
          <w:b/>
          <w:bCs/>
          <w:sz w:val="24"/>
        </w:rPr>
      </w:r>
      <w:r/>
    </w:p>
    <w:p>
      <w:pPr>
        <w:pStyle w:val="702"/>
        <w:rPr>
          <w:rFonts w:ascii="宋体" w:hAnsi="宋体" w:cs="宋体"/>
          <w:b/>
          <w:bCs/>
          <w:sz w:val="24"/>
        </w:rPr>
      </w:pPr>
      <w:r>
        <w:rPr>
          <w:rFonts w:ascii="宋体" w:hAnsi="宋体" w:cs="宋体"/>
          <w:b/>
          <w:bCs/>
          <w:sz w:val="24"/>
        </w:rPr>
      </w:r>
      <w:r/>
    </w:p>
    <w:p>
      <w:pPr>
        <w:pStyle w:val="702"/>
        <w:rPr>
          <w:rFonts w:ascii="宋体" w:hAnsi="宋体" w:cs="宋体"/>
          <w:b/>
          <w:bCs/>
          <w:sz w:val="24"/>
        </w:rPr>
      </w:pPr>
      <w:r>
        <w:rPr>
          <w:rFonts w:ascii="宋体" w:hAnsi="宋体" w:cs="宋体"/>
          <w:b/>
          <w:bCs/>
          <w:sz w:val="24"/>
        </w:rPr>
      </w:r>
      <w:r/>
    </w:p>
    <w:p>
      <w:pPr>
        <w:pStyle w:val="702"/>
        <w:rPr>
          <w:rFonts w:ascii="宋体" w:hAnsi="宋体" w:cs="宋体"/>
          <w:b/>
          <w:bCs/>
          <w:sz w:val="24"/>
        </w:rPr>
      </w:pPr>
      <w:r>
        <w:rPr>
          <w:rFonts w:ascii="宋体" w:hAnsi="宋体" w:cs="宋体"/>
          <w:b/>
          <w:bCs/>
          <w:sz w:val="24"/>
        </w:rPr>
      </w:r>
      <w:r/>
    </w:p>
    <w:p>
      <w:pPr>
        <w:pStyle w:val="702"/>
        <w:rPr>
          <w:rFonts w:ascii="宋体" w:hAnsi="宋体" w:cs="宋体"/>
          <w:b/>
          <w:bCs/>
          <w:sz w:val="24"/>
        </w:rPr>
      </w:pPr>
      <w:r>
        <w:rPr>
          <w:rFonts w:ascii="宋体" w:hAnsi="宋体" w:cs="宋体"/>
          <w:b/>
          <w:bCs/>
          <w:sz w:val="24"/>
        </w:rPr>
      </w:r>
      <w:r/>
    </w:p>
    <w:p>
      <w:pPr>
        <w:pStyle w:val="702"/>
        <w:rPr>
          <w:rFonts w:ascii="宋体" w:hAnsi="宋体" w:cs="宋体"/>
          <w:b/>
          <w:bCs/>
          <w:sz w:val="24"/>
        </w:rPr>
      </w:pPr>
      <w:r>
        <w:rPr>
          <w:rFonts w:ascii="宋体" w:hAnsi="宋体" w:cs="宋体"/>
          <w:b/>
          <w:bCs/>
          <w:sz w:val="24"/>
        </w:rPr>
      </w:r>
      <w:r/>
    </w:p>
    <w:p>
      <w:pPr>
        <w:pStyle w:val="702"/>
        <w:rPr>
          <w:rFonts w:ascii="宋体" w:hAnsi="宋体" w:cs="宋体"/>
          <w:b/>
          <w:bCs/>
          <w:sz w:val="24"/>
        </w:rPr>
      </w:pPr>
      <w:r>
        <w:rPr>
          <w:rFonts w:ascii="宋体" w:hAnsi="宋体" w:cs="宋体"/>
          <w:b/>
          <w:bCs/>
          <w:sz w:val="24"/>
        </w:rPr>
      </w:r>
      <w:r/>
    </w:p>
    <w:p>
      <w:pPr>
        <w:pStyle w:val="702"/>
        <w:rPr>
          <w:rFonts w:ascii="宋体" w:hAnsi="宋体" w:cs="宋体"/>
          <w:b/>
          <w:bCs/>
          <w:sz w:val="24"/>
        </w:rPr>
      </w:pPr>
      <w:r>
        <w:rPr>
          <w:rFonts w:ascii="宋体" w:hAnsi="宋体" w:cs="宋体"/>
          <w:b/>
          <w:bCs/>
          <w:sz w:val="24"/>
        </w:rPr>
      </w:r>
      <w:r/>
    </w:p>
    <w:p>
      <w:pPr>
        <w:pStyle w:val="702"/>
        <w:rPr>
          <w:rFonts w:ascii="宋体" w:hAnsi="宋体" w:cs="宋体"/>
          <w:b/>
          <w:bCs/>
          <w:sz w:val="24"/>
        </w:rPr>
      </w:pPr>
      <w:r>
        <w:rPr>
          <w:rFonts w:ascii="宋体" w:hAnsi="宋体" w:cs="宋体"/>
          <w:b/>
          <w:bCs/>
          <w:sz w:val="24"/>
        </w:rPr>
      </w:r>
      <w:r/>
    </w:p>
    <w:p>
      <w:pPr>
        <w:pStyle w:val="702"/>
        <w:rPr>
          <w:rFonts w:ascii="宋体" w:hAnsi="宋体" w:cs="宋体"/>
          <w:b/>
          <w:bCs/>
          <w:sz w:val="24"/>
        </w:rPr>
      </w:pPr>
      <w:r>
        <w:rPr>
          <w:rFonts w:ascii="宋体" w:hAnsi="宋体" w:cs="宋体"/>
          <w:b/>
          <w:bCs/>
          <w:sz w:val="24"/>
        </w:rPr>
      </w:r>
      <w:r/>
    </w:p>
    <w:p>
      <w:pPr>
        <w:pStyle w:val="702"/>
        <w:rPr>
          <w:rFonts w:ascii="宋体" w:hAnsi="宋体" w:cs="宋体"/>
          <w:b/>
          <w:bCs/>
          <w:sz w:val="24"/>
        </w:rPr>
      </w:pPr>
      <w:r>
        <w:rPr>
          <w:rFonts w:ascii="宋体" w:hAnsi="宋体" w:cs="宋体"/>
          <w:b/>
          <w:bCs/>
          <w:sz w:val="24"/>
        </w:rPr>
      </w:r>
      <w:r/>
    </w:p>
    <w:p>
      <w:pPr>
        <w:pStyle w:val="702"/>
        <w:rPr>
          <w:rFonts w:ascii="宋体" w:hAnsi="宋体" w:cs="宋体"/>
          <w:b/>
          <w:bCs/>
          <w:sz w:val="24"/>
        </w:rPr>
      </w:pPr>
      <w:r>
        <w:rPr>
          <w:rFonts w:ascii="宋体" w:hAnsi="宋体" w:cs="宋体"/>
          <w:b/>
          <w:bCs/>
          <w:sz w:val="24"/>
        </w:rPr>
      </w:r>
      <w:r/>
    </w:p>
    <w:p>
      <w:pPr>
        <w:pStyle w:val="702"/>
        <w:rPr>
          <w:rFonts w:ascii="宋体" w:hAnsi="宋体" w:cs="宋体"/>
          <w:b/>
          <w:bCs/>
          <w:sz w:val="24"/>
        </w:rPr>
      </w:pPr>
      <w:r>
        <w:rPr>
          <w:rFonts w:ascii="宋体" w:hAnsi="宋体" w:cs="宋体"/>
          <w:b/>
          <w:bCs/>
          <w:sz w:val="24"/>
        </w:rPr>
      </w:r>
      <w:r/>
    </w:p>
    <w:p>
      <w:pPr>
        <w:pStyle w:val="702"/>
        <w:rPr>
          <w:rFonts w:ascii="宋体" w:hAnsi="宋体" w:cs="宋体"/>
          <w:b/>
          <w:bCs/>
          <w:sz w:val="24"/>
        </w:rPr>
      </w:pPr>
      <w:r>
        <w:rPr>
          <w:rFonts w:ascii="宋体" w:hAnsi="宋体" w:cs="宋体"/>
          <w:b/>
          <w:bCs/>
          <w:sz w:val="24"/>
        </w:rPr>
      </w:r>
      <w:r/>
    </w:p>
    <w:p>
      <w:pPr>
        <w:pStyle w:val="702"/>
        <w:rPr>
          <w:rFonts w:ascii="宋体" w:hAnsi="宋体" w:cs="宋体"/>
          <w:b/>
          <w:bCs/>
          <w:sz w:val="24"/>
        </w:rPr>
      </w:pPr>
      <w:r>
        <w:rPr>
          <w:rFonts w:ascii="宋体" w:hAnsi="宋体" w:cs="宋体"/>
          <w:b/>
          <w:bCs/>
          <w:sz w:val="24"/>
        </w:rPr>
      </w:r>
      <w:r/>
    </w:p>
    <w:p>
      <w:pPr>
        <w:pStyle w:val="702"/>
        <w:rPr>
          <w:rFonts w:ascii="宋体" w:hAnsi="宋体" w:cs="宋体"/>
          <w:b/>
          <w:bCs/>
          <w:sz w:val="24"/>
        </w:rPr>
      </w:pPr>
      <w:r>
        <w:rPr>
          <w:rFonts w:ascii="宋体" w:hAnsi="宋体" w:cs="宋体"/>
          <w:b/>
          <w:bCs/>
          <w:sz w:val="24"/>
        </w:rPr>
      </w:r>
      <w:r/>
    </w:p>
    <w:p>
      <w:pPr>
        <w:pStyle w:val="702"/>
        <w:rPr>
          <w:rFonts w:ascii="宋体" w:hAnsi="宋体" w:cs="宋体"/>
          <w:b/>
          <w:bCs/>
          <w:sz w:val="24"/>
        </w:rPr>
      </w:pPr>
      <w:r>
        <w:rPr>
          <w:rFonts w:ascii="宋体" w:hAnsi="宋体" w:cs="宋体"/>
          <w:b/>
          <w:bCs/>
          <w:sz w:val="24"/>
        </w:rPr>
      </w:r>
      <w:r/>
    </w:p>
    <w:p>
      <w:pPr>
        <w:pStyle w:val="702"/>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ascii="宋体" w:hAnsi="宋体" w:cs="宋体"/>
          <w:b/>
          <w:bCs/>
          <w:sz w:val="24"/>
        </w:rPr>
      </w:r>
      <w:r/>
    </w:p>
    <w:p>
      <w:pPr>
        <w:ind w:firstLine="1928"/>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第五章                   项目采购需求</w:t>
      </w:r>
      <w:bookmarkEnd w:id="20"/>
      <w:r/>
      <w:r/>
    </w:p>
    <w:p>
      <w:pPr>
        <w:pStyle w:val="712"/>
        <w:rPr>
          <w:rFonts w:hAnsi="宋体" w:cs="宋体"/>
          <w:b/>
          <w:bCs/>
          <w:sz w:val="24"/>
        </w:rPr>
      </w:pPr>
      <w:r>
        <w:rPr>
          <w:rFonts w:hAnsi="宋体" w:cs="宋体"/>
          <w:b/>
          <w:bCs/>
          <w:sz w:val="24"/>
        </w:rPr>
      </w:r>
      <w:r/>
    </w:p>
    <w:tbl>
      <w:tblPr>
        <w:tblStyle w:val="701"/>
        <w:tblW w:w="9955" w:type="dxa"/>
        <w:tblInd w:w="-694" w:type="dxa"/>
        <w:tblLayout w:type="fixed"/>
        <w:tblCellMar>
          <w:left w:w="108" w:type="dxa"/>
          <w:top w:w="0" w:type="dxa"/>
          <w:right w:w="108" w:type="dxa"/>
          <w:bottom w:w="0" w:type="dxa"/>
        </w:tblCellMar>
        <w:tblLook w:val="04A0" w:firstRow="1" w:lastRow="0" w:firstColumn="1" w:lastColumn="0" w:noHBand="0" w:noVBand="1"/>
      </w:tblPr>
      <w:tblGrid>
        <w:gridCol w:w="670"/>
        <w:gridCol w:w="1114"/>
        <w:gridCol w:w="5214"/>
        <w:gridCol w:w="657"/>
        <w:gridCol w:w="672"/>
        <w:gridCol w:w="743"/>
        <w:gridCol w:w="885"/>
      </w:tblGrid>
      <w:tr>
        <w:trPr>
          <w:trHeight w:val="1533"/>
        </w:trPr>
        <w:tc>
          <w:tcPr>
            <w:gridSpan w:val="4"/>
            <w:tcBorders>
              <w:top w:val="none" w:color="000000" w:sz="4" w:space="0"/>
              <w:left w:val="none" w:color="000000" w:sz="4" w:space="0"/>
              <w:bottom w:val="none" w:color="000000" w:sz="4" w:space="0"/>
              <w:right w:val="none" w:color="000000" w:sz="4" w:space="0"/>
            </w:tcBorders>
            <w:tcW w:w="7655" w:type="dxa"/>
            <w:vAlign w:val="center"/>
            <w:textDirection w:val="lrTb"/>
            <w:noWrap w:val="false"/>
          </w:tcPr>
          <w:p>
            <w:pPr>
              <w:jc w:val="center"/>
              <w:widowControl/>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lang w:eastAsia="zh-CN" w:bidi="ar"/>
                <w14:textFill>
                  <w14:solidFill>
                    <w14:schemeClr w14:val="tx1"/>
                  </w14:solidFill>
                </w14:textFill>
              </w:rPr>
              <w:t xml:space="preserve">金湖中等专业学校异地扩建项目功能室（艺体类）设备采购</w:t>
            </w:r>
            <w:r/>
          </w:p>
        </w:tc>
        <w:tc>
          <w:tcPr>
            <w:tcBorders>
              <w:top w:val="none" w:color="000000" w:sz="4" w:space="0"/>
              <w:left w:val="none" w:color="000000" w:sz="4" w:space="0"/>
              <w:bottom w:val="none" w:color="000000" w:sz="4" w:space="0"/>
              <w:right w:val="none" w:color="000000" w:sz="4" w:space="0"/>
            </w:tcBorders>
            <w:tcW w:w="672" w:type="dxa"/>
            <w:vAlign w:val="center"/>
            <w:textDirection w:val="lrTb"/>
            <w:noWrap/>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743" w:type="dxa"/>
            <w:vAlign w:val="center"/>
            <w:textDirection w:val="lrTb"/>
            <w:noWrap/>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885" w:type="dxa"/>
            <w:vAlign w:val="center"/>
            <w:textDirection w:val="lrTb"/>
            <w:noWrap/>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gridSpan w:val="3"/>
            <w:tcBorders>
              <w:top w:val="single" w:color="000000" w:sz="4" w:space="0"/>
              <w:left w:val="single" w:color="000000" w:sz="4" w:space="0"/>
              <w:bottom w:val="single" w:color="000000" w:sz="4" w:space="0"/>
              <w:right w:val="single" w:color="000000" w:sz="4" w:space="0"/>
            </w:tcBorders>
            <w:tcW w:w="6998" w:type="dxa"/>
            <w:vAlign w:val="center"/>
            <w:textDirection w:val="lrTb"/>
            <w:noWrap w:val="false"/>
          </w:tcPr>
          <w:p>
            <w:pPr>
              <w:jc w:val="center"/>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lang w:bidi="ar"/>
                <w14:textFill>
                  <w14:solidFill>
                    <w14:schemeClr w14:val="tx1"/>
                  </w14:solidFill>
                </w14:textFill>
              </w:rPr>
              <w:t xml:space="preserve">5号楼风雨操场</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gridSpan w:val="4"/>
            <w:tcBorders>
              <w:top w:val="single" w:color="000000" w:sz="4" w:space="0"/>
              <w:left w:val="single" w:color="000000" w:sz="4" w:space="0"/>
              <w:bottom w:val="single" w:color="000000" w:sz="4" w:space="0"/>
              <w:right w:val="single" w:color="000000" w:sz="4" w:space="0"/>
            </w:tcBorders>
            <w:tcW w:w="7655" w:type="dxa"/>
            <w:vAlign w:val="center"/>
            <w:textDirection w:val="lrTb"/>
            <w:noWrap w:val="false"/>
          </w:tcPr>
          <w:p>
            <w:pPr>
              <w:jc w:val="center"/>
              <w:widowControl/>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bidi="ar"/>
                <w14:textFill>
                  <w14:solidFill>
                    <w14:schemeClr w14:val="tx1"/>
                  </w14:solidFill>
                </w14:textFill>
              </w:rPr>
              <w:t xml:space="preserve">休息室</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90"/>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b/>
                <w:bCs/>
                <w:color w:val="000000" w:themeColor="text1"/>
                <w:sz w:val="20"/>
                <w:szCs w:val="20"/>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b/>
                <w:bCs/>
                <w:color w:val="000000" w:themeColor="text1"/>
                <w:sz w:val="20"/>
                <w:szCs w:val="20"/>
                <w:highlight w:val="none"/>
                <w:lang w:bidi="ar"/>
                <w14:textFill>
                  <w14:solidFill>
                    <w14:schemeClr w14:val="tx1"/>
                  </w14:solidFill>
                </w14:textFill>
              </w:rPr>
              <w:t xml:space="preserve">产品名称</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center"/>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b/>
                <w:bCs/>
                <w:color w:val="000000" w:themeColor="text1"/>
                <w:sz w:val="20"/>
                <w:szCs w:val="20"/>
                <w:highlight w:val="none"/>
                <w:lang w:bidi="ar"/>
                <w14:textFill>
                  <w14:solidFill>
                    <w14:schemeClr w14:val="tx1"/>
                  </w14:solidFill>
                </w14:textFill>
              </w:rPr>
              <w:t xml:space="preserve">技术参数</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b/>
                <w:bCs/>
                <w:color w:val="000000" w:themeColor="text1"/>
                <w:sz w:val="20"/>
                <w:szCs w:val="20"/>
                <w:highlight w:val="none"/>
                <w:lang w:bidi="ar"/>
                <w14:textFill>
                  <w14:solidFill>
                    <w14:schemeClr w14:val="tx1"/>
                  </w14:solidFill>
                </w14:textFill>
              </w:rPr>
              <w:t xml:space="preserve">单位</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b/>
                <w:bCs/>
                <w:color w:val="000000" w:themeColor="text1"/>
                <w:sz w:val="20"/>
                <w:szCs w:val="20"/>
                <w:highlight w:val="none"/>
                <w:lang w:bidi="ar"/>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b/>
                <w:bCs/>
                <w:color w:val="000000" w:themeColor="text1"/>
                <w:sz w:val="20"/>
                <w:szCs w:val="20"/>
                <w:highlight w:val="none"/>
                <w:lang w:bidi="ar"/>
                <w14:textFill>
                  <w14:solidFill>
                    <w14:schemeClr w14:val="tx1"/>
                  </w14:solidFill>
                </w14:textFill>
              </w:rPr>
              <w:t xml:space="preserve">单价</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b/>
                <w:bCs/>
                <w:color w:val="000000" w:themeColor="text1"/>
                <w:sz w:val="20"/>
                <w:szCs w:val="20"/>
                <w:highlight w:val="none"/>
                <w:lang w:bidi="ar"/>
                <w14:textFill>
                  <w14:solidFill>
                    <w14:schemeClr w14:val="tx1"/>
                  </w14:solidFill>
                </w14:textFill>
              </w:rPr>
              <w:t xml:space="preserve">金额</w:t>
            </w:r>
            <w:r/>
          </w:p>
        </w:tc>
      </w:tr>
      <w:tr>
        <w:trPr>
          <w:trHeight w:val="154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更衣柜</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规格：≥900mm*400mm*1850mm,板厚≥0.6mm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产品采用≥0.6mm厚冷轧钢板制作而成，耐压，强度大，不易变形；采用静电粉末喷塑；焊接部分采用高标准熔接焊，表面部分光滑平整。</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张</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928"/>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更衣凳</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长1200*宽420*高430mm（规格偏离±5%）</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、凳脚设计及材质</w:t>
            </w: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A级ABS（聚苯乙烯树脂）全新工程塑料制成</w:t>
            </w: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八宝盆样式的凳脚设计；</w:t>
            </w:r>
            <w:r/>
          </w:p>
          <w:p>
            <w:pPr>
              <w:numPr>
                <w:ilvl w:val="0"/>
                <w:numId w:val="6"/>
              </w:numPr>
              <w:jc w:val="left"/>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凳面均为硬质PVC塑料材质，每条凳面精美10条防滑纹，延伸至凳面堵头；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、凳面内部切面结构：四小格+2条支柱；</w:t>
            </w:r>
            <w:r/>
          </w:p>
          <w:p>
            <w:pPr>
              <w:numPr>
                <w:ilvl w:val="0"/>
                <w:numId w:val="0"/>
              </w:num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由</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A级ABS（聚苯乙烯树脂）全新工程塑料+304不锈钢螺母合制而成，每条凳面插入3个滑块，加固凳面和凳脚；</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、304不锈钢加长螺丝固定，凳面和凳脚</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张</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2312"/>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茶水柜</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规格：≥1200*400*800mm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1、优质三聚氰胺板饰面，硬度高，不易磨花。</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2、基材：选用E1级优质实木颗粒板，具有环保、质地均匀恒定的特点。甲醛释放量,吸水膨胀率符合国家标准，台面厚度为≥25MM；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3、封边: ≥2.0mm同色优质PVC封边，甲醛释放量符合国家标准。</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4、五金件：采用优质五金件</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张</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gridSpan w:val="4"/>
            <w:tcBorders>
              <w:top w:val="single" w:color="000000" w:sz="4" w:space="0"/>
              <w:left w:val="single" w:color="000000" w:sz="4" w:space="0"/>
              <w:bottom w:val="single" w:color="000000" w:sz="4" w:space="0"/>
              <w:right w:val="single" w:color="000000" w:sz="4" w:space="0"/>
            </w:tcBorders>
            <w:tcW w:w="7655" w:type="dxa"/>
            <w:vAlign w:val="center"/>
            <w:textDirection w:val="lrTb"/>
            <w:noWrap w:val="false"/>
          </w:tcPr>
          <w:p>
            <w:pPr>
              <w:jc w:val="center"/>
              <w:widowControl/>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7371080</wp:posOffset>
                      </wp:positionH>
                      <wp:positionV relativeFrom="paragraph">
                        <wp:posOffset>0</wp:posOffset>
                      </wp:positionV>
                      <wp:extent cx="10160" cy="10160"/>
                      <wp:effectExtent l="0" t="0" r="0" b="0"/>
                      <wp:wrapNone/>
                      <wp:docPr id="2" name="图片_12"/>
                      <wp:cNvGraphicFramePr/>
                      <a:graphic xmlns:a="http://schemas.openxmlformats.org/drawingml/2006/main">
                        <a:graphicData uri="http://schemas.openxmlformats.org/drawingml/2006/picture">
                          <pic:pic xmlns:pic="http://schemas.openxmlformats.org/drawingml/2006/picture">
                            <pic:nvPicPr>
                              <pic:cNvPr id="8" name="图片_12"/>
                              <pic:cNvPicPr/>
                              <pic:nvPr/>
                            </pic:nvPicPr>
                            <pic:blipFill>
                              <a:blip r:embed="rId13"/>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580.4pt;mso-position-horizontal:absolute;mso-position-vertical-relative:text;margin-top:0.0pt;mso-position-vertical:absolute;width:0.8pt;height:0.8pt;mso-wrap-distance-left:9.0pt;mso-wrap-distance-top:0.0pt;mso-wrap-distance-right:9.0pt;mso-wrap-distance-bottom:0.0pt;" stroked="f">
                      <v:path textboxrect="0,0,0,0"/>
                      <v:imagedata r:id="rId13" o:title=""/>
                    </v:shape>
                  </w:pict>
                </mc:Fallback>
              </mc:AlternateContent>
            </w:r>
            <w:r>
              <w:rPr>
                <w:rFonts w:hint="eastAsia" w:ascii="宋体" w:hAnsi="宋体" w:cs="宋体"/>
                <w:b/>
                <w:bCs/>
                <w:color w:val="000000" w:themeColor="text1"/>
                <w:sz w:val="28"/>
                <w:szCs w:val="28"/>
                <w:highlight w:val="none"/>
                <w:lang w:bidi="ar"/>
                <w14:textFill>
                  <w14:solidFill>
                    <w14:schemeClr w14:val="tx1"/>
                  </w14:solidFill>
                </w14:textFill>
              </w:rPr>
              <w:t xml:space="preserve">器材室（两间）</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54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货架</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≥1000*500*2000mm，1、用材：立柱使用≥1.5mm冷轧钢板,搁板使用1.0mm冷轧钢板，稳重、坚固。</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2、表面处理：采用先进的喷塑工艺处理，不褪色。防锈，磷化，酸洗处理,表面静电喷塑粉末喷涂。</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节</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34</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不锈钢移动置球架</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规格：≥110*63*85cm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材质：壁厚≥1.0mm不锈钢焊接而成，表面光滑无毛刺，带转向轮。</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gridSpan w:val="4"/>
            <w:tcBorders>
              <w:top w:val="single" w:color="000000" w:sz="4" w:space="0"/>
              <w:left w:val="single" w:color="000000" w:sz="4" w:space="0"/>
              <w:bottom w:val="single" w:color="000000" w:sz="4" w:space="0"/>
              <w:right w:val="single" w:color="000000" w:sz="4" w:space="0"/>
            </w:tcBorders>
            <w:tcW w:w="7655" w:type="dxa"/>
            <w:vAlign w:val="center"/>
            <w:textDirection w:val="lrTb"/>
            <w:noWrap w:val="false"/>
          </w:tcPr>
          <w:p>
            <w:pPr>
              <w:jc w:val="center"/>
              <w:widowControl/>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7371080</wp:posOffset>
                      </wp:positionH>
                      <wp:positionV relativeFrom="paragraph">
                        <wp:posOffset>0</wp:posOffset>
                      </wp:positionV>
                      <wp:extent cx="10160" cy="10160"/>
                      <wp:effectExtent l="0" t="0" r="0" b="0"/>
                      <wp:wrapNone/>
                      <wp:docPr id="3" name="图片_15"/>
                      <wp:cNvGraphicFramePr/>
                      <a:graphic xmlns:a="http://schemas.openxmlformats.org/drawingml/2006/main">
                        <a:graphicData uri="http://schemas.openxmlformats.org/drawingml/2006/picture">
                          <pic:pic xmlns:pic="http://schemas.openxmlformats.org/drawingml/2006/picture">
                            <pic:nvPicPr>
                              <pic:cNvPr id="16" name="图片_15"/>
                              <pic:cNvPicPr/>
                              <pic:nvPr/>
                            </pic:nvPicPr>
                            <pic:blipFill>
                              <a:blip r:embed="rId14"/>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580.4pt;mso-position-horizontal:absolute;mso-position-vertical-relative:text;margin-top:0.0pt;mso-position-vertical:absolute;width:0.8pt;height:0.8pt;mso-wrap-distance-left:9.0pt;mso-wrap-distance-top:0.0pt;mso-wrap-distance-right:9.0pt;mso-wrap-distance-bottom:0.0pt;" stroked="f">
                      <v:path textboxrect="0,0,0,0"/>
                      <v:imagedata r:id="rId14" o:title=""/>
                    </v:shape>
                  </w:pict>
                </mc:Fallback>
              </mc:AlternateContent>
            </w:r>
            <w:r>
              <w:rPr>
                <w:rFonts w:hint="eastAsia" w:ascii="宋体" w:hAnsi="宋体" w:cs="宋体"/>
                <w:b/>
                <w:bCs/>
                <w:color w:val="000000" w:themeColor="text1"/>
                <w:sz w:val="28"/>
                <w:szCs w:val="28"/>
                <w:highlight w:val="none"/>
                <w:lang w:bidi="ar"/>
                <w14:textFill>
                  <w14:solidFill>
                    <w14:schemeClr w14:val="tx1"/>
                  </w14:solidFill>
                </w14:textFill>
              </w:rPr>
              <w:t xml:space="preserve">卫生室</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诊查床</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平板诊查床， 规格尺寸：≥1880mm*600mm*670mm，床框采用≥40mm*20mm*1.2mm厚的圆形管焊接；床腿采用圆形管焊接；床面采用厚的木板包覆以海绵和人造革制成。</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张</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80"/>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电子体重秤</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1、最大秤量：≥200kg。</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2、最小秤量：≥2kg。</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3、分度值：≥100g。</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4、显示：LCD（带背光）。</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5、身高计测量范围：≥70cm～190cm。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分度值：0.5cm。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6、工作环境：相对温度5℃～40℃、相对湿度≤90%RH。</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储存环境：相对温度-25℃～50℃、相对湿度≤90%RH。</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7、电源：专用适配器</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5461"/>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电子血压计</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显示方式     数字式LCD显示</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测量方式     示波法</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电源规格     1.5V AA 碱性电池4节/Micro USB 5V 1A </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测量范围     血压：（0~260 ）mmHg /（ 0~34.67 ）KPa</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脉搏：（40~200）脉搏次/分钟</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测量精度     血压： +- 3mmHg /+- 0.4KPa 脉搏 +- 5%</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记忆功能     2*120组记忆</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时间显示     可显示年份/日期/时间</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低电压指示   电量不足提示</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自动关机     约150秒未使用</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使用环境     温度 5°C ~ 40°C / 41°F ~ 104 °F</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湿度：15% RH ~ 80RH</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储存环境     温度 -20°C ~+ 55°C / （-4°F ~+131 °F）</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湿度：10% RH ~ 93RH</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臂带臂围     （22~32）厘米，如有特殊要求可根据需要定制</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附件 ,数据线，电池 4节，臂带，使用说明书，保修单，合格证</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2312"/>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听诊器</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单用A型，镀铬耳挂，金属三通，橡胶导管，扁型听头。</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听诊器上的膜片不应松动，内腔不得有裂纹砂眼。听诊器传音应清晰。耳环弹簧片的硬度应在HR15N82.9-88.4范围内。耳环的弹力应适宜，当二耳塞拉开140mm时，其弹力应在1.372-1.960N范围内。</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耳环弹性应良好，当二耳塞拉开300mm时，回复后期变形距离不大于10mm。</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付</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448"/>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紫外线杀菌灯车</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紫外线杀菌灯车：紫外线波长为253.7A，电源电压220V50Hz，功率为2*30W，灯臂可以调节，调节角度0-180度。采用双灯管结构，也可单独使用，不用时可垂放，关上保护门，以免灯管破坏，又能保持灯管清洁。灯架部位采用定位装置，灯管两端接触性良好。人性化设计，安装方便，解决用户安装不便的难题。定时器可以在120分钟内定时控制消毒时间，定时器工作完毕会自行断路而灯管熄灭。</w:t>
            </w:r>
            <w:r/>
          </w:p>
          <w:p>
            <w:pPr>
              <w:jc w:val="left"/>
              <w:widowControl/>
              <w:rPr>
                <w:rFonts w:hint="eastAsia"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▲提供</w:t>
            </w:r>
            <w:r>
              <w:rPr>
                <w:rFonts w:hint="eastAsia" w:ascii="宋体" w:hAnsi="宋体" w:cs="宋体"/>
                <w:color w:val="000000" w:themeColor="text1"/>
                <w:sz w:val="20"/>
                <w:szCs w:val="20"/>
                <w:highlight w:val="none"/>
                <w:lang w:bidi="ar"/>
                <w14:textFill>
                  <w14:solidFill>
                    <w14:schemeClr w14:val="tx1"/>
                  </w14:solidFill>
                </w14:textFill>
              </w:rPr>
              <w:t xml:space="preserve">卫生部门认定的消毒产品检验机构（疾病预防控制中心）出具的</w:t>
            </w:r>
            <w:r>
              <w:rPr>
                <w:rFonts w:hint="eastAsia" w:ascii="宋体" w:hAnsi="宋体" w:cs="宋体"/>
                <w:color w:val="000000" w:themeColor="text1"/>
                <w:sz w:val="20"/>
                <w:szCs w:val="20"/>
                <w:highlight w:val="none"/>
                <w:lang w:eastAsia="zh-CN" w:bidi="ar"/>
                <w14:textFill>
                  <w14:solidFill>
                    <w14:schemeClr w14:val="tx1"/>
                  </w14:solidFill>
                </w14:textFill>
              </w:rPr>
              <w:t xml:space="preserve">含有CMA或CNAS标识的</w:t>
            </w:r>
            <w:r>
              <w:rPr>
                <w:rFonts w:hint="eastAsia" w:ascii="宋体" w:hAnsi="宋体" w:cs="宋体"/>
                <w:color w:val="000000" w:themeColor="text1"/>
                <w:sz w:val="20"/>
                <w:szCs w:val="20"/>
                <w:highlight w:val="none"/>
                <w:lang w:bidi="ar"/>
                <w14:textFill>
                  <w14:solidFill>
                    <w14:schemeClr w14:val="tx1"/>
                  </w14:solidFill>
                </w14:textFill>
              </w:rPr>
              <w:t xml:space="preserve">紫外线杀菌灯车产品</w:t>
            </w:r>
            <w:r>
              <w:rPr>
                <w:rFonts w:hint="eastAsia" w:ascii="宋体" w:hAnsi="宋体" w:cs="宋体"/>
                <w:color w:val="000000" w:themeColor="text1"/>
                <w:sz w:val="20"/>
                <w:szCs w:val="20"/>
                <w:highlight w:val="none"/>
                <w:lang w:eastAsia="zh-CN" w:bidi="ar"/>
                <w14:textFill>
                  <w14:solidFill>
                    <w14:schemeClr w14:val="tx1"/>
                  </w14:solidFill>
                </w14:textFill>
              </w:rPr>
              <w:t xml:space="preserve">检测报告原件的扫描件加盖电子章。</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162"/>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立式消毒机</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手部专用公共消毒机，红外自动感应喷雾消毒，无接触，避免交叉感染，全封闭管路，定制型电磁水泵，准确控制流量，定制不锈钢微孔喷头，保证雾化效果，手部免洗，带不锈钢支架，支架升降高度100-150cm，底座直径32cm。6V电源，可插电源或者装电池使用。</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162"/>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消毒机专用免洗消毒液</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用于手及其他皮肤部位的杀菌消毒。将本品原液均匀喷于皮肤表面至湿润，揉搓至干爽，可有效杀灭上述致病菌。 本品经国家检测机构检测：入口无毒，不含酒精，无刺激，无残留。5L/桶，4桶/箱。</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箱</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162"/>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视力表灯箱</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标准对数LED5m ;视力表灯箱采用LED光源及导光板， 三划等长的正方形“E”字视标，光照度应达到200~700Lx，铝合金喷漆外框，规格：900*300*10mm。 电压：220V/50hz,输入功率：≤60VA+15%，带红绿视标，三合一含附件，分离式安全电源线。</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54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额戴反光镜</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玻璃镜面直径≥80mm,五官科反光器具。反射率：≥%85；</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焦距误差：≤150mm±10%</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镜片座能按使用需要作任意方向转动。 玻璃镜面采用特殊的光学镀膜工艺，产品精美、稳定。凹面光学镀膜、反射率更高，可达90%以上，镜面完整率99%以上。</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只</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担架</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折叠式，≥2000×500×150mm 折叠式担架承受最大静载荷150Kg的力后，担架杆不允许产生永久性变形，帆布面、帆布缝制处及担架脚无开裂、破损现象</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付</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急救箱</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纱布块，药棉，创口贴，镊子，剪刀，绷带，止血带，急救毯，酒精，碘伏，风油精，清凉油，烫伤膏等  (具体配置参照客户要求)</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外伤处理器械</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脱脂纱布1包，药棉1包，绷带1卷，40止血带1根，创口贴10片，镊子1把，剪刀1把，酒精1瓶，碘伏1瓶，止血钳1把，清创缝合包等</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卫生箱</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铝合金≥359*190*210mm ，内有隔层，插袋，可手提或肩背。</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只</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162"/>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冷藏箱</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≥12L冷藏箱，配置冰排。产品外壳为聚乙烯，内胆为聚丙烯，一次性注塑成形，聚氨酯无氟发泡，绝缘层密度：≥40kg/m3，</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绝缘层厚度：≥20mm。</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只</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胸围尺</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≥150cm ，测量范围：0-150cm 材质：ABS。．PVC塑料质，顶端粘附金属薄片；2.双面刻度，分度值≤1mm，有效量程：≤1500mm。</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条</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16</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治疗车</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不锈钢双层，带轮，≥600*400*850mm，带抽屉，污物桶</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162"/>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17</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废弃物桶</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黄色塑料,医疗用脚踏式,易清洗，坚实耐用，不易扁形，适用于医院，诊所，病房等，15L,30L，各1只为一套。  15L配套手提背心式垃圾袋33cm（10*25)*52cm*100条/扎，   30L配套手提背心式垃圾袋48（12.5*2）*70cm*50条/扎。</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18</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治疗盘</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不锈钢治疗盘≥20*30cm，2小杯，2大杯</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19</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弯盘</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标配，不锈钢腰型盘  大、中、小号为一套， 304材质不锈钢。</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敷料缸</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不锈钢8cm，9cm 各一只为一套，304材质不锈钢。</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21</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棉球缸</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不锈钢10cm，12cm 各一只为一套，304材质不锈钢。</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22</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贮槽</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不锈钢储物槽，17cm，20cm各一只为一套。</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23</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方盘</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不锈钢≥31*24cm，20*30cm,各一只/套。304材质不锈钢。</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24</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带盖方盘</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不锈钢≥23*15cm,20*30cm，各一只/套。304材质不锈钢。</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25</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酒精灯</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≥150ml，加厚玻璃酒精灯。</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只</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26</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医用剪刀</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12.5-22cm ， 12把/套</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27</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医用镊子</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12.5-25cm ， 6种/套</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28</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止血带</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卡扣式</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只</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29</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氧气瓶</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≥10L钢制</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26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30</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浮标式氧气吸入器</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主要参数：</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1）浮标式氧气吸入器的型式为浮标指示式。</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2）氧气流量调节范围为（1～10）L/min。</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3）在流量关闭的情况下，高压部分能承受15Mpa的压力。</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4）经减压后，压力应控制在0.2MPa～0.3MPa。</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5）安全阀排气压力为0.35MPa±0.05MPa。</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6）气体采用特殊过滤及潮化，使氧气中的不纯物质基本被排除，使患者在吸入时更加舒适安全。</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只</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31</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异物针</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不锈钢，医用眼科器械。直，弯各一支</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32</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放大镜</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手持式，金属外圈，5倍放大</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只</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33</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白大衣</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涤平（抗菌型），易洗耐磨，抗皱不起球，透气性好。</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件</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34</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拐杖</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铝合金材质，可伸缩</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付</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54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35</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体温计</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玻璃水银制，适用范围： 适用中学卫生保健室。二、技术要求：1．体温计的刻度为35℃～42℃，精确度1/10℃。2．误差小于±0.2℃。39℃以下，误差小于±0.15℃。3．水银柱能恒定到准确度数，用后回到液泡里，液泡内不有明显的气泡，水银柱不中断、不自流、不难甩，玻璃管无爆裂现象。</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54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36</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红外线体温计额温计</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红外线体温计， 测量范围： 32.0℃~42.9℃ ，分辨率: 0.1℃，测量距离： 5cm~8cm，32组记忆数据 ，20秒自动关机，DC 3V 2节7号电池，工作环境温度范围：温度16℃~35℃   相对湿度≤85%RH，尺寸：160x100x40mm(长x宽x高)，重量： 130g（含电池），运输和储存温度条件：温度-20℃～55℃  相对湿度≤85％RH，配件清单 ：说明书（含保修卡合格证）x1、电池x2</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638"/>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37</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一次性医用手套</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PE,一次性使用，≥100只/包</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包</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638"/>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38</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橡胶检查手套</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一次性橡胶检查手套</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副</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638"/>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39</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一次性医用外科口罩</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一次性医用口罩，≥ 10只/包</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只</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300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638"/>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40</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酒精免洗手液</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消毒用</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41</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止血带</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一次性使用捆扎止血带，点连式，50条/盒，用于静脉输液或抽血时暂时阻断静脉回流。</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盒</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928"/>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42</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诊察桌</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办公桌规格：≥1400*700*750mm，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1、基材：全部采用E1级中纤板。</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2、饰面：胡桃木皮饰面。 </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3、油漆：环保聚脂漆喷涂甲醛含量≤1.0mg。</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4、优质五金配件连接。</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张</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928"/>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43</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诊察椅</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规格：≥深450mm×宽510mm×高890mm，座高450mm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1、材质：橡胶木，纹理自然；</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2、油漆：喷涂环保净味油漆，颜色均匀一致，木纹清晰可见；</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3、座面及靠背采用优质西皮，耐光性、耐折牢度、耐磨性、挥发性有机物及甲醛、气味等均符合国家或行业标准要求。</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4、座面及靠背填充一次成型高回弹软质聚氨酯泡沫塑料。</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5、靠背及座面采用E1 级多层板，厚度≥12mm</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把</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54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44</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药品柜</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规格：≥900mm*400mm*1850mm,板厚≥0.6mm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产品均采用优质冷轧钢板，厚度为≥0.6mm.耐压，强度大，抗冲击不易变形；采用静电粉末喷塑，无有机溶剂，无污染：开启灵活、扣手新颖个性。铝合金更加美观耐用。焊接部分采用高标准熔接焊，表面光滑平。</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张</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gridSpan w:val="4"/>
            <w:tcBorders>
              <w:top w:val="single" w:color="000000" w:sz="4" w:space="0"/>
              <w:left w:val="single" w:color="000000" w:sz="4" w:space="0"/>
              <w:bottom w:val="single" w:color="000000" w:sz="4" w:space="0"/>
              <w:right w:val="single" w:color="000000" w:sz="4" w:space="0"/>
            </w:tcBorders>
            <w:tcW w:w="7655" w:type="dxa"/>
            <w:vAlign w:val="center"/>
            <w:textDirection w:val="lrTb"/>
            <w:noWrap w:val="false"/>
          </w:tcPr>
          <w:p>
            <w:pPr>
              <w:jc w:val="center"/>
              <w:widowControl/>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bidi="ar"/>
                <w14:textFill>
                  <w14:solidFill>
                    <w14:schemeClr w14:val="tx1"/>
                  </w14:solidFill>
                </w14:textFill>
              </w:rPr>
              <w:t xml:space="preserve">舞蹈教室(2间)</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928"/>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把扞</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舞蹈把杆为水曲柳木，把杆Φ≥550，内有Φ22弹簧钢，表面聚脂清漆处理移动式舞蹈把杆：重量≥25公斤，立柱为Ф60电镀钢管，内有Ф35实心圆钢作升降杆，底盘Φ450，表面喷塑处理。底座升降高度为800mm至1100mm，带碰珠升降。特点：稳定性好，美观大方，升降操作简单灵活，带碰珠生降并配有双扣锁实，适用于各专业舞蹈团体、舞蹈培训、健身房等。壁挂式舞蹈把杆：与墙壁连接稳固牢靠，升降简单灵活，</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0160" cy="10160"/>
                      <wp:effectExtent l="0" t="0" r="0" b="0"/>
                      <wp:wrapNone/>
                      <wp:docPr id="4" name="图片_16"/>
                      <wp:cNvGraphicFramePr/>
                      <a:graphic xmlns:a="http://schemas.openxmlformats.org/drawingml/2006/main">
                        <a:graphicData uri="http://schemas.openxmlformats.org/drawingml/2006/picture">
                          <pic:pic xmlns:pic="http://schemas.openxmlformats.org/drawingml/2006/picture">
                            <pic:nvPicPr>
                              <pic:cNvPr id="18" name="图片_16"/>
                              <pic:cNvPicPr/>
                              <pic:nvPr/>
                            </pic:nvPicPr>
                            <pic:blipFill>
                              <a:blip r:embed="rId15"/>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5" o:title=""/>
                    </v:shape>
                  </w:pict>
                </mc:Fallback>
              </mc:AlternateContent>
            </w:r>
            <w:r>
              <w:rPr>
                <w:rFonts w:hint="eastAsia" w:ascii="宋体" w:hAnsi="宋体" w:cs="宋体"/>
                <w:color w:val="000000" w:themeColor="text1"/>
                <w:sz w:val="20"/>
                <w:szCs w:val="20"/>
                <w:highlight w:val="none"/>
                <w:lang w:bidi="ar"/>
                <w14:textFill>
                  <w14:solidFill>
                    <w14:schemeClr w14:val="tx1"/>
                  </w14:solidFill>
                </w14:textFill>
              </w:rPr>
              <w:t xml:space="preserve">米</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立面影镜</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水银落地镜，≥2100mmH带框镜，≥5mm厚。</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平米</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164</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54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更衣柜</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规格：≥900mm*400mm*1850mm,板厚≥0.6mm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产品采用0.6mm厚冷轧钢板制作而成，耐压，强度大，不易变形；采用静电粉末喷塑，无有机溶剂，无污染；开启灵活、扣手新颖个性，铝合金更加美观耐用。焊接部分采用高标准熔接焊，表面部分光滑平整。</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张</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928"/>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更衣凳</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长1200*宽420*高430mm（规格偏离±5%）</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、凳脚设计及材质</w:t>
            </w: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A级ABS（聚苯乙烯树脂）全新工程塑料制成</w:t>
            </w: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八宝盆样式的凳脚设计；</w:t>
            </w:r>
            <w:r/>
          </w:p>
          <w:p>
            <w:pPr>
              <w:numPr>
                <w:ilvl w:val="0"/>
                <w:numId w:val="6"/>
              </w:numPr>
              <w:jc w:val="left"/>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凳面均为硬质PVC塑料材质，每条凳面精美10条防滑纹，延伸至凳面堵头；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、凳面内部切面结构：四小格+2条支柱；</w:t>
            </w:r>
            <w:r/>
          </w:p>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由</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A级ABS（聚苯乙烯树脂）全新工程塑料+304不锈钢螺母合制而成，每条凳面插入3个滑块，加固凳面和凳脚；</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、304不锈钢加长螺丝固定，凳面和凳脚</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张</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4648"/>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钢琴</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尺寸：不低于125*151*60cm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琴弦：采用优质钢丝，1#低音弦长度：不小于1150 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弦槌：采用呢毡</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音板：采用复合音板，上下两层白松实木木皮，音板在任何环境下都能保持稳定状态，不会变形和开裂。采用五轴联动设备加工音板框。</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弦轴板：采用钢琴专用色木多层板。</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弦码：采用钢琴专用色木多层板，硬度高、不开裂、音波阻抗小，具有良好的导音性能。</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弦轴：45＃钢（调质处理）。</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中踏瓣：专用钢丝拉线。</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活动杆：特种金属。</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键盘盖：不带缓降装置。</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键盘：88键，采用优质红松</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踏板：全功能三瓣式。</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外观及涂装：底层为高密度聚脂板，再涂饰底漆及高硬度防裂亮光面漆</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gridSpan w:val="4"/>
            <w:tcBorders>
              <w:top w:val="single" w:color="000000" w:sz="4" w:space="0"/>
              <w:left w:val="single" w:color="000000" w:sz="4" w:space="0"/>
              <w:bottom w:val="single" w:color="000000" w:sz="4" w:space="0"/>
              <w:right w:val="single" w:color="000000" w:sz="4" w:space="0"/>
            </w:tcBorders>
            <w:tcW w:w="7655" w:type="dxa"/>
            <w:vAlign w:val="center"/>
            <w:textDirection w:val="lrTb"/>
            <w:noWrap w:val="false"/>
          </w:tcPr>
          <w:p>
            <w:pPr>
              <w:jc w:val="center"/>
              <w:widowControl/>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bidi="ar"/>
                <w14:textFill>
                  <w14:solidFill>
                    <w14:schemeClr w14:val="tx1"/>
                  </w14:solidFill>
                </w14:textFill>
              </w:rPr>
              <w:t xml:space="preserve">更衣室</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54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更衣柜</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规格：≥900mm*400mm*1850mm,板厚≥0.6mm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产品采用≥0.6mm厚冷轧钢板制作而成，耐压，强度大，不易变形；采用静电粉末喷塑，无有机溶剂，无污染；开启灵活、扣手新颖个性，铝合金更加美观耐用。焊接部分采用高标准熔接焊，表面部分光滑平整。</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张</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2312"/>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更衣凳</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长1200*宽420*高430mm（规格偏离±5%）</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、凳脚设计及材质</w:t>
            </w: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A级ABS（聚苯乙烯树脂）全新工程塑料制成</w:t>
            </w: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八宝盆样式的凳脚设计；</w:t>
            </w:r>
            <w:r/>
          </w:p>
          <w:p>
            <w:pPr>
              <w:numPr>
                <w:ilvl w:val="0"/>
                <w:numId w:val="6"/>
              </w:numPr>
              <w:jc w:val="left"/>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凳面均为硬质PVC塑料材质，每条凳面精美10条防滑纹，延伸至凳面堵头；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、凳面内部切面结构：四小格+2条支柱；</w:t>
            </w:r>
            <w:r/>
          </w:p>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由</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A级ABS（聚苯乙烯树脂）全新工程塑料+304不锈钢螺母合制而成，每条凳面插入3个滑块，加固凳面和凳脚；</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、304不锈钢加长螺丝固定，凳面和凳脚</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张</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2312"/>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茶水柜</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规格：≥1200*400*800mm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1、优质三聚氰胺板饰面，硬度高，不易磨花。</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2、基材：选用E1级优质实木颗粒板，具有环保、质地均匀恒定的特点。甲醛释放量,吸水膨胀率符合国家标准，台面厚度为≥25MM；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3、封边: ≥2.0mm同色优质PVC封边，甲醛释放量符合国家标准。</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4、五金件：采用优质五金件</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张</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gridSpan w:val="4"/>
            <w:tcBorders>
              <w:top w:val="single" w:color="000000" w:sz="4" w:space="0"/>
              <w:left w:val="single" w:color="000000" w:sz="4" w:space="0"/>
              <w:bottom w:val="single" w:color="000000" w:sz="4" w:space="0"/>
              <w:right w:val="single" w:color="000000" w:sz="4" w:space="0"/>
            </w:tcBorders>
            <w:tcW w:w="7655" w:type="dxa"/>
            <w:vAlign w:val="center"/>
            <w:textDirection w:val="lrTb"/>
            <w:noWrap/>
          </w:tcPr>
          <w:p>
            <w:pPr>
              <w:jc w:val="center"/>
              <w:widowControl/>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7371080</wp:posOffset>
                      </wp:positionH>
                      <wp:positionV relativeFrom="paragraph">
                        <wp:posOffset>0</wp:posOffset>
                      </wp:positionV>
                      <wp:extent cx="10160" cy="10160"/>
                      <wp:effectExtent l="0" t="0" r="0" b="0"/>
                      <wp:wrapNone/>
                      <wp:docPr id="5" name="图片_13"/>
                      <wp:cNvGraphicFramePr/>
                      <a:graphic xmlns:a="http://schemas.openxmlformats.org/drawingml/2006/main">
                        <a:graphicData uri="http://schemas.openxmlformats.org/drawingml/2006/picture">
                          <pic:pic xmlns:pic="http://schemas.openxmlformats.org/drawingml/2006/picture">
                            <pic:nvPicPr>
                              <pic:cNvPr id="17" name="图片_13"/>
                              <pic:cNvPicPr/>
                              <pic:nvPr/>
                            </pic:nvPicPr>
                            <pic:blipFill>
                              <a:blip r:embed="rId13"/>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2336;o:allowoverlap:true;o:allowincell:true;mso-position-horizontal-relative:text;margin-left:580.4pt;mso-position-horizontal:absolute;mso-position-vertical-relative:text;margin-top:0.0pt;mso-position-vertical:absolute;width:0.8pt;height:0.8pt;mso-wrap-distance-left:9.0pt;mso-wrap-distance-top:0.0pt;mso-wrap-distance-right:9.0pt;mso-wrap-distance-bottom:0.0pt;" stroked="f">
                      <v:path textboxrect="0,0,0,0"/>
                      <v:imagedata r:id="rId13" o:title=""/>
                    </v:shape>
                  </w:pict>
                </mc:Fallback>
              </mc:AlternateContent>
            </w:r>
            <w:r>
              <w:rPr>
                <w:rFonts w:hint="eastAsia" w:ascii="宋体" w:hAnsi="宋体" w:cs="宋体"/>
                <w:b/>
                <w:bCs/>
                <w:color w:val="000000" w:themeColor="text1"/>
                <w:sz w:val="28"/>
                <w:szCs w:val="28"/>
                <w:highlight w:val="none"/>
                <w:lang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7371080</wp:posOffset>
                      </wp:positionH>
                      <wp:positionV relativeFrom="paragraph">
                        <wp:posOffset>0</wp:posOffset>
                      </wp:positionV>
                      <wp:extent cx="10160" cy="10160"/>
                      <wp:effectExtent l="0" t="0" r="0" b="0"/>
                      <wp:wrapNone/>
                      <wp:docPr id="6" name="图片_14"/>
                      <wp:cNvGraphicFramePr/>
                      <a:graphic xmlns:a="http://schemas.openxmlformats.org/drawingml/2006/main">
                        <a:graphicData uri="http://schemas.openxmlformats.org/drawingml/2006/picture">
                          <pic:pic xmlns:pic="http://schemas.openxmlformats.org/drawingml/2006/picture">
                            <pic:nvPicPr>
                              <pic:cNvPr id="20" name="图片_14"/>
                              <pic:cNvPicPr/>
                              <pic:nvPr/>
                            </pic:nvPicPr>
                            <pic:blipFill>
                              <a:blip r:embed="rId13"/>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3360;o:allowoverlap:true;o:allowincell:true;mso-position-horizontal-relative:text;margin-left:580.4pt;mso-position-horizontal:absolute;mso-position-vertical-relative:text;margin-top:0.0pt;mso-position-vertical:absolute;width:0.8pt;height:0.8pt;mso-wrap-distance-left:9.0pt;mso-wrap-distance-top:0.0pt;mso-wrap-distance-right:9.0pt;mso-wrap-distance-bottom:0.0pt;" stroked="f">
                      <v:path textboxrect="0,0,0,0"/>
                      <v:imagedata r:id="rId13" o:title=""/>
                    </v:shape>
                  </w:pict>
                </mc:Fallback>
              </mc:AlternateContent>
            </w:r>
            <w:r>
              <w:rPr>
                <w:rFonts w:hint="eastAsia" w:ascii="宋体" w:hAnsi="宋体" w:cs="宋体"/>
                <w:b/>
                <w:bCs/>
                <w:color w:val="000000" w:themeColor="text1"/>
                <w:sz w:val="28"/>
                <w:szCs w:val="28"/>
                <w:highlight w:val="none"/>
                <w:lang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7371080</wp:posOffset>
                      </wp:positionH>
                      <wp:positionV relativeFrom="paragraph">
                        <wp:posOffset>0</wp:posOffset>
                      </wp:positionV>
                      <wp:extent cx="10160" cy="10160"/>
                      <wp:effectExtent l="0" t="0" r="0" b="0"/>
                      <wp:wrapNone/>
                      <wp:docPr id="7" name="图片_17"/>
                      <wp:cNvGraphicFramePr/>
                      <a:graphic xmlns:a="http://schemas.openxmlformats.org/drawingml/2006/main">
                        <a:graphicData uri="http://schemas.openxmlformats.org/drawingml/2006/picture">
                          <pic:pic xmlns:pic="http://schemas.openxmlformats.org/drawingml/2006/picture">
                            <pic:nvPicPr>
                              <pic:cNvPr id="19" name="图片_17"/>
                              <pic:cNvPicPr/>
                              <pic:nvPr/>
                            </pic:nvPicPr>
                            <pic:blipFill>
                              <a:blip r:embed="rId13"/>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4384;o:allowoverlap:true;o:allowincell:true;mso-position-horizontal-relative:text;margin-left:580.4pt;mso-position-horizontal:absolute;mso-position-vertical-relative:text;margin-top:0.0pt;mso-position-vertical:absolute;width:0.8pt;height:0.8pt;mso-wrap-distance-left:9.0pt;mso-wrap-distance-top:0.0pt;mso-wrap-distance-right:9.0pt;mso-wrap-distance-bottom:0.0pt;" stroked="f">
                      <v:path textboxrect="0,0,0,0"/>
                      <v:imagedata r:id="rId13" o:title=""/>
                    </v:shape>
                  </w:pict>
                </mc:Fallback>
              </mc:AlternateContent>
            </w:r>
            <w:r>
              <w:rPr>
                <w:rFonts w:hint="eastAsia" w:ascii="宋体" w:hAnsi="宋体" w:cs="宋体"/>
                <w:b/>
                <w:bCs/>
                <w:color w:val="000000" w:themeColor="text1"/>
                <w:sz w:val="28"/>
                <w:szCs w:val="28"/>
                <w:highlight w:val="none"/>
                <w:lang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7371080</wp:posOffset>
                      </wp:positionH>
                      <wp:positionV relativeFrom="paragraph">
                        <wp:posOffset>0</wp:posOffset>
                      </wp:positionV>
                      <wp:extent cx="10160" cy="10160"/>
                      <wp:effectExtent l="0" t="0" r="0" b="0"/>
                      <wp:wrapNone/>
                      <wp:docPr id="8" name="图片_18"/>
                      <wp:cNvGraphicFramePr/>
                      <a:graphic xmlns:a="http://schemas.openxmlformats.org/drawingml/2006/main">
                        <a:graphicData uri="http://schemas.openxmlformats.org/drawingml/2006/picture">
                          <pic:pic xmlns:pic="http://schemas.openxmlformats.org/drawingml/2006/picture">
                            <pic:nvPicPr>
                              <pic:cNvPr id="15" name="图片_18"/>
                              <pic:cNvPicPr/>
                              <pic:nvPr/>
                            </pic:nvPicPr>
                            <pic:blipFill>
                              <a:blip r:embed="rId13"/>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5408;o:allowoverlap:true;o:allowincell:true;mso-position-horizontal-relative:text;margin-left:580.4pt;mso-position-horizontal:absolute;mso-position-vertical-relative:text;margin-top:0.0pt;mso-position-vertical:absolute;width:0.8pt;height:0.8pt;mso-wrap-distance-left:9.0pt;mso-wrap-distance-top:0.0pt;mso-wrap-distance-right:9.0pt;mso-wrap-distance-bottom:0.0pt;" stroked="f">
                      <v:path textboxrect="0,0,0,0"/>
                      <v:imagedata r:id="rId13" o:title=""/>
                    </v:shape>
                  </w:pict>
                </mc:Fallback>
              </mc:AlternateContent>
            </w:r>
            <w:r>
              <w:rPr>
                <w:rFonts w:hint="eastAsia" w:ascii="宋体" w:hAnsi="宋体" w:cs="宋体"/>
                <w:b/>
                <w:bCs/>
                <w:color w:val="000000" w:themeColor="text1"/>
                <w:sz w:val="28"/>
                <w:szCs w:val="28"/>
                <w:highlight w:val="none"/>
                <w:lang w:bidi="ar"/>
                <w14:textFill>
                  <w14:solidFill>
                    <w14:schemeClr w14:val="tx1"/>
                  </w14:solidFill>
                </w14:textFill>
              </w:rPr>
              <w:t xml:space="preserve">体育器材</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74"/>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移动式篮球架（室外）</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numPr>
                <w:ilvl w:val="0"/>
                <w:numId w:val="7"/>
              </w:num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产品技术规格、产品用材 </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篮球架伸臂长≥1.80m，篮圈上沿离地面3.05m，球架伸臂采用≥150*150*3.0mm方管焊合。立柱采用≥150*150*3.0mm优质圆角方管焊接成型。篮球架箱体：篮架箱体采用≥3.0mm铁板焊接成型。尺寸：长*宽*前高*后高≥2m*1m*0.5m*0.36m。后拉杆采用≥40*40*2.0mm方管一次折弯成型制作。篮球架地脚采用精密铸钢地脚。篮架箱体与地面连接处使用M12膨胀螺栓，对篮球架进行二次加固使篮架更加稳定。</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篮架支点采用≥φ32x2.5mm圆管在折弯机上折弯一次成型，避免了电焊及焊渣易引起的生锈隐患。通过调节上拉杆可调节篮板的平面和垂直度。单只配重不少于500kg。</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2．篮板（SMC材质）</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篮板为SMC篮板，篮板外形尺寸为≥1800*1050*50mm（长x宽x高）。篮板厚度不低于7.8mm，翻边宽度不低于50mm，加强筋厚度不低于4mm。篮板投篮区背面安装有加强钢板，钢板的尺寸不小于570*150*5mm。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4．篮圈</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篮圈采用φ18mm实心圆钢制作，篮圈抗弯性能好，在篮圈最远点的圈顶上施加静载荷未到105kg时，篮圈无转动，当静载荷≥105kg时，篮圈向下转动，角度不超过30度，能有效解决投篮时篮圈的稳定性和运动员扣篮时的安全性问题。</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5．表面处理</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所有钢件采用抛丸、打砂等初级处理后在自动喷涂线上采用纯聚酯粉末喷涂完成最后的表面处理，涂层厚度80至120um。产品具有耐湿热、抗老化、外观美等优点，适用于室外使用，且产品涂料配方不含有毒元素，避免损害使用者的健康。</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6、紧固件</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篮架所有紧固件均采用304不锈钢与热镀锌材质，有效的避免了因紧固件生锈造成的安全问题。</w:t>
            </w:r>
            <w:r/>
          </w:p>
          <w:p>
            <w:pPr>
              <w:numPr>
                <w:ilvl w:val="0"/>
                <w:numId w:val="0"/>
              </w:numPr>
              <w:jc w:val="left"/>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产品具有产品质量责任险、公众责任险（公众责任险保险范围区域必须含本次招标产品安装地点区域）且每种保险累计赔偿额度在3000 万（含3000 万</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以上</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b/>
                <w:bCs/>
                <w:color w:val="000000" w:themeColor="text1"/>
                <w:sz w:val="20"/>
                <w:szCs w:val="20"/>
                <w:highlight w:val="none"/>
                <w:lang w:val="en-US" w:eastAsia="zh-CN" w:bidi="ar"/>
                <w14:textFill>
                  <w14:solidFill>
                    <w14:schemeClr w14:val="tx1"/>
                  </w14:solidFill>
                </w14:textFill>
              </w:rPr>
              <w:t xml:space="preserve">承诺中标后提供符合要求的保单原件，提供承诺书格式自拟。</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副</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30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 xml:space="preserve">电动折叠篮球架</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numPr>
                <w:ilvl w:val="0"/>
                <w:numId w:val="8"/>
              </w:numPr>
              <w:jc w:val="left"/>
              <w:widowControl/>
              <w:rPr>
                <w:rFonts w:hint="eastAsia" w:ascii="宋体" w:hAnsi="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产品技术规格  </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篮球架伸臂为2.55m，篮圈上沿离地面高3.05m，箱体尺寸：长X宽X前高X后高=≥2.1*1.1*0.65*0.35（m）。适合最小场地≥35.5m。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2．产品用材</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篮架箱体采用≥3mm厚的铁板在专用折边机上折边而成，篮球架立臂采用≥120*60*3.0mm方管，与铁板焊接成型，篮架后立臂采用≥60*60*3.0mm方管，篮球架伸臂采用≥120*120*3.0mm、≥120*60*3.0mm、≥60*60*3.0mm方管焊接成型，焊缝表面均匀光滑。篮架立臂与伸臂，立臂与箱体连接部位，采用精密铸钢件连接，性能安全可靠。篮架上拉杆采用优质φ32x3.0圆管在折弯机上一次成型，避免了电焊及焊渣易引起的生锈等隐患，合理的结构设计与独特的外观造型和谐统一。</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3．产品的结构原理</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篮球架设有篮架升降系统、走轮伸缩机构、液压系统。篮球架采用电动液压机构，由液压控制篮球架立臂升降、走轮伸缩。 篮架主体升降采用液压升降系统，使用电机接通220V、50HZ单相电源即可，带动油泵，经微电脑控制系统进行“功能”转换，油缸随即产生伸缩运动，从而使球架立柱升降和底座万向轮起落。 </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4．篮板</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篮板支撑结构为三支点支撑，板面配用通用的高强度安全超白玻璃篮板，规格：≥1800×1050x12.0（mm），具有透明度高、耐侯性好、抗老化、耐腐蚀、不易模糊等特点，并在篮板下沿侧面覆盖有保护圈，保护圈前后表面高度、厚度均≥20mm，底面厚度≥50mm，符合FIBA规则，能有效保护运动员扣篮时不受伤害。</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篮板弹性500N/min，中心挠度≤6mm，取消外力1min后篮板恢复原状。</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5、篮圈</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篮圈采用φ18mm实心圆钢制作，篮圈抗弯性能好，在篮圈最远点的圈顶上施加静载荷未到105kg时，篮圈无转动，当静载荷≥105kg时，篮圈向下转动，角度不超过30度，能有效解决投篮时篮圈的稳定性和运动员扣篮时的安全性问题。</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6.紧固件</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篮架所有紧固件均采用304不锈钢与热镀锌材质，有效的避免了因紧固件生锈造成的安全问题。</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7、防护措施</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篮球架前立臂、底座、伸臂配备有专用木板护套厚度100mm，能有效保护运动员不受伤害，篮球架地面支撑脚采用精密铸钢件制造，性能安全可靠，后部装有特制专用配重，单只配重不少于600kg，能保证在篮圈根部施加3200N的载荷时，篮球架不倾翻。前立臂与伸臂之间设有专用的保险机构，能有效保证使用时的安全性及美观性。</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8、表面处理</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所有钢件均经抛丸、打砂等初级处理在自动喷涂线上采用静电环氧基粉末喷涂完成最后表面处理，涂层厚度80um至120um。产品具有耐酸碱、耐湿热、抗老化、外观美观等优点，且产品涂料配方不含有毒元素，避免损害使用者健康。</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1.</w:t>
            </w:r>
            <w:r>
              <w:rPr>
                <w:rFonts w:hint="eastAsia" w:ascii="宋体" w:hAnsi="宋体" w:cs="宋体"/>
                <w:color w:val="000000" w:themeColor="text1"/>
                <w:sz w:val="20"/>
                <w:szCs w:val="20"/>
                <w:highlight w:val="none"/>
                <w:lang w:eastAsia="zh-CN" w:bidi="ar"/>
                <w14:textFill>
                  <w14:solidFill>
                    <w14:schemeClr w14:val="tx1"/>
                  </w14:solidFill>
                </w14:textFill>
              </w:rPr>
              <w:t xml:space="preserve">▲提供含有CMA或CNAS标识的</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电动折叠篮球架</w:t>
            </w:r>
            <w:r>
              <w:rPr>
                <w:rFonts w:hint="eastAsia" w:ascii="宋体" w:hAnsi="宋体" w:cs="宋体"/>
                <w:color w:val="000000" w:themeColor="text1"/>
                <w:sz w:val="20"/>
                <w:szCs w:val="20"/>
                <w:highlight w:val="none"/>
                <w:lang w:eastAsia="zh-CN" w:bidi="ar"/>
                <w14:textFill>
                  <w14:solidFill>
                    <w14:schemeClr w14:val="tx1"/>
                  </w14:solidFill>
                </w14:textFill>
              </w:rPr>
              <w:t xml:space="preserve">检测报告原件的扫描件加盖电子章。</w:t>
            </w:r>
            <w:r/>
          </w:p>
          <w:p>
            <w:pPr>
              <w:numPr>
                <w:ilvl w:val="0"/>
                <w:numId w:val="8"/>
              </w:numPr>
              <w:jc w:val="left"/>
              <w:widowControl/>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产品具有产品质量责任险、公众责任险（公众责任险保险范围区域必须含本次招标产品安装地点区域）且每种保险累计赔偿额度在3000 万（含3000 万</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以上</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b/>
                <w:bCs/>
                <w:color w:val="000000" w:themeColor="text1"/>
                <w:sz w:val="20"/>
                <w:szCs w:val="20"/>
                <w:highlight w:val="none"/>
                <w:lang w:val="en-US" w:eastAsia="zh-CN" w:bidi="ar"/>
                <w14:textFill>
                  <w14:solidFill>
                    <w14:schemeClr w14:val="tx1"/>
                  </w14:solidFill>
                </w14:textFill>
              </w:rPr>
              <w:t xml:space="preserve">承诺中标后提供符合要求的保单原件，提供承诺书格式自拟。</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副</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2312"/>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24 秒计时器</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计时器根据最新国际篮球竞赛规则设计制作，显示屏光源采用高亮度贴片式发光二级管，寿命长，用电省，刷新率高，无闪烁现象。</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1、显示屏尺寸：520*110*465mm（单面）</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2、发　光　管：3528型大角度高亮红色、黄色贴片式LED发光管</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3、电压：AC170V-270V宽电压设计</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4、功率：＜200W。</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2763"/>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篮球发球权显示器</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一、系统的组成部分</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1、发球权显示器（1只/套）</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2、控制器（1只/套）</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3、说明书、合格证、保修卡各一份</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二、技术参数</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电缆线长：≥1.5m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电源线长：≥1.5m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控制器尺寸：174×134×50mm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显示器尺寸：340×160×40mm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电     源：交流220V  50HZ</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功     率：50W</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461"/>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篮球赛电子全队犯规器</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一、系统的组成部分</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1、三棱形显示器（2只/套）</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2、控制器（1只/套）</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3、电缆线（2根）、电源线（1根）</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二、技术参数</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电缆线长：≥ 5m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电源线长：≥1.7m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控制器尺寸：330×330×105mm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显示器尺寸：220×220×330mm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电     源：交流220V  50HZ</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54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篮球赛记录员讯响器</w:t>
            </w:r>
            <w:r/>
          </w:p>
        </w:tc>
        <w:tc>
          <w:tcPr>
            <w:tcBorders>
              <w:top w:val="single" w:color="000000" w:sz="4" w:space="0"/>
              <w:left w:val="single" w:color="000000" w:sz="4" w:space="0"/>
              <w:bottom w:val="non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控制电缆长：≥5m　</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电源线长：≥1.7m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电源：交流220V　50HZ</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功率：50W</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638"/>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篮球队员犯规次数牌</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EVA材质，7块，数字1-6, 其中1-5数字为黑色，5-6 为红色</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928"/>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篮球赛计分器</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1.篮球赛记分器为立式记分器，主要由支架、记分方框和记分牌组成，外形尺寸：长×宽×高=1200*470*1500mm  （mm）。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2.记分器下支架主要由40*20*1.5椭圆管拼焊而成，上支架主要由1.2mm铁板折边成型，队名牌框采用专用铝合金型材制作，队名牌为白色雪覆板。</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3．记分牌为手推式记分盒，采用PVC板制作。</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638"/>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篮球战术演示板</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记号笔1只，磁性珠11颗，其中：红色或黄色5颗，绿色5颗，白色1颗</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0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移动式羽毛球柱</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1.组成</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羽毛球柱 由底座、底座外壳、立柱、锁紧装置组成。</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2.立柱直径、壁厚、高度   </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立柱选用Φ40×4.0㎜无缝钢管制作，立柱配有网钩，置网方便，且一根立柱外侧置有一系绳柱，另一立柱外侧置有紧线机构装置，该机构紧线灵活，锁紧可靠，不会产生卡滞或自动反松现象。通过向下拉网线，可调节拉网绳的松紧，确保拉网绳牢固拉紧，并实现网的高度要求：网中心距地面1524±5mm，球网两侧距地面1550±8mm。球网被拉紧时，网柱能稳固地与地面保持垂直，立柱轴线对水平面的垂直公差≤1/500，且网柱各部位均不侵入场地内边线的垂直线内。</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3.底座尺寸、材料 </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羽毛球底座配有≥420x230x200mm配重箱体，每副箱体内部可放置140公斤沙、石等配重物(客户可自行放置配重）；箱体外面配有塑料外壳，尺寸（长x宽x高）：≥770x580x260（mm）造型独特、美观、大方；无任何尖角、棱角，表面圆润，光滑。</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4.球网（羽联认证球网选配）</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球网尺寸长x宽：≥760x6100mm；球网材质为涤纶，颜色为酒红色，上沿有7.5cm的白帆布包缝布带，网孔尺寸≥18mmx18mm，线径不低于1mm。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5.表面处理：</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羽毛球立柱、所经抛丸、打砂等初级处理在自动喷涂线上采用静电环氧基粉末喷涂完成最后表面处理，涂层厚度80um至120um。产品表面光滑、平整光泽度小于30%，色泽均匀无起皮脱落，漏涂、裂痕及明显的流痕、花斑、气泡凹陷痕等缺陷。</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副</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754"/>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羽毛球网</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1、羽毛球网规格：≥长6100mm,高7≥60mm。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2、羽毛球网为咖啡色15股网片，网眼为正方形，边长在15～20mm之间，网眼大小基本一致。</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3、羽毛球网的上沿采用≥75mm宽坛白布对折包边，两端通孔，穿φ5硬绳线，两端设气眼便于拉绳。</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4、羽毛球网的底边及两侧采用12股网线将羽毛球网绳与网片一起拷边，增加网片的棱角度和成形度。</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副</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2543"/>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折叠式球类推车</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1.推车外形基本尺寸：长×宽×高=900×800×700(㎜)。</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2.推车主要采用φ19×1.5和φ10×1.2圆管在专用弯管机上弯曲成形后拼焊而成，推车整体可拆装，存放时可减少空间。</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3.推车支脚底部装有滚轮，移动方便。</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4. 喷涂工件的表面处理分二个阶段，前处理阶段使工件获得质量优良的介质层，增加防锈涂膜与金属基体的结合力，是提高产品表面处理能力的必备基础措施。表面处理阶段是将粉末通过高压静电作用均匀涂敷在被涂物体上的过程。当涂层达到一定厚度后，进入烘炉加热，涂料熔融固化，形成厚度均匀、质地牢固的涂层。</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2793"/>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乒乓球桌</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台面尺寸：≥2740mm*1525mm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面板厚度：≥18mm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球桌高度：≥760mm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装箱尺寸：≥1640mm*1480mm*170mm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装箱重量：≥100kg</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桌脚尺寸：≥40mm方管外脚</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有无脚轮：≥75mm可移动脚轮*8个</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摩擦系数：≤0.4(符合专业大赛标准)</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台面材质:高弹密度面板</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桌脚材质:加固铁合金</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张</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35</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5247"/>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插地式排球柱（含网）</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1.产品规格：</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地插式铁排球柱：含有预埋件，地埋深度为400mm，伸缩范围：2060-2550mm。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2.产品用材及参数：</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主立柱采用Φ89x5.0无缝钢管制作，伸缩立柱采用Φ76x4.0无缝钢管制作。排球柱外立柱底部设有40㎜厚特制缓冲垫，与预埋件相配时起缓冲作用，能有效延长预埋件及立柱的使用寿命。排球柱预埋管为Ø102x5.0的无缝钢管，预埋件端部配备有专用的铜质上盖，使用时将预埋铜盖掀开，把立柱插入预埋孔即可使用，不用时，取出排球柱立柱，盖上铜盖即可，使用方便，且铜质盖板能适合潮湿和酸雨环境，室内、室外均可使用，其独特的连体结构设计，又防止了被盗的可能。</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3.网绳锁紧方式：</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外立柱中，一立柱外侧配有不锈钢网环，绳系在网环上，另一立柱上外侧配有紧线锁紧机构，采用丝杠传动原理，可以达到自锁（起到安全作用）。通过调节锁紧手柄（锁紧手柄为铜件），可以调节网绳松紧。</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4.网绳升降方式：</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外立柱内置一对互成90度的斜齿轮，配梯形螺纹的螺杆升降机构，通过摇动升降手柄，使内立柱上下移动，实现网高调节高度：2060-2550mm。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5．表面处理：</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所有钢件制作表面均经抛丸、打砂等初级处理后在自动喷涂线上采用电环氧基粉完成最后的表面处理，涂层80至120um。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6.带有软海绵护套</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副</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577"/>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11人制足球门（含网）</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1.产品规格：</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11人制球门内框尺寸为7.32mx2.44m，下方深度为3.0m，上方深度2.4m。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2.产品用材</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球门横梁、立柱为Φ114x3.0圆管制作。压杠采用40x60x3.0方管制作。支撑弯采用Φ42x3圆管一次折弯成型，网钩采用螺旋状网钩，有效的防止运动员在运动中受伤。</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3．表面处理</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所有钢件均经抛丸、打砂等初级处理在自动喷涂线上采用静电环氧基粉末喷涂完成最后表面处理，涂层厚度80um至120um。产品具有耐酸碱、耐湿热、抗老化、外观美观等优点，且产品涂料配方不含有毒元素，避免损害使用者健康。</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副</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957"/>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16</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单杠</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1.产品主要技术参数：</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外形尺寸：（L×W×H） 1325×114×2180mm（±5mm）；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直埋式，主立柱采用直径114mm，壁厚3mm的热镀锌钢管，能有效保证器材常年使用，抗腐蚀；、</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杠面直径32mm，壁厚3.0mm的无缝钢管；</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缓冲层厚度300mm，更加安全可靠，避免出现意外伤害；</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器材立柱埋入深度不小于900mm，地埋尺寸不小于600*600*1000mm；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器材所使用紧固件均为防盗、防松304不锈钢材质。</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器材整机性能功能结构按照GB19272-2024国准要求设计，整机进行相关静载荷、稳定性及疲劳试验，并符合标准要求。</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器材具有1站式运动位，可1人使用；</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器材主立柱埋入深度不小于500mm，地埋尺寸不小于400*400*600mm。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2.产品生产工艺：</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器材采用全自动数控锯床、激光切板、激光切管机下料，效率高定位准确，弯管工序采用数控弯管机，角度准确外形美观；</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焊接采用机械手焊接，专用工装定位，焊缝美观，焊道平直，无需打磨，焊接强度牢固可靠；并配备粉尘收集处理系统，净化车间空气，保证工人身体健康；</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表面处理采用抛丸工艺，除锈彻底，增大工件表面面积，增强塑粉附着力，器材表面涂装采用静电喷涂设备，出粉均匀，粉末附着力强，塑面耐酸碱、耐湿热、抗老化、耐腐蚀、外观美观，适合潮湿和酸雨环境，产品的涂料配方不含有毒元素，粉末回收采用旋风式离心机粉末回收系统，回收率可达98.6%，节省粉末降低粉尘污染，操作方便，节能环保；</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器材整机包装为加厚复合膜缠绕，有效阻隔运输当中产生磕碰，使器材完好无损。</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3.主要功能：</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增强上肢、背部、肩带肌群力量及柔韧性；改善肩、肘、腕、指关节活动能力。</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4.锻炼方法：</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双手正握，反握或正反握紧手柄用力上拉，缓和慢还原，重复动作。</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提供</w:t>
            </w:r>
            <w:r>
              <w:rPr>
                <w:rFonts w:hint="eastAsia" w:ascii="宋体" w:hAnsi="宋体" w:cs="宋体"/>
                <w:color w:val="000000" w:themeColor="text1"/>
                <w:sz w:val="20"/>
                <w:szCs w:val="20"/>
                <w:highlight w:val="none"/>
                <w:lang w:bidi="ar"/>
                <w14:textFill>
                  <w14:solidFill>
                    <w14:schemeClr w14:val="tx1"/>
                  </w14:solidFill>
                </w14:textFill>
              </w:rPr>
              <w:t xml:space="preserve">国家认监委</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批准的</w:t>
            </w:r>
            <w:r>
              <w:rPr>
                <w:rFonts w:hint="eastAsia" w:ascii="宋体" w:hAnsi="宋体" w:cs="宋体"/>
                <w:color w:val="000000" w:themeColor="text1"/>
                <w:sz w:val="20"/>
                <w:szCs w:val="20"/>
                <w:highlight w:val="none"/>
                <w:lang w:bidi="ar"/>
                <w14:textFill>
                  <w14:solidFill>
                    <w14:schemeClr w14:val="tx1"/>
                  </w14:solidFill>
                </w14:textFill>
              </w:rPr>
              <w:t xml:space="preserve">体育用品单杠认证资格证书。</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提供证书原件的扫描件加盖电子章</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付</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93"/>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17</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双杠</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 产品主要技术参数：</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外形尺寸：（L×W×H） 2296×725×1310mm（±5mm）；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直埋式，主立柱采用直径114mm，壁厚3mm的热镀锌钢管，能有效保证器材常年使用，抗腐蚀；</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杠面直径42mm，壁厚3mm的无缝钢管；</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缓冲层厚度200mm，更加安全可靠，避免出现意外伤害；</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器材立柱埋入深度不小于700mm，地埋尺寸不小于800*800*1000mm；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器材所使用紧固件均为防盗、防松304不锈钢材质。</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器材整机性能功能结构按照GB19272-2024国准要求设计，整机进行相关静载荷、稳定性及疲劳试验，并符合标准要求。</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器材具有1站式运动位，可1人使用；</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器材主立柱埋入深度不小于500mm，地埋尺寸不小于400*400*600mm。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 产品生产工艺：</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器材采用全自动数控锯床、激光切板、激光切管机下料，效率高定位准确，弯管工序采用数控弯管机，角度准确外形美观；</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焊接采用机械手焊接，专用工装定位，焊缝美观，焊道平直，无需打磨，焊接强度牢固可靠；并配备粉尘收集处理系统，净化车间空气，保证工人身体健康；</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表面处理采用抛丸工艺，除锈彻底，增大工件表面面积，增强塑粉附着力，器材表面涂装采用静电喷涂设备，出粉均匀，粉末附着力强，塑面耐酸碱、耐湿热、抗老化、耐腐蚀、外观美观，适合潮湿和酸雨环境，产品的涂料配方不含有毒元素，粉末回收采用旋风式离心机粉末回收系统，回收率可达98.6%，节省粉末降低粉尘污染，操作方便，节能环保；</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器材整机包装为加厚复合膜缠绕，有效阻隔运输当中产生磕碰，使器材完好无损。</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 主要功能：</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增强上肢、肩带、胸部、腹部及背部肌群的力量和柔韧性，提供上肢关节的稳定性，改善协调性和平衡能力。</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4.锻炼方法：</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手握杠两臂同时用力将身体撑起，然后做屈肘和直臂撑起的动作（臂屈伸），重复动作。</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提供</w:t>
            </w:r>
            <w:r>
              <w:rPr>
                <w:rFonts w:hint="eastAsia" w:ascii="宋体" w:hAnsi="宋体" w:cs="宋体"/>
                <w:color w:val="000000" w:themeColor="text1"/>
                <w:sz w:val="20"/>
                <w:szCs w:val="20"/>
                <w:highlight w:val="none"/>
                <w:lang w:bidi="ar"/>
                <w14:textFill>
                  <w14:solidFill>
                    <w14:schemeClr w14:val="tx1"/>
                  </w14:solidFill>
                </w14:textFill>
              </w:rPr>
              <w:t xml:space="preserve">国家认监委</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批准的</w:t>
            </w:r>
            <w:r>
              <w:rPr>
                <w:rFonts w:hint="eastAsia" w:ascii="宋体" w:hAnsi="宋体" w:cs="宋体"/>
                <w:color w:val="000000" w:themeColor="text1"/>
                <w:sz w:val="20"/>
                <w:szCs w:val="20"/>
                <w:highlight w:val="none"/>
                <w:lang w:bidi="ar"/>
                <w14:textFill>
                  <w14:solidFill>
                    <w14:schemeClr w14:val="tx1"/>
                  </w14:solidFill>
                </w14:textFill>
              </w:rPr>
              <w:t xml:space="preserve">体育用品双杠认证资格证书。</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提供证书原件的扫描件加盖电子章</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付</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9977"/>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18</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平梯</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numPr>
                <w:ilvl w:val="0"/>
                <w:numId w:val="9"/>
              </w:num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产品主要技术参数：</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外形尺寸：（L×W×H）3040x846x2090mm（±5mm）；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直埋式，主立柱采用直径114mm，壁厚3mm的热镀锌钢管，能有效保证器材常年使用，抗腐蚀；</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器材立柱埋入深度不小于600mm，地埋尺寸不小于600*600*700mm；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支撑横管为直径32mm，壁厚3mm的国标钢管，支撑管中心点距离立柱一端大于500mm； </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主架横梁采用直径48mm，壁厚3mm的标准钢管，</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缓冲层厚度300mm，避免出现意外伤害；</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器材所使用紧固件均为防盗、防松304不锈钢材质。</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器材整机性能功能结构按照GB19272-2024国准要求设计，整机进行相关静载荷、稳定性及疲劳试验，并符合标准要求。</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 产品生产工艺：</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器材采用全自动数控锯床、激光切板、激光切管机下料，效率高定位准确，弯管工序采用数控弯管机，角度准确外形美观；</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焊接采用机械手焊接，专用工装定位，焊缝美观，焊道平直，无需打磨，焊接强度牢固可靠；并配备粉尘收集处理系统，净化车间空气，保证工人身体健康；</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表面处理采用抛丸工艺，除锈彻底，增大工件表面面积，增强塑粉附着力，器材表面涂装采用静电喷涂设备，出粉均匀，粉末附着力强，塑面耐酸碱、耐湿热、抗老化、耐腐蚀、外观美观，适合潮湿和酸雨环境，产品的涂料配方不含有毒元素，粉末回收采用旋风式离心机粉末回收系统，回收率可达98.6%，节省粉末降低粉尘污染，操作方便，节能环保；</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器材整机包装为加厚复合膜缠绕，有效阻隔运输当中产生磕碰，使器材完好无损。</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 主要功能：</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促进肩部、臀部灵活性，增强上肢、腰部、背部、胸部、腹部肌肉力量，改善协调能力。</w:t>
            </w:r>
            <w:r/>
          </w:p>
          <w:p>
            <w:pPr>
              <w:numPr>
                <w:ilvl w:val="0"/>
                <w:numId w:val="0"/>
              </w:num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4.锻炼方法：</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双手握紧横杠，交替从器材一端攀爬到器材另一端。也可进行弹力压腿，提膝等运动。</w:t>
            </w:r>
            <w:r/>
          </w:p>
          <w:p>
            <w:pPr>
              <w:pStyle w:val="702"/>
              <w:numPr>
                <w:ilvl w:val="0"/>
                <w:numId w:val="0"/>
              </w:numPr>
              <w:rPr>
                <w:rFonts w:hint="eastAsia"/>
                <w:color w:val="000000" w:themeColor="text1"/>
                <w:highlight w:val="none"/>
                <w14:textFill>
                  <w14:solidFill>
                    <w14:schemeClr w14:val="tx1"/>
                  </w14:solidFill>
                </w14:textFill>
              </w:rPr>
            </w:pP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提供</w:t>
            </w:r>
            <w:r>
              <w:rPr>
                <w:rFonts w:hint="eastAsia" w:ascii="宋体" w:hAnsi="宋体" w:cs="宋体"/>
                <w:color w:val="000000" w:themeColor="text1"/>
                <w:sz w:val="20"/>
                <w:szCs w:val="20"/>
                <w:highlight w:val="none"/>
                <w:lang w:bidi="ar"/>
                <w14:textFill>
                  <w14:solidFill>
                    <w14:schemeClr w14:val="tx1"/>
                  </w14:solidFill>
                </w14:textFill>
              </w:rPr>
              <w:t xml:space="preserve">国家认监委</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批准的</w:t>
            </w:r>
            <w:r>
              <w:rPr>
                <w:rFonts w:hint="eastAsia" w:ascii="宋体" w:hAnsi="宋体" w:cs="宋体"/>
                <w:color w:val="000000" w:themeColor="text1"/>
                <w:sz w:val="20"/>
                <w:szCs w:val="20"/>
                <w:highlight w:val="none"/>
                <w:lang w:bidi="ar"/>
                <w14:textFill>
                  <w14:solidFill>
                    <w14:schemeClr w14:val="tx1"/>
                  </w14:solidFill>
                </w14:textFill>
              </w:rPr>
              <w:t xml:space="preserve">体育用品平梯认证资格证书。</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提供证书原件的扫描件加盖电子章</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付</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9977"/>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19</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肋木</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 产品主要技术参数：</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外形尺寸：（L×W×H）1128×114×2245mm（±5mm）；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直埋式，主立柱采用直径114mm，壁厚3mm的热镀锌钢管，能有效保证器材常年使用，抗腐蚀；</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横杠为直径32mm，厚度3m</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m</w:t>
            </w:r>
            <w:r>
              <w:rPr>
                <w:rFonts w:hint="eastAsia" w:ascii="宋体" w:hAnsi="宋体" w:cs="宋体"/>
                <w:color w:val="000000" w:themeColor="text1"/>
                <w:sz w:val="20"/>
                <w:szCs w:val="20"/>
                <w:highlight w:val="none"/>
                <w:lang w:bidi="ar"/>
                <w14:textFill>
                  <w14:solidFill>
                    <w14:schemeClr w14:val="tx1"/>
                  </w14:solidFill>
                </w14:textFill>
              </w:rPr>
              <w:t xml:space="preserve">的国标钢管，横杆间距离为300mm；</w:t>
            </w:r>
            <w:r>
              <w:rPr>
                <w:rFonts w:hint="eastAsia" w:ascii="宋体" w:hAnsi="宋体" w:cs="宋体"/>
                <w:color w:val="000000" w:themeColor="text1"/>
                <w:sz w:val="20"/>
                <w:szCs w:val="20"/>
                <w:highlight w:val="green"/>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器材立柱埋入深度不小于600mm，地埋尺寸不小于600*600*700mm；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缓冲层厚度300mm，最下端横杆距地面距离大于400mm，更加安全可靠，避免出现意外伤害；</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器材所使用紧固件均为防盗、防松304不锈钢材质。</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器材整机性能功能结构按照GB19272-2024国准要求设计，整机进行相关静载荷、稳定性及疲劳试验，并符合标准要求。</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器材具有1站式运动位，可1人同时使用；</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 产品生产工艺：</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器材采用全自动数控锯床、激光切板、激光切管机下料，效率高定位准确，弯管工序采用数控弯管机，角度准确外形美观；</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焊接采用机械手焊接，专用工装定位，焊缝美观，焊道平直，无需打磨，焊接强度牢固可靠；并配备粉尘收集处理系统，净化车间空气，保证工人身体健康；</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表面处理采用抛丸工艺，除锈彻底，增大工件表面面积，增强塑粉附着力，器材表面涂装采用静电喷涂设备，出粉均匀，粉末附着力强，塑面耐酸碱、耐湿热、抗老化、耐腐蚀、外观美观，适合潮湿和酸雨环境，产品的涂料配方不含有毒元素，粉末回收采用旋风式离心机粉末回收系统，回收率可达98.6%，节省粉末降低粉尘污染，操作方便，节能环保；</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器材整机包装为加厚复合膜缠绕，有效阻隔运输当中产生磕碰，使器材完好无损。</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 主要功能：</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拉伸腿部肌肉，进行热身或整理运动，强化腹部肌肉，促进四肢灵活性。</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4.锻炼方法：</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可进行弹力压腿、下蹲、提膝、攀越等训练。</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提供</w:t>
            </w:r>
            <w:r>
              <w:rPr>
                <w:rFonts w:hint="eastAsia" w:ascii="宋体" w:hAnsi="宋体" w:cs="宋体"/>
                <w:color w:val="000000" w:themeColor="text1"/>
                <w:sz w:val="20"/>
                <w:szCs w:val="20"/>
                <w:highlight w:val="none"/>
                <w:lang w:bidi="ar"/>
                <w14:textFill>
                  <w14:solidFill>
                    <w14:schemeClr w14:val="tx1"/>
                  </w14:solidFill>
                </w14:textFill>
              </w:rPr>
              <w:t xml:space="preserve">国家认监委</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批准的</w:t>
            </w:r>
            <w:r>
              <w:rPr>
                <w:rFonts w:hint="eastAsia" w:ascii="宋体" w:hAnsi="宋体" w:cs="宋体"/>
                <w:color w:val="000000" w:themeColor="text1"/>
                <w:sz w:val="20"/>
                <w:szCs w:val="20"/>
                <w:highlight w:val="none"/>
                <w:lang w:bidi="ar"/>
                <w14:textFill>
                  <w14:solidFill>
                    <w14:schemeClr w14:val="tx1"/>
                  </w14:solidFill>
                </w14:textFill>
              </w:rPr>
              <w:t xml:space="preserve">体育用品平梯认证资格证书。</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提供证书原件的扫描件加盖电子章</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付</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秒表</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带挂绳，100道记忆、三排大显示1/100秒、分段、总段时间同时显示、清零后仍可重新读取记忆、正常走時、定闹及日历、倒计时器(9小时59分59.00秒)、防水、防震、防滑结构。</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90"/>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21</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发令器</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1．外观表面色泽应均匀，不应有明显花斑、擦伤、划痕等缺陷。</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2．容弹量不少于2发，连续击发。（含子弹）</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把</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22</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发令台</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规格：≥500*600*500mm,烟屏高度≥1350mm，焊接均使用二氧化碳气体保护焊机，焊接质量优秀,静电粉末喷塑工艺。</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副</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2312"/>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23</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起跑器</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塑胶跑道专用，起跑器主要由底座和踏脚座组成，总长：不小于70cm；卡档宽：约2.3cm；卡档高：约2.8cm；底座采用铝合金制作，底板厚约0.35cm；踏板：钢板制，上面配胶垫；踏板长约18cm；踏板宽约12cm；踏板高约14cm；：6档升降调节。起跑器通过定位销与地面接触，防止移位。起跑器踏脚座分固定座和活动座，均经镀铬处理，活动座面板采用橡胶层，起防滑作用，活动座面板斜度可调。所有钢制件表面均经酸洗、磷化等初级处理后采用粉末喷涂表面,涂层厚度70—80um，铅笔硬度达3H+,粉末配方不含有毒元素。</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副</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24</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接力棒</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长度≥280mm，直径28-30mm，铝合金材质，外观平滑无毛刺。</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根</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25</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钢卷米尺</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≥50米</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人体工学设计，人性化最舒服四指持握空间舒适防滑，缓解长时间测量的手握疲劳</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卷</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26</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钢卷米尺</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ABS抗摔坏外壳，带缩缓冲装置可固定尺带收缩，长度5米</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卷</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27</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皮尺</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教学用。尺盒材质工程塑料，皮带纤维布，抗拉起强，字体清晰不模糊。尺带精度为厘米，50m</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卷</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28</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皮尺</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教学用。尺盒材质工程塑料，皮带纤维布，抗拉起强，字体清晰不模糊。尺带精度为厘米，10m</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卷</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162"/>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29</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摸高器</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立柱采用φ76mm管材，壁厚2mm。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钢件部分均经酸洗、磷化、烤漆处理,能适应潮湿和酸雨环境，不会出现脱落、锈蚀等现象。高度3米</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副</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461"/>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30</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跳高架</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1、跳高架由底座、固定立柱、移动立柱、横杆托架、微调支脚构成。产品形式简洁，结构合理，可装拆，便于运输和包装。</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固定立柱与移动立柱选用铝合金型材，型材之间采用燕尾槽配合。表面氧化处理。固定立柱采用40*70mm的异形的铝合金方管并且立柱上印刷刻度标尺，刻度调节范围：500-2500mm，移动立柱采用30*30mm的铝合金方管,两端塑料塞封口。</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3、底座选用δ3铁板一次冲压成型，避免了焊接造成的接口腐蚀，底部设有PU滚轮，移动方便。</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4、跳高架横杆托架采用ABS材质，具有防腐蚀性、安全、牢固等优点且上下移动方便。</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5、跳高架底座底部设有微调机构，通过调节微调机构可满足场地不平整引起的跳高架的稳定性和横杆的高度要求。</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副</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31</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跳高横杆</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规格:（铝合金）≥3.8m，直径≥2.8cm，玻璃钢碳素跳高横杆，表面光滑。</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根</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26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32</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跳高海绵垫</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规格：≥2000*3000*300mm折叠式（允许±2%范围）1内胆材质为重泡海绵材料，为两个整块结构，不允许拼湊；采用环保材料，压缩强度≥100KPa，吸水率≤6.0%；</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 垫套材质为4*4帆布，颜色为军绿色，为防水帆布。可在长度方向对半折叠，体操垫长度方向两侧设提手把，涤纶线缝合，两面革贴角；</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 跳垫的四角为直角，四周仿皮革包角：表面平整，无皱折，当载荷落至体操垫时，外层不得起皱，里外层不得发生相对位移；</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4．当载荷落至跳垫时，外层不得起皱，里外层不得发生相对位移。</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26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33</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海绵垫</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规格：≥1000*2000*100mm（允许±2%范围）</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1.内胆材质为聚氨脂塑料发泡材料，为两个整块结构，不允许拼湊；采用环保材料，压缩强度≥100KPa，吸水率≤6.0%；</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2．垫套材质为精细军绿色防水布，体操垫长度方向两侧设提手把。涤纶线缝合，两面革贴角. </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3．跳垫的四角为直角，四周仿皮革包角：表面平整，无皱折，当载荷落至体操垫时，外层不得起皱，里外层不得发生相对位移；</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4．当载荷落至跳垫时，外层不得起皱，里外层不得发生相对位移。</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078"/>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34</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小体操垫</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规格：≥1200*600*50mm折叠式（允许±2%范围）</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1.内胆材质为聚氨脂塑料发泡材料，为两个整块结构，不允许拼湊；采用环保材料，压缩强度≥100KPa，吸水率≤6.0%；</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2．垫套材质为精细军绿色防水布。可在长度方向对半折叠，体操垫长度方向两侧设提手把。涤纶线缝合，两面革贴角. </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3．跳垫的四角为直角，四周仿皮革包角：表面平整，无皱折，当载荷落至体操垫时，外层不得起皱，里外层不得发生相对位移；</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4．当载荷落至跳垫时，外层不得起皱，里外层不得发生相对位移。</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35</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终点裁判台</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10座移动式裁判台，管材经过环保喷沙打磨处理，表面采用防菌塑喷，表面无漏喷、脱漆及明显划痕；无漏焊、虚焊、包渣、裂纹</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36</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信号旗</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旗面尺寸：≥25*40厘米， 铝合金旗杆：全长39～49CM 握手处有橡胶把套。</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面</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54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37</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实心球</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重量1 kg±30g. 圆球形，充气式橡胶实心球，有内胆，手感柔软无伤害，外摸无填充物感觉。球面用不低于4mm厚的天然橡胶整体成形，未使用再生胶，产品没有异味。从10m高处自由落体试验后，应无破裂。球表面防滑，球上有明显不易脱落的商标、标志。外表面均匀分布乳头状小颗粒，半球结合处没有凹楞。</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只</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38</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铅球</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电镀烤漆，表面光滑，重量3KG。</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只</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162"/>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39</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比赛篮球</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规格：7#，球体表面选用优质超纤材料。内胆绕线包胶成为一体，绕线应采用一根尼龙线和两根腈纶线合绕，不能用棉纱线，重量不低于600g。中胎用橡胶材料制成，对内胆和表皮之间成支撑结构。图案、字体清晰端正；球体外观无破裂、脱皮、断线和变形等现象。</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40</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篮球网</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材质：实心绳涤纶</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副</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41</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排球</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5号。微纤维PU表皮，橡胶内胆，气密性好，长时间无需充气，触感柔软。</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162"/>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42</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排球网</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1、排球网规格：长≥7000mm,高≥1000mm。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2、排球网为黑色，网线直径为φ≥5mm。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3、材质为高强尼龙</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副</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43</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排球标志杆</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ABS工程塑料材质，长度≥150cm，杆子直径2.0cm,红白相间。</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副</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078"/>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44</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足球</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1、产品以PU材料为原料制成的手缝球。</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2、皮革的皮质坚实、丰满、柔软、细腻。</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3、做工要求细致无漏缝，</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4、球胆为丁基胆，球胎为线缠胎。</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5、球的圆周为675mm~710mm的一等品，圆周差≤5mm。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6、球的质量为382g~468g。</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7、球充气静置24h后气压下降≤15%。</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8、球充后从1800mm高度自由下落时其反弹高度应为1150mm~1450mm。</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45</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打气筒</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脚踏式，一体成型高强度材质筒身，内置高压，方便携带。</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46</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电动气泵</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电压：220v，带有胎压显示。</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47</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乒乓球拍</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单面反胶皮，鲜红色或黑色，拍面平整；拍柄、拍面、拍身边缘均应光滑无光泽，拍身边缘不得呈白色；胶粒分布均匀，高度应不低于0.5mm；胶合部位牢固，不开裂</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副</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90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48</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乒乓球</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等级：三星，材质，ABS塑料，硬度≤0.08mm，直径40mm,重量：2.8g±0.05g,弹力和耐打性强，手感更佳。</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只</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500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49</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羽毛球拍</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拍体长度≤630mm，球拍宽度≤230mm，重量≤100g，铝合金一体成型羽拍，尼龙弦线，PU柄皮，牛津布全拍套。</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副</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50</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羽毛球</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符合软木球头， 弹性好，不易开裂，优质羽毛：6只/筒</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筒</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162"/>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51</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体操凳</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体操凳长×宽×高≥2000×200×300（mm），凳面用木质材料制成，凳支架采用φ25×25×2的优质方管弯折成形，在支架横档与凳面底部加一根斜撑，加强体操凳的整体稳定性，支架经除锈、磷化后在自动喷涂线上喷篮塑。</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张</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54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52</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短跳绳</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直径7≥mm，长2.8≥m，弹簧手柄，绳中间有防磨套。</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1、手柄用杂木制成，表面光滑，无裂纹，无毛刺,手感舒适且与绳结合牢固。</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2、绳用尼龙合股而成。</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3、手柄与绳连接处灵活转动，无缠绞现象。</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根</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150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53</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长跳绳</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1，无柄跳绳，直径≥10mm，长≥10m，重量不小于550g.</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2、绳用尼龙合股而成。</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根</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54</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拔河绳</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该绳用多股麻绳绞合成φ≥40mm，长度28m长绳，两端结孔，中间套以红色标记。该绳的拉力强度不小于5000kg。</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根</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55</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塑身小哑铃</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浸塑哑铃 ≥3磅/只</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副</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56</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铝合金平沙板</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1、规格：≥1600*500mm。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2、支撑杆与平砂板采用铝合金材料制作而成，一面平面一面锯齿，双用。</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把</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57</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教师用口哨</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尺寸：≥83*23mm，铜口</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442"/>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58</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身高体重测试仪</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单机:</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1.直接测量人体的身高体重，反映被测者身体匀称度和发育形态指数（BMI）；</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2.身高测试触头可折叠，与主体控制版无线通讯。</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3.身高触头供电方式采用可更换2450/3.3V纽扣电池。</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4.测试仪采用≥4.3寸电容触摸屏，显示测试值，同屏显示身高体重数值及BMI指数。</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5.触摸按键，具备单机测试功能。</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6.身高体重测试仪耐久性10万次。</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7.带有基座水平调节装置；配有脚轮，方便移动。 </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主机:</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1.采用原生Android11及以上系统，屏幕采用8寸1280*800高清触摸电容屏；主机≥2GB以上运行内存，≥16GB EMCC存储空间。可直插U盘播放测试视频录像。</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2.主机需内置≥2个喇叭，确保音频输出具备清晰的高中低频段表现。</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主机具备≥4个USB标准数据接口（非外接扩展），其他功能性接口HDMI接口≥1个、RJ45网络接口≥1个、Type-C接口≥1个、3.5mm音频接口≥1个。可直接插入U盘导入≥300000条测试名单信息，也可直接导出测试成绩至U盘自动生成Excel表格。主机同时支持学生名单的无线同步和离线导入功能。</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4.主机内置二维码识别摄像头，能自动识别测试者二维码身份信息。主机采用硅胶按键，经久耐用，适用于大规模测试。</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5.测试模式支持群发模式或单发模式，可根据测试需要切换。</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6.主机具多种身份识别功能：可通过触摸屏输入、外置USB条码扫描仪等识别方法；输入学号具备自动递增功能；主机菜单具备单项查询，集体查询，分组查询，具有年级班级组别日期等多种筛选数据方式，查询便捷。</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7.主机支持U盘直接导入国标和自定义评分标准，主机内嵌国标可以根据年级性别项目进行实时评分，适用于体测；也可以自定义导入评分标准对测试结果进行评分，适用于考试。</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8.主机查询结果能一屏同时显示测试学校、年级、班级、学生姓名、性别、测试成绩、测试日期及时间，方便后期督查。主机具有日志管理，记录操作人员在主机上的所有操作，便于异常情况的追溯。</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9.主机能实时显示与单机的连接状态、电量、版本号等；能实时显示测试者的姓名、性别、测试成绩和等级并且具备语音播报功能，实时播报人员信息、编号、成绩等；支持多次测量项目，成绩保存模式以最好成绩或最新成绩保存可选。</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10.具备班级分析功能，可根据测试项目进行独立分析，实时统计班级测试进度、已测人数、已测男生、已测女生等，并且给出平均成绩、平均分数、最高成绩、最低成绩等一系列指标，同屏显示排名；</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11.支持≥4.0蓝牙;选配4G或兼容5G全网通网络功能，可支持无线网卡支持802.11b/g/n无线协议，支持无线或有线数据上传的能力；</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12.主机具有数据备份和恢复功能，可以备份任意时间段体测程序里面的所有数据，可以备份多次保存在存储芯片里面。支持一键恢复，根据日期选择要恢复的备份，自动恢复测试数据。</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13.主要技术参数：</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测量范围：</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身高：90cm～215cm      体重：0kg ～200kg</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分度值：身高：0.1cm    体重：0.1kg</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误差：身高：±0.1cm       体重：±0.1kg </w:t>
            </w:r>
            <w:r>
              <w:rPr>
                <w:rFonts w:hint="eastAsia" w:ascii="宋体" w:hAnsi="宋体" w:cs="宋体"/>
                <w:color w:val="000000" w:themeColor="text1"/>
                <w:sz w:val="20"/>
                <w:szCs w:val="20"/>
                <w:highlight w:val="none"/>
                <w:lang w:bidi="ar"/>
                <w14:textFill>
                  <w14:solidFill>
                    <w14:schemeClr w14:val="tx1"/>
                  </w14:solidFill>
                </w14:textFill>
              </w:rPr>
              <w:b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4857"/>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59</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肺活量测试仪</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单机:</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1.测定人体呼吸的最大通气能力，测试数值反映肺的容积和肺的扩展能力。</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2.使用高精密传感器，精度高，吹管优化设计与处理，不易产生积水，防补气（防作弊）功能，补气时自动锁定数据。</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测试仪采用一体化设计，采用LCD液晶显示屏，视域（W*H)≥39.0*17.0，具备LED高亮背光，读数方便,具有锁定功能。采用内置锂电池供电，Type-C接口充电，低功耗设计，30秒内未使用自动逐级调低亮度直至息屏，带低电量提示功能。</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（投标响应时须提供该功能配置界面截图）</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4.单机开关复合功能按键，具备单机测试开始/结束功能。</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5.与主机无线连接，测试结果一目了然，一键式操作，具有单机测试及清零功能。</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主机:</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1.采用原生Android11及以上系统，屏幕采用8寸1280*800高清触摸电容屏；主机≥2GB以上运行内存，≥16GB EMCC存储空间。可直插U盘播放测试视频录像。</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2.主机需内置≥2个喇叭，确保音频输出具备清晰的高中低频段表现。</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主机具备≥4个USB标准数据接口（非外接扩展），其他功能性接口HDMI接口≥1个、RJ45网络接口≥1个、Type-C接口≥1个、3.5mm音频接口≥1个。可直接插入U盘导入≥300000条测试名单信息，也可直接导出测试成绩至U盘自动生成Excel表格。主机同时支持学生名单的无线同步和离线导入功能。4.主机内置二维码识别摄像头，能自动识别测试者二维码身份信息。主机采用硅胶按键，经久耐用，适用于大规模测试。</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5.测试模式支持群发模式或单发模式，可根据测试需要切换。</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6.主机具多种身份识别功能：可通过触摸屏输入、外置USB条码扫描仪等识别方法；输入学号具备自动递增功能；主机菜单具备单项查询，集体查询，分组查询，具有年级班级组别日期等多种筛选数据方式，查询便捷。</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7.主机支持U盘直接导入国标和自定义评分标准，主机内嵌国标可以根据年级性别项目进行实时评分，适用于体测；也可以自定义导入评分标准对测试结果进行评分，适用于考试。</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8.主机查询结果能一屏同时显示测试学校、年级、班级、学生姓名、性别、测试成绩、测试日期及时间，方便后期督查。主机具有日志管理，记录操作人员在主机上的所有操作，便于异常情况的追溯。</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9.主机能实时显示与单机的连接状态、电量、版本号等；能实时显示测试者的姓名、性别、测试成绩和等级并且具备语音播报功能，实时播报人员信息、编号、成绩等；支持多次测量项目，成绩保存模式以最好成绩或最新成绩保存可选。</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10.具备班级分析功能，可根据测试项目进行独立分析，实时统计班级测试进度、已测人数、已测男生、已测女生等，并且给出平均成绩、平均分数、最高成绩、最低成绩等一系列指标，同屏显示排名；</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11.支持≥4.0蓝牙;选配4G或兼容5G全网通网络功能，可支持无线网卡支持802.11b/g/n无线协议，支持无线或有线数据上传的能力；</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12.主机具有数据备份和恢复功能，可以备份任意时间段体测程序里面的所有数据，可以备份多次保存在存储芯片里面。支持一键恢复，根据日期选择要恢复的备份，自动恢复测试数据。</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13.主要技术参数</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量程：0～9999ml                                </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分度值：1ml</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误差：±0.5%</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eastAsia="zh-CN" w:bidi="ar"/>
                <w14:textFill>
                  <w14:solidFill>
                    <w14:schemeClr w14:val="tx1"/>
                  </w14:solidFill>
                </w14:textFill>
              </w:rPr>
              <w:t xml:space="preserve">▲提供含有CMA或CNAS标识的</w:t>
            </w:r>
            <w:r>
              <w:rPr>
                <w:rFonts w:hint="eastAsia" w:ascii="宋体" w:hAnsi="宋体" w:cs="宋体"/>
                <w:color w:val="000000" w:themeColor="text1"/>
                <w:sz w:val="20"/>
                <w:szCs w:val="20"/>
                <w:highlight w:val="none"/>
                <w:lang w:bidi="ar"/>
                <w14:textFill>
                  <w14:solidFill>
                    <w14:schemeClr w14:val="tx1"/>
                  </w14:solidFill>
                </w14:textFill>
              </w:rPr>
              <w:t xml:space="preserve">肺活量测试仪</w:t>
            </w:r>
            <w:r>
              <w:rPr>
                <w:rFonts w:hint="eastAsia" w:ascii="宋体" w:hAnsi="宋体" w:cs="宋体"/>
                <w:color w:val="000000" w:themeColor="text1"/>
                <w:sz w:val="20"/>
                <w:szCs w:val="20"/>
                <w:highlight w:val="none"/>
                <w:lang w:eastAsia="zh-CN" w:bidi="ar"/>
                <w14:textFill>
                  <w14:solidFill>
                    <w14:schemeClr w14:val="tx1"/>
                  </w14:solidFill>
                </w14:textFill>
              </w:rPr>
              <w:t xml:space="preserve">检测报告原件的扫描件加盖电子章</w:t>
            </w:r>
            <w:r>
              <w:rPr>
                <w:rFonts w:hint="eastAsia" w:ascii="宋体" w:hAnsi="宋体" w:cs="宋体"/>
                <w:color w:val="000000" w:themeColor="text1"/>
                <w:sz w:val="20"/>
                <w:szCs w:val="20"/>
                <w:highlight w:val="none"/>
                <w:lang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5389"/>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60</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仰卧起坐测试仪</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单机:</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1.通过对被试者在规定时间内完成仰卧起坐的个数，可反映人体的腹部肌群力量。</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2.测试感应杆可随受测者身高来进行前后调节，达到测试动作标准化管理。测试感应探头采用无线双探头设计，内置高精度抗干扰传感器，具有抗阳光干扰设计，提高测试灵敏度。</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（投标响应时须提供该功能配置界面截图）</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3.标配有分辨率≥80*40分辨率的无线 LED点阵大显示屏，应具备通用性，阳光下清晰可见。支持至少三种字体颜色、至少三行可以分别显示测试者信息，班级信息和测试成绩等丰富显示内容。</w:t>
            </w:r>
            <w:r/>
          </w:p>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4.配有仰卧起坐测试专用床体坐垫，勾脚套有海绵垫抗压减震、防滑，保护测试者脚面。</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主机:</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1.采用原生Android11及以上系统，屏幕采用8寸1280*800高清触摸电容屏；主机≥2GB以上运行内存，≥16GB EMCC存储空间。可直插U盘播放测试视频录像。</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2.主机需内置≥2个喇叭，确保音频输出具备清晰的高中低频段表现。</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主机具备≥4个USB标准数据接口（非外接扩展），其他功能性接口HDMI接口≥1个、RJ45网络接口≥1个、Type-C接口≥1个、3.5mm音频接口≥1个。可直接插入U盘导入≥300000条测试名单信息，也可直接导出测试成绩至U盘自动生成Excel表格。主机同时支持学生名单的无线同步和离线导入功能。</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4.主机内置二维码识别摄像头，能自动识别测试者二维码身份信息。主机采用硅胶按键，经久耐用，适用于大规模测试。</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5.测试模式支持群发模式或单发模式，可根据测试需要切换。</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6.主机具多种身份识别功能：可通过触摸屏输入、外置USB条码扫描仪等识别方法；输入学号具备自动递增功能；主机菜单具备单项查询，集体查询，分组查询，具有年级班级组别日期等多种筛选数据方式，查询便捷。</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7.主机支持U盘直接导入国标和自定义评分标准，主机内嵌国标可以根据年级性别项目进行实时评分，适用于体测；也可以自定义导入评分标准对测试结果进行评分，适用于考试。</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8.主机查询结果能一屏同时显示测试学校、年级、班级、学生姓名、性别、测试成绩、测试日期及时间，方便后期督查。主机具有日志管理，记录操作人员在主机上的所有操作，便于异常情况的追溯。</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9.主机能实时显示与单机的连接状态、电量、版本号等；能实时显示测试者的姓名、性别、测试成绩和等级并且具备语音播报功能，实时播报人员信息、编号、成绩等；支持多次测量项目，成绩保存模式以最好成绩或最新成绩保存可选。</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10.具备班级分析功能，可根据测试项目进行独立分析，实时统计班级测试进度、已测人数、已测男生、已测女生等，并且给出平均成绩、平均分数、最高成绩、最低成绩等一系列指标，同屏显示排名；</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11.支持≥4.0蓝牙;选配4G或兼容5G全网通网络功能，可支持无线网卡支持802.11b/g/n无线协议，支持无线或有线数据上传的能力；</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12.主机具有数据备份和恢复功能，可以备份任意时间段体测程序里面的所有数据，可以备份多次保存在存储芯片里面。支持一键恢复，根据日期选择要恢复的备份，自动恢复测试数据。</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13.主要技术参数</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测量范围：</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计数：测量范围：0～999次   </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分度值：1次                 </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误差：0次               </w:t>
            </w:r>
            <w:r>
              <w:rPr>
                <w:rFonts w:hint="eastAsia" w:ascii="宋体" w:hAnsi="宋体" w:cs="宋体"/>
                <w:color w:val="000000" w:themeColor="text1"/>
                <w:sz w:val="20"/>
                <w:szCs w:val="20"/>
                <w:highlight w:val="none"/>
                <w:lang w:bidi="ar"/>
                <w14:textFill>
                  <w14:solidFill>
                    <w14:schemeClr w14:val="tx1"/>
                  </w14:solidFill>
                </w14:textFill>
              </w:rPr>
              <w:b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19"/>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61</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50米跑测试仪</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（4人测试）</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单机:</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1.自动测量50米跑的时间,测试受试者速度，反应速度、灵敏素质及神经系统灵活性的发展水平。</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2.主机具有抢跑重置功能，可扩展测试100米、150米、200米、400米跑等项目。</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3.配置2人同测，可增配扩增至8人同测。</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4.四种工作模式任意切换，1.无犯规2.集体犯规3.单道犯规4.触发计时主机:</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1.采用原生Android11及以上系统，屏幕采用8寸1280*800高清触摸电容屏；主机≥2GB以上运行内存，≥16GB EMCC存储空间。可直插U盘播放测试视频录像。</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2.主机需内置≥2个喇叭，确保音频输出具备清晰的高中低频段表现。</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主机具备≥4个USB标准数据接口（非外接扩展），其他功能性接口HDMI接口≥1个、RJ45网络接口≥1个、Type-C接口≥1个、3.5mm音频接口≥1个。可直接插入U盘导入≥300000条测试名单信息，也可直接导出测试成绩至U盘自动生成Excel表格。主机同时支持学生名单的无线同步和离线导入功能。</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（投标响应时须提供该功能配置界面截图）</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4.主机内置二维码识别摄像头，能自动识别测试者二维码身份信息。主机采用硅胶按键，经久耐用，适用于大规模测试。</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5.测试模式支持群发模式或单发模式，可根据测试需要切换。</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6.主机具多种身份识别功能：可通过触摸屏输入、外置USB条码扫描仪等识别方法；输入学号具备自动递增功能；主机菜单具备单项查询，集体查询，分组查询，具有年级班级组别日期等多种筛选数据方式，查询便捷。</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7.主机支持U盘直接导入国标和自定义评分标准，主机内嵌国标可以根据年级性别项目进行实时评分，适用于体测；也可以自定义导入评分标准对测试结果进行评分，适用于考试。</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8.主机查询结果能一屏同时显示测试学校、年级、班级、学生姓名、性别、测试成绩、测试日期及时间，方便后期督查。主机具有日志管理，记录操作人员在主机上的所有操作，便于异常情况的追溯。</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9.主机能实时显示与单机的连接状态、电量、版本号等；能实时显示测试者的姓名、性别、测试成绩和等级并且具备语音播报功能，实时播报人员信息、编号、成绩等；支持多次测量项目，成绩保存模式以最好成绩或最新成绩保存可选。</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10.具备班级分析功能，可根据测试项目进行独立分析，实时统计班级测试进度、已测人数、已测男生、已测女生等，并且给出平均成绩、平均分数、最高成绩、最低成绩等一系列指标，同屏显示排名；</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11.支持≥4.0蓝牙;选配4G或兼容5G全网通网络功能，可支持无线网卡支持802.11b/g/n无线协议，支持无线或有线数据上传的能力；</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12.主机具有数据备份和恢复功能，可以备份任意时间段体测程序里面的所有数据，可以备份多次保存在存储芯片里面。支持一键恢复，根据日期选择要恢复的备份，自动恢复测试数据。</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13.主要技术参数</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测量范围：0S～9999.99S  </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分度值：0.01s    </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误差：0s</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eastAsia="zh-CN" w:bidi="ar"/>
                <w14:textFill>
                  <w14:solidFill>
                    <w14:schemeClr w14:val="tx1"/>
                  </w14:solidFill>
                </w14:textFill>
              </w:rPr>
              <w:t xml:space="preserve">▲提供含有CMA或CNAS标识的</w:t>
            </w:r>
            <w:r>
              <w:rPr>
                <w:rFonts w:hint="eastAsia" w:ascii="宋体" w:hAnsi="宋体" w:cs="宋体"/>
                <w:color w:val="000000" w:themeColor="text1"/>
                <w:sz w:val="20"/>
                <w:szCs w:val="20"/>
                <w:highlight w:val="none"/>
                <w:lang w:bidi="ar"/>
                <w14:textFill>
                  <w14:solidFill>
                    <w14:schemeClr w14:val="tx1"/>
                  </w14:solidFill>
                </w14:textFill>
              </w:rPr>
              <w:t xml:space="preserve">50米跑测试仪（4人测试）</w:t>
            </w:r>
            <w:r>
              <w:rPr>
                <w:rFonts w:hint="eastAsia" w:ascii="宋体" w:hAnsi="宋体" w:cs="宋体"/>
                <w:color w:val="000000" w:themeColor="text1"/>
                <w:sz w:val="20"/>
                <w:szCs w:val="20"/>
                <w:highlight w:val="none"/>
                <w:lang w:eastAsia="zh-CN" w:bidi="ar"/>
                <w14:textFill>
                  <w14:solidFill>
                    <w14:schemeClr w14:val="tx1"/>
                  </w14:solidFill>
                </w14:textFill>
              </w:rPr>
              <w:t xml:space="preserve">检测报告原件的扫描件加盖电子章</w:t>
            </w:r>
            <w:r>
              <w:rPr>
                <w:rFonts w:hint="eastAsia" w:ascii="宋体" w:hAnsi="宋体" w:cs="宋体"/>
                <w:color w:val="000000" w:themeColor="text1"/>
                <w:sz w:val="20"/>
                <w:szCs w:val="20"/>
                <w:highlight w:val="none"/>
                <w:lang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90"/>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62</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立定跳远测试仪</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单机:</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1.采用红外线非接触传感器测量的原理自动测量立定跳远的距离，反映人体下肢爆发力水平，测试数据准确，经久耐用；</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2.标配有分辨率≥80*40分辨率的无线 LED点阵大显示屏，应具备通用性，阳光下清晰可见。支持至少三种字体颜色、至少三行可以分别显示测试者信息，班级信息和测试成绩等丰富显示内容。</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3.采用≥3.75×1.1m专用防滑橡胶测试垫，环保安全，粘着力好，抗钉能力强，耐磨性能好,具有非凡的抗老化、抗紫外线能力，达到使用年限后还可重复利用。</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4.测试仪男女单一起跳线全量程测试，有踩线犯规语音、显示屏显示双重提示功能，可设定测试次数为1～3次，自动显示最好成绩；测试垫具备防滑减震功能，防止出现意外伤害。           </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主机:</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1.采用原生Android11及以上系统，屏幕采用8寸1280*800高清触摸电容屏；主机≥2GB以上运行内存，≥16GB EMCC存储空间。可直插U盘播放测试视频录像。</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2.主机需内置≥2个喇叭，确保音频输出具备清晰的高中低频段表现。</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（投标响应时须提供该功能配置界面截图）</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主机具备≥4个USB标准数据接口（非外接扩展），其他功能性接口HDMI接口≥1个、RJ45网络接口≥1个、Type-C接口≥1个、3.5mm音频接口≥1个。可直接插入U盘导入≥300000条测试名单信息，也可直接导出测试成绩至U盘自动生成Excel表格。主机同时支持学生名单的无线同步和离线导入功能。</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4.主机内置二维码识别摄像头，能自动识别测试者二维码身份信息。主机采用硅胶按键，经久耐用，适用于大规模测试。</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5.测试模式支持群发模式或单发模式，可根据测试需要切换。</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6.主机具多种身份识别功能：可通过触摸屏输入、外置USB条码扫描仪等识别方法；输入学号具备自动递增功能；主机菜单具备单项查询，集体查询，分组查询，具有年级班级组别日期等多种筛选数据方式，查询便捷。</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7.主机支持U盘直接导入国标和自定义评分标准，主机内嵌国标可以根据年级性别项目进行实时评分，适用于体测；也可以自定义导入评分标准对测试结果进行评分，适用于考试。</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8.主机查询结果能一屏同时显示测试学校、年级、班级、学生姓名、性别、测试成绩、测试日期及时间，方便后期督查。主机具有日志管理，记录操作人员在主机上的所有操作，便于异常情况的追溯。</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9.主机能实时显示与单机的连接状态、电量、版本号等；能实时显示测试者的姓名、性别、测试成绩和等级并且具备语音播报功能，实时播报人员信息、编号、成绩等；支持多次测量项目，成绩保存模式以最好成绩或最新成绩保存可选。</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10.具备班级分析功能，可根据测试项目进行独立分析，实时统计班级测试进度、已测人数、已测男生、已测女生等，并且给出平均成绩、平均分数、最高成绩、最低成绩等一系列指标，同屏显示排名；</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11.支持≥4.0蓝牙;选配4G或兼容5G全网通网络功能，可支持无线网卡支持802.11b/g/n无线协议，支持无线或有线数据上传的能力；</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12.主机具有数据备份和恢复功能，可以备份任意时间段体测程序里面的所有数据，可以备份多次保存在存储芯片里面。支持一键恢复，根据日期选择要恢复的备份，自动恢复测试数据。</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13.主要技术参数</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测量范围：</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量程：0～320cm         </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分度值：1cm    </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误差：0cm </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eastAsia="zh-CN" w:bidi="ar"/>
                <w14:textFill>
                  <w14:solidFill>
                    <w14:schemeClr w14:val="tx1"/>
                  </w14:solidFill>
                </w14:textFill>
              </w:rPr>
              <w:t xml:space="preserve">▲提供含有CMA或CNAS标识的</w:t>
            </w:r>
            <w:r>
              <w:rPr>
                <w:rFonts w:hint="eastAsia" w:ascii="宋体" w:hAnsi="宋体" w:cs="宋体"/>
                <w:color w:val="000000" w:themeColor="text1"/>
                <w:sz w:val="20"/>
                <w:szCs w:val="20"/>
                <w:highlight w:val="none"/>
                <w:lang w:bidi="ar"/>
                <w14:textFill>
                  <w14:solidFill>
                    <w14:schemeClr w14:val="tx1"/>
                  </w14:solidFill>
                </w14:textFill>
              </w:rPr>
              <w:t xml:space="preserve">立定跳远测试仪</w:t>
            </w:r>
            <w:r>
              <w:rPr>
                <w:rFonts w:hint="eastAsia" w:ascii="宋体" w:hAnsi="宋体" w:cs="宋体"/>
                <w:color w:val="000000" w:themeColor="text1"/>
                <w:sz w:val="20"/>
                <w:szCs w:val="20"/>
                <w:highlight w:val="none"/>
                <w:lang w:eastAsia="zh-CN" w:bidi="ar"/>
                <w14:textFill>
                  <w14:solidFill>
                    <w14:schemeClr w14:val="tx1"/>
                  </w14:solidFill>
                </w14:textFill>
              </w:rPr>
              <w:t xml:space="preserve">检测报告原件的扫描件加盖电子章。</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2450"/>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63</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坐位体前屈测试仪</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单机:</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1.单机采用≥3.5寸led点阵屏，实体按键。</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2.单机采用双向光电开关，自动识别手推板前推和回退，手推板可自动回弹归位，具有防作弊成绩自动锁定功能。</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3.单机采用锂电池供电，内置2000mAh锂电池，可持续工作20个小时以上；采用microusb接口充电。</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4.单机主控显示部分和测试杆间顶针式连接，可灵活自由拆卸，进行充电及日常保管维护。</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（投标响应时须提供该功能配置界面截图）</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5.单机主控部分开关复合功能按键，具备单机测试开始/结束功能。</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6.带辅助测试床体板，含海绵座垫及硬质蹬脚板。</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主机:</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1.采用原生Android11及以上系统，屏幕采用8寸1280*800高清触摸电容屏；主机≥2GB以上运行内存，≥16GB EMCC存储空间。可直插U盘播放测试视频录像。</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2.主机需内置≥2个喇叭，确保音频输出具备清晰的高中低频段表现。</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主机具备≥4个USB标准数据接口（非外接扩展），其他功能性接口HDMI接口≥1个、RJ45网络接口≥1个、Type-C接口≥1个、3.5mm音频接口≥1个。可直接插入U盘导入≥300000条测试名单信息，也可直接导出测试成绩至U盘自动生成Excel表格。主机同时支持学生名单的无线同步和离线导入功能。</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4.主机内置二维码识别摄像头，能自动识别测试者二维码身份信息。主机采用硅胶按键，经久耐用，适用于大规模测试。</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5.测试模式支持群发模式或单发模式，可根据测试需要切换。</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6.主机具多种身份识别功能：可通过触摸屏输入、外置USB条码扫描仪等识别方法；输入学号具备自动递增功能；主机菜单具备单项查询，集体查询，分组查询，具有年级班级组别日期等多种筛选数据方式，查询便捷。</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7.主机支持U盘直接导入国标和自定义评分标准，主机内嵌国标可以根据年级性别项目进行实时评分，适用于体测；也可以自定义导入评分标准对测试结果进行评分，适用于考试。</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8.主机查询结果能一屏同时显示测试学校、年级、班级、学生姓名、性别、测试成绩、测试日期及时间，方便后期督查。主机具有日志管理，记录操作人员在主机上的所有操作，便于异常情况的追溯。</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9.主机能实时显示与单机的连接状态、电量、版本号等；能实时显示测试者的姓名、性别、测试成绩和等级并且具备语音播报功能，实时播报人员信息、编号、成绩等；支持多次测量项目，成绩保存模式以最好成绩或最新成绩保存可选。</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10.具备班级分析功能，可根据测试项目进行独立分析，实时统计班级测试进度、已测人数、已测男生、已测女生等，并且给出平均成绩、平均分数、最高成绩、最低成绩等一系列指标，同屏显示排名；</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11.支持≥4.0蓝牙;选配4G或兼容5G全网通网络功能，可支持无线网卡支持802.11b/g/n无线协议，支持无线或有线数据上传的能力；</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12.主机具有数据备份和恢复功能，可以备份任意时间段体测程序里面的所有数据，可以备份多次保存在存储芯片里面。支持一键恢复，根据日期选择要恢复的备份，自动恢复测试数据。</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13.主要技术参数</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测量范围：-20cm～40cm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分度值：0.1cm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误差：0cm   </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eastAsia="zh-CN" w:bidi="ar"/>
                <w14:textFill>
                  <w14:solidFill>
                    <w14:schemeClr w14:val="tx1"/>
                  </w14:solidFill>
                </w14:textFill>
              </w:rPr>
              <w:t xml:space="preserve">▲提供含有CMA或CNAS标识的</w:t>
            </w:r>
            <w:r>
              <w:rPr>
                <w:rFonts w:hint="eastAsia" w:ascii="宋体" w:hAnsi="宋体" w:cs="宋体"/>
                <w:color w:val="000000" w:themeColor="text1"/>
                <w:sz w:val="20"/>
                <w:szCs w:val="20"/>
                <w:highlight w:val="none"/>
                <w:lang w:bidi="ar"/>
                <w14:textFill>
                  <w14:solidFill>
                    <w14:schemeClr w14:val="tx1"/>
                  </w14:solidFill>
                </w14:textFill>
              </w:rPr>
              <w:t xml:space="preserve">坐位体前屈测试仪</w:t>
            </w:r>
            <w:r>
              <w:rPr>
                <w:rFonts w:hint="eastAsia" w:ascii="宋体" w:hAnsi="宋体" w:cs="宋体"/>
                <w:color w:val="000000" w:themeColor="text1"/>
                <w:sz w:val="20"/>
                <w:szCs w:val="20"/>
                <w:highlight w:val="none"/>
                <w:lang w:eastAsia="zh-CN" w:bidi="ar"/>
                <w14:textFill>
                  <w14:solidFill>
                    <w14:schemeClr w14:val="tx1"/>
                  </w14:solidFill>
                </w14:textFill>
              </w:rPr>
              <w:t xml:space="preserve">检测报告原件的扫描件加盖电子章。</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64</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肺活量吹嘴</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PP材质</w:t>
            </w:r>
            <w:r/>
          </w:p>
        </w:tc>
        <w:tc>
          <w:tcPr>
            <w:tcBorders>
              <w:top w:val="single" w:color="000000" w:sz="4" w:space="0"/>
              <w:left w:val="single" w:color="000000" w:sz="4" w:space="0"/>
              <w:bottom w:val="non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个</w:t>
            </w:r>
            <w:r/>
          </w:p>
        </w:tc>
        <w:tc>
          <w:tcPr>
            <w:tcBorders>
              <w:top w:val="single" w:color="000000" w:sz="4" w:space="0"/>
              <w:left w:val="single" w:color="000000" w:sz="4" w:space="0"/>
              <w:bottom w:val="non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1000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65</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呼啦圈</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≥4斤，加厚软体材质</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66</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毽子</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精选鹅毛，牛筋底单层加厚钢垫，三层加厚塑料垫</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200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67</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标志筒</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TPE材质，环保无毒、高度为≥38CM</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68</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保健箱</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纱布块，药棉，创口贴，体温计，镊子，剪刀，绷带，止血带，急救毯，酒精，碘伏，风油精，清凉油，烫伤膏等</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69</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象棋</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规格：棋子φ≥56mm，高度≥19mm，棋盘展开尺寸为：≥550*600*30mm，材质为黑檀木。</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70</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围棋</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产品材质:实木包边(MDF板盘面)展开尺寸≥483X492X26mm方格尺寸≥23X24mm棋子数量:黑子181颗、白子180颗</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71</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国际象棋</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国际棋盘尺寸:≥45*45*3.5cm(大号)</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72</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足球跨栏</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环保PE材质</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强韧稳固，耐用。色彩鲜艳手感光滑厚实。品质感十足</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73</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足球背心马甲</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精致丝光聚醋面料</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精选高性能运动专属面料，透气柔软舒适</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件</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gridSpan w:val="2"/>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center"/>
              <w:widowControl/>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bidi="ar"/>
                <w14:textFill>
                  <w14:solidFill>
                    <w14:schemeClr w14:val="tx1"/>
                  </w14:solidFill>
                </w14:textFill>
              </w:rPr>
              <w:t xml:space="preserve">心理测评</w:t>
            </w:r>
            <w:r/>
          </w:p>
        </w:tc>
        <w:tc>
          <w:tcPr>
            <w:tcBorders>
              <w:top w:val="single" w:color="000000" w:sz="4" w:space="0"/>
              <w:left w:val="none" w:color="000000" w:sz="4" w:space="0"/>
              <w:bottom w:val="single" w:color="000000" w:sz="4" w:space="0"/>
              <w:right w:val="single" w:color="000000" w:sz="4" w:space="0"/>
            </w:tcBorders>
            <w:tcW w:w="5214" w:type="dxa"/>
            <w:vAlign w:val="center"/>
            <w:textDirection w:val="lrTb"/>
            <w:noWrap w:val="false"/>
          </w:tcPr>
          <w:p>
            <w:pPr>
              <w:jc w:val="center"/>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办公桌椅</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心理教师办公用，基材实木，漆面光泽度高、硬度达H级，椅子框架采用一次性成型不锈钢材料，优质超纤皮。透气性强，柔软而富有弹性，厚度适中。</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792"/>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心理测评管理系统</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一、心理测评管理系统简介</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 心理测评管理系统是为满足广大心理学工作者及心理咨询室等对心理咨询和心理测评工作的现实需求而精心研发的一款主要以心理健康评估、测评、在线心理咨询等为主的专业心理测评系统。</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二、系统部分功能模块简介</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1、多方式安装：系统支持单机、局域网和互联网三种运行模式。</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2、分级管理功能：本心理测评系统实现多级管理功能，即超级管理员、管理员、用户。方便心理咨询室的工作开展及高效性。</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内置不少于80个心理测量量表，满足测评的多样化，系统允许管理员可根据自己的需要自行发布所需要测评的量表，可指定测试用户、性别或者是测评次数。测评时可以选择自动跳转下一题或点击下一题上一题按键，能够防止因为自动跳转过快，答错题目。测试时左边会有答题卡，测试过的题目会被点亮，能够防止漏题。</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4、自动生成结果：本心理测评系统测试过程自动化，无需人工计分，系统自动保生成测试结果，管理员可以选择用户能否查看测评结果，测评结果数据可导出。</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5、自定义添加量表：为满足测评的多样化，要求系统允许管理员可根据自己的需要自行添加定义所需的测评量表。</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6、量表权限设置：不同的部门的管理员可独立设定量表测评权限。超级管理员可以实现对测评量表的完全管理。</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7、自定义测评问卷模块：系统支持管理自定义测评问卷内容及题库，还可以添加分卷功能，能够实现客观打分。    </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8、添加用户及部门管理员：可以用户自主注册、管理员添加以及批量导入用户。还能够添加指定部门及部门管理员，能够达到一对多的有效管理。</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9、自动危机预警功能：系统可以根据用户的测试结果，自动进行预警提示。管理员可以查看预警项目，并且标记已读，可将预警情况设置为可查看或不可查看，也可把结果导出或批量导出进行存档。</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10、除生成个体测试报告，系统还支持对个体、团体历次数据做横向汇总，生成综合的个体和团体报告。</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11、手动录入功能：通过手动录入测评答案，可以自动生成对应的测评结果。</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12、数据备份功能：用户可以的对测评数据可进行备份和导入，可以将数据进行还原。在保证测评数据绝对安全的同时也极大的方便了对管理员对测评数据的管理。</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13、扫码测试功能：系统具有二维码扫码登录、扫码测试等功能。用户可通过手机等移动设备进行扫码使用，既极大的满足用户的使用习惯，还可大幅降低软件对单位电脑硬件方面的要求。</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14、在线咨询预约功能：本系统提供在线预约咨询和在线心理咨询功能。用户可以通过系统提交自己的心理咨询问题，心理老师可以在线回复，保证心理咨询的隐私安全。</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15、工作排期功能：可以添加展示工作日期，以免来访者跑空。</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16、咨询师展示功能：可以展示该单位的心理咨询师的个人信息和擅长领域，我们可以选择所需的心理咨询师进行一对一的咨询或预约。</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17、回收站功能：我们可以进入回收站，还原之前删除的内容如用户账号、题库、测评结果，防止因误删导致的数据丢失。</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18、单位自定义：我们可以自定义单位的简介、标题栏等。</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 提供“心理测评管理系统”测试报告。</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提供测试报告原件的扫描件加盖电子章</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5761"/>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情绪手环分析系统</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情绪识别：包含情绪稳定性指数、疲劳指数、压力指数指标。通过智能硬件采集数据并结合云端算法精准测算，每小时更新一次，以百分制给出指数和指数对应的情绪状态，心情图标和分数的颜色会根据心情状态进行变化，帮助家长实时了解孩子情绪状态。</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情绪详情：可查看当前情绪识别时段内的详细情绪总体评价、变化趋势，并基于当前情绪状态指数和专业的心理学知识，给出可靠的情绪解读和针对性的建议，帮助用户了解孩子状态并根据建议缓解消极情绪。</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3、识别历史：罗列历史情绪识别状态，最多可支持回看3个月内情绪状态。</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4、登录：登录后可将数据存储至云端，提供短信验证码的登录方式，支持权限配置和管理。</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5、编辑资料：支持头像、昵称、性别和出生日期资料填写，所需要的具体字段支持定义。</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6、设备管理：可通过输入IMEI码或扫描设备二维码快速进行设备绑定，也支持解绑后绑定其他设备。</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7、情绪报告：可按照日/周/月查看学生的心情、疲劳、压力三大情绪指标变化趋势。</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8、服务记录：将保留使用过的服务记录，可查看训练和测评的历史情况。</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9、生理健康：可查看包括心率、血压、血氧、步数、睡眠状况指标在内的生理数据。                                                                         </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10、本系统为智能情绪手表1个和后台管理系统干预app1个组成。</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gridSpan w:val="2"/>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center"/>
              <w:widowControl/>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bidi="ar"/>
                <w14:textFill>
                  <w14:solidFill>
                    <w14:schemeClr w14:val="tx1"/>
                  </w14:solidFill>
                </w14:textFill>
              </w:rPr>
              <w:t xml:space="preserve">心理沙盘</w:t>
            </w:r>
            <w:r/>
          </w:p>
        </w:tc>
        <w:tc>
          <w:tcPr>
            <w:tcBorders>
              <w:top w:val="single" w:color="000000" w:sz="4" w:space="0"/>
              <w:left w:val="none" w:color="000000" w:sz="4" w:space="0"/>
              <w:bottom w:val="single" w:color="000000" w:sz="4" w:space="0"/>
              <w:right w:val="single" w:color="000000" w:sz="4" w:space="0"/>
            </w:tcBorders>
            <w:tcW w:w="5214" w:type="dxa"/>
            <w:vAlign w:val="center"/>
            <w:textDirection w:val="lrTb"/>
            <w:noWrap w:val="false"/>
          </w:tcPr>
          <w:p>
            <w:pPr>
              <w:jc w:val="center"/>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2266"/>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心理沙盘</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心理沙具≥600件：按照大类和次类别划分，并提供主要类别与沙具的象征意义，沙具大类包含：人物、动物、植物、建筑物、交通工具、家居与生活用品、食物果实、天然物品、宇宙天体、宗教物品与其它，交通工具包含公安系列、工程系列、军事系列。家居包含各种家具、家用电器、生活用品系列。同时为保证咨询效果，材质应包含陶瓷、树脂 、木质、塑胶等，形象逼真、接近现实，满足不同偏好来访者的需要。</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2、标准沙盘1个：技术规格：内径≥72cm*57cm*7cm，国家级环保材质全实木材质，颜色：外侧木本色，内侧涂蓝色 代表蓝天，底部蓝色代表大海和湖泊，是生命和能量的象征。沙盘底部卡槽对接支架，确保位置固定，不晃动，安全系数高。</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3、沙具陈列架1个：国家级环保实木材质，阶梯搭步式设计，五层九阶（尺寸：160*80*30cm），便于来访者清晰地看到全部玩具及取用沙具，同时承重性更强，长久使用稳固不变形；</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4、沙盘游戏专用沙10kg：原色海沙，天然细沙、颗粒光滑、大小均匀、高温消毒。</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5、沙盘游戏指导书籍 1本：提供正式出版的配套指导书籍：提供沙盘游戏整个过程的案例及分析。由沙盘游戏的初阶（沙盘游戏概述，理论深渊，实施过程，象征意义解读，空间配置）沙盘游戏的进阶（个体咨询案例，家庭治疗的理论，家庭治疗案例）沙盘游戏的高阶（团体治疗理论，团体治疗的案例，沙盘游戏的督导）等多部分组成。</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6、沙盘游戏视频剪辑1套 </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7、沙具辅助设备含平沙耙，挖沙铲，清洁刷，玩具筐4件套 1套       </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 </w:t>
            </w:r>
            <w:r>
              <w:rPr>
                <w:rFonts w:hint="eastAsia" w:ascii="宋体" w:hAnsi="宋体" w:cs="宋体"/>
                <w:color w:val="000000" w:themeColor="text1"/>
                <w:sz w:val="20"/>
                <w:szCs w:val="20"/>
                <w:highlight w:val="none"/>
                <w:lang w:eastAsia="zh-CN" w:bidi="ar"/>
                <w14:textFill>
                  <w14:solidFill>
                    <w14:schemeClr w14:val="tx1"/>
                  </w14:solidFill>
                </w14:textFill>
              </w:rPr>
              <w:t xml:space="preserve">提供含有CMA或CNAS标识</w:t>
            </w:r>
            <w:r>
              <w:rPr>
                <w:rFonts w:hint="eastAsia" w:ascii="宋体" w:hAnsi="宋体" w:cs="宋体"/>
                <w:color w:val="000000" w:themeColor="text1"/>
                <w:sz w:val="20"/>
                <w:szCs w:val="20"/>
                <w:highlight w:val="none"/>
                <w:lang w:bidi="ar"/>
                <w14:textFill>
                  <w14:solidFill>
                    <w14:schemeClr w14:val="tx1"/>
                  </w14:solidFill>
                </w14:textFill>
              </w:rPr>
              <w:t xml:space="preserve">的“心理沙盘”检验报告，检验项目包括“贯通裂缝、表面划痕、耐湿热、色差、耐磨性、抗冲击、硬度、耐腐蚀、光泽度、稳定性、汞、铅、砷、钡、甲醛释放量、阻燃性”等检验符合项。 </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提供检测报告原件的扫描件加盖电子章</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5480"/>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3D数字心理沙盘平台</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一、触摸显示模块</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屏幕尺寸：≥32寸</w:t>
            </w:r>
            <w:r>
              <w:rPr>
                <w:rFonts w:hint="eastAsia" w:ascii="宋体" w:hAnsi="宋体" w:cs="宋体"/>
                <w:color w:val="000000" w:themeColor="text1"/>
                <w:sz w:val="20"/>
                <w:szCs w:val="20"/>
                <w:highlight w:val="none"/>
                <w:lang w:bidi="ar"/>
                <w14:textFill>
                  <w14:solidFill>
                    <w14:schemeClr w14:val="tx1"/>
                  </w14:solidFill>
                </w14:textFill>
              </w:rPr>
              <w:t xml:space="preserve"> 屏幕比例： 16:9  外置触摸系统，由铝合金制成。 透光率：≥ 98%, 最小触摸体：≥5mm， 防划性：采用A级防划屏，能更好的保护屏幕， 响应速度：&lt;8ms  耐久性：&gt;承受超过80,00万次以上的单点触摸    漂移：无漂移，不随环境产生变化    显示设备：工业级TFT-LED 液晶显示模块，分辨率达：≥1080*1920；亮度：≥450cd/m2，对比度：≥2000W:1，比例：9:16；点距：≥0.464mm，颜色素：16.7M色；,120Hz图像倍频处理技术： 动态背光,护眼技术,画质提升</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二、基本模块</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机柜外观：机柜材质采用1.5MM厚冷扎钢板，不锈钢磨沙面框，流线型模具制作，全钢质机体表面采用杜邦金属烤漆。</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三、声音模块：扬声器：多媒体立体声、双声道、防磁音响</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四、供电系统：电源模块：双路供电，双路在线电源，主机模块与功能模块独立供电</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五、功耗：1.工作功耗：50W-200W     2.待机功耗：1W-10W</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六、运行环境：工作环境：温度：-20℃-60℃；湿度：10％-80％ </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七：主机配置：采用工业级主板，I5CPU+8G内存+2560G固态硬盘+2G独立显卡</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八：软件介绍：                                                                                                                               1） 3D心理沙软件系统</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1、3D场景：</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①提供10个不同样式的沙箱场景，根据沙盘主题进行自由选择，包含草原、沙漠、湖畔、雪地等，沙箱场景与实际沙盘高度逼真。</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②场景编辑功能：在场景中，可以升降地面，调节水位高度，改变天气状态，比如晴天、多云、阴天、日出、日落、黄昏、黑天。提供60个地表画刷，可以对地面进行背景替换和填充。</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2、3D沙具</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①10类沙具，包括人物类，动物类，植物类，建筑物类，景观类，交通运输类，家具生活工具类，食物果实类，石头贝壳天然物质类，其他种类。总计不少于1500个3D沙具。</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②任一沙具不仅可以进行拖动、旋转、移动，还可以删除，同时系统自动记录沙具编号、名称、位置。某些动物类沙具可以设置为动态，如甩尾、踏步、抬头、眨眼等微动作；沙漠或草原可以有明显的刮风、下雨天气。</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③沙具升级：支持3D沙具扩展与升级。④自定义沙具属性：管理员可以自定义沙具属性，该属性能够为沙具意义分析报告提供参考根据。</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具有支持眼动仪的接口VR头盔的接口。系统预留外接眼动仪接口，一旦链接眼动仪即可实时记录学生沙盘制作过程中眼动注视情况，回放时可以与沙盘画面同步呈现，给老师提供眼动信息作为咨询参考依据。对于心理沙盘游戏过程中的眼动与心理分析及研究提供客观性数据支持。4、加载功能。将一次沙盘制作分为若干次，每次均在上次基础上进行沙盘制作，适合多次连续咨询。</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5、回放功能。系统提供实时回放，将沙盘制作过程重新呈现，可以作为学习资料进行存档留存。6、报告功能。自动出具心理沙盘分析报告，报告内容分为基本信息、来访者评价、作品截图、移动/摆放列表、沙具使用数量统计图、沙具意义分析、沙具布局热点图、不同象限眼动注视分布图(加载眼动仪则呈现，不加载不呈现)、整体分析记录表等信息。沙盘组织者可以对其中的内容进行编辑。</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7、用户信息管理功能。用户注册、录入、保存等功能，可以查看用户的沙盘作品报告。8、登录方式:区分普通用户和管理员两种登录方式。管理员模式下可以查看普通用户的沙盘制作以及分析报告；支持管理员可批量导入普通用户信息，方便管理员管理用户信息；9、数据保存方式:使用XML保存登录信息以及沙盘数据，通过解析XML还原沙盘数据生成分析报告；</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10、游戏呈现方式:全3D视角，可俯视仰视旋转3D场景。11、加密狗形式加密。12、可以局域网内形成1+1网络版，支持团体沙盘游戏。</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gridSpan w:val="2"/>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center"/>
              <w:widowControl/>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bidi="ar"/>
                <w14:textFill>
                  <w14:solidFill>
                    <w14:schemeClr w14:val="tx1"/>
                  </w14:solidFill>
                </w14:textFill>
              </w:rPr>
              <w:t xml:space="preserve">团体辅导</w:t>
            </w:r>
            <w:r/>
          </w:p>
        </w:tc>
        <w:tc>
          <w:tcPr>
            <w:tcBorders>
              <w:top w:val="single" w:color="000000" w:sz="4" w:space="0"/>
              <w:left w:val="none" w:color="000000" w:sz="4" w:space="0"/>
              <w:bottom w:val="single" w:color="000000" w:sz="4" w:space="0"/>
              <w:right w:val="single" w:color="000000" w:sz="4" w:space="0"/>
            </w:tcBorders>
            <w:tcW w:w="5214" w:type="dxa"/>
            <w:vAlign w:val="center"/>
            <w:textDirection w:val="lrTb"/>
            <w:noWrap w:val="false"/>
          </w:tcPr>
          <w:p>
            <w:pPr>
              <w:jc w:val="center"/>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26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团体辅导桌</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1、面板采用≥25mm免漆板直封边，经过一级检查，符合标准。</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2、单桌尺寸为≥688*500mm，6张单桌可拼接成一个≥1600mm直径的扇形桌。                                                                                                                                       3、可随心自由组合拼接成多个形状，圆形、S形、扇形、C形等。</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4、适合绘画室、培训室、心理咨询室等使用。</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5、高度可定制，幼儿到成年皆可使用。</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6、采用圆形框结构横梁以及 50 加大圆管脚支撑，壁厚达到1.2mm，非常牢固。</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7、折叠座椅pu面材质。易清洗和收纳6种颜色和桌面搭配。</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027"/>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团体心理健康辅导箱</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积极心理学团体活动箱是以团体游戏为主的一种游戏道具，里面的游戏需要多人配合才能完成，可以开发使用者的智力，团体合作能力，还能增加使用者的人与人之间的交际关系。</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【产品参数】</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1、规格尺寸：≥420*265*170mm。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2、便携工具箱：精挑轻便耐用材质特别定制。</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活动至少包含主题：1.个人优势：（发现、培养利用）、2.创造力：如何改变世界、3.学习风格：聪明学习、4.灵性：探索认识意义、5.主观辛福感：积极情绪之道、6.流心体验：享受当下，提高专注力、7.乐观与希望：向着未来陪跑、8.依恋：增进与成人和益友的联系、9.人际和谐：促进亲社会行为、10.感恩于宽恕：提升良性行为循环、11.韧性：在逆境中反弹、12自我决定论：提高自决能力、13.目标抉择与执行意图：促进行动能力、14.自我效能：成功的信心、15.心理资本：积极的教师，积极的学校。</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4、活动内容：不少于80种活动。</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A箱不少于14个活动：突破思维定式、让“身体”说话、优势取舍、突破常规、智闯雷阵、巧解绳套、优势活动、全班总动员、超效方法......等活动。</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B不少于24箱活动：创造心流、欢乐的假期、快乐时光、海底世界、还原基本法、乐观有妙招、插上积极的翅膀飞翔、亲子之间、良师益友......等活动。</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C不少于21个箱活动：我的抗逆力资源圈、我是谁、不做受害者、两粒沙、我要学、兴趣能力伴我成长、学习的乐趣、为什么会这样、选择我的生涯目标.....等活动。</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D不少于21个箱活动：优势大转盘、学会感恩、突破思维定式、让“身体”说话、优势取舍、智取文具盒、思维导图、脑力训练、生命的意义......等活动。</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5、独立包装：每个游戏所需道具器材均为独立包装，贴标明示。</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6、指导手册：详细介绍了每个活动所需器材、操作程序等内容。</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【产品配置】： </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①团体活动道具箱    4个      ②团体活动参考书籍1本</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③游戏音乐U盘1个                                                                                                                                                       </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 </w:t>
            </w:r>
            <w:r>
              <w:rPr>
                <w:rFonts w:hint="eastAsia" w:ascii="宋体" w:hAnsi="宋体" w:cs="宋体"/>
                <w:color w:val="000000" w:themeColor="text1"/>
                <w:sz w:val="20"/>
                <w:szCs w:val="20"/>
                <w:highlight w:val="none"/>
                <w:lang w:eastAsia="zh-CN" w:bidi="ar"/>
                <w14:textFill>
                  <w14:solidFill>
                    <w14:schemeClr w14:val="tx1"/>
                  </w14:solidFill>
                </w14:textFill>
              </w:rPr>
              <w:t xml:space="preserve">提供含有CMA或CNAS标识</w:t>
            </w:r>
            <w:r>
              <w:rPr>
                <w:rFonts w:hint="eastAsia" w:ascii="宋体" w:hAnsi="宋体" w:cs="宋体"/>
                <w:color w:val="000000" w:themeColor="text1"/>
                <w:sz w:val="20"/>
                <w:szCs w:val="20"/>
                <w:highlight w:val="none"/>
                <w:lang w:bidi="ar"/>
                <w14:textFill>
                  <w14:solidFill>
                    <w14:schemeClr w14:val="tx1"/>
                  </w14:solidFill>
                </w14:textFill>
              </w:rPr>
              <w:t xml:space="preserve">的“团体心理健康辅导箱”检验报告，检验项目包括“表面效果、气泡、黑点、杂质、毛边、毛刺、变形、色差、混色”等检验合格项。</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提供检测报告原件的扫描件加盖电子章</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747"/>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心理健康教育活动箱</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心理健康教育活动箱是运用心理辅导活动具有形式多样，生动活泼的特点，让学生进行自我的探索、认识自我、调节自我、完善自我。</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一、产品参数</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规格尺寸：≥490*300*280mm。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便携工具箱：精挑轻便耐用材质特别定制。</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1、设备组成：心理健康教育活动箱1个 +活动参考书籍1本+游戏音乐U盘1个。</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2、心理健康教育活动箱至少包含学习心理辅导、自我意识辅导、生涯规划辅导、人际交往辅导、情绪管理辅导、休闲活动辅导六大主题，不少于36个活动。</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独立包装：每个游戏所需道具器材均为独立包装，贴标明示。</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二、学习心理辅导活动至少包含：（管理好时间财富）道具、生命量尺、我的时间馅饼、我的苦恼、剪刀、匆匆、配乐、（知了学飞）动物卡片、词语条、故事《知了学飞》、口算题、动画片《西游记》、儿歌《白龙马》（音配画），中性笔、（专注是金）、（记忆直通车）、（空降法补弱科）、（跨越高三复习疲劳期）道具、心理游戏、等活动。</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三、三、自我意识辅导活动至少包含：（我是谁）道具植物、动物名称的卡片、（价值大拍卖）道具钱10000元，拍卖锤、（走出自卑的阴影）道具影像资料蔡琴《你的眼神》（我有我风采）A4纸、中性笔、（积极的自我暗示）道具音乐《无限生机》、小品《我想有个家》、《隐形的翅膀》、（小记者）、（相信自己 与人合作）、等活动。</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四、生涯规划辅导活动至少包含：（在挫折中奋起）道具、动画巨石下的小草、视频《桑兰的微笑》、背景音乐《阳光总在风雨后》、大转盘、可擦除笔、（兴趣，我的老师）道具姚明图片、《军队进行曲》、便利贴、（美好人生我选择）道具请你参与、说说我的职业观、我的人生我做主、A4纸、《明天会更好》、(亮出你心中的剑)道具《感动全人类的视频》、《亮剑精神》、活动自纠规划表、（触摸梦想 规划人生 点亮未来）个人成长规划表、（目标成就未来）道具自我探索单等活动。</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五、五、人际交往辅导活动包含：（男生女生  阳光交往)道具、《小小少年》、《快乐的同桌》、A4纸、（学会与父母沟通)道具《吉祥三宝》视频、问卷调查、《感恩的心》、《懂你》、《让爱驻我家》、（学会倾听）道具《倾听者和不倾听者》、（我是小小邮递员）道具、信封、（学会合作）道具、A4纸、眼罩、（批评，成长的良药）道具、薯片的传说、理智把握青春情感等活动。</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六、情绪管理辅导活动包含：（笑对生活 快乐童年）道具《幸福拍手歌》、《人生的风雨旅途》、（做情绪的主人）道具一朵花、音乐《最近比较烦》、情景剧《倒霉的一天》、歌曲《我们都是快乐的人》、（送你一支快乐魔术棒）道具、音乐《快乐老家》、鼓和鼓槌、绢花、看图明理、（阳光心态 成就自我）道具、短片《跳跳羊》、（让“焦虑”组我一臂之力）道具、考试焦虑水平测验量表、（克服嫉妒心理 学会合理竞争）等活动。</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七、休闲活动辅导活动包含：（我们社区的休闲新风尚）道具、动画1，动画2、（修筑上网“防火墙”）道具、情景剧《小明上网记》、上网自控检测表、、（学会休闲 享受生活）道具、休闲计划表、（过有意义的假期）道具、初中生假期生活问卷调查，小豆豆的寒假日程表、（休闲让生活更加精彩）、道具、我的双休日、（休闲之旅 文明同行）、道具、《周末自视频驾》、《春天在哪里》等活动。</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 </w:t>
            </w:r>
            <w:r>
              <w:rPr>
                <w:rFonts w:hint="eastAsia" w:ascii="宋体" w:hAnsi="宋体" w:cs="宋体"/>
                <w:color w:val="000000" w:themeColor="text1"/>
                <w:sz w:val="20"/>
                <w:szCs w:val="20"/>
                <w:highlight w:val="none"/>
                <w:lang w:eastAsia="zh-CN" w:bidi="ar"/>
                <w14:textFill>
                  <w14:solidFill>
                    <w14:schemeClr w14:val="tx1"/>
                  </w14:solidFill>
                </w14:textFill>
              </w:rPr>
              <w:t xml:space="preserve">提供含有CMA或CNAS标识</w:t>
            </w:r>
            <w:r>
              <w:rPr>
                <w:rFonts w:hint="eastAsia" w:ascii="宋体" w:hAnsi="宋体" w:cs="宋体"/>
                <w:color w:val="000000" w:themeColor="text1"/>
                <w:sz w:val="20"/>
                <w:szCs w:val="20"/>
                <w:highlight w:val="none"/>
                <w:lang w:bidi="ar"/>
                <w14:textFill>
                  <w14:solidFill>
                    <w14:schemeClr w14:val="tx1"/>
                  </w14:solidFill>
                </w14:textFill>
              </w:rPr>
              <w:t xml:space="preserve">的“心理健康教育活动箱”检验报告，检验项目包括“表面效果、气泡、黑点、杂质、毛边、毛刺、变形、色差、混色”等检验合格项。</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提供检测报告原件的扫描件加盖电子章</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gridSpan w:val="2"/>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center"/>
              <w:widowControl/>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bidi="ar"/>
                <w14:textFill>
                  <w14:solidFill>
                    <w14:schemeClr w14:val="tx1"/>
                  </w14:solidFill>
                </w14:textFill>
              </w:rPr>
              <w:t xml:space="preserve">情绪宣泄</w:t>
            </w:r>
            <w:r/>
          </w:p>
        </w:tc>
        <w:tc>
          <w:tcPr>
            <w:tcBorders>
              <w:top w:val="single" w:color="000000" w:sz="4" w:space="0"/>
              <w:left w:val="none" w:color="000000" w:sz="4" w:space="0"/>
              <w:bottom w:val="single" w:color="000000" w:sz="4" w:space="0"/>
              <w:right w:val="single" w:color="000000" w:sz="4" w:space="0"/>
            </w:tcBorders>
            <w:tcW w:w="5214" w:type="dxa"/>
            <w:vAlign w:val="center"/>
            <w:textDirection w:val="lrTb"/>
            <w:noWrap w:val="false"/>
          </w:tcPr>
          <w:p>
            <w:pPr>
              <w:jc w:val="center"/>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364"/>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智能体感互动宣泄系统</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一、产品简介</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智能体感互动宣泄系统是集游戏、运动、互动于一体的新型智能宣泄设备。系统结合游戏治疗的心理学逻辑,引导来访者获得良好的放松娱乐体验,进而释放不良心理压力,消除释放不好的心理情绪。</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二、硬件参数</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1.外形尺寸：≥高169cm×宽90cm×厚46cm。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2.训练显示屏：≥42 英寸液晶屏幕，分辨率≥1200*1080。</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3.训练机柜：钢材质，白色。</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4.输入电源： AC 220V/50Hz。</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5.重量：50KG。</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6.训练控制主机系统：内置超过150个多种互动宣泄游戏，支持视频输出。</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7.训练无线手柄：有效距离5米以内。</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三、系统介绍</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1、智能互动宣泄系统让使用者亲身参与各项活动，如网球、瑜伽、跑步等互动活动，提升来访者的逻辑思考能力、判断力、身体灵活性，释放不良情绪，达到良好的身心状态。</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系统采用无线传输感应技术实时采集宣泄者多种动作姿态，实现人机互动宣泄，提供不少于150款训练方案，模拟各种运动、健康项目进行肢体、心理、大脑等同步训练，进而达到“身与心”的调节疏导，情绪宣泄，包括 有：跑步、乒乓球、足球、网球、高尔夫、拳击、击剑、滑冰等。</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3、人机互动宣泄</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系统提供多款互动训练游戏，在躯体运动的过程中，调用心、智同步训练，达到心理理情绪疏导，实现真正意义上的身心放松。</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4、自主平衡训练系统</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系统提供多款平衡训练游戏，实现集情绪疏导、宣泄为一体的新型宣泄方法。</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5、无线智能感应技术</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系统采用最先进无线智能传感系统，训练者在规定感应范围内，无拘束任意活动、游戏训练，系统均能精准接收各种姿态信号，并实时反馈，真实感强。                                             </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1、</w:t>
            </w:r>
            <w:r>
              <w:rPr>
                <w:rFonts w:hint="eastAsia" w:ascii="宋体" w:hAnsi="宋体" w:cs="宋体"/>
                <w:color w:val="000000" w:themeColor="text1"/>
                <w:sz w:val="20"/>
                <w:szCs w:val="20"/>
                <w:highlight w:val="none"/>
                <w:lang w:eastAsia="zh-CN" w:bidi="ar"/>
                <w14:textFill>
                  <w14:solidFill>
                    <w14:schemeClr w14:val="tx1"/>
                  </w14:solidFill>
                </w14:textFill>
              </w:rPr>
              <w:t xml:space="preserve">提供含有CMA或CNAS标识的</w:t>
            </w:r>
            <w:r>
              <w:rPr>
                <w:rFonts w:hint="eastAsia" w:ascii="宋体" w:hAnsi="宋体" w:cs="宋体"/>
                <w:color w:val="000000" w:themeColor="text1"/>
                <w:sz w:val="20"/>
                <w:szCs w:val="20"/>
                <w:highlight w:val="none"/>
                <w:lang w:bidi="ar"/>
                <w14:textFill>
                  <w14:solidFill>
                    <w14:schemeClr w14:val="tx1"/>
                  </w14:solidFill>
                </w14:textFill>
              </w:rPr>
              <w:t xml:space="preserve">“智能体感互动宣泄系统”测试报告，测试项目包括“完备性、正确性、易理解性、启动、选择游戏、体感互动、音量调节、可辨识性、易学性、易操作性、用户差错防御性、用户界面舒适性”等测试合格项。</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提供</w:t>
            </w:r>
            <w:r>
              <w:rPr>
                <w:rFonts w:hint="eastAsia" w:ascii="宋体" w:hAnsi="宋体" w:cs="宋体"/>
                <w:color w:val="000000" w:themeColor="text1"/>
                <w:sz w:val="20"/>
                <w:szCs w:val="20"/>
                <w:highlight w:val="none"/>
                <w:lang w:bidi="ar"/>
                <w14:textFill>
                  <w14:solidFill>
                    <w14:schemeClr w14:val="tx1"/>
                  </w14:solidFill>
                </w14:textFill>
              </w:rPr>
              <w:t xml:space="preserve">测试</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报告原件的扫描件加盖电子章</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2937"/>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击打呐喊宣泄仪</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一、显示模块</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屏幕尺寸：≥43寸</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分辨率达：≥1920*1080；≥亮度：450cd/m2，≥对比度：2000W:1，比例：16:9；≥点距：0.464mm，颜色素：≥16.7M色；可视角度：L890/R890/U890/D890；120Hz图像倍频处理技术。</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二、基本模块</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机柜外观：机柜材质采用1.5MM厚冷扎钢板，不锈钢磨沙面框，流线型模具制作，全钢质机体表面采用杜邦金属烤漆，机柜外层表面及金固件均经过防锈及绝缘等5道工序处理；机柜表面通过酸洗、底漆 防锈处理、打平、打磨、镀锌等专业处理，能防火、防水 防锈、防震、防磁、防干扰、防静电全钢材料、防腐蚀、耐磨</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三、声音模块</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扬声器：多媒体立体声、双声道、防磁音响</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四、供电系统</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电源模块：双路供电，双路在线电源，主机模块与功能模块独立供电</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五、功耗</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1.工作功耗：50W-200W     2.待机功耗：1W-10W</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六、运行环境</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工作环境：温度：-20℃-60℃；湿度：10％-80％                                                                                                                          </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七.主机配置：采用工业级主板，安卓3288+4G内存+32G硬盘</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八.击打靶：高度750mm，击打范围40mm，外层高强度PU皮革皮材质，4点采集端                                                                             </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软件参数：</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1.通过正向引导，用呐喊与击打的方式，释放不满情绪、泄出怨气，有针对性地进行情绪疏导与鼓励。</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系统采用两级账号权限，普通用户包含快速宣泄、专业宣泄、压力问卷、报告管理、智能放松、系统设置六大功能，管理员账号包含用户管理、报告管理两大功能，同时设置游客模式方便没有账号的人员对系统进行体验，游客模式下除了不保存报告数据外，其他功能与普通用户功能一致。</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3.快速宣泄功能能灵活、自由、快速的展开宣泄体验，对宣泄时间、强度不设限制。</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4.专业宣泄功能包含情感挫折、家庭关系、人际关系、环境适、工作学习压力、消极情绪、心理挫折、自卑情绪、处事拖延、心理压力十大宣泄主题，宣泄过程中系统引导语智能反馈引导宣泄时间和强度，既能得到充分宣泄亦可避免不当宣泄造成的伤害，宣泄结束后自动生成宣泄报告。</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5.专业宣泄功能每个宣泄主题包含心花怒放、火焰奔腾、大雨淋漓、大雪纷飞、腾云驾雾、电闪雷鸣、青枝绿叶、落花流水、沤浮泡影、包罗万象十类宣泄场景，通过丰富的场景效果对情绪问题进行有效宣泄。</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6.宣泄灵敏度可进行调整，从而设置适合自己的宣泄强度，避免过度宣泄。</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7.系统能一键切换宣泄模式，击打宣泄模式采用16位高精度击打传感器，呐喊宣泄模式采用低噪声双麦克风传感器从而适不同身高。</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8.系统内置PSTR压力自测问卷，其结果可做为参考了解自我心理压力水平，自测结束后自动生成测评报告。</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9.智能放松功能包含不少于8个心理放松游戏以及8个视频放松主题，为来访者创造一个轻松愉快的放松环境，来释放内心的不良情绪。</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90"/>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宣泄器材</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1.仿真宣泄人：按照真人比例1:1开模制造，高≥168cm、宽≥58cm、长≥60cm。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优质选材：外层包裹涤纶材质布料，光滑强度高。着装有定制卫衣，衣物上无任何硬物，即使不戴护手套也不会误伤来访者，并且提升击打手感。</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金属铁质底座：宣泄人底座采用了金属材质，罐沙固定。外层喷塑处理，方形设计，大气美观。长：不少于59CM，宽不少于49，高：不少于20CM。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姿势任意调节：宣泄人手臂采用活动设计，拳头为圆球形状</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发声功能：可以随机发出多种不同的宣泄语音，使得趣味性提高，来访者再进行体力宣泄时候开怀大笑，使得转移来访者的注意力，将心中的不悦大程度上的释放。</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2.全硅胶宣泄人1个，可调节高度，150cm-190cm.硅胶宣泄人1个，仿真人设计，外置受力感应系统，可根据不同力度，系统自动反馈话语。颜色：皮肤色</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3.立式宣泄球：拳击球材质为PU皮，底座：直径约44cm，高度约12cm的塑胶料底座；高度：产品可调节高度126-150cm；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4.宣泄手套：宣泄手套2副，专业宣泄用,PU革制,内胆高回弹。</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5.宣泄棒2根，安全环保，外套绒布印有“心理宣泄棒”字样，手感极佳，长100CM。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6.宣泄卫衣1件，尼龙材质，真人服装。</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7.摔打宣泄球4个，直径：22cm；橡胶材料，弹性好，不易变形。</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8.宣泄图4张，高清环保相纸，颜色清晰，不易退色，尺寸为40*60。                                                                                                         </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1、</w:t>
            </w:r>
            <w:r>
              <w:rPr>
                <w:rFonts w:hint="eastAsia" w:ascii="宋体" w:hAnsi="宋体" w:cs="宋体"/>
                <w:color w:val="000000" w:themeColor="text1"/>
                <w:sz w:val="20"/>
                <w:szCs w:val="20"/>
                <w:highlight w:val="none"/>
                <w:lang w:eastAsia="zh-CN" w:bidi="ar"/>
                <w14:textFill>
                  <w14:solidFill>
                    <w14:schemeClr w14:val="tx1"/>
                  </w14:solidFill>
                </w14:textFill>
              </w:rPr>
              <w:t xml:space="preserve">提供含有CMA或CNAS标识的</w:t>
            </w:r>
            <w:r>
              <w:rPr>
                <w:rFonts w:hint="eastAsia" w:ascii="宋体" w:hAnsi="宋体" w:cs="宋体"/>
                <w:color w:val="000000" w:themeColor="text1"/>
                <w:sz w:val="20"/>
                <w:szCs w:val="20"/>
                <w:highlight w:val="none"/>
                <w:lang w:bidi="ar"/>
                <w14:textFill>
                  <w14:solidFill>
                    <w14:schemeClr w14:val="tx1"/>
                  </w14:solidFill>
                </w14:textFill>
              </w:rPr>
              <w:t xml:space="preserve">“硅胶宣泄人”检测报告，检测项目包括“可溶性元素含量(汞、铅、砷、钡、铬、锑、镉、硒)、邻苯二甲酸酯含量、挥发性有机化合物、苯含量、边缘尖端、易燃性能”等检验符合项。</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提供检测报告原件的扫描件加盖电子章</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gridSpan w:val="2"/>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center"/>
              <w:widowControl/>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bidi="ar"/>
                <w14:textFill>
                  <w14:solidFill>
                    <w14:schemeClr w14:val="tx1"/>
                  </w14:solidFill>
                </w14:textFill>
              </w:rPr>
              <w:t xml:space="preserve">个体咨询</w:t>
            </w:r>
            <w:r/>
          </w:p>
        </w:tc>
        <w:tc>
          <w:tcPr>
            <w:tcBorders>
              <w:top w:val="single" w:color="000000" w:sz="4" w:space="0"/>
              <w:left w:val="none" w:color="000000" w:sz="4" w:space="0"/>
              <w:bottom w:val="single" w:color="000000" w:sz="4" w:space="0"/>
              <w:right w:val="single" w:color="000000" w:sz="4" w:space="0"/>
            </w:tcBorders>
            <w:tcW w:w="5214" w:type="dxa"/>
            <w:vAlign w:val="center"/>
            <w:textDirection w:val="lrTb"/>
            <w:noWrap w:val="false"/>
          </w:tcPr>
          <w:p>
            <w:pPr>
              <w:jc w:val="center"/>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沙发茶几</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单人沙发；规格：1+1布局，简约时尚，高弹海绵，回弹性好。圆形茶几。</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544"/>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职业生涯心理辅导箱</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职业生涯心理辅导箱至少包含认识生涯规划、透视生涯规划、职业认识、职业探索、职业选择、我的职业兴趣、我的职业性格、我的职业能力、职业生涯分析、职业生涯报告、我的生涯管理等22个主题。为让学生更好的了解社会，了解自我，进行积极的生涯规划。让学生更充分的做好未来人生的准备。</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【产品参数】规格尺寸：≥490*300*280mm。便携工具箱：精挑轻便耐用材质特别定制。</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一、活动主题：生涯唤醒、自我认知、职业认知、专业认知、生涯决策、生涯管理、生涯发展共七章主题。生涯认知、生涯探索、生涯决策和生涯准备等四大模块不少于23个主题。</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二、活动内容：不少于17小节生涯规划辅导及测试知识。</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三、活动道具：职业生涯类相关卡片。</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四、设备组成：职业生涯规划箱1个 +活动参考书籍1本+游戏音乐U盘1个+独立包装游戏道具若干</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五、活动至少包含舒伯职业生涯、我的生涯彩虹、我的人生角色、成长计划、职业认识、职业连连看、职业探索、职业选择、我的名片、探索兴趣岛、我的职业性格、我的职业能力、职业的认识、谈职业价值观、"职业价值观、大拍卖"、职业生涯分析、职业生涯报告、"我的生涯规划报告"、我的生涯管理、"我的职业模拟记录"、职业面试等不少于35个游戏。</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独立包装：每个游戏所需道具器材均为独立包装，贴标明示。</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六、指导手册：详细介绍了每个活动所需器材、操作程序等内容。 </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280"/>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智能生物反馈音乐放松系统</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一、产品简介</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音乐放松椅是以音乐提高人体大脑皮层的兴奋度。人体按摩为辅，缓解身体压力。从而达到改善情绪，激发情感，振奋精神的作用。</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二、产品规格</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产品尺寸：≥85*110*105cm（长宽高）  重量≥45KG；承重≥100KG；电源：220V/50Hz；</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三、产品功能</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1、音乐放松椅：人体工学结构设计，柔软舒适，内置超静音电机，可通过控制椅子的升降角度。满足来访者躺、仰、坐姿势。</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2、播放系统：14英寸播放器，配备无线遥控器1个，播放器无线遥控控制，支持心理音乐、心理图片、心理视频等各种文件格式播放。</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3、万向支架：配备万向支架，可360度旋转。</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4、智能按摩功能：通过遥控器控制震动按摩，对臀部，腰部，背部，颈部震动按摩，多种智能开启模式。</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5、无线蓝牙播放系统：内置式无线蓝牙音箱，支持蓝牙无线连接，可直接连接电脑及手机、MP3/P4、LD、TV等具备音频传输的装备。</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6、音响系统：配置音频控制面板，智能调节音频重低音和音量。靠背头部两侧，配置高保真音响系统，立体声效果极佳。</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7、放松训练音乐：系统提供11类音乐训练处方，中医五行放松诱导音乐、α波脑电波音乐、纯音乐放松训练、催眠减压音乐、大自然背景音乐、带指导语的放松减压音乐、解除忧郁乐曲、冥想音乐、全脑开发大师音乐、深度睡眠音乐、双脑同步共振音乐、心灵音乐馆、国外著名放松音乐、中国风音乐等专业心理放松音乐，可根据用户喜好自由选择。</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8、专业心理视频：系统内置视频训练教程，冥想放松、催眠用摇摆钟、肌肉放松、呼吸放松、经典眩晕视频、太空遐想视频等7个专业心理视频。</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9、专业心理图片：错觉图、不可能图、多角度图、多歧图等11副专业心理图片。</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10、产品组成：音乐放松椅1台；14寸播放器1台；催眠眼罩2个；音乐治疗导论1本。  </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eastAsia="zh-CN" w:bidi="ar"/>
                <w14:textFill>
                  <w14:solidFill>
                    <w14:schemeClr w14:val="tx1"/>
                  </w14:solidFill>
                </w14:textFill>
              </w:rPr>
              <w:t xml:space="preserve">▲提供含有CMA或CNAS标识的</w:t>
            </w:r>
            <w:r>
              <w:rPr>
                <w:rFonts w:hint="eastAsia" w:ascii="宋体" w:hAnsi="宋体" w:cs="宋体"/>
                <w:color w:val="000000" w:themeColor="text1"/>
                <w:sz w:val="20"/>
                <w:szCs w:val="20"/>
                <w:highlight w:val="none"/>
                <w:lang w:bidi="ar"/>
                <w14:textFill>
                  <w14:solidFill>
                    <w14:schemeClr w14:val="tx1"/>
                  </w14:solidFill>
                </w14:textFill>
              </w:rPr>
              <w:t xml:space="preserve">“音乐放松椅”检验报告，检验项目包含”面料、缝纫和包覆、金属件、木质件、饰面、五金件及其配件安装“等检测合格项，以及包含“耐汗渍色牢度、耐水色牢度、耐干摩擦色牢度、可分解芳香胺染料、甲醛含量、ph值”等检验合格项。</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提供检测报告原件的扫描件加盖电子章</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gridSpan w:val="2"/>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center"/>
              <w:widowControl/>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bidi="ar"/>
                <w14:textFill>
                  <w14:solidFill>
                    <w14:schemeClr w14:val="tx1"/>
                  </w14:solidFill>
                </w14:textFill>
              </w:rPr>
              <w:t xml:space="preserve">贵宾接待</w:t>
            </w:r>
            <w:r/>
          </w:p>
        </w:tc>
        <w:tc>
          <w:tcPr>
            <w:tcBorders>
              <w:top w:val="single" w:color="000000" w:sz="4" w:space="0"/>
              <w:left w:val="none" w:color="000000" w:sz="4" w:space="0"/>
              <w:bottom w:val="single" w:color="000000" w:sz="4" w:space="0"/>
              <w:right w:val="single" w:color="000000" w:sz="4" w:space="0"/>
            </w:tcBorders>
            <w:tcW w:w="5214" w:type="dxa"/>
            <w:vAlign w:val="center"/>
            <w:textDirection w:val="lrTb"/>
            <w:noWrap w:val="false"/>
          </w:tcPr>
          <w:p>
            <w:pPr>
              <w:jc w:val="center"/>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lang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10160" cy="10160"/>
                      <wp:effectExtent l="0" t="0" r="0" b="0"/>
                      <wp:wrapNone/>
                      <wp:docPr id="9" name="图片_19"/>
                      <wp:cNvGraphicFramePr/>
                      <a:graphic xmlns:a="http://schemas.openxmlformats.org/drawingml/2006/main">
                        <a:graphicData uri="http://schemas.openxmlformats.org/drawingml/2006/picture">
                          <pic:pic xmlns:pic="http://schemas.openxmlformats.org/drawingml/2006/picture">
                            <pic:nvPicPr>
                              <pic:cNvPr id="3" name="图片_19"/>
                              <pic:cNvPicPr/>
                              <pic:nvPr/>
                            </pic:nvPicPr>
                            <pic:blipFill>
                              <a:blip r:embed="rId13"/>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643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3" o:title=""/>
                    </v:shape>
                  </w:pict>
                </mc:Fallback>
              </mc:AlternateConten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沙发茶几</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三人沙发；规格：长度≥180cm，宽度≥65cm，高度≥60cm；松木框架,三人位，简约时尚，高弹海绵，回弹性好。</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办公桌椅</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心理教师办公用，基材实木，漆面光泽度高、硬度达H级，椅子框架采用一次性成型不锈钢材料，优质超纤皮。透气性强，柔软而富有弹性，厚度适中。</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挂钟</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控制咨询时间，尺寸: ≥12英寸；机芯：静音机芯；</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材质：金属、玻璃</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gridSpan w:val="4"/>
            <w:tcBorders>
              <w:top w:val="single" w:color="000000" w:sz="4" w:space="0"/>
              <w:left w:val="single" w:color="000000" w:sz="4" w:space="0"/>
              <w:bottom w:val="single" w:color="000000" w:sz="4" w:space="0"/>
              <w:right w:val="single" w:color="000000" w:sz="4" w:space="0"/>
            </w:tcBorders>
            <w:tcW w:w="7655" w:type="dxa"/>
            <w:vAlign w:val="center"/>
            <w:textDirection w:val="lrTb"/>
            <w:noWrap w:val="false"/>
          </w:tcPr>
          <w:p>
            <w:pPr>
              <w:jc w:val="center"/>
              <w:widowControl/>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bidi="ar"/>
                <w14:textFill>
                  <w14:solidFill>
                    <w14:schemeClr w14:val="tx1"/>
                  </w14:solidFill>
                </w14:textFill>
              </w:rPr>
              <w:t xml:space="preserve">美术教室配备方案（60+1座/室）</w:t>
            </w:r>
            <w:r>
              <w:rPr>
                <w:rFonts w:hint="eastAsia" w:ascii="宋体" w:hAnsi="宋体" w:cs="宋体"/>
                <w:b/>
                <w:bCs/>
                <w:color w:val="000000" w:themeColor="text1"/>
                <w:sz w:val="28"/>
                <w:szCs w:val="28"/>
                <w:highlight w:val="none"/>
                <w:lang w:bidi="ar"/>
                <w14:textFill>
                  <w14:solidFill>
                    <w14:schemeClr w14:val="tx1"/>
                  </w14:solidFill>
                </w14:textFill>
              </w:rPr>
              <w:br/>
            </w:r>
            <w:r>
              <w:rPr>
                <w:rFonts w:hint="eastAsia" w:ascii="宋体" w:hAnsi="宋体" w:cs="宋体"/>
                <w:b/>
                <w:bCs/>
                <w:color w:val="000000" w:themeColor="text1"/>
                <w:sz w:val="28"/>
                <w:szCs w:val="28"/>
                <w:highlight w:val="none"/>
                <w:lang w:bidi="ar"/>
                <w14:textFill>
                  <w14:solidFill>
                    <w14:schemeClr w14:val="tx1"/>
                  </w14:solidFill>
                </w14:textFill>
              </w:rPr>
              <w:t xml:space="preserve">以下为两间配置</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gridSpan w:val="2"/>
            <w:tcBorders>
              <w:top w:val="single" w:color="000000" w:sz="4" w:space="0"/>
              <w:left w:val="single" w:color="000000" w:sz="4" w:space="0"/>
              <w:bottom w:val="single" w:color="000000" w:sz="4" w:space="0"/>
              <w:right w:val="none" w:color="000000" w:sz="4" w:space="0"/>
            </w:tcBorders>
            <w:tcW w:w="1784" w:type="dxa"/>
            <w:vAlign w:val="center"/>
            <w:textDirection w:val="lrTb"/>
            <w:noWrap w:val="false"/>
          </w:tcPr>
          <w:p>
            <w:pPr>
              <w:jc w:val="center"/>
              <w:widowControl/>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lang w:bidi="ar"/>
                <w14:textFill>
                  <w14:solidFill>
                    <w14:schemeClr w14:val="tx1"/>
                  </w14:solidFill>
                </w14:textFill>
              </w:rPr>
              <w:t xml:space="preserve">信息化教学设备</w:t>
            </w:r>
            <w:r/>
          </w:p>
        </w:tc>
        <w:tc>
          <w:tcPr>
            <w:tcBorders>
              <w:top w:val="single" w:color="000000" w:sz="4" w:space="0"/>
              <w:left w:val="none" w:color="000000" w:sz="4" w:space="0"/>
              <w:bottom w:val="single" w:color="000000" w:sz="4" w:space="0"/>
              <w:right w:val="none" w:color="000000" w:sz="4" w:space="0"/>
            </w:tcBorders>
            <w:tcW w:w="5214" w:type="dxa"/>
            <w:vAlign w:val="center"/>
            <w:textDirection w:val="lrTb"/>
            <w:noWrap w:val="false"/>
          </w:tcPr>
          <w:p>
            <w:pPr>
              <w:jc w:val="center"/>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573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vMerge w:val="restart"/>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智慧美育本</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CPU：MediaTek MT6789 八核处理器</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内存：≥8GB</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硬盘：≥256GB </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屏幕尺寸：≥10.95英寸  </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分辨率：≥1200*2000  FHD </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刷新率：≥60Hz</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屏幕色彩：≥1600万</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像素密度：213 PPI</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对比度：Typ:1350:1,min:1000:1</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色域：Typ: 60%（典型值）MAX：70%  NTSC</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亮度：Typ 290 cd/㎡</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触摸屏：电容触摸屏，10点触摸</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压感级别：8192级</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摄像头：前置500万像素 后置2M（微距）+8M（广角）+16M AF（主摄）三摄</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WiFi：802.11b/g/n/ac (2.4GHz+5GHz)</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蓝牙：蓝牙5.2</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电池：3.8V/7000mAh ，聚合物电芯</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充电：主板支持PD（PPS协议） 33W  </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按键:电源键、音量加、音量减</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USB接口:1*Type-C接口，USB 2.0协议，支持充电，OTG，数据传输 ，Type-C模拟耳机</w:t>
            </w:r>
            <w:r/>
          </w:p>
        </w:tc>
        <w:tc>
          <w:tcPr>
            <w:tcBorders>
              <w:top w:val="single" w:color="000000" w:sz="4" w:space="0"/>
              <w:left w:val="single" w:color="000000" w:sz="4" w:space="0"/>
              <w:bottom w:val="single" w:color="000000" w:sz="4" w:space="0"/>
              <w:right w:val="single" w:color="000000" w:sz="4" w:space="0"/>
            </w:tcBorders>
            <w:tcW w:w="657" w:type="dxa"/>
            <w:vAlign w:val="center"/>
            <w:vMerge w:val="restart"/>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10160" cy="10160"/>
                      <wp:effectExtent l="0" t="0" r="0" b="0"/>
                      <wp:wrapNone/>
                      <wp:docPr id="10" name="图片_1"/>
                      <wp:cNvGraphicFramePr/>
                      <a:graphic xmlns:a="http://schemas.openxmlformats.org/drawingml/2006/main">
                        <a:graphicData uri="http://schemas.openxmlformats.org/drawingml/2006/picture">
                          <pic:pic xmlns:pic="http://schemas.openxmlformats.org/drawingml/2006/picture">
                            <pic:nvPicPr>
                              <pic:cNvPr id="5" name="图片_1"/>
                              <pic:cNvPicPr/>
                              <pic:nvPr/>
                            </pic:nvPicPr>
                            <pic:blipFill>
                              <a:blip r:embed="rId16"/>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745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6" o:title=""/>
                    </v:shape>
                  </w:pict>
                </mc:Fallback>
              </mc:AlternateContent>
            </w:r>
            <w:r>
              <w:rPr>
                <w:rFonts w:hint="eastAsia" w:ascii="宋体" w:hAnsi="宋体" w:cs="宋体"/>
                <w:color w:val="000000" w:themeColor="text1"/>
                <w:sz w:val="20"/>
                <w:szCs w:val="20"/>
                <w:highlight w:val="none"/>
                <w:lang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0</wp:posOffset>
                      </wp:positionH>
                      <wp:positionV relativeFrom="paragraph">
                        <wp:posOffset>0</wp:posOffset>
                      </wp:positionV>
                      <wp:extent cx="10160" cy="10160"/>
                      <wp:effectExtent l="0" t="0" r="0" b="0"/>
                      <wp:wrapNone/>
                      <wp:docPr id="11" name="图片_5"/>
                      <wp:cNvGraphicFramePr/>
                      <a:graphic xmlns:a="http://schemas.openxmlformats.org/drawingml/2006/main">
                        <a:graphicData uri="http://schemas.openxmlformats.org/drawingml/2006/picture">
                          <pic:pic xmlns:pic="http://schemas.openxmlformats.org/drawingml/2006/picture">
                            <pic:nvPicPr>
                              <pic:cNvPr id="12" name="图片_5"/>
                              <pic:cNvPicPr/>
                              <pic:nvPr/>
                            </pic:nvPicPr>
                            <pic:blipFill>
                              <a:blip r:embed="rId16"/>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848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6" o:title=""/>
                    </v:shape>
                  </w:pict>
                </mc:Fallback>
              </mc:AlternateContent>
            </w: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vMerge w:val="restart"/>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vMerge w:val="restart"/>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2714"/>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数字媒体艺术软件包</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仿真画笔功能：具备铅笔、钢笔、喷笔、水彩笔、油画笔、毛笔、蜡笔、马克笔、特制笔等24种仿真画笔，具备橡皮擦和一键清除图层功能。</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软硬橡皮功能：可通过拖拽调节橡皮大小，以及软硬程度来清除笔迹。</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选区抠图功能：具有5种选框模板以及魔棒工具，可自由的对选区进行移动变化。</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区域倒色功能：支持对图形全部或局部进行一键全部或渐变倒色，可根据闭合线段自动区分倒色范围。</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文字录入功能：可设置文字字体、颜色、大小，支持横坚两种版式，内置6种字体效果以供快速切换。</w:t>
            </w:r>
            <w:r/>
          </w:p>
          <w:p>
            <w:pPr>
              <w:jc w:val="left"/>
              <w:widowControl/>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随机动态添画：内置32种静态和动态素材，可根据画笔的拖动随机分布于画布上。</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提供功能截图佐证</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图像柔化功能：运用可调节的锐化、模糊功能对画作进行后期处理。</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图层管理功能：支持采用分层方式进行创作，可对图层进行隐藏、排序、透明度调节操作。</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微课制作功能：可同步录屏、录音，记录操作过程，支持将录制内容保存为MP4格式微课。</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图片保存功能：支持以JPG格式将画作保存至本地。</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2.数字绘本制作软件</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采用B/S架构、HTML5语言开发，支持时下主流操作系统，可通过常用浏览器直接操作，能够适应不同分辨率设备使用。</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利用云技术实现在线编辑、在线存储，用户可以随时随地通过互联网完成图书制作。</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内置纸质书籍常见开本模板，并支持用户自定义页面尺寸。</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可通过拖拽调整页面次序，双页联动，保证跨页插图的完整显示，并可一键复制。</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可设置文本颜色、字体、字号、间距、行距、透明度、格式和对齐方式，可通过拖拽调整文本位置。</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内置动物、植物、山石、建筑、物品、食物、交通、家具、场景、自然、其它不少于10大类、50小类、1200个矢量图片素材供用户调用。</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内置大量排版编辑会用到的文本框，边框，花纹等矢量素材，并可以再次编辑素材颜色，大小等。</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内置不少于90张精美背景图片，并支持用户通过拾色器自定义背景颜色。</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支持用户上传本地图片作为图书插图使用。可通过拖拽鼠标调整插图的位置、大小，支持旋转插图。</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可设置图书类别、标签，为图书进行归类，作者可自由定义作品是否公开。</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作品可发布为具有仿真翻页效果的电子书，可通过手指或鼠标操作实现翻页阅读，并可通过自动生成的二维码将作品实时分享到微信、QQ等常用社交平台。</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3.数字展馆制作软件</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系统内置不少于25种各类展览风格的展馆模板，可根据展览风格自由选择使用；</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展框中的3D画框可按照作品图片尺寸等比缩放，自适应，不裁切、不变形；</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可通过云平台作品集批量导入作品图片，并自动带入作品信息；</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可设置展品排列顺序，便于有计划的游客引导观展；</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可根据展品数量不同自动增减展厅数量，实现一馆多厅；</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可为展品增加跳转链接，便于展品内容的扩展与延伸；</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可为展馆和展品分别上传背景音，便于利用音频辅助展览；</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可为各个展厅设置独立名称与海报，便于分区展示；</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可分别为PC端和手机端自定义全屏欢迎图，便于展馆宣传推广；</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可上传720度全景图片作为展馆欢迎页，支持通过拖拽游览全景图；</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在线展厅采用3D即时渲染技术，可自由控制前进、后退、平移、旋转等常见操作，支持实时游走巡视；</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提供功能截图佐证</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跨平台兼容，无需插件，可在Windows、macOS、iOS、Android等常用操作系统中运行，展厅支持鼠标、键盘、触控等常见操控方式；</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4.视频剪辑软件</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支持实时编辑预览：可实时预览当前编辑的内容，可执行播放、暂停、撤销、重做、全屏等常用操作，可通过触控对素材执行移动、旋转、复制等操作；支持自动切换横向、坚向操作；</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支持视频轨道编辑：可在轨道中对素材执行添加、分割、定格、复制、移动、删除等操作，可在主轨内“设置封面”；</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支持添加音频道和音效：支持用户通过系统素材库插入音频和音效</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支持添加贴纸：系统内置不少于80个贴纸素材，支持通过分类查看并插入视频，支持从相册选取图片作为贴纸；</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支持添加文：系统内置不少于20种字体样式，10种文本动画样式，10种字体气泡样式，10种花字样式和6种排列方式，满足个性化字体呈现需求；</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内置多种滤镜模板：系统内置常见滤镜模板，可快速完成视频风格化效果处理；</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支持设置画面比例：系统内置不少于10常见视频比例模板，可通过点击快速设定画面比例；</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支持自定义背景：系统内置多种模糊效果和画布样式，并支持从图库选择图片作为画布样式；</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支持设置转场效果：系统内置不少于20个转场效果，可按需要选择视频过渡效果；</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支持画面效果调节：系统内置不少于十种画面参数调节功能，可对面面的亮度、对比度、饱和度、色调、色温、锐化、光感、高光、阴影、褪色、暗角、颗粒度进行调节；</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支持播放调节功能：具备0.5x-5x播放速度调节，支持多种曲线变速，可自定义曲线；可设置倒放；</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支持不透明度调节：可按需调节素材的不透明度；</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支持设置作品导出方式：可设置视频导出的分辨率、帧率。</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5.艺术测评系统</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APP教师端</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支持为音乐、美术课程开展分科学业测评记录，可根据师生身份自动呈现界面，能够一键切换学科；</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支持教师对学生进行考勤记录，可按国标本教材划分课时，支持按学生姓名或课题名称查询考勤记录；</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系统内置义务教育阶段国标教材课题目录，教师可根据课题创建任务、归类学生作业；</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支持教师使用手机、计算机及平板批量上传学生作业，作业类型支持视频与图片，可通过自动扫码技术识别学生信息并自动写入作业详情中；</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支持批量发布学生考试成绩，支持插入图片和评语，可按年级、年份、月份归类；</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支持自由创建社团，可对社团的人员、信息进行管理，可为社团成员分工，可组织社团小组学习并按课时完成考勤签到，可上传学生作品并对社团成员的作品进行点评；</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支持教师为自己和学生报名参与各类竞赛活动，可提交图文、视频、音频、PPT、DOC、PDF文件，可自动记录教师本人和学生参与的活动，可收藏自己感兴趣的活动。支持评委打分和师生投票两种点评方式；</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支持批量上传学生艺术特长成果并按国家、省、市、区、校进行分类；</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支持发起和管理校园艺术节，可设置参与对象、时间，可对每日活动进行考勤签到；</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支持可通过APP查看学生提交的社会实践内容，可对实践内容进行评分，支持以幻灯片形式查看多图；</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系统内置音乐创编工具，具备不少于10种乐器音色的素材库，可完成跨越三个八度的编曲创作；</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具备学分运算功能，可将各项功能产生的数据以艺术学科测评体系既定公式进行自动运算，形成综合学分，并以图表方式呈现，支持按学期查询、提档；</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支持教师通过关键字搜索进入学生个人空间，查看学生资料、作品、学分，可按学期查看、下载学生的《艺术素质成绩单》；</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APP学生端</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支持为音乐、美术课程开展分科学业测评记录，可根据师生身份自动呈现界面，能够一键切换学科；</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支持学生查看自己的课内学习考勤记录详情；</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支持学生在教师授权后通过APP自行按课题补交作业，可查看同学的作业并对其进行评分；</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支持查看自己的考试成绩详情，支持根据年级、年份、月份筛选查询；</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支持学生在社团内查看小组学习日程、发布个人作品，可查看社团其它成员的作品并对其进行评分；</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支持学生报名参与各类竞赛活动，可提交图文、视频、音频、PPT、DOC、PDF文件，可自动记录参与的活动，可收藏自己感兴趣的活动。</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支持学生查看教师提交艺术特长成果，可按等级、对象进行筛选；</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支持学生查看自己参与的校园艺术节内容，能以图文并茂的形式发布活动记录；</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支持学生通过APP以文字、图片、视频的形式提交社会实践记录，系统可以自动获取当前地理位置并发布出来，支持学生对他人作品进行评分，可以幻灯片形式查看多图；</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系统内置音乐创编工具，具备不少于10种乐器音色的素材库，可完成跨越三个八度的编曲创作；</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具备学分运算功能，可将各项功能产生的数据以艺术学科测评体系既定公式进行自动运算，形成综合学分，并以图表方式呈现，支持按学期查询、提档；</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支持学生查看自己的学分，系统将以图表形式对学分进行分类和汇总，可按学年、学期查询，可自动生成《艺术素质成绩单》；</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APP管理后台</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支持管理员账号分配下级学校管理员帐号，可控制学校教师帐号数量；</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支持管理员查看学校师生信息、测评记录及数据汇总及可视化图表；</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支持管理员在校内发起竞赛活动，可设置评委名单和参赛对象；</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支持管理员管理本校教师帐号，可通过电子表格批量导入、导出学生花名册，可对师生进行分班操作；</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支持根据学生花名册为学生自动生成二维码，支持按班级批量导出作为唯一识别码使用；</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支持管理员查看学校师生信息、测评内容及数据汇总；</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支持教师通过管理后台查看、导出本班学生详细信息和身份识别二维码；</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支持教师通过管理后台批量上传学生作品图片，可通过自动扫码技术识别学生信息并自动写入作业详情中；</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支持管理员查看不同学科的测评数据统计，可通过筛选项设计统计范围；</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6.数字印章制作软件</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支持印稿设计、印面生成、印稿输出</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内置中国传统书法字体和原创印篆字体</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支持自动完成印章渡稿的镜像生成</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支持设置白文、朱文等风格效果</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7.数字装裱软件</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支持挂轴、镜框、拼接三种图片美化形式</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支持一键选择各种边框装饰</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支持将作品通过社交网络分享</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8.数字书法集字软件</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支持提供“书体”查询、欣赏</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支持集字创作，多样模板灵活变换，呈现出古朴典雅的视觉效果</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9.艺术学科知识答题软件</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专为中考生精心设计，特邀全国优秀教师出题，考点把控精准、题型图文并茂</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支持自动纠错复习，可以轻松提升艺术素养、快速掌握学习重点。</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10.定格动画拍摄软件</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支持平面、立体等各类定格动画的拍摄</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支持洋葱皮功能</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适用触摸屏、鼠标键盘操作</w:t>
            </w:r>
            <w:r/>
          </w:p>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656"/>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智慧美育本支架</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支架成分：铝合金钢琴烤漆</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底座成分：铝合金</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平板夹成分：铝合金</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尺寸：铝管总长900mm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适用器材：7-11寸</w:t>
            </w:r>
            <w:r/>
          </w:p>
        </w:tc>
        <w:tc>
          <w:tcPr>
            <w:tcBorders>
              <w:top w:val="single" w:color="000000" w:sz="4" w:space="0"/>
              <w:left w:val="single" w:color="000000" w:sz="4" w:space="0"/>
              <w:bottom w:val="single" w:color="000000" w:sz="4" w:space="0"/>
              <w:right w:val="single" w:color="000000" w:sz="4" w:space="0"/>
            </w:tcBorders>
            <w:tcW w:w="657" w:type="dxa"/>
            <w:vAlign w:val="center"/>
            <w:vMerge w:val="continue"/>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vMerge w:val="continue"/>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gridSpan w:val="2"/>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center"/>
              <w:widowControl/>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lang w:bidi="ar"/>
                <w14:textFill>
                  <w14:solidFill>
                    <w14:schemeClr w14:val="tx1"/>
                  </w14:solidFill>
                </w14:textFill>
              </w:rPr>
              <w:t xml:space="preserve">一、美术教室专用设备</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gridSpan w:val="2"/>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center"/>
              <w:widowControl/>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lang w:bidi="ar"/>
                <w14:textFill>
                  <w14:solidFill>
                    <w14:schemeClr w14:val="tx1"/>
                  </w14:solidFill>
                </w14:textFill>
              </w:rPr>
              <w:t xml:space="preserve">1、教师端专用设备</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162"/>
        </w:trPr>
        <w:tc>
          <w:tcPr>
            <w:shd w:val="clear" w:color="auto" w:fill="auto"/>
            <w:tcBorders>
              <w:top w:val="single" w:color="000000" w:sz="4" w:space="0"/>
              <w:left w:val="single" w:color="000000" w:sz="4" w:space="0"/>
              <w:bottom w:val="non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shd w:val="clear" w:color="auto" w:fill="ffffff"/>
            <w:tcBorders>
              <w:top w:val="single" w:color="000000" w:sz="4" w:space="0"/>
              <w:left w:val="single" w:color="000000" w:sz="4" w:space="0"/>
              <w:bottom w:val="none" w:color="000000" w:sz="4" w:space="0"/>
              <w:right w:val="non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教师工作台</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规格：≥160cm×80cm×74cm、实木组装式结构，整体材质为优质橡胶木，桌面厚度不低于20mm，外围厚度不低于40mm，桌面下带2个抽屉，用于存放教师用品，底部为不小于50mm×50mm橡胶木实木方腿；表面三底两面油漆处理，光滑无毛刺；漆面光滑有色泽，原木色。</w:t>
            </w:r>
            <w:r/>
          </w:p>
        </w:tc>
        <w:tc>
          <w:tcPr>
            <w:tcBorders>
              <w:top w:val="single" w:color="000000" w:sz="4" w:space="0"/>
              <w:left w:val="single" w:color="000000" w:sz="4" w:space="0"/>
              <w:bottom w:val="none" w:color="000000" w:sz="4" w:space="0"/>
              <w:right w:val="single" w:color="000000" w:sz="4" w:space="0"/>
            </w:tcBorders>
            <w:tcW w:w="65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张</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教师椅</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1.规格：外观尺寸44*42*77cm，凳面高45cm；2.材质：优质橡胶木；3.要求：支撑稳定，牢固可靠，工艺精细，表面光洁，环保清漆处理，漆面均匀光亮。</w:t>
            </w:r>
            <w:r/>
          </w:p>
        </w:tc>
        <w:tc>
          <w:tcPr>
            <w:shd w:val="clear" w:color="auto" w:fill="ffffff"/>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张</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gridSpan w:val="2"/>
            <w:shd w:val="clear" w:color="auto" w:fill="auto"/>
            <w:tcBorders>
              <w:top w:val="none" w:color="000000" w:sz="4" w:space="0"/>
              <w:left w:val="single" w:color="000000" w:sz="4" w:space="0"/>
              <w:bottom w:val="single" w:color="000000" w:sz="4" w:space="0"/>
              <w:right w:val="single" w:color="000000" w:sz="4" w:space="0"/>
            </w:tcBorders>
            <w:tcW w:w="1784" w:type="dxa"/>
            <w:vAlign w:val="center"/>
            <w:textDirection w:val="lrTb"/>
            <w:noWrap w:val="false"/>
          </w:tcPr>
          <w:p>
            <w:pPr>
              <w:jc w:val="center"/>
              <w:widowControl/>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lang w:bidi="ar"/>
                <w14:textFill>
                  <w14:solidFill>
                    <w14:schemeClr w14:val="tx1"/>
                  </w14:solidFill>
                </w14:textFill>
              </w:rPr>
              <w:t xml:space="preserve">2、学生端专用设备</w:t>
            </w:r>
            <w:r/>
          </w:p>
        </w:tc>
        <w:tc>
          <w:tcPr>
            <w:shd w:val="clear" w:color="auto" w:fill="ffffff"/>
            <w:tcBorders>
              <w:top w:val="non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r>
            <w:r/>
          </w:p>
        </w:tc>
        <w:tc>
          <w:tcPr>
            <w:tcBorders>
              <w:top w:val="none" w:color="000000" w:sz="4" w:space="0"/>
              <w:left w:val="single" w:color="000000" w:sz="4" w:space="0"/>
              <w:bottom w:val="single" w:color="000000" w:sz="4" w:space="0"/>
              <w:right w:val="single" w:color="000000" w:sz="4" w:space="0"/>
            </w:tcBorders>
            <w:tcW w:w="657" w:type="dxa"/>
            <w:vAlign w:val="center"/>
            <w:textDirection w:val="lrTb"/>
            <w:noWrap/>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162"/>
        </w:trPr>
        <w:tc>
          <w:tcPr>
            <w:shd w:val="clear" w:color="auto" w:fill="auto"/>
            <w:tcBorders>
              <w:top w:val="single" w:color="000000" w:sz="4" w:space="0"/>
              <w:left w:val="single" w:color="000000" w:sz="4" w:space="0"/>
              <w:bottom w:val="non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shd w:val="clear" w:color="auto" w:fill="ffffff"/>
            <w:tcBorders>
              <w:top w:val="single" w:color="000000" w:sz="4" w:space="0"/>
              <w:left w:val="single" w:color="000000" w:sz="4" w:space="0"/>
              <w:bottom w:val="none" w:color="000000" w:sz="4" w:space="0"/>
              <w:right w:val="non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学生工作台</w:t>
            </w:r>
            <w:r/>
          </w:p>
        </w:tc>
        <w:tc>
          <w:tcPr>
            <w:shd w:val="clear" w:color="auto" w:fill="ffffff"/>
            <w:tcBorders>
              <w:top w:val="single" w:color="000000" w:sz="4" w:space="0"/>
              <w:left w:val="single" w:color="000000" w:sz="4" w:space="0"/>
              <w:bottom w:val="non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规格：≥180cm×80cm×74cm、橡胶木组装式结构，面板厚度不低于20mm，外围厚度不低于40mm。底部为不小于40mm×40mm实木方腿；表面五底三面处理，光滑无毛刺；漆面光滑有色泽。配水晶垫。</w:t>
            </w:r>
            <w:r/>
          </w:p>
        </w:tc>
        <w:tc>
          <w:tcPr>
            <w:tcBorders>
              <w:top w:val="single" w:color="000000" w:sz="4" w:space="0"/>
              <w:left w:val="single" w:color="000000" w:sz="4" w:space="0"/>
              <w:bottom w:val="none" w:color="000000" w:sz="4" w:space="0"/>
              <w:right w:val="single" w:color="000000" w:sz="4" w:space="0"/>
            </w:tcBorders>
            <w:tcW w:w="65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张</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162"/>
        </w:trPr>
        <w:tc>
          <w:tcPr>
            <w:shd w:val="clear" w:color="auto" w:fill="ffffff"/>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学生凳</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1、规格尺寸：≥30*30*45cm，凳面厚度20mm，凳腿尺寸40*40mm；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2、材质：优质橡胶木；</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3、工艺：环保油漆处理，精工打磨不伤手，长时间不变色，易清洁，美观大方，经久耐用。</w:t>
            </w:r>
            <w:r/>
          </w:p>
        </w:tc>
        <w:tc>
          <w:tcPr>
            <w:shd w:val="clear" w:color="auto" w:fill="ffffff"/>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gridSpan w:val="2"/>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center"/>
              <w:widowControl/>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lang w:bidi="ar"/>
                <w14:textFill>
                  <w14:solidFill>
                    <w14:schemeClr w14:val="tx1"/>
                  </w14:solidFill>
                </w14:textFill>
              </w:rPr>
              <w:t xml:space="preserve">二、美术教室专用器材</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gridSpan w:val="2"/>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center"/>
              <w:widowControl/>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lang w:bidi="ar"/>
                <w14:textFill>
                  <w14:solidFill>
                    <w14:schemeClr w14:val="tx1"/>
                  </w14:solidFill>
                </w14:textFill>
              </w:rPr>
              <w:t xml:space="preserve">1、美术工艺器材</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928"/>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民间美术样本</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技术要求：配置：⑴木版年画（杨柳青年画1件）；⑵剪纸（体现套色、阴刻、阳刻特点作品各1 件）；⑶皮影人物2件；⑷扎染1件；蜡染1件；绣片：2件；⑸风筝（胖沙燕1件、瘦沙燕1件、软翅蝴蝶1件）；⑹布老虎1个；⑺泥老虎1个；⑻挂饰（香包2件，中国结2件）；⑼工艺品竹提篮1个；⑽陕西凤翔挂虎1件；⑾京剧脸谱（生、旦、净、末、丑各1件）；⑿民间玩具（风车1件、空竹1件）；⒀泥塑作品一组（5件）；共13类33件。</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54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陶瓷样本</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技术要求：配置：中国各大名窑实物(仿)十四件，可陈设、展示、欣赏，泥条成型作品1件、泥板成型作品1件、拉坯成型作品1件、新石器时期文物仿制品3件、官窑仿制品1件、宜兴紫砂茶壶1件、定窑仿制品1件、釉下青花瓷仿制品1件、唐三彩作品1件、均窑仿制品1件、汝窑仿制品1件、哥窑仿制品1件。</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拷贝台</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A3尺寸，透图尺寸约420*300mm，亚克力台面，LED灯源。</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张</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晾画架</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750*800可移动 ,铁制 镀彩锌 50层</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54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大圆规</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技术要求 1、有圆规脚附吸盘，粉笔夹，圆心定位钉和夹紧螺检各部分。2、两脚用螺丝连接，由手轮形螺母调节松紧，两脚最大张距不小于 800mm，张距角不小于 210°，调节螺母处应标有角度刻度尺。3、产品总长不小于500mm,圆心支脚中段有转动把手。4、产品采用 ABS 工程塑料制成，表面应不易变形、表面光滑平整、无毛刺飞边。</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把</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丁字尺</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演示用,尺寸120cm，有机玻璃材质。</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只</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162"/>
        </w:trPr>
        <w:tc>
          <w:tcPr>
            <w:shd w:val="clear" w:color="auto" w:fill="auto"/>
            <w:tcBorders>
              <w:top w:val="single" w:color="000000" w:sz="4" w:space="0"/>
              <w:left w:val="single" w:color="000000" w:sz="4" w:space="0"/>
              <w:bottom w:val="single" w:color="auto"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auto"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大三角板</w:t>
            </w:r>
            <w:r/>
          </w:p>
        </w:tc>
        <w:tc>
          <w:tcPr>
            <w:shd w:val="clear" w:color="auto" w:fill="ffffff"/>
            <w:tcBorders>
              <w:top w:val="single" w:color="000000" w:sz="4" w:space="0"/>
              <w:left w:val="single" w:color="000000" w:sz="4" w:space="0"/>
              <w:bottom w:val="single" w:color="auto"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演示用，每套分 60°、45°各 1 块，等腰三角形，其斜边长为 500mm,两底角为 45°。直角三角形的长直角边为 500mm，与斜边的夹角应为 30°，另一底角应为 60°，所有角度误差不超过±2 度。三角板边宽不小于 40mm，板厚不小于 5mm。</w:t>
            </w:r>
            <w:r/>
          </w:p>
        </w:tc>
        <w:tc>
          <w:tcPr>
            <w:tcBorders>
              <w:top w:val="single" w:color="000000" w:sz="4" w:space="0"/>
              <w:left w:val="single" w:color="000000" w:sz="4" w:space="0"/>
              <w:bottom w:val="single" w:color="auto"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付</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078"/>
        </w:trPr>
        <w:tc>
          <w:tcPr>
            <w:shd w:val="clear" w:color="auto" w:fill="auto"/>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绘图工具</w:t>
            </w:r>
            <w:r/>
          </w:p>
        </w:tc>
        <w:tc>
          <w:tcPr>
            <w:shd w:val="clear" w:color="auto" w:fill="ffffff"/>
            <w:tcBorders>
              <w:top w:val="single" w:color="auto" w:sz="4" w:space="0"/>
              <w:left w:val="single" w:color="auto" w:sz="4" w:space="0"/>
              <w:bottom w:val="single" w:color="auto" w:sz="4" w:space="0"/>
              <w:right w:val="single" w:color="auto" w:sz="4" w:space="0"/>
            </w:tcBorders>
            <w:tcW w:w="5214" w:type="dxa"/>
            <w:vAlign w:val="center"/>
            <w:textDirection w:val="lrTb"/>
            <w:noWrap w:val="false"/>
          </w:tcPr>
          <w:p>
            <w:pPr>
              <w:jc w:val="center"/>
              <w:widowControl/>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技术要求：配置：⑴绘图绘画尺1件：尺寸≥300*50*4mm，5*5m</w:t>
            </w:r>
            <w:r>
              <w:rPr>
                <w:rFonts w:hint="eastAsia" w:ascii="宋体" w:hAnsi="宋体" w:cs="宋体"/>
                <w:color w:val="000000" w:themeColor="text1"/>
                <w:sz w:val="20"/>
                <w:szCs w:val="20"/>
                <w:highlight w:val="none"/>
                <w:lang w:bidi="ar"/>
                <w14:textFill>
                  <w14:solidFill>
                    <w14:schemeClr w14:val="tx1"/>
                  </w14:solidFill>
                </w14:textFill>
              </w:rPr>
              <w:t xml:space="preserve">m九宫格，两边均有毫米测量刻度，边缘一边带坡度，另一边梯形高度差设计，带铁笔轨道；⑵三角板1付：25cm，直角三角形和等腰三角形各1支；⑶曲线板1件：≥250mm；⑷圆规1件：5件套大圆规，塑盒包装；⑸蛇形尺1件：≥300mm；⑹针管笔1支，型号0.3mm；⑺4B绘图橡皮1块，国产知名品牌，外观尺寸外观尺寸40*25*15mm±2mm；⑻比例尺1件；⑼绘图铅笔2支：国产知名品牌，型号2B；⑽丁字尺1件；⑾铁笔1支，≥120mm；共11类17件。2．中空定位工具箱1件，所有产品卡槽定位于箱内，便于携带、存放。</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eastAsia="zh-CN" w:bidi="ar"/>
                <w14:textFill>
                  <w14:solidFill>
                    <w14:schemeClr w14:val="tx1"/>
                  </w14:solidFill>
                </w14:textFill>
              </w:rPr>
              <w:t xml:space="preserve">▲提供含有CMA或CNAS标识的</w:t>
            </w:r>
            <w:r>
              <w:rPr>
                <w:rFonts w:hint="eastAsia" w:ascii="宋体" w:hAnsi="宋体" w:cs="宋体"/>
                <w:color w:val="000000" w:themeColor="text1"/>
                <w:sz w:val="20"/>
                <w:szCs w:val="20"/>
                <w:highlight w:val="none"/>
                <w:lang w:bidi="ar"/>
                <w14:textFill>
                  <w14:solidFill>
                    <w14:schemeClr w14:val="tx1"/>
                  </w14:solidFill>
                </w14:textFill>
              </w:rPr>
              <w:t xml:space="preserve">绘图工具检测报告</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原件的扫描件加盖电子章</w:t>
            </w:r>
            <w:r>
              <w:rPr>
                <w:rFonts w:hint="eastAsia" w:ascii="宋体" w:hAnsi="宋体" w:cs="宋体"/>
                <w:color w:val="000000" w:themeColor="text1"/>
                <w:sz w:val="20"/>
                <w:szCs w:val="20"/>
                <w:highlight w:val="none"/>
                <w:lang w:bidi="ar"/>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auto"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2641"/>
        </w:trPr>
        <w:tc>
          <w:tcPr>
            <w:shd w:val="clear" w:color="auto" w:fill="auto"/>
            <w:tcBorders>
              <w:top w:val="single" w:color="auto"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9</w:t>
            </w:r>
            <w:r/>
          </w:p>
        </w:tc>
        <w:tc>
          <w:tcPr>
            <w:shd w:val="clear" w:color="auto" w:fill="ffffff"/>
            <w:tcBorders>
              <w:top w:val="single" w:color="auto"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制作工具</w:t>
            </w:r>
            <w:r/>
          </w:p>
        </w:tc>
        <w:tc>
          <w:tcPr>
            <w:shd w:val="clear" w:color="auto" w:fill="ffffff"/>
            <w:tcBorders>
              <w:top w:val="single" w:color="auto" w:sz="4" w:space="0"/>
              <w:left w:val="single" w:color="000000" w:sz="4" w:space="0"/>
              <w:bottom w:val="single" w:color="000000" w:sz="4" w:space="0"/>
              <w:right w:val="single" w:color="000000" w:sz="4" w:space="0"/>
            </w:tcBorders>
            <w:tcW w:w="52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一、适用范围：适用于小学、中学美术教学使用。二、技术要求：1．配置：（1）美工刀1把：刀片宽度18mm，ABS材质刀身，可自由伸缩。（2）剪刀2把：160*64mm、120*64mm各1把。（3）木刻刀12把：刀长128mm，刀柄直径11mm，刃宽不小于5mm，刀型大三角、小平、小斜等共计12只。（4）尖钻1把：木质葫芦柄，长125mm（5）篆刻刀1把：长宽147*5mm，平斜两用</w:t>
            </w:r>
            <w:r>
              <w:rPr>
                <w:rFonts w:hint="eastAsia" w:ascii="宋体" w:hAnsi="宋体" w:cs="宋体"/>
                <w:color w:val="000000" w:themeColor="text1"/>
                <w:sz w:val="20"/>
                <w:szCs w:val="20"/>
                <w:highlight w:val="none"/>
                <w:lang w:bidi="ar"/>
                <w14:textFill>
                  <w14:solidFill>
                    <w14:schemeClr w14:val="tx1"/>
                  </w14:solidFill>
                </w14:textFill>
              </w:rPr>
              <w:t xml:space="preserve">，优质工具钢，尼龙绳缠绕防护把手。（6）油石1块：双面150目*360目，长宽厚70*50*20mm。（7）改锥2把：ABS按摩把柄，铬钒钢锥杆，6*100mm4寸+、-各1只。（8）多用锯1把：ABS彩塑把手，合金钢体，长宽240*65mm，锯条长155mm。（9）锯条5根：迷你155mm。（10）推刨1把：5件套，长宽高170*60*40mm。（11）木锉1把：8寸尖平。（12）尖嘴钳1把：6寸，ABS把柄，优质工具45号钢。（13）铁锤1把：木柄，锤头200g，扁平两用。（14）电烙铁1把:外热式30</w:t>
            </w:r>
            <w:r>
              <w:rPr>
                <w:rFonts w:hint="eastAsia" w:ascii="宋体" w:hAnsi="宋体" w:cs="宋体"/>
                <w:color w:val="000000" w:themeColor="text1"/>
                <w:sz w:val="20"/>
                <w:szCs w:val="20"/>
                <w:highlight w:val="none"/>
                <w:lang w:bidi="ar"/>
                <w14:textFill>
                  <w14:solidFill>
                    <w14:schemeClr w14:val="tx1"/>
                  </w14:solidFill>
                </w14:textFill>
              </w:rPr>
              <w:t xml:space="preserve">W，主体长200mm，电线长900mm，烙铁头直径为：3.8mm；发热芯套管直径为：10mm；工作电压：220V 50HZ。（15）凿子2把：主体长200mm，穿心通柄，凿宽10mm、12mm各一只。（16）什锦锉1套：5件套直径5mm，长180mm，扁平、方、圆、三角、半圆各1。（17）切割垫板1块：尺寸A4，材质采用一级PVC，厚度不低于2mm。（18）三用圆规1件：不锈钢材质，ABS塑盒装，118mm*30mm。（19）订书器1个：外部尺寸117*53*33mm。（20）壁纸刀1把：小型裁纸刀，刀片9</w:t>
            </w:r>
            <w:r>
              <w:rPr>
                <w:rFonts w:hint="eastAsia" w:ascii="宋体" w:hAnsi="宋体" w:cs="宋体"/>
                <w:color w:val="000000" w:themeColor="text1"/>
                <w:sz w:val="20"/>
                <w:szCs w:val="20"/>
                <w:highlight w:val="none"/>
                <w:lang w:bidi="ar"/>
                <w14:textFill>
                  <w14:solidFill>
                    <w14:schemeClr w14:val="tx1"/>
                  </w14:solidFill>
                </w14:textFill>
              </w:rPr>
              <w:t xml:space="preserve">mm，刀身长135mm。（21）U型锯1把:主体45号钢，190*150mm。（22）线锯条10根：U型锯专用锯条，长宽132mm*1.5mm。（23）手摇钻1个：组装后长*宽*高为31*8.5*5.2cm全金属材质1/4型。(24)刨子1把：一字刨210mm长，刃宽40mm。(25）盒尺1个：尺带16mm宽，刻度耐磨烤漆处理，量程3000mm。(26)角尺1把：不锈钢尺体，铝座，量程300mm。（27）砂纸5张：耐磨水木砂纸150目、180目、240目、320目、360目各1张。（28）小台钳1台：钢铝合</w:t>
            </w:r>
            <w:r>
              <w:rPr>
                <w:rFonts w:hint="eastAsia" w:ascii="宋体" w:hAnsi="宋体" w:cs="宋体"/>
                <w:color w:val="000000" w:themeColor="text1"/>
                <w:sz w:val="20"/>
                <w:szCs w:val="20"/>
                <w:highlight w:val="none"/>
                <w:lang w:bidi="ar"/>
                <w14:textFill>
                  <w14:solidFill>
                    <w14:schemeClr w14:val="tx1"/>
                  </w14:solidFill>
                </w14:textFill>
              </w:rPr>
              <w:t xml:space="preserve">金体，开口宽度32mm，夹持口径22mm，最大边夹厚度34mm。（29）钢丝钳1把：6寸ABS把柄，优质工具45号钢。（30）钢锉1把：木柄，柄长95mm，中齿锉体150mm。(31)钢板尺1把：量程300mm，不锈钢体，宽25mm。、(32)金属剪1把：8寸，沾塑柄，淬火高碳钢材质。(33)鉄砧子1件：直径80mm，厚度7mm。共33类68件。2．装配工具箱1件，箱体尺寸470*350*110mm，ABS材料，中空吹塑定位包装，所有产品卡槽定位于箱内，便于携带、存放。符合JY0001-2003的有关规定。</w:t>
            </w:r>
            <w:r/>
          </w:p>
        </w:tc>
        <w:tc>
          <w:tcPr>
            <w:shd w:val="clear" w:color="auto" w:fill="ffffff"/>
            <w:tcBorders>
              <w:top w:val="single" w:color="auto"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036"/>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美术学具</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技术要求：1.毛笔5支：加健毛笔，大白云、中白云、小白云、花枝俏、小依纹各1支；2.小剪刀 1件：无刃、圆头，总长度不小于150mm；3.调色盘1个：10眼梅花型，直径不小于130mm；4.笔洗1个：</w:t>
            </w:r>
            <w:r>
              <w:rPr>
                <w:rFonts w:hint="eastAsia" w:ascii="宋体" w:hAnsi="宋体" w:cs="宋体"/>
                <w:color w:val="000000" w:themeColor="text1"/>
                <w:sz w:val="20"/>
                <w:szCs w:val="20"/>
                <w:highlight w:val="none"/>
                <w:lang w:bidi="ar"/>
                <w14:textFill>
                  <w14:solidFill>
                    <w14:schemeClr w14:val="tx1"/>
                  </w14:solidFill>
                </w14:textFill>
              </w:rPr>
              <w:t xml:space="preserve">可折叠，直径不小于140mm；5.美工刀1把：塑料材质手柄，长度不小于150mm；6.水溶性油墨1支：马利牌黑色100ml；7.黑色胶辊1件：滚筒长度不小于90mm，木质手柄；8.毛毡1块：尺寸不小于450*600mm；9.刻纸刀1把：合金手柄长度不小于100mm，笔刀刀头3件：猛钢刀头不小于35mm；10.水粉画笔6支：优质尼龙笔头；11.调色盒1件：24格；12.直尺1把：有机塑料材质，尺寸不小于300mm；13.工具箱1件；中空吹塑定位包装，所有产品均有单独卡槽定位于箱子内，不得串动，便于携带、存放。</w:t>
            </w:r>
            <w:r/>
          </w:p>
        </w:tc>
        <w:tc>
          <w:tcPr>
            <w:shd w:val="clear" w:color="auto" w:fill="ffffff"/>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美术课配套材料</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勾线笔、油画棒、固体胶、彩色水笔、彩泥、彩色铅笔、双面胶、陶泥、水粉画颜料、墨汁、中国画颜料 、胶滚、胶版（水溶性）、油墨（黑色），工具箱包装</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54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展示画框</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画框用于展示绘画作品，配备大小画框各1个。小画框：外框尺寸600*450mm,可放420*570mm作品；大画框：外框尺寸900*600mm，可放570*870mm作品；材质要求：铝合金边框，边框宽25mm，厚12mm，面板采用高清硬PVC板，背板是高密度KT板。镜框采用前开式设计，便于取放绘画作品。</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gridSpan w:val="2"/>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center"/>
              <w:widowControl/>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lang w:bidi="ar"/>
                <w14:textFill>
                  <w14:solidFill>
                    <w14:schemeClr w14:val="tx1"/>
                  </w14:solidFill>
                </w14:textFill>
              </w:rPr>
              <w:t xml:space="preserve">2、美术版画器材</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162"/>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教师版画机</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外观尺寸≥80x70x45cm，拓画尺寸≥43x80cm,拓印垫板为优质铝制合金，整体框架优质钢板切割焊接制作而成，配手摇轮，滚筒直径约11cm,齿轮传速比1:3.2.用途：适用于纸版、木版、铜版画的制作。</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学生版画机</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外观尺寸约35x21x25cm，拓画尺寸约17x35cm,拓印垫板为优质绝缘板，整体框架优质钢板切割焊接制作而成，配手摇柄，齿轮传速比1:3.2.用途：适用于纸版、木版、铜版画的制作。</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2312"/>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版画工具</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技术要求：1．配置：⑴胶辊3件：大号滚筒≥150mm、手柄≥130mm，中号滚筒≥102mm、手柄≥130mm，小号滚筒≥75mm、手柄≥130mm，支架金属镀铬；⑵磨托1件：磨托头直径≥45mm、磨托手柄≥90mm；⑶笔刀1件：合金手柄≥100mm；⑷笔刀刀头3件：猛钢刀头≥35mm；⑸木刻刀8件：木手柄≥100mm、刀头碳钢材质，⑹石刻刀1件：精钢材质，长度≥140mm；⑺油石1件：双面，</w:t>
            </w:r>
            <w:r>
              <w:rPr>
                <w:rFonts w:hint="eastAsia" w:ascii="宋体" w:hAnsi="宋体" w:cs="宋体"/>
                <w:color w:val="000000" w:themeColor="text1"/>
                <w:sz w:val="20"/>
                <w:szCs w:val="20"/>
                <w:highlight w:val="none"/>
                <w:lang w:bidi="ar"/>
                <w14:textFill>
                  <w14:solidFill>
                    <w14:schemeClr w14:val="tx1"/>
                  </w14:solidFill>
                </w14:textFill>
              </w:rPr>
              <w:t xml:space="preserve">外观尺寸约140*50*25mm； ⑻马莲1件：塑料材质，直径≥100mm；（9）底纹笔 木柄光滑、无毛刺、色泽均匀，刷头采用优质羊毛制成，毛质应整齐均匀，长≥180mm，毛长≥30mm，宽≥30mm；（10）电烙铁1件：外热式30W，长度≥200mm,外接电源线长度≥900mm；（11）电烙铁底座1个：外观尺寸不小于70*120mm；（12）素描铅笔2支；（13）油画刀3把：木质手柄，漆面处理，不锈钢刀头，长度≥160mm。2．中空吹塑定位包装，所有产品均有单独卡槽定位于箱子内，不得串动，便于携带、存放。</w:t>
            </w:r>
            <w:r/>
          </w:p>
        </w:tc>
        <w:tc>
          <w:tcPr>
            <w:shd w:val="clear" w:color="auto" w:fill="ffffff"/>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刻板</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椴木刻板≥220*150mm</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200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刻板</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椴木刻板≥450*600mm</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200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胶板</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A4，尺寸≥200x300mm，厚度约3mm</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张</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200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油墨</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水溶性版画油墨100Ml/支，6色</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版画纸</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全棉≥300g加厚版画纸，A2尺寸≥420x594mm</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张</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400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耗材</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雪弗板、吹塑纸、300克白板纸、KT版、硫酸纸、橡皮图章、海绵纸、水性油墨(黑、大红、湖蓝、柠檬黄、白色)、油画棒、调墨板、印纸、色纸、生宣纸等，工具箱包装.</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gridSpan w:val="2"/>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center"/>
              <w:widowControl/>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lang w:bidi="ar"/>
                <w14:textFill>
                  <w14:solidFill>
                    <w14:schemeClr w14:val="tx1"/>
                  </w14:solidFill>
                </w14:textFill>
              </w:rPr>
              <w:t xml:space="preserve">3、剪纸与拼贴</w:t>
            </w:r>
            <w:r/>
          </w:p>
        </w:tc>
        <w:tc>
          <w:tcPr>
            <w:tcBorders>
              <w:top w:val="single" w:color="000000" w:sz="4" w:space="0"/>
              <w:left w:val="single" w:color="000000" w:sz="4" w:space="0"/>
              <w:bottom w:val="single" w:color="auto" w:sz="4" w:space="0"/>
              <w:right w:val="single" w:color="000000" w:sz="4" w:space="0"/>
            </w:tcBorders>
            <w:tcW w:w="5214" w:type="dxa"/>
            <w:vAlign w:val="center"/>
            <w:textDirection w:val="lrTb"/>
            <w:noWrap w:val="false"/>
          </w:tcPr>
          <w:p>
            <w:pPr>
              <w:jc w:val="left"/>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剪纸与拼贴工具</w:t>
            </w:r>
            <w:r/>
          </w:p>
        </w:tc>
        <w:tc>
          <w:tcPr>
            <w:shd w:val="clear" w:color="auto" w:fill="ffffff"/>
            <w:tcBorders>
              <w:top w:val="single" w:color="auto" w:sz="4" w:space="0"/>
              <w:left w:val="single" w:color="auto" w:sz="4" w:space="0"/>
              <w:bottom w:val="single" w:color="auto" w:sz="4" w:space="0"/>
              <w:right w:val="single" w:color="auto"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技术要求：1、配置：⑴切纸刀1件，尺寸≥260*270mm，切割尺寸≥220mm，；⑵圆规1件：三用圆规套</w:t>
            </w:r>
            <w:r>
              <w:rPr>
                <w:rFonts w:hint="eastAsia" w:ascii="宋体" w:hAnsi="宋体" w:cs="宋体"/>
                <w:color w:val="000000" w:themeColor="text1"/>
                <w:sz w:val="20"/>
                <w:szCs w:val="20"/>
                <w:highlight w:val="none"/>
                <w:lang w:bidi="ar"/>
                <w14:textFill>
                  <w14:solidFill>
                    <w14:schemeClr w14:val="tx1"/>
                  </w14:solidFill>
                </w14:textFill>
              </w:rPr>
              <w:t xml:space="preserve">装；⑶花边剪1件：铁口花边剪，刀头总长度不小于60mm；⑷花型打孔器3件，配备不同花型；⑸笔刀1件：合金手柄长度不小于100mm，笔刀刀头3件：猛钢刀头不小于35mm；⑹直尺1把：有机塑料材质，尺寸不小于300mm；⑺美工刀一件，ABS塑料材质手柄；⑻手工订书机一件；⑼订书机钉1盒；⑽剪刀3把，品牌磨尖特细剪纸专用剪刀1把（含刀头护具），裁纸剪刀1把，龙凤剪刀1把；⑾割圆刀1件；⑿剪纸专用点胶1支；⒀切割垫板1块：尺寸A4，共13类21件。2．中空定位包装，所有产品卡槽定位于箱内，不得串动，便于携带、存放。</w:t>
            </w:r>
            <w:r>
              <w:rPr>
                <w:rFonts w:hint="eastAsia" w:ascii="宋体" w:hAnsi="宋体" w:cs="宋体"/>
                <w:color w:val="000000" w:themeColor="text1"/>
                <w:sz w:val="20"/>
                <w:szCs w:val="20"/>
                <w:highlight w:val="none"/>
                <w:lang w:bidi="ar"/>
                <w14:textFill>
                  <w14:solidFill>
                    <w14:schemeClr w14:val="tx1"/>
                  </w14:solidFill>
                </w14:textFill>
              </w:rPr>
              <w:br/>
            </w:r>
            <w:r/>
          </w:p>
        </w:tc>
        <w:tc>
          <w:tcPr>
            <w:tcBorders>
              <w:top w:val="single" w:color="000000" w:sz="4" w:space="0"/>
              <w:left w:val="single" w:color="auto"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auto"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剪纸教学资料</w:t>
            </w:r>
            <w:r/>
          </w:p>
        </w:tc>
        <w:tc>
          <w:tcPr>
            <w:shd w:val="clear" w:color="auto" w:fill="ffffff"/>
            <w:tcBorders>
              <w:top w:val="single" w:color="auto" w:sz="4" w:space="0"/>
              <w:left w:val="single" w:color="auto" w:sz="4" w:space="0"/>
              <w:bottom w:val="single" w:color="auto" w:sz="4" w:space="0"/>
              <w:right w:val="single" w:color="auto"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剪纸教学资料，包含剪纸技巧、手法等。</w:t>
            </w:r>
            <w:r/>
          </w:p>
        </w:tc>
        <w:tc>
          <w:tcPr>
            <w:tcBorders>
              <w:top w:val="single" w:color="000000" w:sz="4" w:space="0"/>
              <w:left w:val="single" w:color="auto"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本</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剪纸图样</w:t>
            </w:r>
            <w:r/>
          </w:p>
        </w:tc>
        <w:tc>
          <w:tcPr>
            <w:shd w:val="clear" w:color="auto" w:fill="ffffff"/>
            <w:tcBorders>
              <w:top w:val="single" w:color="auto"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A4尺寸，12生肖图样</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宣纸</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四尺大红宣纸</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刀</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宣纸</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四尺彩色宣纸</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刀</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展示框</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≥30*20cm、≥30*40cm</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928"/>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衍纸套装</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包含：36色3mm*540mm衍纸360条，渐变色5mm*540mm衍纸480条，36色5mm*540mm衍纸180条，衍纸尺1把、多功能模板1把、彩色珠针1盘、衍纸笔1支、锥子1个、白胶40g1瓶、不锈钢镊子1把、胶水盘1个、底稿6张、安全剪刀1把、彩钻贴1包、点胶瓶1个、曲规器1个、彩色卡纸2张、书签纸1张、凹凸器1个、衍纸梳1个。</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eastAsia="zh-CN" w:bidi="ar"/>
                <w14:textFill>
                  <w14:solidFill>
                    <w14:schemeClr w14:val="tx1"/>
                  </w14:solidFill>
                </w14:textFill>
              </w:rPr>
              <w:t xml:space="preserve">▲提供含有CMA或CNAS标识的</w:t>
            </w:r>
            <w:r>
              <w:rPr>
                <w:rFonts w:hint="eastAsia" w:ascii="宋体" w:hAnsi="宋体" w:cs="宋体"/>
                <w:color w:val="000000" w:themeColor="text1"/>
                <w:sz w:val="20"/>
                <w:szCs w:val="20"/>
                <w:highlight w:val="none"/>
                <w:lang w:bidi="ar"/>
                <w14:textFill>
                  <w14:solidFill>
                    <w14:schemeClr w14:val="tx1"/>
                  </w14:solidFill>
                </w14:textFill>
              </w:rPr>
              <w:t xml:space="preserve">衍纸套装</w:t>
            </w:r>
            <w:r>
              <w:rPr>
                <w:rFonts w:hint="eastAsia" w:ascii="宋体" w:hAnsi="宋体" w:cs="宋体"/>
                <w:color w:val="000000" w:themeColor="text1"/>
                <w:sz w:val="20"/>
                <w:szCs w:val="20"/>
                <w:highlight w:val="none"/>
                <w:lang w:eastAsia="zh-CN" w:bidi="ar"/>
                <w14:textFill>
                  <w14:solidFill>
                    <w14:schemeClr w14:val="tx1"/>
                  </w14:solidFill>
                </w14:textFill>
              </w:rPr>
              <w:t xml:space="preserve">检测报告原件的扫描件加盖电子章。</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tcBorders>
              <w:top w:val="single" w:color="000000" w:sz="4" w:space="0"/>
              <w:left w:val="single" w:color="000000" w:sz="4" w:space="0"/>
              <w:bottom w:val="single" w:color="000000" w:sz="4" w:space="0"/>
              <w:right w:val="none" w:color="000000" w:sz="4" w:space="0"/>
            </w:tcBorders>
            <w:tcW w:w="670" w:type="dxa"/>
            <w:vAlign w:val="center"/>
            <w:textDirection w:val="lrTb"/>
            <w:noWrap w:val="false"/>
          </w:tcPr>
          <w:p>
            <w:pPr>
              <w:jc w:val="center"/>
              <w:widowControl/>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lang w:bidi="ar"/>
                <w14:textFill>
                  <w14:solidFill>
                    <w14:schemeClr w14:val="tx1"/>
                  </w14:solidFill>
                </w14:textFill>
              </w:rPr>
              <w:t xml:space="preserve">4、国画器材</w:t>
            </w:r>
            <w:r/>
          </w:p>
        </w:tc>
        <w:tc>
          <w:tcPr>
            <w:tcBorders>
              <w:top w:val="single" w:color="000000" w:sz="4" w:space="0"/>
              <w:left w:val="none" w:color="000000" w:sz="4" w:space="0"/>
              <w:bottom w:val="single" w:color="000000" w:sz="4" w:space="0"/>
              <w:right w:val="none" w:color="000000" w:sz="4" w:space="0"/>
            </w:tcBorders>
            <w:tcW w:w="1114" w:type="dxa"/>
            <w:vAlign w:val="center"/>
            <w:textDirection w:val="lrTb"/>
            <w:noWrap w:val="false"/>
          </w:tcPr>
          <w:p>
            <w:pPr>
              <w:jc w:val="center"/>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214" w:type="dxa"/>
            <w:vAlign w:val="center"/>
            <w:textDirection w:val="lrTb"/>
            <w:noWrap w:val="false"/>
          </w:tcPr>
          <w:p>
            <w:pPr>
              <w:jc w:val="left"/>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毛笔</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高档毛笔：大中小提斗、大中小白云、花枝俏、小依纹</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书画毡</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白色优质澳洲羊毛书画毡，尺寸不小于1000*2000mm</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张</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笔架</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仿古式双龙笔架，规格：不小于330*100*360mm，雕花底座，稳固结实，可悬挂12支毛笔。</w:t>
            </w:r>
            <w:r>
              <w:rPr>
                <w:rFonts w:hint="eastAsia" w:ascii="宋体" w:hAnsi="宋体" w:cs="宋体"/>
                <w:color w:val="000000" w:themeColor="text1"/>
                <w:sz w:val="20"/>
                <w:szCs w:val="20"/>
                <w:highlight w:val="none"/>
                <w:lang w:bidi="ar"/>
                <w14:textFill>
                  <w14:solidFill>
                    <w14:schemeClr w14:val="tx1"/>
                  </w14:solidFill>
                </w14:textFill>
              </w:rPr>
              <w:b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笔搁</w:t>
            </w:r>
            <w:r/>
          </w:p>
        </w:tc>
        <w:tc>
          <w:tcPr>
            <w:shd w:val="clear" w:color="auto" w:fill="ffffff"/>
            <w:tcBorders>
              <w:top w:val="none" w:color="000000" w:sz="4" w:space="0"/>
              <w:left w:val="none" w:color="000000" w:sz="4" w:space="0"/>
              <w:bottom w:val="none" w:color="000000" w:sz="4" w:space="0"/>
              <w:right w:val="non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规格要求：长度不小于100mm，高度不小于20mm。采用全新料PS材质，无异味，不易摔坏。</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生宣纸</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生宣，四尺整张，≥100张/刀</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刀</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半熟宣</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半熟宣，四尺整张，≥100张/刀</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刀</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熟宣纸</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熟宣，四尺整张，≥100张/刀</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刀</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墨</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精品墨汁≥250g</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颜料</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≥12色套装国画颜料，每支≥12ml。</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93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笔洗</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规格要求：直径不小于150mm，高度不小于50mm。采用全新料PS材质，无异味，清洗方便，不易摔坏。</w:t>
            </w:r>
            <w:r>
              <w:rPr>
                <w:rFonts w:hint="eastAsia" w:ascii="宋体" w:hAnsi="宋体" w:cs="宋体"/>
                <w:color w:val="000000" w:themeColor="text1"/>
                <w:sz w:val="20"/>
                <w:szCs w:val="20"/>
                <w:highlight w:val="none"/>
                <w:lang w:bidi="ar"/>
                <w14:textFill>
                  <w14:solidFill>
                    <w14:schemeClr w14:val="tx1"/>
                  </w14:solidFill>
                </w14:textFill>
              </w:rPr>
              <w:b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54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砚台</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5寸防墨干砚台，带盖，砚台双圈式设计，规格尺寸：直径125mm，高40mm，采用全新料PS材质，无异味，清洗方便，不易摔坏。</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eastAsia="zh-CN" w:bidi="ar"/>
                <w14:textFill>
                  <w14:solidFill>
                    <w14:schemeClr w14:val="tx1"/>
                  </w14:solidFill>
                </w14:textFill>
              </w:rPr>
              <w:t xml:space="preserve">▲提供含有CMA或CNAS标识的</w:t>
            </w:r>
            <w:r>
              <w:rPr>
                <w:rFonts w:hint="eastAsia" w:ascii="宋体" w:hAnsi="宋体" w:cs="宋体"/>
                <w:color w:val="000000" w:themeColor="text1"/>
                <w:sz w:val="20"/>
                <w:szCs w:val="20"/>
                <w:highlight w:val="none"/>
                <w:lang w:bidi="ar"/>
                <w14:textFill>
                  <w14:solidFill>
                    <w14:schemeClr w14:val="tx1"/>
                  </w14:solidFill>
                </w14:textFill>
              </w:rPr>
              <w:t xml:space="preserve">砚台检测报告，检验内容：可迁移元素的限量（锑、砷、钡、镉、铬、铅、汞、硒）符合《学生用品的安全通用要求》。</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提供检测报告原件的扫描件加盖电子章</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方</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镇纸</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尺寸：≥180*35*20mm，采用全新料PS材质，无异味，不易摔坏。</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付</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笔帘</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竹制，外观尺寸不小于：≥320*300mm</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gridSpan w:val="2"/>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center"/>
              <w:widowControl/>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lang w:bidi="ar"/>
                <w14:textFill>
                  <w14:solidFill>
                    <w14:schemeClr w14:val="tx1"/>
                  </w14:solidFill>
                </w14:textFill>
              </w:rPr>
              <w:t xml:space="preserve">三、环境装饰及基础器材</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26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shd w:val="clear" w:color="auto" w:fill="ffffff"/>
            <w:tcBorders>
              <w:top w:val="single" w:color="000000" w:sz="4" w:space="0"/>
              <w:left w:val="single" w:color="000000" w:sz="4" w:space="0"/>
              <w:bottom w:val="single" w:color="000000" w:sz="4" w:space="0"/>
              <w:right w:val="non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美术教学用品柜</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1、规格：≥1000*450*2000mm。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2、结构：全木结构，现代工艺，结构牢固。柜身分上下两部分，上部玻璃板材拉门，放置两层活动层板，下部板材拉门，放置一层活动层板。</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3、材质：柜身材料采用18mm厚E1级双贴面三聚氰胺板；</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板材所有截面均经全自动封边机封边处理，所用封边条为厚PVC封边条,热熔胶一次成型；</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4、配件：采用优质五金配件，结构牢固，经久耐用。</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5、性能：绿色环保、美观大方、安全实用、操作方便</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26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shd w:val="clear" w:color="auto" w:fill="ffffff"/>
            <w:tcBorders>
              <w:top w:val="single" w:color="000000" w:sz="4" w:space="0"/>
              <w:left w:val="single" w:color="000000" w:sz="4" w:space="0"/>
              <w:bottom w:val="single" w:color="000000" w:sz="4" w:space="0"/>
              <w:right w:val="non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美术教学用品柜</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1、规格：≥1000*500*1000mm；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2、全木结构：横向放置二层18mm厚E1级双贴面三聚氰胺层板，竖向放置一块16mm厚E1级双贴面三聚氰胺隔板，柜子分为5格，上部为一个大格子，下部4个相同尺寸的小格子；</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3、材质：柜身材料采用18mm厚E1级双贴面三聚氰胺板；</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板材所有截面均经全自动封边机封边处理，所用封边条分别为优质（0.8-1）mm（内嵌）、（1.5-2）mm（外露）厚PVC封边条,热熔胶一次成型；</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4、性能： 绿色环保、美观大方、安全实用、操作方便。</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26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w:t>
            </w:r>
            <w:r/>
          </w:p>
        </w:tc>
        <w:tc>
          <w:tcPr>
            <w:shd w:val="clear" w:color="auto" w:fill="ffffff"/>
            <w:tcBorders>
              <w:top w:val="single" w:color="000000" w:sz="4" w:space="0"/>
              <w:left w:val="single" w:color="000000" w:sz="4" w:space="0"/>
              <w:bottom w:val="single" w:color="000000" w:sz="4" w:space="0"/>
              <w:right w:val="non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美术教学用品柜</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1、规格：≥1200*500*1000mm；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2、全木结构：横向放置二层18mm厚E1级双贴面三聚氰胺层板，竖向放置二块18mm厚E1级双贴面三聚氰胺隔板，柜子分为7格，上部为一个大格子，下部6个相同尺寸的小格子；</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3、材质：柜身材料采用18mm厚E1级双贴面三聚氰胺板；</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板材所有截面均经全自动封边机封边处理，所用封边条分别为优质（0.8-1）mm（内嵌）、（1.5-2）mm（外露）厚PVC封边条,热熔胶一次成型；</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4、性能： 绿色环保、美观大方、安全实用、操作方便。</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w:t>
            </w:r>
            <w:r/>
          </w:p>
        </w:tc>
        <w:tc>
          <w:tcPr>
            <w:shd w:val="clear" w:color="auto" w:fill="ffffff"/>
            <w:tcBorders>
              <w:top w:val="single" w:color="000000" w:sz="4" w:space="0"/>
              <w:left w:val="single" w:color="000000" w:sz="4" w:space="0"/>
              <w:bottom w:val="single" w:color="000000" w:sz="4" w:space="0"/>
              <w:right w:val="non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知识展板</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1、规格尺寸：≥900*600mm/张，每套4张；</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2、教室装饰知识展板；3、版面由专业设计人员设计，美观实用。内容包含相关学科内容。</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w:t>
            </w:r>
            <w:r/>
          </w:p>
        </w:tc>
        <w:tc>
          <w:tcPr>
            <w:shd w:val="clear" w:color="auto" w:fill="ffffff"/>
            <w:tcBorders>
              <w:top w:val="single" w:color="000000" w:sz="4" w:space="0"/>
              <w:left w:val="single" w:color="000000" w:sz="4" w:space="0"/>
              <w:bottom w:val="single" w:color="000000" w:sz="4" w:space="0"/>
              <w:right w:val="non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作品展示板</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尺寸：≥1200mm*2400mm*8mm，聚酯纤维材质，带压痕边框，圆角设计，配工字钉。</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gridSpan w:val="4"/>
            <w:tcBorders>
              <w:top w:val="single" w:color="000000" w:sz="4" w:space="0"/>
              <w:left w:val="single" w:color="000000" w:sz="4" w:space="0"/>
              <w:bottom w:val="single" w:color="000000" w:sz="4" w:space="0"/>
              <w:right w:val="single" w:color="000000" w:sz="4" w:space="0"/>
            </w:tcBorders>
            <w:tcW w:w="7655" w:type="dxa"/>
            <w:vAlign w:val="center"/>
            <w:textDirection w:val="lrTb"/>
            <w:noWrap w:val="false"/>
          </w:tcPr>
          <w:p>
            <w:pPr>
              <w:jc w:val="center"/>
              <w:widowControl/>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bidi="ar"/>
                <w14:textFill>
                  <w14:solidFill>
                    <w14:schemeClr w14:val="tx1"/>
                  </w14:solidFill>
                </w14:textFill>
              </w:rPr>
              <w:t xml:space="preserve">书法教室（30+1座/套）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94"/>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书法教学系统</w:t>
            </w:r>
            <w:r/>
          </w:p>
        </w:tc>
        <w:tc>
          <w:tcPr>
            <w:shd w:val="clear" w:color="auto" w:fill="ffffff"/>
            <w:tcBorders>
              <w:top w:val="non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一、软笔基础教学功能</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1、《中小学书法教育指导纲要》推荐的楷书碑帖以及碑帖单字都具备在原帖上可一键切换四种摹写教学模式：原帖摹写、单钩摹写、双钩摹写、原字摹写。</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2、全息碑帖单字具备七种笔画工具，可在原帖单字上一键进行单钩提取、双钩提取、笔势提取、笔画提取、笔画笔势、全部笔画、笔顺示例，提取的内容在当前教学页面直接呈现。</w:t>
            </w:r>
            <w:r/>
          </w:p>
          <w:p>
            <w:pPr>
              <w:jc w:val="left"/>
              <w:widowControl/>
              <w:rPr>
                <w:rFonts w:hint="eastAsia" w:ascii="宋体" w:hAnsi="宋体" w:eastAsia="宋体" w:cs="宋体"/>
                <w:color w:val="000000" w:themeColor="text1"/>
                <w:sz w:val="20"/>
                <w:szCs w:val="20"/>
                <w:highlight w:val="none"/>
                <w:lang w:eastAsia="zh-CN"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笔画讲解：可以满足提取碑帖单字中的任意笔画进行点画讲解，拆分的单字可进行不同笔画的轮廓化、填色等结构组合。轮廓化的笔画可进行颜色填充、更换。</w:t>
            </w:r>
            <w:r>
              <w:rPr>
                <w:rFonts w:hint="eastAsia" w:ascii="宋体" w:hAnsi="宋体" w:cs="宋体"/>
                <w:b/>
                <w:bCs/>
                <w:color w:val="000000" w:themeColor="text1"/>
                <w:sz w:val="20"/>
                <w:szCs w:val="20"/>
                <w:highlight w:val="none"/>
                <w:lang w:eastAsia="zh-CN" w:bidi="ar"/>
                <w14:textFill>
                  <w14:solidFill>
                    <w14:schemeClr w14:val="tx1"/>
                  </w14:solidFill>
                </w14:textFill>
              </w:rPr>
              <w:t xml:space="preserve">（</w:t>
            </w:r>
            <w:r>
              <w:rPr>
                <w:rFonts w:hint="eastAsia" w:ascii="宋体" w:hAnsi="宋体" w:cs="宋体"/>
                <w:b/>
                <w:bCs/>
                <w:color w:val="000000" w:themeColor="text1"/>
                <w:sz w:val="20"/>
                <w:szCs w:val="20"/>
                <w:highlight w:val="none"/>
                <w:lang w:bidi="ar"/>
                <w14:textFill>
                  <w14:solidFill>
                    <w14:schemeClr w14:val="tx1"/>
                  </w14:solidFill>
                </w14:textFill>
              </w:rPr>
              <w:t xml:space="preserve">提供含有CMA</w:t>
            </w:r>
            <w:r>
              <w:rPr>
                <w:rFonts w:hint="eastAsia" w:ascii="宋体" w:hAnsi="宋体" w:cs="宋体"/>
                <w:b/>
                <w:bCs/>
                <w:color w:val="000000" w:themeColor="text1"/>
                <w:sz w:val="20"/>
                <w:szCs w:val="20"/>
                <w:highlight w:val="none"/>
                <w:lang w:val="en-US" w:eastAsia="zh-CN" w:bidi="ar"/>
                <w14:textFill>
                  <w14:solidFill>
                    <w14:schemeClr w14:val="tx1"/>
                  </w14:solidFill>
                </w14:textFill>
              </w:rPr>
              <w:t xml:space="preserve">或</w:t>
            </w:r>
            <w:r>
              <w:rPr>
                <w:rFonts w:hint="eastAsia" w:ascii="宋体" w:hAnsi="宋体" w:cs="宋体"/>
                <w:b/>
                <w:bCs/>
                <w:color w:val="000000" w:themeColor="text1"/>
                <w:sz w:val="20"/>
                <w:szCs w:val="20"/>
                <w:highlight w:val="none"/>
                <w:lang w:bidi="ar"/>
                <w14:textFill>
                  <w14:solidFill>
                    <w14:schemeClr w14:val="tx1"/>
                  </w14:solidFill>
                </w14:textFill>
              </w:rPr>
              <w:t xml:space="preserve">CNAS标识的软件登记测试报告</w:t>
            </w:r>
            <w:r>
              <w:rPr>
                <w:rFonts w:hint="eastAsia" w:ascii="宋体" w:hAnsi="宋体" w:cs="宋体"/>
                <w:b/>
                <w:bCs/>
                <w:color w:val="000000" w:themeColor="text1"/>
                <w:sz w:val="20"/>
                <w:szCs w:val="20"/>
                <w:highlight w:val="none"/>
                <w:lang w:val="en-US" w:eastAsia="zh-CN" w:bidi="ar"/>
                <w14:textFill>
                  <w14:solidFill>
                    <w14:schemeClr w14:val="tx1"/>
                  </w14:solidFill>
                </w14:textFill>
              </w:rPr>
              <w:t xml:space="preserve">原件的扫描件加盖电子章</w:t>
            </w:r>
            <w:r>
              <w:rPr>
                <w:rFonts w:hint="eastAsia" w:ascii="宋体" w:hAnsi="宋体" w:cs="宋体"/>
                <w:b/>
                <w:bCs/>
                <w:color w:val="000000" w:themeColor="text1"/>
                <w:sz w:val="20"/>
                <w:szCs w:val="20"/>
                <w:highlight w:val="none"/>
                <w:lang w:eastAsia="zh-CN" w:bidi="ar"/>
                <w14:textFill>
                  <w14:solidFill>
                    <w14:schemeClr w14:val="tx1"/>
                  </w14:solidFill>
                </w14:textFill>
              </w:rPr>
              <w:t xml:space="preserve">。）</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4、可在原帖单字上一键调出名家书写示范视频，视频播放时，可同时显示原帖字作为参照。</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5、任意单字可以一键同字搜索，一键呈现单字在纲要推荐的颜、柳、欧、赵、褚楷书碑帖中的全部字例。</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6、拆字组字：可以支持组字功能:碑帖单字具有笔画分拆与整字轮廓化的功能;拆分笔画可以任意组合成新的单字:可进行轮廓化、填色、任意放大、缩小、旋转等。</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7、显隐设置：可以支持碑帖单字进行笔势显隐、提示显隐、颜色设定、书写方格等设置。</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教师可利用书法教学仪进行现场示范书写教学，提供原字参照；教师书写示范时可同时显示书写展示窗口和书写参照窗口。教师屏幕上的任意画面可一键截取到书写示范窗口，作为书写参照内容；课本、作业、挂图等任意纸质资源可一键截取到书写参照窗口。</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9、可提取碑帖单字中的任意笔画进行点画讲解，拆分的单字可进行不同笔画的轮廓化、填色等结构组合。</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10、配合使用内置九宫格、米字格、回米格等书法专用图形格，教师可进行原字的参照及点画的布局操作。</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11、可设置轮廓化笔画的不同颜色。</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12、笔画、单字、碑帖关联：可以一键调出单字相应碑帖:单字到碑帖、单字到笔画、笔画到原碑帖、碑帖到单字相互提取。</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13、配备的楷书全息碑帖可在原帖上一键切换五种讲解显示方式：原帖方式、碑文方式、原字方式、双钩方式、单钩方式。</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14、碑文方式：可以满足在全息碑帖的碑文方式下，选中碑帖内任意单字可进行同字比对，一键呈现单字在纲要推荐的颜、柳、欧、赵、褚楷书碑帖中的全部字例，支持将搜索的同字替换原帖单字直观开展比对教学;全息碑帖可同时替换多个单字，并可一键恢复原帖字。</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二、硬笔基础教学功能</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1、具备不少于9种手写硬笔全息字库，字库遵循GB2312-1980及GB12345-1990编码标准。字库中每个单字都具有动画书写示范。</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2、每种字体的单字均可提取双钩、提取笔画，其中标准楷书具备提取原字、双钩、单钩三种摹写讲解方式；</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3、可在字库中搜索查字，所搜单字的不同书体全部呈现在集字库中。</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4、单字的多种书体可进行笔画分解，提取任意笔画，同时可对任意笔画进行组合，支持轮廓化、填色等功能。</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5、多种书体单字均可一键呈现笔顺示例。</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6、每个单字可以一键转到书写窗口，供教师进行书写示范参照。</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7、任意单字、词组、短文等可一键转换为繁体字与简体字。</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三、软笔拼字评测</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1、单字打散：可以满足任意字体(包括但不限于全息楷书、隶书、行书等碑帖单字)、书体的软硬笔单字进行拼学评测，开始评测后，系统智能将单字笔画打散，随机分布。</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2、笔画拖动：对打散的单字笔画进行拖动，拖拉至指定底格中进行组合，排列，形成新的单字。支持对组合区域的底格进行一键切换，至少包含米字格、回米格、九宫格、田字格等。</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3、智能评分：当学生对笔画进行组合后，支持在原组合底格内直接显示原字，将组合后的结果与原字进行重合比对，比对后系统智能评分。</w:t>
            </w:r>
            <w:r/>
          </w:p>
          <w:p>
            <w:pPr>
              <w:jc w:val="left"/>
              <w:widowControl/>
              <w:rPr>
                <w:rFonts w:hint="eastAsia" w:ascii="宋体" w:hAnsi="宋体" w:cs="宋体"/>
                <w:color w:val="000000" w:themeColor="text1"/>
                <w:sz w:val="20"/>
                <w:szCs w:val="20"/>
                <w:highlight w:val="none"/>
                <w:lang w:eastAsia="zh-CN"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4、反复练习：支持学生对笔画组合进行反复练习，组合后的单字文持一键恢复至随机打散的笔画，方便学生进行重新组合</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四、软笔字帖制作</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1、系统内置软笔字帖编辑器。</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2、软笔输入方式：可以满足软笔字帖编辑器支持键盘输入、手写识别输入、碑帖字集点击插入、集学库点击插入四种输入方式。 </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3、软笔输入模式：可以满足软笔字帖编辑器具有单字输入和三字输入两种模式，在三字输入模式下，单字依次以原字方式、双钩方式、单钩方式呈现。</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4、软笔字帖编辑器支持输入偏旁部首，至少支持60种的偏旁部首的输入；</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5、软笔字帖编辑器中任意单字支持一键切换原字模式、单钩模式、双钩模式、原字笔势等四种显示方式；</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6、软笔字帖编辑器中任意单字支持双击提取，方便教师对其中某一个单字进行讲解；</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7、软笔字帖编辑器支持多字视频重复播放，方便学生反复观看学习；</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软笔字帖编辑器内置集字创作背景，集字创作背景数不低于100种。选中任意单字、词语等内容，选择集字创作背景后，系统自动生成集字创作作品，生成的作品支持调整作品内单字的大小、颜色、角度等多种属性；</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9、软笔字帖编辑器支持一键调取关联词组，方便学生对单字的不同词组进行临摹练习；</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10、软笔字帖编辑器支持任意排版，支持任意行 、 任意列的排版方式。固定排版方式后，依旧可以通过拖拉进行行列数修改；</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11、软笔字帖编辑器可更改字帖背景和字体颜色，支持一键转换米字格、回米格、方格等五种书写底格；</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bidi="ar"/>
                <w14:textFill>
                  <w14:solidFill>
                    <w14:schemeClr w14:val="tx1"/>
                  </w14:solidFill>
                </w14:textFill>
              </w:rPr>
              <w:t xml:space="preserve">软笔简繁转换：可以满足软笔字帖编辑器可输入任意文本；任意单字可一键转换简繁体，可设置颜色，可呈现为单钩、双钩、原字方式；碑帖字集插入的碑帖字以原帖呈现；</w:t>
            </w:r>
            <w:r>
              <w:rPr>
                <w:rFonts w:hint="eastAsia" w:ascii="宋体" w:hAnsi="宋体" w:cs="宋体"/>
                <w:b/>
                <w:bCs/>
                <w:color w:val="000000" w:themeColor="text1"/>
                <w:sz w:val="20"/>
                <w:szCs w:val="20"/>
                <w:highlight w:val="none"/>
                <w:lang w:eastAsia="zh-CN" w:bidi="ar"/>
                <w14:textFill>
                  <w14:solidFill>
                    <w14:schemeClr w14:val="tx1"/>
                  </w14:solidFill>
                </w14:textFill>
              </w:rPr>
              <w:t xml:space="preserve">（</w:t>
            </w:r>
            <w:r>
              <w:rPr>
                <w:rFonts w:hint="eastAsia" w:ascii="宋体" w:hAnsi="宋体" w:cs="宋体"/>
                <w:b/>
                <w:bCs/>
                <w:color w:val="000000" w:themeColor="text1"/>
                <w:sz w:val="20"/>
                <w:szCs w:val="20"/>
                <w:highlight w:val="none"/>
                <w:lang w:bidi="ar"/>
                <w14:textFill>
                  <w14:solidFill>
                    <w14:schemeClr w14:val="tx1"/>
                  </w14:solidFill>
                </w14:textFill>
              </w:rPr>
              <w:t xml:space="preserve">提供含有CMA</w:t>
            </w:r>
            <w:r>
              <w:rPr>
                <w:rFonts w:hint="eastAsia" w:ascii="宋体" w:hAnsi="宋体" w:cs="宋体"/>
                <w:b/>
                <w:bCs/>
                <w:color w:val="000000" w:themeColor="text1"/>
                <w:sz w:val="20"/>
                <w:szCs w:val="20"/>
                <w:highlight w:val="none"/>
                <w:lang w:val="en-US" w:eastAsia="zh-CN" w:bidi="ar"/>
                <w14:textFill>
                  <w14:solidFill>
                    <w14:schemeClr w14:val="tx1"/>
                  </w14:solidFill>
                </w14:textFill>
              </w:rPr>
              <w:t xml:space="preserve">或</w:t>
            </w:r>
            <w:r>
              <w:rPr>
                <w:rFonts w:hint="eastAsia" w:ascii="宋体" w:hAnsi="宋体" w:cs="宋体"/>
                <w:b/>
                <w:bCs/>
                <w:color w:val="000000" w:themeColor="text1"/>
                <w:sz w:val="20"/>
                <w:szCs w:val="20"/>
                <w:highlight w:val="none"/>
                <w:lang w:bidi="ar"/>
                <w14:textFill>
                  <w14:solidFill>
                    <w14:schemeClr w14:val="tx1"/>
                  </w14:solidFill>
                </w14:textFill>
              </w:rPr>
              <w:t xml:space="preserve">CNAS标识的软件登记测试报告</w:t>
            </w:r>
            <w:r>
              <w:rPr>
                <w:rFonts w:hint="eastAsia" w:ascii="宋体" w:hAnsi="宋体" w:cs="宋体"/>
                <w:b/>
                <w:bCs/>
                <w:color w:val="000000" w:themeColor="text1"/>
                <w:sz w:val="20"/>
                <w:szCs w:val="20"/>
                <w:highlight w:val="none"/>
                <w:lang w:val="en-US" w:eastAsia="zh-CN" w:bidi="ar"/>
                <w14:textFill>
                  <w14:solidFill>
                    <w14:schemeClr w14:val="tx1"/>
                  </w14:solidFill>
                </w14:textFill>
              </w:rPr>
              <w:t xml:space="preserve">原件的扫描件加盖电子章</w:t>
            </w:r>
            <w:r>
              <w:rPr>
                <w:rFonts w:hint="eastAsia" w:ascii="宋体" w:hAnsi="宋体" w:cs="宋体"/>
                <w:b/>
                <w:bCs/>
                <w:color w:val="000000" w:themeColor="text1"/>
                <w:sz w:val="20"/>
                <w:szCs w:val="20"/>
                <w:highlight w:val="none"/>
                <w:lang w:eastAsia="zh-CN" w:bidi="ar"/>
                <w14:textFill>
                  <w14:solidFill>
                    <w14:schemeClr w14:val="tx1"/>
                  </w14:solidFill>
                </w14:textFill>
              </w:rPr>
              <w:t xml:space="preserve">。）</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13、软笔字帖编辑器支持以JPG格式导出，方便教师打印制作纸质版的字帖供学生课上、课下练习；</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14、软笔字帖编辑器支持复制、粘贴、克隆等多种白板操作，方便资源在不同媒介上的传播；</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15、软笔字帖编辑器支持一键下发至学生临摹台，学生利用宣纸、毛笔即可进行硬笔临摹练习；下发至学生临摹台的临摹内容实时随着教师选择的字体进行切换变化。</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五、硬笔字帖制作软件</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1、系统内置硬笔字帖编辑器。</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2、硬笔字帖编辑器中的任意单字、词组、短文等可一键转换为楷书、行书、隶书、篆书、草书等不同书体。</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3、硬笔字帖编辑器中任意单字支持双击提取单字，可方便教师对字帖中的任意单字进行讲解；</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4、硬笔组词教学：可以满足硬笔字帖编辑器中任意硬笔单字可一键调取此单字的关联词组，进行词组教学；</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5、硬笔字帖编辑器支持更换底格类型与颜色，支持一键在田字格、米字格、方格、信纸、回米格等多种底格之间一键切换；</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6、硬笔字帖编辑器中任意单字、词组、短文可进行一键繁简转换；</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7、硬笔字帖编辑器支持以JPG格式导出，方便教师打印制作纸质版的字帖供学生课上、课下练习；</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8、硬笔字帖编辑器支持输入偏旁部首，至少支持60种偏旁部首的输入；</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9、硬笔字帖编辑器支持任意排版硬笔单字，至少支持30行 x 30列布局，排列后的布局依旧可以修改。</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10、硬笔字体编辑器支持同字比对功能，选中任一硬笔单字进行同字比对，即可调取所有同字但不同字体的硬笔单字并显示在集字库中。</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11、硬笔字体编辑器中任意单字可一键调取动态笔顺示范，方便规范学生书写的笔画顺序；</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12、硬笔字帖编辑器支持复制、粘贴、克隆等多种白板操作，方便资源在不同媒介上的传播；</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13、硬笔字帖编辑器支持一键下发至学生临摹台，学生利用硬笔书法临摹纸即可进行硬笔临摹练习；</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六、书法碑帖和书法字库</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具备《中小学书法教育指导纲要》规定的10个楷书全息碑帖：欧阳询《化度寺碑》《九成宫醴泉铭》、褚遂良《雁塔圣教序》《大字阴符经》、颜真卿《多宝塔碑》《颜勤礼碑》、柳公权《玄秘塔碑》《神策军碑》、赵孟頫《三门记》《妙严寺记》。</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全息碑帖具备一键转换四种摹写教学方式：原帖摹写、单钩摹写、双钩摹写、原字摹写。任意方式下可直接双击碑帖上的单字进行提取，提取的任意单字都具备四种摹写讲解方式以及笔画工具、示范动画、示范视频、教师示范、插入碑帖、同字比对等功能按键。示范视频采用双路采集、多角度清晰呈现书写过程，视频播放时，碑帖原字要作为参照显示，参照窗口可进行移位。</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具备纲要推荐的30个赏析碑帖：《泰山刻石》、《急就章》、《宣示表》、《平复帖》、王羲之《得示帖》、王献之《中秋帖》、王珣《伯远帖》、《张猛龙碑》、智永《真草千字文》、《等慈寺碑》、孙过庭《书谱》、《灵飞经》、张旭《古诗四帖》、怀素《自叙帖》、黄庭坚《松风阁》、米芾《蜀素帖》、赵孟頫《道德经》等。</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4、提供按篆、隶、草、行、楷五种书体划分的200多个扩展高清赏析碑帖。</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软笔全息字库：</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1、具备遵循GB2312-1980与GB12345-1990编码标准的颜体楷书全息字库。</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2、字库中每个单字都具有名家书写示范视频，示范视频采用双路采集、多角度清晰呈现书写过程。</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3、书法字库软笔单字具备笔画的拆分提取，对提取出的不同部首部件可进行任意的放大、缩小、旋转，满足集字、组字教学的需求。</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硬笔全息字库：</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4、具备符合GB2312-1980与GB12345-1990编码标准的标准楷书、钢笔楷书、钢笔颜楷、铅笔颜楷、篆体、隶书等硬笔全息书法字库，以及每个单字的书写动画。</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5、硬笔书法字库包含12万字以上，每个字可任意缩放，生成单钩、双钩、笔画、笔顺，具备书写过程示范。</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6、书法字库硬笔单字具备笔画的拆分提取，对提取出的不同部首部件可进行任意的放大、缩小、旋转，满足集字、组字教学的需求。</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7、系统字库资源，采用框架嵌入式技术，集成在数字书法教学系统中。</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七、书法教学仪</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1、总像素：≥1300万像素（分辨率4208*3120）；</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2、清晰度：中心≥1200线，周围≥900线；</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3、帧数：4208*3120分辨率下≥15帧/秒；1920*1080分辨率下≥30帧/秒；</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4、摄入面积：≥A3幅面；</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5、接口：TYPE-C输入接口≥1路，USB接口≥1路，DC电源接口≥1路；</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6、整机内置硬盘和加密狗，非外接，可有效防止加密狗和硬盘丢失而无法使用；</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7、整机信号稳定，在不接入DC电源情况下，可支持接不短于10米单根TYPE-C USB线即可读取内部的硬盘和加密狗数据；</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8、自动聚焦、自动/手动白平衡；</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9、整机自带电容触摸感应式按键，按键位于面板上（非镜头臂杆），可防止控制时候的抖动，面板也可防尘防水；</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10、触摸感应式按键不少于灯光，对焦，放大，缩小，拍照，旋转等功能；</w:t>
            </w:r>
            <w:r/>
          </w:p>
          <w:p>
            <w:pPr>
              <w:jc w:val="left"/>
              <w:widowControl/>
              <w:rPr>
                <w:rFonts w:hint="eastAsia"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11、臂杆采用软管式无关节镜头臂杆设计，可任意角度弯曲，全方位摄入无死角；</w:t>
            </w:r>
            <w:r/>
          </w:p>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non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0</wp:posOffset>
                      </wp:positionH>
                      <wp:positionV relativeFrom="paragraph">
                        <wp:posOffset>0</wp:posOffset>
                      </wp:positionV>
                      <wp:extent cx="10160" cy="10160"/>
                      <wp:effectExtent l="0" t="0" r="0" b="0"/>
                      <wp:wrapNone/>
                      <wp:docPr id="12" name="图片_7"/>
                      <wp:cNvGraphicFramePr/>
                      <a:graphic xmlns:a="http://schemas.openxmlformats.org/drawingml/2006/main">
                        <a:graphicData uri="http://schemas.openxmlformats.org/drawingml/2006/picture">
                          <pic:pic xmlns:pic="http://schemas.openxmlformats.org/drawingml/2006/picture">
                            <pic:nvPicPr>
                              <pic:cNvPr id="4" name="图片_7"/>
                              <pic:cNvPicPr/>
                              <pic:nvPr/>
                            </pic:nvPicPr>
                            <pic:blipFill>
                              <a:blip r:embed="rId15"/>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950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5" o:title=""/>
                    </v:shape>
                  </w:pict>
                </mc:Fallback>
              </mc:AlternateContent>
            </w:r>
            <w:r>
              <w:rPr>
                <w:rFonts w:hint="eastAsia" w:ascii="宋体" w:hAnsi="宋体" w:cs="宋体"/>
                <w:color w:val="000000" w:themeColor="text1"/>
                <w:sz w:val="20"/>
                <w:szCs w:val="20"/>
                <w:highlight w:val="none"/>
                <w:lang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0</wp:posOffset>
                      </wp:positionH>
                      <wp:positionV relativeFrom="paragraph">
                        <wp:posOffset>0</wp:posOffset>
                      </wp:positionV>
                      <wp:extent cx="10160" cy="10160"/>
                      <wp:effectExtent l="0" t="0" r="0" b="0"/>
                      <wp:wrapNone/>
                      <wp:docPr id="13" name="图片_3"/>
                      <wp:cNvGraphicFramePr/>
                      <a:graphic xmlns:a="http://schemas.openxmlformats.org/drawingml/2006/main">
                        <a:graphicData uri="http://schemas.openxmlformats.org/drawingml/2006/picture">
                          <pic:pic xmlns:pic="http://schemas.openxmlformats.org/drawingml/2006/picture">
                            <pic:nvPicPr>
                              <pic:cNvPr id="7" name="图片_3"/>
                              <pic:cNvPicPr/>
                              <pic:nvPr/>
                            </pic:nvPicPr>
                            <pic:blipFill>
                              <a:blip r:embed="rId15"/>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7052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5" o:title=""/>
                    </v:shape>
                  </w:pict>
                </mc:Fallback>
              </mc:AlternateContent>
            </w:r>
            <w:r>
              <w:rPr>
                <w:rFonts w:hint="eastAsia" w:ascii="宋体" w:hAnsi="宋体" w:cs="宋体"/>
                <w:color w:val="000000" w:themeColor="text1"/>
                <w:sz w:val="20"/>
                <w:szCs w:val="20"/>
                <w:highlight w:val="none"/>
                <w:lang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0</wp:posOffset>
                      </wp:positionH>
                      <wp:positionV relativeFrom="paragraph">
                        <wp:posOffset>0</wp:posOffset>
                      </wp:positionV>
                      <wp:extent cx="10160" cy="10160"/>
                      <wp:effectExtent l="0" t="0" r="0" b="0"/>
                      <wp:wrapNone/>
                      <wp:docPr id="14" name="图片_6"/>
                      <wp:cNvGraphicFramePr/>
                      <a:graphic xmlns:a="http://schemas.openxmlformats.org/drawingml/2006/main">
                        <a:graphicData uri="http://schemas.openxmlformats.org/drawingml/2006/picture">
                          <pic:pic xmlns:pic="http://schemas.openxmlformats.org/drawingml/2006/picture">
                            <pic:nvPicPr>
                              <pic:cNvPr id="9" name="图片_6"/>
                              <pic:cNvPicPr/>
                              <pic:nvPr/>
                            </pic:nvPicPr>
                            <pic:blipFill>
                              <a:blip r:embed="rId15"/>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7155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5" o:title=""/>
                    </v:shape>
                  </w:pict>
                </mc:Fallback>
              </mc:AlternateContent>
            </w: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non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non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162"/>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书画桌（教师）</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技术要求：马鞍造型：外观尺寸不小于1600*500*750mm，采用优质橡胶木材质，面板厚度18mm，桌面边框厚度≧36mm，榫卯结构加工而成，结实牢靠。采用优质净味清水漆喷涂工艺，红花梨颜色，安全环保，无毒无味，外观鲜明光亮。</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张</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non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书画椅（教师）</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技术要求：同书画桌搭配使用，圈椅，外观尺寸不小于 480*450*850mm，榆木材质，采用榫卯结构，结实牢靠。该书画凳简洁大方，纹理通达清晰，外观鲜明光亮，红花梨颜色。</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张</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non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162"/>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书画桌（学生）</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技术要求：马鞍造型：外观尺寸不小于1500*500*750mm，采用优质橡胶木材质，面板厚度18mm，桌面边框厚度≧36mm，榫卯结构加工而成，结实牢靠。采用优质净味清水漆喷涂工艺，红花梨颜色，安全环保，无毒无味，外观鲜明光亮。</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张</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15</w:t>
            </w:r>
            <w:r/>
          </w:p>
        </w:tc>
        <w:tc>
          <w:tcPr>
            <w:tcBorders>
              <w:top w:val="non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162"/>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书画凳（学生）</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技术要求：同书画桌搭配使用，外观尺寸不小于400*300*430mm，采用优质橡胶木材质，榫卯结构加工而成，结实牢靠。采用优质净味清水漆喷涂工艺，红花梨颜色，安全环保，无毒无味，外观鲜明光亮。</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张</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30</w:t>
            </w:r>
            <w:r/>
          </w:p>
        </w:tc>
        <w:tc>
          <w:tcPr>
            <w:tcBorders>
              <w:top w:val="non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书画毡</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白色优质澳洲羊毛书画毡，尺寸不小于1000*2000mm</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张</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16</w:t>
            </w:r>
            <w:r/>
          </w:p>
        </w:tc>
        <w:tc>
          <w:tcPr>
            <w:tcBorders>
              <w:top w:val="non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拷贝台</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A3尺寸，透图尺寸≥420*300mm，亚克力台面，LED灯源。</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张</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non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毛笔</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书画精品毛笔：大中小提斗、大中小白云、花枝俏、小依纹</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31</w:t>
            </w:r>
            <w:r/>
          </w:p>
        </w:tc>
        <w:tc>
          <w:tcPr>
            <w:tcBorders>
              <w:top w:val="non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笔洗</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规格要求：直径不小于150mm，高度不小于50mm。采用全新料PS材质，无异味，清洗方便，不易摔坏。</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31</w:t>
            </w:r>
            <w:r/>
          </w:p>
        </w:tc>
        <w:tc>
          <w:tcPr>
            <w:tcBorders>
              <w:top w:val="non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auto"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笔架</w:t>
            </w:r>
            <w:r/>
          </w:p>
        </w:tc>
        <w:tc>
          <w:tcPr>
            <w:shd w:val="clear" w:color="auto" w:fill="ffffff"/>
            <w:tcBorders>
              <w:top w:val="single" w:color="000000" w:sz="4" w:space="0"/>
              <w:left w:val="single" w:color="000000" w:sz="4" w:space="0"/>
              <w:bottom w:val="single" w:color="auto"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仿古式双龙笔架，规格：不小于330*100*360mm，雕花底座，稳固结实，可悬挂12支毛笔。</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31</w:t>
            </w:r>
            <w:r/>
          </w:p>
        </w:tc>
        <w:tc>
          <w:tcPr>
            <w:tcBorders>
              <w:top w:val="non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shd w:val="clear" w:color="auto" w:fill="auto"/>
            <w:tcBorders>
              <w:top w:val="single" w:color="000000" w:sz="4" w:space="0"/>
              <w:left w:val="single" w:color="000000" w:sz="4" w:space="0"/>
              <w:bottom w:val="single" w:color="000000" w:sz="4" w:space="0"/>
              <w:right w:val="single" w:color="auto"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笔搁</w:t>
            </w:r>
            <w:r/>
          </w:p>
        </w:tc>
        <w:tc>
          <w:tcPr>
            <w:shd w:val="clear" w:color="auto" w:fill="ffffff"/>
            <w:tcBorders>
              <w:top w:val="single" w:color="auto" w:sz="4" w:space="0"/>
              <w:left w:val="single" w:color="auto" w:sz="4" w:space="0"/>
              <w:bottom w:val="single" w:color="auto" w:sz="4" w:space="0"/>
              <w:right w:val="single" w:color="auto"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规格要求：≥100*20*50mm。黑梓木材质，边角打磨平滑，纹理细腻自然。</w:t>
            </w:r>
            <w:r/>
          </w:p>
        </w:tc>
        <w:tc>
          <w:tcPr>
            <w:tcBorders>
              <w:top w:val="single" w:color="000000" w:sz="4" w:space="0"/>
              <w:left w:val="single" w:color="auto"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31</w:t>
            </w:r>
            <w:r/>
          </w:p>
        </w:tc>
        <w:tc>
          <w:tcPr>
            <w:tcBorders>
              <w:top w:val="non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54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13</w:t>
            </w:r>
            <w:r/>
          </w:p>
        </w:tc>
        <w:tc>
          <w:tcPr>
            <w:shd w:val="clear" w:color="auto" w:fill="auto"/>
            <w:tcBorders>
              <w:top w:val="single" w:color="auto"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笔筒</w:t>
            </w:r>
            <w:r/>
          </w:p>
        </w:tc>
        <w:tc>
          <w:tcPr>
            <w:shd w:val="clear" w:color="auto" w:fill="ffffff"/>
            <w:tcBorders>
              <w:top w:val="single" w:color="auto"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规格要求：直径不小于100mm，高度不小于110mm。采用全新料PS材质，无异味，清洗方便，不易摔坏。</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eastAsia="zh-CN" w:bidi="ar"/>
                <w14:textFill>
                  <w14:solidFill>
                    <w14:schemeClr w14:val="tx1"/>
                  </w14:solidFill>
                </w14:textFill>
              </w:rPr>
              <w:t xml:space="preserve">▲提供含有CMA或CNAS标识的</w:t>
            </w:r>
            <w:r>
              <w:rPr>
                <w:rFonts w:hint="eastAsia" w:ascii="宋体" w:hAnsi="宋体" w:cs="宋体"/>
                <w:color w:val="000000" w:themeColor="text1"/>
                <w:sz w:val="20"/>
                <w:szCs w:val="20"/>
                <w:highlight w:val="none"/>
                <w:lang w:bidi="ar"/>
                <w14:textFill>
                  <w14:solidFill>
                    <w14:schemeClr w14:val="tx1"/>
                  </w14:solidFill>
                </w14:textFill>
              </w:rPr>
              <w:t xml:space="preserve">笔筒检测报告，检验内容：可迁移元素的限量（锑、砷、钡、镉、铬、铅、汞、硒）符合《学生用品的安全通用要求》。</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提供检测报告原件的扫描件加盖电子章</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31</w:t>
            </w:r>
            <w:r/>
          </w:p>
        </w:tc>
        <w:tc>
          <w:tcPr>
            <w:tcBorders>
              <w:top w:val="non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镇纸</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规格：≥300mm×40mm×20mm 黑梓木材质，镇尺边角打磨平滑，纹理细腻自然。</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付</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31</w:t>
            </w:r>
            <w:r/>
          </w:p>
        </w:tc>
        <w:tc>
          <w:tcPr>
            <w:tcBorders>
              <w:top w:val="non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笔帘</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竹制，外观尺寸不小于：330*290mm,带包边，用于收纳保护毛笔。</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31</w:t>
            </w:r>
            <w:r/>
          </w:p>
        </w:tc>
        <w:tc>
          <w:tcPr>
            <w:tcBorders>
              <w:top w:val="non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墨</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书画墨汁250g，黑色，性价比高，书写流畅，扩散均匀。</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31</w:t>
            </w:r>
            <w:r/>
          </w:p>
        </w:tc>
        <w:tc>
          <w:tcPr>
            <w:tcBorders>
              <w:top w:val="non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砚台</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5寸防墨干砚台，带盖，砚台双圈式设计，规格尺寸：直径≥125mm，高≥40mm，采用全新料PS材质，无异味，清洗方便，不易摔坏。</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方</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31</w:t>
            </w:r>
            <w:r/>
          </w:p>
        </w:tc>
        <w:tc>
          <w:tcPr>
            <w:tcBorders>
              <w:top w:val="non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印泥</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红色印泥，配有印泥盒，印泥盒尺寸要求：直径不小于60mm，高度不小于24mm。采用全新料PS材质，无异味，清洗方便，不易摔坏。</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盒</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31</w:t>
            </w:r>
            <w:r/>
          </w:p>
        </w:tc>
        <w:tc>
          <w:tcPr>
            <w:tcBorders>
              <w:top w:val="non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章料</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天然冻石章料，尺寸≥2*2*5cm，质软易于篆刻</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200</w:t>
            </w:r>
            <w:r/>
          </w:p>
        </w:tc>
        <w:tc>
          <w:tcPr>
            <w:tcBorders>
              <w:top w:val="non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篆刻工具</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品牌篆刻刀1把，印床1个，转印贴1张，史连纸10张，猪鬃刷1把，砂纸1张。</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31</w:t>
            </w:r>
            <w:r/>
          </w:p>
        </w:tc>
        <w:tc>
          <w:tcPr>
            <w:tcBorders>
              <w:top w:val="non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水写布</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带轴水写布，带米字格，无纺布材质，尺寸不小于70*42cm。</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31</w:t>
            </w:r>
            <w:r/>
          </w:p>
        </w:tc>
        <w:tc>
          <w:tcPr>
            <w:tcBorders>
              <w:top w:val="non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生宣纸</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四尺生宣， 尺寸≥138*69cm，优质生宣纸，每刀100张，采用优质原浆，经传统手工工艺制作，纸质厚实，韧性好。</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刀</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15</w:t>
            </w:r>
            <w:r/>
          </w:p>
        </w:tc>
        <w:tc>
          <w:tcPr>
            <w:tcBorders>
              <w:top w:val="non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半熟宣</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四尺半生半熟， 尺寸≥138*69cm，生熟度：介于生宣和熟宣之间，吸墨适中，晕墨较慢，适宜书法练习创作和写意画作。</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刀</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15</w:t>
            </w:r>
            <w:r/>
          </w:p>
        </w:tc>
        <w:tc>
          <w:tcPr>
            <w:tcBorders>
              <w:top w:val="non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熟宣纸</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四尺熟宣， 尺寸≥138*69cm，优质熟宣纸，每刀100张，采用优质原浆，经传统手工工艺制作，纸质厚实，韧性好。</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刀</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15</w:t>
            </w:r>
            <w:r/>
          </w:p>
        </w:tc>
        <w:tc>
          <w:tcPr>
            <w:tcBorders>
              <w:top w:val="non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书法字帖</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毛笔书法楷书教程，包含欧体、柳体、颜体、赵体四本。</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31</w:t>
            </w:r>
            <w:r/>
          </w:p>
        </w:tc>
        <w:tc>
          <w:tcPr>
            <w:tcBorders>
              <w:top w:val="non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书法作品欣赏</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中国历代书法作品（仿）欣赏，要求作品装裱展示，尺寸≥140*45cm，作品：王羲之 兰亭序、启功 书法、范增 书法、郑板桥 书法等。</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幅</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w:t>
            </w:r>
            <w:r/>
          </w:p>
        </w:tc>
        <w:tc>
          <w:tcPr>
            <w:tcBorders>
              <w:top w:val="non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博古架</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外观尺寸不小于980*300*1950mm，优质实木，采用榫卯结构，结实牢靠，纹理通达清晰，外观鲜明光亮</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w:t>
            </w:r>
            <w:r/>
          </w:p>
        </w:tc>
        <w:tc>
          <w:tcPr>
            <w:tcBorders>
              <w:top w:val="non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作品展示板</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尺寸：≥1200mm*2400mm，E1级及以上高密度软木材料，配置实木边框，配图钉1盒。</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non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shd w:val="clear" w:color="auto" w:fill="auto"/>
            <w:tcBorders>
              <w:top w:val="single" w:color="000000" w:sz="4" w:space="0"/>
              <w:left w:val="single" w:color="000000" w:sz="4" w:space="0"/>
              <w:bottom w:val="single" w:color="auto"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auto"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洗手台</w:t>
            </w:r>
            <w:r/>
          </w:p>
        </w:tc>
        <w:tc>
          <w:tcPr>
            <w:shd w:val="clear" w:color="auto" w:fill="ffffff"/>
            <w:tcBorders>
              <w:top w:val="single" w:color="000000" w:sz="4" w:space="0"/>
              <w:left w:val="single" w:color="000000" w:sz="4" w:space="0"/>
              <w:bottom w:val="single" w:color="auto"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尺寸≥100*60*60cm，橡胶木材质，配洗手盆、水龙头。</w:t>
            </w:r>
            <w:r/>
          </w:p>
        </w:tc>
        <w:tc>
          <w:tcPr>
            <w:tcBorders>
              <w:top w:val="single" w:color="000000" w:sz="4" w:space="0"/>
              <w:left w:val="single" w:color="000000" w:sz="4" w:space="0"/>
              <w:bottom w:val="single" w:color="auto"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auto" w:sz="4" w:space="0"/>
              <w:right w:val="single" w:color="000000" w:sz="4" w:space="0"/>
            </w:tcBorders>
            <w:tcW w:w="672"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none" w:color="000000" w:sz="4" w:space="0"/>
              <w:left w:val="single" w:color="000000" w:sz="4" w:space="0"/>
              <w:bottom w:val="single" w:color="auto"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tcBorders>
              <w:top w:val="single" w:color="auto" w:sz="4" w:space="0"/>
              <w:left w:val="single" w:color="auto" w:sz="4" w:space="0"/>
              <w:bottom w:val="single" w:color="auto" w:sz="4" w:space="0"/>
              <w:right w:val="single" w:color="auto" w:sz="4" w:space="0"/>
            </w:tcBorders>
            <w:tcW w:w="670" w:type="dxa"/>
            <w:vAlign w:val="center"/>
            <w:textDirection w:val="lrTb"/>
            <w:noWrap/>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4" w:type="dxa"/>
            <w:vAlign w:val="center"/>
            <w:textDirection w:val="lrTb"/>
            <w:noWrap/>
          </w:tcPr>
          <w:p>
            <w:pPr>
              <w:jc w:val="center"/>
              <w:widowControl/>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bidi="ar"/>
                <w14:textFill>
                  <w14:solidFill>
                    <w14:schemeClr w14:val="tx1"/>
                  </w14:solidFill>
                </w14:textFill>
              </w:rPr>
              <w:t xml:space="preserve">钢琴房</w:t>
            </w:r>
            <w:r/>
          </w:p>
        </w:tc>
        <w:tc>
          <w:tcPr>
            <w:tcBorders>
              <w:top w:val="single" w:color="auto" w:sz="4" w:space="0"/>
              <w:left w:val="single" w:color="auto" w:sz="4" w:space="0"/>
              <w:bottom w:val="single" w:color="auto" w:sz="4" w:space="0"/>
              <w:right w:val="single" w:color="auto" w:sz="4" w:space="0"/>
            </w:tcBorders>
            <w:tcW w:w="5214" w:type="dxa"/>
            <w:vAlign w:val="center"/>
            <w:textDirection w:val="lrTb"/>
            <w:noWrap/>
          </w:tcPr>
          <w:p>
            <w:pPr>
              <w:jc w:val="center"/>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885"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5378"/>
        </w:trPr>
        <w:tc>
          <w:tcPr>
            <w:tcBorders>
              <w:top w:val="single" w:color="auto"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w:t>
            </w:r>
            <w:r/>
          </w:p>
        </w:tc>
        <w:tc>
          <w:tcPr>
            <w:tcBorders>
              <w:top w:val="single" w:color="auto" w:sz="4" w:space="0"/>
              <w:left w:val="single" w:color="000000" w:sz="4" w:space="0"/>
              <w:bottom w:val="single" w:color="000000" w:sz="4" w:space="0"/>
              <w:right w:val="single" w:color="000000" w:sz="4" w:space="0"/>
            </w:tcBorders>
            <w:tcW w:w="1114"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钢琴</w:t>
            </w:r>
            <w:r/>
          </w:p>
        </w:tc>
        <w:tc>
          <w:tcPr>
            <w:tcBorders>
              <w:top w:val="single" w:color="auto" w:sz="4" w:space="0"/>
              <w:left w:val="single" w:color="000000" w:sz="4" w:space="0"/>
              <w:bottom w:val="single" w:color="000000" w:sz="4" w:space="0"/>
              <w:right w:val="single" w:color="000000" w:sz="4" w:space="0"/>
            </w:tcBorders>
            <w:tcW w:w="52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尺寸：不低于125*151*60cm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琴弦：采用优质钢丝，1#低音弦长度：不小于1150 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弦槌：采用呢毡</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音板：采用复合音板，上下两层白松实木木皮，音板在任何环境下都能保持稳定状态，不会变形和开裂。采用五轴联动设备加工音板框。</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弦轴板：采用钢琴专用色木多层板。</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弦码：采用钢琴专用色木多层板，硬度高、不开裂、音波阻抗小，具有良好的导音性能。</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弦轴：45＃钢（调质处理）。</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中踏瓣：专用钢丝拉线。</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活动杆：特种金属。</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键盘盖：不带缓降装置。</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键盘：88键，采用优质红松</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踏板：全功能三瓣式。</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外观及涂装：底层为高密度聚脂板，再涂饰底漆及高硬度防裂亮光面漆</w:t>
            </w:r>
            <w:r/>
          </w:p>
        </w:tc>
        <w:tc>
          <w:tcPr>
            <w:tcBorders>
              <w:top w:val="single" w:color="auto"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10160" cy="10160"/>
                      <wp:effectExtent l="0" t="0" r="0" b="0"/>
                      <wp:wrapNone/>
                      <wp:docPr id="15" name="图片_8"/>
                      <wp:cNvGraphicFramePr/>
                      <a:graphic xmlns:a="http://schemas.openxmlformats.org/drawingml/2006/main">
                        <a:graphicData uri="http://schemas.openxmlformats.org/drawingml/2006/picture">
                          <pic:pic xmlns:pic="http://schemas.openxmlformats.org/drawingml/2006/picture">
                            <pic:nvPicPr>
                              <pic:cNvPr id="14" name="图片_8"/>
                              <pic:cNvPicPr/>
                              <pic:nvPr/>
                            </pic:nvPicPr>
                            <pic:blipFill>
                              <a:blip r:embed="rId15"/>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7257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5" o:title=""/>
                    </v:shape>
                  </w:pict>
                </mc:Fallback>
              </mc:AlternateContent>
            </w:r>
            <w:r>
              <w:rPr>
                <w:rFonts w:hint="eastAsia" w:ascii="宋体" w:hAnsi="宋体" w:cs="宋体"/>
                <w:color w:val="000000" w:themeColor="text1"/>
                <w:sz w:val="20"/>
                <w:szCs w:val="20"/>
                <w:highlight w:val="none"/>
                <w:lang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0</wp:posOffset>
                      </wp:positionH>
                      <wp:positionV relativeFrom="paragraph">
                        <wp:posOffset>0</wp:posOffset>
                      </wp:positionV>
                      <wp:extent cx="10160" cy="10160"/>
                      <wp:effectExtent l="0" t="0" r="0" b="0"/>
                      <wp:wrapNone/>
                      <wp:docPr id="16" name="图片_2"/>
                      <wp:cNvGraphicFramePr/>
                      <a:graphic xmlns:a="http://schemas.openxmlformats.org/drawingml/2006/main">
                        <a:graphicData uri="http://schemas.openxmlformats.org/drawingml/2006/picture">
                          <pic:pic xmlns:pic="http://schemas.openxmlformats.org/drawingml/2006/picture">
                            <pic:nvPicPr>
                              <pic:cNvPr id="10" name="图片_2"/>
                              <pic:cNvPicPr/>
                              <pic:nvPr/>
                            </pic:nvPicPr>
                            <pic:blipFill>
                              <a:blip r:embed="rId15"/>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7360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5" o:title=""/>
                    </v:shape>
                  </w:pict>
                </mc:Fallback>
              </mc:AlternateContent>
            </w:r>
            <w:r>
              <w:rPr>
                <w:rFonts w:hint="eastAsia" w:ascii="宋体" w:hAnsi="宋体" w:cs="宋体"/>
                <w:color w:val="000000" w:themeColor="text1"/>
                <w:sz w:val="20"/>
                <w:szCs w:val="20"/>
                <w:highlight w:val="none"/>
                <w:lang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0</wp:posOffset>
                      </wp:positionH>
                      <wp:positionV relativeFrom="paragraph">
                        <wp:posOffset>0</wp:posOffset>
                      </wp:positionV>
                      <wp:extent cx="10160" cy="10160"/>
                      <wp:effectExtent l="0" t="0" r="0" b="0"/>
                      <wp:wrapNone/>
                      <wp:docPr id="17" name="图片_9"/>
                      <wp:cNvGraphicFramePr/>
                      <a:graphic xmlns:a="http://schemas.openxmlformats.org/drawingml/2006/main">
                        <a:graphicData uri="http://schemas.openxmlformats.org/drawingml/2006/picture">
                          <pic:pic xmlns:pic="http://schemas.openxmlformats.org/drawingml/2006/picture">
                            <pic:nvPicPr>
                              <pic:cNvPr id="11" name="图片_9"/>
                              <pic:cNvPicPr/>
                              <pic:nvPr/>
                            </pic:nvPicPr>
                            <pic:blipFill>
                              <a:blip r:embed="rId15"/>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462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5" o:title=""/>
                    </v:shape>
                  </w:pict>
                </mc:Fallback>
              </mc:AlternateContent>
            </w:r>
            <w:r>
              <w:rPr>
                <w:rFonts w:hint="eastAsia" w:ascii="宋体" w:hAnsi="宋体" w:cs="宋体"/>
                <w:color w:val="000000" w:themeColor="text1"/>
                <w:sz w:val="20"/>
                <w:szCs w:val="20"/>
                <w:highlight w:val="none"/>
                <w:lang w:bidi="ar"/>
                <w14:textFill>
                  <w14:solidFill>
                    <w14:schemeClr w14:val="tx1"/>
                  </w14:solidFill>
                </w14:textFill>
              </w:rPr>
              <w:t xml:space="preserve">台</w:t>
            </w:r>
            <w:r/>
          </w:p>
        </w:tc>
        <w:tc>
          <w:tcPr>
            <w:tcBorders>
              <w:top w:val="single" w:color="auto"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tcBorders>
              <w:top w:val="single" w:color="auto"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484"/>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电钢琴</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ind w:left="106" w:right="0" w:firstLine="0"/>
              <w:jc w:val="left"/>
              <w:spacing w:before="0" w:after="0" w:line="300" w:lineRule="exact"/>
              <w:widowControl/>
              <w:rPr>
                <w:color w:val="000000" w:themeColor="text1"/>
                <w:highlight w:val="none"/>
                <w14:textFill>
                  <w14:solidFill>
                    <w14:schemeClr w14:val="tx1"/>
                  </w14:solidFill>
                </w14:textFill>
              </w:rPr>
            </w:pPr>
            <w:r>
              <w:rPr>
                <w:rFonts w:ascii="XKEM5cxj+SimSun" w:hAnsi="XKEM5cxj+SimSun" w:eastAsia="XKEM5cxj+SimSun"/>
                <w:color w:val="000000" w:themeColor="text1"/>
                <w:sz w:val="20"/>
                <w:highlight w:val="none"/>
                <w14:textFill>
                  <w14:solidFill>
                    <w14:schemeClr w14:val="tx1"/>
                  </w14:solidFill>
                </w14:textFill>
              </w:rPr>
              <w:t xml:space="preserve">1</w:t>
            </w:r>
            <w:r>
              <w:rPr>
                <w:rFonts w:ascii="yUARI7Jb+SimSun" w:hAnsi="yUARI7Jb+SimSun" w:eastAsia="yUARI7Jb+SimSun"/>
                <w:color w:val="000000" w:themeColor="text1"/>
                <w:sz w:val="20"/>
                <w:highlight w:val="none"/>
                <w14:textFill>
                  <w14:solidFill>
                    <w14:schemeClr w14:val="tx1"/>
                  </w14:solidFill>
                </w14:textFill>
              </w:rPr>
              <w:t xml:space="preserve">、演奏性能：白键下沉偏差≤</w:t>
            </w:r>
            <w:r>
              <w:rPr>
                <w:rFonts w:ascii="XKEM5cxj+SimSun" w:hAnsi="XKEM5cxj+SimSun" w:eastAsia="XKEM5cxj+SimSun"/>
                <w:color w:val="000000" w:themeColor="text1"/>
                <w:sz w:val="20"/>
                <w:highlight w:val="none"/>
                <w14:textFill>
                  <w14:solidFill>
                    <w14:schemeClr w14:val="tx1"/>
                  </w14:solidFill>
                </w14:textFill>
              </w:rPr>
              <w:t xml:space="preserve">1.0</w:t>
            </w:r>
            <w:r>
              <w:rPr>
                <w:rFonts w:ascii="yUARI7Jb+SimSun" w:hAnsi="yUARI7Jb+SimSun" w:eastAsia="yUARI7Jb+SimSun"/>
                <w:color w:val="000000" w:themeColor="text1"/>
                <w:sz w:val="20"/>
                <w:highlight w:val="none"/>
                <w14:textFill>
                  <w14:solidFill>
                    <w14:schemeClr w14:val="tx1"/>
                  </w14:solidFill>
                </w14:textFill>
              </w:rPr>
              <w:t xml:space="preserve">㎜；相邻两键偏差≤</w:t>
            </w:r>
            <w:r>
              <w:rPr>
                <w:rFonts w:ascii="XKEM5cxj+SimSun" w:hAnsi="XKEM5cxj+SimSun" w:eastAsia="XKEM5cxj+SimSun"/>
                <w:color w:val="000000" w:themeColor="text1"/>
                <w:sz w:val="20"/>
                <w:highlight w:val="none"/>
                <w14:textFill>
                  <w14:solidFill>
                    <w14:schemeClr w14:val="tx1"/>
                  </w14:solidFill>
                </w14:textFill>
              </w:rPr>
              <w:t xml:space="preserve">0.5</w:t>
            </w:r>
            <w:r>
              <w:rPr>
                <w:rFonts w:ascii="yUARI7Jb+SimSun" w:hAnsi="yUARI7Jb+SimSun" w:eastAsia="yUARI7Jb+SimSun"/>
                <w:color w:val="000000" w:themeColor="text1"/>
                <w:sz w:val="20"/>
                <w:highlight w:val="none"/>
                <w14:textFill>
                  <w14:solidFill>
                    <w14:schemeClr w14:val="tx1"/>
                  </w14:solidFill>
                </w14:textFill>
              </w:rPr>
              <w:t xml:space="preserve">㎜；相邻两白键高度误差≤</w:t>
            </w:r>
            <w:r>
              <w:rPr>
                <w:rFonts w:ascii="XKEM5cxj+SimSun" w:hAnsi="XKEM5cxj+SimSun" w:eastAsia="XKEM5cxj+SimSun"/>
                <w:color w:val="000000" w:themeColor="text1"/>
                <w:sz w:val="20"/>
                <w:highlight w:val="none"/>
                <w14:textFill>
                  <w14:solidFill>
                    <w14:schemeClr w14:val="tx1"/>
                  </w14:solidFill>
                </w14:textFill>
              </w:rPr>
              <w:t xml:space="preserve">0.5</w:t>
            </w:r>
            <w:r>
              <w:rPr>
                <w:rFonts w:ascii="yUARI7Jb+SimSun" w:hAnsi="yUARI7Jb+SimSun" w:eastAsia="yUARI7Jb+SimSun"/>
                <w:color w:val="000000" w:themeColor="text1"/>
                <w:sz w:val="20"/>
                <w:highlight w:val="none"/>
                <w14:textFill>
                  <w14:solidFill>
                    <w14:schemeClr w14:val="tx1"/>
                  </w14:solidFill>
                </w14:textFill>
              </w:rPr>
              <w:t xml:space="preserve">㎜；全键盘表面最大高度差≤</w:t>
            </w:r>
            <w:r>
              <w:rPr>
                <w:rFonts w:ascii="XKEM5cxj+SimSun" w:hAnsi="XKEM5cxj+SimSun" w:eastAsia="XKEM5cxj+SimSun"/>
                <w:color w:val="000000" w:themeColor="text1"/>
                <w:sz w:val="20"/>
                <w:highlight w:val="none"/>
                <w14:textFill>
                  <w14:solidFill>
                    <w14:schemeClr w14:val="tx1"/>
                  </w14:solidFill>
                </w14:textFill>
              </w:rPr>
              <w:t xml:space="preserve">2.0</w:t>
            </w:r>
            <w:r>
              <w:rPr>
                <w:rFonts w:ascii="yUARI7Jb+SimSun" w:hAnsi="yUARI7Jb+SimSun" w:eastAsia="yUARI7Jb+SimSun"/>
                <w:color w:val="000000" w:themeColor="text1"/>
                <w:sz w:val="20"/>
                <w:highlight w:val="none"/>
                <w14:textFill>
                  <w14:solidFill>
                    <w14:schemeClr w14:val="tx1"/>
                  </w14:solidFill>
                </w14:textFill>
              </w:rPr>
              <w:t xml:space="preserve">㎜；相邻两键下降负荷差≤</w:t>
            </w:r>
            <w:r>
              <w:rPr>
                <w:rFonts w:ascii="XKEM5cxj+SimSun" w:hAnsi="XKEM5cxj+SimSun" w:eastAsia="XKEM5cxj+SimSun"/>
                <w:color w:val="000000" w:themeColor="text1"/>
                <w:sz w:val="20"/>
                <w:highlight w:val="none"/>
                <w14:textFill>
                  <w14:solidFill>
                    <w14:schemeClr w14:val="tx1"/>
                  </w14:solidFill>
                </w14:textFill>
              </w:rPr>
              <w:t xml:space="preserve">0.14N</w:t>
            </w:r>
            <w:r>
              <w:rPr>
                <w:rFonts w:ascii="yUARI7Jb+SimSun" w:hAnsi="yUARI7Jb+SimSun" w:eastAsia="yUARI7Jb+SimSun"/>
                <w:color w:val="000000" w:themeColor="text1"/>
                <w:sz w:val="20"/>
                <w:highlight w:val="none"/>
                <w14:textFill>
                  <w14:solidFill>
                    <w14:schemeClr w14:val="tx1"/>
                  </w14:solidFill>
                </w14:textFill>
              </w:rPr>
              <w:t xml:space="preserve">；</w:t>
            </w:r>
            <w:r>
              <w:rPr>
                <w:rFonts w:ascii="XKEM5cxj+SimSun" w:hAnsi="XKEM5cxj+SimSun" w:eastAsia="XKEM5cxj+SimSun"/>
                <w:color w:val="000000" w:themeColor="text1"/>
                <w:sz w:val="20"/>
                <w:highlight w:val="none"/>
                <w14:textFill>
                  <w14:solidFill>
                    <w14:schemeClr w14:val="tx1"/>
                  </w14:solidFill>
                </w14:textFill>
              </w:rPr>
              <w:t xml:space="preserve"> </w:t>
            </w:r>
            <w:r>
              <w:rPr>
                <w:color w:val="000000" w:themeColor="text1"/>
                <w:highlight w:val="none"/>
                <w14:textFill>
                  <w14:solidFill>
                    <w14:schemeClr w14:val="tx1"/>
                  </w14:solidFill>
                </w14:textFill>
              </w:rPr>
              <w:br/>
            </w:r>
            <w:r>
              <w:rPr>
                <w:rFonts w:ascii="XKEM5cxj+SimSun" w:hAnsi="XKEM5cxj+SimSun" w:eastAsia="XKEM5cxj+SimSun"/>
                <w:color w:val="000000" w:themeColor="text1"/>
                <w:sz w:val="20"/>
                <w:highlight w:val="none"/>
                <w14:textFill>
                  <w14:solidFill>
                    <w14:schemeClr w14:val="tx1"/>
                  </w14:solidFill>
                </w14:textFill>
              </w:rPr>
              <w:t xml:space="preserve">2</w:t>
            </w:r>
            <w:r>
              <w:rPr>
                <w:rFonts w:ascii="yUARI7Jb+SimSun" w:hAnsi="yUARI7Jb+SimSun" w:eastAsia="yUARI7Jb+SimSun"/>
                <w:color w:val="000000" w:themeColor="text1"/>
                <w:sz w:val="20"/>
                <w:highlight w:val="none"/>
                <w14:textFill>
                  <w14:solidFill>
                    <w14:schemeClr w14:val="tx1"/>
                  </w14:solidFill>
                </w14:textFill>
              </w:rPr>
              <w:t xml:space="preserve">、声学品质：全音域音准允许误差≤±</w:t>
            </w:r>
            <w:r>
              <w:rPr>
                <w:rFonts w:ascii="XKEM5cxj+SimSun" w:hAnsi="XKEM5cxj+SimSun" w:eastAsia="XKEM5cxj+SimSun"/>
                <w:color w:val="000000" w:themeColor="text1"/>
                <w:sz w:val="20"/>
                <w:highlight w:val="none"/>
                <w14:textFill>
                  <w14:solidFill>
                    <w14:schemeClr w14:val="tx1"/>
                  </w14:solidFill>
                </w14:textFill>
              </w:rPr>
              <w:t xml:space="preserve">3</w:t>
            </w:r>
            <w:r>
              <w:rPr>
                <w:rFonts w:ascii="yUARI7Jb+SimSun" w:hAnsi="yUARI7Jb+SimSun" w:eastAsia="yUARI7Jb+SimSun"/>
                <w:color w:val="000000" w:themeColor="text1"/>
                <w:sz w:val="20"/>
                <w:highlight w:val="none"/>
                <w14:textFill>
                  <w14:solidFill>
                    <w14:schemeClr w14:val="tx1"/>
                  </w14:solidFill>
                </w14:textFill>
              </w:rPr>
              <w:t xml:space="preserve">音分；相邻两键音准误差之差≤</w:t>
            </w:r>
            <w:r>
              <w:rPr>
                <w:rFonts w:ascii="XKEM5cxj+SimSun" w:hAnsi="XKEM5cxj+SimSun" w:eastAsia="XKEM5cxj+SimSun"/>
                <w:color w:val="000000" w:themeColor="text1"/>
                <w:sz w:val="20"/>
                <w:highlight w:val="none"/>
                <w14:textFill>
                  <w14:solidFill>
                    <w14:schemeClr w14:val="tx1"/>
                  </w14:solidFill>
                </w14:textFill>
              </w:rPr>
              <w:t xml:space="preserve">3</w:t>
            </w:r>
            <w:r>
              <w:rPr>
                <w:rFonts w:ascii="yUARI7Jb+SimSun" w:hAnsi="yUARI7Jb+SimSun" w:eastAsia="yUARI7Jb+SimSun"/>
                <w:color w:val="000000" w:themeColor="text1"/>
                <w:sz w:val="20"/>
                <w:highlight w:val="none"/>
                <w14:textFill>
                  <w14:solidFill>
                    <w14:schemeClr w14:val="tx1"/>
                  </w14:solidFill>
                </w14:textFill>
              </w:rPr>
              <w:t xml:space="preserve">音分。</w:t>
            </w:r>
            <w:r>
              <w:rPr>
                <w:rFonts w:ascii="XKEM5cxj+SimSun" w:hAnsi="XKEM5cxj+SimSun" w:eastAsia="XKEM5cxj+SimSun"/>
                <w:color w:val="000000" w:themeColor="text1"/>
                <w:sz w:val="20"/>
                <w:highlight w:val="none"/>
                <w14:textFill>
                  <w14:solidFill>
                    <w14:schemeClr w14:val="tx1"/>
                  </w14:solidFill>
                </w14:textFill>
              </w:rPr>
              <w:t xml:space="preserve"> </w:t>
            </w:r>
            <w:r/>
          </w:p>
          <w:p>
            <w:pPr>
              <w:ind w:left="106" w:right="0" w:firstLine="0"/>
              <w:jc w:val="left"/>
              <w:spacing w:before="0" w:after="0" w:line="314" w:lineRule="exact"/>
              <w:widowControl/>
              <w:rPr>
                <w:rFonts w:ascii="XKEM5cxj+SimSun" w:hAnsi="XKEM5cxj+SimSun" w:eastAsia="XKEM5cxj+SimSun"/>
                <w:color w:val="000000" w:themeColor="text1"/>
                <w:sz w:val="20"/>
                <w:highlight w:val="none"/>
                <w14:textFill>
                  <w14:solidFill>
                    <w14:schemeClr w14:val="tx1"/>
                  </w14:solidFill>
                </w14:textFill>
              </w:rPr>
            </w:pPr>
            <w:r>
              <w:rPr>
                <w:rFonts w:ascii="XKEM5cxj+SimSun" w:hAnsi="XKEM5cxj+SimSun" w:eastAsia="XKEM5cxj+SimSun"/>
                <w:color w:val="000000" w:themeColor="text1"/>
                <w:sz w:val="20"/>
                <w:highlight w:val="none"/>
                <w14:textFill>
                  <w14:solidFill>
                    <w14:schemeClr w14:val="tx1"/>
                  </w14:solidFill>
                </w14:textFill>
              </w:rPr>
              <w:t xml:space="preserve">3</w:t>
            </w:r>
            <w:r>
              <w:rPr>
                <w:rFonts w:ascii="yUARI7Jb+SimSun" w:hAnsi="yUARI7Jb+SimSun" w:eastAsia="yUARI7Jb+SimSun"/>
                <w:color w:val="000000" w:themeColor="text1"/>
                <w:sz w:val="20"/>
                <w:highlight w:val="none"/>
                <w14:textFill>
                  <w14:solidFill>
                    <w14:schemeClr w14:val="tx1"/>
                  </w14:solidFill>
                </w14:textFill>
              </w:rPr>
              <w:t xml:space="preserve">、有害物质限量：甲醛释放实测值≤</w:t>
            </w:r>
            <w:r>
              <w:rPr>
                <w:rFonts w:ascii="XKEM5cxj+SimSun" w:hAnsi="XKEM5cxj+SimSun" w:eastAsia="XKEM5cxj+SimSun"/>
                <w:color w:val="000000" w:themeColor="text1"/>
                <w:sz w:val="20"/>
                <w:highlight w:val="none"/>
                <w14:textFill>
                  <w14:solidFill>
                    <w14:schemeClr w14:val="tx1"/>
                  </w14:solidFill>
                </w14:textFill>
              </w:rPr>
              <w:t xml:space="preserve">0.060mg/m</w:t>
            </w:r>
            <w:r>
              <w:rPr>
                <w:rFonts w:ascii="yUARI7Jb+SimSun" w:hAnsi="yUARI7Jb+SimSun" w:eastAsia="yUARI7Jb+SimSun"/>
                <w:color w:val="000000" w:themeColor="text1"/>
                <w:sz w:val="20"/>
                <w:highlight w:val="none"/>
                <w14:textFill>
                  <w14:solidFill>
                    <w14:schemeClr w14:val="tx1"/>
                  </w14:solidFill>
                </w14:textFill>
              </w:rPr>
              <w:t xml:space="preserve">³；甲苯释放实测值≤</w:t>
            </w:r>
            <w:r>
              <w:rPr>
                <w:rFonts w:ascii="XKEM5cxj+SimSun" w:hAnsi="XKEM5cxj+SimSun" w:eastAsia="XKEM5cxj+SimSun"/>
                <w:color w:val="000000" w:themeColor="text1"/>
                <w:sz w:val="20"/>
                <w:highlight w:val="none"/>
                <w14:textFill>
                  <w14:solidFill>
                    <w14:schemeClr w14:val="tx1"/>
                  </w14:solidFill>
                </w14:textFill>
              </w:rPr>
              <w:t xml:space="preserve">0.176mg/m</w:t>
            </w:r>
            <w:r>
              <w:rPr>
                <w:rFonts w:ascii="yUARI7Jb+SimSun" w:hAnsi="yUARI7Jb+SimSun" w:eastAsia="yUARI7Jb+SimSun"/>
                <w:color w:val="000000" w:themeColor="text1"/>
                <w:sz w:val="20"/>
                <w:highlight w:val="none"/>
                <w14:textFill>
                  <w14:solidFill>
                    <w14:schemeClr w14:val="tx1"/>
                  </w14:solidFill>
                </w14:textFill>
              </w:rPr>
              <w:t xml:space="preserve">³；二甲苯释放实测值≤</w:t>
            </w:r>
            <w:r>
              <w:rPr>
                <w:rFonts w:ascii="XKEM5cxj+SimSun" w:hAnsi="XKEM5cxj+SimSun" w:eastAsia="XKEM5cxj+SimSun"/>
                <w:color w:val="000000" w:themeColor="text1"/>
                <w:sz w:val="20"/>
                <w:highlight w:val="none"/>
                <w14:textFill>
                  <w14:solidFill>
                    <w14:schemeClr w14:val="tx1"/>
                  </w14:solidFill>
                </w14:textFill>
              </w:rPr>
              <w:t xml:space="preserve">0.020mg/m</w:t>
            </w:r>
            <w:r>
              <w:rPr>
                <w:rFonts w:ascii="yUARI7Jb+SimSun" w:hAnsi="yUARI7Jb+SimSun" w:eastAsia="yUARI7Jb+SimSun"/>
                <w:color w:val="000000" w:themeColor="text1"/>
                <w:sz w:val="20"/>
                <w:highlight w:val="none"/>
                <w14:textFill>
                  <w14:solidFill>
                    <w14:schemeClr w14:val="tx1"/>
                  </w14:solidFill>
                </w14:textFill>
              </w:rPr>
              <w:t xml:space="preserve">³。</w:t>
            </w:r>
            <w:r>
              <w:rPr>
                <w:rFonts w:ascii="XKEM5cxj+SimSun" w:hAnsi="XKEM5cxj+SimSun" w:eastAsia="XKEM5cxj+SimSun"/>
                <w:color w:val="000000" w:themeColor="text1"/>
                <w:sz w:val="20"/>
                <w:highlight w:val="none"/>
                <w14:textFill>
                  <w14:solidFill>
                    <w14:schemeClr w14:val="tx1"/>
                  </w14:solidFill>
                </w14:textFill>
              </w:rPr>
              <w:t xml:space="preserve"> </w:t>
            </w:r>
            <w:r/>
          </w:p>
          <w:p>
            <w:pPr>
              <w:ind w:left="106" w:right="0" w:firstLine="0"/>
              <w:jc w:val="left"/>
              <w:spacing w:before="0" w:after="0" w:line="314" w:lineRule="exact"/>
              <w:widowControl/>
              <w:rPr>
                <w:color w:val="000000" w:themeColor="text1"/>
                <w:highlight w:val="none"/>
                <w14:textFill>
                  <w14:solidFill>
                    <w14:schemeClr w14:val="tx1"/>
                  </w14:solidFill>
                </w14:textFill>
              </w:rPr>
            </w:pPr>
            <w:r>
              <w:rPr>
                <w:rFonts w:ascii="XKEM5cxj+SimSun" w:hAnsi="XKEM5cxj+SimSun" w:eastAsia="XKEM5cxj+SimSun"/>
                <w:color w:val="000000" w:themeColor="text1"/>
                <w:sz w:val="20"/>
                <w:highlight w:val="none"/>
                <w14:textFill>
                  <w14:solidFill>
                    <w14:schemeClr w14:val="tx1"/>
                  </w14:solidFill>
                </w14:textFill>
              </w:rPr>
              <w:t xml:space="preserve">4</w:t>
            </w:r>
            <w:r>
              <w:rPr>
                <w:rFonts w:ascii="yUARI7Jb+SimSun" w:hAnsi="yUARI7Jb+SimSun" w:eastAsia="yUARI7Jb+SimSun"/>
                <w:color w:val="000000" w:themeColor="text1"/>
                <w:sz w:val="20"/>
                <w:highlight w:val="none"/>
                <w14:textFill>
                  <w14:solidFill>
                    <w14:schemeClr w14:val="tx1"/>
                  </w14:solidFill>
                </w14:textFill>
              </w:rPr>
              <w:t xml:space="preserve">、琴键数量≥</w:t>
            </w:r>
            <w:r>
              <w:rPr>
                <w:rFonts w:ascii="XKEM5cxj+SimSun" w:hAnsi="XKEM5cxj+SimSun" w:eastAsia="XKEM5cxj+SimSun"/>
                <w:color w:val="000000" w:themeColor="text1"/>
                <w:sz w:val="20"/>
                <w:highlight w:val="none"/>
                <w14:textFill>
                  <w14:solidFill>
                    <w14:schemeClr w14:val="tx1"/>
                  </w14:solidFill>
                </w14:textFill>
              </w:rPr>
              <w:t xml:space="preserve">88</w:t>
            </w:r>
            <w:r>
              <w:rPr>
                <w:rFonts w:ascii="yUARI7Jb+SimSun" w:hAnsi="yUARI7Jb+SimSun" w:eastAsia="yUARI7Jb+SimSun"/>
                <w:color w:val="000000" w:themeColor="text1"/>
                <w:sz w:val="20"/>
                <w:highlight w:val="none"/>
                <w14:textFill>
                  <w14:solidFill>
                    <w14:schemeClr w14:val="tx1"/>
                  </w14:solidFill>
                </w14:textFill>
              </w:rPr>
              <w:t xml:space="preserve">个。</w:t>
            </w:r>
            <w:r>
              <w:rPr>
                <w:rFonts w:ascii="XKEM5cxj+SimSun" w:hAnsi="XKEM5cxj+SimSun" w:eastAsia="XKEM5cxj+SimSun"/>
                <w:color w:val="000000" w:themeColor="text1"/>
                <w:sz w:val="20"/>
                <w:highlight w:val="none"/>
                <w14:textFill>
                  <w14:solidFill>
                    <w14:schemeClr w14:val="tx1"/>
                  </w14:solidFill>
                </w14:textFill>
              </w:rPr>
              <w:t xml:space="preserve"> </w:t>
            </w:r>
            <w:r/>
          </w:p>
          <w:p>
            <w:pPr>
              <w:ind w:left="106" w:right="0" w:firstLine="0"/>
              <w:jc w:val="left"/>
              <w:spacing w:before="110" w:after="0" w:line="200" w:lineRule="exact"/>
              <w:widowControl/>
              <w:rPr>
                <w:color w:val="000000" w:themeColor="text1"/>
                <w:highlight w:val="none"/>
                <w14:textFill>
                  <w14:solidFill>
                    <w14:schemeClr w14:val="tx1"/>
                  </w14:solidFill>
                </w14:textFill>
              </w:rPr>
            </w:pPr>
            <w:r>
              <w:rPr>
                <w:rFonts w:ascii="XKEM5cxj+SimSun" w:hAnsi="XKEM5cxj+SimSun" w:eastAsia="XKEM5cxj+SimSun"/>
                <w:color w:val="000000" w:themeColor="text1"/>
                <w:sz w:val="20"/>
                <w:highlight w:val="none"/>
                <w14:textFill>
                  <w14:solidFill>
                    <w14:schemeClr w14:val="tx1"/>
                  </w14:solidFill>
                </w14:textFill>
              </w:rPr>
              <w:t xml:space="preserve">5</w:t>
            </w:r>
            <w:r>
              <w:rPr>
                <w:rFonts w:ascii="yUARI7Jb+SimSun" w:hAnsi="yUARI7Jb+SimSun" w:eastAsia="yUARI7Jb+SimSun"/>
                <w:color w:val="000000" w:themeColor="text1"/>
                <w:sz w:val="20"/>
                <w:highlight w:val="none"/>
                <w14:textFill>
                  <w14:solidFill>
                    <w14:schemeClr w14:val="tx1"/>
                  </w14:solidFill>
                </w14:textFill>
              </w:rPr>
              <w:t xml:space="preserve">、琴键规格：标准钢琴键。</w:t>
            </w:r>
            <w:r>
              <w:rPr>
                <w:rFonts w:ascii="XKEM5cxj+SimSun" w:hAnsi="XKEM5cxj+SimSun" w:eastAsia="XKEM5cxj+SimSun"/>
                <w:color w:val="000000" w:themeColor="text1"/>
                <w:sz w:val="20"/>
                <w:highlight w:val="none"/>
                <w14:textFill>
                  <w14:solidFill>
                    <w14:schemeClr w14:val="tx1"/>
                  </w14:solidFill>
                </w14:textFill>
              </w:rPr>
              <w:t xml:space="preserve"> </w:t>
            </w:r>
            <w:r/>
          </w:p>
          <w:p>
            <w:pPr>
              <w:ind w:left="106" w:right="0" w:firstLine="0"/>
              <w:jc w:val="left"/>
              <w:spacing w:before="110" w:after="0" w:line="200" w:lineRule="exact"/>
              <w:widowControl/>
              <w:rPr>
                <w:color w:val="000000" w:themeColor="text1"/>
                <w:highlight w:val="none"/>
                <w14:textFill>
                  <w14:solidFill>
                    <w14:schemeClr w14:val="tx1"/>
                  </w14:solidFill>
                </w14:textFill>
              </w:rPr>
            </w:pPr>
            <w:r>
              <w:rPr>
                <w:rFonts w:ascii="XKEM5cxj+SimSun" w:hAnsi="XKEM5cxj+SimSun" w:eastAsia="XKEM5cxj+SimSun"/>
                <w:color w:val="000000" w:themeColor="text1"/>
                <w:sz w:val="20"/>
                <w:highlight w:val="none"/>
                <w14:textFill>
                  <w14:solidFill>
                    <w14:schemeClr w14:val="tx1"/>
                  </w14:solidFill>
                </w14:textFill>
              </w:rPr>
              <w:t xml:space="preserve">6</w:t>
            </w:r>
            <w:r>
              <w:rPr>
                <w:rFonts w:ascii="yUARI7Jb+SimSun" w:hAnsi="yUARI7Jb+SimSun" w:eastAsia="yUARI7Jb+SimSun"/>
                <w:color w:val="000000" w:themeColor="text1"/>
                <w:sz w:val="20"/>
                <w:highlight w:val="none"/>
                <w14:textFill>
                  <w14:solidFill>
                    <w14:schemeClr w14:val="tx1"/>
                  </w14:solidFill>
                </w14:textFill>
              </w:rPr>
              <w:t xml:space="preserve">、键盘逐级配重：有。</w:t>
            </w:r>
            <w:r>
              <w:rPr>
                <w:rFonts w:ascii="XKEM5cxj+SimSun" w:hAnsi="XKEM5cxj+SimSun" w:eastAsia="XKEM5cxj+SimSun"/>
                <w:color w:val="000000" w:themeColor="text1"/>
                <w:sz w:val="20"/>
                <w:highlight w:val="none"/>
                <w14:textFill>
                  <w14:solidFill>
                    <w14:schemeClr w14:val="tx1"/>
                  </w14:solidFill>
                </w14:textFill>
              </w:rPr>
              <w:t xml:space="preserve"> </w:t>
            </w:r>
            <w:r/>
          </w:p>
          <w:p>
            <w:pPr>
              <w:ind w:left="106" w:right="0" w:firstLine="0"/>
              <w:jc w:val="left"/>
              <w:spacing w:before="114" w:after="0" w:line="200" w:lineRule="exact"/>
              <w:widowControl/>
              <w:rPr>
                <w:color w:val="000000" w:themeColor="text1"/>
                <w:highlight w:val="none"/>
                <w14:textFill>
                  <w14:solidFill>
                    <w14:schemeClr w14:val="tx1"/>
                  </w14:solidFill>
                </w14:textFill>
              </w:rPr>
            </w:pPr>
            <w:r>
              <w:rPr>
                <w:rFonts w:ascii="XKEM5cxj+SimSun" w:hAnsi="XKEM5cxj+SimSun" w:eastAsia="XKEM5cxj+SimSun"/>
                <w:color w:val="000000" w:themeColor="text1"/>
                <w:sz w:val="20"/>
                <w:highlight w:val="none"/>
                <w14:textFill>
                  <w14:solidFill>
                    <w14:schemeClr w14:val="tx1"/>
                  </w14:solidFill>
                </w14:textFill>
              </w:rPr>
              <w:t xml:space="preserve">7</w:t>
            </w:r>
            <w:r>
              <w:rPr>
                <w:rFonts w:ascii="yUARI7Jb+SimSun" w:hAnsi="yUARI7Jb+SimSun" w:eastAsia="yUARI7Jb+SimSun"/>
                <w:color w:val="000000" w:themeColor="text1"/>
                <w:sz w:val="20"/>
                <w:highlight w:val="none"/>
                <w14:textFill>
                  <w14:solidFill>
                    <w14:schemeClr w14:val="tx1"/>
                  </w14:solidFill>
                </w14:textFill>
              </w:rPr>
              <w:t xml:space="preserve">、双钢琴功能：有。</w:t>
            </w:r>
            <w:r>
              <w:rPr>
                <w:rFonts w:ascii="XKEM5cxj+SimSun" w:hAnsi="XKEM5cxj+SimSun" w:eastAsia="XKEM5cxj+SimSun"/>
                <w:color w:val="000000" w:themeColor="text1"/>
                <w:sz w:val="20"/>
                <w:highlight w:val="none"/>
                <w14:textFill>
                  <w14:solidFill>
                    <w14:schemeClr w14:val="tx1"/>
                  </w14:solidFill>
                </w14:textFill>
              </w:rPr>
              <w:t xml:space="preserve"> </w:t>
            </w:r>
            <w:r/>
          </w:p>
          <w:p>
            <w:pPr>
              <w:ind w:left="106" w:right="0" w:firstLine="0"/>
              <w:jc w:val="left"/>
              <w:spacing w:before="0" w:after="0" w:line="314" w:lineRule="exact"/>
              <w:widowControl/>
              <w:rPr>
                <w:color w:val="000000" w:themeColor="text1"/>
                <w:highlight w:val="none"/>
                <w14:textFill>
                  <w14:solidFill>
                    <w14:schemeClr w14:val="tx1"/>
                  </w14:solidFill>
                </w14:textFill>
              </w:rPr>
            </w:pPr>
            <w:r>
              <w:rPr>
                <w:rFonts w:ascii="XKEM5cxj+SimSun" w:hAnsi="XKEM5cxj+SimSun" w:eastAsia="XKEM5cxj+SimSun"/>
                <w:color w:val="000000" w:themeColor="text1"/>
                <w:sz w:val="20"/>
                <w:highlight w:val="none"/>
                <w14:textFill>
                  <w14:solidFill>
                    <w14:schemeClr w14:val="tx1"/>
                  </w14:solidFill>
                </w14:textFill>
              </w:rPr>
              <w:t xml:space="preserve">8</w:t>
            </w:r>
            <w:r>
              <w:rPr>
                <w:rFonts w:ascii="yUARI7Jb+SimSun" w:hAnsi="yUARI7Jb+SimSun" w:eastAsia="yUARI7Jb+SimSun"/>
                <w:color w:val="000000" w:themeColor="text1"/>
                <w:sz w:val="20"/>
                <w:highlight w:val="none"/>
                <w14:textFill>
                  <w14:solidFill>
                    <w14:schemeClr w14:val="tx1"/>
                  </w14:solidFill>
                </w14:textFill>
              </w:rPr>
              <w:t xml:space="preserve">、钢琴音色明亮度调节范围：支持音色明亮度多档位调节。</w:t>
            </w:r>
            <w:r>
              <w:rPr>
                <w:rFonts w:ascii="XKEM5cxj+SimSun" w:hAnsi="XKEM5cxj+SimSun" w:eastAsia="XKEM5cxj+SimSun"/>
                <w:color w:val="000000" w:themeColor="text1"/>
                <w:sz w:val="20"/>
                <w:highlight w:val="none"/>
                <w14:textFill>
                  <w14:solidFill>
                    <w14:schemeClr w14:val="tx1"/>
                  </w14:solidFill>
                </w14:textFill>
              </w:rPr>
              <w:t xml:space="preserve"> 9</w:t>
            </w:r>
            <w:r>
              <w:rPr>
                <w:rFonts w:ascii="yUARI7Jb+SimSun" w:hAnsi="yUARI7Jb+SimSun" w:eastAsia="yUARI7Jb+SimSun"/>
                <w:color w:val="000000" w:themeColor="text1"/>
                <w:sz w:val="20"/>
                <w:highlight w:val="none"/>
                <w14:textFill>
                  <w14:solidFill>
                    <w14:schemeClr w14:val="tx1"/>
                  </w14:solidFill>
                </w14:textFill>
              </w:rPr>
              <w:t xml:space="preserve">、复音数≥</w:t>
            </w:r>
            <w:r>
              <w:rPr>
                <w:rFonts w:ascii="XKEM5cxj+SimSun" w:hAnsi="XKEM5cxj+SimSun" w:eastAsia="XKEM5cxj+SimSun"/>
                <w:color w:val="000000" w:themeColor="text1"/>
                <w:sz w:val="20"/>
                <w:highlight w:val="none"/>
                <w14:textFill>
                  <w14:solidFill>
                    <w14:schemeClr w14:val="tx1"/>
                  </w14:solidFill>
                </w14:textFill>
              </w:rPr>
              <w:t xml:space="preserve">128</w:t>
            </w:r>
            <w:r>
              <w:rPr>
                <w:rFonts w:ascii="yUARI7Jb+SimSun" w:hAnsi="yUARI7Jb+SimSun" w:eastAsia="yUARI7Jb+SimSun"/>
                <w:color w:val="000000" w:themeColor="text1"/>
                <w:sz w:val="20"/>
                <w:highlight w:val="none"/>
                <w14:textFill>
                  <w14:solidFill>
                    <w14:schemeClr w14:val="tx1"/>
                  </w14:solidFill>
                </w14:textFill>
              </w:rPr>
              <w:t xml:space="preserve">。</w:t>
            </w:r>
            <w:r>
              <w:rPr>
                <w:rFonts w:ascii="XKEM5cxj+SimSun" w:hAnsi="XKEM5cxj+SimSun" w:eastAsia="XKEM5cxj+SimSun"/>
                <w:color w:val="000000" w:themeColor="text1"/>
                <w:sz w:val="20"/>
                <w:highlight w:val="none"/>
                <w14:textFill>
                  <w14:solidFill>
                    <w14:schemeClr w14:val="tx1"/>
                  </w14:solidFill>
                </w14:textFill>
              </w:rPr>
              <w:t xml:space="preserve"> </w:t>
            </w:r>
            <w:r/>
          </w:p>
          <w:p>
            <w:pPr>
              <w:ind w:left="106" w:right="0" w:firstLine="0"/>
              <w:jc w:val="left"/>
              <w:spacing w:before="110" w:after="0" w:line="200" w:lineRule="exact"/>
              <w:widowControl/>
              <w:rPr>
                <w:color w:val="000000" w:themeColor="text1"/>
                <w:highlight w:val="none"/>
                <w14:textFill>
                  <w14:solidFill>
                    <w14:schemeClr w14:val="tx1"/>
                  </w14:solidFill>
                </w14:textFill>
              </w:rPr>
            </w:pPr>
            <w:r>
              <w:rPr>
                <w:rFonts w:ascii="XKEM5cxj+SimSun" w:hAnsi="XKEM5cxj+SimSun" w:eastAsia="XKEM5cxj+SimSun"/>
                <w:color w:val="000000" w:themeColor="text1"/>
                <w:sz w:val="20"/>
                <w:highlight w:val="none"/>
                <w14:textFill>
                  <w14:solidFill>
                    <w14:schemeClr w14:val="tx1"/>
                  </w14:solidFill>
                </w14:textFill>
              </w:rPr>
              <w:t xml:space="preserve">10</w:t>
            </w:r>
            <w:r>
              <w:rPr>
                <w:rFonts w:ascii="yUARI7Jb+SimSun" w:hAnsi="yUARI7Jb+SimSun" w:eastAsia="yUARI7Jb+SimSun"/>
                <w:color w:val="000000" w:themeColor="text1"/>
                <w:sz w:val="20"/>
                <w:highlight w:val="none"/>
                <w14:textFill>
                  <w14:solidFill>
                    <w14:schemeClr w14:val="tx1"/>
                  </w14:solidFill>
                </w14:textFill>
              </w:rPr>
              <w:t xml:space="preserve">、节奏≥</w:t>
            </w:r>
            <w:r>
              <w:rPr>
                <w:rFonts w:ascii="XKEM5cxj+SimSun" w:hAnsi="XKEM5cxj+SimSun" w:eastAsia="XKEM5cxj+SimSun"/>
                <w:color w:val="000000" w:themeColor="text1"/>
                <w:sz w:val="20"/>
                <w:highlight w:val="none"/>
                <w14:textFill>
                  <w14:solidFill>
                    <w14:schemeClr w14:val="tx1"/>
                  </w14:solidFill>
                </w14:textFill>
              </w:rPr>
              <w:t xml:space="preserve">325</w:t>
            </w:r>
            <w:r>
              <w:rPr>
                <w:rFonts w:ascii="yUARI7Jb+SimSun" w:hAnsi="yUARI7Jb+SimSun" w:eastAsia="yUARI7Jb+SimSun"/>
                <w:color w:val="000000" w:themeColor="text1"/>
                <w:sz w:val="20"/>
                <w:highlight w:val="none"/>
                <w14:textFill>
                  <w14:solidFill>
                    <w14:schemeClr w14:val="tx1"/>
                  </w14:solidFill>
                </w14:textFill>
              </w:rPr>
              <w:t xml:space="preserve">种。</w:t>
            </w:r>
            <w:r>
              <w:rPr>
                <w:rFonts w:ascii="XKEM5cxj+SimSun" w:hAnsi="XKEM5cxj+SimSun" w:eastAsia="XKEM5cxj+SimSun"/>
                <w:color w:val="000000" w:themeColor="text1"/>
                <w:sz w:val="20"/>
                <w:highlight w:val="none"/>
                <w14:textFill>
                  <w14:solidFill>
                    <w14:schemeClr w14:val="tx1"/>
                  </w14:solidFill>
                </w14:textFill>
              </w:rPr>
              <w:t xml:space="preserve"> </w:t>
            </w:r>
            <w:r/>
          </w:p>
          <w:p>
            <w:pPr>
              <w:ind w:left="106" w:right="0" w:firstLine="0"/>
              <w:jc w:val="left"/>
              <w:spacing w:before="0" w:after="0" w:line="314" w:lineRule="exact"/>
              <w:widowControl/>
              <w:rPr>
                <w:color w:val="000000" w:themeColor="text1"/>
                <w:highlight w:val="none"/>
                <w14:textFill>
                  <w14:solidFill>
                    <w14:schemeClr w14:val="tx1"/>
                  </w14:solidFill>
                </w14:textFill>
              </w:rPr>
            </w:pPr>
            <w:r>
              <w:rPr>
                <w:rFonts w:ascii="XKEM5cxj+SimSun" w:hAnsi="XKEM5cxj+SimSun" w:eastAsia="XKEM5cxj+SimSun"/>
                <w:color w:val="000000" w:themeColor="text1"/>
                <w:sz w:val="20"/>
                <w:highlight w:val="none"/>
                <w14:textFill>
                  <w14:solidFill>
                    <w14:schemeClr w14:val="tx1"/>
                  </w14:solidFill>
                </w14:textFill>
              </w:rPr>
              <w:t xml:space="preserve">11</w:t>
            </w:r>
            <w:r>
              <w:rPr>
                <w:rFonts w:ascii="yUARI7Jb+SimSun" w:hAnsi="yUARI7Jb+SimSun" w:eastAsia="yUARI7Jb+SimSun"/>
                <w:color w:val="000000" w:themeColor="text1"/>
                <w:sz w:val="20"/>
                <w:highlight w:val="none"/>
                <w14:textFill>
                  <w14:solidFill>
                    <w14:schemeClr w14:val="tx1"/>
                  </w14:solidFill>
                </w14:textFill>
              </w:rPr>
              <w:t xml:space="preserve">、节拍器速度调节范围≥</w:t>
            </w:r>
            <w:r>
              <w:rPr>
                <w:rFonts w:ascii="XKEM5cxj+SimSun" w:hAnsi="XKEM5cxj+SimSun" w:eastAsia="XKEM5cxj+SimSun"/>
                <w:color w:val="000000" w:themeColor="text1"/>
                <w:sz w:val="20"/>
                <w:highlight w:val="none"/>
                <w14:textFill>
                  <w14:solidFill>
                    <w14:schemeClr w14:val="tx1"/>
                  </w14:solidFill>
                </w14:textFill>
              </w:rPr>
              <w:t xml:space="preserve">30-250</w:t>
            </w:r>
            <w:r>
              <w:rPr>
                <w:rFonts w:ascii="yUARI7Jb+SimSun" w:hAnsi="yUARI7Jb+SimSun" w:eastAsia="yUARI7Jb+SimSun"/>
                <w:color w:val="000000" w:themeColor="text1"/>
                <w:sz w:val="20"/>
                <w:highlight w:val="none"/>
                <w14:textFill>
                  <w14:solidFill>
                    <w14:schemeClr w14:val="tx1"/>
                  </w14:solidFill>
                </w14:textFill>
              </w:rPr>
              <w:t xml:space="preserve">拍</w:t>
            </w:r>
            <w:r>
              <w:rPr>
                <w:rFonts w:ascii="XKEM5cxj+SimSun" w:hAnsi="XKEM5cxj+SimSun" w:eastAsia="XKEM5cxj+SimSun"/>
                <w:color w:val="000000" w:themeColor="text1"/>
                <w:sz w:val="20"/>
                <w:highlight w:val="none"/>
                <w14:textFill>
                  <w14:solidFill>
                    <w14:schemeClr w14:val="tx1"/>
                  </w14:solidFill>
                </w14:textFill>
              </w:rPr>
              <w:t xml:space="preserve">/</w:t>
            </w:r>
            <w:r>
              <w:rPr>
                <w:rFonts w:ascii="yUARI7Jb+SimSun" w:hAnsi="yUARI7Jb+SimSun" w:eastAsia="yUARI7Jb+SimSun"/>
                <w:color w:val="000000" w:themeColor="text1"/>
                <w:sz w:val="20"/>
                <w:highlight w:val="none"/>
                <w14:textFill>
                  <w14:solidFill>
                    <w14:schemeClr w14:val="tx1"/>
                  </w14:solidFill>
                </w14:textFill>
              </w:rPr>
              <w:t xml:space="preserve">分钟，节拍器音量可调。</w:t>
            </w:r>
            <w:r>
              <w:rPr>
                <w:rFonts w:ascii="XKEM5cxj+SimSun" w:hAnsi="XKEM5cxj+SimSun" w:eastAsia="XKEM5cxj+SimSun"/>
                <w:color w:val="000000" w:themeColor="text1"/>
                <w:sz w:val="20"/>
                <w:highlight w:val="none"/>
                <w14:textFill>
                  <w14:solidFill>
                    <w14:schemeClr w14:val="tx1"/>
                  </w14:solidFill>
                </w14:textFill>
              </w:rPr>
              <w:t xml:space="preserve"> 12</w:t>
            </w:r>
            <w:r>
              <w:rPr>
                <w:rFonts w:ascii="yUARI7Jb+SimSun" w:hAnsi="yUARI7Jb+SimSun" w:eastAsia="yUARI7Jb+SimSun"/>
                <w:color w:val="000000" w:themeColor="text1"/>
                <w:sz w:val="20"/>
                <w:highlight w:val="none"/>
                <w14:textFill>
                  <w14:solidFill>
                    <w14:schemeClr w14:val="tx1"/>
                  </w14:solidFill>
                </w14:textFill>
              </w:rPr>
              <w:t xml:space="preserve">、移调范围≥</w:t>
            </w:r>
            <w:r>
              <w:rPr>
                <w:rFonts w:ascii="XKEM5cxj+SimSun" w:hAnsi="XKEM5cxj+SimSun" w:eastAsia="XKEM5cxj+SimSun"/>
                <w:color w:val="000000" w:themeColor="text1"/>
                <w:sz w:val="20"/>
                <w:highlight w:val="none"/>
                <w14:textFill>
                  <w14:solidFill>
                    <w14:schemeClr w14:val="tx1"/>
                  </w14:solidFill>
                </w14:textFill>
              </w:rPr>
              <w:t xml:space="preserve">25</w:t>
            </w:r>
            <w:r>
              <w:rPr>
                <w:rFonts w:ascii="yUARI7Jb+SimSun" w:hAnsi="yUARI7Jb+SimSun" w:eastAsia="yUARI7Jb+SimSun"/>
                <w:color w:val="000000" w:themeColor="text1"/>
                <w:sz w:val="20"/>
                <w:highlight w:val="none"/>
                <w14:textFill>
                  <w14:solidFill>
                    <w14:schemeClr w14:val="tx1"/>
                  </w14:solidFill>
                </w14:textFill>
              </w:rPr>
              <w:t xml:space="preserve">档位，（</w:t>
            </w:r>
            <w:r>
              <w:rPr>
                <w:rFonts w:ascii="XKEM5cxj+SimSun" w:hAnsi="XKEM5cxj+SimSun" w:eastAsia="XKEM5cxj+SimSun"/>
                <w:color w:val="000000" w:themeColor="text1"/>
                <w:sz w:val="20"/>
                <w:highlight w:val="none"/>
                <w14:textFill>
                  <w14:solidFill>
                    <w14:schemeClr w14:val="tx1"/>
                  </w14:solidFill>
                </w14:textFill>
              </w:rPr>
              <w:t xml:space="preserve">0</w:t>
            </w:r>
            <w:r>
              <w:rPr>
                <w:rFonts w:ascii="yUARI7Jb+SimSun" w:hAnsi="yUARI7Jb+SimSun" w:eastAsia="yUARI7Jb+SimSun"/>
                <w:color w:val="000000" w:themeColor="text1"/>
                <w:sz w:val="20"/>
                <w:highlight w:val="none"/>
                <w14:textFill>
                  <w14:solidFill>
                    <w14:schemeClr w14:val="tx1"/>
                  </w14:solidFill>
                </w14:textFill>
              </w:rPr>
              <w:t xml:space="preserve">，±</w:t>
            </w:r>
            <w:r>
              <w:rPr>
                <w:rFonts w:ascii="XKEM5cxj+SimSun" w:hAnsi="XKEM5cxj+SimSun" w:eastAsia="XKEM5cxj+SimSun"/>
                <w:color w:val="000000" w:themeColor="text1"/>
                <w:sz w:val="20"/>
                <w:highlight w:val="none"/>
                <w14:textFill>
                  <w14:solidFill>
                    <w14:schemeClr w14:val="tx1"/>
                  </w14:solidFill>
                </w14:textFill>
              </w:rPr>
              <w:t xml:space="preserve">12</w:t>
            </w:r>
            <w:r>
              <w:rPr>
                <w:rFonts w:ascii="yUARI7Jb+SimSun" w:hAnsi="yUARI7Jb+SimSun" w:eastAsia="yUARI7Jb+SimSun"/>
                <w:color w:val="000000" w:themeColor="text1"/>
                <w:sz w:val="20"/>
                <w:highlight w:val="none"/>
                <w14:textFill>
                  <w14:solidFill>
                    <w14:schemeClr w14:val="tx1"/>
                  </w14:solidFill>
                </w14:textFill>
              </w:rPr>
              <w:t xml:space="preserve">）。</w:t>
            </w:r>
            <w:r>
              <w:rPr>
                <w:rFonts w:ascii="XKEM5cxj+SimSun" w:hAnsi="XKEM5cxj+SimSun" w:eastAsia="XKEM5cxj+SimSun"/>
                <w:color w:val="000000" w:themeColor="text1"/>
                <w:sz w:val="20"/>
                <w:highlight w:val="none"/>
                <w14:textFill>
                  <w14:solidFill>
                    <w14:schemeClr w14:val="tx1"/>
                  </w14:solidFill>
                </w14:textFill>
              </w:rPr>
              <w:t xml:space="preserve"> </w:t>
            </w:r>
            <w:r/>
          </w:p>
          <w:p>
            <w:pPr>
              <w:ind w:left="106" w:right="0" w:firstLine="0"/>
              <w:jc w:val="left"/>
              <w:spacing w:before="110" w:after="0" w:line="200" w:lineRule="exact"/>
              <w:widowControl/>
              <w:rPr>
                <w:color w:val="000000" w:themeColor="text1"/>
                <w:highlight w:val="none"/>
                <w14:textFill>
                  <w14:solidFill>
                    <w14:schemeClr w14:val="tx1"/>
                  </w14:solidFill>
                </w14:textFill>
              </w:rPr>
            </w:pPr>
            <w:r>
              <w:rPr>
                <w:rFonts w:ascii="XKEM5cxj+SimSun" w:hAnsi="XKEM5cxj+SimSun" w:eastAsia="XKEM5cxj+SimSun"/>
                <w:color w:val="000000" w:themeColor="text1"/>
                <w:sz w:val="20"/>
                <w:highlight w:val="none"/>
                <w14:textFill>
                  <w14:solidFill>
                    <w14:schemeClr w14:val="tx1"/>
                  </w14:solidFill>
                </w14:textFill>
              </w:rPr>
              <w:t xml:space="preserve">13</w:t>
            </w:r>
            <w:r>
              <w:rPr>
                <w:rFonts w:ascii="yUARI7Jb+SimSun" w:hAnsi="yUARI7Jb+SimSun" w:eastAsia="yUARI7Jb+SimSun"/>
                <w:color w:val="000000" w:themeColor="text1"/>
                <w:sz w:val="20"/>
                <w:highlight w:val="none"/>
                <w14:textFill>
                  <w14:solidFill>
                    <w14:schemeClr w14:val="tx1"/>
                  </w14:solidFill>
                </w14:textFill>
              </w:rPr>
              <w:t xml:space="preserve">、踏板类型：仿传统大三角钢琴踏板功能。</w:t>
            </w:r>
            <w:r>
              <w:rPr>
                <w:rFonts w:ascii="XKEM5cxj+SimSun" w:hAnsi="XKEM5cxj+SimSun" w:eastAsia="XKEM5cxj+SimSun"/>
                <w:color w:val="000000" w:themeColor="text1"/>
                <w:sz w:val="20"/>
                <w:highlight w:val="none"/>
                <w14:textFill>
                  <w14:solidFill>
                    <w14:schemeClr w14:val="tx1"/>
                  </w14:solidFill>
                </w14:textFill>
              </w:rPr>
              <w:t xml:space="preserve"> </w:t>
            </w:r>
            <w:r/>
          </w:p>
          <w:p>
            <w:pPr>
              <w:ind w:left="106" w:right="0" w:firstLine="0"/>
              <w:jc w:val="left"/>
              <w:spacing w:before="114" w:after="0" w:line="200" w:lineRule="exact"/>
              <w:widowControl/>
              <w:rPr>
                <w:color w:val="000000" w:themeColor="text1"/>
                <w:highlight w:val="none"/>
                <w14:textFill>
                  <w14:solidFill>
                    <w14:schemeClr w14:val="tx1"/>
                  </w14:solidFill>
                </w14:textFill>
              </w:rPr>
            </w:pPr>
            <w:r>
              <w:rPr>
                <w:rFonts w:ascii="XKEM5cxj+SimSun" w:hAnsi="XKEM5cxj+SimSun" w:eastAsia="XKEM5cxj+SimSun"/>
                <w:color w:val="000000" w:themeColor="text1"/>
                <w:sz w:val="20"/>
                <w:highlight w:val="none"/>
                <w14:textFill>
                  <w14:solidFill>
                    <w14:schemeClr w14:val="tx1"/>
                  </w14:solidFill>
                </w14:textFill>
              </w:rPr>
              <w:t xml:space="preserve">14</w:t>
            </w:r>
            <w:r>
              <w:rPr>
                <w:rFonts w:ascii="yUARI7Jb+SimSun" w:hAnsi="yUARI7Jb+SimSun" w:eastAsia="yUARI7Jb+SimSun"/>
                <w:color w:val="000000" w:themeColor="text1"/>
                <w:sz w:val="20"/>
                <w:highlight w:val="none"/>
                <w14:textFill>
                  <w14:solidFill>
                    <w14:schemeClr w14:val="tx1"/>
                  </w14:solidFill>
                </w14:textFill>
              </w:rPr>
              <w:t xml:space="preserve">、蓝牙功能：有。</w:t>
            </w:r>
            <w:r>
              <w:rPr>
                <w:rFonts w:ascii="XKEM5cxj+SimSun" w:hAnsi="XKEM5cxj+SimSun" w:eastAsia="XKEM5cxj+SimSun"/>
                <w:color w:val="000000" w:themeColor="text1"/>
                <w:sz w:val="20"/>
                <w:highlight w:val="none"/>
                <w14:textFill>
                  <w14:solidFill>
                    <w14:schemeClr w14:val="tx1"/>
                  </w14:solidFill>
                </w14:textFill>
              </w:rPr>
              <w:t xml:space="preserve"> </w:t>
            </w:r>
            <w:r/>
          </w:p>
          <w:p>
            <w:pPr>
              <w:ind w:left="106" w:right="0" w:firstLine="0"/>
              <w:jc w:val="left"/>
              <w:spacing w:before="110" w:after="0" w:line="200" w:lineRule="exact"/>
              <w:widowControl/>
              <w:rPr>
                <w:color w:val="000000" w:themeColor="text1"/>
                <w:highlight w:val="none"/>
                <w14:textFill>
                  <w14:solidFill>
                    <w14:schemeClr w14:val="tx1"/>
                  </w14:solidFill>
                </w14:textFill>
              </w:rPr>
            </w:pPr>
            <w:r>
              <w:rPr>
                <w:rFonts w:ascii="XKEM5cxj+SimSun" w:hAnsi="XKEM5cxj+SimSun" w:eastAsia="XKEM5cxj+SimSun"/>
                <w:color w:val="000000" w:themeColor="text1"/>
                <w:sz w:val="20"/>
                <w:highlight w:val="none"/>
                <w14:textFill>
                  <w14:solidFill>
                    <w14:schemeClr w14:val="tx1"/>
                  </w14:solidFill>
                </w14:textFill>
              </w:rPr>
              <w:t xml:space="preserve">15</w:t>
            </w:r>
            <w:r>
              <w:rPr>
                <w:rFonts w:ascii="yUARI7Jb+SimSun" w:hAnsi="yUARI7Jb+SimSun" w:eastAsia="yUARI7Jb+SimSun"/>
                <w:color w:val="000000" w:themeColor="text1"/>
                <w:sz w:val="20"/>
                <w:highlight w:val="none"/>
                <w14:textFill>
                  <w14:solidFill>
                    <w14:schemeClr w14:val="tx1"/>
                  </w14:solidFill>
                </w14:textFill>
              </w:rPr>
              <w:t xml:space="preserve">、功放≥</w:t>
            </w:r>
            <w:r>
              <w:rPr>
                <w:rFonts w:ascii="XKEM5cxj+SimSun" w:hAnsi="XKEM5cxj+SimSun" w:eastAsia="XKEM5cxj+SimSun"/>
                <w:color w:val="000000" w:themeColor="text1"/>
                <w:sz w:val="20"/>
                <w:highlight w:val="none"/>
                <w14:textFill>
                  <w14:solidFill>
                    <w14:schemeClr w14:val="tx1"/>
                  </w14:solidFill>
                </w14:textFill>
              </w:rPr>
              <w:t xml:space="preserve">50W</w:t>
            </w:r>
            <w:r>
              <w:rPr>
                <w:rFonts w:ascii="yUARI7Jb+SimSun" w:hAnsi="yUARI7Jb+SimSun" w:eastAsia="yUARI7Jb+SimSun"/>
                <w:color w:val="000000" w:themeColor="text1"/>
                <w:sz w:val="20"/>
                <w:highlight w:val="none"/>
                <w14:textFill>
                  <w14:solidFill>
                    <w14:schemeClr w14:val="tx1"/>
                  </w14:solidFill>
                </w14:textFill>
              </w:rPr>
              <w:t xml:space="preserve">。</w:t>
            </w:r>
            <w:r>
              <w:rPr>
                <w:rFonts w:ascii="XKEM5cxj+SimSun" w:hAnsi="XKEM5cxj+SimSun" w:eastAsia="XKEM5cxj+SimSun"/>
                <w:color w:val="000000" w:themeColor="text1"/>
                <w:sz w:val="20"/>
                <w:highlight w:val="none"/>
                <w14:textFill>
                  <w14:solidFill>
                    <w14:schemeClr w14:val="tx1"/>
                  </w14:solidFill>
                </w14:textFill>
              </w:rPr>
              <w:t xml:space="preserve"> </w:t>
            </w:r>
            <w:r/>
          </w:p>
          <w:p>
            <w:pPr>
              <w:ind w:left="106" w:right="0" w:firstLine="0"/>
              <w:jc w:val="left"/>
              <w:spacing w:before="110" w:after="0" w:line="200" w:lineRule="exact"/>
              <w:widowControl/>
              <w:rPr>
                <w:color w:val="000000" w:themeColor="text1"/>
                <w:highlight w:val="none"/>
                <w14:textFill>
                  <w14:solidFill>
                    <w14:schemeClr w14:val="tx1"/>
                  </w14:solidFill>
                </w14:textFill>
              </w:rPr>
            </w:pPr>
            <w:r>
              <w:rPr>
                <w:rFonts w:ascii="XKEM5cxj+SimSun" w:hAnsi="XKEM5cxj+SimSun" w:eastAsia="XKEM5cxj+SimSun"/>
                <w:color w:val="000000" w:themeColor="text1"/>
                <w:sz w:val="20"/>
                <w:highlight w:val="none"/>
                <w14:textFill>
                  <w14:solidFill>
                    <w14:schemeClr w14:val="tx1"/>
                  </w14:solidFill>
                </w14:textFill>
              </w:rPr>
              <w:t xml:space="preserve">16</w:t>
            </w:r>
            <w:r>
              <w:rPr>
                <w:rFonts w:ascii="yUARI7Jb+SimSun" w:hAnsi="yUARI7Jb+SimSun" w:eastAsia="yUARI7Jb+SimSun"/>
                <w:color w:val="000000" w:themeColor="text1"/>
                <w:sz w:val="20"/>
                <w:highlight w:val="none"/>
                <w14:textFill>
                  <w14:solidFill>
                    <w14:schemeClr w14:val="tx1"/>
                  </w14:solidFill>
                </w14:textFill>
              </w:rPr>
              <w:t xml:space="preserve">、</w:t>
            </w:r>
            <w:r>
              <w:rPr>
                <w:rFonts w:ascii="XKEM5cxj+SimSun" w:hAnsi="XKEM5cxj+SimSun" w:eastAsia="XKEM5cxj+SimSun"/>
                <w:color w:val="000000" w:themeColor="text1"/>
                <w:sz w:val="20"/>
                <w:highlight w:val="none"/>
                <w14:textFill>
                  <w14:solidFill>
                    <w14:schemeClr w14:val="tx1"/>
                  </w14:solidFill>
                </w14:textFill>
              </w:rPr>
              <w:t xml:space="preserve">MIDI</w:t>
            </w:r>
            <w:r>
              <w:rPr>
                <w:rFonts w:ascii="yUARI7Jb+SimSun" w:hAnsi="yUARI7Jb+SimSun" w:eastAsia="yUARI7Jb+SimSun"/>
                <w:color w:val="000000" w:themeColor="text1"/>
                <w:sz w:val="20"/>
                <w:highlight w:val="none"/>
                <w14:textFill>
                  <w14:solidFill>
                    <w14:schemeClr w14:val="tx1"/>
                  </w14:solidFill>
                </w14:textFill>
              </w:rPr>
              <w:t xml:space="preserve">设备接口：有。</w:t>
            </w:r>
            <w:r>
              <w:rPr>
                <w:rFonts w:ascii="XKEM5cxj+SimSun" w:hAnsi="XKEM5cxj+SimSun" w:eastAsia="XKEM5cxj+SimSun"/>
                <w:color w:val="000000" w:themeColor="text1"/>
                <w:sz w:val="20"/>
                <w:highlight w:val="none"/>
                <w14:textFill>
                  <w14:solidFill>
                    <w14:schemeClr w14:val="tx1"/>
                  </w14:solidFill>
                </w14:textFill>
              </w:rPr>
              <w:t xml:space="preserve"> </w:t>
            </w:r>
            <w:r/>
          </w:p>
          <w:p>
            <w:pPr>
              <w:ind w:left="106" w:right="0" w:firstLine="0"/>
              <w:jc w:val="left"/>
              <w:spacing w:before="116" w:after="0" w:line="200" w:lineRule="exact"/>
              <w:widowControl/>
              <w:rPr>
                <w:color w:val="000000" w:themeColor="text1"/>
                <w:highlight w:val="none"/>
                <w14:textFill>
                  <w14:solidFill>
                    <w14:schemeClr w14:val="tx1"/>
                  </w14:solidFill>
                </w14:textFill>
              </w:rPr>
            </w:pPr>
            <w:r>
              <w:rPr>
                <w:rFonts w:ascii="XKEM5cxj+SimSun" w:hAnsi="XKEM5cxj+SimSun" w:eastAsia="XKEM5cxj+SimSun"/>
                <w:color w:val="000000" w:themeColor="text1"/>
                <w:sz w:val="20"/>
                <w:highlight w:val="none"/>
                <w14:textFill>
                  <w14:solidFill>
                    <w14:schemeClr w14:val="tx1"/>
                  </w14:solidFill>
                </w14:textFill>
              </w:rPr>
              <w:t xml:space="preserve">17</w:t>
            </w:r>
            <w:r>
              <w:rPr>
                <w:rFonts w:ascii="yUARI7Jb+SimSun" w:hAnsi="yUARI7Jb+SimSun" w:eastAsia="yUARI7Jb+SimSun"/>
                <w:color w:val="000000" w:themeColor="text1"/>
                <w:sz w:val="20"/>
                <w:highlight w:val="none"/>
                <w14:textFill>
                  <w14:solidFill>
                    <w14:schemeClr w14:val="tx1"/>
                  </w14:solidFill>
                </w14:textFill>
              </w:rPr>
              <w:t xml:space="preserve">、自动关机功能：有。</w:t>
            </w:r>
            <w:r>
              <w:rPr>
                <w:rFonts w:ascii="XKEM5cxj+SimSun" w:hAnsi="XKEM5cxj+SimSun" w:eastAsia="XKEM5cxj+SimSun"/>
                <w:color w:val="000000" w:themeColor="text1"/>
                <w:sz w:val="20"/>
                <w:highlight w:val="none"/>
                <w14:textFill>
                  <w14:solidFill>
                    <w14:schemeClr w14:val="tx1"/>
                  </w14:solidFill>
                </w14:textFill>
              </w:rPr>
              <w:t xml:space="preserve"> </w:t>
            </w:r>
            <w:r/>
          </w:p>
          <w:p>
            <w:pPr>
              <w:ind w:left="106" w:right="144" w:firstLine="0"/>
              <w:jc w:val="left"/>
              <w:spacing w:before="0" w:after="0" w:line="314" w:lineRule="exact"/>
              <w:widowControl/>
              <w:rPr>
                <w:color w:val="000000" w:themeColor="text1"/>
                <w:highlight w:val="none"/>
                <w14:textFill>
                  <w14:solidFill>
                    <w14:schemeClr w14:val="tx1"/>
                  </w14:solidFill>
                </w14:textFill>
              </w:rPr>
            </w:pPr>
            <w:r>
              <w:rPr>
                <w:rFonts w:ascii="XKEM5cxj+SimSun" w:hAnsi="XKEM5cxj+SimSun" w:eastAsia="XKEM5cxj+SimSun"/>
                <w:color w:val="000000" w:themeColor="text1"/>
                <w:sz w:val="20"/>
                <w:highlight w:val="none"/>
                <w14:textFill>
                  <w14:solidFill>
                    <w14:schemeClr w14:val="tx1"/>
                  </w14:solidFill>
                </w14:textFill>
              </w:rPr>
              <w:t xml:space="preserve">18</w:t>
            </w:r>
            <w:r>
              <w:rPr>
                <w:rFonts w:ascii="yUARI7Jb+SimSun" w:hAnsi="yUARI7Jb+SimSun" w:eastAsia="yUARI7Jb+SimSun"/>
                <w:color w:val="000000" w:themeColor="text1"/>
                <w:sz w:val="20"/>
                <w:highlight w:val="none"/>
                <w14:textFill>
                  <w14:solidFill>
                    <w14:schemeClr w14:val="tx1"/>
                  </w14:solidFill>
                </w14:textFill>
              </w:rPr>
              <w:t xml:space="preserve">、录音功能：可录制旋律轨和伴奏轨，支持音轨编辑，录音、切入、切出、回放。</w:t>
            </w:r>
            <w:r>
              <w:rPr>
                <w:rFonts w:ascii="XKEM5cxj+SimSun" w:hAnsi="XKEM5cxj+SimSun" w:eastAsia="XKEM5cxj+SimSun"/>
                <w:color w:val="000000" w:themeColor="text1"/>
                <w:sz w:val="20"/>
                <w:highlight w:val="none"/>
                <w14:textFill>
                  <w14:solidFill>
                    <w14:schemeClr w14:val="tx1"/>
                  </w14:solidFill>
                </w14:textFill>
              </w:rPr>
              <w:t xml:space="preserve"> </w:t>
            </w:r>
            <w:r/>
          </w:p>
          <w:p>
            <w:pPr>
              <w:ind w:left="106" w:right="0" w:firstLine="0"/>
              <w:jc w:val="left"/>
              <w:spacing w:before="0" w:after="0" w:line="310" w:lineRule="exact"/>
              <w:widowControl/>
              <w:rPr>
                <w:color w:val="000000" w:themeColor="text1"/>
                <w:highlight w:val="none"/>
                <w14:textFill>
                  <w14:solidFill>
                    <w14:schemeClr w14:val="tx1"/>
                  </w14:solidFill>
                </w14:textFill>
              </w:rPr>
            </w:pPr>
            <w:r>
              <w:rPr>
                <w:rFonts w:ascii="XKEM5cxj+SimSun" w:hAnsi="XKEM5cxj+SimSun" w:eastAsia="XKEM5cxj+SimSun"/>
                <w:color w:val="000000" w:themeColor="text1"/>
                <w:sz w:val="20"/>
                <w:highlight w:val="none"/>
                <w14:textFill>
                  <w14:solidFill>
                    <w14:schemeClr w14:val="tx1"/>
                  </w14:solidFill>
                </w14:textFill>
              </w:rPr>
              <w:t xml:space="preserve">19</w:t>
            </w:r>
            <w:r>
              <w:rPr>
                <w:rFonts w:ascii="yUARI7Jb+SimSun" w:hAnsi="yUARI7Jb+SimSun" w:eastAsia="yUARI7Jb+SimSun"/>
                <w:color w:val="000000" w:themeColor="text1"/>
                <w:sz w:val="20"/>
                <w:highlight w:val="none"/>
                <w14:textFill>
                  <w14:solidFill>
                    <w14:schemeClr w14:val="tx1"/>
                  </w14:solidFill>
                </w14:textFill>
              </w:rPr>
              <w:t xml:space="preserve">、音色控制：三角大钢琴音色，双钢琴，双音色、双键盘，双键盘功能可调分离点。</w:t>
            </w:r>
            <w:r>
              <w:rPr>
                <w:rFonts w:ascii="XKEM5cxj+SimSun" w:hAnsi="XKEM5cxj+SimSun" w:eastAsia="XKEM5cxj+SimSun"/>
                <w:color w:val="000000" w:themeColor="text1"/>
                <w:sz w:val="20"/>
                <w:highlight w:val="none"/>
                <w14:textFill>
                  <w14:solidFill>
                    <w14:schemeClr w14:val="tx1"/>
                  </w14:solidFill>
                </w14:textFill>
              </w:rPr>
              <w:t xml:space="preserve"> </w:t>
            </w:r>
            <w:r/>
          </w:p>
          <w:p>
            <w:pPr>
              <w:ind w:left="106" w:right="0" w:firstLine="0"/>
              <w:jc w:val="left"/>
              <w:spacing w:before="114" w:after="0" w:line="200" w:lineRule="exact"/>
              <w:widowControl/>
              <w:rPr>
                <w:color w:val="000000" w:themeColor="text1"/>
                <w:highlight w:val="none"/>
                <w14:textFill>
                  <w14:solidFill>
                    <w14:schemeClr w14:val="tx1"/>
                  </w14:solidFill>
                </w14:textFill>
              </w:rPr>
            </w:pPr>
            <w:r>
              <w:rPr>
                <w:rFonts w:ascii="XKEM5cxj+SimSun" w:hAnsi="XKEM5cxj+SimSun" w:eastAsia="XKEM5cxj+SimSun"/>
                <w:color w:val="000000" w:themeColor="text1"/>
                <w:sz w:val="20"/>
                <w:highlight w:val="none"/>
                <w14:textFill>
                  <w14:solidFill>
                    <w14:schemeClr w14:val="tx1"/>
                  </w14:solidFill>
                </w14:textFill>
              </w:rPr>
              <w:t xml:space="preserve">20</w:t>
            </w:r>
            <w:r>
              <w:rPr>
                <w:rFonts w:ascii="yUARI7Jb+SimSun" w:hAnsi="yUARI7Jb+SimSun" w:eastAsia="yUARI7Jb+SimSun"/>
                <w:color w:val="000000" w:themeColor="text1"/>
                <w:sz w:val="20"/>
                <w:highlight w:val="none"/>
                <w14:textFill>
                  <w14:solidFill>
                    <w14:schemeClr w14:val="tx1"/>
                  </w14:solidFill>
                </w14:textFill>
              </w:rPr>
              <w:t xml:space="preserve">、外壳特征：简约立式，木质外壳结构，带</w:t>
            </w:r>
            <w:r>
              <w:rPr>
                <w:rFonts w:ascii="XKEM5cxj+SimSun" w:hAnsi="XKEM5cxj+SimSun" w:eastAsia="XKEM5cxj+SimSun"/>
                <w:color w:val="000000" w:themeColor="text1"/>
                <w:sz w:val="20"/>
                <w:highlight w:val="none"/>
                <w14:textFill>
                  <w14:solidFill>
                    <w14:schemeClr w14:val="tx1"/>
                  </w14:solidFill>
                </w14:textFill>
              </w:rPr>
              <w:t xml:space="preserve">LED</w:t>
            </w:r>
            <w:r>
              <w:rPr>
                <w:rFonts w:ascii="yUARI7Jb+SimSun" w:hAnsi="yUARI7Jb+SimSun" w:eastAsia="yUARI7Jb+SimSun"/>
                <w:color w:val="000000" w:themeColor="text1"/>
                <w:sz w:val="20"/>
                <w:highlight w:val="none"/>
                <w14:textFill>
                  <w14:solidFill>
                    <w14:schemeClr w14:val="tx1"/>
                  </w14:solidFill>
                </w14:textFill>
              </w:rPr>
              <w:t xml:space="preserve">显示屏幕。</w:t>
            </w:r>
            <w:r>
              <w:rPr>
                <w:rFonts w:ascii="XKEM5cxj+SimSun" w:hAnsi="XKEM5cxj+SimSun" w:eastAsia="XKEM5cxj+SimSun"/>
                <w:color w:val="000000" w:themeColor="text1"/>
                <w:sz w:val="20"/>
                <w:highlight w:val="none"/>
                <w14:textFill>
                  <w14:solidFill>
                    <w14:schemeClr w14:val="tx1"/>
                  </w14:solidFill>
                </w14:textFill>
              </w:rPr>
              <w:t xml:space="preserve"> </w:t>
            </w:r>
            <w:r/>
          </w:p>
          <w:p>
            <w:pPr>
              <w:jc w:val="both"/>
              <w:widowControl/>
              <w:rPr>
                <w:rFonts w:hint="eastAsia" w:ascii="宋体" w:hAnsi="宋体" w:eastAsia="宋体" w:cs="宋体"/>
                <w:color w:val="000000" w:themeColor="text1"/>
                <w:sz w:val="20"/>
                <w:szCs w:val="20"/>
                <w:highlight w:val="none"/>
                <w:lang w:eastAsia="zh-CN"/>
                <w14:textFill>
                  <w14:solidFill>
                    <w14:schemeClr w14:val="tx1"/>
                  </w14:solidFill>
                </w14:textFill>
              </w:rPr>
            </w:pPr>
            <w:r>
              <w:rPr>
                <w:rFonts w:ascii="XKEM5cxj+SimSun" w:hAnsi="XKEM5cxj+SimSun" w:eastAsia="XKEM5cxj+SimSun"/>
                <w:color w:val="000000" w:themeColor="text1"/>
                <w:sz w:val="20"/>
                <w:highlight w:val="none"/>
                <w14:textFill>
                  <w14:solidFill>
                    <w14:schemeClr w14:val="tx1"/>
                  </w14:solidFill>
                </w14:textFill>
              </w:rPr>
              <w:t xml:space="preserve">21</w:t>
            </w:r>
            <w:r>
              <w:rPr>
                <w:rFonts w:ascii="yUARI7Jb+SimSun" w:hAnsi="yUARI7Jb+SimSun" w:eastAsia="yUARI7Jb+SimSun"/>
                <w:color w:val="000000" w:themeColor="text1"/>
                <w:sz w:val="20"/>
                <w:highlight w:val="none"/>
                <w14:textFill>
                  <w14:solidFill>
                    <w14:schemeClr w14:val="tx1"/>
                  </w14:solidFill>
                </w14:textFill>
              </w:rPr>
              <w:t xml:space="preserve">、配套钢琴凳</w:t>
            </w:r>
            <w:r>
              <w:rPr>
                <w:rFonts w:ascii="XKEM5cxj+SimSun" w:hAnsi="XKEM5cxj+SimSun" w:eastAsia="XKEM5cxj+SimSun"/>
                <w:color w:val="000000" w:themeColor="text1"/>
                <w:sz w:val="20"/>
                <w:highlight w:val="none"/>
                <w14:textFill>
                  <w14:solidFill>
                    <w14:schemeClr w14:val="tx1"/>
                  </w14:solidFill>
                </w14:textFill>
              </w:rPr>
              <w:t xml:space="preserve"> </w:t>
            </w:r>
            <w:r>
              <w:rPr>
                <w:color w:val="000000" w:themeColor="text1"/>
                <w:highlight w:val="none"/>
                <w14:textFill>
                  <w14:solidFill>
                    <w14:schemeClr w14:val="tx1"/>
                  </w14:solidFill>
                </w14:textFill>
              </w:rPr>
              <w:br/>
            </w:r>
            <w:r>
              <w:rPr>
                <w:rFonts w:ascii="yUARI7Jb+SimSun" w:hAnsi="yUARI7Jb+SimSun" w:eastAsia="yUARI7Jb+SimSun"/>
                <w:color w:val="000000" w:themeColor="text1"/>
                <w:sz w:val="21"/>
                <w:highlight w:val="none"/>
                <w14:textFill>
                  <w14:solidFill>
                    <w14:schemeClr w14:val="tx1"/>
                  </w14:solidFill>
                </w14:textFill>
              </w:rPr>
              <w:t xml:space="preserve">▲</w:t>
            </w:r>
            <w:r>
              <w:rPr>
                <w:rFonts w:hint="eastAsia" w:ascii="宋体" w:hAnsi="宋体" w:cs="宋体"/>
                <w:color w:val="000000" w:themeColor="text1"/>
                <w:sz w:val="20"/>
                <w:szCs w:val="20"/>
                <w:highlight w:val="none"/>
                <w:lang w:eastAsia="zh-CN" w:bidi="ar"/>
                <w14:textFill>
                  <w14:solidFill>
                    <w14:schemeClr w14:val="tx1"/>
                  </w14:solidFill>
                </w14:textFill>
              </w:rPr>
              <w:t xml:space="preserve">提供含有CMA或CNAS标识的</w:t>
            </w:r>
            <w:r>
              <w:rPr>
                <w:rFonts w:ascii="yUARI7Jb+SimSun" w:hAnsi="yUARI7Jb+SimSun" w:eastAsia="yUARI7Jb+SimSun"/>
                <w:b/>
                <w:color w:val="000000" w:themeColor="text1"/>
                <w:sz w:val="20"/>
                <w:highlight w:val="none"/>
                <w14:textFill>
                  <w14:solidFill>
                    <w14:schemeClr w14:val="tx1"/>
                  </w14:solidFill>
                </w14:textFill>
              </w:rPr>
              <w:t xml:space="preserve">检测报告</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原件的扫描件加盖电子章</w:t>
            </w:r>
            <w:r>
              <w:rPr>
                <w:rFonts w:ascii="yUARI7Jb+SimSun" w:hAnsi="yUARI7Jb+SimSun" w:eastAsia="yUARI7Jb+SimSun"/>
                <w:b/>
                <w:color w:val="000000" w:themeColor="text1"/>
                <w:sz w:val="20"/>
                <w:highlight w:val="none"/>
                <w14:textFill>
                  <w14:solidFill>
                    <w14:schemeClr w14:val="tx1"/>
                  </w14:solidFill>
                </w14:textFill>
              </w:rPr>
              <w:t xml:space="preserve">（至少包含但不限于技术要求和参数的第</w:t>
            </w:r>
            <w:r>
              <w:rPr>
                <w:rFonts w:ascii="XKEM5cxj+SimSun" w:hAnsi="XKEM5cxj+SimSun" w:eastAsia="XKEM5cxj+SimSun"/>
                <w:b/>
                <w:color w:val="000000" w:themeColor="text1"/>
                <w:sz w:val="20"/>
                <w:highlight w:val="none"/>
                <w14:textFill>
                  <w14:solidFill>
                    <w14:schemeClr w14:val="tx1"/>
                  </w14:solidFill>
                </w14:textFill>
              </w:rPr>
              <w:t xml:space="preserve"> 2 </w:t>
            </w:r>
            <w:r>
              <w:rPr>
                <w:rFonts w:ascii="yUARI7Jb+SimSun" w:hAnsi="yUARI7Jb+SimSun" w:eastAsia="yUARI7Jb+SimSun"/>
                <w:b/>
                <w:color w:val="000000" w:themeColor="text1"/>
                <w:sz w:val="20"/>
                <w:highlight w:val="none"/>
                <w14:textFill>
                  <w14:solidFill>
                    <w14:schemeClr w14:val="tx1"/>
                  </w14:solidFill>
                </w14:textFill>
              </w:rPr>
              <w:t xml:space="preserve">项和第</w:t>
            </w:r>
            <w:r>
              <w:rPr>
                <w:rFonts w:ascii="XKEM5cxj+SimSun" w:hAnsi="XKEM5cxj+SimSun" w:eastAsia="XKEM5cxj+SimSun"/>
                <w:b/>
                <w:color w:val="000000" w:themeColor="text1"/>
                <w:sz w:val="20"/>
                <w:highlight w:val="none"/>
                <w14:textFill>
                  <w14:solidFill>
                    <w14:schemeClr w14:val="tx1"/>
                  </w14:solidFill>
                </w14:textFill>
              </w:rPr>
              <w:t xml:space="preserve"> 3 </w:t>
            </w:r>
            <w:r>
              <w:rPr>
                <w:rFonts w:ascii="yUARI7Jb+SimSun" w:hAnsi="yUARI7Jb+SimSun" w:eastAsia="yUARI7Jb+SimSun"/>
                <w:b/>
                <w:color w:val="000000" w:themeColor="text1"/>
                <w:sz w:val="20"/>
                <w:highlight w:val="none"/>
                <w14:textFill>
                  <w14:solidFill>
                    <w14:schemeClr w14:val="tx1"/>
                  </w14:solidFill>
                </w14:textFill>
              </w:rPr>
              <w:t xml:space="preserve">项</w:t>
            </w:r>
            <w:r>
              <w:rPr>
                <w:rFonts w:hint="eastAsia" w:ascii="yUARI7Jb+SimSun" w:hAnsi="yUARI7Jb+SimSun" w:eastAsia="yUARI7Jb+SimSun"/>
                <w:b/>
                <w:color w:val="000000" w:themeColor="text1"/>
                <w:sz w:val="20"/>
                <w:highlight w:val="none"/>
                <w:lang w:eastAsia="zh-CN"/>
                <w14:textFill>
                  <w14:solidFill>
                    <w14:schemeClr w14:val="tx1"/>
                  </w14:solidFill>
                </w14:textFill>
              </w:rPr>
              <w:t xml:space="preserve">。</w:t>
            </w:r>
            <w:r>
              <w:rPr>
                <w:rFonts w:ascii="yUARI7Jb+SimSun" w:hAnsi="yUARI7Jb+SimSun" w:eastAsia="yUARI7Jb+SimSun"/>
                <w:b/>
                <w:color w:val="000000" w:themeColor="text1"/>
                <w:sz w:val="20"/>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琴凳</w:t>
            </w:r>
            <w:r/>
          </w:p>
        </w:tc>
        <w:tc>
          <w:tcPr>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双人木质</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30</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633"/>
        </w:trPr>
        <w:tc>
          <w:tcPr>
            <w:gridSpan w:val="4"/>
            <w:tcBorders>
              <w:top w:val="single" w:color="000000" w:sz="4" w:space="0"/>
              <w:left w:val="single" w:color="000000" w:sz="4" w:space="0"/>
              <w:bottom w:val="none" w:color="000000" w:sz="4" w:space="0"/>
              <w:right w:val="single" w:color="000000" w:sz="4" w:space="0"/>
            </w:tcBorders>
            <w:tcW w:w="7655" w:type="dxa"/>
            <w:vAlign w:val="center"/>
            <w:textDirection w:val="lrTb"/>
            <w:noWrap w:val="false"/>
          </w:tcPr>
          <w:p>
            <w:pPr>
              <w:jc w:val="center"/>
              <w:widowControl/>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bidi="ar"/>
                <w14:textFill>
                  <w14:solidFill>
                    <w14:schemeClr w14:val="tx1"/>
                  </w14:solidFill>
                </w14:textFill>
              </w:rPr>
              <w:t xml:space="preserve">素描与色彩实训室配备方案（60+1座/室）</w:t>
            </w:r>
            <w:r>
              <w:rPr>
                <w:rFonts w:hint="eastAsia" w:ascii="宋体" w:hAnsi="宋体" w:cs="宋体"/>
                <w:b/>
                <w:bCs/>
                <w:color w:val="000000" w:themeColor="text1"/>
                <w:sz w:val="28"/>
                <w:szCs w:val="28"/>
                <w:highlight w:val="none"/>
                <w:lang w:bidi="ar"/>
                <w14:textFill>
                  <w14:solidFill>
                    <w14:schemeClr w14:val="tx1"/>
                  </w14:solidFill>
                </w14:textFill>
              </w:rPr>
              <w:br/>
            </w:r>
            <w:r>
              <w:rPr>
                <w:rFonts w:hint="eastAsia" w:ascii="宋体" w:hAnsi="宋体" w:cs="宋体"/>
                <w:b/>
                <w:bCs/>
                <w:color w:val="000000" w:themeColor="text1"/>
                <w:sz w:val="28"/>
                <w:szCs w:val="28"/>
                <w:highlight w:val="none"/>
                <w:lang w:bidi="ar"/>
                <w14:textFill>
                  <w14:solidFill>
                    <w14:schemeClr w14:val="tx1"/>
                  </w14:solidFill>
                </w14:textFill>
              </w:rPr>
              <w:t xml:space="preserve">以下为两间配置</w:t>
            </w:r>
            <w:r/>
          </w:p>
        </w:tc>
        <w:tc>
          <w:tcPr>
            <w:tcBorders>
              <w:top w:val="single" w:color="000000" w:sz="4" w:space="0"/>
              <w:left w:val="single" w:color="000000" w:sz="4" w:space="0"/>
              <w:bottom w:val="none" w:color="000000" w:sz="4" w:space="0"/>
              <w:right w:val="single" w:color="000000" w:sz="4" w:space="0"/>
            </w:tcBorders>
            <w:tcW w:w="672" w:type="dxa"/>
            <w:vAlign w:val="center"/>
            <w:textDirection w:val="lrTb"/>
            <w:noWrap w:val="false"/>
          </w:tcPr>
          <w:p>
            <w:pPr>
              <w:jc w:val="center"/>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none" w:color="000000" w:sz="4" w:space="0"/>
              <w:right w:val="single" w:color="000000" w:sz="4" w:space="0"/>
            </w:tcBorders>
            <w:tcW w:w="743" w:type="dxa"/>
            <w:vAlign w:val="center"/>
            <w:textDirection w:val="lrTb"/>
            <w:noWrap w:val="false"/>
          </w:tcPr>
          <w:p>
            <w:pPr>
              <w:jc w:val="center"/>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gridSpan w:val="2"/>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center"/>
              <w:widowControl/>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lang w:bidi="ar"/>
                <w14:textFill>
                  <w14:solidFill>
                    <w14:schemeClr w14:val="tx1"/>
                  </w14:solidFill>
                </w14:textFill>
              </w:rPr>
              <w:t xml:space="preserve">一、美术教室专用设备</w:t>
            </w:r>
            <w:r/>
          </w:p>
        </w:tc>
        <w:tc>
          <w:tcPr>
            <w:tcBorders>
              <w:top w:val="single" w:color="000000" w:sz="4" w:space="0"/>
              <w:left w:val="none" w:color="000000" w:sz="4" w:space="0"/>
              <w:bottom w:val="single" w:color="000000" w:sz="4" w:space="0"/>
              <w:right w:val="single" w:color="000000" w:sz="4" w:space="0"/>
            </w:tcBorders>
            <w:tcW w:w="5214" w:type="dxa"/>
            <w:vAlign w:val="center"/>
            <w:textDirection w:val="lrTb"/>
            <w:noWrap w:val="false"/>
          </w:tcPr>
          <w:p>
            <w:pPr>
              <w:jc w:val="center"/>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gridSpan w:val="2"/>
            <w:tcBorders>
              <w:top w:val="single" w:color="000000" w:sz="4" w:space="0"/>
              <w:left w:val="single" w:color="000000" w:sz="4" w:space="0"/>
              <w:bottom w:val="none" w:color="000000" w:sz="4" w:space="0"/>
              <w:right w:val="single" w:color="000000" w:sz="4" w:space="0"/>
            </w:tcBorders>
            <w:tcW w:w="1784" w:type="dxa"/>
            <w:vAlign w:val="center"/>
            <w:textDirection w:val="lrTb"/>
            <w:noWrap w:val="false"/>
          </w:tcPr>
          <w:p>
            <w:pPr>
              <w:jc w:val="center"/>
              <w:widowControl/>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lang w:bidi="ar"/>
                <w14:textFill>
                  <w14:solidFill>
                    <w14:schemeClr w14:val="tx1"/>
                  </w14:solidFill>
                </w14:textFill>
              </w:rPr>
              <w:t xml:space="preserve">1、教师端专用设备</w:t>
            </w:r>
            <w:r/>
          </w:p>
        </w:tc>
        <w:tc>
          <w:tcPr>
            <w:tcBorders>
              <w:top w:val="single" w:color="000000" w:sz="4" w:space="0"/>
              <w:left w:val="none" w:color="000000" w:sz="4" w:space="0"/>
              <w:bottom w:val="none" w:color="000000" w:sz="4" w:space="0"/>
              <w:right w:val="single" w:color="000000" w:sz="4" w:space="0"/>
            </w:tcBorders>
            <w:tcW w:w="5214" w:type="dxa"/>
            <w:vAlign w:val="center"/>
            <w:textDirection w:val="lrTb"/>
            <w:noWrap w:val="false"/>
          </w:tcPr>
          <w:p>
            <w:pPr>
              <w:jc w:val="center"/>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none" w:color="000000" w:sz="4" w:space="0"/>
              <w:right w:val="single" w:color="000000" w:sz="4" w:space="0"/>
            </w:tcBorders>
            <w:tcW w:w="657"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none" w:color="000000" w:sz="4" w:space="0"/>
              <w:right w:val="single" w:color="000000" w:sz="4" w:space="0"/>
            </w:tcBorders>
            <w:tcW w:w="672"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none" w:color="000000" w:sz="4" w:space="0"/>
              <w:right w:val="single" w:color="000000" w:sz="4" w:space="0"/>
            </w:tcBorders>
            <w:tcW w:w="743"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162"/>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shd w:val="clear" w:color="auto" w:fill="ffffff"/>
            <w:tcBorders>
              <w:top w:val="single" w:color="000000" w:sz="4" w:space="0"/>
              <w:left w:val="single" w:color="000000" w:sz="4" w:space="0"/>
              <w:bottom w:val="none" w:color="000000" w:sz="4" w:space="0"/>
              <w:right w:val="non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教师工作台</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规格：≥160cm×80cm×74cm、实木组装式结构，整体材质为优质橡胶木，桌面厚度不低于20mm，外围厚度不低于40mm，桌面下带2个抽屉，用于存放教师用品，底部为不小于50mm×50mm橡胶木实木方腿；表面三底两面油漆处理，光滑无毛刺；漆面光滑有色泽，原木色。</w:t>
            </w:r>
            <w:r/>
          </w:p>
        </w:tc>
        <w:tc>
          <w:tcPr>
            <w:tcBorders>
              <w:top w:val="single" w:color="000000" w:sz="4" w:space="0"/>
              <w:left w:val="single" w:color="000000" w:sz="4" w:space="0"/>
              <w:bottom w:val="none" w:color="000000" w:sz="4" w:space="0"/>
              <w:right w:val="single" w:color="000000" w:sz="4" w:space="0"/>
            </w:tcBorders>
            <w:tcW w:w="65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0</wp:posOffset>
                      </wp:positionH>
                      <wp:positionV relativeFrom="paragraph">
                        <wp:posOffset>0</wp:posOffset>
                      </wp:positionV>
                      <wp:extent cx="10160" cy="10160"/>
                      <wp:effectExtent l="0" t="0" r="0" b="0"/>
                      <wp:wrapNone/>
                      <wp:docPr id="18" name="图片_4"/>
                      <wp:cNvGraphicFramePr/>
                      <a:graphic xmlns:a="http://schemas.openxmlformats.org/drawingml/2006/main">
                        <a:graphicData uri="http://schemas.openxmlformats.org/drawingml/2006/picture">
                          <pic:pic xmlns:pic="http://schemas.openxmlformats.org/drawingml/2006/picture">
                            <pic:nvPicPr>
                              <pic:cNvPr id="2" name="图片_4"/>
                              <pic:cNvPicPr/>
                              <pic:nvPr/>
                            </pic:nvPicPr>
                            <pic:blipFill>
                              <a:blip r:embed="rId16"/>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7564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6" o:title=""/>
                    </v:shape>
                  </w:pict>
                </mc:Fallback>
              </mc:AlternateContent>
            </w:r>
            <w:r>
              <w:rPr>
                <w:rFonts w:hint="eastAsia" w:ascii="宋体" w:hAnsi="宋体" w:cs="宋体"/>
                <w:color w:val="000000" w:themeColor="text1"/>
                <w:sz w:val="20"/>
                <w:szCs w:val="20"/>
                <w:highlight w:val="none"/>
                <w:lang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0</wp:posOffset>
                      </wp:positionH>
                      <wp:positionV relativeFrom="paragraph">
                        <wp:posOffset>0</wp:posOffset>
                      </wp:positionV>
                      <wp:extent cx="10160" cy="10160"/>
                      <wp:effectExtent l="0" t="0" r="0" b="0"/>
                      <wp:wrapNone/>
                      <wp:docPr id="19" name="图片_11"/>
                      <wp:cNvGraphicFramePr/>
                      <a:graphic xmlns:a="http://schemas.openxmlformats.org/drawingml/2006/main">
                        <a:graphicData uri="http://schemas.openxmlformats.org/drawingml/2006/picture">
                          <pic:pic xmlns:pic="http://schemas.openxmlformats.org/drawingml/2006/picture">
                            <pic:nvPicPr>
                              <pic:cNvPr id="6" name="图片_11"/>
                              <pic:cNvPicPr/>
                              <pic:nvPr/>
                            </pic:nvPicPr>
                            <pic:blipFill>
                              <a:blip r:embed="rId16"/>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667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6" o:title=""/>
                    </v:shape>
                  </w:pict>
                </mc:Fallback>
              </mc:AlternateContent>
            </w:r>
            <w:r>
              <w:rPr>
                <w:rFonts w:hint="eastAsia" w:ascii="宋体" w:hAnsi="宋体" w:cs="宋体"/>
                <w:color w:val="000000" w:themeColor="text1"/>
                <w:sz w:val="20"/>
                <w:szCs w:val="20"/>
                <w:highlight w:val="none"/>
                <w:lang w:bidi="ar"/>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0</wp:posOffset>
                      </wp:positionH>
                      <wp:positionV relativeFrom="paragraph">
                        <wp:posOffset>0</wp:posOffset>
                      </wp:positionV>
                      <wp:extent cx="10160" cy="10160"/>
                      <wp:effectExtent l="0" t="0" r="0" b="0"/>
                      <wp:wrapNone/>
                      <wp:docPr id="20" name="图片_10"/>
                      <wp:cNvGraphicFramePr/>
                      <a:graphic xmlns:a="http://schemas.openxmlformats.org/drawingml/2006/main">
                        <a:graphicData uri="http://schemas.openxmlformats.org/drawingml/2006/picture">
                          <pic:pic xmlns:pic="http://schemas.openxmlformats.org/drawingml/2006/picture">
                            <pic:nvPicPr>
                              <pic:cNvPr id="13" name="图片_10"/>
                              <pic:cNvPicPr/>
                              <pic:nvPr/>
                            </pic:nvPicPr>
                            <pic:blipFill>
                              <a:blip r:embed="rId16"/>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769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6" o:title=""/>
                    </v:shape>
                  </w:pict>
                </mc:Fallback>
              </mc:AlternateContent>
            </w:r>
            <w:r>
              <w:rPr>
                <w:rFonts w:hint="eastAsia" w:ascii="宋体" w:hAnsi="宋体" w:cs="宋体"/>
                <w:color w:val="000000" w:themeColor="text1"/>
                <w:sz w:val="20"/>
                <w:szCs w:val="20"/>
                <w:highlight w:val="none"/>
                <w:lang w:bidi="ar"/>
                <w14:textFill>
                  <w14:solidFill>
                    <w14:schemeClr w14:val="tx1"/>
                  </w14:solidFill>
                </w14:textFill>
              </w:rPr>
              <w:t xml:space="preserve">张</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non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non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教师椅</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1.规格：外观尺寸≥44*42*77cm，凳面高45cm；2.材质：优质橡胶木；3.要求：支撑稳定，牢固可靠，工艺精细，表面光洁，环保清漆处理，漆面均匀光亮。</w:t>
            </w:r>
            <w:r/>
          </w:p>
        </w:tc>
        <w:tc>
          <w:tcPr>
            <w:shd w:val="clear" w:color="auto" w:fill="ffffff"/>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张</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non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non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教师画架</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材质：榉木，手摇式画架，可以手摇调节画架高度，平立两用式设计。产品规格：≥58*65*150cm（最大可以升高到300cm），支持最大画框高度：190cm，平放离地高度86cm。画架配有万向轮。</w:t>
            </w:r>
            <w:r/>
          </w:p>
        </w:tc>
        <w:tc>
          <w:tcPr>
            <w:shd w:val="clear" w:color="auto" w:fill="ffffff"/>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non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162"/>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non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教师画板</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技术要求：1．规格：1#图板，外观尺寸不小于600mm×900mm×18mm。2．材质：双面椴木三合板，实木边框，边框宽≥10mm,45度割角拼接。3．整体板面平整、表面光滑、洁净、无毛刺、无开裂、板面无疤痕，无挖补，无异味，对角线平面误差不大于2mm，四边直角误差不大于2mm。</w:t>
            </w:r>
            <w:r/>
          </w:p>
        </w:tc>
        <w:tc>
          <w:tcPr>
            <w:shd w:val="clear" w:color="auto" w:fill="ffffff"/>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non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w:t>
            </w:r>
            <w:r/>
          </w:p>
        </w:tc>
        <w:tc>
          <w:tcPr>
            <w:shd w:val="clear" w:color="auto" w:fill="ffffff"/>
            <w:tcBorders>
              <w:top w:val="single" w:color="000000" w:sz="4" w:space="0"/>
              <w:left w:val="single" w:color="000000" w:sz="4" w:space="0"/>
              <w:bottom w:val="single" w:color="000000" w:sz="4" w:space="0"/>
              <w:right w:val="non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画车</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技术要求：1．规外观尺寸不小于400mm×740mm×800mm。2．材质：榉木。3．颜色:原木色。</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辆</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non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gridSpan w:val="2"/>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center"/>
              <w:widowControl/>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lang w:bidi="ar"/>
                <w14:textFill>
                  <w14:solidFill>
                    <w14:schemeClr w14:val="tx1"/>
                  </w14:solidFill>
                </w14:textFill>
              </w:rPr>
              <w:t xml:space="preserve">2、学生端专用设备</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none" w:color="000000" w:sz="4" w:space="0"/>
              <w:right w:val="single" w:color="000000" w:sz="4" w:space="0"/>
            </w:tcBorders>
            <w:tcW w:w="743"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shd w:val="clear" w:color="auto" w:fill="ffffff"/>
            <w:tcBorders>
              <w:top w:val="single" w:color="000000" w:sz="4" w:space="0"/>
              <w:left w:val="single" w:color="000000" w:sz="4" w:space="0"/>
              <w:bottom w:val="single" w:color="000000" w:sz="4" w:space="0"/>
              <w:right w:val="non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学生画架</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材质：榉木，升降式画架，采用阶梯式卡扣调节画架高度。产品规格：≥65*85*175（最大可以升高到240cm），支持最大画框高度：130cm，绘画角度可调节，画架采用20*40mm木料制成。</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120</w:t>
            </w:r>
            <w:r/>
          </w:p>
        </w:tc>
        <w:tc>
          <w:tcPr>
            <w:tcBorders>
              <w:top w:val="single" w:color="000000" w:sz="4" w:space="0"/>
              <w:left w:val="single" w:color="000000" w:sz="4" w:space="0"/>
              <w:bottom w:val="non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162"/>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画板</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技术要求：1．规格：2#图板，外观尺寸不小于450mm×600mm×18mm。2．材质：双面椴木三合板，实木边框，边框宽≥10mm,45度割角拼接。3．整体板面平整、表面光滑、洁净、无毛刺、无开裂、板面无疤痕，无挖补，无异味，对角线平面误差不大于2mm，四边直角误差不大于2mm。</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120</w:t>
            </w:r>
            <w:r/>
          </w:p>
        </w:tc>
        <w:tc>
          <w:tcPr>
            <w:tcBorders>
              <w:top w:val="single" w:color="000000" w:sz="4" w:space="0"/>
              <w:left w:val="single" w:color="000000" w:sz="4" w:space="0"/>
              <w:bottom w:val="non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162"/>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non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学生凳</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1、规格尺寸：30*30*45cm，凳面厚度20mm，凳腿尺寸40*40mm；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2、材质：优质橡胶木；</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3、工艺：环保油漆处理，精工打磨不伤手，长时间不变色，易清洁，美观大方，经久耐用。</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120</w:t>
            </w:r>
            <w:r/>
          </w:p>
        </w:tc>
        <w:tc>
          <w:tcPr>
            <w:tcBorders>
              <w:top w:val="single" w:color="000000" w:sz="4" w:space="0"/>
              <w:left w:val="single" w:color="000000" w:sz="4" w:space="0"/>
              <w:bottom w:val="non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w:t>
            </w:r>
            <w:r/>
          </w:p>
        </w:tc>
        <w:tc>
          <w:tcPr>
            <w:shd w:val="clear" w:color="auto" w:fill="ffffff"/>
            <w:tcBorders>
              <w:top w:val="single" w:color="000000" w:sz="4" w:space="0"/>
              <w:left w:val="single" w:color="000000" w:sz="4" w:space="0"/>
              <w:bottom w:val="single" w:color="000000" w:sz="4" w:space="0"/>
              <w:right w:val="non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画车</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技术要求：1．规外观尺寸不小于400mm×740mm×800mm。2．材质：榉木。3．颜色:原木色。</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辆</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60</w:t>
            </w:r>
            <w:r/>
          </w:p>
        </w:tc>
        <w:tc>
          <w:tcPr>
            <w:tcBorders>
              <w:top w:val="single" w:color="000000" w:sz="4" w:space="0"/>
              <w:left w:val="single" w:color="000000" w:sz="4" w:space="0"/>
              <w:bottom w:val="non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gridSpan w:val="2"/>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center"/>
              <w:widowControl/>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lang w:bidi="ar"/>
                <w14:textFill>
                  <w14:solidFill>
                    <w14:schemeClr w14:val="tx1"/>
                  </w14:solidFill>
                </w14:textFill>
              </w:rPr>
              <w:t xml:space="preserve">二、美术教室专用器材</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none" w:color="000000" w:sz="4" w:space="0"/>
              <w:right w:val="single" w:color="000000" w:sz="4" w:space="0"/>
            </w:tcBorders>
            <w:tcW w:w="743"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lang w:bidi="ar"/>
                <w14:textFill>
                  <w14:solidFill>
                    <w14:schemeClr w14:val="tx1"/>
                  </w14:solidFill>
                </w14:textFill>
              </w:rPr>
              <w:t xml:space="preserve">1、美术教具</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none" w:color="000000" w:sz="4" w:space="0"/>
              <w:right w:val="single" w:color="000000" w:sz="4" w:space="0"/>
            </w:tcBorders>
            <w:tcW w:w="743"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928"/>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写生灯</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技术要求：1. 材质：金属材料；灯罩：球型罩灯；灯杆：钢管，塑料旋钮，内置弹簧。 2. 规格：立式三节可升降、最大调节高度2200mm、照射角度0°-120°，整体黑色，三条正常脚可折叠。3．要求：整体结实可靠，稳定性良好。表面光滑、无锈斑、划痕。4.配备专用灯，全光谱LED灯源，显色指数≥98，RG0无蓝光伤害，支持5000k、4000k、3000k色温任意切换，直径95mm，总长度165mm。</w:t>
            </w:r>
            <w:r/>
          </w:p>
        </w:tc>
        <w:tc>
          <w:tcPr>
            <w:shd w:val="clear" w:color="auto" w:fill="ffffff"/>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只</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w:t>
            </w:r>
            <w:r/>
          </w:p>
        </w:tc>
        <w:tc>
          <w:tcPr>
            <w:tcBorders>
              <w:top w:val="single" w:color="000000" w:sz="4" w:space="0"/>
              <w:left w:val="single" w:color="000000" w:sz="4" w:space="0"/>
              <w:bottom w:val="non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静物台</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技术参数及要求：1、规格：台面：600mm×600mm/带背板，腿：双折叠交叉式支撑架；2、材质：优质榉木板材；要求：可折叠，支撑稳定，工艺精细，表面光洁，环保清漆处理，漆面均匀光亮。</w:t>
            </w:r>
            <w:r/>
          </w:p>
        </w:tc>
        <w:tc>
          <w:tcPr>
            <w:shd w:val="clear" w:color="auto" w:fill="ffffff"/>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只</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w:t>
            </w:r>
            <w:r/>
          </w:p>
        </w:tc>
        <w:tc>
          <w:tcPr>
            <w:tcBorders>
              <w:top w:val="single" w:color="000000" w:sz="4" w:space="0"/>
              <w:left w:val="single" w:color="000000" w:sz="4" w:space="0"/>
              <w:bottom w:val="non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衬布</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技术要求：1．规格：长度不小于2000mm，宽度不小于1000mm。 2．材质：衬布材质为棉布，锁边。3．颜色搭配。4. 产品易于清洗，耐用，不退色。</w:t>
            </w:r>
            <w:r/>
          </w:p>
        </w:tc>
        <w:tc>
          <w:tcPr>
            <w:shd w:val="clear" w:color="auto" w:fill="ffffff"/>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40</w:t>
            </w:r>
            <w:r/>
          </w:p>
        </w:tc>
        <w:tc>
          <w:tcPr>
            <w:tcBorders>
              <w:top w:val="single" w:color="000000" w:sz="4" w:space="0"/>
              <w:left w:val="single" w:color="000000" w:sz="4" w:space="0"/>
              <w:bottom w:val="non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2312"/>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写生画箱</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技术参数及要求：500x330mm；规格：三腿对折式箱体，箱腿为全木制，材质：优质榉木、环保清漆表面处理，附有背带，接缝无开裂，内部构造光滑无毛刺，零件金属零件无锈斑。3、箱内配有简易画板1块，简易画板嵌在箱盖上；箱盖可支起作画架用,并有夹层来存放图纸,箱内分格不少于5个,用来存放绘画工具、颜料等,箱体应有提把,提把表面镀铬,背带由宽度不小于25mm的混纺编织带或帆布制成,长短可调,产品表面平整、无裂纹、疖疤、毛刺并涂树脂清漆,漆层均匀、光亮。</w:t>
            </w:r>
            <w:r/>
          </w:p>
        </w:tc>
        <w:tc>
          <w:tcPr>
            <w:shd w:val="clear" w:color="auto" w:fill="ffffff"/>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只</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non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162"/>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石膏像</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技术要求：1．材质：优质石膏粉。2．配置：⑴腊空半面1件；⑵阿格里巴切面1件：；⑶太阳神头像1件；⑷海盗头像1件；⑸小大卫头像1件；共5类5件。3．要求：形态逼真，工艺新颖，外观整洁，无反光，线条清晰，无裂纹。木架包装。</w:t>
            </w:r>
            <w:r/>
          </w:p>
        </w:tc>
        <w:tc>
          <w:tcPr>
            <w:shd w:val="clear" w:color="auto" w:fill="ffffff"/>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non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几何形体</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技术要求：1．材质：优质石膏粉。2.几何形体15件 ：圆球、四棱锥、正方体、圆锥、长方体、圆柱体、六棱柱、方带方、圆锥带圆、方锥带方、多面体、八棱柱、六棱锥、圆切、十二面体各一件。木架包装。</w:t>
            </w:r>
            <w:r/>
          </w:p>
        </w:tc>
        <w:tc>
          <w:tcPr>
            <w:shd w:val="clear" w:color="auto" w:fill="ffffff"/>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non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928"/>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民间美术样本</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技术要求：配置：⑴木版年画（杨柳青年画1件）；⑵剪纸（体现套色、阴刻、阳刻特点作品各1 件）；⑶皮影人物2件；⑷扎染1件；蜡染1件；绣片：2件；⑸风筝（胖沙燕1件、瘦沙燕1件、软翅蝴蝶1件）；⑹布老虎1个；⑺泥老虎1个；⑻挂饰（香包2件，中国结2件）；⑼工艺品竹提篮1个；⑽陕西凤翔挂虎1件；⑾京剧脸谱（生、旦、净、末、丑各1件）；⑿民间玩具（风车1件、空竹1件）；⒀泥塑作品一组（5件）；共13类33件。</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non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162"/>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静物</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配置：蜡果六件（香蕉、苹果、桔子、桃子、梨子、西瓜），器皿十六件（花瓶2件、砂锅2件、磁盘2件、瓷碗2件、陶罐2件、铝壶2件、编织篮1件、玻璃制品2件）、玩具四件（毛绒玩具1件、塑料玩具1件、木制玩具1件、布玩具1件）。</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non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54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陶瓷样本</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技术要求：配置：中国各大名窑实物(仿)十四件，可陈设、展示、欣赏，泥条成型作品1件、泥板成型作品1件、拉坯成型作品1件、新石器时期文物仿制品3件、官窑仿制品1件、宜兴紫砂茶壶1件、定窑仿制品1件、釉下青花瓷仿制品1件、唐三彩作品1件、均窑仿制品1件、汝窑仿制品1件、哥窑仿制品1件。</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non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54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展示画框</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画框用于展示绘画作品，配备大小画框各1个。小画框：外框尺寸≥600*450mm,可放≥420*570mm作品；大画框：外框尺寸≥900*600mm，可放≥570*870mm作品；材质要求：铝合金边框，边框宽≥25mm，厚≥12mm，面板采用高清硬PVC板，背板是高密度KT板。镜框采用前开式设计，便于取放绘画作品。</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40</w:t>
            </w:r>
            <w:r/>
          </w:p>
        </w:tc>
        <w:tc>
          <w:tcPr>
            <w:tcBorders>
              <w:top w:val="single" w:color="000000" w:sz="4" w:space="0"/>
              <w:left w:val="single" w:color="000000" w:sz="4" w:space="0"/>
              <w:bottom w:val="non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lang w:bidi="ar"/>
                <w14:textFill>
                  <w14:solidFill>
                    <w14:schemeClr w14:val="tx1"/>
                  </w14:solidFill>
                </w14:textFill>
              </w:rPr>
              <w:t xml:space="preserve">2、绘画器材</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none" w:color="000000" w:sz="4" w:space="0"/>
              <w:right w:val="single" w:color="000000" w:sz="4" w:space="0"/>
            </w:tcBorders>
            <w:tcW w:w="743"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绘画辅材</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配置：不锈钢夹子2个，纸胶带2个，吸水棉1块，定画液1瓶，木炭条1盒，大中小纸擦笔各1支，工具盒包装。</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122</w:t>
            </w:r>
            <w:r/>
          </w:p>
        </w:tc>
        <w:tc>
          <w:tcPr>
            <w:tcBorders>
              <w:top w:val="single" w:color="000000" w:sz="4" w:space="0"/>
              <w:left w:val="single" w:color="000000" w:sz="4" w:space="0"/>
              <w:bottom w:val="non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素描工具</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技术要求：定位包装，内部可立式设计，便于取放铅笔等。配置要求：配备已削好素描专用铅笔5H/4H/3H/2H/HB/B/2B/3B/4B/5B/6B/8B各1支，3支碳画铅笔（软、中、硬），大小纸笔各1支，木炭条4根，粉画铅笔4支，3支碳棒（软、中、硬），3支石墨条（软、中、硬），双头铅笔延长器1支，金属美工刀1把，金属卷笔刀1个，塑料卷笔刀1个，素描专用砂纸板1份，白橡皮1个，软橡皮1个，6B石墨1支。</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eastAsia="zh-CN" w:bidi="ar"/>
                <w14:textFill>
                  <w14:solidFill>
                    <w14:schemeClr w14:val="tx1"/>
                  </w14:solidFill>
                </w14:textFill>
              </w:rPr>
              <w:t xml:space="preserve">▲提供含有CMA或CNAS标识的</w:t>
            </w:r>
            <w:r>
              <w:rPr>
                <w:rFonts w:hint="eastAsia" w:ascii="宋体" w:hAnsi="宋体" w:cs="宋体"/>
                <w:color w:val="000000" w:themeColor="text1"/>
                <w:sz w:val="20"/>
                <w:szCs w:val="20"/>
                <w:highlight w:val="none"/>
                <w:lang w:bidi="ar"/>
                <w14:textFill>
                  <w14:solidFill>
                    <w14:schemeClr w14:val="tx1"/>
                  </w14:solidFill>
                </w14:textFill>
              </w:rPr>
              <w:t xml:space="preserve">素描工具</w:t>
            </w:r>
            <w:r>
              <w:rPr>
                <w:rFonts w:hint="eastAsia" w:ascii="宋体" w:hAnsi="宋体" w:cs="宋体"/>
                <w:color w:val="000000" w:themeColor="text1"/>
                <w:sz w:val="20"/>
                <w:szCs w:val="20"/>
                <w:highlight w:val="none"/>
                <w:lang w:eastAsia="zh-CN" w:bidi="ar"/>
                <w14:textFill>
                  <w14:solidFill>
                    <w14:schemeClr w14:val="tx1"/>
                  </w14:solidFill>
                </w14:textFill>
              </w:rPr>
              <w:t xml:space="preserve">检测报告原件的扫描件加盖电子章</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122</w:t>
            </w:r>
            <w:r/>
          </w:p>
        </w:tc>
        <w:tc>
          <w:tcPr>
            <w:tcBorders>
              <w:top w:val="single" w:color="000000" w:sz="4" w:space="0"/>
              <w:left w:val="single" w:color="000000" w:sz="4" w:space="0"/>
              <w:bottom w:val="non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削笔器</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素描绘画专用削笔器，外观尺寸≥63*49*97mm，手摇式设计，粗细可调。</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122</w:t>
            </w:r>
            <w:r/>
          </w:p>
        </w:tc>
        <w:tc>
          <w:tcPr>
            <w:tcBorders>
              <w:top w:val="single" w:color="000000" w:sz="4" w:space="0"/>
              <w:left w:val="single" w:color="000000" w:sz="4" w:space="0"/>
              <w:bottom w:val="non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1928"/>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洗笔筒</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规格≥227*114*133mm，洗笔筒塑料材质，带提手，整体分3层设计，一层是调色板，二层是18格颜料盒，三层是洗笔筒，洗笔筒分洗笔区和晾笔区，洗笔区采用梯形设计，方便清洗画笔残余颜料，笔筒两侧分别设有8个大小插笔孔，可收纳不同粗细画笔。</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eastAsia="zh-CN" w:bidi="ar"/>
                <w14:textFill>
                  <w14:solidFill>
                    <w14:schemeClr w14:val="tx1"/>
                  </w14:solidFill>
                </w14:textFill>
              </w:rPr>
              <w:t xml:space="preserve">▲提供含有CMA或CNAS标识的</w:t>
            </w:r>
            <w:r>
              <w:rPr>
                <w:rFonts w:hint="eastAsia" w:ascii="宋体" w:hAnsi="宋体" w:cs="宋体"/>
                <w:color w:val="000000" w:themeColor="text1"/>
                <w:sz w:val="20"/>
                <w:szCs w:val="20"/>
                <w:highlight w:val="none"/>
                <w:lang w:bidi="ar"/>
                <w14:textFill>
                  <w14:solidFill>
                    <w14:schemeClr w14:val="tx1"/>
                  </w14:solidFill>
                </w14:textFill>
              </w:rPr>
              <w:t xml:space="preserve">洗笔筒检测报告，检验内容：可迁移元素的限量（锑、砷、钡、镉、铬、铅、汞、硒）符合《学生用品的安全通用要求》。</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提供检测报告原件的扫描件加盖电子章</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只</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122</w:t>
            </w:r>
            <w:r/>
          </w:p>
        </w:tc>
        <w:tc>
          <w:tcPr>
            <w:tcBorders>
              <w:top w:val="single" w:color="000000" w:sz="4" w:space="0"/>
              <w:left w:val="single" w:color="000000" w:sz="4" w:space="0"/>
              <w:bottom w:val="non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素描纸</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4K袋装，≥20张/袋</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200</w:t>
            </w:r>
            <w:r/>
          </w:p>
        </w:tc>
        <w:tc>
          <w:tcPr>
            <w:tcBorders>
              <w:top w:val="single" w:color="000000" w:sz="4" w:space="0"/>
              <w:left w:val="single" w:color="000000" w:sz="4" w:space="0"/>
              <w:bottom w:val="non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速写本</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规格要求：8开，全木浆无酸纸。性能：色泽纯白柔和，保护视力；纹理清晰、细腻、附着力强，易上铅，可双面使用，不易黄变，持久收藏。</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本</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200</w:t>
            </w:r>
            <w:r/>
          </w:p>
        </w:tc>
        <w:tc>
          <w:tcPr>
            <w:tcBorders>
              <w:top w:val="single" w:color="000000" w:sz="4" w:space="0"/>
              <w:left w:val="single" w:color="000000" w:sz="4" w:space="0"/>
              <w:bottom w:val="non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水彩纸</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4K袋装，≥10张/袋</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200</w:t>
            </w:r>
            <w:r/>
          </w:p>
        </w:tc>
        <w:tc>
          <w:tcPr>
            <w:tcBorders>
              <w:top w:val="single" w:color="000000" w:sz="4" w:space="0"/>
              <w:left w:val="single" w:color="000000" w:sz="4" w:space="0"/>
              <w:bottom w:val="non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水彩笔</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12支套装水彩笔，尼龙毛圆形笔头，实木烤漆笔杆，塑料笔盒包装。</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122</w:t>
            </w:r>
            <w:r/>
          </w:p>
        </w:tc>
        <w:tc>
          <w:tcPr>
            <w:tcBorders>
              <w:top w:val="single" w:color="000000" w:sz="4" w:space="0"/>
              <w:left w:val="single" w:color="000000" w:sz="4" w:space="0"/>
              <w:bottom w:val="non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水彩颜料</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24色水彩颜料，12ml装</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盒</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122</w:t>
            </w:r>
            <w:r/>
          </w:p>
        </w:tc>
        <w:tc>
          <w:tcPr>
            <w:tcBorders>
              <w:top w:val="single" w:color="000000" w:sz="4" w:space="0"/>
              <w:left w:val="single" w:color="000000" w:sz="4" w:space="0"/>
              <w:bottom w:val="non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水粉纸</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4K袋装，20张/袋装  </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200</w:t>
            </w:r>
            <w:r/>
          </w:p>
        </w:tc>
        <w:tc>
          <w:tcPr>
            <w:tcBorders>
              <w:top w:val="single" w:color="000000" w:sz="4" w:space="0"/>
              <w:left w:val="single" w:color="000000" w:sz="4" w:space="0"/>
              <w:bottom w:val="non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水粉笔</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12支套装水粉笔，尼龙毛舌峰笔头，实木烤漆笔杆，塑料笔盒包装。</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122</w:t>
            </w:r>
            <w:r/>
          </w:p>
        </w:tc>
        <w:tc>
          <w:tcPr>
            <w:tcBorders>
              <w:top w:val="single" w:color="000000" w:sz="4" w:space="0"/>
              <w:left w:val="single" w:color="000000" w:sz="4" w:space="0"/>
              <w:bottom w:val="non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水粉颜料</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24色水粉颜料，12ml装</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盒</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122</w:t>
            </w:r>
            <w:r/>
          </w:p>
        </w:tc>
        <w:tc>
          <w:tcPr>
            <w:tcBorders>
              <w:top w:val="single" w:color="000000" w:sz="4" w:space="0"/>
              <w:left w:val="single" w:color="000000" w:sz="4" w:space="0"/>
              <w:bottom w:val="non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5378"/>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油画工具</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eastAsia="宋体" w:cs="宋体"/>
                <w:color w:val="000000" w:themeColor="text1"/>
                <w:sz w:val="20"/>
                <w:szCs w:val="20"/>
                <w:highlight w:val="none"/>
                <w:lang w:eastAsia="zh-CN"/>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技术要求：1、绘画笔6支，2#、4#、6#、8#、10#</w:t>
            </w:r>
            <w:r>
              <w:rPr>
                <w:rFonts w:hint="eastAsia" w:ascii="宋体" w:hAnsi="宋体" w:cs="宋体"/>
                <w:color w:val="000000" w:themeColor="text1"/>
                <w:sz w:val="20"/>
                <w:szCs w:val="20"/>
                <w:highlight w:val="none"/>
                <w:lang w:bidi="ar"/>
                <w14:textFill>
                  <w14:solidFill>
                    <w14:schemeClr w14:val="tx1"/>
                  </w14:solidFill>
                </w14:textFill>
              </w:rPr>
              <w:t xml:space="preserve">、12#各1支，画笔整体长度≥28cm，猪鬃舌峰笔头，实木烤漆笔杆；2、长杆宽头画笔3支：笔头宽度分别为30mm、40mm、50mm，画笔整体长度≥28cm；3、扇形画笔6支：2#、4#、6#、8#、10#、12#各1支，画笔整体长度≥28cm，猪鬃扇形笔头，实木烤漆笔杆；4、勾线笔6支：尼龙毛笔头，勾线、描边及细节的描绘；5、不锈钢双体油壶1个：夹子设计可以夹在调色板上更方便，带盖设计使调色油不易挥发；6、不锈钢洗笔器1套；7、油画刀5把：不锈钢刀片轻薄有韧性，弹性好；8、品牌调色油1瓶，油画媒介，无刺激</w:t>
            </w:r>
            <w:r>
              <w:rPr>
                <w:rFonts w:hint="eastAsia" w:ascii="宋体" w:hAnsi="宋体" w:cs="宋体"/>
                <w:color w:val="000000" w:themeColor="text1"/>
                <w:sz w:val="20"/>
                <w:szCs w:val="20"/>
                <w:highlight w:val="none"/>
                <w:lang w:bidi="ar"/>
                <w14:textFill>
                  <w14:solidFill>
                    <w14:schemeClr w14:val="tx1"/>
                  </w14:solidFill>
                </w14:textFill>
              </w:rPr>
              <w:t xml:space="preserve">性气味，能使作画更加流畅，能长期使油画颜色保持不变；9、品牌松节油1瓶，油画媒介，晶莹透明，无杂质，用来清洗画笔颜料；10、品牌上光油1瓶，用于保护和提升画质效果等。11、不锈钢画框分离夹：2 个；12、马利水溶性彩铅1套，12色，用于绘画打稿；13、起钉器1件，整体长度≥150mm；14、颜料挤压器1件，铝合金材质，尺寸10.5*8.5cm；15、马利橡皮1块：4B橡皮；16、木质方形调色板1件。工具箱尺寸：45*33*9cm；中空吹塑定位包装，所有产品均有单独卡槽定位于箱子内，不得串动，便于携带、存放。</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eastAsia="zh-CN" w:bidi="ar"/>
                <w14:textFill>
                  <w14:solidFill>
                    <w14:schemeClr w14:val="tx1"/>
                  </w14:solidFill>
                </w14:textFill>
              </w:rPr>
              <w:t xml:space="preserve">▲提供含有CMA或CNAS标识的</w:t>
            </w:r>
            <w:r>
              <w:rPr>
                <w:rFonts w:hint="eastAsia" w:ascii="宋体" w:hAnsi="宋体" w:cs="宋体"/>
                <w:color w:val="000000" w:themeColor="text1"/>
                <w:sz w:val="20"/>
                <w:szCs w:val="20"/>
                <w:highlight w:val="none"/>
                <w:lang w:bidi="ar"/>
                <w14:textFill>
                  <w14:solidFill>
                    <w14:schemeClr w14:val="tx1"/>
                  </w14:solidFill>
                </w14:textFill>
              </w:rPr>
              <w:t xml:space="preserve">油画工具检测报告，检验内容：可迁移元素的限量（锑、砷、钡、镉、铬、铅、汞、硒）符合《学生用品的安全通用要求》。</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提供检测报告原件的扫描件加盖电子章</w:t>
            </w:r>
            <w:r>
              <w:rPr>
                <w:rFonts w:hint="eastAsia" w:ascii="宋体" w:hAnsi="宋体" w:cs="宋体"/>
                <w:color w:val="000000" w:themeColor="text1"/>
                <w:sz w:val="20"/>
                <w:szCs w:val="20"/>
                <w:highlight w:val="none"/>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122</w:t>
            </w:r>
            <w:r/>
          </w:p>
        </w:tc>
        <w:tc>
          <w:tcPr>
            <w:tcBorders>
              <w:top w:val="single" w:color="000000" w:sz="4" w:space="0"/>
              <w:left w:val="single" w:color="000000" w:sz="4" w:space="0"/>
              <w:bottom w:val="non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油画颜料</w:t>
            </w:r>
            <w:r/>
          </w:p>
        </w:tc>
        <w:tc>
          <w:tcPr>
            <w:shd w:val="clear" w:color="auto" w:fill="ffffff"/>
            <w:tcBorders>
              <w:top w:val="single" w:color="000000" w:sz="4" w:space="0"/>
              <w:left w:val="single" w:color="000000" w:sz="4" w:space="0"/>
              <w:bottom w:val="single" w:color="auto"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18色油画颜料，12ml装</w:t>
            </w:r>
            <w:r/>
          </w:p>
        </w:tc>
        <w:tc>
          <w:tcPr>
            <w:tcBorders>
              <w:top w:val="single" w:color="000000" w:sz="4" w:space="0"/>
              <w:left w:val="single" w:color="000000" w:sz="4" w:space="0"/>
              <w:bottom w:val="single" w:color="auto" w:sz="4" w:space="0"/>
              <w:right w:val="single" w:color="000000"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auto"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122</w:t>
            </w:r>
            <w:r/>
          </w:p>
        </w:tc>
        <w:tc>
          <w:tcPr>
            <w:tcBorders>
              <w:top w:val="single" w:color="000000" w:sz="4" w:space="0"/>
              <w:left w:val="single" w:color="000000" w:sz="4" w:space="0"/>
              <w:bottom w:val="single" w:color="auto"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auto"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auto"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油画纸</w:t>
            </w:r>
            <w:r/>
          </w:p>
        </w:tc>
        <w:tc>
          <w:tcPr>
            <w:shd w:val="clear" w:color="auto" w:fill="ffffff"/>
            <w:tcBorders>
              <w:top w:val="single" w:color="auto" w:sz="4" w:space="0"/>
              <w:left w:val="single" w:color="auto" w:sz="4" w:space="0"/>
              <w:bottom w:val="single" w:color="auto" w:sz="4" w:space="0"/>
              <w:right w:val="single" w:color="auto"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4K袋装，10张/袋装</w:t>
            </w:r>
            <w:r/>
          </w:p>
        </w:tc>
        <w:tc>
          <w:tcPr>
            <w:tcBorders>
              <w:top w:val="single" w:color="auto" w:sz="4" w:space="0"/>
              <w:left w:val="single" w:color="auto" w:sz="4" w:space="0"/>
              <w:bottom w:val="single" w:color="auto" w:sz="4" w:space="0"/>
              <w:right w:val="single" w:color="auto" w:sz="4" w:space="0"/>
            </w:tcBorders>
            <w:tcW w:w="657"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200</w:t>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gridSpan w:val="2"/>
            <w:shd w:val="clear" w:color="auto" w:fill="auto"/>
            <w:tcBorders>
              <w:top w:val="single" w:color="000000" w:sz="4" w:space="0"/>
              <w:left w:val="single" w:color="000000" w:sz="4" w:space="0"/>
              <w:bottom w:val="single" w:color="000000" w:sz="4" w:space="0"/>
              <w:right w:val="single" w:color="auto" w:sz="4" w:space="0"/>
            </w:tcBorders>
            <w:tcW w:w="1784" w:type="dxa"/>
            <w:vAlign w:val="center"/>
            <w:textDirection w:val="lrTb"/>
            <w:noWrap w:val="false"/>
          </w:tcPr>
          <w:p>
            <w:pPr>
              <w:jc w:val="center"/>
              <w:widowControl/>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lang w:bidi="ar"/>
                <w14:textFill>
                  <w14:solidFill>
                    <w14:schemeClr w14:val="tx1"/>
                  </w14:solidFill>
                </w14:textFill>
              </w:rPr>
              <w:t xml:space="preserve">三、环境装饰及基础器材</w:t>
            </w:r>
            <w:r/>
          </w:p>
        </w:tc>
        <w:tc>
          <w:tcPr>
            <w:shd w:val="clear" w:color="auto" w:fill="ffffff"/>
            <w:tcBorders>
              <w:top w:val="single" w:color="auto" w:sz="4" w:space="0"/>
              <w:left w:val="single" w:color="auto" w:sz="4" w:space="0"/>
              <w:bottom w:val="single" w:color="auto" w:sz="4" w:space="0"/>
              <w:right w:val="single" w:color="auto" w:sz="4" w:space="0"/>
            </w:tcBorders>
            <w:tcW w:w="5214" w:type="dxa"/>
            <w:vAlign w:val="center"/>
            <w:textDirection w:val="lrTb"/>
            <w:noWrap w:val="false"/>
          </w:tcPr>
          <w:p>
            <w:pPr>
              <w:jc w:val="left"/>
              <w:rPr>
                <w:rFonts w:hint="eastAsia" w:ascii="宋体" w:hAnsi="宋体" w:cs="宋体"/>
                <w:b/>
                <w:bCs/>
                <w:color w:val="000000" w:themeColor="text1"/>
                <w:sz w:val="20"/>
                <w:szCs w:val="20"/>
                <w:highlight w:val="none"/>
                <w14:textFill>
                  <w14:solidFill>
                    <w14:schemeClr w14:val="tx1"/>
                  </w14:solidFill>
                </w14:textFill>
              </w:rPr>
            </w:pPr>
            <w:r>
              <w:rPr>
                <w:rFonts w:hint="eastAsia" w:ascii="宋体" w:hAnsi="宋体" w:cs="宋体"/>
                <w:b/>
                <w:bCs/>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26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w:t>
            </w:r>
            <w:r/>
          </w:p>
        </w:tc>
        <w:tc>
          <w:tcPr>
            <w:shd w:val="clear" w:color="auto" w:fill="ffffff"/>
            <w:tcBorders>
              <w:top w:val="single" w:color="000000" w:sz="4" w:space="0"/>
              <w:left w:val="single" w:color="000000" w:sz="4" w:space="0"/>
              <w:bottom w:val="single" w:color="000000" w:sz="4" w:space="0"/>
              <w:right w:val="single" w:color="auto"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美术教学用品柜</w:t>
            </w:r>
            <w:r/>
          </w:p>
        </w:tc>
        <w:tc>
          <w:tcPr>
            <w:shd w:val="clear" w:color="auto" w:fill="ffffff"/>
            <w:tcBorders>
              <w:top w:val="single" w:color="auto" w:sz="4" w:space="0"/>
              <w:left w:val="single" w:color="auto" w:sz="4" w:space="0"/>
              <w:bottom w:val="single" w:color="auto" w:sz="4" w:space="0"/>
              <w:right w:val="single" w:color="auto"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1、规格：≥1000*450*2000mm。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2、结构：全木结构，现代工艺，结构牢固。柜身分上下两部分，上部玻璃板材拉门，放置两层活动层板，下部板材拉门，放置一层活动层板。</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3、材质：柜身材料采用≥18mm厚E1级双贴面三聚氰胺板；</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板材所有截面均经全自动封边机封边处理，所用封边条为厚PVC封边条,热熔胶一次成型；</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4、配件：采用优质五金配件，结构牢固，经久耐用。</w:t>
            </w:r>
            <w:r/>
          </w:p>
        </w:tc>
        <w:tc>
          <w:tcPr>
            <w:tcBorders>
              <w:top w:val="single" w:color="auto" w:sz="4" w:space="0"/>
              <w:left w:val="single" w:color="auto" w:sz="4" w:space="0"/>
              <w:bottom w:val="single" w:color="auto" w:sz="4" w:space="0"/>
              <w:right w:val="single" w:color="auto" w:sz="4" w:space="0"/>
            </w:tcBorders>
            <w:tcW w:w="65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个</w:t>
            </w: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26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w:t>
            </w:r>
            <w:r/>
          </w:p>
        </w:tc>
        <w:tc>
          <w:tcPr>
            <w:shd w:val="clear" w:color="auto" w:fill="ffffff"/>
            <w:tcBorders>
              <w:top w:val="single" w:color="000000" w:sz="4" w:space="0"/>
              <w:left w:val="single" w:color="000000" w:sz="4" w:space="0"/>
              <w:bottom w:val="single" w:color="000000" w:sz="4" w:space="0"/>
              <w:right w:val="non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美术教学用品柜</w:t>
            </w:r>
            <w:r/>
          </w:p>
        </w:tc>
        <w:tc>
          <w:tcPr>
            <w:shd w:val="clear" w:color="auto" w:fill="ffffff"/>
            <w:tcBorders>
              <w:top w:val="single" w:color="auto"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1、规格：≥1000*500*1000mm；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2、全木结构：横向放置二层18mm厚E1级双贴面三聚氰胺层板，竖向放置一块16mm厚E1级双贴面三聚氰胺隔板，柜子分为5格，上部为一个大格子，下部4个相同尺寸的小格子；</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3、材质：柜身材料采用≥18mm厚E1级双贴面三聚氰胺板；</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板材所有截面均经全自动封边机封边处理，所用封边条分别为优质（0.8-1）mm（内嵌）、（1.5-2）mm（外露）厚PVC封边条,热熔胶一次成型；</w:t>
            </w:r>
            <w:r>
              <w:rPr>
                <w:rFonts w:hint="eastAsia" w:ascii="宋体" w:hAnsi="宋体" w:cs="宋体"/>
                <w:color w:val="000000" w:themeColor="text1"/>
                <w:sz w:val="20"/>
                <w:szCs w:val="20"/>
                <w:highlight w:val="none"/>
                <w:lang w:bidi="ar"/>
                <w14:textFill>
                  <w14:solidFill>
                    <w14:schemeClr w14:val="tx1"/>
                  </w14:solidFill>
                </w14:textFill>
              </w:rPr>
              <w:br/>
            </w:r>
            <w:r/>
          </w:p>
        </w:tc>
        <w:tc>
          <w:tcPr>
            <w:tcBorders>
              <w:top w:val="single" w:color="auto"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个</w:t>
            </w:r>
            <w:r/>
          </w:p>
        </w:tc>
        <w:tc>
          <w:tcPr>
            <w:tcBorders>
              <w:top w:val="single" w:color="auto"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w:t>
            </w:r>
            <w:r/>
          </w:p>
        </w:tc>
        <w:tc>
          <w:tcPr>
            <w:tcBorders>
              <w:top w:val="single" w:color="auto" w:sz="4" w:space="0"/>
              <w:left w:val="single" w:color="000000" w:sz="4" w:space="0"/>
              <w:bottom w:val="single" w:color="auto"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000000" w:sz="4" w:space="0"/>
              <w:bottom w:val="single" w:color="auto"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26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3</w:t>
            </w:r>
            <w:r/>
          </w:p>
        </w:tc>
        <w:tc>
          <w:tcPr>
            <w:shd w:val="clear" w:color="auto" w:fill="ffffff"/>
            <w:tcBorders>
              <w:top w:val="single" w:color="000000" w:sz="4" w:space="0"/>
              <w:left w:val="single" w:color="000000" w:sz="4" w:space="0"/>
              <w:bottom w:val="single" w:color="000000" w:sz="4" w:space="0"/>
              <w:right w:val="non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美术教学用品柜</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1、规格：≥1200*500*1000mm；</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2、全木结构：横向放置二层≥18mm厚E1级双贴面三聚氰胺层板，竖向放置二块18mm厚E1级双贴面三聚氰胺隔板，柜子分为7格，上部为一个大格子，下部6个相同尺寸的小格子；</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3、材质：柜身材料采用18mm厚E1级双贴面三聚氰胺板；</w:t>
            </w:r>
            <w:r>
              <w:rPr>
                <w:rFonts w:hint="eastAsia" w:ascii="宋体" w:hAnsi="宋体" w:cs="宋体"/>
                <w:color w:val="000000" w:themeColor="text1"/>
                <w:sz w:val="20"/>
                <w:szCs w:val="20"/>
                <w:highlight w:val="none"/>
                <w:lang w:bidi="ar"/>
                <w14:textFill>
                  <w14:solidFill>
                    <w14:schemeClr w14:val="tx1"/>
                  </w14:solidFill>
                </w14:textFill>
              </w:rPr>
              <w:br/>
            </w:r>
            <w:r>
              <w:rPr>
                <w:rFonts w:hint="eastAsia" w:ascii="宋体" w:hAnsi="宋体" w:cs="宋体"/>
                <w:color w:val="000000" w:themeColor="text1"/>
                <w:sz w:val="20"/>
                <w:szCs w:val="20"/>
                <w:highlight w:val="none"/>
                <w:lang w:bidi="ar"/>
                <w14:textFill>
                  <w14:solidFill>
                    <w14:schemeClr w14:val="tx1"/>
                  </w14:solidFill>
                </w14:textFill>
              </w:rPr>
              <w:t xml:space="preserve">板材所有截面均经全自动封边机封边处理，所用封边条分别为优质（0.8-1）mm（内嵌）、（1.5-2）mm（外露）厚PVC封边条,热熔胶一次成型；</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auto"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778"/>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世界名画欣赏</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世界名画作品（仿）欣赏，要求作品装裱展示，尺寸≥60*80cm，作品有：向日葵、星月夜、罗纳河上的星夜、带毡帽的自画像、春日渔夫和船、蒙马特的菜园、凤凰花、雨后奥维的景色等。</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幅</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16</w:t>
            </w:r>
            <w:r/>
          </w:p>
        </w:tc>
        <w:tc>
          <w:tcPr>
            <w:tcBorders>
              <w:top w:val="single" w:color="auto" w:sz="4" w:space="0"/>
              <w:left w:val="single" w:color="000000" w:sz="4" w:space="0"/>
              <w:bottom w:val="non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作品展示板</w:t>
            </w:r>
            <w:r/>
          </w:p>
        </w:tc>
        <w:tc>
          <w:tcPr>
            <w:shd w:val="clear" w:color="auto" w:fill="ffffff"/>
            <w:tcBorders>
              <w:top w:val="single" w:color="000000" w:sz="4" w:space="0"/>
              <w:left w:val="single" w:color="000000" w:sz="4" w:space="0"/>
              <w:bottom w:val="single" w:color="000000" w:sz="4" w:space="0"/>
              <w:right w:val="single" w:color="000000" w:sz="4" w:space="0"/>
            </w:tcBorders>
            <w:tcW w:w="5214"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尺寸：≥1200mm*2400mm*8mm，聚酯纤维材质，带压痕边框，圆角设计，配工字钉。</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块</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bl>
    <w:p>
      <w:pPr>
        <w:pStyle w:val="712"/>
        <w:rPr>
          <w:rFonts w:hAnsi="宋体" w:cs="宋体"/>
          <w:b/>
          <w:bCs/>
          <w:sz w:val="24"/>
        </w:rPr>
      </w:pPr>
      <w:r>
        <w:rPr>
          <w:rFonts w:hAnsi="宋体" w:cs="宋体"/>
          <w:b/>
          <w:bCs/>
          <w:sz w:val="24"/>
        </w:rPr>
      </w:r>
      <w:r/>
    </w:p>
    <w:p>
      <w:pPr>
        <w:pStyle w:val="712"/>
        <w:rPr>
          <w:rFonts w:hAnsi="宋体" w:cs="宋体"/>
          <w:b/>
          <w:bCs/>
          <w:sz w:val="24"/>
        </w:rPr>
      </w:pPr>
      <w:r>
        <w:rPr>
          <w:rFonts w:hAnsi="宋体" w:cs="宋体"/>
          <w:b/>
          <w:bCs/>
          <w:sz w:val="24"/>
        </w:rPr>
      </w:r>
      <w:r/>
    </w:p>
    <w:p>
      <w:pPr>
        <w:pStyle w:val="712"/>
        <w:rPr>
          <w:rFonts w:hAnsi="宋体" w:cs="宋体"/>
          <w:b/>
          <w:bCs/>
          <w:sz w:val="24"/>
        </w:rPr>
      </w:pPr>
      <w:r>
        <w:rPr>
          <w:rFonts w:hAnsi="宋体" w:cs="宋体"/>
          <w:b/>
          <w:bCs/>
          <w:sz w:val="24"/>
        </w:rPr>
      </w:r>
      <w:r/>
    </w:p>
    <w:p>
      <w:pPr>
        <w:pStyle w:val="712"/>
        <w:rPr>
          <w:rFonts w:hAnsi="宋体" w:cs="宋体"/>
          <w:b/>
          <w:bCs/>
          <w:sz w:val="24"/>
          <w:highlight w:val="none"/>
        </w:rPr>
      </w:pPr>
      <w:r>
        <w:rPr>
          <w:rFonts w:hAnsi="宋体" w:cs="宋体"/>
          <w:b/>
          <w:bCs/>
          <w:sz w:val="24"/>
          <w:highlight w:val="none"/>
        </w:rPr>
      </w:r>
      <w:r/>
    </w:p>
    <w:p>
      <w:pPr>
        <w:numPr>
          <w:ilvl w:val="0"/>
          <w:numId w:val="0"/>
        </w:numPr>
        <w:keepLines w:val="0"/>
        <w:keepNext w:val="0"/>
        <w:pageBreakBefore w:val="0"/>
        <w:spacing w:line="360" w:lineRule="auto"/>
        <w:widowControl w:val="off"/>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备注：1、本次招标的核心产品：篮球架。</w:t>
      </w:r>
      <w:r/>
    </w:p>
    <w:p>
      <w:pPr>
        <w:numPr>
          <w:ilvl w:val="0"/>
          <w:numId w:val="0"/>
        </w:numPr>
        <w:ind w:firstLine="720"/>
        <w:keepLines w:val="0"/>
        <w:keepNext w:val="0"/>
        <w:pageBreakBefore w:val="0"/>
        <w:spacing w:line="360"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2、本次招标产品的质保期：3年。</w:t>
      </w:r>
      <w:r>
        <w:rPr>
          <w:rFonts w:hint="eastAsia" w:ascii="宋体" w:hAnsi="宋体" w:cs="宋体"/>
          <w:b w:val="0"/>
          <w:bCs w:val="0"/>
          <w:color w:val="auto"/>
          <w:sz w:val="24"/>
          <w:szCs w:val="24"/>
          <w:highlight w:val="none"/>
        </w:rPr>
        <w:br w:type="page" w:clear="all"/>
      </w:r>
      <w:r/>
    </w:p>
    <w:p>
      <w:pPr>
        <w:pStyle w:val="712"/>
        <w:rPr>
          <w:rFonts w:hint="eastAsia" w:hAnsi="宋体" w:cs="宋体"/>
          <w:sz w:val="24"/>
        </w:rPr>
      </w:pPr>
      <w:r>
        <w:rPr>
          <w:rFonts w:hint="eastAsia" w:hAnsi="宋体" w:cs="宋体"/>
          <w:sz w:val="24"/>
        </w:rPr>
      </w:r>
      <w:r/>
    </w:p>
    <w:p>
      <w:pPr>
        <w:pStyle w:val="712"/>
        <w:rPr>
          <w:rFonts w:hAnsi="宋体" w:cs="宋体"/>
          <w:b/>
          <w:bCs/>
          <w:sz w:val="36"/>
          <w:szCs w:val="36"/>
        </w:rPr>
      </w:pPr>
      <w:r>
        <w:rPr>
          <w:rFonts w:hAnsi="宋体" w:cs="宋体"/>
          <w:b/>
          <w:bCs/>
          <w:sz w:val="36"/>
          <w:szCs w:val="36"/>
        </w:rPr>
      </w:r>
      <w:r/>
    </w:p>
    <w:p>
      <w:pPr>
        <w:pStyle w:val="706"/>
        <w:numPr>
          <w:ilvl w:val="0"/>
          <w:numId w:val="0"/>
        </w:numPr>
        <w:jc w:val="center"/>
        <w:keepNext w:val="0"/>
        <w:pageBreakBefore w:val="0"/>
        <w:spacing w:line="360" w:lineRule="auto"/>
        <w:rPr>
          <w:rFonts w:hint="eastAsia" w:ascii="宋体" w:hAnsi="宋体" w:eastAsia="宋体" w:cs="宋体"/>
          <w:b/>
          <w:bCs w:val="0"/>
          <w:color w:val="auto"/>
          <w:sz w:val="44"/>
          <w:szCs w:val="44"/>
        </w:rPr>
      </w:pPr>
      <w:r>
        <w:rPr>
          <w:rFonts w:hint="eastAsia" w:ascii="宋体" w:hAnsi="宋体" w:eastAsia="宋体" w:cs="宋体"/>
          <w:b/>
          <w:bCs w:val="0"/>
          <w:color w:val="auto"/>
          <w:sz w:val="32"/>
          <w:szCs w:val="32"/>
        </w:rPr>
        <w:t xml:space="preserve">第六章  </w:t>
      </w:r>
      <w:r>
        <w:rPr>
          <w:rFonts w:hint="eastAsia" w:ascii="宋体" w:hAnsi="宋体" w:eastAsia="宋体" w:cs="宋体"/>
          <w:b/>
          <w:bCs w:val="0"/>
          <w:color w:val="auto"/>
          <w:sz w:val="32"/>
          <w:szCs w:val="32"/>
          <w:lang w:eastAsia="zh-CN"/>
        </w:rPr>
        <w:t xml:space="preserve">投标文件</w:t>
      </w:r>
      <w:r>
        <w:rPr>
          <w:rFonts w:hint="eastAsia" w:ascii="宋体" w:hAnsi="宋体" w:eastAsia="宋体" w:cs="宋体"/>
          <w:b/>
          <w:bCs w:val="0"/>
          <w:color w:val="auto"/>
          <w:sz w:val="32"/>
          <w:szCs w:val="32"/>
        </w:rPr>
        <w:t xml:space="preserve">的组成和格式</w:t>
      </w:r>
      <w:bookmarkEnd w:id="19"/>
      <w:r/>
      <w:bookmarkStart w:id="21" w:name="_Toc5709_WPSOffice_Level1"/>
      <w:r/>
      <w:r/>
    </w:p>
    <w:p>
      <w:pPr>
        <w:pStyle w:val="907"/>
        <w:jc w:val="right"/>
        <w:keepNext w:val="0"/>
        <w:pageBreakBefore w:val="0"/>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rPr>
      </w:r>
      <w:r/>
    </w:p>
    <w:p>
      <w:pPr>
        <w:pStyle w:val="907"/>
        <w:jc w:val="right"/>
        <w:keepNext w:val="0"/>
        <w:pageBreakBefore w:val="0"/>
        <w:spacing w:line="360" w:lineRule="auto"/>
        <w:rPr>
          <w:rFonts w:hint="eastAsia" w:ascii="宋体" w:hAnsi="宋体" w:eastAsia="宋体" w:cs="宋体"/>
          <w:color w:val="auto"/>
          <w:sz w:val="44"/>
          <w:szCs w:val="44"/>
        </w:rPr>
      </w:pPr>
      <w:r>
        <w:rPr>
          <w:rFonts w:hint="eastAsia" w:ascii="宋体" w:hAnsi="宋体" w:eastAsia="宋体" w:cs="宋体"/>
          <w:color w:val="auto"/>
          <w:sz w:val="32"/>
          <w:szCs w:val="32"/>
        </w:rPr>
        <w:t xml:space="preserve">【正/副本】</w:t>
      </w:r>
      <w:bookmarkEnd w:id="21"/>
      <w:r/>
      <w:r/>
    </w:p>
    <w:p>
      <w:pPr>
        <w:pStyle w:val="907"/>
        <w:jc w:val="center"/>
        <w:keepNext w:val="0"/>
        <w:pageBreakBefore w:val="0"/>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rPr>
      </w:r>
      <w:r/>
    </w:p>
    <w:p>
      <w:pPr>
        <w:pStyle w:val="907"/>
        <w:jc w:val="center"/>
        <w:keepNext w:val="0"/>
        <w:pageBreakBefore w:val="0"/>
        <w:spacing w:line="360" w:lineRule="auto"/>
        <w:rPr>
          <w:rFonts w:hint="eastAsia" w:ascii="宋体" w:hAnsi="宋体" w:eastAsia="宋体" w:cs="宋体"/>
          <w:color w:val="auto"/>
          <w:sz w:val="44"/>
          <w:szCs w:val="44"/>
        </w:rPr>
      </w:pPr>
      <w:r>
        <w:rPr>
          <w:rFonts w:hint="eastAsia" w:hAnsi="宋体" w:cs="宋体"/>
          <w:b/>
          <w:color w:val="auto"/>
          <w:sz w:val="56"/>
          <w:szCs w:val="56"/>
          <w:lang w:val="en-US" w:eastAsia="zh-CN" w:bidi="ar-SA"/>
        </w:rPr>
        <w:t xml:space="preserve">投 标 </w:t>
      </w:r>
      <w:r>
        <w:rPr>
          <w:rFonts w:hint="eastAsia" w:ascii="宋体" w:hAnsi="宋体" w:eastAsia="宋体" w:cs="宋体"/>
          <w:b/>
          <w:color w:val="auto"/>
          <w:sz w:val="56"/>
          <w:szCs w:val="56"/>
          <w:lang w:val="en-US" w:eastAsia="zh-CN" w:bidi="ar-SA"/>
        </w:rPr>
        <w:t xml:space="preserve">文 件</w:t>
      </w:r>
      <w:r/>
    </w:p>
    <w:p>
      <w:pPr>
        <w:pStyle w:val="907"/>
        <w:ind w:firstLine="3080"/>
        <w:keepNext w:val="0"/>
        <w:pageBreakBefore w:val="0"/>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rPr>
      </w:r>
      <w:r/>
    </w:p>
    <w:p>
      <w:pPr>
        <w:pStyle w:val="907"/>
        <w:keepNext w:val="0"/>
        <w:pageBreakBefore w:val="0"/>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pStyle w:val="907"/>
        <w:keepNext w:val="0"/>
        <w:pageBreakBefore w:val="0"/>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ind w:firstLine="1446"/>
        <w:keepNext w:val="0"/>
        <w:pageBreakBefore w:val="0"/>
        <w:spacing w:line="360" w:lineRule="auto"/>
        <w:rPr>
          <w:rFonts w:hint="eastAsia" w:ascii="宋体" w:hAnsi="宋体" w:eastAsia="宋体" w:cs="宋体"/>
          <w:b/>
          <w:bCs/>
          <w:color w:val="auto"/>
          <w:sz w:val="36"/>
        </w:rPr>
      </w:pPr>
      <w:r/>
      <w:bookmarkStart w:id="22" w:name="_Toc3730_WPSOffice_Level1"/>
      <w:r/>
      <w:r/>
    </w:p>
    <w:p>
      <w:pPr>
        <w:ind w:firstLine="1446"/>
        <w:keepNext w:val="0"/>
        <w:pageBreakBefore w:val="0"/>
        <w:spacing w:line="360" w:lineRule="auto"/>
        <w:rPr>
          <w:rFonts w:hint="eastAsia" w:ascii="宋体" w:hAnsi="宋体" w:eastAsia="宋体" w:cs="宋体"/>
          <w:b/>
          <w:bCs/>
          <w:color w:val="auto"/>
          <w:sz w:val="36"/>
          <w:lang w:eastAsia="zh-CN"/>
        </w:rPr>
      </w:pPr>
      <w:r>
        <w:rPr>
          <w:rFonts w:hint="eastAsia" w:ascii="宋体" w:hAnsi="宋体" w:eastAsia="宋体" w:cs="宋体"/>
          <w:b/>
          <w:bCs/>
          <w:color w:val="auto"/>
          <w:sz w:val="36"/>
        </w:rPr>
        <w:t xml:space="preserve">项目名称</w:t>
      </w:r>
      <w:bookmarkEnd w:id="22"/>
      <w:r>
        <w:rPr>
          <w:rFonts w:hint="eastAsia" w:ascii="宋体" w:hAnsi="宋体" w:cs="宋体"/>
          <w:b/>
          <w:bCs/>
          <w:color w:val="auto"/>
          <w:sz w:val="36"/>
          <w:lang w:eastAsia="zh-CN"/>
        </w:rPr>
        <w:t xml:space="preserve">：</w:t>
      </w:r>
      <w:r/>
    </w:p>
    <w:p>
      <w:pPr>
        <w:pStyle w:val="907"/>
        <w:keepNext w:val="0"/>
        <w:pageBreakBefore w:val="0"/>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pStyle w:val="907"/>
        <w:ind w:firstLine="1428"/>
        <w:keepNext w:val="0"/>
        <w:pageBreakBefore w:val="0"/>
        <w:spacing w:line="360" w:lineRule="auto"/>
        <w:rPr>
          <w:rFonts w:hint="eastAsia" w:ascii="宋体" w:hAnsi="宋体" w:eastAsia="宋体" w:cs="宋体"/>
          <w:b/>
          <w:color w:val="auto"/>
          <w:sz w:val="36"/>
          <w:szCs w:val="24"/>
          <w:lang w:eastAsia="zh-CN"/>
        </w:rPr>
      </w:pPr>
      <w:r/>
      <w:bookmarkStart w:id="23" w:name="_Toc12183_WPSOffice_Level1"/>
      <w:r>
        <w:rPr>
          <w:rFonts w:hint="eastAsia" w:ascii="宋体" w:hAnsi="宋体" w:eastAsia="宋体" w:cs="宋体"/>
          <w:b/>
          <w:color w:val="auto"/>
          <w:sz w:val="36"/>
          <w:szCs w:val="24"/>
        </w:rPr>
        <w:t xml:space="preserve">项目编号</w:t>
      </w:r>
      <w:bookmarkEnd w:id="23"/>
      <w:r>
        <w:rPr>
          <w:rFonts w:hint="eastAsia" w:hAnsi="宋体" w:cs="宋体"/>
          <w:b/>
          <w:color w:val="auto"/>
          <w:sz w:val="36"/>
          <w:szCs w:val="24"/>
          <w:lang w:eastAsia="zh-CN"/>
        </w:rPr>
        <w:t xml:space="preserve">：</w:t>
      </w:r>
      <w:r/>
    </w:p>
    <w:p>
      <w:pPr>
        <w:ind w:firstLine="1428"/>
        <w:keepNext w:val="0"/>
        <w:pageBreakBefore w:val="0"/>
        <w:spacing w:line="360" w:lineRule="auto"/>
        <w:rPr>
          <w:rFonts w:hint="eastAsia" w:ascii="宋体" w:hAnsi="宋体" w:eastAsia="宋体" w:cs="宋体"/>
          <w:b/>
          <w:bCs/>
          <w:color w:val="auto"/>
          <w:sz w:val="36"/>
        </w:rPr>
      </w:pPr>
      <w:r/>
      <w:bookmarkStart w:id="24" w:name="_Toc5759_WPSOffice_Level1"/>
      <w:r/>
      <w:bookmarkEnd w:id="24"/>
      <w:r/>
      <w:r/>
    </w:p>
    <w:p>
      <w:pPr>
        <w:ind w:firstLine="1428"/>
        <w:keepNext w:val="0"/>
        <w:pageBreakBefore w:val="0"/>
        <w:spacing w:line="360" w:lineRule="auto"/>
        <w:rPr>
          <w:rFonts w:hint="eastAsia" w:ascii="宋体" w:hAnsi="宋体" w:eastAsia="宋体" w:cs="宋体"/>
          <w:b/>
          <w:bCs/>
          <w:color w:val="auto"/>
          <w:sz w:val="32"/>
          <w:lang w:eastAsia="zh-CN"/>
        </w:rPr>
      </w:pPr>
      <w:r>
        <w:rPr>
          <w:rFonts w:hint="eastAsia" w:ascii="宋体" w:hAnsi="宋体" w:cs="宋体"/>
          <w:b/>
          <w:bCs/>
          <w:color w:val="auto"/>
          <w:sz w:val="36"/>
          <w:lang w:eastAsia="zh-CN"/>
        </w:rPr>
        <w:t xml:space="preserve">投标人：</w:t>
      </w:r>
      <w:r/>
    </w:p>
    <w:p>
      <w:pPr>
        <w:pStyle w:val="907"/>
        <w:ind w:firstLine="1904"/>
        <w:keepNext w:val="0"/>
        <w:pageBreakBefore w:val="0"/>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pStyle w:val="907"/>
        <w:ind w:firstLine="1904"/>
        <w:keepNext w:val="0"/>
        <w:pageBreakBefore w:val="0"/>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pStyle w:val="907"/>
        <w:ind w:firstLine="1904"/>
        <w:keepNext w:val="0"/>
        <w:pageBreakBefore w:val="0"/>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pStyle w:val="907"/>
        <w:ind w:firstLine="3975"/>
        <w:keepNext w:val="0"/>
        <w:pageBreakBefore w:val="0"/>
        <w:spacing w:line="360" w:lineRule="auto"/>
        <w:rPr>
          <w:rFonts w:hint="eastAsia" w:ascii="宋体" w:hAnsi="宋体" w:cs="宋体"/>
          <w:color w:val="auto"/>
          <w:sz w:val="24"/>
        </w:rPr>
      </w:pPr>
      <w:r/>
      <w:bookmarkStart w:id="25" w:name="_Toc3474_WPSOffice_Level1"/>
      <w:r>
        <w:rPr>
          <w:rFonts w:hint="eastAsia" w:ascii="宋体" w:hAnsi="宋体" w:eastAsia="宋体" w:cs="宋体"/>
          <w:b/>
          <w:color w:val="auto"/>
          <w:sz w:val="36"/>
          <w:szCs w:val="24"/>
        </w:rPr>
        <w:t xml:space="preserve">年    月    日</w:t>
      </w:r>
      <w:bookmarkEnd w:id="25"/>
      <w:r/>
      <w:r/>
    </w:p>
    <w:p>
      <w:pPr>
        <w:pStyle w:val="907"/>
        <w:ind w:firstLine="2645"/>
        <w:keepNext w:val="0"/>
        <w:pageBreakBefore w:val="0"/>
        <w:spacing w:line="360" w:lineRule="auto"/>
        <w:rPr>
          <w:rFonts w:hint="eastAsia" w:ascii="宋体" w:hAnsi="宋体" w:eastAsia="宋体" w:cs="宋体"/>
          <w:b/>
          <w:color w:val="auto"/>
          <w:sz w:val="36"/>
          <w:szCs w:val="24"/>
        </w:rPr>
      </w:pPr>
      <w:r>
        <w:rPr>
          <w:rFonts w:hint="eastAsia" w:ascii="宋体" w:hAnsi="宋体" w:eastAsia="宋体" w:cs="宋体"/>
          <w:b/>
          <w:color w:val="auto"/>
          <w:sz w:val="36"/>
          <w:szCs w:val="24"/>
        </w:rPr>
      </w:r>
      <w:r/>
    </w:p>
    <w:p>
      <w:pPr>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尊敬的</w:t>
      </w:r>
      <w:r>
        <w:rPr>
          <w:rFonts w:hint="eastAsia" w:ascii="宋体" w:hAnsi="宋体" w:cs="宋体"/>
          <w:color w:val="auto"/>
          <w:sz w:val="24"/>
          <w:szCs w:val="24"/>
          <w:lang w:eastAsia="zh-CN"/>
        </w:rPr>
        <w:t xml:space="preserve">投标人：</w:t>
      </w:r>
      <w:r/>
    </w:p>
    <w:p>
      <w:pPr>
        <w:ind w:firstLine="48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请按照以下文件的要求格式、内容制作</w:t>
      </w:r>
      <w:r>
        <w:rPr>
          <w:rFonts w:hint="eastAsia" w:ascii="宋体" w:hAnsi="宋体" w:cs="宋体"/>
          <w:color w:val="auto"/>
          <w:sz w:val="24"/>
          <w:szCs w:val="24"/>
          <w:lang w:eastAsia="zh-CN"/>
        </w:rPr>
        <w:t xml:space="preserve">投标文件</w:t>
      </w:r>
      <w:r>
        <w:rPr>
          <w:rFonts w:hint="eastAsia" w:ascii="宋体" w:hAnsi="宋体" w:eastAsia="宋体" w:cs="宋体"/>
          <w:color w:val="auto"/>
          <w:sz w:val="24"/>
          <w:szCs w:val="24"/>
        </w:rPr>
        <w:t xml:space="preserve">，并请编制目录及页码，否则可能将影响对</w:t>
      </w:r>
      <w:r>
        <w:rPr>
          <w:rFonts w:hint="eastAsia" w:ascii="宋体" w:hAnsi="宋体" w:cs="宋体"/>
          <w:color w:val="auto"/>
          <w:sz w:val="24"/>
          <w:szCs w:val="24"/>
          <w:lang w:eastAsia="zh-CN"/>
        </w:rPr>
        <w:t xml:space="preserve">投标文件</w:t>
      </w:r>
      <w:r>
        <w:rPr>
          <w:rFonts w:hint="eastAsia" w:ascii="宋体" w:hAnsi="宋体" w:eastAsia="宋体" w:cs="宋体"/>
          <w:color w:val="auto"/>
          <w:sz w:val="24"/>
          <w:szCs w:val="24"/>
        </w:rPr>
        <w:t xml:space="preserve">的评价。</w:t>
      </w:r>
      <w:r/>
    </w:p>
    <w:p>
      <w:pPr>
        <w:ind w:firstLine="480"/>
        <w:keepNext w:val="0"/>
        <w:pageBreakBefore w:val="0"/>
        <w:spacing w:line="360" w:lineRule="auto"/>
        <w:rPr>
          <w:rFonts w:hint="eastAsia" w:ascii="宋体" w:hAnsi="宋体" w:eastAsia="宋体" w:cs="宋体"/>
          <w:b w:val="0"/>
          <w:bCs w:val="0"/>
          <w:color w:val="auto"/>
          <w:sz w:val="24"/>
          <w:szCs w:val="24"/>
        </w:rPr>
      </w:pPr>
      <w:r/>
      <w:bookmarkStart w:id="26" w:name="_Toc18404_WPSOffice_Level1"/>
      <w:r>
        <w:rPr>
          <w:rFonts w:hint="eastAsia" w:ascii="宋体" w:hAnsi="宋体" w:cs="宋体"/>
          <w:b w:val="0"/>
          <w:bCs w:val="0"/>
          <w:color w:val="auto"/>
          <w:sz w:val="24"/>
          <w:szCs w:val="24"/>
          <w:lang w:eastAsia="zh-CN"/>
        </w:rPr>
        <w:t xml:space="preserve">投标文件</w:t>
      </w:r>
      <w:r>
        <w:rPr>
          <w:rFonts w:hint="eastAsia" w:ascii="宋体" w:hAnsi="宋体" w:eastAsia="宋体" w:cs="宋体"/>
          <w:b w:val="0"/>
          <w:bCs w:val="0"/>
          <w:color w:val="auto"/>
          <w:sz w:val="24"/>
          <w:szCs w:val="24"/>
        </w:rPr>
        <w:t xml:space="preserve">格式中所有要求签字和盖章的部分加盖</w:t>
      </w:r>
      <w:r>
        <w:rPr>
          <w:rFonts w:hint="eastAsia" w:ascii="宋体" w:hAnsi="宋体" w:cs="宋体"/>
          <w:b w:val="0"/>
          <w:bCs w:val="0"/>
          <w:color w:val="auto"/>
          <w:sz w:val="24"/>
          <w:szCs w:val="24"/>
          <w:lang w:val="en-US" w:eastAsia="zh-CN"/>
        </w:rPr>
        <w:t xml:space="preserve">单位公章或</w:t>
      </w:r>
      <w:r>
        <w:rPr>
          <w:rFonts w:hint="eastAsia" w:ascii="宋体" w:hAnsi="宋体" w:eastAsia="宋体" w:cs="宋体"/>
          <w:b w:val="0"/>
          <w:bCs w:val="0"/>
          <w:color w:val="auto"/>
          <w:sz w:val="24"/>
          <w:szCs w:val="24"/>
        </w:rPr>
        <w:t xml:space="preserve">电子</w:t>
      </w:r>
      <w:r>
        <w:rPr>
          <w:rFonts w:hint="eastAsia" w:ascii="宋体" w:hAnsi="宋体" w:eastAsia="宋体" w:cs="宋体"/>
          <w:b w:val="0"/>
          <w:bCs w:val="0"/>
          <w:color w:val="auto"/>
          <w:sz w:val="24"/>
          <w:szCs w:val="24"/>
          <w:lang w:eastAsia="zh-CN"/>
        </w:rPr>
        <w:t xml:space="preserve">公</w:t>
      </w:r>
      <w:r>
        <w:rPr>
          <w:rFonts w:hint="eastAsia" w:ascii="宋体" w:hAnsi="宋体" w:eastAsia="宋体" w:cs="宋体"/>
          <w:b w:val="0"/>
          <w:bCs w:val="0"/>
          <w:color w:val="auto"/>
          <w:sz w:val="24"/>
          <w:szCs w:val="24"/>
        </w:rPr>
        <w:t xml:space="preserve">章。</w:t>
      </w:r>
      <w:r/>
    </w:p>
    <w:p>
      <w:pPr>
        <w:jc w:val="center"/>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一、</w:t>
      </w:r>
      <w:bookmarkEnd w:id="26"/>
      <w:r>
        <w:rPr>
          <w:rFonts w:hint="eastAsia" w:ascii="宋体" w:hAnsi="宋体" w:eastAsia="宋体" w:cs="宋体"/>
          <w:b/>
          <w:bCs/>
          <w:color w:val="auto"/>
          <w:sz w:val="32"/>
          <w:szCs w:val="32"/>
        </w:rPr>
        <w:t xml:space="preserve">投标函</w:t>
      </w:r>
      <w:r/>
    </w:p>
    <w:p>
      <w:pPr>
        <w:pStyle w:val="907"/>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u w:val="single"/>
        </w:rPr>
        <w:t xml:space="preserve">                      </w:t>
      </w:r>
      <w:r>
        <w:rPr>
          <w:rFonts w:hint="eastAsia" w:hAnsi="宋体" w:cs="宋体"/>
          <w:color w:val="auto"/>
          <w:sz w:val="24"/>
          <w:szCs w:val="24"/>
          <w:lang w:eastAsia="zh-CN"/>
        </w:rPr>
        <w:t xml:space="preserve">：</w:t>
      </w:r>
      <w:r/>
    </w:p>
    <w:p>
      <w:pPr>
        <w:pStyle w:val="1019"/>
        <w:ind w:firstLine="480"/>
        <w:keepNext w:val="0"/>
        <w:pageBreakBefore w:val="0"/>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关于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采购项目（项</w:t>
      </w:r>
      <w:r>
        <w:rPr>
          <w:rFonts w:hint="eastAsia" w:ascii="宋体" w:hAnsi="宋体" w:eastAsia="宋体" w:cs="宋体"/>
          <w:color w:val="auto"/>
          <w:sz w:val="24"/>
          <w:szCs w:val="24"/>
          <w:highlight w:val="none"/>
        </w:rPr>
        <w:t xml:space="preserve">目编号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rPr>
          <w:rFonts w:hint="eastAsia" w:ascii="宋体" w:hAnsi="宋体" w:cs="宋体"/>
          <w:color w:val="auto"/>
          <w:sz w:val="24"/>
          <w:szCs w:val="24"/>
          <w:lang w:eastAsia="zh-CN"/>
        </w:rPr>
        <w:t xml:space="preserve">招标文件</w:t>
      </w:r>
      <w:r>
        <w:rPr>
          <w:rFonts w:hint="eastAsia" w:ascii="宋体" w:hAnsi="宋体" w:eastAsia="宋体" w:cs="宋体"/>
          <w:color w:val="auto"/>
          <w:sz w:val="24"/>
          <w:szCs w:val="24"/>
        </w:rPr>
        <w:t xml:space="preserve">（包括更正公告，如果有的话）收悉，我们经详细审阅和研究，现决定参加本项目</w:t>
      </w:r>
      <w:r>
        <w:rPr>
          <w:rFonts w:hint="eastAsia" w:ascii="宋体" w:hAnsi="宋体" w:cs="宋体"/>
          <w:color w:val="auto"/>
          <w:sz w:val="24"/>
          <w:szCs w:val="24"/>
          <w:lang w:val="en-US" w:eastAsia="zh-CN"/>
        </w:rPr>
        <w:t xml:space="preserve">投标</w:t>
      </w:r>
      <w:r>
        <w:rPr>
          <w:rFonts w:hint="eastAsia" w:ascii="宋体" w:hAnsi="宋体" w:eastAsia="宋体" w:cs="宋体"/>
          <w:color w:val="auto"/>
          <w:sz w:val="24"/>
          <w:szCs w:val="24"/>
        </w:rPr>
        <w:t xml:space="preserve">。同时，正式授权下述签字人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（姓名和职务）代表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rPr>
          <w:rFonts w:hint="eastAsia" w:ascii="宋体" w:hAnsi="宋体" w:cs="宋体"/>
          <w:color w:val="auto"/>
          <w:sz w:val="24"/>
          <w:szCs w:val="24"/>
          <w:lang w:eastAsia="zh-CN"/>
        </w:rPr>
        <w:t xml:space="preserve">投标人</w:t>
      </w:r>
      <w:r>
        <w:rPr>
          <w:rFonts w:hint="eastAsia" w:ascii="宋体" w:hAnsi="宋体" w:eastAsia="宋体" w:cs="宋体"/>
          <w:color w:val="auto"/>
          <w:sz w:val="24"/>
          <w:szCs w:val="24"/>
        </w:rPr>
        <w:t xml:space="preserve">单位名称），全权处理本次项目</w:t>
      </w:r>
      <w:r>
        <w:rPr>
          <w:rFonts w:hint="eastAsia" w:ascii="宋体" w:hAnsi="宋体" w:cs="宋体"/>
          <w:color w:val="auto"/>
          <w:sz w:val="24"/>
          <w:szCs w:val="24"/>
          <w:lang w:val="en-US" w:eastAsia="zh-CN"/>
        </w:rPr>
        <w:t xml:space="preserve">投标</w:t>
      </w:r>
      <w:r>
        <w:rPr>
          <w:rFonts w:hint="eastAsia" w:ascii="宋体" w:hAnsi="宋体" w:eastAsia="宋体" w:cs="宋体"/>
          <w:color w:val="auto"/>
          <w:sz w:val="24"/>
          <w:szCs w:val="24"/>
        </w:rPr>
        <w:t xml:space="preserve">的有关事宜。</w:t>
      </w:r>
      <w:r/>
    </w:p>
    <w:p>
      <w:pPr>
        <w:pStyle w:val="742"/>
        <w:ind w:firstLine="480"/>
        <w:jc w:val="both"/>
        <w:keepLines w:val="0"/>
        <w:keepNext w:val="0"/>
        <w:pageBreakBefore w:val="0"/>
        <w:spacing w:line="360" w:lineRule="auto"/>
        <w:widowControl w:val="off"/>
        <w:tabs>
          <w:tab w:val="left" w:pos="7699" w:leader="none"/>
          <w:tab w:val="left" w:pos="9167" w:leader="none"/>
        </w:tabs>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rPr>
        <w:t xml:space="preserve">按照</w:t>
      </w:r>
      <w:r>
        <w:rPr>
          <w:rFonts w:hint="eastAsia" w:ascii="宋体" w:hAnsi="宋体" w:eastAsia="宋体" w:cs="宋体"/>
          <w:color w:val="auto"/>
          <w:sz w:val="24"/>
          <w:szCs w:val="24"/>
          <w:lang w:val="en-US" w:eastAsia="zh-CN"/>
        </w:rPr>
        <w:t xml:space="preserve">招标文件</w:t>
      </w:r>
      <w:r>
        <w:rPr>
          <w:rFonts w:hint="eastAsia" w:ascii="宋体" w:hAnsi="宋体" w:eastAsia="宋体" w:cs="宋体"/>
          <w:color w:val="auto"/>
          <w:sz w:val="24"/>
          <w:szCs w:val="24"/>
        </w:rPr>
        <w:t xml:space="preserve">中规</w:t>
      </w:r>
      <w:r>
        <w:rPr>
          <w:rFonts w:hint="eastAsia" w:ascii="宋体" w:hAnsi="宋体" w:eastAsia="宋体" w:cs="宋体"/>
          <w:color w:val="auto"/>
          <w:sz w:val="24"/>
          <w:szCs w:val="24"/>
          <w:lang w:eastAsia="zh-CN"/>
        </w:rPr>
        <w:t xml:space="preserve">定的</w:t>
      </w:r>
      <w:r>
        <w:rPr>
          <w:rFonts w:hint="eastAsia" w:ascii="宋体" w:hAnsi="宋体" w:eastAsia="宋体" w:cs="宋体"/>
          <w:color w:val="auto"/>
          <w:sz w:val="24"/>
          <w:szCs w:val="24"/>
        </w:rPr>
        <w:t xml:space="preserve">各项要求，我方愿以人民币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元</w:t>
      </w:r>
      <w:r>
        <w:rPr>
          <w:rFonts w:hint="eastAsia" w:ascii="宋体" w:hAnsi="宋体" w:eastAsia="宋体" w:cs="宋体"/>
          <w:color w:val="auto"/>
          <w:sz w:val="24"/>
          <w:szCs w:val="24"/>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）的报价并按招标文件的规定要求提供所</w:t>
      </w:r>
      <w:r>
        <w:rPr>
          <w:rFonts w:hint="eastAsia" w:ascii="宋体" w:hAnsi="宋体" w:eastAsia="宋体" w:cs="宋体"/>
          <w:color w:val="auto"/>
          <w:sz w:val="24"/>
          <w:szCs w:val="24"/>
          <w:lang w:eastAsia="zh-CN"/>
        </w:rPr>
        <w:t xml:space="preserve">需</w:t>
      </w:r>
      <w:r>
        <w:rPr>
          <w:rFonts w:hint="eastAsia" w:ascii="宋体" w:hAnsi="宋体" w:eastAsia="宋体" w:cs="宋体"/>
          <w:color w:val="auto"/>
          <w:sz w:val="24"/>
          <w:szCs w:val="24"/>
        </w:rPr>
        <w:t xml:space="preserve">货物及服务。</w:t>
      </w:r>
      <w:r/>
    </w:p>
    <w:p>
      <w:pPr>
        <w:pStyle w:val="742"/>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rPr>
        <w:t xml:space="preserve">我们接受招标文件的所有的条款和规定。</w:t>
      </w:r>
      <w:r/>
    </w:p>
    <w:p>
      <w:pPr>
        <w:pStyle w:val="742"/>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3.</w:t>
      </w:r>
      <w:r>
        <w:rPr>
          <w:rFonts w:hint="eastAsia" w:ascii="宋体" w:hAnsi="宋体" w:eastAsia="宋体" w:cs="宋体"/>
          <w:color w:val="auto"/>
          <w:sz w:val="24"/>
          <w:szCs w:val="24"/>
        </w:rPr>
        <w:t xml:space="preserve">我们同意按照招标文件第二章第 14 条的规定，本投标文件的有效期为从开标之</w:t>
      </w:r>
      <w:r>
        <w:rPr>
          <w:rFonts w:hint="eastAsia" w:ascii="宋体" w:hAnsi="宋体" w:eastAsia="宋体" w:cs="宋体"/>
          <w:color w:val="auto"/>
          <w:sz w:val="24"/>
          <w:szCs w:val="24"/>
          <w:lang w:eastAsia="zh-CN"/>
        </w:rPr>
        <w:t xml:space="preserve">日</w:t>
      </w:r>
      <w:r>
        <w:rPr>
          <w:rFonts w:hint="eastAsia" w:ascii="宋体" w:hAnsi="宋体" w:eastAsia="宋体" w:cs="宋体"/>
          <w:color w:val="auto"/>
          <w:sz w:val="24"/>
          <w:szCs w:val="24"/>
        </w:rPr>
        <w:t xml:space="preserve">起计算的九十天，在此期间，本投标文件将始终对我们具有约束力，并随时被接受。如果我们中标，本投标文件在此期间之后将继续保持有效。如果在开标后规定的投标有效期内撤回投标，我们的投标保证金可被贵方没收。</w:t>
      </w:r>
      <w:r/>
    </w:p>
    <w:p>
      <w:pPr>
        <w:pStyle w:val="742"/>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4.</w:t>
      </w:r>
      <w:r>
        <w:rPr>
          <w:rFonts w:hint="eastAsia" w:ascii="宋体" w:hAnsi="宋体" w:eastAsia="宋体" w:cs="宋体"/>
          <w:color w:val="auto"/>
          <w:sz w:val="24"/>
          <w:szCs w:val="24"/>
        </w:rPr>
        <w:t xml:space="preserve">如果我们成交，为执行合同，我们将按照招标文件规定要求提交履约保证金。</w:t>
      </w:r>
      <w:r/>
    </w:p>
    <w:p>
      <w:pPr>
        <w:pStyle w:val="742"/>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5.</w:t>
      </w:r>
      <w:r>
        <w:rPr>
          <w:rFonts w:hint="eastAsia" w:ascii="宋体" w:hAnsi="宋体" w:eastAsia="宋体" w:cs="宋体"/>
          <w:color w:val="auto"/>
          <w:sz w:val="24"/>
          <w:szCs w:val="24"/>
        </w:rPr>
        <w:t xml:space="preserve">参加本次政府采购活动前三年内，我公司在经营活动中没有因违法经营受到刑事处罚或者责令停产停业、吊销许可证或者执照、较大数额罚款等行政处罚。</w:t>
      </w:r>
      <w:r/>
    </w:p>
    <w:p>
      <w:pPr>
        <w:pStyle w:val="742"/>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6.</w:t>
      </w:r>
      <w:r>
        <w:rPr>
          <w:rFonts w:hint="eastAsia" w:ascii="宋体" w:hAnsi="宋体" w:eastAsia="宋体" w:cs="宋体"/>
          <w:color w:val="auto"/>
          <w:sz w:val="24"/>
          <w:szCs w:val="24"/>
        </w:rPr>
        <w:t xml:space="preserve">参加本次采购活动前，我方没有被“信用中国”网站、“中国政府采购网”列入失信被执行人名单、重大税收违法案件当事人名单、政府采购严重违法失信行为记录名单。</w:t>
      </w:r>
      <w:r/>
    </w:p>
    <w:p>
      <w:pPr>
        <w:pStyle w:val="742"/>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7.</w:t>
      </w:r>
      <w:r>
        <w:rPr>
          <w:rFonts w:hint="eastAsia" w:ascii="宋体" w:hAnsi="宋体" w:eastAsia="宋体" w:cs="宋体"/>
          <w:color w:val="auto"/>
          <w:sz w:val="24"/>
          <w:szCs w:val="24"/>
        </w:rPr>
        <w:t xml:space="preserve">我公司郑重承诺</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我公司具备履行合同所必需的设备和专业技术能力。 </w:t>
      </w:r>
      <w:r/>
    </w:p>
    <w:p>
      <w:pPr>
        <w:pStyle w:val="742"/>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8.</w:t>
      </w:r>
      <w:r>
        <w:rPr>
          <w:rFonts w:hint="eastAsia" w:ascii="宋体" w:hAnsi="宋体" w:eastAsia="宋体" w:cs="宋体"/>
          <w:color w:val="auto"/>
          <w:sz w:val="24"/>
          <w:szCs w:val="24"/>
        </w:rPr>
        <w:t xml:space="preserve">我公司郑重承诺</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我公司具备《中华人民共和国政府采购法》第二十二条规定的六项条件。</w:t>
      </w:r>
      <w:r/>
    </w:p>
    <w:p>
      <w:pPr>
        <w:pStyle w:val="742"/>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9.</w:t>
      </w:r>
      <w:r>
        <w:rPr>
          <w:rFonts w:hint="eastAsia" w:ascii="宋体" w:hAnsi="宋体" w:eastAsia="宋体" w:cs="宋体"/>
          <w:color w:val="auto"/>
          <w:sz w:val="24"/>
          <w:szCs w:val="24"/>
        </w:rPr>
        <w:t xml:space="preserve">我们理解，你们无义务必须接受投标价最低的投标。同时也理解你们不承担我们本次投标的费用。</w:t>
      </w:r>
      <w:r/>
    </w:p>
    <w:p>
      <w:pPr>
        <w:pStyle w:val="742"/>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10.</w:t>
      </w:r>
      <w:r>
        <w:rPr>
          <w:rFonts w:hint="eastAsia" w:ascii="宋体" w:hAnsi="宋体" w:eastAsia="宋体" w:cs="宋体"/>
          <w:color w:val="auto"/>
          <w:sz w:val="24"/>
          <w:szCs w:val="24"/>
        </w:rPr>
        <w:t xml:space="preserve">我们同意向贵方提供贵方可能要求的与投标有关的任何证据或资料</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并保证所提供的都是真实的、准确的。</w:t>
      </w:r>
      <w:r/>
    </w:p>
    <w:p>
      <w:pPr>
        <w:pStyle w:val="742"/>
        <w:ind w:firstLine="480"/>
        <w:jc w:val="both"/>
        <w:keepLines w:val="0"/>
        <w:keepNext w:val="0"/>
        <w:pageBreakBefore w:val="0"/>
        <w:spacing w:line="36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rPr>
        <w:t xml:space="preserve">一旦我方中标，我方将根据招标文件的规定，严格履行合同的责任和义务，并保证按招标文件中规定的时间内供货，</w:t>
      </w:r>
      <w:r>
        <w:rPr>
          <w:rFonts w:hint="eastAsia" w:ascii="宋体" w:hAnsi="宋体" w:eastAsia="宋体" w:cs="宋体"/>
          <w:color w:val="auto"/>
          <w:sz w:val="24"/>
          <w:szCs w:val="24"/>
          <w:lang w:val="en-US" w:eastAsia="zh-CN"/>
        </w:rPr>
        <w:t xml:space="preserve">完</w:t>
      </w:r>
      <w:r>
        <w:rPr>
          <w:rFonts w:hint="eastAsia" w:ascii="宋体" w:hAnsi="宋体" w:eastAsia="宋体" w:cs="宋体"/>
          <w:color w:val="auto"/>
          <w:sz w:val="24"/>
          <w:szCs w:val="24"/>
        </w:rPr>
        <w:t xml:space="preserve">成项目的施工、调试、交付买方验收、使用。否则我们的履约保证金将被贵方没收。</w:t>
      </w:r>
      <w:r/>
    </w:p>
    <w:p>
      <w:pPr>
        <w:pStyle w:val="742"/>
        <w:ind w:firstLine="480"/>
        <w:jc w:val="both"/>
        <w:keepLines w:val="0"/>
        <w:keepNext w:val="0"/>
        <w:pageBreakBefore w:val="0"/>
        <w:spacing w:line="36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rPr>
        <w:t xml:space="preserve">我们没有为项目提供整体设计、规范编制或者项目管理、监理、检测等服务。</w:t>
      </w:r>
      <w:r/>
    </w:p>
    <w:p>
      <w:pPr>
        <w:pStyle w:val="742"/>
        <w:keepNext w:val="0"/>
        <w:pageBreakBefore w:val="0"/>
        <w:spacing w:line="360" w:lineRule="auto"/>
        <w:tabs>
          <w:tab w:val="left" w:pos="6199" w:leader="none"/>
          <w:tab w:val="left" w:pos="8143"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42"/>
        <w:ind w:firstLine="480"/>
        <w:jc w:val="both"/>
        <w:keepNext w:val="0"/>
        <w:pageBreakBefore w:val="0"/>
        <w:spacing w:line="360" w:lineRule="auto"/>
        <w:tabs>
          <w:tab w:val="left" w:pos="6199" w:leader="none"/>
          <w:tab w:val="left" w:pos="8143" w:leader="none"/>
        </w:tabs>
        <w:rPr>
          <w:rFonts w:hint="default" w:ascii="宋体" w:hAnsi="宋体" w:eastAsia="宋体" w:cs="宋体"/>
          <w:color w:val="auto"/>
          <w:sz w:val="24"/>
          <w:szCs w:val="24"/>
          <w:u w:val="single"/>
          <w:lang w:val="en-US" w:eastAsia="zh-CN"/>
        </w:rPr>
      </w:pPr>
      <w:r>
        <w:rPr>
          <w:rFonts w:hint="eastAsia" w:ascii="宋体" w:hAnsi="宋体" w:eastAsia="宋体" w:cs="宋体"/>
          <w:color w:val="auto"/>
          <w:sz w:val="24"/>
          <w:szCs w:val="24"/>
          <w:lang w:val="en-US" w:eastAsia="zh-CN"/>
        </w:rPr>
        <w:t xml:space="preserve">投标人</w:t>
      </w:r>
      <w:r>
        <w:rPr>
          <w:rFonts w:hint="eastAsia" w:ascii="宋体" w:hAnsi="宋体" w:eastAsia="宋体" w:cs="宋体"/>
          <w:color w:val="auto"/>
          <w:sz w:val="24"/>
          <w:szCs w:val="24"/>
        </w:rPr>
        <w:t xml:space="preserve">名称（公章）：</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p>
    <w:p>
      <w:pPr>
        <w:pStyle w:val="742"/>
        <w:ind w:firstLine="480"/>
        <w:jc w:val="both"/>
        <w:keepNext w:val="0"/>
        <w:pageBreakBefore w:val="0"/>
        <w:spacing w:line="360" w:lineRule="auto"/>
        <w:tabs>
          <w:tab w:val="left" w:pos="6199" w:leader="none"/>
          <w:tab w:val="left" w:pos="8143" w:leader="none"/>
        </w:tabs>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邮编：</w:t>
      </w:r>
      <w:r>
        <w:rPr>
          <w:rFonts w:hint="eastAsia" w:ascii="宋体" w:hAnsi="宋体" w:eastAsia="宋体" w:cs="宋体"/>
          <w:color w:val="auto"/>
          <w:sz w:val="24"/>
          <w:szCs w:val="24"/>
          <w:u w:val="single"/>
        </w:rPr>
        <w:t xml:space="preserve">              </w:t>
      </w:r>
      <w:r/>
    </w:p>
    <w:p>
      <w:pPr>
        <w:pStyle w:val="742"/>
        <w:ind w:firstLine="480"/>
        <w:jc w:val="both"/>
        <w:keepNext w:val="0"/>
        <w:pageBreakBefore w:val="0"/>
        <w:spacing w:line="360" w:lineRule="auto"/>
        <w:tabs>
          <w:tab w:val="left" w:pos="6199" w:leader="none"/>
          <w:tab w:val="left" w:pos="8143" w:leader="none"/>
        </w:tabs>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电话：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传真：</w:t>
      </w:r>
      <w:r>
        <w:rPr>
          <w:rFonts w:hint="eastAsia" w:ascii="宋体" w:hAnsi="宋体" w:eastAsia="宋体" w:cs="宋体"/>
          <w:color w:val="auto"/>
          <w:sz w:val="24"/>
          <w:szCs w:val="24"/>
          <w:u w:val="single"/>
        </w:rPr>
        <w:t xml:space="preserve">              </w:t>
      </w:r>
      <w:r/>
    </w:p>
    <w:p>
      <w:pPr>
        <w:pStyle w:val="742"/>
        <w:ind w:firstLine="480"/>
        <w:jc w:val="both"/>
        <w:keepNext w:val="0"/>
        <w:pageBreakBefore w:val="0"/>
        <w:spacing w:line="360" w:lineRule="auto"/>
        <w:tabs>
          <w:tab w:val="left" w:pos="6199" w:leader="none"/>
          <w:tab w:val="left" w:pos="8143" w:leader="none"/>
        </w:tabs>
        <w:rPr>
          <w:rFonts w:hint="eastAsia" w:ascii="宋体" w:hAnsi="宋体" w:eastAsia="宋体" w:cs="宋体"/>
          <w:color w:val="auto"/>
          <w:sz w:val="24"/>
          <w:szCs w:val="24"/>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rPr>
          <w:rFonts w:hint="eastAsia" w:ascii="仿宋" w:hAnsi="仿宋" w:eastAsia="仿宋"/>
          <w:b/>
          <w:color w:val="auto"/>
          <w:sz w:val="32"/>
          <w:szCs w:val="32"/>
        </w:rPr>
      </w:pPr>
      <w:r>
        <w:rPr>
          <w:rFonts w:hint="eastAsia" w:ascii="仿宋" w:hAnsi="仿宋" w:eastAsia="仿宋"/>
          <w:b/>
          <w:color w:val="auto"/>
          <w:sz w:val="32"/>
          <w:szCs w:val="32"/>
        </w:rPr>
        <w:br w:type="page" w:clear="all"/>
      </w:r>
      <w:r/>
    </w:p>
    <w:p>
      <w:pPr>
        <w:numPr>
          <w:ilvl w:val="0"/>
          <w:numId w:val="0"/>
        </w:numPr>
        <w:jc w:val="center"/>
        <w:keepNext w:val="0"/>
        <w:pageBreakBefore w:val="0"/>
        <w:spacing w:before="19" w:line="360" w:lineRule="auto"/>
        <w:widowControl/>
        <w:rPr>
          <w:rFonts w:hint="eastAsia" w:ascii="仿宋" w:hAnsi="仿宋" w:eastAsia="仿宋"/>
          <w:b/>
          <w:bCs w:val="0"/>
          <w:color w:val="auto"/>
          <w:sz w:val="32"/>
          <w:szCs w:val="32"/>
          <w:lang w:val="en-US" w:eastAsia="zh-CN"/>
        </w:rPr>
      </w:pPr>
      <w:r>
        <w:rPr>
          <w:rFonts w:hint="eastAsia" w:ascii="宋体" w:hAnsi="宋体" w:eastAsia="宋体" w:cs="宋体"/>
          <w:b/>
          <w:bCs w:val="0"/>
          <w:color w:val="auto"/>
          <w:sz w:val="32"/>
          <w:szCs w:val="32"/>
          <w:lang w:val="en-US" w:eastAsia="zh-CN"/>
        </w:rPr>
        <w:t xml:space="preserve">二、开标一览表</w:t>
      </w:r>
      <w:r/>
    </w:p>
    <w:tbl>
      <w:tblPr>
        <w:tblStyle w:val="7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jc w:val="center"/>
          <w:trHeight w:val="1192" w:hRule="exact"/>
        </w:trPr>
        <w:tc>
          <w:tcPr>
            <w:tcW w:w="1701" w:type="dxa"/>
            <w:vAlign w:val="center"/>
            <w:textDirection w:val="lrTb"/>
            <w:noWrap w:val="false"/>
          </w:tcPr>
          <w:p>
            <w:pPr>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rPr>
              <w:t xml:space="preserve">项目名称</w:t>
            </w:r>
            <w:r/>
          </w:p>
        </w:tc>
        <w:tc>
          <w:tcPr>
            <w:tcW w:w="6759" w:type="dxa"/>
            <w:vAlign w:val="center"/>
            <w:textDirection w:val="lrTb"/>
            <w:noWrap w:val="false"/>
          </w:tcPr>
          <w:p>
            <w:pPr>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highlight w:val="yellow"/>
              </w:rPr>
            </w:r>
            <w:r/>
          </w:p>
        </w:tc>
      </w:tr>
      <w:tr>
        <w:trPr>
          <w:cantSplit/>
          <w:jc w:val="center"/>
          <w:trHeight w:val="2021"/>
        </w:trPr>
        <w:tc>
          <w:tcPr>
            <w:tcW w:w="1701" w:type="dxa"/>
            <w:vAlign w:val="center"/>
            <w:textDirection w:val="lrTb"/>
            <w:noWrap w:val="false"/>
          </w:tcPr>
          <w:p>
            <w:pPr>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投标报价</w:t>
            </w:r>
            <w:r/>
          </w:p>
          <w:p>
            <w:pPr>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总计</w:t>
            </w:r>
            <w:r/>
          </w:p>
        </w:tc>
        <w:tc>
          <w:tcPr>
            <w:tcW w:w="6759" w:type="dxa"/>
            <w:vAlign w:val="center"/>
            <w:textDirection w:val="lrTb"/>
            <w:noWrap w:val="false"/>
          </w:tcPr>
          <w:p>
            <w:pPr>
              <w:keepLines w:val="0"/>
              <w:keepNext w:val="0"/>
              <w:pageBreakBefore w:val="0"/>
              <w:spacing w:line="720" w:lineRule="exact"/>
              <w:rPr>
                <w:rFonts w:hint="eastAsia" w:ascii="仿宋" w:hAnsi="仿宋" w:eastAsia="仿宋"/>
                <w:sz w:val="28"/>
                <w:szCs w:val="28"/>
                <w:u w:val="single"/>
              </w:rPr>
              <w:outlineLvl w:val="9"/>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p>
          <w:p>
            <w:pPr>
              <w:keepLines w:val="0"/>
              <w:keepNext w:val="0"/>
              <w:pageBreakBefore w:val="0"/>
              <w:spacing w:line="720" w:lineRule="exact"/>
              <w:rPr>
                <w:rFonts w:hint="default" w:ascii="仿宋" w:hAnsi="仿宋" w:eastAsia="仿宋"/>
                <w:sz w:val="28"/>
                <w:szCs w:val="28"/>
                <w:lang w:val="en-US" w:eastAsia="zh-CN"/>
              </w:rPr>
              <w:outlineLvl w:val="9"/>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                     </w:t>
            </w:r>
            <w:r/>
          </w:p>
        </w:tc>
      </w:tr>
    </w:tbl>
    <w:p>
      <w:pPr>
        <w:pStyle w:val="742"/>
        <w:jc w:val="both"/>
        <w:keepNext w:val="0"/>
        <w:pageBreakBefore w:val="0"/>
        <w:spacing w:line="360" w:lineRule="auto"/>
        <w:tabs>
          <w:tab w:val="left" w:pos="6199" w:leader="none"/>
          <w:tab w:val="left" w:pos="8143"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pStyle w:val="742"/>
        <w:jc w:val="both"/>
        <w:keepNext w:val="0"/>
        <w:pageBreakBefore w:val="0"/>
        <w:spacing w:line="360" w:lineRule="auto"/>
        <w:tabs>
          <w:tab w:val="left" w:pos="6199" w:leader="none"/>
          <w:tab w:val="left" w:pos="8143"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pStyle w:val="742"/>
        <w:jc w:val="both"/>
        <w:keepNext w:val="0"/>
        <w:pageBreakBefore w:val="0"/>
        <w:spacing w:line="360" w:lineRule="auto"/>
        <w:tabs>
          <w:tab w:val="left" w:pos="6199" w:leader="none"/>
          <w:tab w:val="left" w:pos="8143" w:leader="none"/>
        </w:tabs>
        <w:rPr>
          <w:rFonts w:hint="default" w:ascii="宋体" w:hAnsi="宋体" w:eastAsia="仿宋_GB2312" w:cs="宋体"/>
          <w:color w:val="auto"/>
          <w:sz w:val="24"/>
          <w:szCs w:val="24"/>
          <w:u w:val="single"/>
          <w:lang w:val="en-US" w:eastAsia="zh-CN"/>
        </w:rPr>
      </w:pPr>
      <w:r>
        <w:rPr>
          <w:rFonts w:hint="eastAsia" w:ascii="宋体" w:hAnsi="宋体" w:eastAsia="宋体" w:cs="宋体"/>
          <w:color w:val="auto"/>
          <w:sz w:val="24"/>
          <w:szCs w:val="24"/>
          <w:lang w:val="en-US" w:eastAsia="zh-CN"/>
        </w:rPr>
        <w:t xml:space="preserve">投标人</w:t>
      </w:r>
      <w:r>
        <w:rPr>
          <w:rFonts w:hint="eastAsia" w:ascii="宋体" w:hAnsi="宋体" w:eastAsia="宋体" w:cs="宋体"/>
          <w:color w:val="auto"/>
          <w:sz w:val="24"/>
          <w:szCs w:val="24"/>
        </w:rPr>
        <w:t xml:space="preserve">名称（公章）：</w:t>
      </w:r>
      <w:r>
        <w:rPr>
          <w:color w:val="auto"/>
          <w:spacing w:val="-2"/>
          <w:u w:val="single"/>
        </w:rPr>
        <w:t xml:space="preserve">   </w:t>
      </w:r>
      <w:r>
        <w:rPr>
          <w:rFonts w:hint="eastAsia"/>
          <w:color w:val="auto"/>
          <w:spacing w:val="-2"/>
          <w:u w:val="single"/>
          <w:lang w:val="en-US" w:eastAsia="zh-CN"/>
        </w:rPr>
        <w:t xml:space="preserve">      </w:t>
      </w:r>
      <w:r>
        <w:rPr>
          <w:color w:val="auto"/>
          <w:spacing w:val="-2"/>
          <w:u w:val="single"/>
        </w:rPr>
        <w:t xml:space="preserve">       </w:t>
      </w:r>
      <w:r>
        <w:rPr>
          <w:rFonts w:hint="eastAsia"/>
          <w:color w:val="auto"/>
          <w:spacing w:val="-2"/>
          <w:u w:val="single"/>
          <w:lang w:val="en-US" w:eastAsia="zh-CN"/>
        </w:rPr>
        <w:t xml:space="preserve">  </w:t>
      </w:r>
      <w:r/>
    </w:p>
    <w:p>
      <w:pPr>
        <w:pStyle w:val="742"/>
        <w:jc w:val="both"/>
        <w:keepNext w:val="0"/>
        <w:pageBreakBefore w:val="0"/>
        <w:spacing w:line="360" w:lineRule="auto"/>
        <w:tabs>
          <w:tab w:val="left" w:pos="6199" w:leader="none"/>
          <w:tab w:val="left" w:pos="8143"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注：</w:t>
      </w:r>
      <w:r/>
    </w:p>
    <w:p>
      <w:pPr>
        <w:pStyle w:val="742"/>
        <w:jc w:val="both"/>
        <w:keepNext w:val="0"/>
        <w:pageBreakBefore w:val="0"/>
        <w:spacing w:line="360" w:lineRule="auto"/>
        <w:tabs>
          <w:tab w:val="left" w:pos="6199" w:leader="none"/>
          <w:tab w:val="left" w:pos="8143"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此表为表样，表式不变。</w:t>
      </w:r>
      <w:r/>
    </w:p>
    <w:p>
      <w:pPr>
        <w:pStyle w:val="742"/>
        <w:jc w:val="both"/>
        <w:keepNext w:val="0"/>
        <w:pageBreakBefore w:val="0"/>
        <w:spacing w:line="360" w:lineRule="auto"/>
        <w:tabs>
          <w:tab w:val="left" w:pos="6199" w:leader="none"/>
          <w:tab w:val="left" w:pos="8143"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如果单价和总价不符时，以单价为准。</w:t>
      </w:r>
      <w:r/>
    </w:p>
    <w:p>
      <w:pPr>
        <w:pStyle w:val="742"/>
        <w:jc w:val="both"/>
        <w:keepNext w:val="0"/>
        <w:pageBreakBefore w:val="0"/>
        <w:spacing w:line="360" w:lineRule="auto"/>
        <w:tabs>
          <w:tab w:val="left" w:pos="6199" w:leader="none"/>
          <w:tab w:val="left" w:pos="8143"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价格应按照招标文件第二章第</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条的要求报价。</w:t>
      </w:r>
      <w:r/>
    </w:p>
    <w:p>
      <w:pPr>
        <w:rPr>
          <w:rFonts w:hint="eastAsia" w:ascii="宋体" w:hAnsi="宋体" w:cs="宋体"/>
          <w:b/>
          <w:bCs/>
          <w:color w:val="auto"/>
          <w:sz w:val="32"/>
          <w:szCs w:val="32"/>
          <w:lang w:val="en-US" w:eastAsia="zh-CN"/>
        </w:rPr>
      </w:pPr>
      <w:r>
        <w:rPr>
          <w:rFonts w:hint="eastAsia" w:ascii="宋体" w:hAnsi="宋体" w:cs="宋体"/>
          <w:b/>
          <w:bCs/>
          <w:color w:val="auto"/>
          <w:sz w:val="32"/>
          <w:szCs w:val="32"/>
          <w:lang w:val="en-US" w:eastAsia="zh-CN"/>
        </w:rPr>
        <w:br w:type="page" w:clear="all"/>
      </w:r>
      <w:r/>
    </w:p>
    <w:p>
      <w:pPr>
        <w:jc w:val="center"/>
        <w:keepNext w:val="0"/>
        <w:pageBreakBefore w:val="0"/>
        <w:spacing w:line="360" w:lineRule="auto"/>
        <w:rPr>
          <w:rFonts w:hint="eastAsia" w:ascii="宋体" w:hAnsi="宋体" w:cs="宋体"/>
          <w:b/>
          <w:bCs/>
          <w:color w:val="auto"/>
          <w:sz w:val="32"/>
          <w:szCs w:val="32"/>
        </w:rPr>
      </w:pPr>
      <w:r>
        <w:rPr>
          <w:rFonts w:hint="eastAsia" w:ascii="宋体" w:hAnsi="宋体" w:cs="宋体"/>
          <w:b/>
          <w:bCs/>
          <w:color w:val="auto"/>
          <w:sz w:val="32"/>
          <w:szCs w:val="32"/>
          <w:lang w:val="en-US" w:eastAsia="zh-CN"/>
        </w:rPr>
        <w:t xml:space="preserve">三、投标报价明细表</w:t>
      </w:r>
      <w:r/>
    </w:p>
    <w:p>
      <w:pPr>
        <w:jc w:val="center"/>
        <w:keepNext w:val="0"/>
        <w:pageBreakBefore w:val="0"/>
        <w:spacing w:line="360" w:lineRule="auto"/>
        <w:rPr>
          <w:rFonts w:hint="eastAsia" w:ascii="宋体" w:hAnsi="宋体" w:cs="宋体"/>
          <w:color w:val="auto"/>
        </w:rPr>
      </w:pPr>
      <w:r>
        <w:rPr>
          <w:rFonts w:hint="eastAsia" w:ascii="宋体" w:hAnsi="宋体" w:cs="宋体"/>
          <w:color w:val="auto"/>
          <w:sz w:val="24"/>
          <w:szCs w:val="32"/>
        </w:rPr>
        <w:t xml:space="preserve">（注：根据第五章项目采购需求填写）</w:t>
      </w:r>
      <w:r/>
    </w:p>
    <w:tbl>
      <w:tblPr>
        <w:tblStyle w:val="701"/>
        <w:tblW w:w="98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1"/>
        <w:gridCol w:w="1354"/>
        <w:gridCol w:w="1207"/>
        <w:gridCol w:w="935"/>
        <w:gridCol w:w="714"/>
        <w:gridCol w:w="1296"/>
        <w:gridCol w:w="1869"/>
        <w:gridCol w:w="1552"/>
      </w:tblGrid>
      <w:tr>
        <w:trPr>
          <w:jc w:val="center"/>
          <w:trHeight w:val="578"/>
        </w:trPr>
        <w:tc>
          <w:tcPr>
            <w:tcW w:w="846" w:type="dxa"/>
            <w:vAlign w:val="center"/>
            <w:textDirection w:val="lrTb"/>
            <w:noWrap w:val="false"/>
          </w:tcPr>
          <w:p>
            <w:pPr>
              <w:jc w:val="center"/>
              <w:pageBreakBefore w:val="0"/>
              <w:spacing w:line="440" w:lineRule="exact"/>
              <w:rPr>
                <w:rFonts w:hint="eastAsia" w:ascii="宋体" w:hAnsi="宋体" w:eastAsia="宋体" w:cs="宋体"/>
              </w:rPr>
            </w:pPr>
            <w:r>
              <w:rPr>
                <w:rFonts w:hint="eastAsia" w:ascii="宋体" w:hAnsi="宋体" w:eastAsia="宋体" w:cs="宋体"/>
              </w:rPr>
              <w:t xml:space="preserve">序号</w:t>
            </w:r>
            <w:r/>
          </w:p>
        </w:tc>
        <w:tc>
          <w:tcPr>
            <w:tcW w:w="1374" w:type="dxa"/>
            <w:vAlign w:val="center"/>
            <w:textDirection w:val="lrTb"/>
            <w:noWrap w:val="false"/>
          </w:tcPr>
          <w:p>
            <w:pPr>
              <w:jc w:val="center"/>
              <w:pageBreakBefore w:val="0"/>
              <w:spacing w:line="440" w:lineRule="exact"/>
              <w:rPr>
                <w:rFonts w:hint="default" w:ascii="宋体" w:hAnsi="宋体" w:eastAsia="宋体" w:cs="宋体"/>
                <w:lang w:val="en-US"/>
              </w:rPr>
            </w:pPr>
            <w:r>
              <w:rPr>
                <w:rFonts w:hint="eastAsia" w:ascii="宋体" w:hAnsi="宋体" w:cs="宋体"/>
                <w:lang w:val="en-US" w:eastAsia="zh-CN"/>
              </w:rPr>
              <w:t xml:space="preserve">产品名称</w:t>
            </w:r>
            <w:r/>
          </w:p>
        </w:tc>
        <w:tc>
          <w:tcPr>
            <w:tcW w:w="1223" w:type="dxa"/>
            <w:vAlign w:val="center"/>
            <w:textDirection w:val="lrTb"/>
            <w:noWrap w:val="false"/>
          </w:tcPr>
          <w:p>
            <w:pPr>
              <w:jc w:val="center"/>
              <w:pageBreakBefore w:val="0"/>
              <w:spacing w:line="440" w:lineRule="exact"/>
              <w:rPr>
                <w:rFonts w:hint="default" w:ascii="宋体" w:hAnsi="宋体" w:eastAsia="宋体" w:cs="宋体"/>
                <w:lang w:val="en-US" w:eastAsia="zh-CN"/>
              </w:rPr>
            </w:pPr>
            <w:r>
              <w:rPr>
                <w:rFonts w:hint="eastAsia" w:ascii="宋体" w:hAnsi="宋体" w:cs="宋体"/>
                <w:lang w:val="en-US" w:eastAsia="zh-CN"/>
              </w:rPr>
              <w:t xml:space="preserve">技术参数</w:t>
            </w:r>
            <w:r/>
          </w:p>
        </w:tc>
        <w:tc>
          <w:tcPr>
            <w:tcW w:w="945" w:type="dxa"/>
            <w:vAlign w:val="center"/>
            <w:textDirection w:val="lrTb"/>
            <w:noWrap w:val="false"/>
          </w:tcPr>
          <w:p>
            <w:pPr>
              <w:jc w:val="center"/>
              <w:pageBreakBefore w:val="0"/>
              <w:spacing w:line="440" w:lineRule="exact"/>
              <w:rPr>
                <w:rFonts w:hint="default" w:ascii="宋体" w:hAnsi="宋体" w:eastAsia="宋体" w:cs="宋体"/>
                <w:lang w:val="en-US" w:eastAsia="zh-CN"/>
              </w:rPr>
            </w:pPr>
            <w:r>
              <w:rPr>
                <w:rFonts w:hint="eastAsia" w:ascii="宋体" w:hAnsi="宋体" w:cs="宋体"/>
                <w:lang w:val="en-US" w:eastAsia="zh-CN"/>
              </w:rPr>
              <w:t xml:space="preserve">单位</w:t>
            </w:r>
            <w:r/>
          </w:p>
        </w:tc>
        <w:tc>
          <w:tcPr>
            <w:tcW w:w="720" w:type="dxa"/>
            <w:vAlign w:val="center"/>
            <w:textDirection w:val="lrTb"/>
            <w:noWrap w:val="false"/>
          </w:tcPr>
          <w:p>
            <w:pPr>
              <w:jc w:val="center"/>
              <w:pageBreakBefore w:val="0"/>
              <w:spacing w:line="440" w:lineRule="exact"/>
              <w:rPr>
                <w:rFonts w:hint="eastAsia" w:ascii="宋体" w:hAnsi="宋体" w:eastAsia="宋体" w:cs="宋体"/>
                <w:lang w:val="en-US" w:eastAsia="zh-CN"/>
              </w:rPr>
            </w:pPr>
            <w:r>
              <w:rPr>
                <w:rFonts w:hint="eastAsia" w:ascii="宋体" w:hAnsi="宋体" w:cs="宋体"/>
                <w:lang w:val="en-US" w:eastAsia="zh-CN"/>
              </w:rPr>
              <w:t xml:space="preserve">数量</w:t>
            </w:r>
            <w:r/>
          </w:p>
        </w:tc>
        <w:tc>
          <w:tcPr>
            <w:tcW w:w="1305" w:type="dxa"/>
            <w:vAlign w:val="center"/>
            <w:textDirection w:val="lrTb"/>
            <w:noWrap w:val="false"/>
          </w:tcPr>
          <w:p>
            <w:pPr>
              <w:jc w:val="center"/>
              <w:pageBreakBefore w:val="0"/>
              <w:spacing w:line="440" w:lineRule="exact"/>
              <w:rPr>
                <w:rFonts w:hint="eastAsia" w:ascii="宋体" w:hAnsi="宋体" w:eastAsia="宋体" w:cs="宋体"/>
                <w:lang w:eastAsia="zh-CN"/>
              </w:rPr>
            </w:pPr>
            <w:r>
              <w:rPr>
                <w:rFonts w:hint="eastAsia" w:ascii="宋体" w:hAnsi="宋体" w:cs="宋体"/>
                <w:lang w:val="en-US" w:eastAsia="zh-CN"/>
              </w:rPr>
              <w:t xml:space="preserve">单价（元）</w:t>
            </w:r>
            <w:r/>
          </w:p>
        </w:tc>
        <w:tc>
          <w:tcPr>
            <w:tcW w:w="1890" w:type="dxa"/>
            <w:vAlign w:val="center"/>
            <w:textDirection w:val="lrTb"/>
            <w:noWrap w:val="false"/>
          </w:tcPr>
          <w:p>
            <w:pPr>
              <w:jc w:val="center"/>
              <w:pageBreakBefore w:val="0"/>
              <w:spacing w:line="440" w:lineRule="exact"/>
              <w:rPr>
                <w:rFonts w:hint="default" w:ascii="宋体" w:hAnsi="宋体" w:eastAsia="宋体" w:cs="宋体"/>
                <w:lang w:val="en-US" w:eastAsia="zh-CN"/>
              </w:rPr>
            </w:pPr>
            <w:r>
              <w:rPr>
                <w:rFonts w:hint="eastAsia" w:ascii="宋体" w:hAnsi="宋体" w:cs="宋体"/>
                <w:lang w:val="en-US" w:eastAsia="zh-CN"/>
              </w:rPr>
              <w:t xml:space="preserve">总价（元）</w:t>
            </w:r>
            <w:r/>
          </w:p>
        </w:tc>
        <w:tc>
          <w:tcPr>
            <w:tcW w:w="1575" w:type="dxa"/>
            <w:vAlign w:val="center"/>
            <w:textDirection w:val="lrTb"/>
            <w:noWrap w:val="false"/>
          </w:tcPr>
          <w:p>
            <w:pPr>
              <w:jc w:val="center"/>
              <w:pageBreakBefore w:val="0"/>
              <w:spacing w:line="440" w:lineRule="exact"/>
              <w:rPr>
                <w:rFonts w:hint="default" w:ascii="宋体" w:hAnsi="宋体" w:eastAsia="宋体" w:cs="宋体"/>
                <w:lang w:val="en-US" w:eastAsia="zh-CN"/>
              </w:rPr>
            </w:pPr>
            <w:r>
              <w:rPr>
                <w:rFonts w:hint="eastAsia" w:ascii="宋体" w:hAnsi="宋体" w:cs="宋体"/>
                <w:lang w:val="en-US" w:eastAsia="zh-CN"/>
              </w:rPr>
              <w:t xml:space="preserve">备注</w:t>
            </w:r>
            <w:r/>
          </w:p>
        </w:tc>
      </w:tr>
      <w:tr>
        <w:trPr>
          <w:jc w:val="center"/>
          <w:trHeight w:val="599"/>
        </w:trPr>
        <w:tc>
          <w:tcPr>
            <w:tcW w:w="846" w:type="dxa"/>
            <w:vAlign w:val="center"/>
            <w:textDirection w:val="lrTb"/>
            <w:noWrap w:val="false"/>
          </w:tcPr>
          <w:p>
            <w:pPr>
              <w:jc w:val="center"/>
              <w:pageBreakBefore w:val="0"/>
              <w:spacing w:line="440" w:lineRule="exact"/>
              <w:rPr>
                <w:rFonts w:hint="eastAsia" w:ascii="宋体" w:hAnsi="宋体" w:eastAsia="宋体" w:cs="宋体"/>
              </w:rPr>
            </w:pPr>
            <w:r>
              <w:rPr>
                <w:rFonts w:hint="eastAsia" w:ascii="宋体" w:hAnsi="宋体" w:eastAsia="宋体" w:cs="宋体"/>
              </w:rPr>
              <w:t xml:space="preserve">1</w:t>
            </w:r>
            <w:r/>
          </w:p>
        </w:tc>
        <w:tc>
          <w:tcPr>
            <w:tcW w:w="1374" w:type="dxa"/>
            <w:vAlign w:val="top"/>
            <w:textDirection w:val="lrTb"/>
            <w:noWrap w:val="false"/>
          </w:tcPr>
          <w:p>
            <w:pPr>
              <w:jc w:val="left"/>
              <w:pageBreakBefore w:val="0"/>
              <w:spacing w:line="440" w:lineRule="exact"/>
              <w:rPr>
                <w:rFonts w:hint="eastAsia" w:ascii="宋体" w:hAnsi="宋体" w:eastAsia="宋体" w:cs="宋体"/>
              </w:rPr>
            </w:pPr>
            <w:r>
              <w:rPr>
                <w:rFonts w:hint="eastAsia" w:ascii="宋体" w:hAnsi="宋体" w:eastAsia="宋体" w:cs="宋体"/>
                <w:highlight w:val="none"/>
                <w:shd w:val="clear" w:color="auto" w:fill="ffffff"/>
                <w:lang w:val="en-US" w:eastAsia="zh-CN"/>
              </w:rPr>
              <w:t xml:space="preserve"> </w:t>
            </w:r>
            <w:r/>
          </w:p>
        </w:tc>
        <w:tc>
          <w:tcPr>
            <w:tcW w:w="1223" w:type="dxa"/>
            <w:vAlign w:val="top"/>
            <w:textDirection w:val="lrTb"/>
            <w:noWrap w:val="false"/>
          </w:tcPr>
          <w:p>
            <w:pPr>
              <w:jc w:val="left"/>
              <w:pageBreakBefore w:val="0"/>
              <w:spacing w:line="440" w:lineRule="exact"/>
              <w:rPr>
                <w:rFonts w:hint="eastAsia" w:ascii="宋体" w:hAnsi="宋体" w:eastAsia="宋体" w:cs="宋体"/>
                <w:highlight w:val="none"/>
                <w:shd w:val="clear" w:color="auto" w:fill="ffffff"/>
                <w:lang w:val="en-US" w:eastAsia="zh-CN"/>
              </w:rPr>
            </w:pPr>
            <w:r>
              <w:rPr>
                <w:rFonts w:hint="eastAsia" w:ascii="宋体" w:hAnsi="宋体" w:eastAsia="宋体" w:cs="宋体"/>
                <w:highlight w:val="none"/>
                <w:shd w:val="clear" w:color="auto" w:fill="ffffff"/>
                <w:lang w:val="en-US" w:eastAsia="zh-CN"/>
              </w:rPr>
            </w:r>
            <w:r/>
          </w:p>
        </w:tc>
        <w:tc>
          <w:tcPr>
            <w:tcW w:w="945" w:type="dxa"/>
            <w:vAlign w:val="center"/>
            <w:textDirection w:val="lrTb"/>
            <w:noWrap w:val="false"/>
          </w:tcPr>
          <w:p>
            <w:pPr>
              <w:jc w:val="center"/>
              <w:pageBreakBefore w:val="0"/>
              <w:spacing w:line="440" w:lineRule="exact"/>
              <w:rPr>
                <w:rFonts w:hint="eastAsia" w:ascii="宋体" w:hAnsi="宋体" w:eastAsia="宋体" w:cs="宋体"/>
              </w:rPr>
            </w:pPr>
            <w:r>
              <w:rPr>
                <w:rFonts w:hint="eastAsia" w:ascii="宋体" w:hAnsi="宋体" w:eastAsia="宋体" w:cs="宋体"/>
              </w:rPr>
            </w:r>
            <w:r/>
          </w:p>
        </w:tc>
        <w:tc>
          <w:tcPr>
            <w:tcW w:w="720" w:type="dxa"/>
            <w:vAlign w:val="center"/>
            <w:textDirection w:val="lrTb"/>
            <w:noWrap w:val="false"/>
          </w:tcPr>
          <w:p>
            <w:pPr>
              <w:jc w:val="center"/>
              <w:pageBreakBefore w:val="0"/>
              <w:spacing w:line="440" w:lineRule="exact"/>
              <w:rPr>
                <w:rFonts w:hint="eastAsia" w:ascii="宋体" w:hAnsi="宋体" w:eastAsia="宋体" w:cs="宋体"/>
              </w:rPr>
            </w:pPr>
            <w:r>
              <w:rPr>
                <w:rFonts w:hint="eastAsia" w:ascii="宋体" w:hAnsi="宋体" w:eastAsia="宋体" w:cs="宋体"/>
              </w:rPr>
            </w:r>
            <w:r/>
          </w:p>
        </w:tc>
        <w:tc>
          <w:tcPr>
            <w:tcW w:w="1305" w:type="dxa"/>
            <w:vAlign w:val="center"/>
            <w:textDirection w:val="lrTb"/>
            <w:noWrap w:val="false"/>
          </w:tcPr>
          <w:p>
            <w:pPr>
              <w:jc w:val="center"/>
              <w:pageBreakBefore w:val="0"/>
              <w:spacing w:line="440" w:lineRule="exact"/>
              <w:rPr>
                <w:rFonts w:hint="eastAsia" w:ascii="宋体" w:hAnsi="宋体" w:eastAsia="宋体" w:cs="宋体"/>
              </w:rPr>
            </w:pPr>
            <w:r>
              <w:rPr>
                <w:rFonts w:hint="eastAsia" w:ascii="宋体" w:hAnsi="宋体" w:eastAsia="宋体" w:cs="宋体"/>
              </w:rPr>
            </w:r>
            <w:r/>
          </w:p>
        </w:tc>
        <w:tc>
          <w:tcPr>
            <w:tcW w:w="1890" w:type="dxa"/>
            <w:vAlign w:val="center"/>
            <w:textDirection w:val="lrTb"/>
            <w:noWrap w:val="false"/>
          </w:tcPr>
          <w:p>
            <w:pPr>
              <w:jc w:val="center"/>
              <w:pageBreakBefore w:val="0"/>
              <w:spacing w:line="440" w:lineRule="exact"/>
              <w:rPr>
                <w:rFonts w:hint="eastAsia" w:ascii="宋体" w:hAnsi="宋体" w:eastAsia="宋体" w:cs="宋体"/>
              </w:rPr>
            </w:pPr>
            <w:r>
              <w:rPr>
                <w:rFonts w:hint="eastAsia" w:ascii="宋体" w:hAnsi="宋体" w:eastAsia="宋体" w:cs="宋体"/>
              </w:rPr>
            </w:r>
            <w:r/>
          </w:p>
        </w:tc>
        <w:tc>
          <w:tcPr>
            <w:tcW w:w="1575" w:type="dxa"/>
            <w:vAlign w:val="center"/>
            <w:textDirection w:val="lrTb"/>
            <w:noWrap w:val="false"/>
          </w:tcPr>
          <w:p>
            <w:pPr>
              <w:jc w:val="center"/>
              <w:pageBreakBefore w:val="0"/>
              <w:spacing w:line="440" w:lineRule="exact"/>
              <w:rPr>
                <w:rFonts w:hint="eastAsia" w:ascii="宋体" w:hAnsi="宋体" w:eastAsia="宋体" w:cs="宋体"/>
              </w:rPr>
            </w:pPr>
            <w:r>
              <w:rPr>
                <w:rFonts w:hint="eastAsia" w:ascii="宋体" w:hAnsi="宋体" w:eastAsia="宋体" w:cs="宋体"/>
              </w:rPr>
            </w:r>
            <w:r/>
          </w:p>
        </w:tc>
      </w:tr>
      <w:tr>
        <w:trPr>
          <w:jc w:val="center"/>
          <w:trHeight w:val="693"/>
        </w:trPr>
        <w:tc>
          <w:tcPr>
            <w:tcW w:w="846" w:type="dxa"/>
            <w:vAlign w:val="center"/>
            <w:textDirection w:val="lrTb"/>
            <w:noWrap w:val="false"/>
          </w:tcPr>
          <w:p>
            <w:pPr>
              <w:jc w:val="center"/>
              <w:pageBreakBefore w:val="0"/>
              <w:spacing w:line="440" w:lineRule="exact"/>
              <w:rPr>
                <w:rFonts w:hint="eastAsia" w:ascii="宋体" w:hAnsi="宋体" w:eastAsia="宋体" w:cs="宋体"/>
              </w:rPr>
            </w:pPr>
            <w:r>
              <w:rPr>
                <w:rFonts w:hint="eastAsia" w:ascii="宋体" w:hAnsi="宋体" w:eastAsia="宋体" w:cs="宋体"/>
              </w:rPr>
              <w:t xml:space="preserve">2</w:t>
            </w:r>
            <w:r/>
          </w:p>
        </w:tc>
        <w:tc>
          <w:tcPr>
            <w:tcW w:w="1374" w:type="dxa"/>
            <w:vAlign w:val="center"/>
            <w:textDirection w:val="lrTb"/>
            <w:noWrap w:val="false"/>
          </w:tcPr>
          <w:p>
            <w:pPr>
              <w:jc w:val="center"/>
              <w:pageBreakBefore w:val="0"/>
              <w:spacing w:line="440" w:lineRule="exact"/>
              <w:rPr>
                <w:rFonts w:hint="eastAsia" w:ascii="宋体" w:hAnsi="宋体" w:eastAsia="宋体" w:cs="宋体"/>
              </w:rPr>
            </w:pPr>
            <w:r>
              <w:rPr>
                <w:rFonts w:hint="eastAsia" w:ascii="宋体" w:hAnsi="宋体" w:eastAsia="宋体" w:cs="宋体"/>
              </w:rPr>
            </w:r>
            <w:r/>
          </w:p>
        </w:tc>
        <w:tc>
          <w:tcPr>
            <w:tcW w:w="1223" w:type="dxa"/>
            <w:vAlign w:val="center"/>
            <w:textDirection w:val="lrTb"/>
            <w:noWrap w:val="false"/>
          </w:tcPr>
          <w:p>
            <w:pPr>
              <w:jc w:val="center"/>
              <w:pageBreakBefore w:val="0"/>
              <w:spacing w:line="440" w:lineRule="exact"/>
              <w:rPr>
                <w:rFonts w:hint="eastAsia" w:ascii="宋体" w:hAnsi="宋体" w:eastAsia="宋体" w:cs="宋体"/>
              </w:rPr>
            </w:pPr>
            <w:r>
              <w:rPr>
                <w:rFonts w:hint="eastAsia" w:ascii="宋体" w:hAnsi="宋体" w:eastAsia="宋体" w:cs="宋体"/>
              </w:rPr>
            </w:r>
            <w:r/>
          </w:p>
        </w:tc>
        <w:tc>
          <w:tcPr>
            <w:tcW w:w="945" w:type="dxa"/>
            <w:vAlign w:val="center"/>
            <w:textDirection w:val="lrTb"/>
            <w:noWrap w:val="false"/>
          </w:tcPr>
          <w:p>
            <w:pPr>
              <w:jc w:val="center"/>
              <w:pageBreakBefore w:val="0"/>
              <w:spacing w:line="440" w:lineRule="exact"/>
              <w:rPr>
                <w:rFonts w:hint="eastAsia" w:ascii="宋体" w:hAnsi="宋体" w:eastAsia="宋体" w:cs="宋体"/>
              </w:rPr>
            </w:pPr>
            <w:r>
              <w:rPr>
                <w:rFonts w:hint="eastAsia" w:ascii="宋体" w:hAnsi="宋体" w:eastAsia="宋体" w:cs="宋体"/>
              </w:rPr>
            </w:r>
            <w:r/>
          </w:p>
        </w:tc>
        <w:tc>
          <w:tcPr>
            <w:tcW w:w="720" w:type="dxa"/>
            <w:vAlign w:val="center"/>
            <w:textDirection w:val="lrTb"/>
            <w:noWrap w:val="false"/>
          </w:tcPr>
          <w:p>
            <w:pPr>
              <w:jc w:val="center"/>
              <w:pageBreakBefore w:val="0"/>
              <w:spacing w:line="440" w:lineRule="exact"/>
              <w:rPr>
                <w:rFonts w:hint="eastAsia" w:ascii="宋体" w:hAnsi="宋体" w:eastAsia="宋体" w:cs="宋体"/>
              </w:rPr>
            </w:pPr>
            <w:r>
              <w:rPr>
                <w:rFonts w:hint="eastAsia" w:ascii="宋体" w:hAnsi="宋体" w:eastAsia="宋体" w:cs="宋体"/>
              </w:rPr>
            </w:r>
            <w:r/>
          </w:p>
        </w:tc>
        <w:tc>
          <w:tcPr>
            <w:tcW w:w="1305" w:type="dxa"/>
            <w:vAlign w:val="center"/>
            <w:textDirection w:val="lrTb"/>
            <w:noWrap w:val="false"/>
          </w:tcPr>
          <w:p>
            <w:pPr>
              <w:jc w:val="center"/>
              <w:pageBreakBefore w:val="0"/>
              <w:spacing w:line="440" w:lineRule="exact"/>
              <w:rPr>
                <w:rFonts w:hint="eastAsia" w:ascii="宋体" w:hAnsi="宋体" w:eastAsia="宋体" w:cs="宋体"/>
              </w:rPr>
            </w:pPr>
            <w:r>
              <w:rPr>
                <w:rFonts w:hint="eastAsia" w:ascii="宋体" w:hAnsi="宋体" w:eastAsia="宋体" w:cs="宋体"/>
              </w:rPr>
            </w:r>
            <w:r/>
          </w:p>
        </w:tc>
        <w:tc>
          <w:tcPr>
            <w:tcW w:w="1890" w:type="dxa"/>
            <w:vAlign w:val="center"/>
            <w:textDirection w:val="lrTb"/>
            <w:noWrap w:val="false"/>
          </w:tcPr>
          <w:p>
            <w:pPr>
              <w:jc w:val="center"/>
              <w:pageBreakBefore w:val="0"/>
              <w:spacing w:line="440" w:lineRule="exact"/>
              <w:rPr>
                <w:rFonts w:hint="eastAsia" w:ascii="宋体" w:hAnsi="宋体" w:eastAsia="宋体" w:cs="宋体"/>
              </w:rPr>
            </w:pPr>
            <w:r>
              <w:rPr>
                <w:rFonts w:hint="eastAsia" w:ascii="宋体" w:hAnsi="宋体" w:eastAsia="宋体" w:cs="宋体"/>
              </w:rPr>
            </w:r>
            <w:r/>
          </w:p>
        </w:tc>
        <w:tc>
          <w:tcPr>
            <w:tcW w:w="1575" w:type="dxa"/>
            <w:vAlign w:val="center"/>
            <w:textDirection w:val="lrTb"/>
            <w:noWrap w:val="false"/>
          </w:tcPr>
          <w:p>
            <w:pPr>
              <w:jc w:val="center"/>
              <w:pageBreakBefore w:val="0"/>
              <w:spacing w:line="440" w:lineRule="exact"/>
              <w:rPr>
                <w:rFonts w:hint="eastAsia" w:ascii="宋体" w:hAnsi="宋体" w:eastAsia="宋体" w:cs="宋体"/>
              </w:rPr>
            </w:pPr>
            <w:r>
              <w:rPr>
                <w:rFonts w:hint="eastAsia" w:ascii="宋体" w:hAnsi="宋体" w:eastAsia="宋体" w:cs="宋体"/>
              </w:rPr>
            </w:r>
            <w:r/>
          </w:p>
        </w:tc>
      </w:tr>
      <w:tr>
        <w:trPr>
          <w:jc w:val="center"/>
          <w:trHeight w:val="693"/>
        </w:trPr>
        <w:tc>
          <w:tcPr>
            <w:tcW w:w="846" w:type="dxa"/>
            <w:vAlign w:val="center"/>
            <w:textDirection w:val="lrTb"/>
            <w:noWrap w:val="false"/>
          </w:tcPr>
          <w:p>
            <w:pPr>
              <w:jc w:val="center"/>
              <w:pageBreakBefore w:val="0"/>
              <w:spacing w:line="440" w:lineRule="exact"/>
              <w:rPr>
                <w:rFonts w:hint="default" w:ascii="宋体" w:hAnsi="宋体" w:eastAsia="宋体" w:cs="宋体"/>
                <w:lang w:val="en-US" w:eastAsia="zh-CN"/>
              </w:rPr>
            </w:pPr>
            <w:r>
              <w:rPr>
                <w:rFonts w:hint="eastAsia" w:ascii="宋体" w:hAnsi="宋体" w:cs="宋体"/>
                <w:lang w:val="en-US" w:eastAsia="zh-CN"/>
              </w:rPr>
              <w:t xml:space="preserve">.......</w:t>
            </w:r>
            <w:r/>
          </w:p>
        </w:tc>
        <w:tc>
          <w:tcPr>
            <w:tcW w:w="1374" w:type="dxa"/>
            <w:vAlign w:val="center"/>
            <w:textDirection w:val="lrTb"/>
            <w:noWrap w:val="false"/>
          </w:tcPr>
          <w:p>
            <w:pPr>
              <w:jc w:val="center"/>
              <w:pageBreakBefore w:val="0"/>
              <w:spacing w:line="440" w:lineRule="exact"/>
              <w:rPr>
                <w:rFonts w:hint="eastAsia" w:ascii="宋体" w:hAnsi="宋体" w:eastAsia="宋体" w:cs="宋体"/>
              </w:rPr>
            </w:pPr>
            <w:r>
              <w:rPr>
                <w:rFonts w:hint="eastAsia" w:ascii="宋体" w:hAnsi="宋体" w:eastAsia="宋体" w:cs="宋体"/>
              </w:rPr>
            </w:r>
            <w:r/>
          </w:p>
        </w:tc>
        <w:tc>
          <w:tcPr>
            <w:tcW w:w="1223" w:type="dxa"/>
            <w:vAlign w:val="center"/>
            <w:textDirection w:val="lrTb"/>
            <w:noWrap w:val="false"/>
          </w:tcPr>
          <w:p>
            <w:pPr>
              <w:jc w:val="center"/>
              <w:pageBreakBefore w:val="0"/>
              <w:spacing w:line="440" w:lineRule="exact"/>
              <w:rPr>
                <w:rFonts w:hint="eastAsia" w:ascii="宋体" w:hAnsi="宋体" w:eastAsia="宋体" w:cs="宋体"/>
              </w:rPr>
            </w:pPr>
            <w:r>
              <w:rPr>
                <w:rFonts w:hint="eastAsia" w:ascii="宋体" w:hAnsi="宋体" w:eastAsia="宋体" w:cs="宋体"/>
              </w:rPr>
            </w:r>
            <w:r/>
          </w:p>
        </w:tc>
        <w:tc>
          <w:tcPr>
            <w:tcW w:w="945" w:type="dxa"/>
            <w:vAlign w:val="center"/>
            <w:textDirection w:val="lrTb"/>
            <w:noWrap w:val="false"/>
          </w:tcPr>
          <w:p>
            <w:pPr>
              <w:jc w:val="center"/>
              <w:pageBreakBefore w:val="0"/>
              <w:spacing w:line="440" w:lineRule="exact"/>
              <w:rPr>
                <w:rFonts w:hint="eastAsia" w:ascii="宋体" w:hAnsi="宋体" w:eastAsia="宋体" w:cs="宋体"/>
              </w:rPr>
            </w:pPr>
            <w:r>
              <w:rPr>
                <w:rFonts w:hint="eastAsia" w:ascii="宋体" w:hAnsi="宋体" w:eastAsia="宋体" w:cs="宋体"/>
              </w:rPr>
            </w:r>
            <w:r/>
          </w:p>
        </w:tc>
        <w:tc>
          <w:tcPr>
            <w:tcW w:w="720" w:type="dxa"/>
            <w:vAlign w:val="center"/>
            <w:textDirection w:val="lrTb"/>
            <w:noWrap w:val="false"/>
          </w:tcPr>
          <w:p>
            <w:pPr>
              <w:jc w:val="center"/>
              <w:pageBreakBefore w:val="0"/>
              <w:spacing w:line="440" w:lineRule="exact"/>
              <w:rPr>
                <w:rFonts w:hint="eastAsia" w:ascii="宋体" w:hAnsi="宋体" w:eastAsia="宋体" w:cs="宋体"/>
              </w:rPr>
            </w:pPr>
            <w:r>
              <w:rPr>
                <w:rFonts w:hint="eastAsia" w:ascii="宋体" w:hAnsi="宋体" w:eastAsia="宋体" w:cs="宋体"/>
              </w:rPr>
            </w:r>
            <w:r/>
          </w:p>
        </w:tc>
        <w:tc>
          <w:tcPr>
            <w:tcW w:w="1305" w:type="dxa"/>
            <w:vAlign w:val="center"/>
            <w:textDirection w:val="lrTb"/>
            <w:noWrap w:val="false"/>
          </w:tcPr>
          <w:p>
            <w:pPr>
              <w:jc w:val="center"/>
              <w:pageBreakBefore w:val="0"/>
              <w:spacing w:line="440" w:lineRule="exact"/>
              <w:rPr>
                <w:rFonts w:hint="eastAsia" w:ascii="宋体" w:hAnsi="宋体" w:eastAsia="宋体" w:cs="宋体"/>
              </w:rPr>
            </w:pPr>
            <w:r>
              <w:rPr>
                <w:rFonts w:hint="eastAsia" w:ascii="宋体" w:hAnsi="宋体" w:eastAsia="宋体" w:cs="宋体"/>
              </w:rPr>
            </w:r>
            <w:r/>
          </w:p>
        </w:tc>
        <w:tc>
          <w:tcPr>
            <w:tcW w:w="1890" w:type="dxa"/>
            <w:vAlign w:val="center"/>
            <w:textDirection w:val="lrTb"/>
            <w:noWrap w:val="false"/>
          </w:tcPr>
          <w:p>
            <w:pPr>
              <w:jc w:val="center"/>
              <w:pageBreakBefore w:val="0"/>
              <w:spacing w:line="440" w:lineRule="exact"/>
              <w:rPr>
                <w:rFonts w:hint="eastAsia" w:ascii="宋体" w:hAnsi="宋体" w:eastAsia="宋体" w:cs="宋体"/>
              </w:rPr>
            </w:pPr>
            <w:r>
              <w:rPr>
                <w:rFonts w:hint="eastAsia" w:ascii="宋体" w:hAnsi="宋体" w:eastAsia="宋体" w:cs="宋体"/>
              </w:rPr>
            </w:r>
            <w:r/>
          </w:p>
        </w:tc>
        <w:tc>
          <w:tcPr>
            <w:tcW w:w="1575" w:type="dxa"/>
            <w:vAlign w:val="center"/>
            <w:textDirection w:val="lrTb"/>
            <w:noWrap w:val="false"/>
          </w:tcPr>
          <w:p>
            <w:pPr>
              <w:jc w:val="center"/>
              <w:pageBreakBefore w:val="0"/>
              <w:spacing w:line="440" w:lineRule="exact"/>
              <w:rPr>
                <w:rFonts w:hint="eastAsia" w:ascii="宋体" w:hAnsi="宋体" w:eastAsia="宋体" w:cs="宋体"/>
              </w:rPr>
            </w:pPr>
            <w:r>
              <w:rPr>
                <w:rFonts w:hint="eastAsia" w:ascii="宋体" w:hAnsi="宋体" w:eastAsia="宋体" w:cs="宋体"/>
              </w:rPr>
            </w:r>
            <w:r/>
          </w:p>
        </w:tc>
      </w:tr>
      <w:tr>
        <w:trPr>
          <w:jc w:val="center"/>
          <w:trHeight w:val="605"/>
        </w:trPr>
        <w:tc>
          <w:tcPr>
            <w:tcW w:w="846" w:type="dxa"/>
            <w:vAlign w:val="center"/>
            <w:textDirection w:val="lrTb"/>
            <w:noWrap w:val="false"/>
          </w:tcPr>
          <w:p>
            <w:pPr>
              <w:jc w:val="center"/>
              <w:pageBreakBefore w:val="0"/>
              <w:spacing w:line="440" w:lineRule="exact"/>
              <w:rPr>
                <w:rFonts w:hint="eastAsia" w:ascii="宋体" w:hAnsi="宋体" w:eastAsia="宋体" w:cs="宋体"/>
                <w:lang w:eastAsia="zh-CN"/>
              </w:rPr>
            </w:pPr>
            <w:r>
              <w:rPr>
                <w:rFonts w:hint="eastAsia" w:ascii="宋体" w:hAnsi="宋体" w:eastAsia="宋体" w:cs="宋体"/>
              </w:rPr>
              <w:t xml:space="preserve">合计</w:t>
            </w:r>
            <w:r>
              <w:rPr>
                <w:rFonts w:hint="eastAsia" w:ascii="宋体" w:hAnsi="宋体" w:eastAsia="宋体" w:cs="宋体"/>
                <w:lang w:eastAsia="zh-CN"/>
              </w:rPr>
              <w:t xml:space="preserve">（元）</w:t>
            </w:r>
            <w:r/>
          </w:p>
        </w:tc>
        <w:tc>
          <w:tcPr>
            <w:gridSpan w:val="7"/>
            <w:tcW w:w="9032" w:type="dxa"/>
            <w:vAlign w:val="center"/>
            <w:textDirection w:val="lrTb"/>
            <w:noWrap w:val="false"/>
          </w:tcPr>
          <w:p>
            <w:pPr>
              <w:pageBreakBefore w:val="0"/>
              <w:spacing w:line="440" w:lineRule="exact"/>
              <w:rPr>
                <w:rFonts w:hint="eastAsia" w:ascii="宋体" w:hAnsi="宋体" w:eastAsia="宋体" w:cs="宋体"/>
              </w:rPr>
            </w:pPr>
            <w:r>
              <w:rPr>
                <w:rFonts w:hint="eastAsia" w:ascii="宋体" w:hAnsi="宋体" w:eastAsia="宋体" w:cs="宋体"/>
              </w:rPr>
              <w:t xml:space="preserve">大写：                  小写：                            </w:t>
            </w:r>
            <w:r/>
          </w:p>
        </w:tc>
      </w:tr>
      <w:tr>
        <w:trPr>
          <w:jc w:val="center"/>
          <w:trHeight w:val="605"/>
        </w:trPr>
        <w:tc>
          <w:tcPr>
            <w:gridSpan w:val="8"/>
            <w:tcW w:w="9878" w:type="dxa"/>
            <w:vAlign w:val="center"/>
            <w:textDirection w:val="lrTb"/>
            <w:noWrap w:val="false"/>
          </w:tcPr>
          <w:p>
            <w:pPr>
              <w:pageBreakBefore w:val="0"/>
              <w:spacing w:line="440" w:lineRule="exact"/>
              <w:rPr>
                <w:rFonts w:hint="eastAsia" w:ascii="宋体" w:hAnsi="宋体" w:eastAsia="宋体" w:cs="宋体"/>
              </w:rPr>
            </w:pPr>
            <w:r>
              <w:rPr>
                <w:rFonts w:hint="eastAsia" w:ascii="方正魏碑_GBK" w:hAnsi="方正魏碑_GBK" w:eastAsia="方正魏碑_GBK" w:cs="方正魏碑_GBK"/>
                <w:b/>
                <w:bCs/>
                <w:color w:val="00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000000"/>
                <w:sz w:val="28"/>
                <w:szCs w:val="28"/>
                <w:u w:val="single"/>
                <w:lang w:val="en-US" w:eastAsia="zh-CN"/>
              </w:rPr>
              <w:t xml:space="preserve">      </w:t>
            </w:r>
            <w:r>
              <w:rPr>
                <w:rFonts w:hint="eastAsia" w:ascii="方正魏碑_GBK" w:hAnsi="方正魏碑_GBK" w:eastAsia="方正魏碑_GBK" w:cs="方正魏碑_GBK"/>
                <w:b/>
                <w:bCs/>
                <w:color w:val="000000"/>
                <w:sz w:val="28"/>
                <w:szCs w:val="28"/>
              </w:rPr>
              <w:t xml:space="preserve">%。</w:t>
            </w:r>
            <w:r/>
          </w:p>
        </w:tc>
      </w:tr>
    </w:tbl>
    <w:p>
      <w:pPr>
        <w:keepNext w:val="0"/>
        <w:pageBreakBefore w:val="0"/>
        <w:spacing w:line="360" w:lineRule="auto"/>
        <w:rPr>
          <w:rFonts w:hint="eastAsia" w:ascii="宋体" w:hAnsi="宋体" w:cs="宋体"/>
          <w:color w:val="auto"/>
          <w:sz w:val="24"/>
          <w:szCs w:val="32"/>
        </w:rPr>
      </w:pPr>
      <w:r>
        <w:rPr>
          <w:rFonts w:hint="eastAsia" w:ascii="宋体" w:hAnsi="宋体" w:cs="宋体"/>
          <w:color w:val="auto"/>
          <w:sz w:val="24"/>
          <w:szCs w:val="32"/>
        </w:rPr>
        <w:t xml:space="preserve">投标单位（必须盖公章）：</w:t>
      </w:r>
      <w:r/>
    </w:p>
    <w:p>
      <w:pPr>
        <w:keepNext w:val="0"/>
        <w:pageBreakBefore w:val="0"/>
        <w:spacing w:line="360" w:lineRule="auto"/>
        <w:rPr>
          <w:rFonts w:hint="eastAsia" w:ascii="宋体" w:hAnsi="宋体" w:cs="宋体"/>
          <w:color w:val="auto"/>
          <w:sz w:val="24"/>
          <w:szCs w:val="32"/>
        </w:rPr>
      </w:pPr>
      <w:r>
        <w:rPr>
          <w:rFonts w:hint="eastAsia" w:ascii="宋体" w:hAnsi="宋体" w:cs="宋体"/>
          <w:color w:val="auto"/>
          <w:sz w:val="24"/>
          <w:szCs w:val="32"/>
        </w:rPr>
        <w:t xml:space="preserve">联系电话（必须填写）：</w:t>
      </w:r>
      <w:r/>
    </w:p>
    <w:p>
      <w:pPr>
        <w:keepNext w:val="0"/>
        <w:pageBreakBefore w:val="0"/>
        <w:spacing w:line="360" w:lineRule="auto"/>
        <w:rPr>
          <w:rFonts w:hint="eastAsia" w:ascii="宋体" w:hAnsi="宋体" w:cs="宋体"/>
          <w:color w:val="auto"/>
        </w:rPr>
      </w:pPr>
      <w:r>
        <w:rPr>
          <w:rFonts w:hint="eastAsia" w:ascii="宋体" w:hAnsi="宋体" w:cs="宋体"/>
          <w:color w:val="auto"/>
          <w:sz w:val="24"/>
          <w:szCs w:val="32"/>
        </w:rPr>
        <w:t xml:space="preserve">日期：     年     月     日</w:t>
      </w:r>
      <w:r/>
    </w:p>
    <w:p>
      <w:pPr>
        <w:pStyle w:val="907"/>
        <w:keepNext w:val="0"/>
        <w:pageBreakBefore w:val="0"/>
        <w:spacing w:line="360" w:lineRule="auto"/>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注： </w:t>
      </w:r>
      <w:r/>
    </w:p>
    <w:p>
      <w:pPr>
        <w:pStyle w:val="907"/>
        <w:keepNext w:val="0"/>
        <w:pageBreakBefore w:val="0"/>
        <w:spacing w:line="360" w:lineRule="auto"/>
        <w:rPr>
          <w:rFonts w:hint="eastAsia" w:ascii="宋体" w:hAnsi="宋体" w:eastAsia="宋体" w:cs="宋体"/>
          <w:bCs/>
          <w:color w:val="auto"/>
          <w:sz w:val="24"/>
          <w:szCs w:val="22"/>
        </w:rPr>
      </w:pPr>
      <w:r>
        <w:rPr>
          <w:rFonts w:hint="eastAsia" w:ascii="宋体" w:hAnsi="宋体" w:eastAsia="宋体" w:cs="宋体"/>
          <w:bCs/>
          <w:color w:val="auto"/>
          <w:sz w:val="24"/>
          <w:szCs w:val="22"/>
          <w:lang w:eastAsia="zh-CN"/>
        </w:rPr>
        <w:t xml:space="preserve">1.</w:t>
      </w:r>
      <w:r>
        <w:rPr>
          <w:rFonts w:hint="eastAsia" w:ascii="宋体" w:hAnsi="宋体" w:eastAsia="宋体" w:cs="宋体"/>
          <w:bCs/>
          <w:color w:val="auto"/>
          <w:sz w:val="24"/>
          <w:szCs w:val="22"/>
        </w:rPr>
        <w:t xml:space="preserve">所有价格</w:t>
      </w:r>
      <w:r>
        <w:rPr>
          <w:rFonts w:hint="eastAsia" w:hAnsi="宋体" w:cs="宋体"/>
          <w:bCs/>
          <w:color w:val="auto"/>
          <w:sz w:val="24"/>
          <w:szCs w:val="22"/>
          <w:lang w:eastAsia="zh-CN"/>
        </w:rPr>
        <w:t xml:space="preserve">采</w:t>
      </w:r>
      <w:r>
        <w:rPr>
          <w:rFonts w:hint="eastAsia" w:ascii="宋体" w:hAnsi="宋体" w:eastAsia="宋体" w:cs="宋体"/>
          <w:bCs/>
          <w:color w:val="auto"/>
          <w:sz w:val="24"/>
          <w:szCs w:val="22"/>
          <w:lang w:val="en-US" w:eastAsia="zh-CN"/>
        </w:rPr>
        <w:t xml:space="preserve">用</w:t>
      </w:r>
      <w:r>
        <w:rPr>
          <w:rFonts w:hint="eastAsia" w:ascii="宋体" w:hAnsi="宋体" w:eastAsia="宋体" w:cs="宋体"/>
          <w:bCs/>
          <w:color w:val="auto"/>
          <w:sz w:val="24"/>
          <w:szCs w:val="22"/>
        </w:rPr>
        <w:t xml:space="preserve">人民币表示。</w:t>
      </w:r>
      <w:r/>
    </w:p>
    <w:p>
      <w:pPr>
        <w:pStyle w:val="907"/>
        <w:keepNext w:val="0"/>
        <w:pageBreakBefore w:val="0"/>
        <w:spacing w:line="360" w:lineRule="auto"/>
        <w:rPr>
          <w:rFonts w:hint="eastAsia" w:ascii="宋体" w:hAnsi="宋体" w:eastAsia="宋体" w:cs="宋体"/>
          <w:bCs/>
          <w:color w:val="auto"/>
          <w:sz w:val="24"/>
          <w:szCs w:val="22"/>
        </w:rPr>
      </w:pPr>
      <w:r>
        <w:rPr>
          <w:rFonts w:hint="eastAsia" w:ascii="宋体" w:hAnsi="宋体" w:eastAsia="宋体" w:cs="宋体"/>
          <w:bCs/>
          <w:color w:val="auto"/>
          <w:sz w:val="24"/>
          <w:szCs w:val="22"/>
          <w:lang w:eastAsia="zh-CN"/>
        </w:rPr>
        <w:t xml:space="preserve">2.</w:t>
      </w:r>
      <w:r>
        <w:rPr>
          <w:rFonts w:hint="eastAsia" w:ascii="宋体" w:hAnsi="宋体" w:eastAsia="宋体" w:cs="宋体"/>
          <w:bCs/>
          <w:color w:val="auto"/>
          <w:sz w:val="24"/>
          <w:szCs w:val="22"/>
        </w:rPr>
        <w:t xml:space="preserve">投标人的报价应包括人员、保险、税金、</w:t>
      </w:r>
      <w:r>
        <w:rPr>
          <w:rFonts w:hint="eastAsia" w:hAnsi="宋体" w:cs="宋体"/>
          <w:bCs/>
          <w:color w:val="auto"/>
          <w:sz w:val="24"/>
          <w:szCs w:val="22"/>
          <w:lang w:val="en-US" w:eastAsia="zh-CN"/>
        </w:rPr>
        <w:t xml:space="preserve">运</w:t>
      </w:r>
      <w:r>
        <w:rPr>
          <w:rFonts w:hint="eastAsia" w:hAnsi="宋体" w:cs="宋体"/>
          <w:bCs/>
          <w:color w:val="auto"/>
          <w:sz w:val="24"/>
          <w:szCs w:val="22"/>
          <w:highlight w:val="none"/>
          <w:lang w:val="en-US" w:eastAsia="zh-CN"/>
        </w:rPr>
        <w:t xml:space="preserve">输、安装、仓储、清理、</w:t>
      </w:r>
      <w:r>
        <w:rPr>
          <w:rFonts w:hint="eastAsia" w:ascii="宋体" w:hAnsi="宋体" w:eastAsia="宋体" w:cs="宋体"/>
          <w:bCs/>
          <w:color w:val="auto"/>
          <w:sz w:val="24"/>
          <w:szCs w:val="22"/>
          <w:highlight w:val="none"/>
        </w:rPr>
        <w:t xml:space="preserve">售后服</w:t>
      </w:r>
      <w:r>
        <w:rPr>
          <w:rFonts w:hint="eastAsia" w:ascii="宋体" w:hAnsi="宋体" w:eastAsia="宋体" w:cs="宋体"/>
          <w:bCs/>
          <w:color w:val="auto"/>
          <w:sz w:val="24"/>
          <w:szCs w:val="22"/>
        </w:rPr>
        <w:t xml:space="preserve">务等所有费用，</w:t>
      </w:r>
      <w:r>
        <w:rPr>
          <w:rFonts w:hint="eastAsia" w:ascii="宋体" w:hAnsi="宋体" w:eastAsia="宋体" w:cs="宋体"/>
          <w:bCs/>
          <w:color w:val="auto"/>
          <w:sz w:val="24"/>
          <w:szCs w:val="22"/>
          <w:lang w:eastAsia="zh-CN"/>
        </w:rPr>
        <w:t xml:space="preserve">招标人</w:t>
      </w:r>
      <w:r>
        <w:rPr>
          <w:rFonts w:hint="eastAsia" w:ascii="宋体" w:hAnsi="宋体" w:eastAsia="宋体" w:cs="宋体"/>
          <w:bCs/>
          <w:color w:val="auto"/>
          <w:sz w:val="24"/>
          <w:szCs w:val="22"/>
        </w:rPr>
        <w:t xml:space="preserve">不再支付任何其他费用。</w:t>
      </w:r>
      <w:r/>
    </w:p>
    <w:p>
      <w:pPr>
        <w:pStyle w:val="907"/>
        <w:keepNext w:val="0"/>
        <w:pageBreakBefore w:val="0"/>
        <w:spacing w:line="360" w:lineRule="auto"/>
        <w:rPr>
          <w:rFonts w:hint="eastAsia" w:ascii="宋体" w:hAnsi="宋体" w:eastAsia="宋体" w:cs="宋体"/>
          <w:bCs/>
          <w:color w:val="auto"/>
          <w:sz w:val="24"/>
          <w:szCs w:val="22"/>
          <w:lang w:eastAsia="zh-CN"/>
        </w:rPr>
      </w:pPr>
      <w:r>
        <w:rPr>
          <w:rFonts w:hint="eastAsia" w:ascii="宋体" w:hAnsi="宋体" w:eastAsia="宋体" w:cs="宋体"/>
          <w:bCs/>
          <w:color w:val="auto"/>
          <w:sz w:val="24"/>
          <w:szCs w:val="22"/>
          <w:lang w:eastAsia="zh-CN"/>
        </w:rPr>
        <w:t xml:space="preserve">3.报价必须机打，手工填写按无效标处理。</w:t>
      </w:r>
      <w:r/>
    </w:p>
    <w:p>
      <w:pPr>
        <w:pStyle w:val="907"/>
        <w:keepNext w:val="0"/>
        <w:pageBreakBefore w:val="0"/>
        <w:spacing w:line="360" w:lineRule="auto"/>
        <w:rPr>
          <w:rFonts w:hint="eastAsia" w:ascii="宋体" w:hAnsi="宋体" w:eastAsia="宋体" w:cs="宋体"/>
          <w:bCs/>
          <w:color w:val="auto"/>
          <w:sz w:val="24"/>
          <w:szCs w:val="22"/>
          <w:lang w:val="en-US" w:eastAsia="zh-CN"/>
        </w:rPr>
      </w:pPr>
      <w:r>
        <w:rPr>
          <w:rFonts w:hint="eastAsia" w:ascii="宋体" w:hAnsi="宋体" w:eastAsia="宋体" w:cs="宋体"/>
          <w:bCs/>
          <w:color w:val="auto"/>
          <w:sz w:val="24"/>
          <w:szCs w:val="22"/>
          <w:lang w:eastAsia="zh-CN"/>
        </w:rPr>
        <w:t xml:space="preserve">4.此表不够可复制放大。</w:t>
      </w:r>
      <w:r/>
    </w:p>
    <w:p>
      <w:pPr>
        <w:pStyle w:val="907"/>
        <w:keepNext w:val="0"/>
        <w:pageBreakBefore w:val="0"/>
        <w:spacing w:line="360" w:lineRule="auto"/>
        <w:rPr>
          <w:rFonts w:hint="eastAsia" w:ascii="宋体" w:hAnsi="宋体" w:eastAsia="宋体" w:cs="宋体"/>
          <w:bCs/>
          <w:color w:val="auto"/>
          <w:sz w:val="24"/>
          <w:szCs w:val="22"/>
          <w:lang w:val="en-US" w:eastAsia="zh-CN"/>
        </w:rPr>
      </w:pPr>
      <w:r>
        <w:rPr>
          <w:rFonts w:hint="eastAsia" w:ascii="宋体" w:hAnsi="宋体" w:eastAsia="宋体" w:cs="宋体"/>
          <w:bCs/>
          <w:color w:val="auto"/>
          <w:sz w:val="24"/>
          <w:szCs w:val="22"/>
          <w:lang w:val="en-US" w:eastAsia="zh-CN"/>
        </w:rPr>
        <w:t xml:space="preserve">5.投标人应按照招标文件要求填写单价与总价。</w:t>
      </w:r>
      <w:r/>
    </w:p>
    <w:p>
      <w:pPr>
        <w:pStyle w:val="907"/>
        <w:keepNext w:val="0"/>
        <w:pageBreakBefore w:val="0"/>
        <w:spacing w:line="360" w:lineRule="auto"/>
        <w:rPr>
          <w:rFonts w:hint="eastAsia" w:ascii="宋体" w:hAnsi="宋体" w:eastAsia="宋体" w:cs="宋体"/>
          <w:b/>
          <w:bCs w:val="0"/>
          <w:color w:val="auto"/>
          <w:sz w:val="24"/>
          <w:szCs w:val="22"/>
          <w:lang w:eastAsia="zh-CN"/>
        </w:rPr>
      </w:pPr>
      <w:r>
        <w:rPr>
          <w:rFonts w:hint="eastAsia" w:ascii="宋体" w:hAnsi="宋体" w:eastAsia="宋体" w:cs="宋体"/>
          <w:b/>
          <w:bCs w:val="0"/>
          <w:color w:val="auto"/>
          <w:sz w:val="24"/>
          <w:szCs w:val="22"/>
          <w:lang w:val="en-US" w:eastAsia="zh-CN"/>
        </w:rPr>
        <w:t xml:space="preserve">6.</w:t>
      </w:r>
      <w:r>
        <w:rPr>
          <w:rFonts w:hint="eastAsia" w:ascii="宋体" w:hAnsi="宋体" w:eastAsia="宋体" w:cs="宋体"/>
          <w:b/>
          <w:bCs w:val="0"/>
          <w:color w:val="auto"/>
          <w:sz w:val="24"/>
          <w:szCs w:val="22"/>
          <w:lang w:eastAsia="zh-CN"/>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rPr>
          <w:rFonts w:hint="default"/>
          <w:lang w:val="en-US" w:eastAsia="zh-CN"/>
        </w:rPr>
      </w:pPr>
      <w:r>
        <w:rPr>
          <w:rFonts w:hint="default"/>
          <w:lang w:val="en-US" w:eastAsia="zh-CN"/>
        </w:rPr>
      </w:r>
      <w:r/>
    </w:p>
    <w:p>
      <w:pPr>
        <w:rPr>
          <w:rFonts w:hint="eastAsia" w:ascii="仿宋" w:hAnsi="仿宋" w:eastAsia="仿宋"/>
          <w:b/>
          <w:color w:val="auto"/>
          <w:sz w:val="32"/>
          <w:szCs w:val="32"/>
        </w:rPr>
      </w:pPr>
      <w:r>
        <w:rPr>
          <w:rFonts w:hint="eastAsia" w:ascii="仿宋" w:hAnsi="仿宋" w:eastAsia="仿宋"/>
          <w:b/>
          <w:color w:val="auto"/>
          <w:sz w:val="32"/>
          <w:szCs w:val="32"/>
        </w:rPr>
        <w:br w:type="page" w:clear="all"/>
      </w:r>
      <w:r/>
    </w:p>
    <w:p>
      <w:pPr>
        <w:numPr>
          <w:ilvl w:val="0"/>
          <w:numId w:val="0"/>
        </w:numPr>
        <w:jc w:val="center"/>
        <w:keepNext w:val="0"/>
        <w:pageBreakBefore w:val="0"/>
        <w:spacing w:before="19" w:line="360" w:lineRule="auto"/>
        <w:widowControl/>
        <w:rPr>
          <w:rFonts w:hint="eastAsia" w:ascii="宋体" w:hAnsi="宋体" w:eastAsia="宋体" w:cs="宋体"/>
          <w:b/>
          <w:color w:val="auto"/>
          <w:sz w:val="28"/>
          <w:szCs w:val="28"/>
        </w:rPr>
      </w:pPr>
      <w:r>
        <w:rPr>
          <w:rFonts w:hint="eastAsia" w:ascii="宋体" w:hAnsi="宋体" w:cs="宋体"/>
          <w:b/>
          <w:bCs w:val="0"/>
          <w:color w:val="auto"/>
          <w:sz w:val="32"/>
          <w:szCs w:val="32"/>
          <w:lang w:val="en-US" w:eastAsia="zh-CN"/>
        </w:rPr>
        <w:t xml:space="preserve">四</w:t>
      </w:r>
      <w:r>
        <w:rPr>
          <w:rFonts w:hint="eastAsia" w:ascii="宋体" w:hAnsi="宋体" w:eastAsia="宋体" w:cs="宋体"/>
          <w:b/>
          <w:bCs w:val="0"/>
          <w:color w:val="auto"/>
          <w:sz w:val="32"/>
          <w:szCs w:val="32"/>
          <w:lang w:val="en-US" w:eastAsia="zh-CN"/>
        </w:rPr>
        <w:t xml:space="preserve">、</w:t>
      </w:r>
      <w:r>
        <w:rPr>
          <w:rFonts w:hint="eastAsia" w:ascii="宋体" w:hAnsi="宋体" w:eastAsia="宋体" w:cs="宋体"/>
          <w:b/>
          <w:bCs w:val="0"/>
          <w:color w:val="auto"/>
          <w:sz w:val="32"/>
          <w:szCs w:val="32"/>
        </w:rPr>
        <w:t xml:space="preserve">投标人基本信息</w:t>
      </w:r>
      <w:r/>
    </w:p>
    <w:p>
      <w:pPr>
        <w:keepNext w:val="0"/>
        <w:pageBreakBefore w:val="0"/>
        <w:spacing w:before="19" w:line="360" w:lineRule="auto"/>
        <w:widowControl/>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表一：</w:t>
      </w:r>
      <w:r/>
    </w:p>
    <w:tbl>
      <w:tblPr>
        <w:tblStyle w:val="701"/>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2766"/>
        <w:gridCol w:w="2040"/>
        <w:gridCol w:w="2495"/>
      </w:tblGrid>
      <w:tr>
        <w:trPr>
          <w:jc w:val="center"/>
          <w:trHeight w:val="1080"/>
        </w:trPr>
        <w:tc>
          <w:tcPr>
            <w:tcW w:w="1335"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投标人名称</w:t>
            </w:r>
            <w:r/>
          </w:p>
        </w:tc>
        <w:tc>
          <w:tcPr>
            <w:gridSpan w:val="3"/>
            <w:tcW w:w="3664"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w:t>
            </w:r>
            <w:r/>
          </w:p>
        </w:tc>
        <w:tc>
          <w:tcPr>
            <w:tcW w:w="1388"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4"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注册地</w:t>
            </w:r>
            <w:r/>
          </w:p>
        </w:tc>
        <w:tc>
          <w:tcPr>
            <w:tcW w:w="1250"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注册资金（万元）</w:t>
            </w:r>
            <w:r/>
          </w:p>
        </w:tc>
        <w:tc>
          <w:tcPr>
            <w:tcW w:w="1388"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4"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成立日期</w:t>
            </w:r>
            <w:r/>
          </w:p>
        </w:tc>
        <w:tc>
          <w:tcPr>
            <w:tcW w:w="1250"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类型</w:t>
            </w:r>
            <w:r/>
          </w:p>
        </w:tc>
        <w:tc>
          <w:tcPr>
            <w:tcW w:w="1388"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4"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营业期限</w:t>
            </w:r>
            <w:r/>
          </w:p>
        </w:tc>
        <w:tc>
          <w:tcPr>
            <w:tcW w:w="1250"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登记机关</w:t>
            </w:r>
            <w:r/>
          </w:p>
        </w:tc>
        <w:tc>
          <w:tcPr>
            <w:tcW w:w="1388"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4"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住  所</w:t>
            </w:r>
            <w:r/>
          </w:p>
        </w:tc>
        <w:tc>
          <w:tcPr>
            <w:tcW w:w="1250"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注册号或社会信用代码</w:t>
            </w:r>
            <w:r/>
          </w:p>
        </w:tc>
        <w:tc>
          <w:tcPr>
            <w:gridSpan w:val="3"/>
            <w:tcW w:w="3664"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经营范围</w:t>
            </w:r>
            <w:r/>
          </w:p>
        </w:tc>
        <w:tc>
          <w:tcPr>
            <w:gridSpan w:val="3"/>
            <w:tcW w:w="3664"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p>
        </w:tc>
        <w:tc>
          <w:tcPr>
            <w:gridSpan w:val="3"/>
            <w:tcW w:w="3664"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keepNext w:val="0"/>
        <w:pageBreakBefore w:val="0"/>
        <w:spacing w:before="19" w:line="360" w:lineRule="auto"/>
        <w:widowControl/>
        <w:rPr>
          <w:rFonts w:hint="eastAsia" w:ascii="宋体" w:hAnsi="宋体" w:eastAsia="宋体" w:cs="宋体"/>
          <w:b/>
          <w:color w:val="auto"/>
          <w:sz w:val="28"/>
          <w:szCs w:val="28"/>
        </w:rP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u w:val="single"/>
        </w:rPr>
        <w:t xml:space="preserve">    （电子</w:t>
      </w:r>
      <w:r>
        <w:rPr>
          <w:rFonts w:hint="eastAsia" w:ascii="宋体" w:hAnsi="宋体" w:eastAsia="宋体" w:cs="宋体"/>
          <w:color w:val="auto"/>
          <w:sz w:val="28"/>
          <w:szCs w:val="28"/>
          <w:u w:val="single"/>
          <w:lang w:val="en-US" w:eastAsia="zh-CN"/>
        </w:rPr>
        <w:t xml:space="preserve">公</w:t>
      </w:r>
      <w:r>
        <w:rPr>
          <w:rFonts w:hint="eastAsia" w:ascii="宋体" w:hAnsi="宋体" w:eastAsia="宋体" w:cs="宋体"/>
          <w:color w:val="auto"/>
          <w:sz w:val="28"/>
          <w:szCs w:val="28"/>
          <w:u w:val="single"/>
        </w:rPr>
        <w:t xml:space="preserve">章）    </w:t>
      </w:r>
      <w:r/>
    </w:p>
    <w:p>
      <w:pPr>
        <w:rPr>
          <w:rFonts w:hint="eastAsia" w:ascii="宋体" w:hAnsi="宋体" w:eastAsia="宋体" w:cs="宋体"/>
          <w:bCs/>
          <w:color w:val="auto"/>
          <w:sz w:val="28"/>
          <w:szCs w:val="28"/>
        </w:rPr>
      </w:pPr>
      <w:r>
        <w:rPr>
          <w:rFonts w:hint="eastAsia" w:ascii="宋体" w:hAnsi="宋体" w:eastAsia="宋体" w:cs="宋体"/>
          <w:bCs/>
          <w:color w:val="auto"/>
          <w:sz w:val="28"/>
          <w:szCs w:val="28"/>
        </w:rPr>
        <w:br w:type="page" w:clear="all"/>
      </w:r>
      <w:r/>
    </w:p>
    <w:p>
      <w:pPr>
        <w:keepNext w:val="0"/>
        <w:pageBreakBefore w:val="0"/>
        <w:spacing w:before="19" w:line="360" w:lineRule="auto"/>
        <w:widowControl/>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表二：</w:t>
      </w:r>
      <w:r/>
    </w:p>
    <w:tbl>
      <w:tblPr>
        <w:tblStyle w:val="701"/>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2764"/>
        <w:gridCol w:w="2038"/>
        <w:gridCol w:w="2499"/>
      </w:tblGrid>
      <w:tr>
        <w:trPr>
          <w:jc w:val="center"/>
          <w:trHeight w:val="1127"/>
        </w:trPr>
        <w:tc>
          <w:tcPr>
            <w:tcW w:w="1335"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投标人名称</w:t>
            </w:r>
            <w:r/>
          </w:p>
        </w:tc>
        <w:tc>
          <w:tcPr>
            <w:gridSpan w:val="3"/>
            <w:tcW w:w="3664"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w:t>
            </w:r>
            <w:r/>
          </w:p>
        </w:tc>
        <w:tc>
          <w:tcPr>
            <w:tcW w:w="1387"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3"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开办资金</w:t>
            </w:r>
            <w:r/>
          </w:p>
        </w:tc>
        <w:tc>
          <w:tcPr>
            <w:tcW w:w="1252"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经费来源</w:t>
            </w:r>
            <w:r/>
          </w:p>
        </w:tc>
        <w:tc>
          <w:tcPr>
            <w:tcW w:w="1387"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3"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举办单位</w:t>
            </w:r>
            <w:r/>
          </w:p>
        </w:tc>
        <w:tc>
          <w:tcPr>
            <w:tcW w:w="1252"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住所</w:t>
            </w:r>
            <w:r/>
          </w:p>
        </w:tc>
        <w:tc>
          <w:tcPr>
            <w:tcW w:w="1387"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3"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有效期</w:t>
            </w:r>
            <w:r/>
          </w:p>
        </w:tc>
        <w:tc>
          <w:tcPr>
            <w:tcW w:w="1252"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统一社会信用代码</w:t>
            </w:r>
            <w:r/>
          </w:p>
        </w:tc>
        <w:tc>
          <w:tcPr>
            <w:tcW w:w="1387"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3"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登记机关</w:t>
            </w:r>
            <w:r/>
          </w:p>
        </w:tc>
        <w:tc>
          <w:tcPr>
            <w:tcW w:w="1252"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业务范围</w:t>
            </w:r>
            <w:r/>
          </w:p>
        </w:tc>
        <w:tc>
          <w:tcPr>
            <w:gridSpan w:val="3"/>
            <w:tcW w:w="3664"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p>
        </w:tc>
        <w:tc>
          <w:tcPr>
            <w:gridSpan w:val="3"/>
            <w:tcW w:w="3664" w:type="pct"/>
            <w:vAlign w:val="center"/>
            <w:textDirection w:val="lrTb"/>
            <w:noWrap w:val="false"/>
          </w:tcPr>
          <w:p>
            <w:pPr>
              <w:pStyle w:val="1019"/>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keepNext w:val="0"/>
        <w:pageBreakBefore w:val="0"/>
        <w:spacing w:line="360" w:lineRule="auto"/>
        <w:rPr>
          <w:rFonts w:hint="eastAsia" w:ascii="宋体" w:hAnsi="宋体" w:eastAsia="宋体" w:cs="宋体"/>
          <w:color w:val="auto"/>
          <w:sz w:val="28"/>
          <w:szCs w:val="28"/>
          <w:u w:val="single"/>
        </w:rP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u w:val="single"/>
        </w:rPr>
        <w:t xml:space="preserve">    （电子</w:t>
      </w:r>
      <w:r>
        <w:rPr>
          <w:rFonts w:hint="eastAsia" w:ascii="宋体" w:hAnsi="宋体" w:eastAsia="宋体" w:cs="宋体"/>
          <w:color w:val="auto"/>
          <w:sz w:val="28"/>
          <w:szCs w:val="28"/>
          <w:u w:val="single"/>
          <w:lang w:val="en-US" w:eastAsia="zh-CN"/>
        </w:rPr>
        <w:t xml:space="preserve">公</w:t>
      </w:r>
      <w:r>
        <w:rPr>
          <w:rFonts w:hint="eastAsia" w:ascii="宋体" w:hAnsi="宋体" w:eastAsia="宋体" w:cs="宋体"/>
          <w:color w:val="auto"/>
          <w:sz w:val="28"/>
          <w:szCs w:val="28"/>
          <w:u w:val="single"/>
        </w:rPr>
        <w:t xml:space="preserve">章）    </w:t>
      </w:r>
      <w:r/>
    </w:p>
    <w:p>
      <w:pPr>
        <w:keepNext w:val="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r>
      <w:r/>
    </w:p>
    <w:p>
      <w:pPr>
        <w:keepNext w:val="0"/>
        <w:pageBreakBefore w:val="0"/>
        <w:spacing w:line="360" w:lineRule="auto"/>
        <w:rPr>
          <w:rFonts w:hint="eastAsia" w:hAnsi="宋体" w:cs="宋体"/>
          <w:color w:val="auto"/>
        </w:rPr>
      </w:pPr>
      <w:r>
        <w:rPr>
          <w:rFonts w:hint="eastAsia" w:ascii="宋体" w:hAnsi="宋体" w:eastAsia="宋体" w:cs="宋体"/>
          <w:b/>
          <w:bCs w:val="0"/>
          <w:color w:val="auto"/>
          <w:sz w:val="28"/>
          <w:szCs w:val="28"/>
        </w:rPr>
        <w:t xml:space="preserve">注：</w:t>
      </w:r>
      <w:r>
        <w:rPr>
          <w:rFonts w:hint="eastAsia" w:ascii="宋体" w:hAnsi="宋体" w:cs="宋体"/>
          <w:b/>
          <w:bCs w:val="0"/>
          <w:color w:val="auto"/>
          <w:sz w:val="28"/>
          <w:szCs w:val="28"/>
          <w:lang w:eastAsia="zh-CN"/>
        </w:rPr>
        <w:t xml:space="preserve">投标人</w:t>
      </w:r>
      <w:r>
        <w:rPr>
          <w:rFonts w:hint="eastAsia" w:ascii="宋体" w:hAnsi="宋体" w:eastAsia="宋体" w:cs="宋体"/>
          <w:b/>
          <w:bCs w:val="0"/>
          <w:color w:val="auto"/>
          <w:sz w:val="28"/>
          <w:szCs w:val="28"/>
        </w:rPr>
        <w:t xml:space="preserve">为企业的，填写表一；</w:t>
      </w:r>
      <w:r>
        <w:rPr>
          <w:rFonts w:hint="eastAsia" w:ascii="宋体" w:hAnsi="宋体" w:cs="宋体"/>
          <w:b/>
          <w:bCs w:val="0"/>
          <w:color w:val="auto"/>
          <w:sz w:val="28"/>
          <w:szCs w:val="28"/>
          <w:lang w:eastAsia="zh-CN"/>
        </w:rPr>
        <w:t xml:space="preserve">投标人</w:t>
      </w:r>
      <w:r>
        <w:rPr>
          <w:rFonts w:hint="eastAsia" w:ascii="宋体" w:hAnsi="宋体" w:eastAsia="宋体" w:cs="宋体"/>
          <w:b/>
          <w:bCs w:val="0"/>
          <w:color w:val="auto"/>
          <w:sz w:val="28"/>
          <w:szCs w:val="28"/>
        </w:rPr>
        <w:t xml:space="preserve">为事业单位的，填写表二。</w:t>
      </w:r>
      <w:r/>
    </w:p>
    <w:p>
      <w:pPr>
        <w:rPr>
          <w:rFonts w:hint="eastAsia" w:ascii="宋体" w:hAnsi="宋体" w:cs="宋体"/>
          <w:b/>
          <w:bCs/>
          <w:color w:val="auto"/>
          <w:sz w:val="32"/>
          <w:szCs w:val="32"/>
          <w:lang w:val="en-US" w:eastAsia="zh-CN"/>
        </w:rPr>
      </w:pPr>
      <w:r/>
      <w:bookmarkStart w:id="27" w:name="_Toc18359_WPSOffice_Level1"/>
      <w:r>
        <w:rPr>
          <w:rFonts w:hint="eastAsia" w:ascii="宋体" w:hAnsi="宋体" w:cs="宋体"/>
          <w:b/>
          <w:bCs/>
          <w:color w:val="auto"/>
          <w:sz w:val="32"/>
          <w:szCs w:val="32"/>
          <w:lang w:val="en-US" w:eastAsia="zh-CN"/>
        </w:rPr>
        <w:br w:type="page" w:clear="all"/>
      </w:r>
      <w:r/>
    </w:p>
    <w:p>
      <w:pPr>
        <w:jc w:val="center"/>
        <w:keepNext w:val="0"/>
        <w:pageBreakBefore w:val="0"/>
        <w:spacing w:line="360" w:lineRule="auto"/>
        <w:rPr>
          <w:rFonts w:hint="eastAsia" w:ascii="宋体" w:hAnsi="宋体" w:eastAsia="宋体" w:cs="宋体"/>
          <w:b/>
          <w:bCs/>
          <w:color w:val="auto"/>
          <w:sz w:val="32"/>
          <w:szCs w:val="32"/>
        </w:rPr>
      </w:pPr>
      <w:r>
        <w:rPr>
          <w:rFonts w:hint="eastAsia" w:ascii="宋体" w:hAnsi="宋体" w:cs="宋体"/>
          <w:b/>
          <w:bCs/>
          <w:color w:val="auto"/>
          <w:sz w:val="32"/>
          <w:szCs w:val="32"/>
          <w:lang w:val="en-US" w:eastAsia="zh-CN"/>
        </w:rPr>
        <w:t xml:space="preserve">五</w:t>
      </w:r>
      <w:r>
        <w:rPr>
          <w:rFonts w:hint="eastAsia" w:ascii="宋体" w:hAnsi="宋体" w:eastAsia="宋体" w:cs="宋体"/>
          <w:b/>
          <w:bCs/>
          <w:color w:val="auto"/>
          <w:sz w:val="32"/>
          <w:szCs w:val="32"/>
        </w:rPr>
        <w:t xml:space="preserve">、</w:t>
      </w:r>
      <w:r>
        <w:rPr>
          <w:rFonts w:hint="eastAsia"/>
          <w:b/>
          <w:bCs/>
          <w:color w:val="auto"/>
          <w:spacing w:val="-3"/>
          <w:sz w:val="32"/>
          <w:szCs w:val="32"/>
          <w:lang w:val="en-US" w:eastAsia="zh-CN"/>
        </w:rPr>
        <w:t xml:space="preserve">人员配备表（如有）</w:t>
      </w:r>
      <w:r/>
    </w:p>
    <w:tbl>
      <w:tblPr>
        <w:tblStyle w:val="701"/>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2"/>
        <w:gridCol w:w="1242"/>
        <w:gridCol w:w="1064"/>
        <w:gridCol w:w="1200"/>
        <w:gridCol w:w="1200"/>
        <w:gridCol w:w="1106"/>
        <w:gridCol w:w="1477"/>
        <w:gridCol w:w="1614"/>
      </w:tblGrid>
      <w:tr>
        <w:trPr>
          <w:jc w:val="center"/>
          <w:trHeight w:val="1134" w:hRule="exact"/>
        </w:trPr>
        <w:tc>
          <w:tcPr>
            <w:tcW w:w="528" w:type="pct"/>
            <w:vAlign w:val="center"/>
            <w:textDirection w:val="lrTb"/>
            <w:noWrap w:val="false"/>
          </w:tcPr>
          <w:p>
            <w:pPr>
              <w:jc w:val="center"/>
              <w:spacing w:line="480" w:lineRule="exact"/>
              <w:rPr>
                <w:rFonts w:ascii="宋体" w:hAnsi="宋体"/>
                <w:color w:val="auto"/>
                <w:sz w:val="24"/>
              </w:rPr>
            </w:pPr>
            <w:r>
              <w:rPr>
                <w:rFonts w:hint="eastAsia" w:ascii="宋体" w:hAnsi="宋体"/>
                <w:color w:val="auto"/>
                <w:sz w:val="24"/>
              </w:rPr>
              <w:t xml:space="preserve">序号</w:t>
            </w:r>
            <w:r/>
          </w:p>
        </w:tc>
        <w:tc>
          <w:tcPr>
            <w:tcW w:w="623" w:type="pct"/>
            <w:vAlign w:val="center"/>
            <w:textDirection w:val="lrTb"/>
            <w:noWrap w:val="false"/>
          </w:tcPr>
          <w:p>
            <w:pPr>
              <w:jc w:val="center"/>
              <w:spacing w:line="480" w:lineRule="exact"/>
              <w:rPr>
                <w:rFonts w:ascii="宋体" w:hAnsi="宋体"/>
                <w:color w:val="auto"/>
                <w:sz w:val="24"/>
              </w:rPr>
            </w:pPr>
            <w:r>
              <w:rPr>
                <w:rFonts w:hint="eastAsia" w:ascii="宋体" w:hAnsi="宋体"/>
                <w:color w:val="auto"/>
                <w:sz w:val="24"/>
              </w:rPr>
              <w:t xml:space="preserve">姓名</w:t>
            </w:r>
            <w:r/>
          </w:p>
        </w:tc>
        <w:tc>
          <w:tcPr>
            <w:tcW w:w="534" w:type="pct"/>
            <w:vAlign w:val="center"/>
            <w:textDirection w:val="lrTb"/>
            <w:noWrap w:val="false"/>
          </w:tcPr>
          <w:p>
            <w:pPr>
              <w:jc w:val="center"/>
              <w:spacing w:line="480" w:lineRule="exact"/>
              <w:rPr>
                <w:rFonts w:ascii="宋体" w:hAnsi="宋体"/>
                <w:color w:val="auto"/>
                <w:sz w:val="24"/>
              </w:rPr>
            </w:pPr>
            <w:r>
              <w:rPr>
                <w:rFonts w:hint="eastAsia" w:ascii="宋体" w:hAnsi="宋体"/>
                <w:color w:val="auto"/>
                <w:sz w:val="24"/>
              </w:rPr>
              <w:t xml:space="preserve">年龄</w:t>
            </w:r>
            <w:r/>
          </w:p>
        </w:tc>
        <w:tc>
          <w:tcPr>
            <w:tcW w:w="602" w:type="pct"/>
            <w:vAlign w:val="center"/>
            <w:textDirection w:val="lrTb"/>
            <w:noWrap w:val="false"/>
          </w:tcPr>
          <w:p>
            <w:pPr>
              <w:jc w:val="center"/>
              <w:spacing w:line="480" w:lineRule="exact"/>
              <w:rPr>
                <w:rFonts w:ascii="宋体" w:hAnsi="宋体"/>
                <w:color w:val="auto"/>
                <w:sz w:val="24"/>
              </w:rPr>
            </w:pPr>
            <w:r>
              <w:rPr>
                <w:rFonts w:hint="eastAsia" w:ascii="宋体" w:hAnsi="宋体"/>
                <w:color w:val="auto"/>
                <w:sz w:val="24"/>
              </w:rPr>
              <w:t xml:space="preserve">学历</w:t>
            </w:r>
            <w:r/>
          </w:p>
        </w:tc>
        <w:tc>
          <w:tcPr>
            <w:tcW w:w="602" w:type="pct"/>
            <w:vAlign w:val="center"/>
            <w:textDirection w:val="lrTb"/>
            <w:noWrap w:val="false"/>
          </w:tcPr>
          <w:p>
            <w:pPr>
              <w:jc w:val="center"/>
              <w:spacing w:line="480" w:lineRule="exact"/>
              <w:rPr>
                <w:rFonts w:ascii="宋体" w:hAnsi="宋体"/>
                <w:color w:val="auto"/>
                <w:sz w:val="24"/>
              </w:rPr>
            </w:pPr>
            <w:r>
              <w:rPr>
                <w:rFonts w:hint="eastAsia" w:ascii="宋体" w:hAnsi="宋体"/>
                <w:color w:val="auto"/>
                <w:sz w:val="24"/>
              </w:rPr>
              <w:t xml:space="preserve">专业</w:t>
            </w:r>
            <w:r/>
          </w:p>
        </w:tc>
        <w:tc>
          <w:tcPr>
            <w:tcW w:w="555" w:type="pct"/>
            <w:vAlign w:val="center"/>
            <w:textDirection w:val="lrTb"/>
            <w:noWrap w:val="false"/>
          </w:tcPr>
          <w:p>
            <w:pPr>
              <w:jc w:val="center"/>
              <w:spacing w:line="480" w:lineRule="exact"/>
              <w:rPr>
                <w:rFonts w:ascii="宋体" w:hAnsi="宋体"/>
                <w:color w:val="auto"/>
                <w:sz w:val="24"/>
              </w:rPr>
            </w:pPr>
            <w:r>
              <w:rPr>
                <w:rFonts w:hint="eastAsia" w:ascii="宋体" w:hAnsi="宋体"/>
                <w:color w:val="auto"/>
                <w:sz w:val="24"/>
              </w:rPr>
              <w:t xml:space="preserve">职称</w:t>
            </w:r>
            <w:r/>
          </w:p>
        </w:tc>
        <w:tc>
          <w:tcPr>
            <w:tcW w:w="741" w:type="pct"/>
            <w:vAlign w:val="center"/>
            <w:textDirection w:val="lrTb"/>
            <w:noWrap w:val="false"/>
          </w:tcPr>
          <w:p>
            <w:pPr>
              <w:jc w:val="center"/>
              <w:spacing w:line="480" w:lineRule="exact"/>
              <w:rPr>
                <w:rFonts w:hint="eastAsia" w:ascii="宋体" w:hAnsi="宋体" w:eastAsia="宋体"/>
                <w:color w:val="auto"/>
                <w:sz w:val="24"/>
                <w:lang w:eastAsia="zh-CN"/>
              </w:rPr>
            </w:pPr>
            <w:r>
              <w:rPr>
                <w:rFonts w:hint="eastAsia" w:ascii="宋体" w:hAnsi="宋体"/>
                <w:color w:val="auto"/>
                <w:sz w:val="24"/>
              </w:rPr>
              <w:t xml:space="preserve">相关证书</w:t>
            </w:r>
            <w:r>
              <w:rPr>
                <w:rFonts w:hint="eastAsia" w:ascii="宋体" w:hAnsi="宋体"/>
                <w:color w:val="auto"/>
                <w:sz w:val="24"/>
                <w:lang w:eastAsia="zh-CN"/>
              </w:rPr>
              <w:t xml:space="preserve">（编号）</w:t>
            </w:r>
            <w:r/>
          </w:p>
        </w:tc>
        <w:tc>
          <w:tcPr>
            <w:tcW w:w="810" w:type="pct"/>
            <w:vAlign w:val="center"/>
            <w:textDirection w:val="lrTb"/>
            <w:noWrap w:val="false"/>
          </w:tcPr>
          <w:p>
            <w:pPr>
              <w:jc w:val="center"/>
              <w:spacing w:line="480" w:lineRule="exact"/>
              <w:rPr>
                <w:rFonts w:ascii="宋体" w:hAnsi="宋体"/>
                <w:color w:val="auto"/>
                <w:sz w:val="24"/>
              </w:rPr>
            </w:pPr>
            <w:r>
              <w:rPr>
                <w:rFonts w:hint="eastAsia" w:ascii="宋体" w:hAnsi="宋体"/>
                <w:color w:val="auto"/>
                <w:sz w:val="24"/>
              </w:rPr>
              <w:t xml:space="preserve">拟任职务</w:t>
            </w:r>
            <w:r/>
          </w:p>
        </w:tc>
      </w:tr>
      <w:tr>
        <w:trPr>
          <w:jc w:val="center"/>
          <w:trHeight w:val="850" w:hRule="exact"/>
        </w:trPr>
        <w:tc>
          <w:tcPr>
            <w:tcW w:w="528" w:type="pct"/>
            <w:vAlign w:val="center"/>
            <w:textDirection w:val="lrTb"/>
            <w:noWrap w:val="false"/>
          </w:tcPr>
          <w:p>
            <w:pPr>
              <w:pStyle w:val="1030"/>
              <w:ind w:left="0"/>
              <w:jc w:val="center"/>
              <w:spacing w:line="240" w:lineRule="auto"/>
              <w:rPr>
                <w:rFonts w:ascii="宋体" w:hAnsi="宋体"/>
                <w:color w:val="auto"/>
                <w:sz w:val="28"/>
              </w:rPr>
            </w:pPr>
            <w:r>
              <w:rPr>
                <w:color w:val="auto"/>
              </w:rPr>
              <w:t xml:space="preserve">1</w:t>
            </w:r>
            <w:r/>
          </w:p>
        </w:tc>
        <w:tc>
          <w:tcPr>
            <w:tcW w:w="623"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534"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602"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602"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555"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741"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810"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r>
      <w:tr>
        <w:trPr>
          <w:jc w:val="center"/>
          <w:trHeight w:val="850" w:hRule="exact"/>
        </w:trPr>
        <w:tc>
          <w:tcPr>
            <w:tcW w:w="528" w:type="pct"/>
            <w:vAlign w:val="center"/>
            <w:textDirection w:val="lrTb"/>
            <w:noWrap w:val="false"/>
          </w:tcPr>
          <w:p>
            <w:pPr>
              <w:ind w:left="0"/>
              <w:jc w:val="center"/>
              <w:spacing w:line="240" w:lineRule="auto"/>
              <w:rPr>
                <w:color w:val="auto"/>
              </w:rPr>
            </w:pPr>
            <w:r>
              <w:rPr>
                <w:color w:val="auto"/>
              </w:rPr>
            </w:r>
            <w:r/>
          </w:p>
          <w:p>
            <w:pPr>
              <w:pStyle w:val="1030"/>
              <w:ind w:left="0"/>
              <w:jc w:val="center"/>
              <w:spacing w:line="240" w:lineRule="auto"/>
              <w:rPr>
                <w:rFonts w:ascii="宋体" w:hAnsi="宋体"/>
                <w:color w:val="auto"/>
                <w:sz w:val="28"/>
              </w:rPr>
            </w:pPr>
            <w:r>
              <w:rPr>
                <w:color w:val="auto"/>
              </w:rPr>
              <w:t xml:space="preserve">2</w:t>
            </w:r>
            <w:r/>
          </w:p>
        </w:tc>
        <w:tc>
          <w:tcPr>
            <w:tcW w:w="623"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534"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602"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602"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555"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741"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810"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r>
      <w:tr>
        <w:trPr>
          <w:jc w:val="center"/>
          <w:trHeight w:val="850" w:hRule="exact"/>
        </w:trPr>
        <w:tc>
          <w:tcPr>
            <w:tcW w:w="528" w:type="pct"/>
            <w:vAlign w:val="center"/>
            <w:textDirection w:val="lrTb"/>
            <w:noWrap w:val="false"/>
          </w:tcPr>
          <w:p>
            <w:pPr>
              <w:ind w:left="0"/>
              <w:jc w:val="center"/>
              <w:spacing w:line="240" w:lineRule="auto"/>
              <w:rPr>
                <w:color w:val="auto"/>
              </w:rPr>
            </w:pPr>
            <w:r>
              <w:rPr>
                <w:color w:val="auto"/>
              </w:rPr>
            </w:r>
            <w:r/>
          </w:p>
          <w:p>
            <w:pPr>
              <w:pStyle w:val="1030"/>
              <w:ind w:left="0"/>
              <w:jc w:val="center"/>
              <w:spacing w:line="240" w:lineRule="auto"/>
              <w:rPr>
                <w:rFonts w:ascii="宋体" w:hAnsi="宋体"/>
                <w:color w:val="auto"/>
                <w:sz w:val="28"/>
              </w:rPr>
            </w:pPr>
            <w:r>
              <w:rPr>
                <w:color w:val="auto"/>
              </w:rPr>
              <w:t xml:space="preserve">3</w:t>
            </w:r>
            <w:r/>
          </w:p>
        </w:tc>
        <w:tc>
          <w:tcPr>
            <w:tcW w:w="623"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534"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602"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602"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555"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741"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810"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r>
      <w:tr>
        <w:trPr>
          <w:jc w:val="center"/>
          <w:trHeight w:val="850" w:hRule="exact"/>
        </w:trPr>
        <w:tc>
          <w:tcPr>
            <w:tcW w:w="528" w:type="pct"/>
            <w:vAlign w:val="center"/>
            <w:textDirection w:val="lrTb"/>
            <w:noWrap w:val="false"/>
          </w:tcPr>
          <w:p>
            <w:pPr>
              <w:pStyle w:val="1030"/>
              <w:ind w:left="0"/>
              <w:jc w:val="center"/>
              <w:spacing w:line="240" w:lineRule="auto"/>
              <w:rPr>
                <w:rFonts w:ascii="宋体" w:hAnsi="宋体"/>
                <w:color w:val="auto"/>
                <w:sz w:val="28"/>
              </w:rPr>
            </w:pPr>
            <w:r>
              <w:rPr>
                <w:color w:val="auto"/>
              </w:rPr>
              <w:t xml:space="preserve">4</w:t>
            </w:r>
            <w:r/>
          </w:p>
        </w:tc>
        <w:tc>
          <w:tcPr>
            <w:tcW w:w="623"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534"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602"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602"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555"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741"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810"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r>
      <w:tr>
        <w:trPr>
          <w:jc w:val="center"/>
          <w:trHeight w:val="850" w:hRule="exact"/>
        </w:trPr>
        <w:tc>
          <w:tcPr>
            <w:tcW w:w="528" w:type="pct"/>
            <w:vAlign w:val="center"/>
            <w:textDirection w:val="lrTb"/>
            <w:noWrap w:val="false"/>
          </w:tcPr>
          <w:p>
            <w:pPr>
              <w:pStyle w:val="1030"/>
              <w:ind w:left="0"/>
              <w:jc w:val="center"/>
              <w:spacing w:line="240" w:lineRule="auto"/>
              <w:rPr>
                <w:rFonts w:ascii="宋体" w:hAnsi="宋体"/>
                <w:color w:val="auto"/>
                <w:sz w:val="28"/>
              </w:rPr>
            </w:pPr>
            <w:r>
              <w:rPr>
                <w:color w:val="auto"/>
              </w:rPr>
              <w:t xml:space="preserve">5</w:t>
            </w:r>
            <w:r/>
          </w:p>
        </w:tc>
        <w:tc>
          <w:tcPr>
            <w:tcW w:w="623"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534"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602"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602"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555"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741"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810"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r>
      <w:tr>
        <w:trPr>
          <w:jc w:val="center"/>
          <w:trHeight w:val="850" w:hRule="exact"/>
        </w:trPr>
        <w:tc>
          <w:tcPr>
            <w:tcW w:w="528" w:type="pct"/>
            <w:vAlign w:val="center"/>
            <w:textDirection w:val="lrTb"/>
            <w:noWrap w:val="false"/>
          </w:tcPr>
          <w:p>
            <w:pPr>
              <w:pStyle w:val="1030"/>
              <w:ind w:left="0"/>
              <w:jc w:val="center"/>
              <w:spacing w:line="240" w:lineRule="auto"/>
              <w:rPr>
                <w:rFonts w:ascii="宋体" w:hAnsi="宋体"/>
                <w:color w:val="auto"/>
                <w:sz w:val="28"/>
              </w:rPr>
            </w:pPr>
            <w:r>
              <w:rPr>
                <w:color w:val="auto"/>
                <w:position w:val="3"/>
              </w:rPr>
              <w:t xml:space="preserve">…</w:t>
            </w:r>
            <w:r/>
          </w:p>
        </w:tc>
        <w:tc>
          <w:tcPr>
            <w:tcW w:w="623"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534"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602"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602"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555"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741"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810"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r>
    </w:tbl>
    <w:p>
      <w:pPr>
        <w:jc w:val="both"/>
        <w:keepNext w:val="0"/>
        <w:pageBreakBefore w:val="0"/>
        <w:spacing w:line="360" w:lineRule="auto"/>
        <w:rPr>
          <w:rFonts w:hint="eastAsia" w:ascii="宋体" w:hAnsi="宋体" w:eastAsia="宋体" w:cs="宋体"/>
          <w:b w:val="0"/>
          <w:bCs w:val="0"/>
          <w:color w:val="auto"/>
          <w:spacing w:val="-1"/>
          <w:sz w:val="28"/>
          <w:szCs w:val="28"/>
        </w:rPr>
      </w:pPr>
      <w:r>
        <w:rPr>
          <w:rFonts w:hint="eastAsia" w:ascii="宋体" w:hAnsi="宋体" w:eastAsia="宋体" w:cs="宋体"/>
          <w:b w:val="0"/>
          <w:bCs w:val="0"/>
          <w:color w:val="auto"/>
          <w:spacing w:val="-1"/>
          <w:sz w:val="28"/>
          <w:szCs w:val="28"/>
        </w:rPr>
      </w:r>
      <w:r/>
    </w:p>
    <w:p>
      <w:pPr>
        <w:jc w:val="both"/>
        <w:keepNext w:val="0"/>
        <w:pageBreakBefore w:val="0"/>
        <w:spacing w:line="360" w:lineRule="auto"/>
        <w:rPr>
          <w:rFonts w:hint="eastAsia" w:ascii="宋体" w:hAnsi="宋体" w:eastAsia="宋体" w:cs="宋体"/>
          <w:color w:val="auto"/>
          <w:sz w:val="28"/>
          <w:szCs w:val="28"/>
          <w:lang w:eastAsia="zh-CN"/>
        </w:rPr>
      </w:pPr>
      <w:r>
        <w:rPr>
          <w:rFonts w:hint="eastAsia" w:ascii="宋体" w:hAnsi="宋体" w:eastAsia="宋体" w:cs="宋体"/>
          <w:b w:val="0"/>
          <w:bCs w:val="0"/>
          <w:color w:val="auto"/>
          <w:spacing w:val="-1"/>
          <w:sz w:val="28"/>
          <w:szCs w:val="28"/>
        </w:rPr>
        <w:t xml:space="preserve">注：具体按评分标准的要求提供</w:t>
      </w:r>
      <w:r>
        <w:rPr>
          <w:rFonts w:hint="eastAsia" w:ascii="宋体" w:hAnsi="宋体" w:eastAsia="宋体" w:cs="宋体"/>
          <w:b w:val="0"/>
          <w:bCs w:val="0"/>
          <w:color w:val="auto"/>
          <w:spacing w:val="-1"/>
          <w:sz w:val="28"/>
          <w:szCs w:val="28"/>
          <w:lang w:eastAsia="zh-CN"/>
        </w:rPr>
        <w:t xml:space="preserve">。</w:t>
      </w:r>
      <w:r/>
    </w:p>
    <w:p>
      <w:pPr>
        <w:jc w:val="both"/>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both"/>
        <w:keepNext w:val="0"/>
        <w:pageBreakBefore w:val="0"/>
        <w:spacing w:line="360" w:lineRule="auto"/>
        <w:rPr>
          <w:rFonts w:hint="eastAsia" w:ascii="宋体" w:hAnsi="宋体" w:eastAsia="宋体" w:cs="宋体"/>
          <w:color w:val="auto"/>
          <w:sz w:val="28"/>
          <w:szCs w:val="28"/>
          <w:u w:val="single"/>
        </w:rP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公</w:t>
      </w:r>
      <w:r>
        <w:rPr>
          <w:rFonts w:hint="eastAsia" w:ascii="宋体" w:hAnsi="宋体" w:eastAsia="宋体" w:cs="宋体"/>
          <w:color w:val="auto"/>
          <w:sz w:val="28"/>
          <w:szCs w:val="28"/>
          <w:u w:val="single"/>
        </w:rPr>
        <w:t xml:space="preserve">章）    </w:t>
      </w:r>
      <w:r/>
    </w:p>
    <w:p>
      <w:pPr>
        <w:rPr>
          <w:rFonts w:hint="eastAsia" w:ascii="宋体" w:hAnsi="宋体" w:cs="宋体"/>
          <w:b/>
          <w:bCs/>
          <w:color w:val="auto"/>
          <w:sz w:val="32"/>
          <w:szCs w:val="32"/>
          <w:lang w:val="en-US" w:eastAsia="zh-CN"/>
        </w:rPr>
      </w:pPr>
      <w:r>
        <w:rPr>
          <w:rFonts w:hint="eastAsia" w:ascii="宋体" w:hAnsi="宋体" w:cs="宋体"/>
          <w:b/>
          <w:bCs/>
          <w:color w:val="auto"/>
          <w:sz w:val="32"/>
          <w:szCs w:val="32"/>
          <w:lang w:val="en-US" w:eastAsia="zh-CN"/>
        </w:rPr>
        <w:br w:type="page" w:clear="all"/>
      </w:r>
      <w:r/>
    </w:p>
    <w:p>
      <w:pPr>
        <w:jc w:val="center"/>
        <w:keepNext w:val="0"/>
        <w:pageBreakBefore w:val="0"/>
        <w:spacing w:line="360" w:lineRule="auto"/>
        <w:rPr>
          <w:rFonts w:hint="eastAsia" w:ascii="宋体" w:hAnsi="宋体" w:eastAsia="宋体" w:cs="宋体"/>
          <w:b/>
          <w:bCs/>
          <w:color w:val="auto"/>
          <w:sz w:val="32"/>
          <w:szCs w:val="32"/>
        </w:rPr>
      </w:pPr>
      <w:r>
        <w:rPr>
          <w:rFonts w:hint="eastAsia" w:ascii="宋体" w:hAnsi="宋体" w:cs="宋体"/>
          <w:b/>
          <w:bCs/>
          <w:color w:val="auto"/>
          <w:sz w:val="32"/>
          <w:szCs w:val="32"/>
          <w:lang w:val="en-US" w:eastAsia="zh-CN"/>
        </w:rPr>
        <w:t xml:space="preserve">六</w:t>
      </w:r>
      <w:r>
        <w:rPr>
          <w:rFonts w:hint="eastAsia" w:ascii="宋体" w:hAnsi="宋体" w:eastAsia="宋体" w:cs="宋体"/>
          <w:b/>
          <w:bCs/>
          <w:color w:val="auto"/>
          <w:sz w:val="32"/>
          <w:szCs w:val="32"/>
        </w:rPr>
        <w:t xml:space="preserve">、</w:t>
      </w:r>
      <w:r>
        <w:rPr>
          <w:rFonts w:hint="eastAsia"/>
          <w:b/>
          <w:bCs/>
          <w:color w:val="auto"/>
          <w:spacing w:val="-3"/>
          <w:sz w:val="32"/>
          <w:szCs w:val="32"/>
          <w:lang w:val="en-US" w:eastAsia="zh-CN"/>
        </w:rPr>
        <w:t xml:space="preserve">类似项目业绩情况表</w:t>
      </w:r>
      <w:r/>
    </w:p>
    <w:tbl>
      <w:tblPr>
        <w:tblStyle w:val="103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47"/>
        <w:gridCol w:w="2006"/>
        <w:gridCol w:w="3139"/>
        <w:gridCol w:w="1814"/>
        <w:gridCol w:w="1947"/>
      </w:tblGrid>
      <w:tr>
        <w:trPr>
          <w:trHeight w:val="1341"/>
        </w:trPr>
        <w:tc>
          <w:tcPr>
            <w:tcW w:w="434" w:type="pct"/>
            <w:vAlign w:val="center"/>
            <w:textDirection w:val="lrTb"/>
            <w:noWrap w:val="false"/>
          </w:tcPr>
          <w:p>
            <w:pPr>
              <w:pStyle w:val="1030"/>
              <w:ind w:left="0"/>
              <w:jc w:val="center"/>
              <w:spacing w:line="240" w:lineRule="auto"/>
              <w:rPr>
                <w:color w:val="auto"/>
              </w:rPr>
            </w:pPr>
            <w:r>
              <w:rPr>
                <w:color w:val="auto"/>
                <w:spacing w:val="-5"/>
              </w:rPr>
              <w:t xml:space="preserve">序号</w:t>
            </w:r>
            <w:r/>
          </w:p>
        </w:tc>
        <w:tc>
          <w:tcPr>
            <w:tcW w:w="1028" w:type="pct"/>
            <w:vAlign w:val="center"/>
            <w:textDirection w:val="lrTb"/>
            <w:noWrap w:val="false"/>
          </w:tcPr>
          <w:p>
            <w:pPr>
              <w:pStyle w:val="1030"/>
              <w:ind w:left="0"/>
              <w:jc w:val="center"/>
              <w:spacing w:line="240" w:lineRule="auto"/>
              <w:rPr>
                <w:color w:val="auto"/>
              </w:rPr>
            </w:pPr>
            <w:r>
              <w:rPr>
                <w:color w:val="auto"/>
                <w:spacing w:val="-4"/>
              </w:rPr>
              <w:t xml:space="preserve">项目名称</w:t>
            </w:r>
            <w:r/>
          </w:p>
        </w:tc>
        <w:tc>
          <w:tcPr>
            <w:tcBorders>
              <w:right w:val="single" w:color="000000" w:sz="2" w:space="0"/>
            </w:tcBorders>
            <w:tcW w:w="1609" w:type="pct"/>
            <w:vAlign w:val="center"/>
            <w:textDirection w:val="lrTb"/>
            <w:noWrap w:val="false"/>
          </w:tcPr>
          <w:p>
            <w:pPr>
              <w:pStyle w:val="1030"/>
              <w:ind w:left="0"/>
              <w:jc w:val="center"/>
              <w:spacing w:line="240" w:lineRule="auto"/>
              <w:rPr>
                <w:color w:val="auto"/>
              </w:rPr>
            </w:pPr>
            <w:r>
              <w:rPr>
                <w:color w:val="auto"/>
                <w:spacing w:val="-2"/>
              </w:rPr>
              <w:t xml:space="preserve">项目规模（内容）</w:t>
            </w:r>
            <w:r/>
          </w:p>
        </w:tc>
        <w:tc>
          <w:tcPr>
            <w:tcBorders>
              <w:left w:val="single" w:color="000000" w:sz="2" w:space="0"/>
            </w:tcBorders>
            <w:tcW w:w="930" w:type="pct"/>
            <w:vAlign w:val="center"/>
            <w:textDirection w:val="lrTb"/>
            <w:noWrap w:val="false"/>
          </w:tcPr>
          <w:p>
            <w:pPr>
              <w:pStyle w:val="1030"/>
              <w:ind w:left="0"/>
              <w:jc w:val="center"/>
              <w:spacing w:line="240" w:lineRule="auto"/>
              <w:rPr>
                <w:color w:val="auto"/>
                <w:spacing w:val="-3"/>
                <w:position w:val="5"/>
              </w:rPr>
            </w:pPr>
            <w:r>
              <w:rPr>
                <w:color w:val="auto"/>
                <w:spacing w:val="-3"/>
                <w:position w:val="5"/>
              </w:rPr>
              <w:t xml:space="preserve">合同金额</w:t>
            </w:r>
            <w:r/>
          </w:p>
          <w:p>
            <w:pPr>
              <w:pStyle w:val="1030"/>
              <w:ind w:left="0"/>
              <w:jc w:val="center"/>
              <w:spacing w:line="240" w:lineRule="auto"/>
              <w:rPr>
                <w:rFonts w:hint="eastAsia" w:eastAsia="宋体"/>
                <w:color w:val="auto"/>
                <w:lang w:eastAsia="zh-CN"/>
              </w:rPr>
            </w:pPr>
            <w:r>
              <w:rPr>
                <w:rFonts w:hint="eastAsia"/>
                <w:color w:val="auto"/>
                <w:spacing w:val="-3"/>
                <w:position w:val="5"/>
                <w:lang w:eastAsia="zh-CN"/>
              </w:rPr>
              <w:t xml:space="preserve">（</w:t>
            </w:r>
            <w:r>
              <w:rPr>
                <w:rFonts w:hint="eastAsia"/>
                <w:color w:val="auto"/>
                <w:spacing w:val="-3"/>
                <w:position w:val="5"/>
                <w:lang w:val="en-US" w:eastAsia="zh-CN"/>
              </w:rPr>
              <w:t xml:space="preserve">万元</w:t>
            </w:r>
            <w:r>
              <w:rPr>
                <w:rFonts w:hint="eastAsia"/>
                <w:color w:val="auto"/>
                <w:spacing w:val="-3"/>
                <w:position w:val="5"/>
                <w:lang w:eastAsia="zh-CN"/>
              </w:rPr>
              <w:t xml:space="preserve">）</w:t>
            </w:r>
            <w:r/>
          </w:p>
        </w:tc>
        <w:tc>
          <w:tcPr>
            <w:tcW w:w="998" w:type="pct"/>
            <w:vAlign w:val="center"/>
            <w:textDirection w:val="lrTb"/>
            <w:noWrap w:val="false"/>
          </w:tcPr>
          <w:p>
            <w:pPr>
              <w:ind w:left="0"/>
              <w:jc w:val="center"/>
              <w:spacing w:line="240" w:lineRule="auto"/>
              <w:rPr>
                <w:color w:val="auto"/>
              </w:rPr>
            </w:pPr>
            <w:r>
              <w:rPr>
                <w:color w:val="auto"/>
              </w:rPr>
            </w:r>
            <w:r/>
          </w:p>
          <w:p>
            <w:pPr>
              <w:pStyle w:val="1030"/>
              <w:ind w:left="0"/>
              <w:jc w:val="center"/>
              <w:spacing w:line="240" w:lineRule="auto"/>
              <w:rPr>
                <w:color w:val="auto"/>
              </w:rPr>
            </w:pPr>
            <w:r>
              <w:rPr>
                <w:color w:val="auto"/>
                <w:spacing w:val="-7"/>
              </w:rPr>
              <w:t xml:space="preserve">备注</w:t>
            </w:r>
            <w:r/>
          </w:p>
        </w:tc>
      </w:tr>
      <w:tr>
        <w:trPr>
          <w:trHeight w:val="796"/>
        </w:trPr>
        <w:tc>
          <w:tcPr>
            <w:tcW w:w="434" w:type="pct"/>
            <w:vAlign w:val="center"/>
            <w:textDirection w:val="lrTb"/>
            <w:noWrap w:val="false"/>
          </w:tcPr>
          <w:p>
            <w:pPr>
              <w:pStyle w:val="1030"/>
              <w:ind w:left="0"/>
              <w:jc w:val="center"/>
              <w:spacing w:line="240" w:lineRule="auto"/>
              <w:rPr>
                <w:color w:val="auto"/>
              </w:rPr>
            </w:pPr>
            <w:r>
              <w:rPr>
                <w:color w:val="auto"/>
              </w:rPr>
              <w:t xml:space="preserve">1</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r>
        <w:trPr>
          <w:trHeight w:val="795"/>
        </w:trPr>
        <w:tc>
          <w:tcPr>
            <w:tcW w:w="434" w:type="pct"/>
            <w:vAlign w:val="center"/>
            <w:textDirection w:val="lrTb"/>
            <w:noWrap w:val="false"/>
          </w:tcPr>
          <w:p>
            <w:pPr>
              <w:ind w:left="0"/>
              <w:jc w:val="center"/>
              <w:spacing w:line="240" w:lineRule="auto"/>
              <w:rPr>
                <w:color w:val="auto"/>
              </w:rPr>
            </w:pPr>
            <w:r>
              <w:rPr>
                <w:color w:val="auto"/>
              </w:rPr>
            </w:r>
            <w:r/>
          </w:p>
          <w:p>
            <w:pPr>
              <w:pStyle w:val="1030"/>
              <w:ind w:left="0"/>
              <w:jc w:val="center"/>
              <w:spacing w:line="240" w:lineRule="auto"/>
              <w:rPr>
                <w:color w:val="auto"/>
              </w:rPr>
            </w:pPr>
            <w:r>
              <w:rPr>
                <w:color w:val="auto"/>
              </w:rPr>
              <w:t xml:space="preserve">2</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r>
        <w:trPr>
          <w:trHeight w:val="795"/>
        </w:trPr>
        <w:tc>
          <w:tcPr>
            <w:tcW w:w="434" w:type="pct"/>
            <w:vAlign w:val="center"/>
            <w:textDirection w:val="lrTb"/>
            <w:noWrap w:val="false"/>
          </w:tcPr>
          <w:p>
            <w:pPr>
              <w:ind w:left="0"/>
              <w:jc w:val="center"/>
              <w:spacing w:line="240" w:lineRule="auto"/>
              <w:rPr>
                <w:color w:val="auto"/>
              </w:rPr>
            </w:pPr>
            <w:r>
              <w:rPr>
                <w:color w:val="auto"/>
              </w:rPr>
            </w:r>
            <w:r/>
          </w:p>
          <w:p>
            <w:pPr>
              <w:pStyle w:val="1030"/>
              <w:ind w:left="0"/>
              <w:jc w:val="center"/>
              <w:spacing w:line="240" w:lineRule="auto"/>
              <w:rPr>
                <w:color w:val="auto"/>
              </w:rPr>
            </w:pPr>
            <w:r>
              <w:rPr>
                <w:color w:val="auto"/>
              </w:rPr>
              <w:t xml:space="preserve">3</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r>
        <w:trPr>
          <w:trHeight w:val="796"/>
        </w:trPr>
        <w:tc>
          <w:tcPr>
            <w:tcW w:w="434" w:type="pct"/>
            <w:vAlign w:val="center"/>
            <w:textDirection w:val="lrTb"/>
            <w:noWrap w:val="false"/>
          </w:tcPr>
          <w:p>
            <w:pPr>
              <w:pStyle w:val="1030"/>
              <w:ind w:left="0"/>
              <w:jc w:val="center"/>
              <w:spacing w:line="240" w:lineRule="auto"/>
              <w:rPr>
                <w:color w:val="auto"/>
              </w:rPr>
            </w:pPr>
            <w:r>
              <w:rPr>
                <w:color w:val="auto"/>
              </w:rPr>
              <w:t xml:space="preserve">4</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r>
        <w:trPr>
          <w:trHeight w:val="795"/>
        </w:trPr>
        <w:tc>
          <w:tcPr>
            <w:tcW w:w="434" w:type="pct"/>
            <w:vAlign w:val="center"/>
            <w:textDirection w:val="lrTb"/>
            <w:noWrap w:val="false"/>
          </w:tcPr>
          <w:p>
            <w:pPr>
              <w:pStyle w:val="1030"/>
              <w:ind w:left="0"/>
              <w:jc w:val="center"/>
              <w:spacing w:line="240" w:lineRule="auto"/>
              <w:rPr>
                <w:color w:val="auto"/>
              </w:rPr>
            </w:pPr>
            <w:r>
              <w:rPr>
                <w:color w:val="auto"/>
              </w:rPr>
              <w:t xml:space="preserve">5</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r>
        <w:trPr>
          <w:trHeight w:val="818"/>
        </w:trPr>
        <w:tc>
          <w:tcPr>
            <w:tcW w:w="434" w:type="pct"/>
            <w:vAlign w:val="center"/>
            <w:textDirection w:val="lrTb"/>
            <w:noWrap w:val="false"/>
          </w:tcPr>
          <w:p>
            <w:pPr>
              <w:pStyle w:val="1030"/>
              <w:ind w:left="0"/>
              <w:jc w:val="center"/>
              <w:spacing w:line="240" w:lineRule="auto"/>
              <w:rPr>
                <w:color w:val="auto"/>
              </w:rPr>
            </w:pPr>
            <w:r>
              <w:rPr>
                <w:color w:val="auto"/>
                <w:position w:val="3"/>
              </w:rPr>
              <w:t xml:space="preserve">…</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bl>
    <w:p>
      <w:pPr>
        <w:jc w:val="both"/>
        <w:keepNext w:val="0"/>
        <w:pageBreakBefore w:val="0"/>
        <w:spacing w:line="360" w:lineRule="auto"/>
        <w:rPr>
          <w:rFonts w:hint="eastAsia" w:ascii="宋体" w:hAnsi="宋体" w:eastAsia="宋体" w:cs="宋体"/>
          <w:color w:val="auto"/>
          <w:spacing w:val="-1"/>
          <w:sz w:val="28"/>
          <w:szCs w:val="28"/>
        </w:rPr>
      </w:pPr>
      <w:r>
        <w:rPr>
          <w:rFonts w:hint="eastAsia" w:ascii="宋体" w:hAnsi="宋体" w:eastAsia="宋体" w:cs="宋体"/>
          <w:color w:val="auto"/>
          <w:spacing w:val="-1"/>
          <w:sz w:val="28"/>
          <w:szCs w:val="28"/>
        </w:rPr>
      </w:r>
      <w:r/>
    </w:p>
    <w:p>
      <w:pPr>
        <w:jc w:val="both"/>
        <w:keepNext w:val="0"/>
        <w:pageBreakBefore w:val="0"/>
        <w:spacing w:line="360" w:lineRule="auto"/>
        <w:rPr>
          <w:rFonts w:hint="eastAsia" w:ascii="宋体" w:hAnsi="宋体" w:eastAsia="宋体" w:cs="宋体"/>
          <w:color w:val="auto"/>
          <w:spacing w:val="-1"/>
          <w:sz w:val="28"/>
          <w:szCs w:val="28"/>
          <w:lang w:eastAsia="zh-CN"/>
        </w:rPr>
      </w:pPr>
      <w:r>
        <w:rPr>
          <w:rFonts w:hint="eastAsia" w:ascii="宋体" w:hAnsi="宋体" w:eastAsia="宋体" w:cs="宋体"/>
          <w:color w:val="auto"/>
          <w:spacing w:val="-1"/>
          <w:sz w:val="28"/>
          <w:szCs w:val="28"/>
        </w:rPr>
        <w:t xml:space="preserve">注：后附合同等相关材料，具体按评分标准的要求提供</w:t>
      </w:r>
      <w:r>
        <w:rPr>
          <w:rFonts w:hint="eastAsia" w:ascii="宋体" w:hAnsi="宋体" w:eastAsia="宋体" w:cs="宋体"/>
          <w:color w:val="auto"/>
          <w:spacing w:val="-1"/>
          <w:sz w:val="28"/>
          <w:szCs w:val="28"/>
          <w:lang w:eastAsia="zh-CN"/>
        </w:rPr>
        <w:t xml:space="preserve">。</w:t>
      </w:r>
      <w:r/>
    </w:p>
    <w:p>
      <w:pPr>
        <w:jc w:val="both"/>
        <w:keepNext w:val="0"/>
        <w:pageBreakBefore w:val="0"/>
        <w:spacing w:line="360" w:lineRule="auto"/>
        <w:rPr>
          <w:rFonts w:hint="eastAsia" w:ascii="宋体" w:hAnsi="宋体" w:eastAsia="宋体" w:cs="宋体"/>
          <w:color w:val="auto"/>
          <w:spacing w:val="-1"/>
          <w:sz w:val="28"/>
          <w:szCs w:val="28"/>
          <w:lang w:eastAsia="zh-CN"/>
        </w:rPr>
      </w:pPr>
      <w:r>
        <w:rPr>
          <w:rFonts w:hint="eastAsia" w:ascii="宋体" w:hAnsi="宋体" w:eastAsia="宋体" w:cs="宋体"/>
          <w:color w:val="auto"/>
          <w:spacing w:val="-1"/>
          <w:sz w:val="28"/>
          <w:szCs w:val="28"/>
          <w:lang w:eastAsia="zh-CN"/>
        </w:rPr>
      </w:r>
      <w:r/>
    </w:p>
    <w:p>
      <w:pPr>
        <w:jc w:val="both"/>
        <w:keepNext w:val="0"/>
        <w:pageBreakBefore w:val="0"/>
        <w:spacing w:line="360" w:lineRule="auto"/>
        <w:rPr>
          <w:rFonts w:hint="eastAsia" w:ascii="宋体" w:hAnsi="宋体" w:eastAsia="宋体" w:cs="宋体"/>
          <w:b/>
          <w:bCs/>
          <w:color w:val="auto"/>
          <w:sz w:val="28"/>
          <w:szCs w:val="28"/>
          <w:lang w:eastAsia="zh-CN"/>
        </w:rP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公</w:t>
      </w:r>
      <w:r>
        <w:rPr>
          <w:rFonts w:hint="eastAsia" w:ascii="宋体" w:hAnsi="宋体" w:eastAsia="宋体" w:cs="宋体"/>
          <w:color w:val="auto"/>
          <w:sz w:val="28"/>
          <w:szCs w:val="28"/>
          <w:u w:val="single"/>
        </w:rPr>
        <w:t xml:space="preserve">章）    </w:t>
      </w:r>
      <w:r/>
    </w:p>
    <w:p>
      <w:pPr>
        <w:jc w:val="both"/>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br w:type="page" w:clear="all"/>
      </w:r>
      <w:r/>
    </w:p>
    <w:p>
      <w:pPr>
        <w:jc w:val="center"/>
        <w:keepNext w:val="0"/>
        <w:pageBreakBefore w:val="0"/>
        <w:spacing w:line="360" w:lineRule="auto"/>
        <w:rPr>
          <w:rFonts w:hint="eastAsia" w:ascii="宋体" w:hAnsi="宋体" w:eastAsia="宋体" w:cs="宋体"/>
          <w:b/>
          <w:bCs/>
          <w:color w:val="auto"/>
          <w:sz w:val="32"/>
          <w:szCs w:val="32"/>
        </w:rPr>
      </w:pPr>
      <w:r>
        <w:rPr>
          <w:rFonts w:hint="eastAsia" w:ascii="宋体" w:hAnsi="宋体" w:cs="宋体"/>
          <w:b/>
          <w:bCs/>
          <w:color w:val="auto"/>
          <w:sz w:val="32"/>
          <w:szCs w:val="32"/>
          <w:lang w:val="en-US" w:eastAsia="zh-CN"/>
        </w:rPr>
        <w:t xml:space="preserve">七、</w:t>
      </w:r>
      <w:r>
        <w:rPr>
          <w:rFonts w:hint="eastAsia" w:ascii="宋体" w:hAnsi="宋体" w:eastAsia="宋体" w:cs="宋体"/>
          <w:b/>
          <w:bCs/>
          <w:color w:val="auto"/>
          <w:sz w:val="32"/>
          <w:szCs w:val="32"/>
        </w:rPr>
        <w:t xml:space="preserve">服务承诺</w:t>
      </w:r>
      <w:bookmarkEnd w:id="27"/>
      <w:r/>
      <w:r/>
    </w:p>
    <w:p>
      <w:pPr>
        <w:jc w:val="center"/>
        <w:keepNext w:val="0"/>
        <w:pageBreakBefore w:val="0"/>
        <w:spacing w:line="360" w:lineRule="auto"/>
        <w:rPr>
          <w:rFonts w:hint="eastAsia" w:ascii="宋体" w:hAnsi="宋体" w:eastAsia="宋体" w:cs="宋体"/>
          <w:color w:val="auto"/>
          <w:sz w:val="28"/>
        </w:rPr>
        <w:outlineLvl w:val="0"/>
      </w:pPr>
      <w:r>
        <w:rPr>
          <w:rFonts w:hint="eastAsia" w:ascii="宋体" w:hAnsi="宋体" w:eastAsia="宋体" w:cs="宋体"/>
          <w:color w:val="auto"/>
          <w:sz w:val="28"/>
        </w:rPr>
        <w:t xml:space="preserve">（格式由投标人自定、加盖投标人公章）</w:t>
      </w:r>
      <w:r/>
    </w:p>
    <w:p>
      <w:pPr>
        <w:rPr>
          <w:rFonts w:hint="eastAsia" w:ascii="宋体" w:hAnsi="宋体" w:eastAsia="宋体" w:cs="宋体"/>
          <w:b/>
          <w:bCs/>
          <w:color w:val="auto"/>
          <w:sz w:val="32"/>
          <w:szCs w:val="32"/>
          <w:lang w:val="en-US" w:eastAsia="zh-CN"/>
        </w:rPr>
      </w:pPr>
      <w:r/>
      <w:bookmarkStart w:id="28" w:name="_Toc13352_WPSOffice_Level1"/>
      <w:r>
        <w:rPr>
          <w:rFonts w:hint="eastAsia" w:ascii="宋体" w:hAnsi="宋体" w:eastAsia="宋体" w:cs="宋体"/>
          <w:b/>
          <w:bCs/>
          <w:color w:val="auto"/>
          <w:sz w:val="32"/>
          <w:szCs w:val="32"/>
          <w:lang w:val="en-US" w:eastAsia="zh-CN"/>
        </w:rPr>
        <w:br w:type="page" w:clear="all"/>
      </w:r>
      <w:r/>
    </w:p>
    <w:p>
      <w:pPr>
        <w:jc w:val="center"/>
        <w:keepNext w:val="0"/>
        <w:pageBreakBefore w:val="0"/>
        <w:spacing w:line="360" w:lineRule="auto"/>
        <w:rPr>
          <w:rFonts w:hint="eastAsia" w:ascii="宋体" w:hAnsi="宋体" w:eastAsia="宋体" w:cs="宋体"/>
          <w:b/>
          <w:bCs/>
          <w:color w:val="auto"/>
          <w:sz w:val="32"/>
          <w:szCs w:val="32"/>
        </w:rPr>
      </w:pPr>
      <w:r>
        <w:rPr>
          <w:rFonts w:hint="eastAsia" w:ascii="宋体" w:hAnsi="宋体" w:cs="宋体"/>
          <w:b/>
          <w:bCs/>
          <w:color w:val="auto"/>
          <w:sz w:val="32"/>
          <w:szCs w:val="32"/>
          <w:lang w:val="en-US" w:eastAsia="zh-CN"/>
        </w:rPr>
        <w:t xml:space="preserve">八</w:t>
      </w:r>
      <w:r>
        <w:rPr>
          <w:rFonts w:hint="eastAsia" w:ascii="宋体" w:hAnsi="宋体" w:eastAsia="宋体" w:cs="宋体"/>
          <w:b/>
          <w:bCs/>
          <w:color w:val="auto"/>
          <w:sz w:val="32"/>
          <w:szCs w:val="32"/>
        </w:rPr>
        <w:t xml:space="preserve">、资质审查时</w:t>
      </w:r>
      <w:r>
        <w:rPr>
          <w:rFonts w:hint="eastAsia" w:ascii="宋体" w:hAnsi="宋体" w:cs="宋体"/>
          <w:b/>
          <w:bCs/>
          <w:color w:val="auto"/>
          <w:sz w:val="32"/>
          <w:szCs w:val="32"/>
          <w:lang w:eastAsia="zh-CN"/>
        </w:rPr>
        <w:t xml:space="preserve">投标人</w:t>
      </w:r>
      <w:r>
        <w:rPr>
          <w:rFonts w:hint="eastAsia" w:ascii="宋体" w:hAnsi="宋体" w:eastAsia="宋体" w:cs="宋体"/>
          <w:b/>
          <w:bCs/>
          <w:color w:val="auto"/>
          <w:sz w:val="32"/>
          <w:szCs w:val="32"/>
        </w:rPr>
        <w:t xml:space="preserve">必须提交的资格证明文件</w:t>
      </w:r>
      <w:bookmarkEnd w:id="28"/>
      <w:r/>
      <w:r/>
    </w:p>
    <w:p>
      <w:pPr>
        <w:jc w:val="left"/>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（一）符合《中华人民共和国政府采购法》第二十二条规定的六项条件；</w:t>
      </w:r>
      <w:r>
        <w:rPr>
          <w:rFonts w:hint="eastAsia" w:ascii="宋体" w:hAnsi="宋体" w:cs="宋体"/>
          <w:b/>
          <w:bCs/>
          <w:color w:val="auto"/>
          <w:sz w:val="24"/>
        </w:rPr>
        <w:t xml:space="preserve">（</w:t>
      </w:r>
      <w:r>
        <w:rPr>
          <w:rFonts w:hint="eastAsia" w:ascii="宋体" w:hAnsi="宋体" w:cs="宋体"/>
          <w:sz w:val="24"/>
        </w:rPr>
        <w:t xml:space="preserve">提供书面承诺书印章齐全，格式见示范格式</w:t>
      </w:r>
      <w:r>
        <w:rPr>
          <w:rFonts w:hint="eastAsia" w:ascii="宋体" w:hAnsi="宋体" w:cs="宋体"/>
          <w:b/>
          <w:bCs/>
          <w:color w:val="auto"/>
          <w:sz w:val="24"/>
        </w:rPr>
        <w:t xml:space="preserve">）</w:t>
      </w:r>
      <w:r/>
    </w:p>
    <w:p>
      <w:pPr>
        <w:pStyle w:val="931"/>
        <w:ind w:left="0" w:firstLine="0"/>
        <w:rPr>
          <w:rFonts w:hint="eastAsia" w:ascii="宋体" w:hAnsi="宋体" w:cs="宋体"/>
          <w:color w:val="000000"/>
          <w:sz w:val="24"/>
          <w:lang w:eastAsia="zh-CN"/>
        </w:rPr>
      </w:pPr>
      <w:r>
        <w:rPr>
          <w:rFonts w:hint="eastAsia" w:ascii="宋体" w:hAnsi="宋体" w:eastAsia="宋体" w:cs="宋体"/>
          <w:color w:val="auto"/>
          <w:sz w:val="24"/>
        </w:rPr>
        <w:t xml:space="preserve">（二）</w:t>
      </w:r>
      <w:r>
        <w:rPr>
          <w:rFonts w:hint="eastAsia" w:ascii="宋体" w:hAnsi="宋体" w:cs="宋体"/>
          <w:color w:val="000000"/>
          <w:sz w:val="24"/>
          <w:lang w:eastAsia="zh-CN"/>
        </w:rPr>
        <w:t xml:space="preserve">落实政府采购政策需满足的资格要求</w:t>
      </w:r>
      <w:r>
        <w:rPr>
          <w:rFonts w:hint="eastAsia" w:ascii="宋体" w:hAnsi="宋体" w:cs="宋体"/>
          <w:b/>
          <w:bCs/>
          <w:color w:val="000000"/>
          <w:sz w:val="24"/>
          <w:lang w:eastAsia="zh-CN"/>
        </w:rPr>
        <w:t xml:space="preserve">（</w:t>
      </w:r>
      <w:r>
        <w:rPr>
          <w:rFonts w:hint="eastAsia" w:ascii="宋体" w:hAnsi="宋体" w:cs="宋体"/>
          <w:b/>
          <w:bCs/>
          <w:color w:val="000000"/>
          <w:sz w:val="24"/>
          <w:lang w:val="zh-CN" w:eastAsia="zh-CN"/>
        </w:rPr>
        <w:t xml:space="preserve">提供下列任一项材料即可</w:t>
      </w:r>
      <w:r>
        <w:rPr>
          <w:rFonts w:hint="eastAsia" w:ascii="宋体" w:hAnsi="宋体" w:cs="宋体"/>
          <w:b/>
          <w:bCs/>
          <w:color w:val="000000"/>
          <w:sz w:val="24"/>
          <w:lang w:eastAsia="zh-CN"/>
        </w:rPr>
        <w:t xml:space="preserve">，</w:t>
      </w:r>
      <w:r>
        <w:rPr>
          <w:rFonts w:hint="eastAsia" w:ascii="宋体" w:hAnsi="宋体" w:cs="宋体"/>
          <w:b/>
          <w:bCs/>
          <w:color w:val="000000"/>
          <w:sz w:val="24"/>
          <w:lang w:val="zh-CN" w:eastAsia="zh-CN"/>
        </w:rPr>
        <w:t xml:space="preserve">非专门面向中小企业或者预留份额的采购项目，本项无需提供</w:t>
      </w:r>
      <w:r>
        <w:rPr>
          <w:rFonts w:hint="eastAsia" w:ascii="宋体" w:hAnsi="宋体" w:cs="宋体"/>
          <w:b/>
          <w:bCs/>
          <w:color w:val="000000"/>
          <w:sz w:val="24"/>
          <w:lang w:eastAsia="zh-CN"/>
        </w:rPr>
        <w:t xml:space="preserve">）</w:t>
      </w:r>
      <w:r>
        <w:rPr>
          <w:rFonts w:hint="eastAsia" w:ascii="宋体" w:hAnsi="宋体" w:cs="宋体"/>
          <w:color w:val="000000"/>
          <w:sz w:val="24"/>
          <w:lang w:eastAsia="zh-CN"/>
        </w:rPr>
        <w:t xml:space="preserve">:</w:t>
      </w:r>
      <w:r/>
    </w:p>
    <w:p>
      <w:pPr>
        <w:pStyle w:val="931"/>
        <w:ind w:firstLine="240"/>
        <w:rPr>
          <w:rFonts w:hint="eastAsia" w:ascii="宋体" w:hAnsi="宋体" w:cs="宋体"/>
          <w:color w:val="000000"/>
          <w:sz w:val="24"/>
          <w:lang w:eastAsia="zh-CN"/>
        </w:rPr>
      </w:pPr>
      <w:r>
        <w:rPr>
          <w:rFonts w:hint="eastAsia" w:ascii="宋体" w:hAnsi="宋体" w:cs="宋体"/>
          <w:color w:val="000000"/>
          <w:sz w:val="24"/>
          <w:lang w:eastAsia="zh-CN"/>
        </w:rPr>
        <w:t xml:space="preserve">（1）企业声明函（详见示范格式四）；</w:t>
      </w:r>
      <w:r/>
    </w:p>
    <w:p>
      <w:pPr>
        <w:pStyle w:val="931"/>
        <w:ind w:firstLine="240"/>
        <w:rPr>
          <w:rFonts w:hint="eastAsia" w:ascii="宋体" w:hAnsi="宋体" w:cs="宋体"/>
          <w:color w:val="000000"/>
          <w:sz w:val="24"/>
          <w:lang w:eastAsia="zh-CN"/>
        </w:rPr>
      </w:pPr>
      <w:r>
        <w:rPr>
          <w:rFonts w:hint="eastAsia" w:ascii="宋体" w:hAnsi="宋体" w:cs="宋体"/>
          <w:color w:val="000000"/>
          <w:sz w:val="24"/>
          <w:lang w:eastAsia="zh-CN"/>
        </w:rPr>
        <w:t xml:space="preserve">（2）《残疾人福利性单位声明函》（详见示范格式五）；</w:t>
      </w:r>
      <w:r/>
    </w:p>
    <w:p>
      <w:pPr>
        <w:pStyle w:val="931"/>
        <w:ind w:firstLine="240"/>
        <w:rPr>
          <w:rFonts w:hint="eastAsia" w:ascii="宋体" w:hAnsi="宋体" w:cs="宋体"/>
          <w:color w:val="000000"/>
          <w:sz w:val="24"/>
          <w:lang w:eastAsia="zh-CN"/>
        </w:rPr>
      </w:pPr>
      <w:r>
        <w:rPr>
          <w:rFonts w:hint="eastAsia" w:ascii="宋体" w:hAnsi="宋体" w:cs="宋体"/>
          <w:color w:val="000000"/>
          <w:sz w:val="24"/>
          <w:lang w:eastAsia="zh-CN"/>
        </w:rPr>
        <w:t xml:space="preserve">（3）由省级以上监狱管理局、戒毒管理局（含新疆生产建设兵团）出具的属于监狱企业的证明文件）（加盖出具单位公章的电子件）。</w:t>
      </w:r>
      <w:r/>
    </w:p>
    <w:p>
      <w:pPr>
        <w:pStyle w:val="931"/>
        <w:ind w:firstLine="240"/>
        <w:rPr>
          <w:rFonts w:hint="eastAsia" w:ascii="宋体" w:hAnsi="宋体" w:eastAsia="宋体" w:cs="宋体"/>
          <w:color w:val="auto"/>
          <w:sz w:val="24"/>
          <w:lang w:eastAsia="zh-CN"/>
        </w:rPr>
      </w:pPr>
      <w:r>
        <w:rPr>
          <w:rFonts w:hint="eastAsia" w:ascii="宋体" w:hAnsi="宋体" w:cs="宋体"/>
          <w:color w:val="000000"/>
          <w:sz w:val="24"/>
          <w:lang w:eastAsia="zh-CN"/>
        </w:rPr>
        <w:t xml:space="preserve">注:监狱企业、残疾人福利性单位视同小微企业。 </w:t>
      </w:r>
      <w:r/>
    </w:p>
    <w:p>
      <w:pPr>
        <w:ind w:firstLine="48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lang w:eastAsia="zh-CN"/>
        </w:rPr>
        <w:t xml:space="preserve">本项目采购标的对应的中小企业划分标准所属行业</w:t>
      </w:r>
      <w:r>
        <w:rPr>
          <w:rFonts w:hint="eastAsia" w:ascii="宋体" w:hAnsi="宋体" w:eastAsia="宋体" w:cs="宋体"/>
          <w:color w:val="auto"/>
          <w:sz w:val="24"/>
          <w:highlight w:val="none"/>
          <w:lang w:eastAsia="zh-CN"/>
        </w:rPr>
        <w:t xml:space="preserve">为</w:t>
      </w:r>
      <w:r>
        <w:rPr>
          <w:rFonts w:hint="eastAsia" w:cs="宋体"/>
          <w:b/>
          <w:bCs/>
          <w:color w:val="000000"/>
          <w:sz w:val="24"/>
          <w:highlight w:val="none"/>
          <w:u w:val="single"/>
          <w:lang w:eastAsia="zh-CN"/>
        </w:rPr>
        <w:t xml:space="preserve">制造业</w:t>
      </w:r>
      <w:r>
        <w:rPr>
          <w:rFonts w:hint="eastAsia" w:ascii="宋体" w:hAnsi="宋体" w:eastAsia="宋体" w:cs="宋体"/>
          <w:color w:val="auto"/>
          <w:sz w:val="24"/>
          <w:highlight w:val="none"/>
          <w:lang w:eastAsia="zh-CN"/>
        </w:rPr>
        <w:t xml:space="preserve">。</w:t>
      </w:r>
      <w:r/>
    </w:p>
    <w:p>
      <w:pPr>
        <w:keepNext w:val="0"/>
        <w:pageBreakBefore w:val="0"/>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w:t>
      </w:r>
      <w:r>
        <w:rPr>
          <w:rFonts w:hint="eastAsia" w:ascii="宋体" w:hAnsi="宋体" w:cs="宋体"/>
          <w:color w:val="auto"/>
          <w:sz w:val="24"/>
          <w:lang w:val="en-US" w:eastAsia="zh-CN"/>
        </w:rPr>
        <w:t xml:space="preserve">三</w:t>
      </w:r>
      <w:r>
        <w:rPr>
          <w:rFonts w:hint="eastAsia" w:ascii="宋体" w:hAnsi="宋体" w:cs="宋体"/>
          <w:color w:val="auto"/>
          <w:sz w:val="24"/>
        </w:rPr>
        <w:t xml:space="preserve">）拒绝符合下述条件的</w:t>
      </w:r>
      <w:r>
        <w:rPr>
          <w:rFonts w:hint="eastAsia" w:ascii="宋体" w:hAnsi="宋体" w:cs="宋体"/>
          <w:color w:val="auto"/>
          <w:sz w:val="24"/>
          <w:lang w:eastAsia="zh-CN"/>
        </w:rPr>
        <w:t xml:space="preserve">供应商</w:t>
      </w:r>
      <w:r>
        <w:rPr>
          <w:rFonts w:hint="eastAsia" w:ascii="宋体" w:hAnsi="宋体" w:cs="宋体"/>
          <w:color w:val="auto"/>
          <w:sz w:val="24"/>
        </w:rPr>
        <w:t xml:space="preserve">参加本次采购活动</w:t>
      </w:r>
      <w:r>
        <w:rPr>
          <w:rFonts w:hint="eastAsia" w:ascii="宋体" w:hAnsi="宋体" w:cs="宋体"/>
          <w:b/>
          <w:color w:val="auto"/>
          <w:sz w:val="24"/>
        </w:rPr>
        <w:t xml:space="preserve">（</w:t>
      </w:r>
      <w:r>
        <w:rPr>
          <w:rFonts w:hint="eastAsia" w:ascii="宋体" w:hAnsi="宋体" w:cs="宋体"/>
          <w:b/>
          <w:bCs/>
          <w:color w:val="auto"/>
          <w:sz w:val="24"/>
        </w:rPr>
        <w:t xml:space="preserve">承诺制，详见</w:t>
      </w:r>
      <w:r>
        <w:rPr>
          <w:rFonts w:hint="eastAsia" w:ascii="宋体" w:hAnsi="宋体" w:cs="宋体"/>
          <w:b/>
          <w:bCs/>
          <w:color w:val="auto"/>
          <w:sz w:val="24"/>
          <w:lang w:eastAsia="zh-CN"/>
        </w:rPr>
        <w:t xml:space="preserve">示范格式</w:t>
      </w:r>
      <w:r>
        <w:rPr>
          <w:rFonts w:hint="eastAsia" w:ascii="宋体" w:hAnsi="宋体" w:cs="宋体"/>
          <w:b/>
          <w:color w:val="auto"/>
          <w:sz w:val="24"/>
        </w:rPr>
        <w:t xml:space="preserve">）</w:t>
      </w:r>
      <w:r>
        <w:rPr>
          <w:rFonts w:hint="eastAsia" w:ascii="宋体" w:hAnsi="宋体" w:cs="宋体"/>
          <w:b w:val="0"/>
          <w:bCs w:val="0"/>
          <w:color w:val="auto"/>
          <w:sz w:val="24"/>
          <w:lang w:eastAsia="zh-CN"/>
        </w:rPr>
        <w:t xml:space="preserve">：</w:t>
      </w:r>
      <w:r/>
    </w:p>
    <w:p>
      <w:pPr>
        <w:ind w:firstLine="480"/>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lang w:val="en-US" w:eastAsia="zh-CN"/>
        </w:rPr>
        <w:t xml:space="preserve">1.</w:t>
      </w:r>
      <w:r>
        <w:rPr>
          <w:rFonts w:hint="eastAsia" w:ascii="宋体" w:hAnsi="宋体" w:cs="宋体"/>
          <w:color w:val="auto"/>
          <w:sz w:val="24"/>
          <w:lang w:eastAsia="zh-CN"/>
        </w:rPr>
        <w:t xml:space="preserve">供应商</w:t>
      </w:r>
      <w:r>
        <w:rPr>
          <w:rFonts w:hint="eastAsia" w:ascii="宋体" w:hAnsi="宋体" w:cs="宋体"/>
          <w:color w:val="auto"/>
          <w:sz w:val="24"/>
        </w:rPr>
        <w:t xml:space="preserve">单位负责人为同一人或者存在直接控股、管理关系的不同</w:t>
      </w:r>
      <w:r>
        <w:rPr>
          <w:rFonts w:hint="eastAsia" w:ascii="宋体" w:hAnsi="宋体" w:cs="宋体"/>
          <w:color w:val="auto"/>
          <w:sz w:val="24"/>
          <w:lang w:eastAsia="zh-CN"/>
        </w:rPr>
        <w:t xml:space="preserve">供应商</w:t>
      </w:r>
      <w:r>
        <w:rPr>
          <w:rFonts w:hint="eastAsia" w:ascii="宋体" w:hAnsi="宋体" w:cs="宋体"/>
          <w:color w:val="auto"/>
          <w:sz w:val="24"/>
        </w:rPr>
        <w:t xml:space="preserve">，不得同时参加同一合同项下的政府采购活动；</w:t>
      </w:r>
      <w:r/>
    </w:p>
    <w:p>
      <w:pPr>
        <w:ind w:firstLine="480"/>
        <w:keepLines w:val="0"/>
        <w:keepNext w:val="0"/>
        <w:pageBreakBefore w:val="0"/>
        <w:spacing w:line="360" w:lineRule="auto"/>
        <w:widowControl w:val="off"/>
        <w:rPr>
          <w:rFonts w:hint="eastAsia" w:ascii="宋体" w:hAnsi="宋体" w:cs="宋体"/>
          <w:b/>
          <w:color w:val="auto"/>
          <w:sz w:val="24"/>
        </w:rPr>
      </w:pPr>
      <w:r>
        <w:rPr>
          <w:rFonts w:hint="eastAsia" w:ascii="宋体" w:hAnsi="宋体" w:cs="宋体"/>
          <w:color w:val="auto"/>
          <w:sz w:val="24"/>
          <w:lang w:val="en-US" w:eastAsia="zh-CN"/>
        </w:rPr>
        <w:t xml:space="preserve">2.</w:t>
      </w:r>
      <w:r>
        <w:rPr>
          <w:rFonts w:hint="eastAsia" w:ascii="宋体" w:hAnsi="宋体" w:cs="宋体"/>
          <w:color w:val="auto"/>
          <w:sz w:val="24"/>
        </w:rPr>
        <w:t xml:space="preserve">凡为采购项目提供整体设计、规范编制或者项目管理、监理、检测等服务的</w:t>
      </w:r>
      <w:r>
        <w:rPr>
          <w:rFonts w:hint="eastAsia" w:ascii="宋体" w:hAnsi="宋体" w:cs="宋体"/>
          <w:color w:val="auto"/>
          <w:sz w:val="24"/>
          <w:lang w:eastAsia="zh-CN"/>
        </w:rPr>
        <w:t xml:space="preserve">供应商</w:t>
      </w:r>
      <w:r>
        <w:rPr>
          <w:rFonts w:hint="eastAsia" w:ascii="宋体" w:hAnsi="宋体" w:cs="宋体"/>
          <w:color w:val="auto"/>
          <w:sz w:val="24"/>
        </w:rPr>
        <w:t xml:space="preserve">，不得再参加本项目的采购活动；</w:t>
      </w:r>
      <w:r/>
    </w:p>
    <w:p>
      <w:pPr>
        <w:ind w:firstLine="480"/>
        <w:keepLines w:val="0"/>
        <w:keepNext w:val="0"/>
        <w:pageBreakBefore w:val="0"/>
        <w:spacing w:line="360" w:lineRule="auto"/>
        <w:widowControl w:val="off"/>
        <w:rPr>
          <w:rFonts w:hint="eastAsia" w:ascii="宋体" w:hAnsi="宋体" w:cs="宋体"/>
          <w:b/>
          <w:color w:val="auto"/>
          <w:sz w:val="24"/>
        </w:rPr>
      </w:pPr>
      <w:r>
        <w:rPr>
          <w:rFonts w:hint="eastAsia" w:ascii="宋体" w:hAnsi="宋体" w:cs="宋体"/>
          <w:color w:val="auto"/>
          <w:sz w:val="24"/>
          <w:lang w:val="en-US" w:eastAsia="zh-CN"/>
        </w:rPr>
        <w:t xml:space="preserve">3.</w:t>
      </w:r>
      <w:r>
        <w:rPr>
          <w:rFonts w:hint="eastAsia" w:ascii="宋体" w:hAnsi="宋体" w:cs="宋体"/>
          <w:color w:val="auto"/>
          <w:sz w:val="24"/>
          <w:lang w:eastAsia="zh-CN"/>
        </w:rPr>
        <w:t xml:space="preserve">“</w:t>
      </w:r>
      <w:r>
        <w:rPr>
          <w:rFonts w:hint="eastAsia" w:ascii="宋体" w:hAnsi="宋体" w:cs="宋体"/>
          <w:color w:val="auto"/>
          <w:sz w:val="24"/>
        </w:rPr>
        <w:t xml:space="preserve">列入失信被执行人、重大税收违法案件当事人名单、政府采购严重违法失信行为记录名单中的</w:t>
      </w:r>
      <w:r>
        <w:rPr>
          <w:rFonts w:hint="eastAsia" w:ascii="宋体" w:hAnsi="宋体" w:cs="宋体"/>
          <w:color w:val="auto"/>
          <w:sz w:val="24"/>
          <w:lang w:eastAsia="zh-CN"/>
        </w:rPr>
        <w:t xml:space="preserve">供应商</w:t>
      </w:r>
      <w:r>
        <w:rPr>
          <w:rFonts w:hint="eastAsia" w:ascii="宋体" w:hAnsi="宋体" w:cs="宋体"/>
          <w:color w:val="auto"/>
          <w:sz w:val="24"/>
        </w:rPr>
        <w:t xml:space="preserve">不得参加本项目的采购活动</w:t>
      </w:r>
      <w:r>
        <w:rPr>
          <w:rFonts w:hint="eastAsia" w:ascii="宋体" w:hAnsi="宋体" w:cs="宋体"/>
          <w:color w:val="auto"/>
          <w:sz w:val="24"/>
          <w:lang w:eastAsia="zh-CN"/>
        </w:rPr>
        <w:t xml:space="preserve">”。</w:t>
      </w:r>
      <w:r/>
    </w:p>
    <w:p>
      <w:pPr>
        <w:pStyle w:val="912"/>
        <w:ind w:firstLine="480"/>
        <w:keepNext w:val="0"/>
        <w:pageBreakBefore w:val="0"/>
        <w:spacing w:line="360" w:lineRule="auto"/>
        <w:rPr>
          <w:rFonts w:hint="eastAsia" w:ascii="宋体" w:hAnsi="宋体" w:cs="宋体"/>
          <w:color w:val="auto"/>
          <w:sz w:val="24"/>
          <w:szCs w:val="24"/>
        </w:rPr>
      </w:pPr>
      <w:r>
        <w:rPr>
          <w:rFonts w:hint="eastAsia" w:ascii="宋体" w:hAnsi="宋体" w:cs="宋体"/>
          <w:color w:val="auto"/>
          <w:sz w:val="24"/>
          <w:szCs w:val="24"/>
          <w:lang w:eastAsia="zh-CN"/>
        </w:rPr>
        <w:t xml:space="preserve">招标人</w:t>
      </w:r>
      <w:r>
        <w:rPr>
          <w:rFonts w:hint="eastAsia" w:ascii="宋体" w:hAnsi="宋体" w:cs="宋体"/>
          <w:color w:val="auto"/>
          <w:sz w:val="24"/>
          <w:szCs w:val="24"/>
        </w:rPr>
        <w:t xml:space="preserve">（代理机构）通过</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信用中国</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网站（www.creditchina.gov.cn）、</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中国政府采购网</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网站（www.ccgp.gov.cn）等渠道查询供应商在采购公告发布之日前的信用记录并保存，查询结果以网页打印的形式留存并归档。</w:t>
      </w:r>
      <w:r/>
    </w:p>
    <w:p>
      <w:pPr>
        <w:keepNext w:val="0"/>
        <w:pageBreakBefore w:val="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四</w:t>
      </w: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投标</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提供下列之一</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提供相关材料</w:t>
      </w:r>
      <w:r>
        <w:rPr>
          <w:rFonts w:hint="eastAsia" w:ascii="宋体" w:hAnsi="宋体" w:cs="宋体"/>
          <w:color w:val="auto"/>
          <w:sz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b w:val="0"/>
          <w:bCs w:val="0"/>
          <w:color w:val="auto"/>
          <w:sz w:val="24"/>
        </w:rPr>
      </w:pPr>
      <w:r>
        <w:rPr>
          <w:rFonts w:hint="eastAsia" w:ascii="宋体" w:hAnsi="宋体" w:cs="宋体"/>
          <w:color w:val="auto"/>
          <w:sz w:val="24"/>
          <w:lang w:val="en-US" w:eastAsia="zh-CN"/>
        </w:rPr>
        <w:t xml:space="preserve">1、</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法定代表人参加</w:t>
      </w:r>
      <w:r>
        <w:rPr>
          <w:rFonts w:hint="eastAsia" w:ascii="宋体" w:hAnsi="宋体" w:cs="宋体"/>
          <w:color w:val="auto"/>
          <w:sz w:val="24"/>
          <w:lang w:val="en-US" w:eastAsia="zh-CN"/>
        </w:rPr>
        <w:t xml:space="preserve">投标</w:t>
      </w:r>
      <w:r>
        <w:rPr>
          <w:rFonts w:hint="eastAsia" w:ascii="宋体" w:hAnsi="宋体" w:eastAsia="宋体" w:cs="宋体"/>
          <w:color w:val="auto"/>
          <w:sz w:val="24"/>
        </w:rPr>
        <w:t xml:space="preserve">的，提供法定代表人资格证明（格式按照示范格式一要求</w:t>
      </w:r>
      <w:r>
        <w:rPr>
          <w:rFonts w:hint="eastAsia" w:ascii="宋体" w:hAnsi="宋体" w:cs="宋体"/>
          <w:color w:val="auto"/>
          <w:sz w:val="24"/>
          <w:lang w:val="en-US" w:eastAsia="zh-CN"/>
        </w:rPr>
        <w:t xml:space="preserve">填写印章齐全</w:t>
      </w:r>
      <w:r>
        <w:rPr>
          <w:rFonts w:hint="eastAsia" w:ascii="宋体" w:hAnsi="宋体" w:eastAsia="宋体" w:cs="宋体"/>
          <w:color w:val="auto"/>
          <w:sz w:val="24"/>
        </w:rPr>
        <w:t xml:space="preserve">）和法定代表人有效身份证</w:t>
      </w:r>
      <w:r>
        <w:rPr>
          <w:rFonts w:hint="eastAsia" w:ascii="宋体" w:hAnsi="宋体" w:eastAsia="宋体" w:cs="宋体"/>
          <w:b w:val="0"/>
          <w:bCs w:val="0"/>
          <w:color w:val="auto"/>
          <w:sz w:val="24"/>
        </w:rPr>
        <w:t xml:space="preserve">（原件扫描</w:t>
      </w:r>
      <w:r>
        <w:rPr>
          <w:rFonts w:hint="eastAsia" w:ascii="宋体" w:hAnsi="宋体" w:cs="宋体"/>
          <w:b w:val="0"/>
          <w:bCs w:val="0"/>
          <w:color w:val="auto"/>
          <w:sz w:val="24"/>
          <w:lang w:val="en-US" w:eastAsia="zh-CN"/>
        </w:rPr>
        <w:t xml:space="preserve">上传加盖章</w:t>
      </w:r>
      <w:r>
        <w:rPr>
          <w:rFonts w:hint="eastAsia" w:ascii="宋体" w:hAnsi="宋体" w:eastAsia="宋体" w:cs="宋体"/>
          <w:b w:val="0"/>
          <w:bCs w:val="0"/>
          <w:color w:val="auto"/>
          <w:sz w:val="24"/>
        </w:rPr>
        <w:t xml:space="preserve">）；</w:t>
      </w:r>
      <w:r/>
    </w:p>
    <w:p>
      <w:pPr>
        <w:ind w:firstLine="480"/>
        <w:keepLines w:val="0"/>
        <w:keepNext w:val="0"/>
        <w:pageBreakBefore w:val="0"/>
        <w:spacing w:line="360" w:lineRule="auto"/>
        <w:widowControl w:val="off"/>
        <w:rPr>
          <w:rFonts w:hint="eastAsia" w:ascii="宋体" w:hAnsi="宋体" w:eastAsia="宋体" w:cs="宋体"/>
          <w:b w:val="0"/>
          <w:bCs w:val="0"/>
          <w:color w:val="auto"/>
          <w:sz w:val="24"/>
        </w:rPr>
      </w:pPr>
      <w:r>
        <w:rPr>
          <w:rFonts w:hint="eastAsia" w:ascii="宋体" w:hAnsi="宋体" w:cs="宋体"/>
          <w:b w:val="0"/>
          <w:bCs w:val="0"/>
          <w:color w:val="auto"/>
          <w:sz w:val="24"/>
          <w:lang w:val="en-US" w:eastAsia="zh-CN"/>
        </w:rPr>
        <w:t xml:space="preserve">2、</w:t>
      </w:r>
      <w:r>
        <w:rPr>
          <w:rFonts w:hint="eastAsia" w:ascii="宋体" w:hAnsi="宋体" w:cs="宋体"/>
          <w:b w:val="0"/>
          <w:bCs w:val="0"/>
          <w:color w:val="auto"/>
          <w:sz w:val="24"/>
          <w:lang w:eastAsia="zh-CN"/>
        </w:rPr>
        <w:t xml:space="preserve">供应商</w:t>
      </w:r>
      <w:r>
        <w:rPr>
          <w:rFonts w:hint="eastAsia" w:ascii="宋体" w:hAnsi="宋体" w:eastAsia="宋体" w:cs="宋体"/>
          <w:b w:val="0"/>
          <w:bCs w:val="0"/>
          <w:color w:val="auto"/>
          <w:sz w:val="24"/>
        </w:rPr>
        <w:t xml:space="preserve">授权委托人参加</w:t>
      </w:r>
      <w:r>
        <w:rPr>
          <w:rFonts w:hint="eastAsia" w:ascii="宋体" w:hAnsi="宋体" w:cs="宋体"/>
          <w:b w:val="0"/>
          <w:bCs w:val="0"/>
          <w:color w:val="auto"/>
          <w:sz w:val="24"/>
          <w:lang w:val="en-US" w:eastAsia="zh-CN"/>
        </w:rPr>
        <w:t xml:space="preserve">投标</w:t>
      </w:r>
      <w:r>
        <w:rPr>
          <w:rFonts w:hint="eastAsia" w:ascii="宋体" w:hAnsi="宋体" w:eastAsia="宋体" w:cs="宋体"/>
          <w:b w:val="0"/>
          <w:bCs w:val="0"/>
          <w:color w:val="auto"/>
          <w:sz w:val="24"/>
        </w:rPr>
        <w:t xml:space="preserve">的，提供授权委托书（格式按照示范格式二要求</w:t>
      </w:r>
      <w:r>
        <w:rPr>
          <w:rFonts w:hint="eastAsia" w:ascii="宋体" w:hAnsi="宋体" w:cs="宋体"/>
          <w:b w:val="0"/>
          <w:bCs w:val="0"/>
          <w:color w:val="auto"/>
          <w:sz w:val="24"/>
          <w:lang w:val="en-US" w:eastAsia="zh-CN"/>
        </w:rPr>
        <w:t xml:space="preserve">填写印章齐全</w:t>
      </w:r>
      <w:r>
        <w:rPr>
          <w:rFonts w:hint="eastAsia" w:ascii="宋体" w:hAnsi="宋体" w:eastAsia="宋体" w:cs="宋体"/>
          <w:b w:val="0"/>
          <w:bCs w:val="0"/>
          <w:color w:val="auto"/>
          <w:sz w:val="24"/>
        </w:rPr>
        <w:t xml:space="preserve">）和受托人有效身份证（原件扫描</w:t>
      </w:r>
      <w:r>
        <w:rPr>
          <w:rFonts w:hint="eastAsia" w:ascii="宋体" w:hAnsi="宋体" w:cs="宋体"/>
          <w:b w:val="0"/>
          <w:bCs w:val="0"/>
          <w:color w:val="auto"/>
          <w:sz w:val="24"/>
          <w:lang w:val="en-US" w:eastAsia="zh-CN"/>
        </w:rPr>
        <w:t xml:space="preserve">上传加盖章</w:t>
      </w:r>
      <w:r>
        <w:rPr>
          <w:rFonts w:hint="eastAsia" w:ascii="宋体" w:hAnsi="宋体" w:eastAsia="宋体" w:cs="宋体"/>
          <w:b w:val="0"/>
          <w:bCs w:val="0"/>
          <w:color w:val="auto"/>
          <w:sz w:val="24"/>
        </w:rPr>
        <w:t xml:space="preserve">）。</w:t>
      </w:r>
      <w:r/>
    </w:p>
    <w:p>
      <w:pP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五</w:t>
      </w:r>
      <w:r>
        <w:rPr>
          <w:rFonts w:hint="eastAsia" w:ascii="宋体" w:hAnsi="宋体" w:cs="宋体"/>
          <w:color w:val="auto"/>
          <w:sz w:val="24"/>
          <w:lang w:eastAsia="zh-CN"/>
        </w:rPr>
        <w:t xml:space="preserve">）</w:t>
      </w:r>
      <w:r>
        <w:rPr>
          <w:rFonts w:hint="eastAsia" w:ascii="宋体" w:hAnsi="宋体" w:cs="宋体"/>
          <w:color w:val="auto"/>
          <w:sz w:val="24"/>
        </w:rPr>
        <w:t xml:space="preserve">本次项目不接受联合体</w:t>
      </w:r>
      <w:r>
        <w:rPr>
          <w:rFonts w:hint="eastAsia" w:ascii="宋体" w:hAnsi="宋体" w:cs="宋体"/>
          <w:color w:val="auto"/>
          <w:sz w:val="24"/>
          <w:lang w:eastAsia="zh-CN"/>
        </w:rPr>
        <w:t xml:space="preserve">投标人参加投标</w:t>
      </w:r>
      <w:r>
        <w:rPr>
          <w:rFonts w:hint="eastAsia" w:ascii="宋体" w:hAnsi="宋体" w:cs="宋体"/>
          <w:b/>
          <w:bCs/>
          <w:color w:val="auto"/>
          <w:sz w:val="24"/>
        </w:rPr>
        <w:t xml:space="preserve">（不是联合体即可）</w:t>
      </w:r>
      <w:r>
        <w:rPr>
          <w:rFonts w:hint="eastAsia" w:ascii="宋体" w:hAnsi="宋体" w:cs="宋体"/>
          <w:color w:val="auto"/>
          <w:sz w:val="24"/>
        </w:rPr>
        <w:t xml:space="preserve">。</w:t>
      </w:r>
      <w:r/>
    </w:p>
    <w:p>
      <w:pPr>
        <w:ind w:firstLine="47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注</w:t>
      </w:r>
      <w:r>
        <w:rPr>
          <w:rFonts w:hint="eastAsia" w:ascii="宋体" w:hAnsi="宋体" w:cs="宋体"/>
          <w:color w:val="auto"/>
          <w:sz w:val="24"/>
          <w:szCs w:val="24"/>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cs="宋体"/>
          <w:color w:val="auto"/>
          <w:sz w:val="24"/>
        </w:rPr>
      </w:pPr>
      <w:r/>
      <w:bookmarkStart w:id="29" w:name="_Toc27606_WPSOffice_Level1"/>
      <w:r>
        <w:rPr>
          <w:rFonts w:hint="eastAsia" w:ascii="宋体" w:hAnsi="宋体" w:cs="宋体"/>
          <w:color w:val="auto"/>
          <w:sz w:val="24"/>
          <w:lang w:val="en-US" w:eastAsia="zh-CN"/>
        </w:rPr>
        <w:t xml:space="preserve">1.</w:t>
      </w:r>
      <w:r>
        <w:rPr>
          <w:rFonts w:hint="eastAsia" w:ascii="宋体" w:hAnsi="宋体" w:cs="宋体"/>
          <w:color w:val="auto"/>
          <w:sz w:val="24"/>
        </w:rPr>
        <w:t xml:space="preserve">以上所有要求提供的证明材料在投标截止时间之前扫描件加盖公章</w:t>
      </w:r>
      <w:r>
        <w:rPr>
          <w:rFonts w:hint="eastAsia" w:ascii="宋体" w:hAnsi="宋体" w:cs="宋体"/>
          <w:color w:val="auto"/>
          <w:sz w:val="24"/>
          <w:lang w:eastAsia="zh-CN"/>
        </w:rPr>
        <w:t xml:space="preserve">（</w:t>
      </w:r>
      <w:r>
        <w:rPr>
          <w:rFonts w:hint="eastAsia" w:ascii="宋体" w:hAnsi="宋体" w:cs="宋体"/>
          <w:color w:val="auto"/>
          <w:sz w:val="24"/>
        </w:rPr>
        <w:t xml:space="preserve">电子公章</w:t>
      </w:r>
      <w:r>
        <w:rPr>
          <w:rFonts w:hint="eastAsia" w:ascii="宋体" w:hAnsi="宋体" w:cs="宋体"/>
          <w:color w:val="auto"/>
          <w:sz w:val="24"/>
          <w:lang w:eastAsia="zh-CN"/>
        </w:rPr>
        <w:t xml:space="preserve">）</w:t>
      </w:r>
      <w:r>
        <w:rPr>
          <w:rFonts w:hint="eastAsia" w:ascii="宋体" w:hAnsi="宋体" w:cs="宋体"/>
          <w:color w:val="auto"/>
          <w:sz w:val="24"/>
        </w:rPr>
        <w:t xml:space="preserve">上传，用投标文件制作工具制作并生成上传至苏采云平台，纸质文件不作为审查对象。如电子投标文件无法查阅上述所要求提供</w:t>
      </w:r>
      <w:r>
        <w:rPr>
          <w:rFonts w:hint="eastAsia" w:ascii="宋体" w:hAnsi="宋体" w:cs="宋体"/>
          <w:color w:val="auto"/>
          <w:sz w:val="24"/>
          <w:lang w:eastAsia="zh-CN"/>
        </w:rPr>
        <w:t xml:space="preserve">的证</w:t>
      </w:r>
      <w:r>
        <w:rPr>
          <w:rFonts w:hint="eastAsia" w:ascii="宋体" w:hAnsi="宋体" w:cs="宋体"/>
          <w:color w:val="auto"/>
          <w:sz w:val="24"/>
        </w:rPr>
        <w:t xml:space="preserve">明材料的评审小组将以未提供证明材料取消其继续参加评审的资格。</w:t>
      </w:r>
      <w:r/>
    </w:p>
    <w:p>
      <w:pPr>
        <w:numPr>
          <w:ilvl w:val="0"/>
          <w:numId w:val="0"/>
        </w:numPr>
        <w:ind w:firstLine="480"/>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lang w:val="en-US" w:eastAsia="zh-CN"/>
        </w:rPr>
        <w:t xml:space="preserve">2.</w:t>
      </w:r>
      <w:r>
        <w:rPr>
          <w:rFonts w:hint="eastAsia" w:ascii="宋体" w:hAnsi="宋体" w:cs="宋体"/>
          <w:color w:val="auto"/>
          <w:sz w:val="24"/>
        </w:rPr>
        <w:t xml:space="preserve">投标人</w:t>
      </w:r>
      <w:r>
        <w:rPr>
          <w:rFonts w:hint="eastAsia" w:ascii="宋体" w:hAnsi="宋体" w:cs="宋体"/>
          <w:color w:val="auto"/>
          <w:sz w:val="24"/>
          <w:lang w:eastAsia="zh-CN"/>
        </w:rPr>
        <w:t xml:space="preserve">所提</w:t>
      </w:r>
      <w:r>
        <w:rPr>
          <w:rFonts w:hint="eastAsia" w:ascii="宋体" w:hAnsi="宋体" w:cs="宋体"/>
          <w:color w:val="auto"/>
          <w:sz w:val="24"/>
        </w:rPr>
        <w:t xml:space="preserve">供的资格证明材料应真实、有效，招标人保留对投标人提供的资格证明材料进行核查的权利。如发现投标人提供虚假资格证明材料，</w:t>
      </w:r>
      <w:r>
        <w:rPr>
          <w:rFonts w:hint="eastAsia" w:ascii="宋体" w:hAnsi="宋体" w:cs="宋体"/>
          <w:b w:val="0"/>
          <w:bCs w:val="0"/>
          <w:color w:val="auto"/>
          <w:sz w:val="24"/>
          <w:szCs w:val="24"/>
        </w:rPr>
        <w:t xml:space="preserve">履约保证金将不予退还，招标人有权终止合同。</w:t>
      </w:r>
      <w:r/>
    </w:p>
    <w:p>
      <w:pPr>
        <w:numPr>
          <w:ilvl w:val="0"/>
          <w:numId w:val="0"/>
        </w:numPr>
        <w:ind w:firstLine="480"/>
        <w:jc w:val="left"/>
        <w:keepNext w:val="0"/>
        <w:pageBreakBefore w:val="0"/>
        <w:spacing w:line="360" w:lineRule="auto"/>
        <w:widowControl/>
        <w:rPr>
          <w:rFonts w:hint="eastAsia" w:ascii="宋体" w:hAnsi="宋体" w:cs="宋体"/>
          <w:color w:val="auto"/>
          <w:sz w:val="24"/>
        </w:rPr>
      </w:pPr>
      <w:r>
        <w:rPr>
          <w:rFonts w:hint="eastAsia" w:ascii="宋体" w:hAnsi="宋体" w:cs="宋体"/>
          <w:color w:val="auto"/>
          <w:sz w:val="24"/>
          <w:lang w:val="en-US" w:eastAsia="zh-CN"/>
        </w:rPr>
        <w:t xml:space="preserve">3.</w:t>
      </w:r>
      <w:r>
        <w:rPr>
          <w:rFonts w:hint="eastAsia" w:ascii="宋体" w:hAnsi="宋体" w:cs="宋体"/>
          <w:color w:val="auto"/>
          <w:sz w:val="24"/>
        </w:rPr>
        <w:t xml:space="preserve">上述相关原件，中标人必须在签订合同时提交</w:t>
      </w:r>
      <w:r>
        <w:rPr>
          <w:rFonts w:hint="eastAsia" w:ascii="宋体" w:hAnsi="宋体" w:cs="宋体"/>
          <w:color w:val="auto"/>
          <w:sz w:val="24"/>
          <w:lang w:eastAsia="zh-CN"/>
        </w:rPr>
        <w:t xml:space="preserve">招标人</w:t>
      </w:r>
      <w:r>
        <w:rPr>
          <w:rFonts w:hint="eastAsia" w:ascii="宋体" w:hAnsi="宋体" w:cs="宋体"/>
          <w:color w:val="auto"/>
          <w:sz w:val="24"/>
        </w:rPr>
        <w:t xml:space="preserve">审查，中标投标人未能提供上述所有原件的，则取消其中标资格。</w:t>
      </w:r>
      <w:r/>
    </w:p>
    <w:p>
      <w:pPr>
        <w:numPr>
          <w:ilvl w:val="0"/>
          <w:numId w:val="0"/>
        </w:numPr>
        <w:jc w:val="left"/>
        <w:keepNext w:val="0"/>
        <w:pageBreakBefore w:val="0"/>
        <w:spacing w:line="360" w:lineRule="auto"/>
        <w:widowControl/>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 xml:space="preserve">九</w:t>
      </w:r>
      <w:r>
        <w:rPr>
          <w:rFonts w:hint="eastAsia" w:ascii="宋体" w:hAnsi="宋体" w:eastAsia="宋体" w:cs="宋体"/>
          <w:b/>
          <w:bCs/>
          <w:color w:val="auto"/>
          <w:sz w:val="28"/>
          <w:szCs w:val="28"/>
          <w:lang w:val="en-US" w:eastAsia="zh-CN"/>
        </w:rPr>
        <w:t xml:space="preserve">、</w:t>
      </w:r>
      <w:r>
        <w:rPr>
          <w:rFonts w:hint="eastAsia" w:ascii="宋体" w:hAnsi="宋体" w:eastAsia="宋体" w:cs="宋体"/>
          <w:b/>
          <w:bCs/>
          <w:color w:val="auto"/>
          <w:sz w:val="28"/>
          <w:szCs w:val="28"/>
        </w:rPr>
        <w:t xml:space="preserve">涉及无效</w:t>
      </w:r>
      <w:r>
        <w:rPr>
          <w:rFonts w:hint="eastAsia" w:ascii="宋体" w:hAnsi="宋体" w:cs="宋体"/>
          <w:b/>
          <w:bCs/>
          <w:color w:val="auto"/>
          <w:sz w:val="28"/>
          <w:szCs w:val="28"/>
          <w:lang w:eastAsia="zh-CN"/>
        </w:rPr>
        <w:t xml:space="preserve">投标文件</w:t>
      </w:r>
      <w:r>
        <w:rPr>
          <w:rFonts w:hint="eastAsia" w:ascii="宋体" w:hAnsi="宋体" w:eastAsia="宋体" w:cs="宋体"/>
          <w:b/>
          <w:bCs/>
          <w:color w:val="auto"/>
          <w:sz w:val="28"/>
          <w:szCs w:val="28"/>
        </w:rPr>
        <w:t xml:space="preserve">条款中</w:t>
      </w:r>
      <w:r>
        <w:rPr>
          <w:rFonts w:hint="eastAsia" w:ascii="宋体" w:hAnsi="宋体" w:cs="宋体"/>
          <w:b/>
          <w:bCs/>
          <w:color w:val="auto"/>
          <w:sz w:val="28"/>
          <w:szCs w:val="28"/>
          <w:lang w:eastAsia="zh-CN"/>
        </w:rPr>
        <w:t xml:space="preserve">投标人</w:t>
      </w:r>
      <w:r>
        <w:rPr>
          <w:rFonts w:hint="eastAsia" w:ascii="宋体" w:hAnsi="宋体" w:eastAsia="宋体" w:cs="宋体"/>
          <w:b/>
          <w:bCs/>
          <w:color w:val="auto"/>
          <w:sz w:val="28"/>
          <w:szCs w:val="28"/>
        </w:rPr>
        <w:t xml:space="preserve">必须提供的证明文件</w:t>
      </w:r>
      <w:bookmarkEnd w:id="29"/>
      <w:r/>
      <w:r/>
    </w:p>
    <w:p>
      <w:pPr>
        <w:numPr>
          <w:ilvl w:val="0"/>
          <w:numId w:val="0"/>
        </w:numPr>
        <w:jc w:val="left"/>
        <w:keepNext w:val="0"/>
        <w:pageBreakBefore w:val="0"/>
        <w:spacing w:line="360" w:lineRule="auto"/>
        <w:widowControl/>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（投标人参加投标时，按照招标文件相关要求提供材料）</w:t>
      </w:r>
      <w:r/>
    </w:p>
    <w:p>
      <w:pPr>
        <w:numPr>
          <w:ilvl w:val="0"/>
          <w:numId w:val="10"/>
        </w:numPr>
        <w:jc w:val="left"/>
        <w:keepNext w:val="0"/>
        <w:pageBreakBefore w:val="0"/>
        <w:spacing w:line="360" w:lineRule="auto"/>
        <w:widowControl/>
        <w:rPr>
          <w:rFonts w:hint="eastAsia" w:ascii="宋体" w:hAnsi="宋体" w:eastAsia="宋体" w:cs="宋体"/>
          <w:b/>
          <w:bCs/>
          <w:color w:val="auto"/>
          <w:sz w:val="28"/>
          <w:szCs w:val="28"/>
        </w:rPr>
      </w:pPr>
      <w:r/>
      <w:bookmarkStart w:id="30" w:name="_Toc19257_WPSOffice_Level1"/>
      <w:r>
        <w:rPr>
          <w:rFonts w:hint="eastAsia" w:ascii="宋体" w:hAnsi="宋体" w:eastAsia="宋体" w:cs="宋体"/>
          <w:b/>
          <w:bCs/>
          <w:color w:val="auto"/>
          <w:sz w:val="28"/>
          <w:szCs w:val="28"/>
        </w:rPr>
        <w:t xml:space="preserve">最终价格评审时</w:t>
      </w:r>
      <w:r>
        <w:rPr>
          <w:rFonts w:hint="eastAsia" w:ascii="宋体" w:hAnsi="宋体" w:cs="宋体"/>
          <w:b/>
          <w:bCs/>
          <w:color w:val="auto"/>
          <w:sz w:val="28"/>
          <w:szCs w:val="28"/>
          <w:lang w:eastAsia="zh-CN"/>
        </w:rPr>
        <w:t xml:space="preserve">投标人</w:t>
      </w:r>
      <w:r>
        <w:rPr>
          <w:rFonts w:hint="eastAsia" w:ascii="宋体" w:hAnsi="宋体" w:eastAsia="宋体" w:cs="宋体"/>
          <w:b/>
          <w:bCs/>
          <w:color w:val="auto"/>
          <w:sz w:val="28"/>
          <w:szCs w:val="28"/>
        </w:rPr>
        <w:t xml:space="preserve">需提供的证明文件</w:t>
      </w:r>
      <w:bookmarkEnd w:id="30"/>
      <w:r/>
      <w:r/>
    </w:p>
    <w:p>
      <w:pPr>
        <w:numPr>
          <w:ilvl w:val="0"/>
          <w:numId w:val="0"/>
        </w:numPr>
        <w:jc w:val="left"/>
        <w:keepNext w:val="0"/>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（请投标人仔细阅读招标文件 评标办法及评分细则）</w:t>
      </w:r>
      <w:r/>
    </w:p>
    <w:p>
      <w:pPr>
        <w:jc w:val="left"/>
        <w:keepNext w:val="0"/>
        <w:pageBreakBefore w:val="0"/>
        <w:spacing w:line="360" w:lineRule="auto"/>
        <w:widowControl/>
        <w:rPr>
          <w:rFonts w:hint="eastAsia" w:ascii="宋体" w:hAnsi="宋体" w:eastAsia="宋体" w:cs="宋体"/>
          <w:b/>
          <w:bCs/>
          <w:color w:val="auto"/>
          <w:sz w:val="28"/>
          <w:szCs w:val="28"/>
        </w:rPr>
      </w:pPr>
      <w:r/>
      <w:bookmarkStart w:id="31" w:name="_Toc24951_WPSOffice_Level1"/>
      <w:r>
        <w:rPr>
          <w:rFonts w:hint="eastAsia" w:ascii="宋体" w:hAnsi="宋体" w:cs="宋体"/>
          <w:b/>
          <w:bCs/>
          <w:color w:val="auto"/>
          <w:sz w:val="28"/>
          <w:szCs w:val="28"/>
          <w:lang w:val="en-US" w:eastAsia="zh-CN"/>
        </w:rPr>
        <w:t xml:space="preserve">十一</w:t>
      </w:r>
      <w:r>
        <w:rPr>
          <w:rFonts w:hint="eastAsia" w:ascii="宋体" w:hAnsi="宋体" w:eastAsia="宋体" w:cs="宋体"/>
          <w:b/>
          <w:bCs/>
          <w:color w:val="auto"/>
          <w:sz w:val="28"/>
          <w:szCs w:val="28"/>
        </w:rPr>
        <w:t xml:space="preserve">、</w:t>
      </w:r>
      <w:r>
        <w:rPr>
          <w:rFonts w:hint="eastAsia" w:ascii="宋体" w:hAnsi="宋体" w:cs="宋体"/>
          <w:b/>
          <w:bCs/>
          <w:color w:val="auto"/>
          <w:sz w:val="28"/>
          <w:szCs w:val="28"/>
          <w:lang w:eastAsia="zh-CN"/>
        </w:rPr>
        <w:t xml:space="preserve">投标人</w:t>
      </w:r>
      <w:r>
        <w:rPr>
          <w:rFonts w:hint="eastAsia" w:ascii="宋体" w:hAnsi="宋体" w:eastAsia="宋体" w:cs="宋体"/>
          <w:b/>
          <w:bCs/>
          <w:color w:val="auto"/>
          <w:sz w:val="28"/>
          <w:szCs w:val="28"/>
        </w:rPr>
        <w:t xml:space="preserve">认为有必要提供并说明的</w:t>
      </w:r>
      <w:r>
        <w:rPr>
          <w:rFonts w:hint="eastAsia" w:ascii="宋体" w:hAnsi="宋体" w:cs="宋体"/>
          <w:b/>
          <w:bCs/>
          <w:color w:val="auto"/>
          <w:sz w:val="28"/>
          <w:szCs w:val="28"/>
          <w:lang w:eastAsia="zh-CN"/>
        </w:rPr>
        <w:t xml:space="preserve">其他</w:t>
      </w:r>
      <w:r>
        <w:rPr>
          <w:rFonts w:hint="eastAsia" w:ascii="宋体" w:hAnsi="宋体" w:eastAsia="宋体" w:cs="宋体"/>
          <w:b/>
          <w:bCs/>
          <w:color w:val="auto"/>
          <w:sz w:val="28"/>
          <w:szCs w:val="28"/>
        </w:rPr>
        <w:t xml:space="preserve">资料</w:t>
      </w:r>
      <w:bookmarkEnd w:id="31"/>
      <w:r/>
      <w:r/>
    </w:p>
    <w:p>
      <w:pPr>
        <w:jc w:val="left"/>
        <w:keepNext w:val="0"/>
        <w:pageBreakBefore w:val="0"/>
        <w:spacing w:line="360" w:lineRule="auto"/>
        <w:widowControl/>
        <w:rPr>
          <w:rFonts w:hint="eastAsia" w:ascii="宋体" w:hAnsi="宋体" w:eastAsia="宋体" w:cs="宋体"/>
          <w:b/>
          <w:color w:val="auto"/>
          <w:sz w:val="28"/>
          <w:szCs w:val="28"/>
        </w:rPr>
      </w:pPr>
      <w:r>
        <w:rPr>
          <w:rFonts w:hint="eastAsia" w:ascii="宋体" w:hAnsi="宋体" w:eastAsia="宋体" w:cs="宋体"/>
          <w:color w:val="auto"/>
          <w:sz w:val="28"/>
          <w:szCs w:val="28"/>
        </w:rPr>
        <w:t xml:space="preserve">（格式由投标人自定，加盖投标人公章</w:t>
      </w:r>
      <w:r>
        <w:rPr>
          <w:rFonts w:hint="eastAsia" w:ascii="宋体" w:hAnsi="宋体" w:eastAsia="宋体" w:cs="宋体"/>
          <w:color w:val="auto"/>
          <w:sz w:val="28"/>
          <w:szCs w:val="28"/>
          <w:lang w:eastAsia="zh-CN"/>
        </w:rPr>
        <w:t xml:space="preserve">）</w:t>
      </w:r>
      <w:r/>
    </w:p>
    <w:p>
      <w:pPr>
        <w:jc w:val="center"/>
        <w:keepNext w:val="0"/>
        <w:pageBreakBefore w:val="0"/>
        <w:spacing w:line="360" w:lineRule="auto"/>
        <w:rPr>
          <w:rFonts w:hint="eastAsia" w:ascii="宋体" w:hAnsi="宋体" w:eastAsia="宋体" w:cs="宋体"/>
          <w:color w:val="auto"/>
          <w:sz w:val="32"/>
          <w:szCs w:val="32"/>
        </w:rPr>
      </w:pPr>
      <w:r/>
      <w:bookmarkStart w:id="32" w:name="_Toc27261_WPSOffice_Level1"/>
      <w:r>
        <w:rPr>
          <w:rFonts w:hint="eastAsia" w:ascii="宋体" w:hAnsi="宋体" w:eastAsia="宋体" w:cs="宋体"/>
          <w:b/>
          <w:color w:val="auto"/>
          <w:sz w:val="28"/>
          <w:szCs w:val="28"/>
        </w:rPr>
        <w:br w:type="page" w:clear="all"/>
      </w:r>
      <w:r>
        <w:rPr>
          <w:rFonts w:hint="eastAsia" w:ascii="宋体" w:hAnsi="宋体" w:cs="宋体"/>
          <w:b/>
          <w:color w:val="auto"/>
          <w:sz w:val="32"/>
          <w:szCs w:val="32"/>
          <w:lang w:val="en-US" w:eastAsia="zh-CN"/>
        </w:rPr>
        <w:t xml:space="preserve">十二</w:t>
      </w:r>
      <w:r>
        <w:rPr>
          <w:rFonts w:hint="eastAsia" w:ascii="宋体" w:hAnsi="宋体" w:eastAsia="宋体" w:cs="宋体"/>
          <w:b/>
          <w:color w:val="auto"/>
          <w:sz w:val="32"/>
          <w:szCs w:val="32"/>
        </w:rPr>
        <w:t xml:space="preserve">、示范格式</w:t>
      </w:r>
      <w:bookmarkEnd w:id="32"/>
      <w:r/>
      <w:r/>
    </w:p>
    <w:p>
      <w:pPr>
        <w:keepNext w:val="0"/>
        <w:pageBreakBefore w:val="0"/>
        <w:spacing w:line="360" w:lineRule="auto"/>
        <w:rPr>
          <w:rFonts w:hint="eastAsia" w:ascii="宋体" w:hAnsi="宋体" w:eastAsia="宋体" w:cs="宋体"/>
          <w:b/>
          <w:bCs/>
          <w:color w:val="auto"/>
          <w:sz w:val="36"/>
          <w:szCs w:val="36"/>
        </w:rPr>
      </w:pPr>
      <w:r/>
      <w:bookmarkStart w:id="33" w:name="_Toc29021_WPSOffice_Level1"/>
      <w:r>
        <w:rPr>
          <w:rFonts w:hint="eastAsia" w:ascii="宋体" w:hAnsi="宋体" w:eastAsia="宋体" w:cs="宋体"/>
          <w:b w:val="0"/>
          <w:bCs/>
          <w:color w:val="auto"/>
          <w:sz w:val="28"/>
          <w:szCs w:val="28"/>
        </w:rPr>
        <w:t xml:space="preserve">示范格式一</w:t>
      </w:r>
      <w:bookmarkEnd w:id="33"/>
      <w:r/>
      <w:r/>
    </w:p>
    <w:p>
      <w:pPr>
        <w:jc w:val="center"/>
        <w:keepNext w:val="0"/>
        <w:pageBreakBefore w:val="0"/>
        <w:spacing w:line="360" w:lineRule="auto"/>
        <w:rPr>
          <w:rFonts w:hint="eastAsia" w:ascii="宋体" w:hAnsi="宋体" w:eastAsia="宋体" w:cs="宋体"/>
          <w:color w:val="auto"/>
          <w:sz w:val="24"/>
          <w:szCs w:val="24"/>
          <w:lang w:val="zh-CN"/>
        </w:rPr>
      </w:pPr>
      <w:r/>
      <w:bookmarkStart w:id="34" w:name="_Toc10072_WPSOffice_Level1"/>
      <w:r>
        <w:rPr>
          <w:rFonts w:hint="eastAsia" w:ascii="宋体" w:hAnsi="宋体" w:eastAsia="宋体" w:cs="宋体"/>
          <w:b/>
          <w:bCs/>
          <w:color w:val="auto"/>
          <w:sz w:val="32"/>
          <w:szCs w:val="32"/>
        </w:rPr>
        <w:t xml:space="preserve">法定代表人资格证明</w:t>
      </w:r>
      <w:bookmarkEnd w:id="34"/>
      <w:r/>
      <w:r/>
    </w:p>
    <w:p>
      <w:pPr>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单位名称</w:t>
      </w:r>
      <w:r>
        <w:rPr>
          <w:rFonts w:hint="eastAsia" w:ascii="宋体" w:hAnsi="宋体" w:cs="宋体"/>
          <w:color w:val="auto"/>
          <w:sz w:val="24"/>
          <w:szCs w:val="24"/>
          <w:lang w:val="zh-CN"/>
        </w:rPr>
        <w:t xml:space="preserve">：</w:t>
      </w:r>
      <w:r/>
    </w:p>
    <w:p>
      <w:pPr>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地址</w:t>
      </w:r>
      <w:r>
        <w:rPr>
          <w:rFonts w:hint="eastAsia" w:ascii="宋体" w:hAnsi="宋体" w:cs="宋体"/>
          <w:color w:val="auto"/>
          <w:sz w:val="24"/>
          <w:szCs w:val="24"/>
          <w:lang w:val="zh-CN"/>
        </w:rPr>
        <w:t xml:space="preserve">：</w:t>
      </w:r>
      <w:r/>
    </w:p>
    <w:p>
      <w:pPr>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姓名</w:t>
      </w:r>
      <w:r>
        <w:rPr>
          <w:rFonts w:hint="eastAsia" w:ascii="宋体" w:hAnsi="宋体" w:cs="宋体"/>
          <w:color w:val="auto"/>
          <w:sz w:val="24"/>
          <w:szCs w:val="24"/>
          <w:lang w:val="zh-CN"/>
        </w:rPr>
        <w:t xml:space="preserve">：</w:t>
      </w:r>
      <w:r>
        <w:rPr>
          <w:rFonts w:hint="eastAsia" w:ascii="宋体" w:hAnsi="宋体" w:eastAsia="宋体" w:cs="宋体"/>
          <w:color w:val="auto"/>
          <w:sz w:val="24"/>
          <w:szCs w:val="24"/>
          <w:lang w:val="zh-CN"/>
        </w:rPr>
        <w:t xml:space="preserve">       性别</w:t>
      </w:r>
      <w:r>
        <w:rPr>
          <w:rFonts w:hint="eastAsia" w:ascii="宋体" w:hAnsi="宋体" w:cs="宋体"/>
          <w:color w:val="auto"/>
          <w:sz w:val="24"/>
          <w:szCs w:val="24"/>
          <w:lang w:val="zh-CN"/>
        </w:rPr>
        <w:t xml:space="preserve">：</w:t>
      </w:r>
      <w:r>
        <w:rPr>
          <w:rFonts w:hint="eastAsia" w:ascii="宋体" w:hAnsi="宋体" w:eastAsia="宋体" w:cs="宋体"/>
          <w:color w:val="auto"/>
          <w:sz w:val="24"/>
          <w:szCs w:val="24"/>
          <w:lang w:val="zh-CN"/>
        </w:rPr>
        <w:t xml:space="preserve">      年龄</w:t>
      </w:r>
      <w:r>
        <w:rPr>
          <w:rFonts w:hint="eastAsia" w:ascii="宋体" w:hAnsi="宋体" w:cs="宋体"/>
          <w:color w:val="auto"/>
          <w:sz w:val="24"/>
          <w:szCs w:val="24"/>
          <w:lang w:val="zh-CN"/>
        </w:rPr>
        <w:t xml:space="preserve">：</w:t>
      </w:r>
      <w:r>
        <w:rPr>
          <w:rFonts w:hint="eastAsia" w:ascii="宋体" w:hAnsi="宋体" w:eastAsia="宋体" w:cs="宋体"/>
          <w:color w:val="auto"/>
          <w:sz w:val="24"/>
          <w:szCs w:val="24"/>
          <w:lang w:val="zh-CN"/>
        </w:rPr>
        <w:t xml:space="preserve">      职务</w:t>
      </w:r>
      <w:r>
        <w:rPr>
          <w:rFonts w:hint="eastAsia" w:ascii="宋体" w:hAnsi="宋体" w:cs="宋体"/>
          <w:color w:val="auto"/>
          <w:sz w:val="24"/>
          <w:szCs w:val="24"/>
          <w:lang w:val="zh-CN"/>
        </w:rPr>
        <w:t xml:space="preserve">：</w:t>
      </w:r>
      <w:r/>
    </w:p>
    <w:p>
      <w:pPr>
        <w:ind w:left="1" w:firstLine="48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ind w:left="1" w:firstLine="48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系</w:t>
      </w:r>
      <w:r>
        <w:rPr>
          <w:rFonts w:hint="eastAsia" w:ascii="宋体" w:hAnsi="宋体" w:eastAsia="宋体" w:cs="宋体"/>
          <w:color w:val="auto"/>
          <w:sz w:val="24"/>
          <w:szCs w:val="24"/>
          <w:u w:val="single"/>
          <w:lang w:val="zh-CN"/>
        </w:rPr>
        <w:t xml:space="preserve"> （</w:t>
      </w:r>
      <w:r>
        <w:rPr>
          <w:rFonts w:hint="eastAsia" w:ascii="宋体" w:hAnsi="宋体" w:cs="宋体"/>
          <w:color w:val="auto"/>
          <w:sz w:val="24"/>
          <w:szCs w:val="24"/>
          <w:u w:val="single"/>
          <w:lang w:val="zh-CN"/>
        </w:rPr>
        <w:t xml:space="preserve">投标人</w:t>
      </w:r>
      <w:r>
        <w:rPr>
          <w:rFonts w:hint="eastAsia" w:ascii="宋体" w:hAnsi="宋体" w:eastAsia="宋体" w:cs="宋体"/>
          <w:color w:val="auto"/>
          <w:sz w:val="24"/>
          <w:szCs w:val="24"/>
          <w:u w:val="single"/>
          <w:lang w:val="zh-CN"/>
        </w:rPr>
        <w:t xml:space="preserve">名称）</w:t>
      </w:r>
      <w:r>
        <w:rPr>
          <w:rFonts w:hint="eastAsia" w:ascii="宋体" w:hAnsi="宋体" w:eastAsia="宋体" w:cs="宋体"/>
          <w:color w:val="auto"/>
          <w:sz w:val="24"/>
          <w:szCs w:val="24"/>
          <w:lang w:val="zh-CN"/>
        </w:rPr>
        <w:t xml:space="preserve">的法定代表人。</w:t>
      </w:r>
      <w:r>
        <w:rPr>
          <w:rFonts w:hint="eastAsia" w:ascii="宋体" w:hAnsi="宋体" w:eastAsia="宋体" w:cs="宋体"/>
          <w:color w:val="auto"/>
          <w:sz w:val="24"/>
          <w:szCs w:val="24"/>
        </w:rPr>
        <w:t xml:space="preserve">为参与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项目，签署上述项目的投标文件、进行招标</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签署合同和处理与之有关的一切事宜。</w:t>
      </w:r>
      <w:r/>
    </w:p>
    <w:p>
      <w:pPr>
        <w:ind w:firstLine="48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ind w:firstLine="48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特此证明。</w:t>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ind w:firstLine="5280"/>
        <w:jc w:val="both"/>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（加盖公章）</w:t>
      </w:r>
      <w:r>
        <w:rPr>
          <w:rFonts w:hint="eastAsia" w:ascii="宋体" w:hAnsi="宋体" w:cs="宋体"/>
          <w:color w:val="auto"/>
          <w:sz w:val="24"/>
          <w:szCs w:val="24"/>
          <w:u w:val="single"/>
          <w:lang w:val="en-US" w:eastAsia="zh-CN"/>
        </w:rPr>
        <w:t xml:space="preserve">   </w:t>
      </w:r>
      <w:r/>
    </w:p>
    <w:p>
      <w:pPr>
        <w:ind w:firstLine="528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ind w:firstLine="2736"/>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907"/>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907"/>
        <w:keepNext w:val="0"/>
        <w:pageBreakBefore w:val="0"/>
        <w:spacing w:line="360" w:lineRule="auto"/>
        <w:rPr>
          <w:rFonts w:hint="eastAsia" w:ascii="宋体" w:hAnsi="宋体" w:eastAsia="宋体" w:cs="宋体"/>
          <w:b w:val="0"/>
          <w:bCs/>
          <w:color w:val="auto"/>
          <w:sz w:val="28"/>
          <w:szCs w:val="28"/>
          <w:u w:val="single"/>
        </w:rPr>
      </w:pPr>
      <w:r/>
      <w:bookmarkStart w:id="35" w:name="_Toc21571_WPSOffice_Level1"/>
      <w:r>
        <w:rPr>
          <w:rFonts w:hint="eastAsia" w:ascii="宋体" w:hAnsi="宋体" w:eastAsia="宋体" w:cs="宋体"/>
          <w:b/>
          <w:color w:val="auto"/>
          <w:sz w:val="24"/>
          <w:szCs w:val="24"/>
        </w:rPr>
        <w:br w:type="page" w:clear="all"/>
      </w:r>
      <w:r>
        <w:rPr>
          <w:rFonts w:hint="eastAsia" w:ascii="宋体" w:hAnsi="宋体" w:eastAsia="宋体" w:cs="宋体"/>
          <w:b w:val="0"/>
          <w:bCs/>
          <w:color w:val="auto"/>
          <w:sz w:val="28"/>
          <w:szCs w:val="28"/>
        </w:rPr>
        <w:t xml:space="preserve">示范格式二</w:t>
      </w:r>
      <w:bookmarkEnd w:id="35"/>
      <w:r/>
      <w:r/>
    </w:p>
    <w:p>
      <w:pPr>
        <w:jc w:val="center"/>
        <w:keepNext w:val="0"/>
        <w:pageBreakBefore w:val="0"/>
        <w:spacing w:line="360" w:lineRule="auto"/>
        <w:rPr>
          <w:rFonts w:hint="eastAsia" w:ascii="宋体" w:hAnsi="宋体" w:eastAsia="宋体" w:cs="宋体"/>
          <w:b/>
          <w:bCs/>
          <w:color w:val="auto"/>
          <w:sz w:val="32"/>
          <w:szCs w:val="32"/>
        </w:rPr>
      </w:pPr>
      <w:r/>
      <w:bookmarkStart w:id="36" w:name="_Toc5342_WPSOffice_Level1"/>
      <w:r>
        <w:rPr>
          <w:rFonts w:hint="eastAsia" w:ascii="宋体" w:hAnsi="宋体" w:eastAsia="宋体" w:cs="宋体"/>
          <w:b/>
          <w:bCs/>
          <w:color w:val="auto"/>
          <w:sz w:val="32"/>
          <w:szCs w:val="32"/>
        </w:rPr>
        <w:t xml:space="preserve">授权委托书</w:t>
      </w:r>
      <w:bookmarkEnd w:id="36"/>
      <w:r/>
      <w:r/>
    </w:p>
    <w:p>
      <w:pPr>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keepNext w:val="0"/>
        <w:pageBreakBefore w:val="0"/>
        <w:spacing w:line="360" w:lineRule="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lang w:val="en-US" w:eastAsia="zh-CN"/>
        </w:rPr>
        <w:t xml:space="preserve">招标人名称</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rPr>
        <w:t xml:space="preserve">  </w:t>
      </w:r>
      <w:r>
        <w:rPr>
          <w:rFonts w:hint="eastAsia" w:ascii="宋体" w:hAnsi="宋体" w:cs="宋体"/>
          <w:bCs/>
          <w:color w:val="auto"/>
          <w:sz w:val="24"/>
          <w:szCs w:val="24"/>
          <w:lang w:eastAsia="zh-CN"/>
        </w:rPr>
        <w:t xml:space="preserve">：</w:t>
      </w:r>
      <w:r/>
    </w:p>
    <w:p>
      <w:pPr>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本授权书宣告</w:t>
      </w:r>
      <w:r>
        <w:rPr>
          <w:rFonts w:hint="eastAsia" w:ascii="宋体" w:hAnsi="宋体" w:cs="宋体"/>
          <w:color w:val="auto"/>
          <w:sz w:val="24"/>
          <w:szCs w:val="24"/>
          <w:lang w:eastAsia="zh-CN"/>
        </w:rPr>
        <w:t xml:space="preserve">：</w:t>
      </w:r>
      <w:r/>
    </w:p>
    <w:p>
      <w:pPr>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委托方</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地址</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p>
    <w:p>
      <w:pPr>
        <w:keepNext w:val="0"/>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法定代表人</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p>
    <w:p>
      <w:pPr>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受托人</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姓名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性别</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出生日期</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所在单位</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职务</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p>
    <w:p>
      <w:pPr>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身份证</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联系方式</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兹委托受托人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代表我公司参加</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lang w:val="en-US" w:eastAsia="zh-CN"/>
        </w:rPr>
        <w:t xml:space="preserve">招标人名称</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组织的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lang w:val="en-US" w:eastAsia="zh-CN"/>
        </w:rPr>
        <w:t xml:space="preserve">项目名称</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（项目编</w:t>
      </w:r>
      <w:r>
        <w:rPr>
          <w:rFonts w:hint="eastAsia" w:ascii="宋体" w:hAnsi="宋体" w:eastAsia="宋体" w:cs="宋体"/>
          <w:color w:val="auto"/>
          <w:sz w:val="24"/>
          <w:szCs w:val="24"/>
          <w:highlight w:val="none"/>
        </w:rPr>
        <w:t xml:space="preserve">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highlight w:val="none"/>
        </w:rPr>
        <w:t xml:space="preserve">）采购项目的政府采购活动，受托人有权在该招标活动中，以我单位的名义签署投标函和投标文件，与招标人协商、澄清、解释，签订合同书并执行一切与此有关的事项。</w:t>
      </w:r>
      <w:r/>
    </w:p>
    <w:p>
      <w:pPr>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受托人在办理上述事宜过程中以其自己的名义所签署的所有文件我公司均</w:t>
      </w:r>
      <w:r>
        <w:rPr>
          <w:rFonts w:hint="eastAsia" w:ascii="宋体" w:hAnsi="宋体" w:cs="宋体"/>
          <w:color w:val="auto"/>
          <w:sz w:val="24"/>
          <w:szCs w:val="24"/>
          <w:lang w:eastAsia="zh-CN"/>
        </w:rPr>
        <w:t xml:space="preserve">予以</w:t>
      </w:r>
      <w:r>
        <w:rPr>
          <w:rFonts w:hint="eastAsia" w:ascii="宋体" w:hAnsi="宋体" w:eastAsia="宋体" w:cs="宋体"/>
          <w:color w:val="auto"/>
          <w:sz w:val="24"/>
          <w:szCs w:val="24"/>
        </w:rPr>
        <w:t xml:space="preserve">承认。受</w:t>
      </w:r>
      <w:r/>
    </w:p>
    <w:p>
      <w:pPr>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托人无转委托权。</w:t>
      </w:r>
      <w:r/>
    </w:p>
    <w:p>
      <w:pPr>
        <w:ind w:firstLine="48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委托期限</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至上述事宜处理完毕止。</w:t>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ind w:firstLine="5760"/>
        <w:jc w:val="both"/>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（加盖公章）</w:t>
      </w:r>
      <w:r>
        <w:rPr>
          <w:rFonts w:hint="eastAsia" w:ascii="宋体" w:hAnsi="宋体" w:cs="宋体"/>
          <w:color w:val="auto"/>
          <w:sz w:val="24"/>
          <w:szCs w:val="24"/>
          <w:u w:val="single"/>
          <w:lang w:val="en-US" w:eastAsia="zh-CN"/>
        </w:rPr>
        <w:t xml:space="preserve">   </w:t>
      </w:r>
      <w:r/>
    </w:p>
    <w:p>
      <w:pPr>
        <w:ind w:firstLine="576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 </w:t>
      </w:r>
      <w:r/>
    </w:p>
    <w:p>
      <w:pPr>
        <w:rPr>
          <w:rFonts w:hint="eastAsia" w:ascii="宋体" w:hAnsi="宋体" w:eastAsia="宋体" w:cs="宋体"/>
          <w:b/>
          <w:color w:val="auto"/>
          <w:sz w:val="32"/>
        </w:rPr>
      </w:pPr>
      <w:r/>
      <w:bookmarkStart w:id="37" w:name="_Toc8490_WPSOffice_Level1"/>
      <w:r>
        <w:rPr>
          <w:rFonts w:hint="eastAsia" w:ascii="宋体" w:hAnsi="宋体" w:eastAsia="宋体" w:cs="宋体"/>
          <w:b/>
          <w:color w:val="auto"/>
          <w:sz w:val="32"/>
        </w:rPr>
        <w:br w:type="page" w:clear="all"/>
      </w:r>
      <w:r/>
    </w:p>
    <w:p>
      <w:pPr>
        <w:ind w:left="-359" w:firstLine="357"/>
        <w:keepNext w:val="0"/>
        <w:pageBreakBefore w:val="0"/>
        <w:spacing w:line="360" w:lineRule="auto"/>
        <w:rPr>
          <w:rFonts w:hint="eastAsia" w:ascii="宋体" w:hAnsi="宋体" w:eastAsia="宋体" w:cs="宋体"/>
          <w:color w:val="auto"/>
          <w:sz w:val="30"/>
          <w:szCs w:val="30"/>
        </w:rPr>
      </w:pPr>
      <w:r>
        <w:rPr>
          <w:rFonts w:hint="eastAsia" w:ascii="宋体" w:hAnsi="宋体" w:eastAsia="宋体" w:cs="宋体"/>
          <w:b w:val="0"/>
          <w:bCs/>
          <w:color w:val="auto"/>
          <w:sz w:val="28"/>
          <w:szCs w:val="28"/>
        </w:rPr>
        <w:t xml:space="preserve">示范格式三</w:t>
      </w:r>
      <w:bookmarkEnd w:id="37"/>
      <w:r/>
      <w:r/>
    </w:p>
    <w:p>
      <w:pPr>
        <w:jc w:val="center"/>
        <w:keepNext w:val="0"/>
        <w:pageBreakBefore w:val="0"/>
        <w:spacing w:line="360" w:lineRule="auto"/>
        <w:rPr>
          <w:rFonts w:hint="eastAsia" w:ascii="宋体" w:hAnsi="宋体" w:cs="宋体"/>
          <w:b/>
          <w:color w:val="auto"/>
          <w:sz w:val="32"/>
          <w:szCs w:val="32"/>
        </w:rPr>
      </w:pPr>
      <w:r>
        <w:rPr>
          <w:rFonts w:hint="eastAsia" w:ascii="宋体" w:hAnsi="宋体" w:cs="宋体"/>
          <w:b/>
          <w:color w:val="auto"/>
          <w:sz w:val="32"/>
          <w:szCs w:val="32"/>
        </w:rPr>
        <w:t xml:space="preserve">承诺书</w:t>
      </w:r>
      <w:r/>
    </w:p>
    <w:p>
      <w:pPr>
        <w:keepNext w:val="0"/>
        <w:pageBreakBefore w:val="0"/>
        <w:spacing w:line="360" w:lineRule="auto"/>
        <w:rPr>
          <w:rFonts w:hint="eastAsia" w:ascii="宋体" w:hAnsi="宋体" w:cs="宋体"/>
          <w:color w:val="auto"/>
          <w:sz w:val="24"/>
        </w:rPr>
      </w:pPr>
      <w:r>
        <w:rPr>
          <w:rFonts w:hint="eastAsia" w:ascii="宋体" w:hAnsi="宋体" w:cs="宋体"/>
          <w:color w:val="auto"/>
          <w:sz w:val="24"/>
        </w:rPr>
      </w:r>
      <w:r/>
    </w:p>
    <w:p>
      <w:pPr>
        <w:spacing w:line="440" w:lineRule="exact"/>
        <w:rPr>
          <w:rFonts w:hint="eastAsia" w:ascii="宋体" w:hAnsi="宋体" w:cs="宋体"/>
          <w:color w:val="auto"/>
          <w:sz w:val="24"/>
        </w:rPr>
      </w:pPr>
      <w:r>
        <w:rPr>
          <w:rFonts w:hint="eastAsia" w:ascii="宋体" w:hAnsi="宋体" w:cs="宋体"/>
          <w:color w:val="auto"/>
          <w:sz w:val="24"/>
        </w:rPr>
        <w:t xml:space="preserve">我单位参加本次采购活动，</w:t>
      </w:r>
      <w:r>
        <w:rPr>
          <w:rFonts w:hint="eastAsia" w:ascii="宋体" w:hAnsi="宋体" w:cs="宋体"/>
          <w:color w:val="auto"/>
          <w:sz w:val="24"/>
          <w:lang w:eastAsia="zh-CN"/>
        </w:rPr>
        <w:t xml:space="preserve">不</w:t>
      </w:r>
      <w:r>
        <w:rPr>
          <w:rFonts w:hint="eastAsia" w:ascii="宋体" w:hAnsi="宋体" w:cs="宋体"/>
          <w:color w:val="auto"/>
          <w:sz w:val="24"/>
        </w:rPr>
        <w:t xml:space="preserve">存在以下情形，承诺如下：</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（1）供应商单位负责人为同一人或者存在直接控股、管理关系的不同供应商，不得同时参加同一合同项下的政府采购活动；</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（2）凡为采购项目提供整体设计、规范编制或者项目管理、监理、检测等服务的供应商，不得再参加本项目的采购活动；</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（3）“列入失信被执行人、重大税收违法案件当事人名单、政府采购严重违法失信行为记录名单中的供应商不得参加本项目的采购活动”；</w:t>
      </w:r>
      <w:r/>
    </w:p>
    <w:p>
      <w:pPr>
        <w:ind w:firstLine="48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ind w:firstLine="5760"/>
        <w:jc w:val="both"/>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（加盖公章）</w:t>
      </w:r>
      <w:r>
        <w:rPr>
          <w:rFonts w:hint="eastAsia" w:ascii="宋体" w:hAnsi="宋体" w:cs="宋体"/>
          <w:color w:val="auto"/>
          <w:sz w:val="24"/>
          <w:szCs w:val="24"/>
          <w:u w:val="single"/>
          <w:lang w:val="en-US" w:eastAsia="zh-CN"/>
        </w:rPr>
        <w:t xml:space="preserve">   </w:t>
      </w:r>
      <w:r/>
    </w:p>
    <w:p>
      <w:pPr>
        <w:ind w:firstLine="5760"/>
        <w:keepNext w:val="0"/>
        <w:pageBreakBefore w:val="0"/>
        <w:spacing w:line="360" w:lineRule="auto"/>
        <w:rPr>
          <w:rFonts w:hint="eastAsia" w:ascii="宋体" w:hAnsi="宋体" w:cs="宋体"/>
          <w:b w:val="0"/>
          <w:bCs/>
          <w:color w:val="auto"/>
          <w:sz w:val="28"/>
          <w:szCs w:val="28"/>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rPr>
          <w:rFonts w:hint="eastAsia" w:ascii="宋体" w:hAnsi="宋体" w:cs="宋体"/>
          <w:b w:val="0"/>
          <w:bCs/>
          <w:color w:val="auto"/>
          <w:sz w:val="28"/>
          <w:szCs w:val="28"/>
        </w:rPr>
        <w:br w:type="page" w:clear="all"/>
      </w:r>
      <w:r/>
    </w:p>
    <w:p>
      <w:pPr>
        <w:keepNext w:val="0"/>
        <w:pageBreakBefore w:val="0"/>
        <w:spacing w:line="360" w:lineRule="auto"/>
        <w:rPr>
          <w:rFonts w:hint="eastAsia" w:ascii="宋体" w:hAnsi="宋体" w:cs="宋体"/>
          <w:b w:val="0"/>
          <w:bCs w:val="0"/>
          <w:color w:val="auto"/>
          <w:sz w:val="28"/>
          <w:szCs w:val="28"/>
        </w:rPr>
      </w:pPr>
      <w:r>
        <w:rPr>
          <w:rFonts w:hint="eastAsia" w:ascii="宋体" w:hAnsi="宋体" w:cs="宋体"/>
          <w:b w:val="0"/>
          <w:bCs w:val="0"/>
          <w:color w:val="auto"/>
          <w:sz w:val="28"/>
          <w:szCs w:val="28"/>
        </w:rPr>
        <w:t xml:space="preserve">示范格式四</w:t>
      </w:r>
      <w:r/>
    </w:p>
    <w:p>
      <w:pPr>
        <w:jc w:val="center"/>
        <w:keepNext w:val="0"/>
        <w:pageBreakBefore w:val="0"/>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中小企业声明函(货物)</w:t>
      </w:r>
      <w:r/>
    </w:p>
    <w:p>
      <w:pPr>
        <w:pStyle w:val="706"/>
        <w:ind w:left="177" w:right="218" w:firstLine="480"/>
        <w:jc w:val="both"/>
        <w:spacing w:before="78" w:line="431" w:lineRule="auto"/>
        <w:rPr>
          <w:rFonts w:hint="eastAsia" w:ascii="宋体" w:hAnsi="宋体" w:eastAsia="宋体" w:cs="宋体"/>
          <w:sz w:val="24"/>
          <w:szCs w:val="24"/>
        </w:rPr>
      </w:pPr>
      <w:r>
        <w:rPr>
          <w:rFonts w:hint="eastAsia" w:ascii="宋体" w:hAnsi="宋体" w:eastAsia="宋体" w:cs="宋体"/>
          <w:spacing w:val="-1"/>
          <w:sz w:val="24"/>
          <w:szCs w:val="24"/>
        </w:rPr>
        <w:t xml:space="preserve">本公司郑重声明,根据《政府采购促进中小企业</w:t>
      </w:r>
      <w:r>
        <w:rPr>
          <w:rFonts w:hint="eastAsia" w:ascii="宋体" w:hAnsi="宋体" w:eastAsia="宋体" w:cs="宋体"/>
          <w:spacing w:val="-2"/>
          <w:sz w:val="24"/>
          <w:szCs w:val="24"/>
        </w:rPr>
        <w:t xml:space="preserve">发展管理办法》</w:t>
      </w:r>
      <w:r>
        <w:rPr>
          <w:rFonts w:hint="eastAsia" w:ascii="宋体" w:hAnsi="宋体" w:eastAsia="宋体" w:cs="宋体"/>
          <w:spacing w:val="-69"/>
          <w:sz w:val="24"/>
          <w:szCs w:val="24"/>
        </w:rPr>
        <w:t xml:space="preserve"> </w:t>
      </w:r>
      <w:r>
        <w:rPr>
          <w:rFonts w:hint="eastAsia" w:ascii="宋体" w:hAnsi="宋体" w:eastAsia="宋体" w:cs="宋体"/>
          <w:spacing w:val="-2"/>
          <w:sz w:val="24"/>
          <w:szCs w:val="24"/>
        </w:rPr>
        <w:t xml:space="preserve">(财库</w:t>
      </w:r>
      <w:r>
        <w:rPr>
          <w:rFonts w:hint="eastAsia" w:ascii="宋体" w:hAnsi="宋体" w:eastAsia="宋体" w:cs="宋体"/>
          <w:spacing w:val="-2"/>
          <w:sz w:val="24"/>
          <w:szCs w:val="24"/>
          <w:lang w:eastAsia="zh-CN"/>
        </w:rPr>
        <w:t xml:space="preserve">〔2020〕46号</w:t>
      </w:r>
      <w:r>
        <w:rPr>
          <w:rFonts w:hint="eastAsia" w:ascii="宋体" w:hAnsi="宋体" w:eastAsia="宋体" w:cs="宋体"/>
          <w:spacing w:val="-2"/>
          <w:sz w:val="24"/>
          <w:szCs w:val="24"/>
        </w:rPr>
        <w:t xml:space="preserve">)的</w:t>
      </w:r>
      <w:r>
        <w:rPr>
          <w:rFonts w:hint="eastAsia" w:ascii="宋体" w:hAnsi="宋体" w:eastAsia="宋体" w:cs="宋体"/>
          <w:sz w:val="24"/>
          <w:szCs w:val="24"/>
        </w:rPr>
        <w:t xml:space="preserve">  </w:t>
      </w:r>
      <w:r>
        <w:rPr>
          <w:rFonts w:hint="eastAsia" w:ascii="宋体" w:hAnsi="宋体" w:eastAsia="宋体" w:cs="宋体"/>
          <w:spacing w:val="-4"/>
          <w:sz w:val="24"/>
          <w:szCs w:val="24"/>
        </w:rPr>
        <w:t xml:space="preserve">规定,本公司参加</w:t>
      </w:r>
      <w:r>
        <w:rPr>
          <w:rFonts w:hint="eastAsia" w:ascii="宋体" w:hAnsi="宋体" w:eastAsia="宋体" w:cs="宋体"/>
          <w:spacing w:val="2"/>
          <w:sz w:val="24"/>
          <w:szCs w:val="24"/>
          <w:u w:val="single"/>
        </w:rPr>
        <w:t xml:space="preserve">                    </w:t>
      </w:r>
      <w:r>
        <w:rPr>
          <w:rFonts w:hint="eastAsia" w:ascii="宋体" w:hAnsi="宋体" w:eastAsia="宋体" w:cs="宋体"/>
          <w:spacing w:val="-4"/>
          <w:sz w:val="24"/>
          <w:szCs w:val="24"/>
          <w:u w:val="single"/>
        </w:rPr>
        <w:t xml:space="preserve">(单位名称)</w:t>
      </w:r>
      <w:r>
        <w:rPr>
          <w:rFonts w:hint="eastAsia" w:ascii="宋体" w:hAnsi="宋体" w:eastAsia="宋体" w:cs="宋体"/>
          <w:spacing w:val="-4"/>
          <w:sz w:val="24"/>
          <w:szCs w:val="24"/>
        </w:rPr>
        <w:t xml:space="preserve">的</w:t>
      </w:r>
      <w:r>
        <w:rPr>
          <w:rFonts w:hint="eastAsia" w:ascii="宋体" w:hAnsi="宋体" w:eastAsia="宋体" w:cs="宋体"/>
          <w:spacing w:val="6"/>
          <w:sz w:val="24"/>
          <w:szCs w:val="24"/>
          <w:u w:val="single"/>
        </w:rPr>
        <w:t xml:space="preserve">          </w:t>
      </w:r>
      <w:r>
        <w:rPr>
          <w:rFonts w:hint="eastAsia" w:ascii="宋体" w:hAnsi="宋体" w:eastAsia="宋体" w:cs="宋体"/>
          <w:spacing w:val="-4"/>
          <w:sz w:val="24"/>
          <w:szCs w:val="24"/>
          <w:u w:val="single"/>
        </w:rPr>
        <w:t xml:space="preserve">(项目名称)</w:t>
      </w:r>
      <w:r>
        <w:rPr>
          <w:rFonts w:hint="eastAsia" w:ascii="宋体" w:hAnsi="宋体" w:eastAsia="宋体" w:cs="宋体"/>
          <w:spacing w:val="-5"/>
          <w:sz w:val="24"/>
          <w:szCs w:val="24"/>
        </w:rPr>
        <w:t xml:space="preserve">采购活动,提</w:t>
      </w:r>
      <w:r>
        <w:rPr>
          <w:rFonts w:hint="eastAsia" w:ascii="宋体" w:hAnsi="宋体" w:eastAsia="宋体" w:cs="宋体"/>
          <w:sz w:val="24"/>
          <w:szCs w:val="24"/>
        </w:rPr>
        <w:t xml:space="preserve">供的货物全部由符合政策要求的中小企业制造。相关企业（含联</w:t>
      </w:r>
      <w:r>
        <w:rPr>
          <w:rFonts w:hint="eastAsia" w:ascii="宋体" w:hAnsi="宋体" w:eastAsia="宋体" w:cs="宋体"/>
          <w:spacing w:val="-1"/>
          <w:sz w:val="24"/>
          <w:szCs w:val="24"/>
        </w:rPr>
        <w:t xml:space="preserve">合体中的中小企业、签订分包意向协议的中小企业）的具体情况如下：</w:t>
      </w:r>
      <w:r/>
    </w:p>
    <w:p>
      <w:pPr>
        <w:pStyle w:val="706"/>
        <w:ind w:left="180" w:right="218" w:firstLine="14"/>
        <w:jc w:val="both"/>
        <w:spacing w:before="272" w:line="431" w:lineRule="auto"/>
        <w:rPr>
          <w:rFonts w:hint="eastAsia" w:ascii="宋体" w:hAnsi="宋体" w:eastAsia="宋体" w:cs="宋体"/>
          <w:sz w:val="24"/>
          <w:szCs w:val="24"/>
        </w:rPr>
      </w:pPr>
      <w:r>
        <w:rPr>
          <w:rFonts w:hint="eastAsia" w:ascii="宋体" w:hAnsi="宋体" w:eastAsia="宋体" w:cs="宋体"/>
          <w:spacing w:val="-2"/>
          <w:sz w:val="24"/>
          <w:szCs w:val="24"/>
        </w:rPr>
        <w:t xml:space="preserve">1. </w:t>
      </w:r>
      <w:r>
        <w:rPr>
          <w:rFonts w:hint="eastAsia" w:ascii="宋体" w:hAnsi="宋体" w:eastAsia="宋体" w:cs="宋体"/>
          <w:spacing w:val="3"/>
          <w:sz w:val="24"/>
          <w:szCs w:val="24"/>
          <w:u w:val="single"/>
        </w:rPr>
        <w:t xml:space="preserve">               </w:t>
      </w:r>
      <w:r>
        <w:rPr>
          <w:rFonts w:hint="eastAsia" w:ascii="宋体" w:hAnsi="宋体" w:eastAsia="宋体" w:cs="宋体"/>
          <w:spacing w:val="-2"/>
          <w:sz w:val="24"/>
          <w:szCs w:val="24"/>
          <w:u w:val="single"/>
        </w:rPr>
        <w:t xml:space="preserve">(标的名称)</w:t>
      </w:r>
      <w:r>
        <w:rPr>
          <w:rFonts w:hint="eastAsia" w:ascii="宋体" w:hAnsi="宋体" w:eastAsia="宋体" w:cs="宋体"/>
          <w:spacing w:val="-2"/>
          <w:sz w:val="24"/>
          <w:szCs w:val="24"/>
        </w:rPr>
        <w:t xml:space="preserve">,属于</w:t>
      </w:r>
      <w:r>
        <w:rPr>
          <w:rFonts w:hint="eastAsia" w:ascii="宋体" w:hAnsi="宋体" w:eastAsia="宋体" w:cs="宋体"/>
          <w:spacing w:val="-2"/>
          <w:sz w:val="24"/>
          <w:szCs w:val="24"/>
          <w:u w:val="single"/>
        </w:rPr>
        <w:t xml:space="preserve">     (采购文件中明确的所属行业）</w:t>
      </w:r>
      <w:r>
        <w:rPr>
          <w:rFonts w:hint="eastAsia" w:ascii="宋体" w:hAnsi="宋体" w:eastAsia="宋体" w:cs="宋体"/>
          <w:spacing w:val="-3"/>
          <w:sz w:val="24"/>
          <w:szCs w:val="24"/>
          <w:u w:val="single"/>
        </w:rPr>
        <w:t xml:space="preserve">行业；</w:t>
      </w:r>
      <w:r>
        <w:rPr>
          <w:rFonts w:hint="eastAsia" w:ascii="宋体" w:hAnsi="宋体" w:eastAsia="宋体" w:cs="宋体"/>
          <w:spacing w:val="-3"/>
          <w:sz w:val="24"/>
          <w:szCs w:val="24"/>
        </w:rPr>
        <w:t xml:space="preserve">制造商</w:t>
      </w:r>
      <w:r>
        <w:rPr>
          <w:rFonts w:hint="eastAsia" w:ascii="宋体" w:hAnsi="宋体" w:eastAsia="宋体" w:cs="宋体"/>
          <w:spacing w:val="3"/>
          <w:sz w:val="24"/>
          <w:szCs w:val="24"/>
        </w:rPr>
        <w:t xml:space="preserve">  </w:t>
      </w:r>
      <w:r>
        <w:rPr>
          <w:rFonts w:hint="eastAsia" w:ascii="宋体" w:hAnsi="宋体" w:eastAsia="宋体" w:cs="宋体"/>
          <w:spacing w:val="-1"/>
          <w:sz w:val="24"/>
          <w:szCs w:val="24"/>
        </w:rPr>
        <w:t xml:space="preserve">为</w:t>
      </w:r>
      <w:r>
        <w:rPr>
          <w:rFonts w:hint="eastAsia" w:ascii="宋体" w:hAnsi="宋体" w:eastAsia="宋体" w:cs="宋体"/>
          <w:spacing w:val="-1"/>
          <w:sz w:val="24"/>
          <w:szCs w:val="24"/>
          <w:u w:val="single"/>
        </w:rPr>
        <w:t xml:space="preserve">   （企业名称</w:t>
      </w:r>
      <w:r>
        <w:rPr>
          <w:rFonts w:hint="eastAsia" w:ascii="宋体" w:hAnsi="宋体" w:eastAsia="宋体" w:cs="宋体"/>
          <w:spacing w:val="-7"/>
          <w:sz w:val="24"/>
          <w:szCs w:val="24"/>
          <w:u w:val="single"/>
        </w:rPr>
        <w:t xml:space="preserve">）</w:t>
      </w:r>
      <w:r>
        <w:rPr>
          <w:rFonts w:hint="eastAsia" w:ascii="宋体" w:hAnsi="宋体" w:eastAsia="宋体" w:cs="宋体"/>
          <w:sz w:val="24"/>
          <w:szCs w:val="24"/>
          <w:u w:val="single"/>
        </w:rPr>
        <w:t xml:space="preserve">    </w:t>
      </w:r>
      <w:r>
        <w:rPr>
          <w:rFonts w:hint="eastAsia" w:ascii="宋体" w:hAnsi="宋体" w:eastAsia="宋体" w:cs="宋体"/>
          <w:spacing w:val="-94"/>
          <w:sz w:val="24"/>
          <w:szCs w:val="24"/>
        </w:rPr>
        <w:t xml:space="preserve"> </w:t>
      </w:r>
      <w:r>
        <w:rPr>
          <w:rFonts w:hint="eastAsia" w:ascii="宋体" w:hAnsi="宋体" w:eastAsia="宋体" w:cs="宋体"/>
          <w:spacing w:val="-7"/>
          <w:sz w:val="24"/>
          <w:szCs w:val="24"/>
        </w:rPr>
        <w:t xml:space="preserve">，</w:t>
      </w:r>
      <w:r>
        <w:rPr>
          <w:rFonts w:hint="eastAsia" w:ascii="宋体" w:hAnsi="宋体" w:eastAsia="宋体" w:cs="宋体"/>
          <w:spacing w:val="-1"/>
          <w:sz w:val="24"/>
          <w:szCs w:val="24"/>
        </w:rPr>
        <w:t xml:space="preserve">从业人员</w:t>
      </w:r>
      <w:r>
        <w:rPr>
          <w:rFonts w:hint="eastAsia" w:ascii="宋体" w:hAnsi="宋体" w:eastAsia="宋体" w:cs="宋体"/>
          <w:spacing w:val="-1"/>
          <w:sz w:val="24"/>
          <w:szCs w:val="24"/>
          <w:u w:val="single"/>
        </w:rPr>
        <w:t xml:space="preserve">     </w:t>
      </w:r>
      <w:r>
        <w:rPr>
          <w:rFonts w:hint="eastAsia" w:ascii="宋体" w:hAnsi="宋体" w:eastAsia="宋体" w:cs="宋体"/>
          <w:spacing w:val="-109"/>
          <w:sz w:val="24"/>
          <w:szCs w:val="24"/>
        </w:rPr>
        <w:t xml:space="preserve"> </w:t>
      </w:r>
      <w:r>
        <w:rPr>
          <w:rFonts w:hint="eastAsia" w:ascii="宋体" w:hAnsi="宋体" w:eastAsia="宋体" w:cs="宋体"/>
          <w:spacing w:val="-1"/>
          <w:sz w:val="24"/>
          <w:szCs w:val="24"/>
        </w:rPr>
        <w:t xml:space="preserve">人，营业收入为</w:t>
      </w:r>
      <w:r>
        <w:rPr>
          <w:rFonts w:hint="eastAsia" w:ascii="宋体" w:hAnsi="宋体" w:eastAsia="宋体" w:cs="宋体"/>
          <w:spacing w:val="-1"/>
          <w:sz w:val="24"/>
          <w:szCs w:val="24"/>
          <w:u w:val="single"/>
        </w:rPr>
        <w:t xml:space="preserve"> </w:t>
      </w:r>
      <w:r>
        <w:rPr>
          <w:rFonts w:hint="eastAsia" w:ascii="宋体" w:hAnsi="宋体" w:eastAsia="宋体" w:cs="宋体"/>
          <w:spacing w:val="-2"/>
          <w:sz w:val="24"/>
          <w:szCs w:val="24"/>
          <w:u w:val="single"/>
        </w:rPr>
        <w:t xml:space="preserve">     </w:t>
      </w:r>
      <w:r>
        <w:rPr>
          <w:rFonts w:hint="eastAsia" w:ascii="宋体" w:hAnsi="宋体" w:eastAsia="宋体" w:cs="宋体"/>
          <w:spacing w:val="-105"/>
          <w:sz w:val="24"/>
          <w:szCs w:val="24"/>
        </w:rPr>
        <w:t xml:space="preserve"> </w:t>
      </w:r>
      <w:r>
        <w:rPr>
          <w:rFonts w:hint="eastAsia" w:ascii="宋体" w:hAnsi="宋体" w:eastAsia="宋体" w:cs="宋体"/>
          <w:spacing w:val="-2"/>
          <w:sz w:val="24"/>
          <w:szCs w:val="24"/>
        </w:rPr>
        <w:t xml:space="preserve">万元，资产总额为</w:t>
      </w:r>
      <w:r>
        <w:rPr>
          <w:rFonts w:hint="eastAsia" w:ascii="宋体" w:hAnsi="宋体" w:eastAsia="宋体" w:cs="宋体"/>
          <w:sz w:val="24"/>
          <w:szCs w:val="24"/>
          <w:u w:val="single"/>
        </w:rPr>
        <w:t xml:space="preserve">       </w:t>
      </w:r>
      <w:r/>
    </w:p>
    <w:p>
      <w:pPr>
        <w:pStyle w:val="706"/>
        <w:ind w:left="183"/>
        <w:spacing w:line="220" w:lineRule="auto"/>
        <w:rPr>
          <w:rFonts w:hint="eastAsia" w:ascii="宋体" w:hAnsi="宋体" w:eastAsia="宋体" w:cs="宋体"/>
          <w:sz w:val="24"/>
          <w:szCs w:val="24"/>
        </w:rPr>
      </w:pPr>
      <w:r>
        <w:rPr>
          <w:rFonts w:hint="eastAsia" w:ascii="宋体" w:hAnsi="宋体" w:eastAsia="宋体" w:cs="宋体"/>
          <w:spacing w:val="-1"/>
          <w:sz w:val="24"/>
          <w:szCs w:val="24"/>
        </w:rPr>
        <w:t xml:space="preserve">万元，属于</w:t>
      </w:r>
      <w:r>
        <w:rPr>
          <w:rFonts w:hint="eastAsia" w:ascii="宋体" w:hAnsi="宋体" w:eastAsia="宋体" w:cs="宋体"/>
          <w:spacing w:val="-1"/>
          <w:sz w:val="24"/>
          <w:szCs w:val="24"/>
          <w:u w:val="single"/>
        </w:rPr>
        <w:t xml:space="preserve">      </w:t>
      </w:r>
      <w:r>
        <w:rPr>
          <w:rFonts w:hint="eastAsia" w:ascii="宋体" w:hAnsi="宋体" w:eastAsia="宋体" w:cs="宋体"/>
          <w:spacing w:val="-1"/>
          <w:sz w:val="24"/>
          <w:szCs w:val="24"/>
        </w:rPr>
        <w:t xml:space="preserve">（中型企业、小型企业、微型企业</w:t>
      </w:r>
      <w:r>
        <w:rPr>
          <w:rFonts w:hint="eastAsia" w:ascii="宋体" w:hAnsi="宋体" w:eastAsia="宋体" w:cs="宋体"/>
          <w:spacing w:val="4"/>
          <w:sz w:val="24"/>
          <w:szCs w:val="24"/>
        </w:rPr>
        <w:t xml:space="preserve">）；</w:t>
      </w:r>
      <w:r/>
    </w:p>
    <w:p>
      <w:pPr>
        <w:pStyle w:val="706"/>
        <w:ind w:left="180" w:right="163"/>
        <w:spacing w:before="273" w:line="431" w:lineRule="auto"/>
        <w:rPr>
          <w:rFonts w:hint="eastAsia" w:ascii="宋体" w:hAnsi="宋体" w:eastAsia="宋体" w:cs="宋体"/>
          <w:sz w:val="24"/>
          <w:szCs w:val="24"/>
        </w:rPr>
      </w:pPr>
      <w:r>
        <w:rPr>
          <w:rFonts w:hint="eastAsia" w:ascii="宋体" w:hAnsi="宋体" w:eastAsia="宋体" w:cs="宋体"/>
          <w:spacing w:val="-2"/>
          <w:sz w:val="24"/>
          <w:szCs w:val="24"/>
        </w:rPr>
        <w:t xml:space="preserve">2. </w:t>
      </w:r>
      <w:r>
        <w:rPr>
          <w:rFonts w:hint="eastAsia" w:ascii="宋体" w:hAnsi="宋体" w:eastAsia="宋体" w:cs="宋体"/>
          <w:spacing w:val="4"/>
          <w:sz w:val="24"/>
          <w:szCs w:val="24"/>
          <w:u w:val="single"/>
        </w:rPr>
        <w:t xml:space="preserve">               </w:t>
      </w:r>
      <w:r>
        <w:rPr>
          <w:rFonts w:hint="eastAsia" w:ascii="宋体" w:hAnsi="宋体" w:eastAsia="宋体" w:cs="宋体"/>
          <w:spacing w:val="-2"/>
          <w:sz w:val="24"/>
          <w:szCs w:val="24"/>
          <w:u w:val="single"/>
        </w:rPr>
        <w:t xml:space="preserve">(标的名称)</w:t>
      </w:r>
      <w:r>
        <w:rPr>
          <w:rFonts w:hint="eastAsia" w:ascii="宋体" w:hAnsi="宋体" w:eastAsia="宋体" w:cs="宋体"/>
          <w:spacing w:val="-2"/>
          <w:sz w:val="24"/>
          <w:szCs w:val="24"/>
        </w:rPr>
        <w:t xml:space="preserve">,属于</w:t>
      </w:r>
      <w:r>
        <w:rPr>
          <w:rFonts w:hint="eastAsia" w:ascii="宋体" w:hAnsi="宋体" w:eastAsia="宋体" w:cs="宋体"/>
          <w:spacing w:val="-2"/>
          <w:sz w:val="24"/>
          <w:szCs w:val="24"/>
          <w:u w:val="single"/>
        </w:rPr>
        <w:t xml:space="preserve">     (采购文件中明确的所属行业）行业；</w:t>
      </w:r>
      <w:r>
        <w:rPr>
          <w:rFonts w:hint="eastAsia" w:ascii="宋体" w:hAnsi="宋体" w:eastAsia="宋体" w:cs="宋体"/>
          <w:spacing w:val="-2"/>
          <w:sz w:val="24"/>
          <w:szCs w:val="24"/>
        </w:rPr>
        <w:t xml:space="preserve">制造商</w:t>
      </w:r>
      <w:r>
        <w:rPr>
          <w:rFonts w:hint="eastAsia" w:ascii="宋体" w:hAnsi="宋体" w:eastAsia="宋体" w:cs="宋体"/>
          <w:sz w:val="24"/>
          <w:szCs w:val="24"/>
        </w:rPr>
        <w:t xml:space="preserve">  </w:t>
      </w:r>
      <w:r>
        <w:rPr>
          <w:rFonts w:hint="eastAsia" w:ascii="宋体" w:hAnsi="宋体" w:eastAsia="宋体" w:cs="宋体"/>
          <w:spacing w:val="-1"/>
          <w:sz w:val="24"/>
          <w:szCs w:val="24"/>
        </w:rPr>
        <w:t xml:space="preserve">为 </w:t>
      </w:r>
      <w:r>
        <w:rPr>
          <w:rFonts w:hint="eastAsia" w:ascii="宋体" w:hAnsi="宋体" w:eastAsia="宋体" w:cs="宋体"/>
          <w:spacing w:val="-1"/>
          <w:sz w:val="24"/>
          <w:szCs w:val="24"/>
          <w:u w:val="single"/>
        </w:rPr>
        <w:t xml:space="preserve">      （企业名称</w:t>
      </w:r>
      <w:r>
        <w:rPr>
          <w:rFonts w:hint="eastAsia" w:ascii="宋体" w:hAnsi="宋体" w:eastAsia="宋体" w:cs="宋体"/>
          <w:spacing w:val="-7"/>
          <w:sz w:val="24"/>
          <w:szCs w:val="24"/>
          <w:u w:val="single"/>
        </w:rPr>
        <w:t xml:space="preserve">）</w:t>
      </w:r>
      <w:r>
        <w:rPr>
          <w:rFonts w:hint="eastAsia" w:ascii="宋体" w:hAnsi="宋体" w:eastAsia="宋体" w:cs="宋体"/>
          <w:sz w:val="24"/>
          <w:szCs w:val="24"/>
          <w:u w:val="single"/>
        </w:rPr>
        <w:t xml:space="preserve">     </w:t>
      </w:r>
      <w:r>
        <w:rPr>
          <w:rFonts w:hint="eastAsia" w:ascii="宋体" w:hAnsi="宋体" w:eastAsia="宋体" w:cs="宋体"/>
          <w:spacing w:val="-94"/>
          <w:sz w:val="24"/>
          <w:szCs w:val="24"/>
        </w:rPr>
        <w:t xml:space="preserve"> </w:t>
      </w:r>
      <w:r>
        <w:rPr>
          <w:rFonts w:hint="eastAsia" w:ascii="宋体" w:hAnsi="宋体" w:eastAsia="宋体" w:cs="宋体"/>
          <w:spacing w:val="-7"/>
          <w:sz w:val="24"/>
          <w:szCs w:val="24"/>
        </w:rPr>
        <w:t xml:space="preserve">，</w:t>
      </w:r>
      <w:r>
        <w:rPr>
          <w:rFonts w:hint="eastAsia" w:ascii="宋体" w:hAnsi="宋体" w:eastAsia="宋体" w:cs="宋体"/>
          <w:spacing w:val="-1"/>
          <w:sz w:val="24"/>
          <w:szCs w:val="24"/>
        </w:rPr>
        <w:t xml:space="preserve">从业人员</w:t>
      </w:r>
      <w:r>
        <w:rPr>
          <w:rFonts w:hint="eastAsia" w:ascii="宋体" w:hAnsi="宋体" w:eastAsia="宋体" w:cs="宋体"/>
          <w:spacing w:val="-1"/>
          <w:sz w:val="24"/>
          <w:szCs w:val="24"/>
          <w:u w:val="single"/>
        </w:rPr>
        <w:t xml:space="preserve">     </w:t>
      </w:r>
      <w:r>
        <w:rPr>
          <w:rFonts w:hint="eastAsia" w:ascii="宋体" w:hAnsi="宋体" w:eastAsia="宋体" w:cs="宋体"/>
          <w:spacing w:val="-109"/>
          <w:sz w:val="24"/>
          <w:szCs w:val="24"/>
        </w:rPr>
        <w:t xml:space="preserve"> </w:t>
      </w:r>
      <w:r>
        <w:rPr>
          <w:rFonts w:hint="eastAsia" w:ascii="宋体" w:hAnsi="宋体" w:eastAsia="宋体" w:cs="宋体"/>
          <w:spacing w:val="-1"/>
          <w:sz w:val="24"/>
          <w:szCs w:val="24"/>
        </w:rPr>
        <w:t xml:space="preserve">人，营业收入为</w:t>
      </w:r>
      <w:r>
        <w:rPr>
          <w:rFonts w:hint="eastAsia" w:ascii="宋体" w:hAnsi="宋体" w:eastAsia="宋体" w:cs="宋体"/>
          <w:spacing w:val="-1"/>
          <w:sz w:val="24"/>
          <w:szCs w:val="24"/>
          <w:u w:val="single"/>
        </w:rPr>
        <w:t xml:space="preserve">     </w:t>
      </w:r>
      <w:r>
        <w:rPr>
          <w:rFonts w:hint="eastAsia" w:ascii="宋体" w:hAnsi="宋体" w:eastAsia="宋体" w:cs="宋体"/>
          <w:spacing w:val="-2"/>
          <w:sz w:val="24"/>
          <w:szCs w:val="24"/>
          <w:u w:val="single"/>
        </w:rPr>
        <w:t xml:space="preserve"> </w:t>
      </w:r>
      <w:r>
        <w:rPr>
          <w:rFonts w:hint="eastAsia" w:ascii="宋体" w:hAnsi="宋体" w:eastAsia="宋体" w:cs="宋体"/>
          <w:spacing w:val="-105"/>
          <w:sz w:val="24"/>
          <w:szCs w:val="24"/>
        </w:rPr>
        <w:t xml:space="preserve"> </w:t>
      </w:r>
      <w:r>
        <w:rPr>
          <w:rFonts w:hint="eastAsia" w:ascii="宋体" w:hAnsi="宋体" w:eastAsia="宋体" w:cs="宋体"/>
          <w:spacing w:val="-2"/>
          <w:sz w:val="24"/>
          <w:szCs w:val="24"/>
        </w:rPr>
        <w:t xml:space="preserve">万元，资产总额为</w:t>
      </w:r>
      <w:r>
        <w:rPr>
          <w:rFonts w:hint="eastAsia" w:ascii="宋体" w:hAnsi="宋体" w:eastAsia="宋体" w:cs="宋体"/>
          <w:sz w:val="24"/>
          <w:szCs w:val="24"/>
          <w:u w:val="single"/>
        </w:rPr>
        <w:t xml:space="preserve">  </w:t>
      </w:r>
      <w:r/>
    </w:p>
    <w:p>
      <w:pPr>
        <w:pStyle w:val="706"/>
        <w:ind w:left="183"/>
        <w:spacing w:line="220" w:lineRule="auto"/>
        <w:rPr>
          <w:rFonts w:hint="eastAsia" w:ascii="宋体" w:hAnsi="宋体" w:eastAsia="宋体" w:cs="宋体"/>
          <w:sz w:val="24"/>
          <w:szCs w:val="24"/>
        </w:rPr>
      </w:pPr>
      <w:r>
        <w:rPr>
          <w:rFonts w:hint="eastAsia" w:ascii="宋体" w:hAnsi="宋体" w:eastAsia="宋体" w:cs="宋体"/>
          <w:spacing w:val="-1"/>
          <w:sz w:val="24"/>
          <w:szCs w:val="24"/>
        </w:rPr>
        <w:t xml:space="preserve">万元，属于</w:t>
      </w:r>
      <w:r>
        <w:rPr>
          <w:rFonts w:hint="eastAsia" w:ascii="宋体" w:hAnsi="宋体" w:eastAsia="宋体" w:cs="宋体"/>
          <w:spacing w:val="-1"/>
          <w:sz w:val="24"/>
          <w:szCs w:val="24"/>
          <w:u w:val="single"/>
        </w:rPr>
        <w:t xml:space="preserve">      （中型企业、小型企业、微型企业</w:t>
      </w:r>
      <w:r>
        <w:rPr>
          <w:rFonts w:hint="eastAsia" w:ascii="宋体" w:hAnsi="宋体" w:eastAsia="宋体" w:cs="宋体"/>
          <w:spacing w:val="4"/>
          <w:sz w:val="24"/>
          <w:szCs w:val="24"/>
          <w:u w:val="single"/>
        </w:rPr>
        <w:t xml:space="preserve">）</w:t>
      </w:r>
      <w:r>
        <w:rPr>
          <w:rFonts w:hint="eastAsia" w:ascii="宋体" w:hAnsi="宋体" w:eastAsia="宋体" w:cs="宋体"/>
          <w:spacing w:val="4"/>
          <w:sz w:val="24"/>
          <w:szCs w:val="24"/>
        </w:rPr>
        <w:t xml:space="preserve">；</w:t>
      </w:r>
      <w:r/>
    </w:p>
    <w:p>
      <w:pPr>
        <w:spacing w:line="369" w:lineRule="auto"/>
        <w:rPr>
          <w:rFonts w:hint="eastAsia" w:ascii="宋体" w:hAnsi="宋体" w:eastAsia="宋体" w:cs="宋体"/>
          <w:sz w:val="24"/>
          <w:szCs w:val="24"/>
        </w:rPr>
      </w:pPr>
      <w:r>
        <w:rPr>
          <w:rFonts w:hint="eastAsia" w:ascii="宋体" w:hAnsi="宋体" w:eastAsia="宋体" w:cs="宋体"/>
          <w:sz w:val="24"/>
          <w:szCs w:val="24"/>
        </w:rPr>
      </w:r>
      <w:r/>
    </w:p>
    <w:p>
      <w:pPr>
        <w:pStyle w:val="706"/>
        <w:ind w:left="183"/>
        <w:spacing w:before="78" w:line="99" w:lineRule="exact"/>
        <w:rPr>
          <w:rFonts w:hint="eastAsia" w:ascii="宋体" w:hAnsi="宋体" w:eastAsia="宋体" w:cs="宋体"/>
          <w:sz w:val="24"/>
          <w:szCs w:val="24"/>
        </w:rPr>
      </w:pPr>
      <w:r>
        <w:rPr>
          <w:rFonts w:hint="eastAsia" w:ascii="宋体" w:hAnsi="宋体" w:eastAsia="宋体" w:cs="宋体"/>
          <w:position w:val="1"/>
          <w:sz w:val="24"/>
          <w:szCs w:val="24"/>
        </w:rPr>
        <w:t xml:space="preserve">......</w:t>
      </w:r>
      <w:r/>
    </w:p>
    <w:p>
      <w:pPr>
        <w:pStyle w:val="706"/>
        <w:ind w:left="684"/>
        <w:spacing w:before="286" w:line="559" w:lineRule="exact"/>
        <w:rPr>
          <w:rFonts w:hint="eastAsia" w:ascii="宋体" w:hAnsi="宋体" w:eastAsia="宋体" w:cs="宋体"/>
          <w:sz w:val="24"/>
          <w:szCs w:val="24"/>
        </w:rPr>
      </w:pPr>
      <w:r>
        <w:rPr>
          <w:rFonts w:hint="eastAsia" w:ascii="宋体" w:hAnsi="宋体" w:eastAsia="宋体" w:cs="宋体"/>
          <w:spacing w:val="-1"/>
          <w:position w:val="24"/>
          <w:sz w:val="24"/>
          <w:szCs w:val="24"/>
        </w:rPr>
        <w:t xml:space="preserve">以上企业，不属于大企业的分支机构,不存在控股股东为大企业的情形,也不存在与大</w:t>
      </w:r>
      <w:r/>
    </w:p>
    <w:p>
      <w:pPr>
        <w:pStyle w:val="706"/>
        <w:ind w:left="181"/>
        <w:spacing w:line="220" w:lineRule="auto"/>
        <w:rPr>
          <w:rFonts w:hint="eastAsia" w:ascii="宋体" w:hAnsi="宋体" w:eastAsia="宋体" w:cs="宋体"/>
          <w:sz w:val="24"/>
          <w:szCs w:val="24"/>
        </w:rPr>
      </w:pPr>
      <w:r>
        <w:rPr>
          <w:rFonts w:hint="eastAsia" w:ascii="宋体" w:hAnsi="宋体" w:eastAsia="宋体" w:cs="宋体"/>
          <w:spacing w:val="-1"/>
          <w:sz w:val="24"/>
          <w:szCs w:val="24"/>
        </w:rPr>
        <w:t xml:space="preserve">企业的负责人为同一人的情形。</w:t>
      </w:r>
      <w:r/>
    </w:p>
    <w:p>
      <w:pPr>
        <w:pStyle w:val="706"/>
        <w:ind w:left="658"/>
        <w:spacing w:before="273" w:line="217" w:lineRule="auto"/>
        <w:rPr>
          <w:sz w:val="24"/>
          <w:szCs w:val="24"/>
        </w:rPr>
      </w:pPr>
      <w:r>
        <w:rPr>
          <w:rFonts w:hint="eastAsia" w:ascii="宋体" w:hAnsi="宋体" w:eastAsia="宋体" w:cs="宋体"/>
          <w:sz w:val="24"/>
          <w:szCs w:val="24"/>
        </w:rPr>
        <w:t xml:space="preserve">本企业对上述声明内容的真实性负责。如有虚</w:t>
      </w:r>
      <w:r>
        <w:rPr>
          <w:rFonts w:hint="eastAsia" w:ascii="宋体" w:hAnsi="宋体" w:eastAsia="宋体" w:cs="宋体"/>
          <w:spacing w:val="-1"/>
          <w:sz w:val="24"/>
          <w:szCs w:val="24"/>
        </w:rPr>
        <w:t xml:space="preserve">假,将依法承担相应责任。</w:t>
      </w:r>
      <w:r/>
    </w:p>
    <w:p>
      <w:pPr>
        <w:pStyle w:val="899"/>
        <w:ind w:firstLine="48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899"/>
        <w:ind w:firstLine="48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899"/>
        <w:ind w:firstLine="7022"/>
        <w:jc w:val="both"/>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企业名称(盖章)</w:t>
      </w:r>
      <w:r/>
    </w:p>
    <w:p>
      <w:pPr>
        <w:pStyle w:val="899"/>
        <w:ind w:firstLine="480"/>
        <w:jc w:val="center"/>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                                      </w:t>
      </w:r>
      <w:r>
        <w:rPr>
          <w:rFonts w:hint="eastAsia" w:ascii="宋体" w:hAnsi="宋体" w:eastAsia="宋体" w:cs="宋体"/>
          <w:bCs/>
          <w:color w:val="auto"/>
          <w:sz w:val="24"/>
          <w:szCs w:val="24"/>
        </w:rPr>
        <w:t xml:space="preserve">日 期:</w:t>
      </w:r>
      <w:r/>
    </w:p>
    <w:p>
      <w:pPr>
        <w:pStyle w:val="899"/>
        <w:ind w:firstLine="48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899"/>
        <w:ind w:firstLine="48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注：1、从业人员、营业收入、资产总额填报上一年度数据,无上一年度数据的新成立企业可不填报；</w:t>
      </w:r>
      <w:r/>
    </w:p>
    <w:p>
      <w:pPr>
        <w:pStyle w:val="899"/>
        <w:ind w:firstLine="48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2、非小企业不须提供此函。</w:t>
      </w:r>
      <w:r/>
    </w:p>
    <w:p>
      <w:pPr>
        <w:spacing w:line="219" w:lineRule="auto"/>
        <w:rPr>
          <w:sz w:val="24"/>
          <w:szCs w:val="24"/>
        </w:rPr>
        <w:sectPr>
          <w:footerReference w:type="default" r:id="rId9"/>
          <w:footnotePr/>
          <w:endnotePr/>
          <w:type w:val="nextPage"/>
          <w:pgSz w:w="11911" w:h="16840" w:orient="portrait"/>
          <w:pgMar w:top="1300" w:right="1084" w:bottom="1254" w:left="1080" w:header="893" w:footer="1076" w:gutter="0"/>
          <w:cols w:num="1" w:sep="0" w:space="720" w:equalWidth="1"/>
          <w:docGrid w:linePitch="360"/>
        </w:sectPr>
      </w:pPr>
      <w:r>
        <w:rPr>
          <w:sz w:val="24"/>
          <w:szCs w:val="24"/>
        </w:rPr>
      </w:r>
      <w:r/>
    </w:p>
    <w:p>
      <w:pPr>
        <w:keepNext w:val="0"/>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示范格式五</w:t>
      </w:r>
      <w:r/>
    </w:p>
    <w:p>
      <w:pPr>
        <w:jc w:val="center"/>
        <w:keepNext w:val="0"/>
        <w:pageBreakBefore w:val="0"/>
        <w:spacing w:line="360" w:lineRule="auto"/>
        <w:rPr>
          <w:rFonts w:hint="eastAsia" w:ascii="宋体" w:hAnsi="宋体" w:cs="宋体"/>
          <w:b/>
          <w:color w:val="auto"/>
          <w:sz w:val="32"/>
          <w:szCs w:val="32"/>
        </w:rPr>
      </w:pPr>
      <w:r>
        <w:rPr>
          <w:rFonts w:hint="eastAsia" w:ascii="宋体" w:hAnsi="宋体" w:cs="宋体"/>
          <w:b/>
          <w:color w:val="auto"/>
          <w:sz w:val="32"/>
          <w:szCs w:val="32"/>
        </w:rPr>
        <w:t xml:space="preserve">残疾人福利性单位声明函</w:t>
      </w:r>
      <w:r/>
    </w:p>
    <w:p>
      <w:pPr>
        <w:pStyle w:val="899"/>
        <w:ind w:firstLine="480"/>
        <w:keepNext w:val="0"/>
        <w:pageBreakBefore w:val="0"/>
        <w:spacing w:line="360" w:lineRule="auto"/>
        <w:rPr>
          <w:rFonts w:hint="eastAsia" w:ascii="宋体" w:hAnsi="宋体" w:cs="宋体"/>
          <w:bCs/>
          <w:color w:val="auto"/>
          <w:sz w:val="24"/>
          <w:szCs w:val="24"/>
        </w:rPr>
      </w:pPr>
      <w:r>
        <w:rPr>
          <w:rFonts w:hint="eastAsia" w:ascii="宋体" w:hAnsi="宋体" w:cs="宋体"/>
          <w:bCs/>
          <w:color w:val="auto"/>
          <w:sz w:val="24"/>
          <w:szCs w:val="24"/>
        </w:rPr>
      </w:r>
      <w:r/>
    </w:p>
    <w:p>
      <w:pPr>
        <w:pStyle w:val="899"/>
        <w:ind w:firstLine="480"/>
        <w:keepNext w:val="0"/>
        <w:pageBreakBefore w:val="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99"/>
        <w:ind w:firstLine="480"/>
        <w:keepNext w:val="0"/>
        <w:pageBreakBefore w:val="0"/>
        <w:spacing w:line="360" w:lineRule="auto"/>
        <w:rPr>
          <w:rFonts w:hint="eastAsia" w:ascii="宋体" w:hAnsi="宋体" w:cs="宋体"/>
          <w:bCs/>
          <w:color w:val="auto"/>
          <w:sz w:val="24"/>
          <w:szCs w:val="24"/>
        </w:rPr>
      </w:pPr>
      <w:r>
        <w:rPr>
          <w:rFonts w:hint="eastAsia" w:ascii="宋体" w:hAnsi="宋体" w:cs="宋体"/>
          <w:bCs/>
          <w:color w:val="auto"/>
          <w:sz w:val="24"/>
          <w:szCs w:val="24"/>
          <w:lang w:eastAsia="zh-CN"/>
        </w:rPr>
        <w:t xml:space="preserve">1.</w:t>
      </w:r>
      <w:r>
        <w:rPr>
          <w:rFonts w:hint="eastAsia" w:ascii="宋体" w:hAnsi="宋体" w:cs="宋体"/>
          <w:bCs/>
          <w:color w:val="auto"/>
          <w:sz w:val="24"/>
          <w:szCs w:val="24"/>
        </w:rPr>
        <w:t xml:space="preserve">根据《财政部 民政部 中国残疾人联合会关于促进残疾人就业政府采购政策的通知》（财库〔2017〕141 号）规定的划分标准，本公司为残疾人福利性企业。</w:t>
      </w:r>
      <w:r/>
    </w:p>
    <w:p>
      <w:pPr>
        <w:pStyle w:val="899"/>
        <w:ind w:firstLine="480"/>
        <w:keepNext w:val="0"/>
        <w:pageBreakBefore w:val="0"/>
        <w:spacing w:line="360" w:lineRule="auto"/>
        <w:rPr>
          <w:rFonts w:hint="eastAsia" w:ascii="宋体" w:hAnsi="宋体" w:cs="宋体"/>
          <w:bCs/>
          <w:color w:val="auto"/>
          <w:sz w:val="24"/>
          <w:szCs w:val="24"/>
        </w:rPr>
      </w:pPr>
      <w:r>
        <w:rPr>
          <w:rFonts w:hint="eastAsia" w:ascii="宋体" w:hAnsi="宋体" w:cs="宋体"/>
          <w:bCs/>
          <w:color w:val="auto"/>
          <w:sz w:val="24"/>
          <w:szCs w:val="24"/>
          <w:lang w:eastAsia="zh-CN"/>
        </w:rPr>
        <w:t xml:space="preserve">2.</w:t>
      </w:r>
      <w:r>
        <w:rPr>
          <w:rFonts w:hint="eastAsia" w:ascii="宋体" w:hAnsi="宋体" w:cs="宋体"/>
          <w:bCs/>
          <w:color w:val="auto"/>
          <w:sz w:val="24"/>
          <w:szCs w:val="24"/>
        </w:rPr>
        <w:t xml:space="preserve">本单位参加</w:t>
      </w:r>
      <w:r>
        <w:rPr>
          <w:rFonts w:hint="eastAsia" w:ascii="宋体" w:hAnsi="宋体" w:cs="宋体"/>
          <w:bCs/>
          <w:color w:val="auto"/>
          <w:sz w:val="24"/>
          <w:szCs w:val="24"/>
          <w:u w:val="single"/>
        </w:rPr>
        <w:t xml:space="preserve">（采购单位名称）</w:t>
      </w:r>
      <w:r>
        <w:rPr>
          <w:rFonts w:hint="eastAsia" w:ascii="宋体" w:hAnsi="宋体" w:cs="宋体"/>
          <w:bCs/>
          <w:color w:val="auto"/>
          <w:sz w:val="24"/>
          <w:szCs w:val="24"/>
        </w:rPr>
        <w:t xml:space="preserve"> 的</w:t>
      </w:r>
      <w:r>
        <w:rPr>
          <w:rFonts w:hint="eastAsia" w:ascii="宋体" w:hAnsi="宋体" w:cs="宋体"/>
          <w:bCs/>
          <w:color w:val="auto"/>
          <w:sz w:val="24"/>
          <w:szCs w:val="24"/>
          <w:u w:val="single"/>
        </w:rPr>
        <w:t xml:space="preserve">（采购项目名称）</w:t>
      </w:r>
      <w:r>
        <w:rPr>
          <w:rFonts w:hint="eastAsia" w:ascii="宋体" w:hAnsi="宋体" w:cs="宋体"/>
          <w:bCs/>
          <w:color w:val="auto"/>
          <w:sz w:val="24"/>
          <w:szCs w:val="24"/>
        </w:rPr>
        <w:t xml:space="preserve">采购活动提供本企业制造的货物，由本企业承担工程、提供服务，或者提供其他残疾人福利性单位制造的货物（不包括使用非残疾人福利性单位注册商标的货物</w:t>
      </w:r>
      <w:r>
        <w:rPr>
          <w:rFonts w:hint="eastAsia" w:ascii="宋体" w:hAnsi="宋体" w:cs="宋体"/>
          <w:bCs/>
          <w:color w:val="auto"/>
          <w:sz w:val="24"/>
          <w:szCs w:val="24"/>
          <w:lang w:eastAsia="zh-CN"/>
        </w:rPr>
        <w:t xml:space="preserve">）</w:t>
      </w:r>
      <w:r>
        <w:rPr>
          <w:rFonts w:hint="eastAsia" w:ascii="宋体" w:hAnsi="宋体" w:cs="宋体"/>
          <w:bCs/>
          <w:color w:val="auto"/>
          <w:sz w:val="24"/>
          <w:szCs w:val="24"/>
        </w:rPr>
        <w:t xml:space="preserve">。</w:t>
      </w:r>
      <w:r/>
    </w:p>
    <w:p>
      <w:pPr>
        <w:ind w:firstLine="48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rPr>
        <w:t xml:space="preserve">注：</w:t>
      </w:r>
      <w:r>
        <w:rPr>
          <w:rFonts w:hint="eastAsia" w:ascii="宋体" w:hAnsi="宋体" w:cs="宋体"/>
          <w:bCs/>
          <w:color w:val="auto"/>
          <w:sz w:val="24"/>
          <w:szCs w:val="24"/>
        </w:rPr>
        <w:t xml:space="preserve">本公司对上述声明的真实性负责。如有虚假，将依法承担相应责任。</w:t>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ind w:firstLine="5760"/>
        <w:jc w:val="both"/>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（加盖公章）</w:t>
      </w:r>
      <w:r>
        <w:rPr>
          <w:rFonts w:hint="eastAsia" w:ascii="宋体" w:hAnsi="宋体" w:cs="宋体"/>
          <w:color w:val="auto"/>
          <w:sz w:val="24"/>
          <w:szCs w:val="24"/>
          <w:u w:val="single"/>
          <w:lang w:val="en-US" w:eastAsia="zh-CN"/>
        </w:rPr>
        <w:t xml:space="preserve">   </w:t>
      </w:r>
      <w:r/>
    </w:p>
    <w:p>
      <w:pPr>
        <w:ind w:firstLine="5760"/>
        <w:jc w:val="both"/>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keepNext w:val="0"/>
        <w:pageBreakBefore w:val="0"/>
        <w:spacing w:line="360" w:lineRule="auto"/>
        <w:rPr>
          <w:rFonts w:hint="eastAsia" w:ascii="宋体" w:hAnsi="宋体" w:cs="宋体"/>
          <w:color w:val="auto"/>
          <w:sz w:val="24"/>
        </w:rPr>
      </w:pPr>
      <w:r>
        <w:rPr>
          <w:rFonts w:hint="eastAsia" w:ascii="宋体" w:hAnsi="宋体" w:cs="宋体"/>
          <w:color w:val="auto"/>
          <w:sz w:val="24"/>
        </w:rPr>
      </w:r>
      <w:r/>
    </w:p>
    <w:p>
      <w:pPr>
        <w:keepNext w:val="0"/>
        <w:pageBreakBefore w:val="0"/>
        <w:spacing w:line="360" w:lineRule="auto"/>
        <w:rPr>
          <w:rFonts w:hint="eastAsia" w:ascii="宋体" w:hAnsi="宋体" w:cs="宋体"/>
          <w:color w:val="auto"/>
          <w:sz w:val="24"/>
        </w:rPr>
      </w:pPr>
      <w:r>
        <w:rPr>
          <w:rFonts w:hint="eastAsia" w:ascii="宋体" w:hAnsi="宋体" w:cs="宋体"/>
          <w:color w:val="auto"/>
          <w:sz w:val="24"/>
        </w:rPr>
      </w:r>
      <w:r/>
    </w:p>
    <w:p>
      <w:pPr>
        <w:keepNext w:val="0"/>
        <w:pageBreakBefore w:val="0"/>
        <w:spacing w:line="360" w:lineRule="auto"/>
        <w:rPr>
          <w:rFonts w:hint="eastAsia" w:ascii="宋体" w:hAnsi="宋体" w:cs="宋体"/>
          <w:color w:val="auto"/>
          <w:sz w:val="24"/>
        </w:rPr>
      </w:pPr>
      <w:r>
        <w:rPr>
          <w:rFonts w:hint="eastAsia" w:ascii="宋体" w:hAnsi="宋体" w:cs="宋体"/>
          <w:color w:val="auto"/>
          <w:sz w:val="24"/>
        </w:rPr>
      </w:r>
      <w:r/>
    </w:p>
    <w:p>
      <w:pPr>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注：非残疾人福利性单位不需提供此函。</w:t>
      </w:r>
      <w:r/>
    </w:p>
    <w:p>
      <w:pPr>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br w:type="page" w:clear="all"/>
      </w:r>
      <w:r/>
    </w:p>
    <w:p>
      <w:pPr>
        <w:jc w:val="both"/>
        <w:keepNext w:val="0"/>
        <w:pageBreakBefore w:val="0"/>
        <w:spacing w:line="360" w:lineRule="auto"/>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rPr>
        <w:t xml:space="preserve">示范格式</w:t>
      </w:r>
      <w:r>
        <w:rPr>
          <w:rFonts w:hint="eastAsia" w:ascii="宋体" w:hAnsi="宋体" w:eastAsia="宋体" w:cs="宋体"/>
          <w:b w:val="0"/>
          <w:bCs w:val="0"/>
          <w:color w:val="auto"/>
          <w:sz w:val="28"/>
          <w:szCs w:val="28"/>
          <w:lang w:eastAsia="zh-CN"/>
        </w:rPr>
        <w:t xml:space="preserve">六</w:t>
      </w:r>
      <w:r/>
    </w:p>
    <w:p>
      <w:pPr>
        <w:pStyle w:val="899"/>
        <w:ind w:firstLine="1494"/>
        <w:keepLines w:val="0"/>
        <w:keepNext w:val="0"/>
        <w:pageBreakBefore w:val="0"/>
        <w:spacing w:line="640" w:lineRule="exact"/>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      关于符合本国产品标准的声明函</w:t>
      </w:r>
      <w:r/>
    </w:p>
    <w:p>
      <w:pPr>
        <w:pStyle w:val="899"/>
        <w:ind w:firstLine="0"/>
        <w:keepLines w:val="0"/>
        <w:keepNext w:val="0"/>
        <w:pageBreakBefore w:val="0"/>
        <w:spacing w:line="600" w:lineRule="exact"/>
        <w:rPr>
          <w:rFonts w:hint="eastAsia" w:ascii="仿宋" w:hAnsi="仿宋" w:eastAsia="仿宋" w:cs="Times New Roman"/>
          <w:bCs/>
          <w:color w:val="000000"/>
          <w:sz w:val="28"/>
          <w:szCs w:val="28"/>
        </w:rPr>
        <w:outlineLvl w:val="9"/>
      </w:pPr>
      <w:r>
        <w:rPr>
          <w:rFonts w:hint="eastAsia" w:ascii="仿宋" w:hAnsi="仿宋" w:eastAsia="仿宋"/>
          <w:bCs/>
          <w:color w:val="000000"/>
          <w:sz w:val="28"/>
          <w:szCs w:val="28"/>
        </w:rPr>
        <w:t xml:space="preserve">致</w:t>
      </w:r>
      <w:r>
        <w:rPr>
          <w:rFonts w:hint="eastAsia" w:ascii="仿宋" w:hAnsi="仿宋" w:eastAsia="仿宋"/>
          <w:bCs/>
          <w:color w:val="000000"/>
          <w:sz w:val="28"/>
          <w:szCs w:val="28"/>
          <w:u w:val="single"/>
          <w:lang w:val="en-US" w:eastAsia="zh-CN"/>
        </w:rPr>
        <w:t xml:space="preserve">        </w:t>
      </w:r>
      <w:r>
        <w:rPr>
          <w:rFonts w:hint="eastAsia" w:ascii="仿宋" w:hAnsi="仿宋" w:eastAsia="仿宋"/>
          <w:bCs/>
          <w:color w:val="000000"/>
          <w:sz w:val="28"/>
          <w:szCs w:val="28"/>
          <w:lang w:eastAsia="zh-CN"/>
        </w:rPr>
        <w:t xml:space="preserve">（采购人）</w:t>
      </w:r>
      <w:r>
        <w:rPr>
          <w:rFonts w:hint="eastAsia" w:ascii="仿宋" w:hAnsi="仿宋" w:eastAsia="仿宋"/>
          <w:bCs/>
          <w:color w:val="000000"/>
          <w:sz w:val="28"/>
          <w:szCs w:val="28"/>
        </w:rPr>
        <w:t xml:space="preserve">:</w:t>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w:t>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p>
    <w:p>
      <w:pPr>
        <w:pStyle w:val="899"/>
        <w:ind w:firstLine="644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公司名称（盖章）：　</w:t>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w:t>
      </w:r>
      <w:r>
        <w:rPr>
          <w:rFonts w:hint="eastAsia" w:ascii="仿宋" w:hAnsi="仿宋" w:eastAsia="仿宋" w:cs="Times New Roman"/>
          <w:bCs/>
          <w:color w:val="000000"/>
          <w:sz w:val="28"/>
          <w:szCs w:val="28"/>
          <w:lang w:val="en-US" w:eastAsia="zh-CN"/>
        </w:rPr>
        <w:t xml:space="preserve">          </w:t>
      </w:r>
      <w:r>
        <w:rPr>
          <w:rFonts w:hint="eastAsia" w:ascii="仿宋" w:hAnsi="仿宋" w:eastAsia="仿宋" w:cs="Times New Roman"/>
          <w:bCs/>
          <w:color w:val="000000"/>
          <w:sz w:val="28"/>
          <w:szCs w:val="28"/>
        </w:rPr>
        <w:t xml:space="preserve">日期：　年</w:t>
      </w:r>
      <w:r>
        <w:rPr>
          <w:rFonts w:hint="eastAsia" w:ascii="仿宋" w:hAnsi="仿宋" w:eastAsia="仿宋" w:cs="Times New Roman"/>
          <w:bCs/>
          <w:color w:val="000000"/>
          <w:sz w:val="28"/>
          <w:szCs w:val="28"/>
          <w:lang w:val="en-US" w:eastAsia="zh-CN"/>
        </w:rPr>
        <w:t xml:space="preserve">  </w:t>
      </w:r>
      <w:r>
        <w:rPr>
          <w:rFonts w:hint="eastAsia" w:ascii="仿宋" w:hAnsi="仿宋" w:eastAsia="仿宋" w:cs="Times New Roman"/>
          <w:bCs/>
          <w:color w:val="000000"/>
          <w:sz w:val="28"/>
          <w:szCs w:val="28"/>
        </w:rPr>
        <w:t xml:space="preserve">月　日   </w:t>
      </w:r>
      <w:r/>
    </w:p>
    <w:p>
      <w:pPr>
        <w:pStyle w:val="899"/>
        <w:ind w:left="0" w:firstLine="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p>
    <w:p>
      <w:pPr>
        <w:pStyle w:val="899"/>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5.该产品的关键工序要求实施前，“关键工序”栏可不填，下同。</w:t>
      </w:r>
      <w:r/>
    </w:p>
    <w:p>
      <w:pPr>
        <w:rPr>
          <w:rFonts w:hint="eastAsia" w:ascii="宋体" w:hAnsi="宋体" w:eastAsia="宋体" w:cs="宋体"/>
          <w:b/>
          <w:color w:val="auto"/>
          <w:sz w:val="24"/>
          <w:lang w:eastAsia="zh-CN"/>
        </w:rPr>
      </w:pPr>
      <w:r>
        <w:rPr>
          <w:rFonts w:hint="eastAsia" w:ascii="宋体" w:hAnsi="宋体" w:eastAsia="宋体" w:cs="宋体"/>
          <w:b/>
          <w:color w:val="auto"/>
          <w:sz w:val="24"/>
          <w:lang w:eastAsia="zh-CN"/>
        </w:rPr>
        <w:br w:type="page" w:clear="all"/>
      </w:r>
      <w:r/>
    </w:p>
    <w:p>
      <w:pPr>
        <w:pStyle w:val="737"/>
        <w:ind w:firstLine="0"/>
        <w:spacing w:before="143" w:after="143"/>
        <w:rPr>
          <w:rFonts w:hint="eastAsia" w:ascii="宋体" w:hAnsi="宋体" w:eastAsia="宋体" w:cs="宋体"/>
          <w:b w:val="0"/>
          <w:bCs w:val="0"/>
          <w:color w:val="auto"/>
          <w:sz w:val="28"/>
          <w:szCs w:val="28"/>
          <w:lang w:eastAsia="zh-CN"/>
        </w:rPr>
      </w:pPr>
      <w:r>
        <w:rPr>
          <w:rFonts w:hint="eastAsia" w:ascii="宋体" w:hAnsi="宋体" w:cs="宋体"/>
          <w:b w:val="0"/>
          <w:bCs w:val="0"/>
          <w:color w:val="auto"/>
          <w:sz w:val="28"/>
          <w:szCs w:val="28"/>
        </w:rPr>
        <w:t xml:space="preserve">示范格式</w:t>
      </w:r>
      <w:r>
        <w:rPr>
          <w:rFonts w:hint="eastAsia" w:ascii="宋体" w:hAnsi="宋体" w:cs="宋体"/>
          <w:b w:val="0"/>
          <w:bCs w:val="0"/>
          <w:color w:val="auto"/>
          <w:sz w:val="28"/>
          <w:szCs w:val="28"/>
          <w:lang w:val="en-US" w:eastAsia="zh-CN"/>
        </w:rPr>
        <w:t xml:space="preserve">七</w:t>
      </w:r>
      <w:r/>
    </w:p>
    <w:p>
      <w:pPr>
        <w:jc w:val="center"/>
        <w:keepLines w:val="0"/>
        <w:keepNext w:val="0"/>
        <w:pageBreakBefore w:val="0"/>
        <w:spacing w:line="360" w:lineRule="auto"/>
        <w:widowControl w:val="off"/>
        <w:rPr>
          <w:rFonts w:hint="eastAsia" w:ascii="宋体" w:hAnsi="宋体" w:eastAsia="宋体" w:cs="宋体"/>
          <w:color w:val="auto"/>
          <w:sz w:val="36"/>
          <w:szCs w:val="36"/>
        </w:rPr>
      </w:pPr>
      <w:r>
        <w:rPr>
          <w:rFonts w:hint="eastAsia" w:ascii="宋体" w:hAnsi="宋体" w:eastAsia="宋体" w:cs="宋体"/>
          <w:b/>
          <w:bCs w:val="0"/>
          <w:color w:val="auto"/>
          <w:sz w:val="32"/>
          <w:szCs w:val="32"/>
        </w:rPr>
        <w:t xml:space="preserve">承诺书</w:t>
      </w:r>
      <w:r/>
    </w:p>
    <w:p>
      <w:pPr>
        <w:ind w:firstLine="72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致</w:t>
      </w:r>
      <w:r>
        <w:rPr>
          <w:rFonts w:hint="eastAsia" w:ascii="宋体" w:hAnsi="宋体" w:eastAsia="宋体" w:cs="宋体"/>
          <w:color w:val="auto"/>
          <w:sz w:val="24"/>
          <w:szCs w:val="24"/>
          <w:u w:val="single"/>
          <w:lang w:val="en-US" w:eastAsia="zh-CN" w:bidi="ar-SA"/>
        </w:rPr>
        <w:t xml:space="preserve">   （</w:t>
      </w:r>
      <w:r>
        <w:rPr>
          <w:rFonts w:hint="eastAsia" w:ascii="宋体" w:hAnsi="宋体" w:cs="宋体"/>
          <w:color w:val="auto"/>
          <w:sz w:val="24"/>
          <w:szCs w:val="24"/>
          <w:u w:val="single"/>
          <w:lang w:val="en-US" w:eastAsia="zh-CN" w:bidi="ar-SA"/>
        </w:rPr>
        <w:t xml:space="preserve">招标人</w:t>
      </w:r>
      <w:r>
        <w:rPr>
          <w:rFonts w:hint="eastAsia" w:ascii="宋体" w:hAnsi="宋体" w:eastAsia="宋体" w:cs="宋体"/>
          <w:color w:val="auto"/>
          <w:sz w:val="24"/>
          <w:szCs w:val="24"/>
          <w:u w:val="single"/>
          <w:lang w:val="en-US" w:eastAsia="zh-CN" w:bidi="ar-SA"/>
        </w:rPr>
        <w:t xml:space="preserve">名称） </w:t>
      </w:r>
      <w:r>
        <w:rPr>
          <w:rFonts w:hint="eastAsia" w:ascii="宋体" w:hAnsi="宋体" w:eastAsia="宋体" w:cs="宋体"/>
          <w:color w:val="auto"/>
          <w:sz w:val="24"/>
          <w:szCs w:val="24"/>
          <w:lang w:val="en-US" w:eastAsia="zh-CN" w:bidi="ar-SA"/>
        </w:rPr>
        <w:t xml:space="preserve">：</w:t>
      </w:r>
      <w:r/>
    </w:p>
    <w:p>
      <w:pPr>
        <w:ind w:firstLine="72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我公司参加贵单位组织实施的（项目编号</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 </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采购项目的政府采购活动。针对《中华人民共和国政府采购法》第二十二条规定做出如下声明：</w:t>
      </w:r>
      <w:r/>
    </w:p>
    <w:p>
      <w:pPr>
        <w:ind w:firstLine="48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1、我单位具有独立承担民事责任的能力；</w:t>
      </w:r>
      <w:r/>
    </w:p>
    <w:p>
      <w:pPr>
        <w:ind w:firstLine="48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2、我单位具有良好的商业信誉和健全的财务会计制度；</w:t>
      </w:r>
      <w:r/>
    </w:p>
    <w:p>
      <w:pPr>
        <w:ind w:firstLine="48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3、我单位具有履行合同所必需的设备和专业技术能力；</w:t>
      </w:r>
      <w:r/>
    </w:p>
    <w:p>
      <w:pPr>
        <w:ind w:firstLine="48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4、我单位有依法缴纳税收和社会保障资金的良好记录；</w:t>
      </w:r>
      <w:r/>
    </w:p>
    <w:p>
      <w:pPr>
        <w:ind w:firstLine="480"/>
        <w:jc w:val="left"/>
        <w:spacing w:line="6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5、参加本次政府采购活动前三年内，我公司在经营活动中没有因违法经营受到刑事处罚或者责令停产停业、吊销许可证或者执照、较大数额罚款等行政处罚。 </w:t>
      </w:r>
      <w:r/>
    </w:p>
    <w:p>
      <w:pPr>
        <w:ind w:firstLine="547"/>
        <w:spacing w:line="520" w:lineRule="exact"/>
        <w:rPr>
          <w:rFonts w:hint="eastAsia" w:ascii="仿宋" w:hAnsi="仿宋" w:eastAsia="仿宋"/>
          <w:color w:val="auto"/>
          <w:sz w:val="28"/>
          <w:szCs w:val="28"/>
        </w:rPr>
      </w:pPr>
      <w:r>
        <w:rPr>
          <w:rFonts w:hint="eastAsia" w:ascii="宋体" w:hAnsi="宋体" w:eastAsia="宋体" w:cs="宋体"/>
          <w:color w:val="auto"/>
          <w:sz w:val="24"/>
          <w:szCs w:val="24"/>
          <w:lang w:val="en-US" w:eastAsia="zh-CN" w:bidi="ar-SA"/>
        </w:rPr>
        <w:t xml:space="preserve">6、我单位满足法律、行政法规规定的其他条件。</w:t>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ind w:firstLine="5760"/>
        <w:jc w:val="both"/>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（加盖公章）</w:t>
      </w:r>
      <w:r>
        <w:rPr>
          <w:rFonts w:hint="eastAsia" w:ascii="宋体" w:hAnsi="宋体" w:cs="宋体"/>
          <w:color w:val="auto"/>
          <w:sz w:val="24"/>
          <w:szCs w:val="24"/>
          <w:u w:val="single"/>
          <w:lang w:val="en-US" w:eastAsia="zh-CN"/>
        </w:rPr>
        <w:t xml:space="preserve">   </w:t>
      </w:r>
      <w:r/>
    </w:p>
    <w:p>
      <w:pPr>
        <w:ind w:firstLine="5760"/>
        <w:jc w:val="both"/>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rPr>
          <w:rFonts w:hint="eastAsia" w:ascii="宋体" w:hAnsi="宋体" w:eastAsia="宋体" w:cs="宋体"/>
          <w:color w:val="auto"/>
          <w:sz w:val="24"/>
          <w:szCs w:val="24"/>
        </w:rPr>
      </w:pPr>
      <w:r>
        <w:rPr>
          <w:rFonts w:hint="eastAsia" w:ascii="宋体" w:hAnsi="宋体" w:eastAsia="宋体" w:cs="宋体"/>
          <w:color w:val="auto"/>
          <w:sz w:val="24"/>
          <w:szCs w:val="24"/>
        </w:rPr>
        <w:br w:type="page" w:clear="all"/>
      </w:r>
      <w:r/>
    </w:p>
    <w:p>
      <w:pPr>
        <w:pStyle w:val="737"/>
        <w:ind w:firstLine="0"/>
        <w:spacing w:before="143" w:after="143"/>
        <w:rPr>
          <w:rFonts w:hint="eastAsia" w:ascii="宋体" w:hAnsi="宋体" w:eastAsia="宋体" w:cs="宋体"/>
          <w:b w:val="0"/>
          <w:bCs w:val="0"/>
          <w:color w:val="auto"/>
          <w:sz w:val="28"/>
          <w:szCs w:val="28"/>
          <w:lang w:eastAsia="zh-CN"/>
        </w:rPr>
      </w:pPr>
      <w:r>
        <w:rPr>
          <w:rFonts w:hint="eastAsia" w:ascii="宋体" w:hAnsi="宋体" w:cs="宋体"/>
          <w:b w:val="0"/>
          <w:bCs w:val="0"/>
          <w:color w:val="auto"/>
          <w:sz w:val="28"/>
          <w:szCs w:val="28"/>
        </w:rPr>
        <w:t xml:space="preserve">示范格式</w:t>
      </w:r>
      <w:r>
        <w:rPr>
          <w:rFonts w:hint="eastAsia" w:ascii="宋体" w:hAnsi="宋体" w:cs="宋体"/>
          <w:b w:val="0"/>
          <w:bCs w:val="0"/>
          <w:color w:val="auto"/>
          <w:sz w:val="28"/>
          <w:szCs w:val="28"/>
          <w:lang w:val="en-US" w:eastAsia="zh-CN"/>
        </w:rPr>
        <w:t xml:space="preserve">八</w:t>
      </w:r>
      <w:r/>
    </w:p>
    <w:p>
      <w:pPr>
        <w:jc w:val="center"/>
        <w:keepLines w:val="0"/>
        <w:keepNext w:val="0"/>
        <w:pageBreakBefore w:val="0"/>
        <w:spacing w:line="360" w:lineRule="auto"/>
        <w:widowControl w:val="off"/>
        <w:rPr>
          <w:rFonts w:hint="eastAsia" w:ascii="宋体" w:hAnsi="宋体" w:eastAsia="宋体" w:cs="宋体"/>
          <w:b/>
          <w:bCs w:val="0"/>
          <w:color w:val="auto"/>
          <w:sz w:val="32"/>
          <w:szCs w:val="32"/>
        </w:rPr>
      </w:pPr>
      <w:r>
        <w:rPr>
          <w:rFonts w:hint="eastAsia" w:ascii="宋体" w:hAnsi="宋体" w:eastAsia="宋体" w:cs="宋体"/>
          <w:b/>
          <w:bCs w:val="0"/>
          <w:color w:val="auto"/>
          <w:sz w:val="32"/>
          <w:szCs w:val="32"/>
        </w:rPr>
        <w:t xml:space="preserve">技术</w:t>
      </w:r>
      <w:r>
        <w:rPr>
          <w:rFonts w:hint="eastAsia" w:ascii="宋体" w:hAnsi="宋体" w:eastAsia="宋体" w:cs="宋体"/>
          <w:b/>
          <w:bCs w:val="0"/>
          <w:color w:val="auto"/>
          <w:sz w:val="32"/>
          <w:szCs w:val="32"/>
          <w:lang w:eastAsia="zh-CN"/>
        </w:rPr>
        <w:t xml:space="preserve">规格</w:t>
      </w:r>
      <w:r>
        <w:rPr>
          <w:rFonts w:hint="eastAsia" w:ascii="宋体" w:hAnsi="宋体" w:eastAsia="宋体" w:cs="宋体"/>
          <w:b/>
          <w:bCs w:val="0"/>
          <w:color w:val="auto"/>
          <w:sz w:val="32"/>
          <w:szCs w:val="32"/>
        </w:rPr>
        <w:t xml:space="preserve">响应及偏离表</w:t>
      </w:r>
      <w:r/>
    </w:p>
    <w:tbl>
      <w:tblPr>
        <w:tblStyle w:val="1031"/>
        <w:tblW w:w="9537" w:type="dxa"/>
        <w:tblInd w:w="17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77"/>
        <w:gridCol w:w="3418"/>
        <w:gridCol w:w="2879"/>
        <w:gridCol w:w="1079"/>
        <w:gridCol w:w="1084"/>
      </w:tblGrid>
      <w:tr>
        <w:trPr>
          <w:trHeight w:val="713"/>
        </w:trPr>
        <w:tc>
          <w:tcPr>
            <w:tcW w:w="1077" w:type="dxa"/>
            <w:textDirection w:val="lrTb"/>
            <w:noWrap w:val="false"/>
          </w:tcPr>
          <w:p>
            <w:pPr>
              <w:pStyle w:val="1030"/>
              <w:ind w:left="304"/>
              <w:spacing w:before="159" w:line="222" w:lineRule="auto"/>
            </w:pPr>
            <w:r>
              <w:rPr>
                <w:spacing w:val="-5"/>
              </w:rPr>
              <w:t xml:space="preserve">序号</w:t>
            </w:r>
            <w:r/>
          </w:p>
        </w:tc>
        <w:tc>
          <w:tcPr>
            <w:tcW w:w="3418" w:type="dxa"/>
            <w:textDirection w:val="lrTb"/>
            <w:noWrap w:val="false"/>
          </w:tcPr>
          <w:p>
            <w:pPr>
              <w:pStyle w:val="1030"/>
              <w:ind w:left="1236" w:right="387" w:hanging="838"/>
              <w:spacing w:before="80" w:line="230" w:lineRule="auto"/>
            </w:pPr>
            <w:r>
              <w:rPr>
                <w:spacing w:val="-2"/>
              </w:rPr>
              <w:t xml:space="preserve">项目采购需求中主要技术</w:t>
            </w:r>
            <w:r>
              <w:rPr>
                <w:spacing w:val="7"/>
              </w:rPr>
              <w:t xml:space="preserve"> </w:t>
            </w:r>
            <w:r>
              <w:rPr>
                <w:spacing w:val="-3"/>
              </w:rPr>
              <w:t xml:space="preserve">条款描述</w:t>
            </w:r>
            <w:r/>
          </w:p>
        </w:tc>
        <w:tc>
          <w:tcPr>
            <w:tcW w:w="2879" w:type="dxa"/>
            <w:textDirection w:val="lrTb"/>
            <w:noWrap w:val="false"/>
          </w:tcPr>
          <w:p>
            <w:pPr>
              <w:pStyle w:val="1030"/>
              <w:ind w:left="608" w:right="115" w:hanging="480"/>
              <w:spacing w:before="80" w:line="230" w:lineRule="auto"/>
            </w:pPr>
            <w:r>
              <w:rPr>
                <w:spacing w:val="-1"/>
              </w:rPr>
              <w:t xml:space="preserve">所报产品规格、型号及相</w:t>
            </w:r>
            <w:r>
              <w:t xml:space="preserve"> </w:t>
            </w:r>
            <w:r>
              <w:rPr>
                <w:spacing w:val="-2"/>
              </w:rPr>
              <w:t xml:space="preserve">应技术参数描述</w:t>
            </w:r>
            <w:r/>
          </w:p>
        </w:tc>
        <w:tc>
          <w:tcPr>
            <w:tcW w:w="1079" w:type="dxa"/>
            <w:textDirection w:val="lrTb"/>
            <w:noWrap w:val="false"/>
          </w:tcPr>
          <w:p>
            <w:pPr>
              <w:pStyle w:val="1030"/>
              <w:ind w:left="253"/>
              <w:spacing w:before="80"/>
            </w:pPr>
            <w:r>
              <w:rPr>
                <w:spacing w:val="-5"/>
              </w:rPr>
              <w:t xml:space="preserve">偏离</w:t>
            </w:r>
            <w:r/>
          </w:p>
          <w:p>
            <w:pPr>
              <w:pStyle w:val="1030"/>
              <w:ind w:left="252"/>
              <w:spacing w:before="1" w:line="220" w:lineRule="auto"/>
            </w:pPr>
            <w:r>
              <w:rPr>
                <w:spacing w:val="-4"/>
              </w:rPr>
              <w:t xml:space="preserve">情况</w:t>
            </w:r>
            <w:r/>
          </w:p>
        </w:tc>
        <w:tc>
          <w:tcPr>
            <w:tcW w:w="1084" w:type="dxa"/>
            <w:textDirection w:val="lrTb"/>
            <w:noWrap w:val="false"/>
          </w:tcPr>
          <w:p>
            <w:pPr>
              <w:pStyle w:val="1030"/>
              <w:ind w:left="313"/>
              <w:spacing w:before="159" w:line="222" w:lineRule="auto"/>
            </w:pPr>
            <w:r>
              <w:rPr>
                <w:spacing w:val="-7"/>
              </w:rPr>
              <w:t xml:space="preserve">备注</w:t>
            </w:r>
            <w:r/>
          </w:p>
        </w:tc>
      </w:tr>
      <w:tr>
        <w:trPr>
          <w:trHeight w:val="708"/>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9"/>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9"/>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8"/>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9"/>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8"/>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9"/>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8"/>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9"/>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9"/>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13"/>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bl>
    <w:p>
      <w:pPr>
        <w:pStyle w:val="706"/>
        <w:ind w:left="318"/>
        <w:spacing w:before="175" w:line="220" w:lineRule="auto"/>
        <w:rPr>
          <w:rFonts w:hint="eastAsia" w:ascii="宋体" w:hAnsi="宋体" w:eastAsia="宋体" w:cs="宋体"/>
          <w:spacing w:val="-3"/>
          <w:sz w:val="24"/>
          <w:szCs w:val="24"/>
        </w:rPr>
      </w:pPr>
      <w:r>
        <w:rPr>
          <w:rFonts w:hint="eastAsia" w:ascii="宋体" w:hAnsi="宋体" w:eastAsia="宋体" w:cs="宋体"/>
          <w:spacing w:val="-3"/>
          <w:sz w:val="24"/>
          <w:szCs w:val="24"/>
        </w:rPr>
        <w:t xml:space="preserve">供应商:   （加盖公章）     </w:t>
      </w:r>
      <w:r/>
    </w:p>
    <w:p>
      <w:pPr>
        <w:pStyle w:val="706"/>
        <w:ind w:left="318"/>
        <w:spacing w:before="120" w:line="221" w:lineRule="auto"/>
        <w:rPr>
          <w:rFonts w:hint="eastAsia" w:ascii="宋体" w:hAnsi="宋体" w:eastAsia="宋体" w:cs="宋体"/>
          <w:spacing w:val="-3"/>
          <w:sz w:val="24"/>
          <w:szCs w:val="24"/>
        </w:rPr>
      </w:pPr>
      <w:r>
        <w:rPr>
          <w:rFonts w:hint="eastAsia" w:ascii="宋体" w:hAnsi="宋体" w:eastAsia="宋体" w:cs="宋体"/>
          <w:spacing w:val="-3"/>
          <w:sz w:val="24"/>
          <w:szCs w:val="24"/>
        </w:rPr>
        <w:t xml:space="preserve">注:（1）此表为表样，行数可自行添加，但表式不变。</w:t>
      </w:r>
      <w:r/>
    </w:p>
    <w:p>
      <w:pPr>
        <w:pStyle w:val="706"/>
        <w:ind w:left="183" w:right="619" w:firstLine="562"/>
        <w:spacing w:before="105" w:line="256" w:lineRule="auto"/>
        <w:rPr>
          <w:rFonts w:hint="eastAsia" w:ascii="宋体" w:hAnsi="宋体" w:eastAsia="宋体" w:cs="宋体"/>
          <w:spacing w:val="-3"/>
          <w:sz w:val="24"/>
          <w:szCs w:val="24"/>
        </w:rPr>
      </w:pPr>
      <w:r>
        <w:rPr>
          <w:rFonts w:hint="eastAsia" w:ascii="宋体" w:hAnsi="宋体" w:eastAsia="宋体" w:cs="宋体"/>
          <w:spacing w:val="-3"/>
          <w:sz w:val="24"/>
          <w:szCs w:val="24"/>
        </w:rPr>
        <w:t xml:space="preserve">（2）是否偏离用符号“+、=、- ”分别表示正偏离、完全响应、负偏离。</w:t>
      </w:r>
      <w:r/>
    </w:p>
    <w:p>
      <w:pPr>
        <w:pStyle w:val="706"/>
        <w:ind w:left="180" w:right="196" w:firstLine="566"/>
        <w:spacing w:before="101" w:line="268" w:lineRule="auto"/>
        <w:rPr>
          <w:rFonts w:hint="eastAsia" w:ascii="宋体" w:hAnsi="宋体" w:eastAsia="宋体" w:cs="宋体"/>
          <w:spacing w:val="-3"/>
          <w:sz w:val="24"/>
          <w:szCs w:val="24"/>
        </w:rPr>
      </w:pPr>
      <w:r>
        <w:rPr>
          <w:rFonts w:hint="eastAsia" w:ascii="宋体" w:hAnsi="宋体" w:eastAsia="宋体" w:cs="宋体"/>
          <w:spacing w:val="-3"/>
          <w:sz w:val="24"/>
          <w:szCs w:val="24"/>
        </w:rPr>
        <w:t xml:space="preserve">（3）投标人必须仔细阅读本招标文件第五章中所有技术规范条款和相关功能要求，并将响应情况及偏离情况逐项填入上表。</w:t>
      </w:r>
      <w:r/>
    </w:p>
    <w:p>
      <w:pPr>
        <w:spacing w:line="440" w:lineRule="exact"/>
        <w:rPr>
          <w:rFonts w:hint="eastAsia"/>
          <w:lang w:eastAsia="zh-CN"/>
        </w:rPr>
      </w:pPr>
      <w:r>
        <w:rPr>
          <w:rFonts w:hint="eastAsia"/>
          <w:lang w:eastAsia="zh-CN"/>
        </w:rPr>
      </w:r>
      <w:r/>
    </w:p>
    <w:p>
      <w:pPr>
        <w:pStyle w:val="737"/>
        <w:ind w:firstLine="0"/>
        <w:spacing w:before="143" w:after="143"/>
        <w:rPr>
          <w:rFonts w:hint="eastAsia" w:ascii="宋体" w:hAnsi="宋体" w:cs="宋体"/>
          <w:b w:val="0"/>
          <w:bCs w:val="0"/>
          <w:color w:val="auto"/>
          <w:sz w:val="28"/>
          <w:szCs w:val="28"/>
          <w:lang w:val="en-US" w:eastAsia="zh-CN"/>
        </w:rPr>
      </w:pPr>
      <w:r>
        <w:rPr>
          <w:rFonts w:hint="eastAsia" w:ascii="宋体" w:hAnsi="宋体" w:cs="宋体"/>
          <w:b w:val="0"/>
          <w:bCs w:val="0"/>
          <w:color w:val="auto"/>
          <w:sz w:val="28"/>
          <w:szCs w:val="28"/>
          <w:lang w:val="en-US" w:eastAsia="zh-CN"/>
        </w:rPr>
      </w:r>
      <w:r/>
    </w:p>
    <w:p>
      <w:pPr>
        <w:pStyle w:val="735"/>
        <w:rPr>
          <w:rFonts w:hint="eastAsia"/>
          <w:lang w:eastAsia="zh-CN"/>
        </w:rPr>
      </w:pPr>
      <w:r>
        <w:rPr>
          <w:rFonts w:hint="eastAsia"/>
          <w:lang w:eastAsia="zh-CN"/>
        </w:rPr>
      </w:r>
      <w:r/>
    </w:p>
    <w:sectPr>
      <w:footerReference w:type="default" r:id="rId10"/>
      <w:footerReference w:type="even" r:id="rId1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FangSong">
    <w:panose1 w:val="02010609060101010101"/>
  </w:font>
  <w:font w:name="SimSun">
    <w:panose1 w:val="02010600030101010101"/>
  </w:font>
  <w:font w:name="Symbol">
    <w:panose1 w:val="05050102010706020507"/>
  </w:font>
  <w:font w:name="XKEM5cxj+SimSun">
    <w:panose1 w:val="020B0503020202020204"/>
  </w:font>
  <w:font w:name="Wingdings">
    <w:panose1 w:val="05000000000000000000"/>
  </w:font>
  <w:font w:name="方正仿宋简体">
    <w:panose1 w:val="020B0503020202020204"/>
  </w:font>
  <w:font w:name="Tahoma">
    <w:panose1 w:val="020B0604030504040204"/>
  </w:font>
  <w:font w:name="楷体">
    <w:panose1 w:val="02010609060101010101"/>
  </w:font>
  <w:font w:name="Cambria">
    <w:panose1 w:val="02040503050406030204"/>
  </w:font>
  <w:font w:name="Adobe 仿宋 Std R">
    <w:panose1 w:val="020B0503020202020204"/>
  </w:font>
  <w:font w:name="Calibri">
    <w:panose1 w:val="020F0502020204030204"/>
  </w:font>
  <w:font w:name="华文彩云">
    <w:panose1 w:val="02010800040101010101"/>
  </w:font>
  <w:font w:name="Courier New">
    <w:panose1 w:val="02070309020205020404"/>
  </w:font>
  <w:font w:name="黑体">
    <w:panose1 w:val="02010609060101010101"/>
  </w:font>
  <w:font w:name="yUARI7Jb+SimSun">
    <w:panose1 w:val="020B0503020202020204"/>
  </w:font>
  <w:font w:name="Helv">
    <w:panose1 w:val="020B0503020202020204"/>
  </w:font>
  <w:font w:name="Verdana">
    <w:panose1 w:val="020B0604030504040204"/>
  </w:font>
  <w:font w:name="仿宋_GB2312">
    <w:panose1 w:val="02010609060101010101"/>
  </w:font>
  <w:font w:name="楷体_GB2312">
    <w:panose1 w:val="02010609060101010101"/>
  </w:font>
  <w:font w:name="仿宋">
    <w:panose1 w:val="02010609060101010101"/>
  </w:font>
  <w:font w:name="等线">
    <w:panose1 w:val="0201060003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ind w:left="4793"/>
      <w:spacing w:line="172" w:lineRule="auto"/>
      <w:rPr>
        <w:sz w:val="18"/>
        <w:szCs w:val="18"/>
      </w:rPr>
    </w:pPr>
    <w:r>
      <w:rPr>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tabs>
        <w:tab w:val="left" w:pos="7595" w:leader="none"/>
      </w:tabs>
      <w:rPr>
        <w:rFonts w:hint="eastAsia" w:eastAsia="宋体"/>
        <w:lang w:eastAsia="zh-CN"/>
      </w:rPr>
    </w:pP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rPr>
        <w:rStyle w:val="924"/>
      </w:rPr>
      <w:framePr w:wrap="around" w:vAnchor="text" w:hAnchor="margin" w:xAlign="center" w:y="1"/>
    </w:pPr>
    <w:r>
      <w:fldChar w:fldCharType="begin"/>
    </w:r>
    <w:r>
      <w:rPr>
        <w:rStyle w:val="924"/>
      </w:rPr>
      <w:instrText xml:space="preserve">PAGE  </w:instrText>
    </w:r>
    <w:r>
      <w:fldChar w:fldCharType="end"/>
    </w:r>
    <w:r/>
  </w:p>
  <w:p>
    <w:pPr>
      <w:pStyle w:val="91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002"/>
      <w:isLgl w:val="false"/>
      <w:suff w:val="tab"/>
      <w:lvlText w:val=""/>
      <w:lvlJc w:val="left"/>
      <w:pPr>
        <w:ind w:left="970" w:hanging="250"/>
        <w:tabs>
          <w:tab w:val="left" w:pos="720" w:leader="none"/>
        </w:tabs>
      </w:pPr>
      <w:rPr>
        <w:rFonts w:ascii="Wingdings" w:hAnsi="Wingdings"/>
      </w:rPr>
    </w:lvl>
    <w:lvl w:ilvl="1">
      <w:start w:val="1"/>
      <w:numFmt w:val="bullet"/>
      <w:isLgl w:val="false"/>
      <w:suff w:val="tab"/>
      <w:lvlText w:val=""/>
      <w:lvlJc w:val="left"/>
      <w:pPr>
        <w:ind w:left="789" w:hanging="420"/>
        <w:tabs>
          <w:tab w:val="left" w:pos="789" w:leader="none"/>
        </w:tabs>
      </w:pPr>
      <w:rPr>
        <w:rFonts w:ascii="Wingdings" w:hAnsi="Wingdings"/>
      </w:rPr>
    </w:lvl>
    <w:lvl w:ilvl="2">
      <w:start w:val="1"/>
      <w:numFmt w:val="bullet"/>
      <w:isLgl w:val="false"/>
      <w:suff w:val="tab"/>
      <w:lvlText w:val=""/>
      <w:lvlJc w:val="left"/>
      <w:pPr>
        <w:ind w:left="1209" w:hanging="420"/>
        <w:tabs>
          <w:tab w:val="left" w:pos="1209" w:leader="none"/>
        </w:tabs>
      </w:pPr>
      <w:rPr>
        <w:rFonts w:ascii="Wingdings" w:hAnsi="Wingdings"/>
      </w:rPr>
    </w:lvl>
    <w:lvl w:ilvl="3">
      <w:start w:val="1"/>
      <w:numFmt w:val="bullet"/>
      <w:isLgl w:val="false"/>
      <w:suff w:val="tab"/>
      <w:lvlText w:val=""/>
      <w:lvlJc w:val="left"/>
      <w:pPr>
        <w:ind w:left="1629" w:hanging="420"/>
        <w:tabs>
          <w:tab w:val="left" w:pos="1629" w:leader="none"/>
        </w:tabs>
      </w:pPr>
      <w:rPr>
        <w:rFonts w:ascii="Wingdings" w:hAnsi="Wingdings"/>
      </w:rPr>
    </w:lvl>
    <w:lvl w:ilvl="4">
      <w:start w:val="1"/>
      <w:numFmt w:val="bullet"/>
      <w:isLgl w:val="false"/>
      <w:suff w:val="tab"/>
      <w:lvlText w:val=""/>
      <w:lvlJc w:val="left"/>
      <w:pPr>
        <w:ind w:left="2049" w:hanging="420"/>
        <w:tabs>
          <w:tab w:val="left" w:pos="2049" w:leader="none"/>
        </w:tabs>
      </w:pPr>
      <w:rPr>
        <w:rFonts w:ascii="Wingdings" w:hAnsi="Wingdings"/>
      </w:rPr>
    </w:lvl>
    <w:lvl w:ilvl="5">
      <w:start w:val="1"/>
      <w:numFmt w:val="bullet"/>
      <w:isLgl w:val="false"/>
      <w:suff w:val="tab"/>
      <w:lvlText w:val=""/>
      <w:lvlJc w:val="left"/>
      <w:pPr>
        <w:ind w:left="2469" w:hanging="420"/>
        <w:tabs>
          <w:tab w:val="left" w:pos="2469" w:leader="none"/>
        </w:tabs>
      </w:pPr>
      <w:rPr>
        <w:rFonts w:ascii="Wingdings" w:hAnsi="Wingdings"/>
      </w:rPr>
    </w:lvl>
    <w:lvl w:ilvl="6">
      <w:start w:val="1"/>
      <w:numFmt w:val="bullet"/>
      <w:isLgl w:val="false"/>
      <w:suff w:val="tab"/>
      <w:lvlText w:val=""/>
      <w:lvlJc w:val="left"/>
      <w:pPr>
        <w:ind w:left="2889" w:hanging="420"/>
        <w:tabs>
          <w:tab w:val="left" w:pos="2889" w:leader="none"/>
        </w:tabs>
      </w:pPr>
      <w:rPr>
        <w:rFonts w:ascii="Wingdings" w:hAnsi="Wingdings"/>
      </w:rPr>
    </w:lvl>
    <w:lvl w:ilvl="7">
      <w:start w:val="1"/>
      <w:numFmt w:val="bullet"/>
      <w:isLgl w:val="false"/>
      <w:suff w:val="tab"/>
      <w:lvlText w:val=""/>
      <w:lvlJc w:val="left"/>
      <w:pPr>
        <w:ind w:left="3309" w:hanging="420"/>
        <w:tabs>
          <w:tab w:val="left" w:pos="3309" w:leader="none"/>
        </w:tabs>
      </w:pPr>
      <w:rPr>
        <w:rFonts w:ascii="Wingdings" w:hAnsi="Wingdings"/>
      </w:rPr>
    </w:lvl>
    <w:lvl w:ilvl="8">
      <w:start w:val="1"/>
      <w:numFmt w:val="bullet"/>
      <w:isLgl w:val="false"/>
      <w:suff w:val="tab"/>
      <w:lvlText w:val=""/>
      <w:lvlJc w:val="left"/>
      <w:pPr>
        <w:ind w:left="3729" w:hanging="420"/>
        <w:tabs>
          <w:tab w:val="left" w:pos="3729" w:leader="none"/>
        </w:tabs>
      </w:pPr>
      <w:rPr>
        <w:rFonts w:ascii="Wingdings" w:hAnsi="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92"/>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93"/>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space"/>
      <w:lvlText w:val="第%1章"/>
      <w:lvlJc w:val="left"/>
      <w:pPr>
        <w:ind w:left="3403" w:firstLine="0"/>
      </w:pPr>
      <w:rPr>
        <w:rFonts w:hint="eastAsia"/>
      </w:rPr>
    </w:lvl>
    <w:lvl w:ilvl="1">
      <w:start w:val="1"/>
      <w:numFmt w:val="decimal"/>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ascii="Times New Roman" w:hAnsi="Times New Roman" w:cs="Times New Roman"/>
        <w:sz w:val="32"/>
        <w:szCs w:val="32"/>
      </w:rPr>
    </w:lvl>
    <w:lvl w:ilvl="3">
      <w:start w:val="1"/>
      <w:numFmt w:val="decimal"/>
      <w:pStyle w:val="894"/>
      <w:isLgl w:val="false"/>
      <w:suff w:val="space"/>
      <w:lvlText w:val="%1.%2.%3.%4"/>
      <w:lvlJc w:val="left"/>
      <w:pPr>
        <w:ind w:left="3060" w:firstLine="0"/>
      </w:pPr>
      <w:rPr>
        <w:rFonts w:hint="eastAsia"/>
      </w:rPr>
    </w:lvl>
    <w:lvl w:ilvl="4">
      <w:start w:val="1"/>
      <w:numFmt w:val="decimal"/>
      <w:isLgl w:val="false"/>
      <w:suff w:val="space"/>
      <w:lvlText w:val="%1.%2.%3.%4.%5"/>
      <w:lvlJc w:val="left"/>
      <w:pPr>
        <w:ind w:left="3060" w:firstLine="0"/>
      </w:pPr>
      <w:rPr>
        <w:rFonts w:hint="eastAsia"/>
      </w:rPr>
    </w:lvl>
    <w:lvl w:ilvl="5">
      <w:start w:val="1"/>
      <w:numFmt w:val="decimal"/>
      <w:isLgl w:val="false"/>
      <w:suff w:val="space"/>
      <w:lvlText w:val="%1.%2.%3.%4.%5.%6"/>
      <w:lvlJc w:val="left"/>
      <w:pPr>
        <w:ind w:left="3060" w:firstLine="0"/>
      </w:pPr>
      <w:rPr>
        <w:rFonts w:hint="eastAsia"/>
      </w:rPr>
    </w:lvl>
    <w:lvl w:ilvl="6">
      <w:start w:val="1"/>
      <w:numFmt w:val="decimal"/>
      <w:isLgl w:val="false"/>
      <w:suff w:val="nothing"/>
      <w:lvlText w:val=""/>
      <w:lvlJc w:val="left"/>
      <w:pPr>
        <w:ind w:left="3060" w:firstLine="0"/>
      </w:pPr>
      <w:rPr>
        <w:rFonts w:hint="eastAsia"/>
      </w:rPr>
    </w:lvl>
    <w:lvl w:ilvl="7">
      <w:start w:val="1"/>
      <w:numFmt w:val="decimal"/>
      <w:isLgl w:val="false"/>
      <w:suff w:val="nothing"/>
      <w:lvlText w:val=""/>
      <w:lvlJc w:val="left"/>
      <w:pPr>
        <w:ind w:left="3060" w:firstLine="0"/>
      </w:pPr>
      <w:rPr>
        <w:rFonts w:hint="eastAsia"/>
      </w:rPr>
    </w:lvl>
    <w:lvl w:ilvl="8">
      <w:start w:val="1"/>
      <w:numFmt w:val="decimal"/>
      <w:isLgl w:val="false"/>
      <w:suff w:val="nothing"/>
      <w:lvlText w:val=""/>
      <w:lvlJc w:val="left"/>
      <w:pPr>
        <w:ind w:left="3060" w:firstLine="0"/>
      </w:pPr>
      <w:rPr>
        <w:rFonts w:hint="eastAsia"/>
      </w:rPr>
    </w:lvl>
  </w:abstractNum>
  <w:abstractNum w:abstractNumId="8">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7"/>
  </w:num>
  <w:num w:numId="3">
    <w:abstractNumId w:val="3"/>
  </w:num>
  <w:num w:numId="4">
    <w:abstractNumId w:val="8"/>
  </w:num>
  <w:num w:numId="5">
    <w:abstractNumId w:val="4"/>
  </w:num>
  <w:num w:numId="6">
    <w:abstractNumId w:val="1"/>
  </w:num>
  <w:num w:numId="7">
    <w:abstractNumId w:val="6"/>
  </w:num>
  <w:num w:numId="8">
    <w:abstractNumId w:val="2"/>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next w:val="702"/>
    <w:link w:val="9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1">
    <w:name w:val="Heading 1"/>
    <w:basedOn w:val="690"/>
    <w:next w:val="690"/>
    <w:link w:val="744"/>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45"/>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46"/>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703"/>
    <w:link w:val="747"/>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48"/>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49"/>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50"/>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51"/>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52"/>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703">
    <w:name w:val="Normal Indent"/>
    <w:basedOn w:val="690"/>
    <w:uiPriority w:val="0"/>
    <w:qFormat/>
    <w:pPr>
      <w:ind w:firstLine="420"/>
    </w:pPr>
    <w:rPr>
      <w:szCs w:val="20"/>
    </w:rPr>
  </w:style>
  <w:style w:type="paragraph" w:styleId="704">
    <w:name w:val="toc 7"/>
    <w:basedOn w:val="690"/>
    <w:next w:val="690"/>
    <w:uiPriority w:val="39"/>
    <w:unhideWhenUsed/>
    <w:qFormat/>
    <w:pPr>
      <w:ind w:left="1701" w:right="0" w:firstLine="0"/>
      <w:spacing w:after="57"/>
    </w:pPr>
  </w:style>
  <w:style w:type="paragraph" w:styleId="705">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6">
    <w:name w:val="Body Text"/>
    <w:basedOn w:val="690"/>
    <w:uiPriority w:val="1"/>
    <w:qFormat/>
    <w:rPr>
      <w:rFonts w:ascii="楷体_GB2312" w:hAnsi="Arial" w:eastAsia="楷体_GB2312"/>
      <w:sz w:val="28"/>
      <w:szCs w:val="20"/>
    </w:rPr>
  </w:style>
  <w:style w:type="paragraph" w:styleId="707">
    <w:name w:val="Body Text Indent"/>
    <w:basedOn w:val="690"/>
    <w:next w:val="708"/>
    <w:uiPriority w:val="0"/>
    <w:qFormat/>
    <w:pPr>
      <w:ind w:firstLine="645"/>
    </w:pPr>
    <w:rPr>
      <w:rFonts w:ascii="楷体_GB2312" w:eastAsia="楷体_GB2312"/>
      <w:sz w:val="32"/>
      <w:szCs w:val="20"/>
    </w:rPr>
  </w:style>
  <w:style w:type="paragraph" w:styleId="708">
    <w:name w:val="envelope return"/>
    <w:basedOn w:val="690"/>
    <w:uiPriority w:val="0"/>
    <w:qFormat/>
    <w:rPr>
      <w:rFonts w:ascii="Arial" w:hAnsi="Arial" w:eastAsia="宋体" w:cs="Times New Roman"/>
    </w:rPr>
  </w:style>
  <w:style w:type="paragraph" w:styleId="709">
    <w:name w:val="Block Text"/>
    <w:basedOn w:val="690"/>
    <w:uiPriority w:val="0"/>
    <w:qFormat/>
    <w:pPr>
      <w:ind w:left="256" w:right="6" w:firstLine="624"/>
      <w:jc w:val="left"/>
    </w:pPr>
    <w:rPr>
      <w:rFonts w:ascii="宋体" w:hAnsi="宋体" w:eastAsia="仿宋_GB2312"/>
      <w:sz w:val="28"/>
      <w:szCs w:val="20"/>
      <w:lang w:eastAsia="en-US"/>
    </w:rPr>
  </w:style>
  <w:style w:type="paragraph" w:styleId="710">
    <w:name w:val="toc 5"/>
    <w:basedOn w:val="690"/>
    <w:next w:val="690"/>
    <w:uiPriority w:val="39"/>
    <w:unhideWhenUsed/>
    <w:qFormat/>
    <w:pPr>
      <w:ind w:left="1134" w:right="0" w:firstLine="0"/>
      <w:spacing w:after="57"/>
    </w:pPr>
  </w:style>
  <w:style w:type="paragraph" w:styleId="711">
    <w:name w:val="toc 3"/>
    <w:basedOn w:val="690"/>
    <w:next w:val="690"/>
    <w:uiPriority w:val="39"/>
    <w:unhideWhenUsed/>
    <w:qFormat/>
    <w:pPr>
      <w:ind w:left="567" w:right="0" w:firstLine="0"/>
      <w:spacing w:after="57"/>
    </w:pPr>
  </w:style>
  <w:style w:type="paragraph" w:styleId="712">
    <w:name w:val="Plain Text"/>
    <w:basedOn w:val="690"/>
    <w:uiPriority w:val="0"/>
    <w:qFormat/>
    <w:rPr>
      <w:rFonts w:ascii="宋体" w:hAnsi="Courier New"/>
      <w:szCs w:val="20"/>
    </w:rPr>
  </w:style>
  <w:style w:type="paragraph" w:styleId="713">
    <w:name w:val="toc 8"/>
    <w:basedOn w:val="690"/>
    <w:next w:val="690"/>
    <w:uiPriority w:val="39"/>
    <w:unhideWhenUsed/>
    <w:qFormat/>
    <w:pPr>
      <w:ind w:left="1984" w:right="0" w:firstLine="0"/>
      <w:spacing w:after="57"/>
    </w:pPr>
  </w:style>
  <w:style w:type="paragraph" w:styleId="714">
    <w:name w:val="endnote text"/>
    <w:basedOn w:val="690"/>
    <w:link w:val="890"/>
    <w:uiPriority w:val="99"/>
    <w:semiHidden/>
    <w:unhideWhenUsed/>
    <w:qFormat/>
    <w:pPr>
      <w:spacing w:after="0" w:line="240" w:lineRule="auto"/>
    </w:pPr>
    <w:rPr>
      <w:sz w:val="20"/>
    </w:rPr>
  </w:style>
  <w:style w:type="paragraph" w:styleId="715">
    <w:name w:val="Footer"/>
    <w:basedOn w:val="690"/>
    <w:link w:val="763"/>
    <w:uiPriority w:val="99"/>
    <w:unhideWhenUsed/>
    <w:qFormat/>
    <w:pPr>
      <w:spacing w:after="0" w:line="240" w:lineRule="auto"/>
      <w:tabs>
        <w:tab w:val="center" w:pos="7143" w:leader="none"/>
        <w:tab w:val="right" w:pos="14287" w:leader="none"/>
      </w:tabs>
    </w:pPr>
  </w:style>
  <w:style w:type="paragraph" w:styleId="716">
    <w:name w:val="Header"/>
    <w:basedOn w:val="690"/>
    <w:link w:val="761"/>
    <w:uiPriority w:val="99"/>
    <w:unhideWhenUsed/>
    <w:qFormat/>
    <w:pPr>
      <w:spacing w:after="0" w:line="240" w:lineRule="auto"/>
      <w:tabs>
        <w:tab w:val="center" w:pos="7143" w:leader="none"/>
        <w:tab w:val="right" w:pos="14287" w:leader="none"/>
      </w:tabs>
    </w:pPr>
  </w:style>
  <w:style w:type="paragraph" w:styleId="717">
    <w:name w:val="toc 1"/>
    <w:basedOn w:val="690"/>
    <w:next w:val="690"/>
    <w:uiPriority w:val="39"/>
    <w:unhideWhenUsed/>
    <w:qFormat/>
    <w:pPr>
      <w:ind w:left="0" w:right="0" w:firstLine="0"/>
      <w:spacing w:after="57"/>
    </w:pPr>
  </w:style>
  <w:style w:type="paragraph" w:styleId="718">
    <w:name w:val="toc 4"/>
    <w:basedOn w:val="690"/>
    <w:next w:val="690"/>
    <w:uiPriority w:val="39"/>
    <w:unhideWhenUsed/>
    <w:qFormat/>
    <w:pPr>
      <w:ind w:left="850" w:right="0" w:firstLine="0"/>
      <w:spacing w:after="57"/>
    </w:pPr>
  </w:style>
  <w:style w:type="paragraph" w:styleId="719">
    <w:name w:val="Subtitle"/>
    <w:basedOn w:val="690"/>
    <w:next w:val="690"/>
    <w:link w:val="756"/>
    <w:uiPriority w:val="11"/>
    <w:qFormat/>
    <w:pPr>
      <w:spacing w:before="200" w:after="200"/>
    </w:pPr>
    <w:rPr>
      <w:sz w:val="24"/>
      <w:szCs w:val="24"/>
    </w:rPr>
  </w:style>
  <w:style w:type="paragraph" w:styleId="720">
    <w:name w:val="footnote text"/>
    <w:basedOn w:val="690"/>
    <w:link w:val="889"/>
    <w:uiPriority w:val="99"/>
    <w:semiHidden/>
    <w:unhideWhenUsed/>
    <w:qFormat/>
    <w:pPr>
      <w:spacing w:after="40" w:line="240" w:lineRule="auto"/>
    </w:pPr>
    <w:rPr>
      <w:sz w:val="18"/>
    </w:rPr>
  </w:style>
  <w:style w:type="paragraph" w:styleId="721">
    <w:name w:val="toc 6"/>
    <w:basedOn w:val="690"/>
    <w:next w:val="690"/>
    <w:uiPriority w:val="39"/>
    <w:unhideWhenUsed/>
    <w:qFormat/>
    <w:pPr>
      <w:ind w:left="1417" w:right="0" w:firstLine="0"/>
      <w:spacing w:after="57"/>
    </w:pPr>
  </w:style>
  <w:style w:type="paragraph" w:styleId="722">
    <w:name w:val="table of figures"/>
    <w:basedOn w:val="690"/>
    <w:next w:val="690"/>
    <w:uiPriority w:val="99"/>
    <w:unhideWhenUsed/>
    <w:qFormat/>
    <w:pPr>
      <w:spacing w:after="0" w:afterAutospacing="0"/>
    </w:pPr>
  </w:style>
  <w:style w:type="paragraph" w:styleId="723">
    <w:name w:val="toc 2"/>
    <w:basedOn w:val="690"/>
    <w:next w:val="690"/>
    <w:uiPriority w:val="39"/>
    <w:unhideWhenUsed/>
    <w:qFormat/>
    <w:pPr>
      <w:ind w:left="283" w:right="0" w:firstLine="0"/>
      <w:spacing w:after="57"/>
    </w:pPr>
  </w:style>
  <w:style w:type="paragraph" w:styleId="724">
    <w:name w:val="toc 9"/>
    <w:basedOn w:val="690"/>
    <w:next w:val="690"/>
    <w:uiPriority w:val="39"/>
    <w:unhideWhenUsed/>
    <w:qFormat/>
    <w:pPr>
      <w:ind w:left="2268" w:right="0" w:firstLine="0"/>
      <w:spacing w:after="57"/>
    </w:pPr>
  </w:style>
  <w:style w:type="paragraph" w:styleId="725">
    <w:name w:val="Body Text 2"/>
    <w:basedOn w:val="690"/>
    <w:uiPriority w:val="0"/>
    <w:qFormat/>
    <w:pPr>
      <w:spacing w:line="440" w:lineRule="exact"/>
    </w:pPr>
    <w:rPr>
      <w:rFonts w:ascii="楷体_GB2312" w:eastAsia="楷体_GB2312"/>
      <w:sz w:val="28"/>
    </w:rPr>
  </w:style>
  <w:style w:type="paragraph" w:styleId="726">
    <w:name w:val="Message Header"/>
    <w:basedOn w:val="690"/>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27">
    <w:name w:val="Normal (Web)"/>
    <w:basedOn w:val="690"/>
    <w:uiPriority w:val="99"/>
    <w:unhideWhenUsed/>
    <w:qFormat/>
    <w:pPr>
      <w:jc w:val="left"/>
      <w:spacing w:before="100" w:beforeAutospacing="1" w:after="100" w:afterAutospacing="1"/>
      <w:widowControl/>
    </w:pPr>
    <w:rPr>
      <w:rFonts w:ascii="宋体" w:hAnsi="宋体" w:cs="宋体"/>
      <w:sz w:val="24"/>
    </w:rPr>
  </w:style>
  <w:style w:type="paragraph" w:styleId="728">
    <w:name w:val="Title"/>
    <w:basedOn w:val="690"/>
    <w:next w:val="690"/>
    <w:link w:val="755"/>
    <w:uiPriority w:val="10"/>
    <w:qFormat/>
    <w:pPr>
      <w:contextualSpacing/>
      <w:spacing w:before="300" w:after="200"/>
    </w:pPr>
    <w:rPr>
      <w:sz w:val="48"/>
      <w:szCs w:val="48"/>
    </w:rPr>
  </w:style>
  <w:style w:type="paragraph" w:styleId="729">
    <w:name w:val="Body Text First Indent 2"/>
    <w:basedOn w:val="707"/>
    <w:next w:val="690"/>
    <w:uiPriority w:val="0"/>
    <w:qFormat/>
    <w:pPr>
      <w:ind w:left="420" w:firstLine="420"/>
      <w:spacing w:after="120"/>
    </w:pPr>
    <w:rPr>
      <w:rFonts w:ascii="Times New Roman" w:eastAsia="宋体"/>
      <w:sz w:val="21"/>
      <w:szCs w:val="24"/>
    </w:rPr>
  </w:style>
  <w:style w:type="table" w:styleId="73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Strong"/>
    <w:basedOn w:val="700"/>
    <w:uiPriority w:val="22"/>
    <w:qFormat/>
    <w:rPr>
      <w:b/>
    </w:rPr>
  </w:style>
  <w:style w:type="character" w:styleId="732">
    <w:name w:val="endnote reference"/>
    <w:uiPriority w:val="99"/>
    <w:semiHidden/>
    <w:unhideWhenUsed/>
    <w:qFormat/>
    <w:rPr>
      <w:vertAlign w:val="superscript"/>
    </w:rPr>
  </w:style>
  <w:style w:type="character" w:styleId="733">
    <w:name w:val="Hyperlink"/>
    <w:uiPriority w:val="99"/>
    <w:unhideWhenUsed/>
    <w:qFormat/>
    <w:rPr>
      <w:color w:val="0000ff" w:themeColor="hyperlink"/>
      <w:u w:val="single"/>
      <w14:textFill>
        <w14:solidFill>
          <w14:schemeClr w14:val="hlink"/>
        </w14:solidFill>
      </w14:textFill>
    </w:rPr>
  </w:style>
  <w:style w:type="character" w:styleId="734">
    <w:name w:val="footnote reference"/>
    <w:uiPriority w:val="99"/>
    <w:unhideWhenUsed/>
    <w:qFormat/>
    <w:rPr>
      <w:vertAlign w:val="superscript"/>
    </w:rPr>
  </w:style>
  <w:style w:type="paragraph" w:styleId="735" w:customStyle="1">
    <w:name w:val="正文文本11"/>
    <w:basedOn w:val="736"/>
    <w:next w:val="690"/>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36" w:customStyle="1">
    <w:name w:val="正文112"/>
    <w:next w:val="735"/>
    <w:uiPriority w:val="0"/>
    <w:qFormat/>
    <w:pPr>
      <w:spacing w:after="200" w:line="276" w:lineRule="auto"/>
    </w:pPr>
    <w:rPr>
      <w:rFonts w:ascii="Arial" w:hAnsi="Arial" w:eastAsia="Arial" w:cs="Times New Roman"/>
      <w:sz w:val="22"/>
      <w:szCs w:val="22"/>
      <w:lang w:val="en-US" w:eastAsia="en-US" w:bidi="ar-SA"/>
    </w:rPr>
  </w:style>
  <w:style w:type="paragraph" w:styleId="737" w:customStyle="1">
    <w:name w:val="正文格式－文字"/>
    <w:uiPriority w:val="0"/>
    <w:qFormat/>
    <w:pPr>
      <w:ind w:firstLine="200"/>
      <w:jc w:val="both"/>
      <w:spacing w:before="156" w:after="156" w:line="300" w:lineRule="auto"/>
    </w:pPr>
    <w:rPr>
      <w:rFonts w:hint="default" w:ascii="Calibri" w:hAnsi="Calibri" w:eastAsia="宋体" w:cs="Times New Roman"/>
      <w:sz w:val="24"/>
      <w:szCs w:val="24"/>
      <w:lang w:val="en-US" w:eastAsia="zh-CN" w:bidi="ar-SA"/>
    </w:rPr>
  </w:style>
  <w:style w:type="paragraph" w:styleId="738" w:customStyle="1">
    <w:name w:val="正文1"/>
    <w:basedOn w:val="739"/>
    <w:next w:val="742"/>
    <w:uiPriority w:val="0"/>
    <w:qFormat/>
    <w:pPr>
      <w:contextualSpacing/>
      <w:ind w:firstLine="200"/>
      <w:jc w:val="left"/>
      <w:spacing w:before="120" w:after="120"/>
      <w:widowControl/>
    </w:pPr>
    <w:rPr>
      <w:rFonts w:ascii="Calibri" w:hAnsi="Calibri" w:eastAsia="Adobe 仿宋 Std R" w:cs="Times New Roman"/>
      <w:szCs w:val="21"/>
    </w:rPr>
  </w:style>
  <w:style w:type="paragraph" w:styleId="739" w:customStyle="1">
    <w:name w:val="正文11"/>
    <w:next w:val="740"/>
    <w:uiPriority w:val="0"/>
    <w:qFormat/>
    <w:pPr>
      <w:ind w:firstLine="200"/>
      <w:jc w:val="both"/>
      <w:spacing w:line="274" w:lineRule="auto"/>
      <w:widowControl w:val="off"/>
    </w:pPr>
    <w:rPr>
      <w:rFonts w:ascii="仿宋_GB2312" w:hAnsi="Times New Roman" w:eastAsia="仿宋_GB2312" w:cs="Times New Roman"/>
      <w:sz w:val="24"/>
      <w:szCs w:val="24"/>
      <w:lang w:val="en-US" w:eastAsia="zh-CN" w:bidi="ar-SA"/>
    </w:rPr>
  </w:style>
  <w:style w:type="paragraph" w:styleId="740" w:customStyle="1">
    <w:name w:val="目录 11"/>
    <w:basedOn w:val="741"/>
    <w:next w:val="739"/>
    <w:uiPriority w:val="39"/>
    <w:unhideWhenUsed/>
    <w:qFormat/>
    <w:rPr>
      <w:rFonts w:ascii="Calibri" w:hAnsi="Calibri" w:eastAsia="楷体_GB2312" w:cs="Calibri"/>
      <w:sz w:val="28"/>
      <w:szCs w:val="20"/>
    </w:rPr>
  </w:style>
  <w:style w:type="paragraph" w:styleId="741" w:customStyle="1">
    <w:name w:val="正文12"/>
    <w:next w:val="735"/>
    <w:uiPriority w:val="0"/>
    <w:qFormat/>
    <w:pPr>
      <w:jc w:val="both"/>
      <w:widowControl w:val="off"/>
    </w:pPr>
    <w:rPr>
      <w:rFonts w:ascii="Calibri" w:hAnsi="Calibri" w:eastAsia="宋体" w:cs="Times New Roman"/>
      <w:sz w:val="21"/>
      <w:szCs w:val="24"/>
      <w:lang w:val="en-US" w:eastAsia="zh-CN" w:bidi="ar-SA"/>
    </w:rPr>
  </w:style>
  <w:style w:type="paragraph" w:styleId="742" w:customStyle="1">
    <w:name w:val="正文文本1"/>
    <w:basedOn w:val="690"/>
    <w:next w:val="738"/>
    <w:uiPriority w:val="99"/>
    <w:qFormat/>
    <w:pPr>
      <w:jc w:val="center"/>
    </w:pPr>
    <w:rPr>
      <w:rFonts w:eastAsia="仿宋_GB2312"/>
      <w:sz w:val="28"/>
    </w:rPr>
  </w:style>
  <w:style w:type="paragraph" w:styleId="743" w:customStyle="1">
    <w:name w:val="首行缩进"/>
    <w:basedOn w:val="690"/>
    <w:uiPriority w:val="0"/>
    <w:qFormat/>
    <w:pPr>
      <w:ind w:firstLine="420"/>
      <w:spacing w:line="360" w:lineRule="auto"/>
    </w:pPr>
    <w:rPr>
      <w:sz w:val="20"/>
    </w:rPr>
  </w:style>
  <w:style w:type="character" w:styleId="744" w:customStyle="1">
    <w:name w:val="Heading 1 Char"/>
    <w:link w:val="691"/>
    <w:uiPriority w:val="9"/>
    <w:qFormat/>
    <w:rPr>
      <w:rFonts w:ascii="Arial" w:hAnsi="Arial" w:eastAsia="Arial" w:cs="Arial"/>
      <w:sz w:val="40"/>
      <w:szCs w:val="40"/>
    </w:rPr>
  </w:style>
  <w:style w:type="character" w:styleId="745" w:customStyle="1">
    <w:name w:val="Heading 2 Char"/>
    <w:link w:val="692"/>
    <w:uiPriority w:val="9"/>
    <w:qFormat/>
    <w:rPr>
      <w:rFonts w:ascii="Arial" w:hAnsi="Arial" w:eastAsia="Arial" w:cs="Arial"/>
      <w:sz w:val="34"/>
    </w:rPr>
  </w:style>
  <w:style w:type="character" w:styleId="746" w:customStyle="1">
    <w:name w:val="Heading 3 Char"/>
    <w:link w:val="693"/>
    <w:uiPriority w:val="9"/>
    <w:qFormat/>
    <w:rPr>
      <w:rFonts w:ascii="Arial" w:hAnsi="Arial" w:eastAsia="Arial" w:cs="Arial"/>
      <w:sz w:val="30"/>
      <w:szCs w:val="30"/>
    </w:rPr>
  </w:style>
  <w:style w:type="character" w:styleId="747" w:customStyle="1">
    <w:name w:val="Heading 4 Char"/>
    <w:link w:val="694"/>
    <w:uiPriority w:val="9"/>
    <w:qFormat/>
    <w:rPr>
      <w:rFonts w:ascii="Arial" w:hAnsi="Arial" w:eastAsia="Arial" w:cs="Arial"/>
      <w:b/>
      <w:bCs/>
      <w:sz w:val="26"/>
      <w:szCs w:val="26"/>
    </w:rPr>
  </w:style>
  <w:style w:type="character" w:styleId="748" w:customStyle="1">
    <w:name w:val="Heading 5 Char"/>
    <w:link w:val="695"/>
    <w:uiPriority w:val="9"/>
    <w:qFormat/>
    <w:rPr>
      <w:rFonts w:ascii="Arial" w:hAnsi="Arial" w:eastAsia="Arial" w:cs="Arial"/>
      <w:b/>
      <w:bCs/>
      <w:sz w:val="24"/>
      <w:szCs w:val="24"/>
    </w:rPr>
  </w:style>
  <w:style w:type="character" w:styleId="749" w:customStyle="1">
    <w:name w:val="Heading 6 Char"/>
    <w:link w:val="696"/>
    <w:uiPriority w:val="9"/>
    <w:qFormat/>
    <w:rPr>
      <w:rFonts w:ascii="Arial" w:hAnsi="Arial" w:eastAsia="Arial" w:cs="Arial"/>
      <w:b/>
      <w:bCs/>
      <w:sz w:val="22"/>
      <w:szCs w:val="22"/>
    </w:rPr>
  </w:style>
  <w:style w:type="character" w:styleId="750" w:customStyle="1">
    <w:name w:val="Heading 7 Char"/>
    <w:link w:val="697"/>
    <w:uiPriority w:val="9"/>
    <w:qFormat/>
    <w:rPr>
      <w:rFonts w:ascii="Arial" w:hAnsi="Arial" w:eastAsia="Arial" w:cs="Arial"/>
      <w:b/>
      <w:bCs/>
      <w:i/>
      <w:iCs/>
      <w:sz w:val="22"/>
      <w:szCs w:val="22"/>
    </w:rPr>
  </w:style>
  <w:style w:type="character" w:styleId="751" w:customStyle="1">
    <w:name w:val="Heading 8 Char"/>
    <w:link w:val="698"/>
    <w:uiPriority w:val="9"/>
    <w:qFormat/>
    <w:rPr>
      <w:rFonts w:ascii="Arial" w:hAnsi="Arial" w:eastAsia="Arial" w:cs="Arial"/>
      <w:i/>
      <w:iCs/>
      <w:sz w:val="22"/>
      <w:szCs w:val="22"/>
    </w:rPr>
  </w:style>
  <w:style w:type="character" w:styleId="752" w:customStyle="1">
    <w:name w:val="Heading 9 Char"/>
    <w:link w:val="699"/>
    <w:uiPriority w:val="9"/>
    <w:qFormat/>
    <w:rPr>
      <w:rFonts w:ascii="Arial" w:hAnsi="Arial" w:eastAsia="Arial" w:cs="Arial"/>
      <w:i/>
      <w:iCs/>
      <w:sz w:val="21"/>
      <w:szCs w:val="21"/>
    </w:rPr>
  </w:style>
  <w:style w:type="paragraph" w:styleId="753">
    <w:name w:val="List Paragraph"/>
    <w:basedOn w:val="690"/>
    <w:uiPriority w:val="34"/>
    <w:qFormat/>
    <w:pPr>
      <w:contextualSpacing/>
      <w:ind w:left="720"/>
    </w:pPr>
  </w:style>
  <w:style w:type="paragraph" w:styleId="754">
    <w:name w:val="No Spacing"/>
    <w:uiPriority w:val="1"/>
    <w:qFormat/>
    <w:pPr>
      <w:spacing w:before="0" w:after="0" w:line="240" w:lineRule="auto"/>
    </w:pPr>
    <w:rPr>
      <w:rFonts w:hint="default" w:ascii="Times New Roman" w:hAnsi="Times New Roman" w:eastAsia="宋体" w:cs="Times New Roman"/>
    </w:rPr>
  </w:style>
  <w:style w:type="character" w:styleId="755" w:customStyle="1">
    <w:name w:val="Title Char"/>
    <w:link w:val="728"/>
    <w:uiPriority w:val="10"/>
    <w:qFormat/>
    <w:rPr>
      <w:sz w:val="48"/>
      <w:szCs w:val="48"/>
    </w:rPr>
  </w:style>
  <w:style w:type="character" w:styleId="756" w:customStyle="1">
    <w:name w:val="Subtitle Char"/>
    <w:link w:val="719"/>
    <w:uiPriority w:val="11"/>
    <w:qFormat/>
    <w:rPr>
      <w:sz w:val="24"/>
      <w:szCs w:val="24"/>
    </w:rPr>
  </w:style>
  <w:style w:type="paragraph" w:styleId="757">
    <w:name w:val="Quote"/>
    <w:basedOn w:val="690"/>
    <w:next w:val="690"/>
    <w:link w:val="758"/>
    <w:uiPriority w:val="29"/>
    <w:qFormat/>
    <w:pPr>
      <w:ind w:left="720" w:right="720"/>
    </w:pPr>
    <w:rPr>
      <w:i/>
    </w:rPr>
  </w:style>
  <w:style w:type="character" w:styleId="758" w:customStyle="1">
    <w:name w:val="Quote Char"/>
    <w:link w:val="757"/>
    <w:uiPriority w:val="29"/>
    <w:qFormat/>
    <w:rPr>
      <w:i/>
    </w:rPr>
  </w:style>
  <w:style w:type="paragraph" w:styleId="759">
    <w:name w:val="Intense Quote"/>
    <w:basedOn w:val="690"/>
    <w:next w:val="690"/>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customStyle="1">
    <w:name w:val="Intense Quote Char"/>
    <w:link w:val="759"/>
    <w:uiPriority w:val="30"/>
    <w:qFormat/>
    <w:rPr>
      <w:i/>
    </w:rPr>
  </w:style>
  <w:style w:type="character" w:styleId="761" w:customStyle="1">
    <w:name w:val="Header Char"/>
    <w:link w:val="716"/>
    <w:uiPriority w:val="99"/>
    <w:qFormat/>
  </w:style>
  <w:style w:type="character" w:styleId="762" w:customStyle="1">
    <w:name w:val="Footer Char"/>
    <w:link w:val="715"/>
    <w:uiPriority w:val="99"/>
    <w:qFormat/>
  </w:style>
  <w:style w:type="character" w:styleId="763" w:customStyle="1">
    <w:name w:val="Caption Char"/>
    <w:link w:val="715"/>
    <w:uiPriority w:val="99"/>
    <w:qFormat/>
  </w:style>
  <w:style w:type="table" w:styleId="76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9" w:customStyle="1">
    <w:name w:val="Footnote Text Char"/>
    <w:link w:val="720"/>
    <w:uiPriority w:val="99"/>
    <w:qFormat/>
    <w:rPr>
      <w:sz w:val="18"/>
    </w:rPr>
  </w:style>
  <w:style w:type="character" w:styleId="890" w:customStyle="1">
    <w:name w:val="Endnote Text Char"/>
    <w:link w:val="714"/>
    <w:uiPriority w:val="99"/>
    <w:qFormat/>
    <w:rPr>
      <w:sz w:val="20"/>
    </w:rPr>
  </w:style>
  <w:style w:type="paragraph" w:styleId="891" w:customStyle="1">
    <w:name w:val="TOC Heading"/>
    <w:uiPriority w:val="39"/>
    <w:unhideWhenUsed/>
    <w:qFormat/>
    <w:rPr>
      <w:rFonts w:hint="default" w:ascii="Times New Roman" w:hAnsi="Times New Roman" w:eastAsia="宋体" w:cs="Times New Roman"/>
    </w:rPr>
  </w:style>
  <w:style w:type="paragraph" w:styleId="892" w:customStyle="1">
    <w:name w:val="标题 11"/>
    <w:basedOn w:val="690"/>
    <w:next w:val="690"/>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893" w:customStyle="1">
    <w:name w:val="标题 31"/>
    <w:basedOn w:val="690"/>
    <w:next w:val="690"/>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894" w:customStyle="1">
    <w:name w:val="标题 41"/>
    <w:basedOn w:val="690"/>
    <w:next w:val="690"/>
    <w:uiPriority w:val="0"/>
    <w:qFormat/>
    <w:pPr>
      <w:numPr>
        <w:ilvl w:val="3"/>
        <w:numId w:val="2"/>
      </w:numPr>
      <w:jc w:val="left"/>
      <w:keepLines/>
      <w:keepNext/>
      <w:spacing w:line="376" w:lineRule="auto"/>
      <w:outlineLvl w:val="3"/>
    </w:pPr>
    <w:rPr>
      <w:rFonts w:ascii="Arial" w:hAnsi="Arial" w:eastAsia="楷体"/>
      <w:b/>
      <w:bCs/>
      <w:sz w:val="28"/>
      <w:szCs w:val="28"/>
    </w:rPr>
  </w:style>
  <w:style w:type="paragraph" w:styleId="895" w:customStyle="1">
    <w:name w:val="标题 51"/>
    <w:basedOn w:val="690"/>
    <w:next w:val="690"/>
    <w:uiPriority w:val="0"/>
    <w:qFormat/>
    <w:pPr>
      <w:keepLines/>
      <w:keepNext/>
      <w:spacing w:before="280" w:after="290" w:line="376" w:lineRule="auto"/>
      <w:outlineLvl w:val="4"/>
    </w:pPr>
    <w:rPr>
      <w:b/>
      <w:bCs/>
      <w:sz w:val="28"/>
      <w:szCs w:val="28"/>
    </w:rPr>
  </w:style>
  <w:style w:type="paragraph" w:styleId="896" w:customStyle="1">
    <w:name w:val="标题 61"/>
    <w:basedOn w:val="690"/>
    <w:next w:val="690"/>
    <w:uiPriority w:val="0"/>
    <w:qFormat/>
    <w:pPr>
      <w:keepLines/>
      <w:keepNext/>
      <w:spacing w:before="240" w:after="64" w:line="320" w:lineRule="auto"/>
      <w:outlineLvl w:val="5"/>
    </w:pPr>
    <w:rPr>
      <w:rFonts w:ascii="Cambria" w:hAnsi="Cambria" w:eastAsia="宋体" w:cs="Times New Roman"/>
      <w:b/>
      <w:bCs/>
      <w:sz w:val="24"/>
    </w:rPr>
  </w:style>
  <w:style w:type="character" w:styleId="897" w:customStyle="1">
    <w:name w:val="默认段落字体1"/>
    <w:link w:val="690"/>
    <w:uiPriority w:val="0"/>
    <w:semiHidden/>
    <w:qFormat/>
  </w:style>
  <w:style w:type="table" w:styleId="898" w:customStyle="1">
    <w:name w:val="普通表格1"/>
    <w:uiPriority w:val="0"/>
    <w:semiHidden/>
    <w:qFormat/>
    <w:tblPr/>
  </w:style>
  <w:style w:type="paragraph" w:styleId="899" w:customStyle="1">
    <w:name w:val="正文缩进1"/>
    <w:basedOn w:val="690"/>
    <w:link w:val="900"/>
    <w:uiPriority w:val="0"/>
    <w:qFormat/>
    <w:pPr>
      <w:ind w:firstLine="420"/>
    </w:pPr>
  </w:style>
  <w:style w:type="character" w:styleId="900" w:customStyle="1">
    <w:name w:val="正文缩进 Char"/>
    <w:link w:val="899"/>
    <w:uiPriority w:val="0"/>
    <w:qFormat/>
    <w:rPr>
      <w:sz w:val="21"/>
      <w:szCs w:val="24"/>
    </w:rPr>
  </w:style>
  <w:style w:type="paragraph" w:styleId="901" w:customStyle="1">
    <w:name w:val="题注1"/>
    <w:basedOn w:val="690"/>
    <w:next w:val="690"/>
    <w:uiPriority w:val="0"/>
    <w:unhideWhenUsed/>
    <w:qFormat/>
    <w:rPr>
      <w:rFonts w:ascii="Arial" w:hAnsi="Arial" w:eastAsia="黑体"/>
      <w:sz w:val="20"/>
    </w:rPr>
  </w:style>
  <w:style w:type="paragraph" w:styleId="902" w:customStyle="1">
    <w:name w:val="索引 51"/>
    <w:basedOn w:val="690"/>
    <w:next w:val="690"/>
    <w:uiPriority w:val="0"/>
    <w:qFormat/>
    <w:pPr>
      <w:ind w:left="798"/>
      <w:jc w:val="left"/>
      <w:spacing w:line="240" w:lineRule="auto"/>
    </w:pPr>
    <w:rPr>
      <w:rFonts w:ascii="Calibri" w:hAnsi="Calibri" w:eastAsia="Times New Roman" w:cs="Times New Roman"/>
      <w:szCs w:val="24"/>
    </w:rPr>
  </w:style>
  <w:style w:type="paragraph" w:styleId="903" w:customStyle="1">
    <w:name w:val="文档结构图1"/>
    <w:basedOn w:val="690"/>
    <w:uiPriority w:val="0"/>
    <w:semiHidden/>
    <w:qFormat/>
    <w:pPr>
      <w:shd w:val="clear" w:color="auto" w:fill="000080"/>
    </w:pPr>
  </w:style>
  <w:style w:type="paragraph" w:styleId="904" w:customStyle="1">
    <w:name w:val="正文文本 31"/>
    <w:basedOn w:val="690"/>
    <w:uiPriority w:val="0"/>
    <w:qFormat/>
    <w:pPr>
      <w:jc w:val="center"/>
    </w:pPr>
    <w:rPr>
      <w:rFonts w:eastAsia="黑体"/>
      <w:sz w:val="72"/>
    </w:rPr>
  </w:style>
  <w:style w:type="paragraph" w:styleId="905" w:customStyle="1">
    <w:name w:val="正文文本缩进1"/>
    <w:basedOn w:val="690"/>
    <w:uiPriority w:val="0"/>
    <w:qFormat/>
    <w:pPr>
      <w:ind w:left="420"/>
      <w:spacing w:after="120"/>
    </w:pPr>
  </w:style>
  <w:style w:type="paragraph" w:styleId="906" w:customStyle="1">
    <w:name w:val="正文首行缩进 21"/>
    <w:basedOn w:val="905"/>
    <w:uiPriority w:val="0"/>
    <w:qFormat/>
    <w:pPr>
      <w:ind w:firstLine="420"/>
    </w:pPr>
    <w:rPr>
      <w:szCs w:val="24"/>
    </w:rPr>
  </w:style>
  <w:style w:type="paragraph" w:styleId="907" w:customStyle="1">
    <w:name w:val="纯文本1"/>
    <w:basedOn w:val="690"/>
    <w:next w:val="690"/>
    <w:link w:val="908"/>
    <w:uiPriority w:val="0"/>
    <w:qFormat/>
    <w:rPr>
      <w:rFonts w:ascii="宋体" w:hAnsi="Courier New"/>
      <w:szCs w:val="20"/>
    </w:rPr>
  </w:style>
  <w:style w:type="character" w:styleId="908" w:customStyle="1">
    <w:name w:val="纯文本 Char"/>
    <w:link w:val="907"/>
    <w:uiPriority w:val="0"/>
    <w:qFormat/>
    <w:rPr>
      <w:rFonts w:ascii="宋体" w:hAnsi="Courier New" w:eastAsia="宋体"/>
      <w:sz w:val="21"/>
      <w:lang w:val="en-US" w:eastAsia="zh-CN" w:bidi="ar-SA"/>
    </w:rPr>
  </w:style>
  <w:style w:type="paragraph" w:styleId="909" w:customStyle="1">
    <w:name w:val="日期1"/>
    <w:basedOn w:val="690"/>
    <w:next w:val="690"/>
    <w:uiPriority w:val="0"/>
    <w:qFormat/>
    <w:pPr>
      <w:ind w:left="100"/>
    </w:pPr>
    <w:rPr>
      <w:rFonts w:ascii="黑体" w:eastAsia="黑体"/>
      <w:sz w:val="72"/>
    </w:rPr>
  </w:style>
  <w:style w:type="paragraph" w:styleId="910" w:customStyle="1">
    <w:name w:val="正文文本缩进 21"/>
    <w:basedOn w:val="690"/>
    <w:uiPriority w:val="0"/>
    <w:qFormat/>
    <w:pPr>
      <w:ind w:right="-2" w:firstLine="540"/>
      <w:tabs>
        <w:tab w:val="left" w:pos="9741" w:leader="none"/>
      </w:tabs>
    </w:pPr>
    <w:rPr>
      <w:rFonts w:eastAsia="仿宋_GB2312"/>
      <w:sz w:val="28"/>
    </w:rPr>
  </w:style>
  <w:style w:type="paragraph" w:styleId="911" w:customStyle="1">
    <w:name w:val="批注框文本1"/>
    <w:basedOn w:val="690"/>
    <w:uiPriority w:val="0"/>
    <w:semiHidden/>
    <w:qFormat/>
    <w:rPr>
      <w:sz w:val="18"/>
      <w:szCs w:val="18"/>
    </w:rPr>
  </w:style>
  <w:style w:type="paragraph" w:styleId="912" w:customStyle="1">
    <w:name w:val="页脚1"/>
    <w:basedOn w:val="690"/>
    <w:uiPriority w:val="0"/>
    <w:qFormat/>
    <w:pPr>
      <w:jc w:val="left"/>
      <w:tabs>
        <w:tab w:val="center" w:pos="4153" w:leader="none"/>
        <w:tab w:val="right" w:pos="8306" w:leader="none"/>
      </w:tabs>
    </w:pPr>
    <w:rPr>
      <w:sz w:val="18"/>
      <w:szCs w:val="18"/>
    </w:rPr>
  </w:style>
  <w:style w:type="paragraph" w:styleId="913" w:customStyle="1">
    <w:name w:val="寄信人地址1"/>
    <w:basedOn w:val="690"/>
    <w:uiPriority w:val="0"/>
    <w:qFormat/>
    <w:rPr>
      <w:rFonts w:ascii="Arial" w:hAnsi="Arial" w:eastAsia="宋体" w:cs="Times New Roman"/>
    </w:rPr>
  </w:style>
  <w:style w:type="paragraph" w:styleId="914" w:customStyle="1">
    <w:name w:val="页眉1"/>
    <w:basedOn w:val="690"/>
    <w:link w:val="915"/>
    <w:uiPriority w:val="0"/>
    <w:qFormat/>
    <w:pPr>
      <w:jc w:val="center"/>
      <w:tabs>
        <w:tab w:val="center" w:pos="4153" w:leader="none"/>
        <w:tab w:val="right" w:pos="8306" w:leader="none"/>
      </w:tabs>
      <w:pBdr>
        <w:bottom w:val="single" w:color="000000" w:sz="6" w:space="1"/>
      </w:pBdr>
    </w:pPr>
    <w:rPr>
      <w:sz w:val="18"/>
      <w:szCs w:val="18"/>
    </w:rPr>
  </w:style>
  <w:style w:type="character" w:styleId="915" w:customStyle="1">
    <w:name w:val="页眉 Char"/>
    <w:link w:val="914"/>
    <w:uiPriority w:val="0"/>
    <w:qFormat/>
    <w:rPr>
      <w:sz w:val="18"/>
      <w:szCs w:val="18"/>
    </w:rPr>
  </w:style>
  <w:style w:type="paragraph" w:styleId="916" w:customStyle="1">
    <w:name w:val="脚注文本1"/>
    <w:basedOn w:val="690"/>
    <w:next w:val="902"/>
    <w:uiPriority w:val="99"/>
    <w:qFormat/>
    <w:rPr>
      <w:rFonts w:ascii="Times New Roman" w:hAnsi="Times New Roman"/>
      <w:b/>
      <w:bCs/>
      <w:sz w:val="24"/>
      <w:szCs w:val="28"/>
    </w:rPr>
  </w:style>
  <w:style w:type="paragraph" w:styleId="917" w:customStyle="1">
    <w:name w:val="正文文本缩进 31"/>
    <w:basedOn w:val="690"/>
    <w:uiPriority w:val="0"/>
    <w:qFormat/>
    <w:pPr>
      <w:ind w:firstLine="435"/>
    </w:pPr>
    <w:rPr>
      <w:rFonts w:ascii="仿宋_GB2312" w:hAnsi="宋体" w:eastAsia="仿宋_GB2312"/>
      <w:sz w:val="28"/>
    </w:rPr>
  </w:style>
  <w:style w:type="paragraph" w:styleId="918" w:customStyle="1">
    <w:name w:val="正文文本 21"/>
    <w:basedOn w:val="690"/>
    <w:uiPriority w:val="0"/>
    <w:qFormat/>
    <w:rPr>
      <w:rFonts w:ascii="仿宋_GB2312" w:eastAsia="仿宋_GB2312"/>
      <w:sz w:val="28"/>
    </w:rPr>
  </w:style>
  <w:style w:type="paragraph" w:styleId="919" w:customStyle="1">
    <w:name w:val="列表接续 21"/>
    <w:basedOn w:val="690"/>
    <w:next w:val="690"/>
    <w:uiPriority w:val="0"/>
    <w:qFormat/>
    <w:pPr>
      <w:ind w:left="840"/>
      <w:spacing w:after="120"/>
    </w:pPr>
  </w:style>
  <w:style w:type="paragraph" w:styleId="920" w:customStyle="1">
    <w:name w:val="信息标题1"/>
    <w:basedOn w:val="690"/>
    <w:next w:val="690"/>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921" w:customStyle="1">
    <w:name w:val="普通(网站)1"/>
    <w:basedOn w:val="690"/>
    <w:uiPriority w:val="0"/>
    <w:qFormat/>
    <w:rPr>
      <w:sz w:val="24"/>
    </w:rPr>
  </w:style>
  <w:style w:type="paragraph" w:styleId="922" w:customStyle="1">
    <w:name w:val="标题1"/>
    <w:basedOn w:val="690"/>
    <w:next w:val="690"/>
    <w:uiPriority w:val="0"/>
    <w:qFormat/>
    <w:pPr>
      <w:jc w:val="center"/>
      <w:spacing w:before="240" w:after="60" w:line="420" w:lineRule="atLeast"/>
      <w:outlineLvl w:val="0"/>
    </w:pPr>
    <w:rPr>
      <w:rFonts w:ascii="Arial" w:hAnsi="Arial"/>
      <w:b/>
      <w:sz w:val="32"/>
      <w:szCs w:val="20"/>
    </w:rPr>
  </w:style>
  <w:style w:type="table" w:styleId="923" w:customStyle="1">
    <w:name w:val="网格型1"/>
    <w:basedOn w:val="898"/>
    <w:uiPriority w:val="0"/>
    <w:qFormat/>
    <w:pPr>
      <w:jc w:val="both"/>
      <w:widowControl w:val="off"/>
    </w:pPr>
    <w:rPr>
      <w:rFonts w:ascii="Times New Roman" w:hAnsi="Times New Roman"/>
    </w:rPr>
    <w:tblPr/>
  </w:style>
  <w:style w:type="character" w:styleId="924" w:customStyle="1">
    <w:name w:val="页码1"/>
    <w:basedOn w:val="897"/>
    <w:link w:val="690"/>
    <w:uiPriority w:val="0"/>
    <w:qFormat/>
  </w:style>
  <w:style w:type="character" w:styleId="925" w:customStyle="1">
    <w:name w:val="已访问的超链接1"/>
    <w:basedOn w:val="897"/>
    <w:link w:val="690"/>
    <w:uiPriority w:val="0"/>
    <w:qFormat/>
    <w:rPr>
      <w:color w:val="333333"/>
      <w:u w:val="none"/>
    </w:rPr>
  </w:style>
  <w:style w:type="character" w:styleId="926" w:customStyle="1">
    <w:name w:val="超链接1"/>
    <w:basedOn w:val="897"/>
    <w:link w:val="690"/>
    <w:uiPriority w:val="0"/>
    <w:qFormat/>
    <w:rPr>
      <w:color w:val="333333"/>
      <w:u w:val="none"/>
    </w:rPr>
  </w:style>
  <w:style w:type="character" w:styleId="927" w:customStyle="1">
    <w:name w:val="列出段落 Char"/>
    <w:link w:val="928"/>
    <w:uiPriority w:val="0"/>
    <w:qFormat/>
    <w:rPr>
      <w:sz w:val="21"/>
      <w:szCs w:val="24"/>
    </w:rPr>
  </w:style>
  <w:style w:type="paragraph" w:styleId="928" w:customStyle="1">
    <w:name w:val="列出段落"/>
    <w:basedOn w:val="690"/>
    <w:link w:val="927"/>
    <w:uiPriority w:val="0"/>
    <w:qFormat/>
    <w:pPr>
      <w:ind w:firstLine="420"/>
    </w:pPr>
  </w:style>
  <w:style w:type="character" w:styleId="929" w:customStyle="1">
    <w:name w:val="纯文本 Char1"/>
    <w:link w:val="690"/>
    <w:uiPriority w:val="0"/>
    <w:qFormat/>
    <w:rPr>
      <w:rFonts w:ascii="宋体" w:hAnsi="Courier New" w:eastAsia="宋体"/>
      <w:sz w:val="21"/>
      <w:lang w:val="en-US" w:eastAsia="zh-CN" w:bidi="ar-SA"/>
    </w:rPr>
  </w:style>
  <w:style w:type="character" w:styleId="930" w:customStyle="1">
    <w:name w:val="正文格式 Char1"/>
    <w:link w:val="931"/>
    <w:uiPriority w:val="0"/>
    <w:qFormat/>
    <w:rPr>
      <w:sz w:val="24"/>
    </w:rPr>
  </w:style>
  <w:style w:type="paragraph" w:styleId="931" w:customStyle="1">
    <w:name w:val="正文格式"/>
    <w:basedOn w:val="690"/>
    <w:link w:val="930"/>
    <w:uiPriority w:val="0"/>
    <w:qFormat/>
    <w:pPr>
      <w:ind w:firstLine="482"/>
      <w:spacing w:line="360" w:lineRule="auto"/>
      <w:widowControl/>
    </w:pPr>
    <w:rPr>
      <w:sz w:val="24"/>
      <w:szCs w:val="20"/>
    </w:rPr>
  </w:style>
  <w:style w:type="paragraph" w:styleId="932" w:customStyle="1">
    <w:name w:val="xl71"/>
    <w:basedOn w:val="69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33" w:customStyle="1">
    <w:name w:val=" Char"/>
    <w:basedOn w:val="903"/>
    <w:uiPriority w:val="0"/>
    <w:qFormat/>
    <w:pPr>
      <w:spacing w:line="360" w:lineRule="auto"/>
    </w:pPr>
    <w:rPr>
      <w:rFonts w:ascii="Tahoma" w:hAnsi="Tahoma"/>
      <w:sz w:val="24"/>
    </w:rPr>
  </w:style>
  <w:style w:type="paragraph" w:styleId="934" w:customStyle="1">
    <w:name w:val="xl37"/>
    <w:basedOn w:val="690"/>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35" w:customStyle="1">
    <w:name w:val="xl55"/>
    <w:basedOn w:val="6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36" w:customStyle="1">
    <w:name w:val="xl66"/>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7" w:customStyle="1">
    <w:name w:val="xl74"/>
    <w:basedOn w:val="6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8" w:customStyle="1">
    <w:name w:val="样式 首行缩进:  2 字符"/>
    <w:basedOn w:val="690"/>
    <w:uiPriority w:val="0"/>
    <w:qFormat/>
    <w:pPr>
      <w:ind w:firstLine="560"/>
    </w:pPr>
    <w:rPr>
      <w:rFonts w:ascii="等线" w:hAnsi="等线" w:eastAsia="等线" w:cs="宋体"/>
      <w:sz w:val="24"/>
    </w:rPr>
  </w:style>
  <w:style w:type="paragraph" w:styleId="939" w:customStyle="1">
    <w:name w:val="xl33"/>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40" w:customStyle="1">
    <w:name w:val="xl84"/>
    <w:basedOn w:val="69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1" w:customStyle="1">
    <w:name w:val="xl34"/>
    <w:basedOn w:val="690"/>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42" w:customStyle="1">
    <w:name w:val=" Char Char Char Char Char Char Char Char"/>
    <w:basedOn w:val="690"/>
    <w:uiPriority w:val="0"/>
    <w:qFormat/>
    <w:pPr>
      <w:jc w:val="left"/>
      <w:spacing w:after="160" w:line="240" w:lineRule="exact"/>
      <w:widowControl/>
    </w:pPr>
    <w:rPr>
      <w:rFonts w:ascii="Verdana" w:hAnsi="Verdana"/>
      <w:sz w:val="20"/>
      <w:szCs w:val="20"/>
      <w:lang w:eastAsia="en-US"/>
    </w:rPr>
  </w:style>
  <w:style w:type="paragraph" w:styleId="943" w:customStyle="1">
    <w:name w:val="标题5"/>
    <w:basedOn w:val="895"/>
    <w:next w:val="690"/>
    <w:uiPriority w:val="0"/>
    <w:qFormat/>
    <w:pPr>
      <w:spacing w:before="0" w:after="0"/>
    </w:pPr>
    <w:rPr>
      <w:rFonts w:ascii="楷体" w:hAnsi="楷体" w:eastAsia="楷体"/>
    </w:rPr>
  </w:style>
  <w:style w:type="paragraph" w:styleId="944" w:customStyle="1">
    <w:name w:val="xl51"/>
    <w:basedOn w:val="690"/>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45" w:customStyle="1">
    <w:name w:val="font8"/>
    <w:basedOn w:val="690"/>
    <w:uiPriority w:val="0"/>
    <w:qFormat/>
    <w:pPr>
      <w:jc w:val="left"/>
      <w:spacing w:before="100" w:beforeAutospacing="1" w:after="100" w:afterAutospacing="1"/>
      <w:widowControl/>
    </w:pPr>
    <w:rPr>
      <w:rFonts w:eastAsia="Arial Unicode MS"/>
      <w:sz w:val="18"/>
      <w:szCs w:val="18"/>
    </w:rPr>
  </w:style>
  <w:style w:type="paragraph" w:styleId="946" w:customStyle="1">
    <w:name w:val="font13"/>
    <w:basedOn w:val="690"/>
    <w:uiPriority w:val="0"/>
    <w:qFormat/>
    <w:pPr>
      <w:jc w:val="left"/>
      <w:spacing w:before="100" w:beforeAutospacing="1" w:after="100" w:afterAutospacing="1"/>
      <w:widowControl/>
    </w:pPr>
    <w:rPr>
      <w:rFonts w:eastAsia="Arial Unicode MS"/>
      <w:b/>
      <w:bCs/>
      <w:sz w:val="18"/>
      <w:szCs w:val="18"/>
    </w:rPr>
  </w:style>
  <w:style w:type="paragraph" w:styleId="947" w:customStyle="1">
    <w:name w:val="font10"/>
    <w:basedOn w:val="690"/>
    <w:uiPriority w:val="0"/>
    <w:qFormat/>
    <w:pPr>
      <w:jc w:val="left"/>
      <w:spacing w:before="100" w:beforeAutospacing="1" w:after="100" w:afterAutospacing="1"/>
      <w:widowControl/>
    </w:pPr>
    <w:rPr>
      <w:rFonts w:eastAsia="Arial Unicode MS"/>
      <w:sz w:val="18"/>
      <w:szCs w:val="18"/>
    </w:rPr>
  </w:style>
  <w:style w:type="paragraph" w:styleId="948" w:customStyle="1">
    <w:name w:val="xl43"/>
    <w:basedOn w:val="690"/>
    <w:uiPriority w:val="0"/>
    <w:qFormat/>
    <w:pPr>
      <w:jc w:val="left"/>
      <w:spacing w:before="100" w:beforeAutospacing="1" w:after="100" w:afterAutospacing="1"/>
      <w:widowControl/>
    </w:pPr>
    <w:rPr>
      <w:rFonts w:ascii="Arial Unicode MS" w:hAnsi="Arial Unicode MS" w:eastAsia="Arial Unicode MS"/>
      <w:sz w:val="24"/>
    </w:rPr>
  </w:style>
  <w:style w:type="paragraph" w:styleId="949" w:customStyle="1">
    <w:name w:val="p0"/>
    <w:basedOn w:val="690"/>
    <w:uiPriority w:val="0"/>
    <w:qFormat/>
    <w:pPr>
      <w:widowControl/>
    </w:pPr>
    <w:rPr>
      <w:rFonts w:ascii="Times New Roman" w:hAnsi="Times New Roman"/>
      <w:szCs w:val="21"/>
    </w:rPr>
  </w:style>
  <w:style w:type="paragraph" w:styleId="950" w:customStyle="1">
    <w:name w:val="xl77"/>
    <w:basedOn w:val="6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51" w:customStyle="1">
    <w:name w:val="xl30"/>
    <w:basedOn w:val="690"/>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52" w:customStyle="1">
    <w:name w:val="xl31"/>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53" w:customStyle="1">
    <w:name w:val="xl46"/>
    <w:basedOn w:val="690"/>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54" w:customStyle="1">
    <w:name w:val="xl41"/>
    <w:basedOn w:val="69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5" w:customStyle="1">
    <w:name w:val="font5"/>
    <w:basedOn w:val="690"/>
    <w:uiPriority w:val="0"/>
    <w:qFormat/>
    <w:pPr>
      <w:jc w:val="left"/>
      <w:spacing w:before="100" w:beforeAutospacing="1" w:after="100" w:afterAutospacing="1"/>
      <w:widowControl/>
    </w:pPr>
    <w:rPr>
      <w:rFonts w:hint="eastAsia" w:ascii="宋体" w:hAnsi="宋体"/>
      <w:sz w:val="18"/>
      <w:szCs w:val="18"/>
    </w:rPr>
  </w:style>
  <w:style w:type="paragraph" w:styleId="956" w:customStyle="1">
    <w:name w:val="xl32"/>
    <w:basedOn w:val="69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7" w:customStyle="1">
    <w:name w:val="font12"/>
    <w:basedOn w:val="690"/>
    <w:uiPriority w:val="0"/>
    <w:qFormat/>
    <w:pPr>
      <w:jc w:val="left"/>
      <w:spacing w:before="100" w:beforeAutospacing="1" w:after="100" w:afterAutospacing="1"/>
      <w:widowControl/>
    </w:pPr>
    <w:rPr>
      <w:rFonts w:eastAsia="Arial Unicode MS"/>
      <w:color w:val="333333"/>
      <w:sz w:val="18"/>
      <w:szCs w:val="18"/>
    </w:rPr>
  </w:style>
  <w:style w:type="paragraph" w:styleId="958" w:customStyle="1">
    <w:name w:val="xl28"/>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9" w:customStyle="1">
    <w:name w:val="xl60"/>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60" w:customStyle="1">
    <w:name w:val="xl73"/>
    <w:basedOn w:val="69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61" w:customStyle="1">
    <w:name w:val="font11"/>
    <w:basedOn w:val="690"/>
    <w:uiPriority w:val="0"/>
    <w:qFormat/>
    <w:pPr>
      <w:jc w:val="left"/>
      <w:spacing w:before="100" w:beforeAutospacing="1" w:after="100" w:afterAutospacing="1"/>
      <w:widowControl/>
    </w:pPr>
    <w:rPr>
      <w:rFonts w:hint="eastAsia" w:ascii="宋体" w:hAnsi="宋体"/>
      <w:color w:val="333333"/>
      <w:sz w:val="18"/>
      <w:szCs w:val="18"/>
    </w:rPr>
  </w:style>
  <w:style w:type="paragraph" w:styleId="962" w:customStyle="1">
    <w:name w:val="xl29"/>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3" w:customStyle="1">
    <w:name w:val=" Char Char Char Char Char Char Char Char Char Char Char Char Char"/>
    <w:basedOn w:val="690"/>
    <w:uiPriority w:val="0"/>
    <w:qFormat/>
    <w:pPr>
      <w:jc w:val="left"/>
      <w:spacing w:after="160" w:line="240" w:lineRule="exact"/>
      <w:widowControl/>
    </w:pPr>
    <w:rPr>
      <w:rFonts w:ascii="Verdana" w:hAnsi="Verdana"/>
      <w:sz w:val="20"/>
      <w:szCs w:val="20"/>
      <w:lang w:eastAsia="en-US"/>
    </w:rPr>
  </w:style>
  <w:style w:type="paragraph" w:styleId="964" w:customStyle="1">
    <w:name w:val="Char"/>
    <w:basedOn w:val="690"/>
    <w:uiPriority w:val="0"/>
    <w:qFormat/>
    <w:pPr>
      <w:tabs>
        <w:tab w:val="left" w:pos="360" w:leader="none"/>
      </w:tabs>
    </w:pPr>
    <w:rPr>
      <w:sz w:val="24"/>
    </w:rPr>
  </w:style>
  <w:style w:type="paragraph" w:styleId="965"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966" w:customStyle="1">
    <w:name w:val="xl38"/>
    <w:basedOn w:val="69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67" w:customStyle="1">
    <w:name w:val="xl36"/>
    <w:basedOn w:val="690"/>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68" w:customStyle="1">
    <w:name w:val="xl59"/>
    <w:basedOn w:val="69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69" w:customStyle="1">
    <w:name w:val="xl45"/>
    <w:basedOn w:val="690"/>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70" w:customStyle="1">
    <w:name w:val="WPSOffice手动目录 1"/>
    <w:uiPriority w:val="0"/>
    <w:qFormat/>
    <w:rPr>
      <w:rFonts w:hint="default" w:ascii="Times New Roman" w:hAnsi="Times New Roman" w:eastAsia="宋体" w:cs="Times New Roman"/>
      <w:sz w:val="20"/>
      <w:szCs w:val="20"/>
    </w:rPr>
  </w:style>
  <w:style w:type="paragraph" w:styleId="971" w:customStyle="1">
    <w:name w:val="Char Char Char Char"/>
    <w:basedOn w:val="903"/>
    <w:uiPriority w:val="0"/>
    <w:qFormat/>
    <w:pPr>
      <w:spacing w:line="360" w:lineRule="auto"/>
    </w:pPr>
    <w:rPr>
      <w:rFonts w:ascii="Tahoma" w:hAnsi="Tahoma"/>
      <w:sz w:val="24"/>
    </w:rPr>
  </w:style>
  <w:style w:type="paragraph" w:styleId="972" w:customStyle="1">
    <w:name w:val="xl78"/>
    <w:basedOn w:val="69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73" w:customStyle="1">
    <w:name w:val="xl82"/>
    <w:basedOn w:val="69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74" w:customStyle="1">
    <w:name w:val="xl86"/>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5" w:customStyle="1">
    <w:name w:val="xl40"/>
    <w:basedOn w:val="69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6" w:customStyle="1">
    <w:name w:val="xl47"/>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77" w:customStyle="1">
    <w:name w:val="xl67"/>
    <w:basedOn w:val="69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78" w:customStyle="1">
    <w:name w:val="标题6"/>
    <w:basedOn w:val="896"/>
    <w:next w:val="690"/>
    <w:uiPriority w:val="0"/>
    <w:qFormat/>
    <w:pPr>
      <w:numPr>
        <w:ilvl w:val="0"/>
        <w:numId w:val="0"/>
      </w:numPr>
      <w:spacing w:before="0" w:after="0"/>
    </w:pPr>
    <w:rPr>
      <w:rFonts w:ascii="楷体" w:hAnsi="楷体" w:eastAsia="楷体"/>
    </w:rPr>
  </w:style>
  <w:style w:type="paragraph" w:styleId="979" w:customStyle="1">
    <w:name w:val="xl68"/>
    <w:basedOn w:val="69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80" w:customStyle="1">
    <w:name w:val="Table Paragraph"/>
    <w:basedOn w:val="690"/>
    <w:uiPriority w:val="1"/>
    <w:qFormat/>
    <w:pPr>
      <w:ind w:left="686"/>
      <w:jc w:val="center"/>
    </w:pPr>
    <w:rPr>
      <w:rFonts w:ascii="宋体" w:hAnsi="宋体" w:eastAsia="楷体_GB2312" w:cs="宋体"/>
      <w:sz w:val="22"/>
      <w:szCs w:val="20"/>
      <w:lang w:eastAsia="en-US"/>
    </w:rPr>
  </w:style>
  <w:style w:type="paragraph" w:styleId="981"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982" w:customStyle="1">
    <w:name w:val="font6"/>
    <w:basedOn w:val="690"/>
    <w:uiPriority w:val="0"/>
    <w:qFormat/>
    <w:pPr>
      <w:jc w:val="left"/>
      <w:spacing w:before="100" w:beforeAutospacing="1" w:after="100" w:afterAutospacing="1"/>
      <w:widowControl/>
    </w:pPr>
    <w:rPr>
      <w:rFonts w:eastAsia="Arial Unicode MS"/>
      <w:sz w:val="18"/>
      <w:szCs w:val="18"/>
    </w:rPr>
  </w:style>
  <w:style w:type="paragraph" w:styleId="983" w:customStyle="1">
    <w:name w:val="xl81"/>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84" w:customStyle="1">
    <w:name w:val="xl64"/>
    <w:basedOn w:val="69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85" w:customStyle="1">
    <w:name w:val="_"/>
    <w:basedOn w:val="690"/>
    <w:uiPriority w:val="0"/>
    <w:qFormat/>
    <w:pPr>
      <w:ind w:left="480"/>
      <w:spacing w:line="360" w:lineRule="auto"/>
    </w:pPr>
    <w:rPr>
      <w:sz w:val="24"/>
      <w:szCs w:val="20"/>
    </w:rPr>
  </w:style>
  <w:style w:type="paragraph" w:styleId="986" w:customStyle="1">
    <w:name w:val="xl56"/>
    <w:basedOn w:val="69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87" w:customStyle="1">
    <w:name w:val="xl62"/>
    <w:basedOn w:val="69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8" w:customStyle="1">
    <w:name w:val="xl75"/>
    <w:basedOn w:val="690"/>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89" w:customStyle="1">
    <w:name w:val="xl49"/>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90" w:customStyle="1">
    <w:name w:val="List Paragraph1"/>
    <w:basedOn w:val="690"/>
    <w:uiPriority w:val="99"/>
    <w:qFormat/>
    <w:pPr>
      <w:ind w:firstLine="420"/>
    </w:pPr>
    <w:rPr>
      <w:rFonts w:ascii="Times New Roman" w:hAnsi="Times New Roman" w:eastAsia="仿宋_GB2312"/>
      <w:sz w:val="32"/>
    </w:rPr>
  </w:style>
  <w:style w:type="paragraph" w:styleId="991" w:customStyle="1">
    <w:name w:val="xl80"/>
    <w:basedOn w:val="690"/>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92" w:customStyle="1">
    <w:name w:val="xl39"/>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3" w:customStyle="1">
    <w:name w:val="样式 小四 行距: 1.5 倍行距"/>
    <w:basedOn w:val="690"/>
    <w:uiPriority w:val="0"/>
    <w:qFormat/>
    <w:pPr>
      <w:ind w:firstLine="480"/>
      <w:spacing w:line="360" w:lineRule="auto"/>
    </w:pPr>
    <w:rPr>
      <w:szCs w:val="20"/>
    </w:rPr>
  </w:style>
  <w:style w:type="paragraph" w:styleId="994" w:customStyle="1">
    <w:name w:val="_Style 2"/>
    <w:basedOn w:val="690"/>
    <w:uiPriority w:val="0"/>
    <w:qFormat/>
    <w:pPr>
      <w:ind w:firstLine="420"/>
    </w:pPr>
    <w:rPr>
      <w:rFonts w:ascii="Calibri" w:hAnsi="Calibri"/>
    </w:rPr>
  </w:style>
  <w:style w:type="paragraph" w:styleId="995" w:customStyle="1">
    <w:name w:val="xl53"/>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96" w:customStyle="1">
    <w:name w:val="xl69"/>
    <w:basedOn w:val="6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7" w:customStyle="1">
    <w:name w:val="font7"/>
    <w:basedOn w:val="690"/>
    <w:uiPriority w:val="0"/>
    <w:qFormat/>
    <w:pPr>
      <w:jc w:val="left"/>
      <w:spacing w:before="100" w:beforeAutospacing="1" w:after="100" w:afterAutospacing="1"/>
      <w:widowControl/>
    </w:pPr>
    <w:rPr>
      <w:rFonts w:eastAsia="Arial Unicode MS"/>
      <w:sz w:val="18"/>
      <w:szCs w:val="18"/>
    </w:rPr>
  </w:style>
  <w:style w:type="paragraph" w:styleId="998" w:customStyle="1">
    <w:name w:val="xl48"/>
    <w:basedOn w:val="690"/>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99" w:customStyle="1">
    <w:name w:val="font9"/>
    <w:basedOn w:val="690"/>
    <w:uiPriority w:val="0"/>
    <w:qFormat/>
    <w:pPr>
      <w:jc w:val="left"/>
      <w:spacing w:before="100" w:beforeAutospacing="1" w:after="100" w:afterAutospacing="1"/>
      <w:widowControl/>
    </w:pPr>
    <w:rPr>
      <w:rFonts w:eastAsia="Arial Unicode MS"/>
      <w:b/>
      <w:bCs/>
      <w:color w:val="000000"/>
      <w:sz w:val="18"/>
      <w:szCs w:val="18"/>
    </w:rPr>
  </w:style>
  <w:style w:type="paragraph" w:styleId="1000" w:customStyle="1">
    <w:name w:val="xl52"/>
    <w:basedOn w:val="69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001" w:customStyle="1">
    <w:name w:val="xl65"/>
    <w:basedOn w:val="690"/>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002" w:customStyle="1">
    <w:name w:val="一级缩进"/>
    <w:uiPriority w:val="0"/>
    <w:qFormat/>
    <w:pPr>
      <w:numPr>
        <w:ilvl w:val="0"/>
        <w:numId w:val="3"/>
      </w:numPr>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003" w:customStyle="1">
    <w:name w:val="xl83"/>
    <w:basedOn w:val="690"/>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04" w:customStyle="1">
    <w:name w:val="xl85"/>
    <w:basedOn w:val="6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005" w:customStyle="1">
    <w:name w:val="xl70"/>
    <w:basedOn w:val="6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06" w:customStyle="1">
    <w:name w:val="xl44"/>
    <w:basedOn w:val="690"/>
    <w:uiPriority w:val="0"/>
    <w:qFormat/>
    <w:pPr>
      <w:jc w:val="right"/>
      <w:spacing w:before="100" w:beforeAutospacing="1" w:after="100" w:afterAutospacing="1"/>
      <w:widowControl/>
    </w:pPr>
    <w:rPr>
      <w:rFonts w:ascii="Arial Unicode MS" w:hAnsi="Arial Unicode MS" w:eastAsia="Arial Unicode MS"/>
      <w:sz w:val="24"/>
    </w:rPr>
  </w:style>
  <w:style w:type="paragraph" w:styleId="1007" w:customStyle="1">
    <w:name w:val="xl76"/>
    <w:basedOn w:val="69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08" w:customStyle="1">
    <w:name w:val="xl72"/>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9" w:customStyle="1">
    <w:name w:val="xl58"/>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10" w:customStyle="1">
    <w:name w:val="xl42"/>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011" w:customStyle="1">
    <w:name w:val="xl50"/>
    <w:basedOn w:val="69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12" w:customStyle="1">
    <w:name w:val="xl57"/>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13" w:customStyle="1">
    <w:name w:val="xl61"/>
    <w:basedOn w:val="69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14" w:customStyle="1">
    <w:name w:val="xl79"/>
    <w:basedOn w:val="690"/>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015" w:customStyle="1">
    <w:name w:val="列出段落1"/>
    <w:basedOn w:val="690"/>
    <w:uiPriority w:val="34"/>
    <w:qFormat/>
    <w:pPr>
      <w:ind w:firstLine="420"/>
    </w:pPr>
    <w:rPr>
      <w:rFonts w:ascii="Calibri" w:hAnsi="Calibri"/>
    </w:rPr>
  </w:style>
  <w:style w:type="paragraph" w:styleId="1016" w:customStyle="1">
    <w:name w:val="xl54"/>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017"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8" w:customStyle="1">
    <w:name w:val="默认段落字体 Para Char Char Char Char Char Char Char Char Char1 Char Char Char Char Char Char Char"/>
    <w:basedOn w:val="903"/>
    <w:uiPriority w:val="0"/>
    <w:qFormat/>
    <w:rPr>
      <w:rFonts w:ascii="Tahoma" w:hAnsi="Tahoma"/>
      <w:sz w:val="24"/>
    </w:rPr>
  </w:style>
  <w:style w:type="paragraph" w:styleId="1019" w:customStyle="1">
    <w:name w:val="普通正文"/>
    <w:basedOn w:val="690"/>
    <w:uiPriority w:val="0"/>
    <w:qFormat/>
    <w:pPr>
      <w:ind w:firstLine="480"/>
      <w:jc w:val="left"/>
      <w:spacing w:before="120" w:after="120" w:line="360" w:lineRule="auto"/>
    </w:pPr>
    <w:rPr>
      <w:rFonts w:ascii="Arial" w:hAnsi="Arial"/>
      <w:sz w:val="24"/>
    </w:rPr>
  </w:style>
  <w:style w:type="paragraph" w:styleId="1020" w:customStyle="1">
    <w:name w:val="xl35"/>
    <w:basedOn w:val="690"/>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21" w:customStyle="1">
    <w:name w:val="xl63"/>
    <w:basedOn w:val="690"/>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022" w:customStyle="1">
    <w:name w:val="正文2"/>
    <w:uiPriority w:val="0"/>
    <w:qFormat/>
    <w:rPr>
      <w:rFonts w:hint="default" w:ascii="Times New Roman" w:hAnsi="Times New Roman" w:eastAsia="Times New Roman" w:cs="Times New Roman"/>
      <w:sz w:val="24"/>
      <w:szCs w:val="24"/>
      <w:lang w:val="en-US" w:eastAsia="zh-CN" w:bidi="ar-SA"/>
    </w:rPr>
  </w:style>
  <w:style w:type="paragraph" w:styleId="1023" w:customStyle="1">
    <w:name w:val="Body text|1"/>
    <w:basedOn w:val="690"/>
    <w:uiPriority w:val="0"/>
    <w:qFormat/>
    <w:pPr>
      <w:ind w:firstLine="400"/>
      <w:spacing w:line="420" w:lineRule="auto"/>
      <w:shd w:val="clear" w:color="auto" w:fill="auto"/>
      <w:widowControl w:val="off"/>
    </w:pPr>
    <w:rPr>
      <w:rFonts w:ascii="宋体" w:hAnsi="宋体" w:eastAsia="宋体" w:cs="宋体"/>
      <w:sz w:val="30"/>
      <w:szCs w:val="30"/>
      <w:u w:val="none"/>
      <w:shd w:val="clear" w:color="auto" w:fill="auto"/>
      <w:lang w:val="zh-TW" w:eastAsia="zh-TW" w:bidi="zh-TW"/>
    </w:rPr>
  </w:style>
  <w:style w:type="paragraph" w:styleId="1024"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5"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6"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27" w:customStyle="1">
    <w:name w:val="正文_2_0"/>
    <w:uiPriority w:val="0"/>
    <w:qFormat/>
    <w:pPr>
      <w:jc w:val="both"/>
      <w:widowControl w:val="off"/>
    </w:pPr>
    <w:rPr>
      <w:rFonts w:ascii="Calibri" w:hAnsi="Calibri" w:eastAsia="宋体" w:cs="Times New Roman"/>
      <w:sz w:val="21"/>
      <w:szCs w:val="22"/>
      <w:lang w:val="en-US" w:eastAsia="zh-CN" w:bidi="ar-SA"/>
    </w:rPr>
  </w:style>
  <w:style w:type="character" w:styleId="1028" w:customStyle="1">
    <w:name w:val="font21"/>
    <w:basedOn w:val="700"/>
    <w:uiPriority w:val="0"/>
    <w:qFormat/>
    <w:rPr>
      <w:rFonts w:hint="eastAsia" w:ascii="宋体" w:hAnsi="宋体" w:eastAsia="宋体" w:cs="宋体"/>
      <w:color w:val="000000"/>
      <w:sz w:val="20"/>
      <w:szCs w:val="20"/>
      <w:u w:val="none"/>
    </w:rPr>
  </w:style>
  <w:style w:type="paragraph" w:styleId="1029" w:customStyle="1">
    <w:name w:val="Body text|2"/>
    <w:basedOn w:val="690"/>
    <w:uiPriority w:val="0"/>
    <w:qFormat/>
    <w:pPr>
      <w:ind w:left="1480"/>
      <w:spacing w:line="1246" w:lineRule="exact"/>
      <w:shd w:val="clear" w:color="auto" w:fill="auto"/>
      <w:widowControl w:val="off"/>
    </w:pPr>
    <w:rPr>
      <w:rFonts w:ascii="宋体" w:hAnsi="宋体" w:eastAsia="宋体" w:cs="宋体"/>
      <w:sz w:val="32"/>
      <w:szCs w:val="32"/>
      <w:u w:val="none"/>
      <w:shd w:val="clear" w:color="auto" w:fill="auto"/>
      <w:lang w:val="zh-TW" w:eastAsia="zh-TW" w:bidi="zh-TW"/>
    </w:rPr>
  </w:style>
  <w:style w:type="paragraph" w:styleId="1030" w:customStyle="1">
    <w:name w:val="Table Text"/>
    <w:basedOn w:val="690"/>
    <w:uiPriority w:val="0"/>
    <w:semiHidden/>
    <w:qFormat/>
    <w:rPr>
      <w:rFonts w:ascii="宋体" w:hAnsi="宋体" w:eastAsia="宋体" w:cs="宋体"/>
      <w:sz w:val="24"/>
      <w:szCs w:val="24"/>
    </w:rPr>
  </w:style>
  <w:style w:type="table" w:styleId="1031" w:customStyle="1">
    <w:name w:val="Table Normal"/>
    <w:uiPriority w:val="0"/>
    <w:semiHidden/>
    <w:unhideWhenUsed/>
    <w:qFormat/>
    <w:tblPr>
      <w:tblCellMar>
        <w:left w:w="0" w:type="dxa"/>
        <w:top w:w="0" w:type="dxa"/>
        <w:right w:w="0" w:type="dxa"/>
        <w:bottom w:w="0" w:type="dxa"/>
      </w:tblCellMar>
    </w:tblPr>
  </w:style>
  <w:style w:type="character" w:styleId="1032" w:customStyle="1">
    <w:name w:val="font01"/>
    <w:basedOn w:val="700"/>
    <w:uiPriority w:val="0"/>
    <w:qFormat/>
    <w:rPr>
      <w:rFonts w:hint="eastAsia" w:ascii="宋体" w:hAnsi="宋体" w:eastAsia="宋体" w:cs="宋体"/>
      <w:color w:val="000000"/>
      <w:sz w:val="22"/>
      <w:szCs w:val="22"/>
      <w:u w:val="none"/>
    </w:rPr>
  </w:style>
  <w:style w:type="table" w:styleId="1033" w:customStyle="1">
    <w:name w:val="网格表 4 - 着色 11"/>
    <w:basedOn w:val="701"/>
    <w:uiPriority w:val="49"/>
    <w:qFormat/>
    <w:rPr>
      <w:rFonts w:ascii="等线" w:hAnsi="等线" w:eastAsia="等线" w:cs="Times New Roman"/>
      <w:sz w:val="20"/>
      <w:szCs w:val="20"/>
    </w:rPr>
    <w:tblPr>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insideV w:val="single" w:color="95B3D7" w:themeColor="accent1" w:themeTint="99" w:sz="4" w:space="0"/>
      </w:tblBorders>
    </w:tblPr>
    <w:tblStylePr w:type="band1Horz">
      <w:tcPr>
        <w:shd w:val="clear" w:color="auto" w:fill="dbe5f1" w:themeFill="accent1" w:themeFillTint="33"/>
      </w:tcPr>
    </w:tblStylePr>
    <w:tblStylePr w:type="band1Vert">
      <w:tcPr>
        <w:shd w:val="clear" w:color="auto" w:fill="dbe5f1" w:themeFill="accent1"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4f81bd" w:themeFill="accent1"/>
        <w:tcBorders>
          <w:top w:val="single" w:color="4F81BD" w:themeColor="accent1" w:sz="4" w:space="0"/>
          <w:left w:val="single" w:color="4F81BD" w:themeColor="accent1" w:sz="4" w:space="0"/>
          <w:bottom w:val="single" w:color="4F81BD" w:themeColor="accent1" w:sz="4" w:space="0"/>
          <w:right w:val="single" w:color="4F81BD" w:themeColor="accent1" w:sz="4" w:space="0"/>
          <w:insideH w:val="none" w:color="000000" w:sz="4" w:space="0"/>
          <w:insideV w:val="none" w:color="000000" w:sz="4" w:space="0"/>
        </w:tcBorders>
      </w:tcPr>
    </w:tblStylePr>
    <w:tblStylePr w:type="lastCol">
      <w:rPr>
        <w:b/>
        <w:bCs/>
      </w:rPr>
    </w:tblStylePr>
    <w:tblStylePr w:type="lastRow">
      <w:rPr>
        <w:b/>
        <w:bCs/>
      </w:rPr>
      <w:tcPr>
        <w:tcBorders>
          <w:top w:val="single" w:color="4F81BD" w:themeColor="accent1" w:sz="4" w:space="0"/>
        </w:tcBorders>
      </w:tcPr>
    </w:tblStylePr>
  </w:style>
  <w:style w:type="paragraph" w:styleId="1034" w:customStyle="1">
    <w:name w:val="纯文本11"/>
    <w:basedOn w:val="690"/>
    <w:uiPriority w:val="0"/>
    <w:qFormat/>
    <w:rPr>
      <w:rFonts w:ascii="宋体" w:hAnsi="Courier New"/>
      <w:szCs w:val="20"/>
    </w:rPr>
  </w:style>
  <w:style w:type="paragraph" w:styleId="1035" w:customStyle="1">
    <w:name w:val="列表段落1"/>
    <w:basedOn w:val="738"/>
    <w:next w:val="690"/>
    <w:uiPriority w:val="34"/>
    <w:qFormat/>
    <w:pPr>
      <w:ind w:firstLine="420"/>
    </w:pPr>
  </w:style>
  <w:style w:type="numbering" w:styleId="10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image" Target="media/image1.jp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伍秀莲</cp:lastModifiedBy>
  <cp:revision>5</cp:revision>
  <dcterms:created xsi:type="dcterms:W3CDTF">2018-11-06T08:29:00Z</dcterms:created>
  <dcterms:modified xsi:type="dcterms:W3CDTF">2026-10-13T10:03:10Z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1F3A40569FA54896ADE46440D02F902C_13</vt:lpwstr>
  </property>
  <property fmtid="{D5CDD505-2E9C-101B-9397-08002B2CF9AE}" pid="4" name="KSOTemplateDocerSaveRecord">
    <vt:lpwstr>eyJoZGlkIjoiZmIzMDI4MDk5YTExODgxNmYwNDEwOGFjYTE5MGY3NTYiLCJ1c2VySWQiOiIxMDA5MTY0NjI1In0=</vt:lpwstr>
  </property>
</Properties>
</file>