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lang w:eastAsia="zh-CN"/>
        </w:rPr>
        <w:t xml:space="preserve">JSZC-321000-SDTZ-G2026-0014</w:t>
      </w:r>
      <w:r>
        <w:rPr>
          <w:rFonts w:hint="eastAsia" w:ascii="宋体" w:hAnsi="宋体" w:cs="宋体"/>
          <w:b/>
          <w:bCs/>
          <w:color w:val="auto"/>
          <w:sz w:val="36"/>
          <w:highlight w:val="none"/>
        </w:rPr>
        <w:t xml:space="preserve">号</w:t>
      </w:r>
      <w:r/>
    </w:p>
    <w:p>
      <w:pPr>
        <w:pStyle w:val="731"/>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lang w:eastAsia="zh-CN"/>
        </w:rPr>
        <w:t xml:space="preserve">扬州市食品药品检验检测中心检验仪器设备采购项目</w:t>
      </w:r>
      <w:r>
        <w:rPr>
          <w:rFonts w:hint="eastAsia" w:ascii="宋体" w:hAnsi="宋体" w:cs="宋体"/>
          <w:b/>
          <w:bCs/>
          <w:color w:val="auto"/>
          <w:sz w:val="36"/>
          <w:highlight w:val="none"/>
        </w:rPr>
        <w:t xml:space="preserve">招标文件</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067935" cy="3340100"/>
                <wp:effectExtent l="0" t="0" r="18415"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14"/>
                        <a:stretch/>
                      </pic:blipFill>
                      <pic:spPr bwMode="auto">
                        <a:xfrm>
                          <a:off x="0" y="0"/>
                          <a:ext cx="5067934" cy="334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9.0pt;height:263.0pt;mso-wrap-distance-left:0.0pt;mso-wrap-distance-top:0.0pt;mso-wrap-distance-right:0.0pt;mso-wrap-distance-bottom:0.0pt;" stroked="f">
                <v:path textboxrect="0,0,0,0"/>
                <v:imagedata r:id="rId14" o:title=""/>
              </v:shape>
            </w:pict>
          </mc:Fallback>
        </mc:AlternateContent>
      </w:r>
      <w:r/>
    </w:p>
    <w:p>
      <w:pPr>
        <w:ind w:firstLine="11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扬州市食品药品检验检测中心</w:t>
      </w:r>
      <w:r/>
    </w:p>
    <w:p>
      <w:pPr>
        <w:ind w:firstLine="643"/>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采购代理机构：江苏时代投资咨询有限公司</w:t>
      </w:r>
      <w:r/>
    </w:p>
    <w:p>
      <w:pPr>
        <w:ind w:firstLine="643"/>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lang w:eastAsia="zh-CN"/>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lang w:eastAsia="zh-CN"/>
        </w:rPr>
        <w:t xml:space="preserve">月</w:t>
      </w:r>
      <w:r>
        <w:rPr>
          <w:rFonts w:hint="eastAsia" w:ascii="宋体" w:hAnsi="宋体" w:cs="宋体"/>
          <w:b/>
          <w:bCs/>
          <w:color w:val="auto"/>
          <w:sz w:val="32"/>
          <w:szCs w:val="32"/>
          <w:highlight w:val="none"/>
          <w:lang w:val="en-US" w:eastAsia="zh-CN"/>
        </w:rPr>
        <w:t xml:space="preserve">30</w:t>
      </w:r>
      <w:r>
        <w:rPr>
          <w:rFonts w:hint="eastAsia" w:ascii="宋体" w:hAnsi="宋体" w:cs="宋体"/>
          <w:b/>
          <w:bCs/>
          <w:color w:val="auto"/>
          <w:sz w:val="32"/>
          <w:szCs w:val="32"/>
          <w:highlight w:val="none"/>
        </w:rPr>
        <w:t xml:space="preserve">日</w:t>
      </w:r>
      <w:bookmarkEnd w:id="0"/>
      <w:r/>
      <w:r/>
    </w:p>
    <w:p>
      <w:pPr>
        <w:jc w:val="left"/>
        <w:spacing w:line="360" w:lineRule="auto"/>
        <w:tabs>
          <w:tab w:val="left" w:pos="6888" w:leader="none"/>
        </w:tabs>
        <w:rPr>
          <w:rFonts w:hint="eastAsia" w:ascii="宋体" w:hAnsi="宋体" w:cs="宋体"/>
          <w:color w:val="auto"/>
          <w:sz w:val="32"/>
          <w:highlight w:val="none"/>
        </w:rPr>
      </w:pPr>
      <w:r>
        <w:rPr>
          <w:rFonts w:hint="eastAsia" w:ascii="宋体" w:hAnsi="宋体" w:cs="宋体"/>
          <w:color w:val="auto"/>
          <w:sz w:val="32"/>
          <w:highlight w:val="none"/>
        </w:rPr>
        <w:tab/>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897"/>
        <w:ind w:firstLine="640"/>
        <w:rPr>
          <w:rFonts w:hint="eastAsia" w:ascii="宋体" w:hAnsi="宋体" w:cs="宋体"/>
          <w:color w:val="auto"/>
          <w:sz w:val="32"/>
          <w:highlight w:val="none"/>
        </w:rPr>
      </w:pPr>
      <w:r>
        <w:rPr>
          <w:rFonts w:hint="eastAsia" w:ascii="宋体" w:hAnsi="宋体" w:cs="宋体"/>
          <w:color w:val="auto"/>
          <w:sz w:val="32"/>
          <w:highlight w:val="none"/>
        </w:rPr>
      </w:r>
      <w:r/>
    </w:p>
    <w:p>
      <w:pPr>
        <w:pStyle w:val="897"/>
        <w:ind w:firstLine="640"/>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32"/>
          <w:highlight w:val="none"/>
        </w:rPr>
      </w:r>
      <w:r/>
    </w:p>
    <w:p>
      <w:pPr>
        <w:pStyle w:val="897"/>
        <w:ind w:firstLine="640"/>
        <w:rPr>
          <w:rFonts w:hint="eastAsia" w:ascii="宋体" w:hAnsi="宋体" w:cs="宋体"/>
          <w:color w:val="auto"/>
          <w:sz w:val="32"/>
          <w:highlight w:val="none"/>
        </w:rPr>
      </w:pPr>
      <w:r>
        <w:rPr>
          <w:rFonts w:hint="eastAsia" w:ascii="宋体" w:hAnsi="宋体" w:cs="宋体"/>
          <w:color w:val="auto"/>
          <w:sz w:val="32"/>
          <w:highlight w:val="none"/>
        </w:rPr>
      </w:r>
      <w:r/>
    </w:p>
    <w:sdt>
      <w:sdtPr>
        <w15:appearance w15:val="boundingBox"/>
        <w15:color w:val="dbdbdb"/>
        <w:id w:val="147470875"/>
        <w:docPartObj>
          <w:docPartGallery w:val="Table of Contents"/>
          <w:docPartUnique w:val="true"/>
        </w:docPartObj>
        <w:rPr>
          <w:rFonts w:hint="eastAsia" w:ascii="宋体" w:hAnsi="宋体" w:eastAsia="宋体" w:cs="宋体"/>
          <w:color w:val="auto"/>
          <w:sz w:val="21"/>
          <w:szCs w:val="22"/>
          <w:highlight w:val="none"/>
          <w:lang w:val="en-US" w:eastAsia="zh-CN" w:bidi="ar-SA"/>
        </w:rPr>
      </w:sdtPr>
      <w:sdtContent>
        <w:p>
          <w:pPr>
            <w:ind w:left="0" w:right="0" w:firstLine="0"/>
            <w:jc w:val="center"/>
            <w:spacing w:before="0" w:after="0" w:line="240" w:lineRule="auto"/>
            <w:rPr>
              <w:rFonts w:hint="eastAsia" w:ascii="宋体" w:hAnsi="宋体" w:cs="宋体"/>
              <w:color w:val="auto"/>
              <w:sz w:val="32"/>
              <w:szCs w:val="36"/>
              <w:highlight w:val="none"/>
            </w:rPr>
          </w:pPr>
          <w:r>
            <w:rPr>
              <w:rFonts w:hint="eastAsia" w:ascii="宋体" w:hAnsi="宋体" w:eastAsia="宋体" w:cs="宋体"/>
              <w:color w:val="auto"/>
              <w:sz w:val="32"/>
              <w:szCs w:val="36"/>
              <w:highlight w:val="none"/>
            </w:rPr>
            <w:t xml:space="preserve">目录</w:t>
          </w:r>
          <w:r/>
        </w:p>
        <w:p>
          <w:pPr>
            <w:pStyle w:val="718"/>
            <w:spacing w:line="360" w:lineRule="auto"/>
            <w:tabs>
              <w:tab w:val="right" w:pos="8306" w:leader="dot"/>
            </w:tabs>
            <w:rPr>
              <w:rFonts w:hint="eastAsia" w:ascii="宋体" w:hAnsi="宋体" w:cs="宋体"/>
              <w:color w:val="auto"/>
              <w:sz w:val="22"/>
              <w:szCs w:val="24"/>
              <w:highlight w:val="none"/>
            </w:rPr>
          </w:pP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TOC \o "1-1" \h \u </w:instrText>
          </w:r>
          <w:r>
            <w:rPr>
              <w:rFonts w:hint="eastAsia" w:ascii="宋体" w:hAnsi="宋体" w:cs="宋体"/>
              <w:color w:val="auto"/>
              <w:sz w:val="22"/>
              <w:szCs w:val="22"/>
              <w:highlight w:val="none"/>
              <w:lang w:val="en-US"/>
            </w:rPr>
            <w:fldChar w:fldCharType="separate"/>
          </w: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 HYPERLINK \l _Toc30760 </w:instrText>
          </w:r>
          <w:r>
            <w:rPr>
              <w:rFonts w:hint="eastAsia" w:ascii="宋体" w:hAnsi="宋体" w:cs="宋体"/>
              <w:color w:val="auto"/>
              <w:sz w:val="22"/>
              <w:szCs w:val="22"/>
              <w:highlight w:val="none"/>
              <w:lang w:val="en-US"/>
            </w:rPr>
            <w:fldChar w:fldCharType="separate"/>
          </w:r>
          <w:r>
            <w:rPr>
              <w:rFonts w:hint="eastAsia" w:ascii="宋体" w:hAnsi="宋体" w:cs="宋体"/>
              <w:color w:val="auto"/>
              <w:sz w:val="22"/>
              <w:szCs w:val="24"/>
              <w:highlight w:val="none"/>
            </w:rPr>
            <w:t xml:space="preserve">第一章 </w:t>
          </w:r>
          <w:r>
            <w:rPr>
              <w:rFonts w:hint="eastAsia" w:ascii="宋体" w:hAnsi="宋体" w:cs="宋体"/>
              <w:color w:val="auto"/>
              <w:sz w:val="22"/>
              <w:szCs w:val="24"/>
              <w:highlight w:val="none"/>
              <w:lang w:val="en-US" w:eastAsia="zh-CN"/>
            </w:rPr>
            <w:t xml:space="preserve"> </w:t>
          </w:r>
          <w:r>
            <w:rPr>
              <w:rFonts w:hint="eastAsia" w:ascii="宋体" w:hAnsi="宋体" w:cs="宋体"/>
              <w:color w:val="auto"/>
              <w:sz w:val="22"/>
              <w:szCs w:val="24"/>
              <w:highlight w:val="none"/>
            </w:rPr>
            <w:t xml:space="preserve">招标公告</w:t>
          </w:r>
          <w:r>
            <w:rPr>
              <w:rFonts w:hint="eastAsia" w:ascii="宋体" w:hAnsi="宋体" w:cs="宋体"/>
              <w:color w:val="auto"/>
              <w:sz w:val="22"/>
              <w:szCs w:val="24"/>
              <w:highlight w:val="none"/>
            </w:rPr>
            <w:tab/>
          </w:r>
          <w:r>
            <w:rPr>
              <w:rFonts w:hint="eastAsia" w:ascii="宋体" w:hAnsi="宋体" w:cs="宋体"/>
              <w:color w:val="auto"/>
              <w:sz w:val="22"/>
              <w:szCs w:val="24"/>
              <w:highlight w:val="none"/>
            </w:rPr>
            <w:fldChar w:fldCharType="begin"/>
          </w:r>
          <w:r>
            <w:rPr>
              <w:rFonts w:hint="eastAsia" w:ascii="宋体" w:hAnsi="宋体" w:cs="宋体"/>
              <w:color w:val="auto"/>
              <w:sz w:val="22"/>
              <w:szCs w:val="24"/>
              <w:highlight w:val="none"/>
            </w:rPr>
            <w:instrText xml:space="preserve"> PAGEREF _Toc30760 \h </w:instrText>
          </w:r>
          <w:r>
            <w:rPr>
              <w:rFonts w:hint="eastAsia" w:ascii="宋体" w:hAnsi="宋体" w:cs="宋体"/>
              <w:color w:val="auto"/>
              <w:sz w:val="22"/>
              <w:szCs w:val="24"/>
              <w:highlight w:val="none"/>
            </w:rPr>
            <w:fldChar w:fldCharType="separate"/>
          </w:r>
          <w:r>
            <w:rPr>
              <w:rFonts w:hint="eastAsia" w:ascii="宋体" w:hAnsi="宋体" w:cs="宋体"/>
              <w:color w:val="auto"/>
              <w:sz w:val="22"/>
              <w:szCs w:val="24"/>
              <w:highlight w:val="none"/>
            </w:rPr>
            <w:t xml:space="preserve">2</w:t>
          </w:r>
          <w:r>
            <w:rPr>
              <w:rFonts w:hint="eastAsia" w:ascii="宋体" w:hAnsi="宋体" w:cs="宋体"/>
              <w:color w:val="auto"/>
              <w:sz w:val="22"/>
              <w:szCs w:val="24"/>
              <w:highlight w:val="none"/>
            </w:rPr>
            <w:fldChar w:fldCharType="end"/>
          </w:r>
          <w:r>
            <w:rPr>
              <w:rFonts w:hint="eastAsia" w:ascii="宋体" w:hAnsi="宋体" w:cs="宋体"/>
              <w:color w:val="auto"/>
              <w:sz w:val="22"/>
              <w:szCs w:val="22"/>
              <w:highlight w:val="none"/>
              <w:lang w:val="en-US"/>
            </w:rPr>
            <w:fldChar w:fldCharType="end"/>
          </w:r>
          <w:r/>
        </w:p>
        <w:p>
          <w:pPr>
            <w:pStyle w:val="718"/>
            <w:spacing w:line="360" w:lineRule="auto"/>
            <w:tabs>
              <w:tab w:val="right" w:pos="8306" w:leader="dot"/>
            </w:tabs>
            <w:rPr>
              <w:rFonts w:hint="eastAsia" w:ascii="宋体" w:hAnsi="宋体" w:cs="宋体"/>
              <w:color w:val="auto"/>
              <w:sz w:val="22"/>
              <w:szCs w:val="24"/>
              <w:highlight w:val="none"/>
            </w:rPr>
          </w:pP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 HYPERLINK \l _Toc6316 </w:instrText>
          </w:r>
          <w:r>
            <w:rPr>
              <w:rFonts w:hint="eastAsia" w:ascii="宋体" w:hAnsi="宋体" w:cs="宋体"/>
              <w:color w:val="auto"/>
              <w:sz w:val="22"/>
              <w:szCs w:val="22"/>
              <w:highlight w:val="none"/>
              <w:lang w:val="en-US"/>
            </w:rPr>
            <w:fldChar w:fldCharType="separate"/>
          </w:r>
          <w:r>
            <w:rPr>
              <w:rFonts w:hint="eastAsia" w:ascii="宋体" w:hAnsi="宋体" w:cs="宋体"/>
              <w:color w:val="auto"/>
              <w:sz w:val="22"/>
              <w:szCs w:val="24"/>
              <w:highlight w:val="none"/>
            </w:rPr>
            <w:t xml:space="preserve">第二章  投标人须知</w:t>
          </w:r>
          <w:r>
            <w:rPr>
              <w:rFonts w:hint="eastAsia" w:ascii="宋体" w:hAnsi="宋体" w:cs="宋体"/>
              <w:color w:val="auto"/>
              <w:sz w:val="22"/>
              <w:szCs w:val="24"/>
              <w:highlight w:val="none"/>
            </w:rPr>
            <w:tab/>
          </w:r>
          <w:r>
            <w:rPr>
              <w:rFonts w:hint="eastAsia" w:ascii="宋体" w:hAnsi="宋体" w:cs="宋体"/>
              <w:color w:val="auto"/>
              <w:sz w:val="22"/>
              <w:szCs w:val="24"/>
              <w:highlight w:val="none"/>
            </w:rPr>
            <w:fldChar w:fldCharType="begin"/>
          </w:r>
          <w:r>
            <w:rPr>
              <w:rFonts w:hint="eastAsia" w:ascii="宋体" w:hAnsi="宋体" w:cs="宋体"/>
              <w:color w:val="auto"/>
              <w:sz w:val="22"/>
              <w:szCs w:val="24"/>
              <w:highlight w:val="none"/>
            </w:rPr>
            <w:instrText xml:space="preserve"> PAGEREF _Toc6316 \h </w:instrText>
          </w:r>
          <w:r>
            <w:rPr>
              <w:rFonts w:hint="eastAsia" w:ascii="宋体" w:hAnsi="宋体" w:cs="宋体"/>
              <w:color w:val="auto"/>
              <w:sz w:val="22"/>
              <w:szCs w:val="24"/>
              <w:highlight w:val="none"/>
            </w:rPr>
            <w:fldChar w:fldCharType="separate"/>
          </w:r>
          <w:r>
            <w:rPr>
              <w:rFonts w:hint="eastAsia" w:ascii="宋体" w:hAnsi="宋体" w:cs="宋体"/>
              <w:color w:val="auto"/>
              <w:sz w:val="22"/>
              <w:szCs w:val="24"/>
              <w:highlight w:val="none"/>
            </w:rPr>
            <w:t xml:space="preserve">6</w:t>
          </w:r>
          <w:r>
            <w:rPr>
              <w:rFonts w:hint="eastAsia" w:ascii="宋体" w:hAnsi="宋体" w:cs="宋体"/>
              <w:color w:val="auto"/>
              <w:sz w:val="22"/>
              <w:szCs w:val="24"/>
              <w:highlight w:val="none"/>
            </w:rPr>
            <w:fldChar w:fldCharType="end"/>
          </w:r>
          <w:r>
            <w:rPr>
              <w:rFonts w:hint="eastAsia" w:ascii="宋体" w:hAnsi="宋体" w:cs="宋体"/>
              <w:color w:val="auto"/>
              <w:sz w:val="22"/>
              <w:szCs w:val="22"/>
              <w:highlight w:val="none"/>
              <w:lang w:val="en-US"/>
            </w:rPr>
            <w:fldChar w:fldCharType="end"/>
          </w:r>
          <w:r/>
        </w:p>
        <w:p>
          <w:pPr>
            <w:pStyle w:val="718"/>
            <w:spacing w:line="360" w:lineRule="auto"/>
            <w:tabs>
              <w:tab w:val="right" w:pos="8306" w:leader="dot"/>
            </w:tabs>
            <w:rPr>
              <w:rFonts w:hint="eastAsia" w:ascii="宋体" w:hAnsi="宋体" w:cs="宋体"/>
              <w:color w:val="auto"/>
              <w:sz w:val="22"/>
              <w:szCs w:val="24"/>
              <w:highlight w:val="none"/>
            </w:rPr>
          </w:pP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 HYPERLINK \l _Toc23543 </w:instrText>
          </w:r>
          <w:r>
            <w:rPr>
              <w:rFonts w:hint="eastAsia" w:ascii="宋体" w:hAnsi="宋体" w:cs="宋体"/>
              <w:color w:val="auto"/>
              <w:sz w:val="22"/>
              <w:szCs w:val="22"/>
              <w:highlight w:val="none"/>
              <w:lang w:val="en-US"/>
            </w:rPr>
            <w:fldChar w:fldCharType="separate"/>
          </w:r>
          <w:r>
            <w:rPr>
              <w:rFonts w:hint="eastAsia" w:ascii="宋体" w:hAnsi="宋体" w:cs="宋体"/>
              <w:color w:val="auto"/>
              <w:sz w:val="22"/>
              <w:szCs w:val="24"/>
              <w:highlight w:val="none"/>
            </w:rPr>
            <w:t xml:space="preserve">第三章  合同条款及格式</w:t>
          </w:r>
          <w:r>
            <w:rPr>
              <w:rFonts w:hint="eastAsia" w:ascii="宋体" w:hAnsi="宋体" w:cs="宋体"/>
              <w:color w:val="auto"/>
              <w:sz w:val="22"/>
              <w:szCs w:val="24"/>
              <w:highlight w:val="none"/>
            </w:rPr>
            <w:tab/>
          </w:r>
          <w:r>
            <w:rPr>
              <w:rFonts w:hint="eastAsia" w:ascii="宋体" w:hAnsi="宋体" w:cs="宋体"/>
              <w:color w:val="auto"/>
              <w:sz w:val="22"/>
              <w:szCs w:val="24"/>
              <w:highlight w:val="none"/>
            </w:rPr>
            <w:fldChar w:fldCharType="begin"/>
          </w:r>
          <w:r>
            <w:rPr>
              <w:rFonts w:hint="eastAsia" w:ascii="宋体" w:hAnsi="宋体" w:cs="宋体"/>
              <w:color w:val="auto"/>
              <w:sz w:val="22"/>
              <w:szCs w:val="24"/>
              <w:highlight w:val="none"/>
            </w:rPr>
            <w:instrText xml:space="preserve"> PAGEREF _Toc23543 \h </w:instrText>
          </w:r>
          <w:r>
            <w:rPr>
              <w:rFonts w:hint="eastAsia" w:ascii="宋体" w:hAnsi="宋体" w:cs="宋体"/>
              <w:color w:val="auto"/>
              <w:sz w:val="22"/>
              <w:szCs w:val="24"/>
              <w:highlight w:val="none"/>
            </w:rPr>
            <w:fldChar w:fldCharType="separate"/>
          </w:r>
          <w:r>
            <w:rPr>
              <w:rFonts w:hint="eastAsia" w:ascii="宋体" w:hAnsi="宋体" w:cs="宋体"/>
              <w:color w:val="auto"/>
              <w:sz w:val="22"/>
              <w:szCs w:val="24"/>
              <w:highlight w:val="none"/>
            </w:rPr>
            <w:t xml:space="preserve">17</w:t>
          </w:r>
          <w:r>
            <w:rPr>
              <w:rFonts w:hint="eastAsia" w:ascii="宋体" w:hAnsi="宋体" w:cs="宋体"/>
              <w:color w:val="auto"/>
              <w:sz w:val="22"/>
              <w:szCs w:val="24"/>
              <w:highlight w:val="none"/>
            </w:rPr>
            <w:fldChar w:fldCharType="end"/>
          </w:r>
          <w:r>
            <w:rPr>
              <w:rFonts w:hint="eastAsia" w:ascii="宋体" w:hAnsi="宋体" w:cs="宋体"/>
              <w:color w:val="auto"/>
              <w:sz w:val="22"/>
              <w:szCs w:val="22"/>
              <w:highlight w:val="none"/>
              <w:lang w:val="en-US"/>
            </w:rPr>
            <w:fldChar w:fldCharType="end"/>
          </w:r>
          <w:r/>
        </w:p>
        <w:p>
          <w:pPr>
            <w:pStyle w:val="718"/>
            <w:spacing w:line="360" w:lineRule="auto"/>
            <w:tabs>
              <w:tab w:val="right" w:pos="8306" w:leader="dot"/>
            </w:tabs>
            <w:rPr>
              <w:rFonts w:hint="eastAsia" w:ascii="宋体" w:hAnsi="宋体" w:cs="宋体"/>
              <w:color w:val="auto"/>
              <w:sz w:val="22"/>
              <w:szCs w:val="24"/>
              <w:highlight w:val="none"/>
            </w:rPr>
          </w:pP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 HYPERLINK \l _Toc25662 </w:instrText>
          </w:r>
          <w:r>
            <w:rPr>
              <w:rFonts w:hint="eastAsia" w:ascii="宋体" w:hAnsi="宋体" w:cs="宋体"/>
              <w:color w:val="auto"/>
              <w:sz w:val="22"/>
              <w:szCs w:val="22"/>
              <w:highlight w:val="none"/>
              <w:lang w:val="en-US"/>
            </w:rPr>
            <w:fldChar w:fldCharType="separate"/>
          </w:r>
          <w:r>
            <w:rPr>
              <w:rFonts w:hint="eastAsia" w:ascii="宋体" w:hAnsi="宋体" w:cs="宋体"/>
              <w:color w:val="auto"/>
              <w:sz w:val="22"/>
              <w:szCs w:val="24"/>
              <w:highlight w:val="none"/>
            </w:rPr>
            <w:t xml:space="preserve">第四章 </w:t>
          </w:r>
          <w:r>
            <w:rPr>
              <w:rFonts w:hint="eastAsia" w:ascii="宋体" w:hAnsi="宋体" w:cs="宋体"/>
              <w:color w:val="auto"/>
              <w:sz w:val="22"/>
              <w:szCs w:val="24"/>
              <w:highlight w:val="none"/>
              <w:lang w:val="en-US" w:eastAsia="zh-CN"/>
            </w:rPr>
            <w:t xml:space="preserve"> </w:t>
          </w:r>
          <w:r>
            <w:rPr>
              <w:rFonts w:hint="eastAsia" w:ascii="宋体" w:hAnsi="宋体" w:cs="宋体"/>
              <w:color w:val="auto"/>
              <w:sz w:val="22"/>
              <w:szCs w:val="24"/>
              <w:highlight w:val="none"/>
            </w:rPr>
            <w:t xml:space="preserve">项目需求</w:t>
          </w:r>
          <w:r>
            <w:rPr>
              <w:rFonts w:hint="eastAsia" w:ascii="宋体" w:hAnsi="宋体" w:cs="宋体"/>
              <w:color w:val="auto"/>
              <w:sz w:val="22"/>
              <w:szCs w:val="24"/>
              <w:highlight w:val="none"/>
            </w:rPr>
            <w:tab/>
          </w:r>
          <w:r>
            <w:rPr>
              <w:rFonts w:hint="eastAsia" w:ascii="宋体" w:hAnsi="宋体" w:cs="宋体"/>
              <w:color w:val="auto"/>
              <w:sz w:val="22"/>
              <w:szCs w:val="24"/>
              <w:highlight w:val="none"/>
            </w:rPr>
            <w:fldChar w:fldCharType="begin"/>
          </w:r>
          <w:r>
            <w:rPr>
              <w:rFonts w:hint="eastAsia" w:ascii="宋体" w:hAnsi="宋体" w:cs="宋体"/>
              <w:color w:val="auto"/>
              <w:sz w:val="22"/>
              <w:szCs w:val="24"/>
              <w:highlight w:val="none"/>
            </w:rPr>
            <w:instrText xml:space="preserve"> PAGEREF _Toc25662 \h </w:instrText>
          </w:r>
          <w:r>
            <w:rPr>
              <w:rFonts w:hint="eastAsia" w:ascii="宋体" w:hAnsi="宋体" w:cs="宋体"/>
              <w:color w:val="auto"/>
              <w:sz w:val="22"/>
              <w:szCs w:val="24"/>
              <w:highlight w:val="none"/>
            </w:rPr>
            <w:fldChar w:fldCharType="separate"/>
          </w:r>
          <w:r>
            <w:rPr>
              <w:rFonts w:hint="eastAsia" w:ascii="宋体" w:hAnsi="宋体" w:cs="宋体"/>
              <w:color w:val="auto"/>
              <w:sz w:val="22"/>
              <w:szCs w:val="24"/>
              <w:highlight w:val="none"/>
            </w:rPr>
            <w:t xml:space="preserve">21</w:t>
          </w:r>
          <w:r>
            <w:rPr>
              <w:rFonts w:hint="eastAsia" w:ascii="宋体" w:hAnsi="宋体" w:cs="宋体"/>
              <w:color w:val="auto"/>
              <w:sz w:val="22"/>
              <w:szCs w:val="24"/>
              <w:highlight w:val="none"/>
            </w:rPr>
            <w:fldChar w:fldCharType="end"/>
          </w:r>
          <w:r>
            <w:rPr>
              <w:rFonts w:hint="eastAsia" w:ascii="宋体" w:hAnsi="宋体" w:cs="宋体"/>
              <w:color w:val="auto"/>
              <w:sz w:val="22"/>
              <w:szCs w:val="22"/>
              <w:highlight w:val="none"/>
              <w:lang w:val="en-US"/>
            </w:rPr>
            <w:fldChar w:fldCharType="end"/>
          </w:r>
          <w:r/>
        </w:p>
        <w:p>
          <w:pPr>
            <w:pStyle w:val="718"/>
            <w:spacing w:line="360" w:lineRule="auto"/>
            <w:tabs>
              <w:tab w:val="right" w:pos="8306" w:leader="dot"/>
            </w:tabs>
            <w:rPr>
              <w:rFonts w:hint="eastAsia" w:ascii="宋体" w:hAnsi="宋体" w:cs="宋体"/>
              <w:color w:val="auto"/>
              <w:sz w:val="22"/>
              <w:szCs w:val="24"/>
              <w:highlight w:val="none"/>
            </w:rPr>
          </w:pP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 HYPERLINK \l _Toc21220 </w:instrText>
          </w:r>
          <w:r>
            <w:rPr>
              <w:rFonts w:hint="eastAsia" w:ascii="宋体" w:hAnsi="宋体" w:cs="宋体"/>
              <w:color w:val="auto"/>
              <w:sz w:val="22"/>
              <w:szCs w:val="22"/>
              <w:highlight w:val="none"/>
              <w:lang w:val="en-US"/>
            </w:rPr>
            <w:fldChar w:fldCharType="separate"/>
          </w:r>
          <w:r>
            <w:rPr>
              <w:rFonts w:hint="eastAsia" w:ascii="宋体" w:hAnsi="宋体" w:cs="宋体"/>
              <w:bCs/>
              <w:color w:val="auto"/>
              <w:sz w:val="22"/>
              <w:szCs w:val="48"/>
              <w:highlight w:val="none"/>
            </w:rPr>
            <w:t xml:space="preserve">第五章 </w:t>
          </w:r>
          <w:r>
            <w:rPr>
              <w:rFonts w:hint="eastAsia" w:ascii="宋体" w:hAnsi="宋体" w:cs="宋体"/>
              <w:bCs/>
              <w:color w:val="auto"/>
              <w:sz w:val="22"/>
              <w:szCs w:val="48"/>
              <w:highlight w:val="none"/>
              <w:lang w:val="en-US" w:eastAsia="zh-CN"/>
            </w:rPr>
            <w:t xml:space="preserve"> </w:t>
          </w:r>
          <w:r>
            <w:rPr>
              <w:rFonts w:hint="eastAsia" w:ascii="宋体" w:hAnsi="宋体" w:cs="宋体"/>
              <w:bCs/>
              <w:color w:val="auto"/>
              <w:sz w:val="22"/>
              <w:szCs w:val="48"/>
              <w:highlight w:val="none"/>
            </w:rPr>
            <w:t xml:space="preserve">评标方法及评标标准</w:t>
          </w:r>
          <w:r>
            <w:rPr>
              <w:rFonts w:hint="eastAsia" w:ascii="宋体" w:hAnsi="宋体" w:cs="宋体"/>
              <w:color w:val="auto"/>
              <w:sz w:val="22"/>
              <w:szCs w:val="24"/>
              <w:highlight w:val="none"/>
            </w:rPr>
            <w:tab/>
          </w:r>
          <w:r>
            <w:rPr>
              <w:rFonts w:hint="eastAsia" w:ascii="宋体" w:hAnsi="宋体" w:cs="宋体"/>
              <w:color w:val="auto"/>
              <w:sz w:val="22"/>
              <w:szCs w:val="24"/>
              <w:highlight w:val="none"/>
            </w:rPr>
            <w:fldChar w:fldCharType="begin"/>
          </w:r>
          <w:r>
            <w:rPr>
              <w:rFonts w:hint="eastAsia" w:ascii="宋体" w:hAnsi="宋体" w:cs="宋体"/>
              <w:color w:val="auto"/>
              <w:sz w:val="22"/>
              <w:szCs w:val="24"/>
              <w:highlight w:val="none"/>
            </w:rPr>
            <w:instrText xml:space="preserve"> PAGEREF _Toc21220 \h </w:instrText>
          </w:r>
          <w:r>
            <w:rPr>
              <w:rFonts w:hint="eastAsia" w:ascii="宋体" w:hAnsi="宋体" w:cs="宋体"/>
              <w:color w:val="auto"/>
              <w:sz w:val="22"/>
              <w:szCs w:val="24"/>
              <w:highlight w:val="none"/>
            </w:rPr>
            <w:fldChar w:fldCharType="separate"/>
          </w:r>
          <w:r>
            <w:rPr>
              <w:rFonts w:hint="eastAsia" w:ascii="宋体" w:hAnsi="宋体" w:cs="宋体"/>
              <w:color w:val="auto"/>
              <w:sz w:val="22"/>
              <w:szCs w:val="24"/>
              <w:highlight w:val="none"/>
            </w:rPr>
            <w:t xml:space="preserve">28</w:t>
          </w:r>
          <w:r>
            <w:rPr>
              <w:rFonts w:hint="eastAsia" w:ascii="宋体" w:hAnsi="宋体" w:cs="宋体"/>
              <w:color w:val="auto"/>
              <w:sz w:val="22"/>
              <w:szCs w:val="24"/>
              <w:highlight w:val="none"/>
            </w:rPr>
            <w:fldChar w:fldCharType="end"/>
          </w:r>
          <w:r>
            <w:rPr>
              <w:rFonts w:hint="eastAsia" w:ascii="宋体" w:hAnsi="宋体" w:cs="宋体"/>
              <w:color w:val="auto"/>
              <w:sz w:val="22"/>
              <w:szCs w:val="22"/>
              <w:highlight w:val="none"/>
              <w:lang w:val="en-US"/>
            </w:rPr>
            <w:fldChar w:fldCharType="end"/>
          </w:r>
          <w:r/>
        </w:p>
        <w:p>
          <w:pPr>
            <w:pStyle w:val="718"/>
            <w:spacing w:line="360" w:lineRule="auto"/>
            <w:tabs>
              <w:tab w:val="right" w:pos="8306" w:leader="dot"/>
            </w:tabs>
            <w:rPr>
              <w:rFonts w:hint="eastAsia" w:ascii="宋体" w:hAnsi="宋体" w:cs="宋体"/>
              <w:color w:val="auto"/>
              <w:sz w:val="22"/>
              <w:szCs w:val="24"/>
              <w:highlight w:val="none"/>
            </w:rPr>
          </w:pPr>
          <w:r>
            <w:rPr>
              <w:rFonts w:hint="eastAsia" w:ascii="宋体" w:hAnsi="宋体" w:cs="宋体"/>
              <w:color w:val="auto"/>
              <w:sz w:val="22"/>
              <w:szCs w:val="22"/>
              <w:highlight w:val="none"/>
              <w:lang w:val="en-US"/>
            </w:rPr>
            <w:fldChar w:fldCharType="begin"/>
          </w:r>
          <w:r>
            <w:rPr>
              <w:rFonts w:hint="eastAsia" w:ascii="宋体" w:hAnsi="宋体" w:cs="宋体"/>
              <w:color w:val="auto"/>
              <w:sz w:val="22"/>
              <w:szCs w:val="22"/>
              <w:highlight w:val="none"/>
              <w:lang w:val="en-US"/>
            </w:rPr>
            <w:instrText xml:space="preserve"> HYPERLINK \l _Toc13998 </w:instrText>
          </w:r>
          <w:r>
            <w:rPr>
              <w:rFonts w:hint="eastAsia" w:ascii="宋体" w:hAnsi="宋体" w:cs="宋体"/>
              <w:color w:val="auto"/>
              <w:sz w:val="22"/>
              <w:szCs w:val="22"/>
              <w:highlight w:val="none"/>
              <w:lang w:val="en-US"/>
            </w:rPr>
            <w:fldChar w:fldCharType="separate"/>
          </w:r>
          <w:r>
            <w:rPr>
              <w:rFonts w:hint="eastAsia" w:ascii="宋体" w:hAnsi="宋体" w:cs="宋体"/>
              <w:color w:val="auto"/>
              <w:sz w:val="22"/>
              <w:szCs w:val="24"/>
              <w:highlight w:val="none"/>
            </w:rPr>
            <w:t xml:space="preserve">第六章  投标文件格式</w:t>
          </w:r>
          <w:r>
            <w:rPr>
              <w:rFonts w:hint="eastAsia" w:ascii="宋体" w:hAnsi="宋体" w:cs="宋体"/>
              <w:color w:val="auto"/>
              <w:sz w:val="22"/>
              <w:szCs w:val="24"/>
              <w:highlight w:val="none"/>
            </w:rPr>
            <w:tab/>
          </w:r>
          <w:r>
            <w:rPr>
              <w:rFonts w:hint="eastAsia" w:ascii="宋体" w:hAnsi="宋体" w:cs="宋体"/>
              <w:color w:val="auto"/>
              <w:sz w:val="22"/>
              <w:szCs w:val="24"/>
              <w:highlight w:val="none"/>
            </w:rPr>
            <w:fldChar w:fldCharType="begin"/>
          </w:r>
          <w:r>
            <w:rPr>
              <w:rFonts w:hint="eastAsia" w:ascii="宋体" w:hAnsi="宋体" w:cs="宋体"/>
              <w:color w:val="auto"/>
              <w:sz w:val="22"/>
              <w:szCs w:val="24"/>
              <w:highlight w:val="none"/>
            </w:rPr>
            <w:instrText xml:space="preserve"> PAGEREF _Toc13998 \h </w:instrText>
          </w:r>
          <w:r>
            <w:rPr>
              <w:rFonts w:hint="eastAsia" w:ascii="宋体" w:hAnsi="宋体" w:cs="宋体"/>
              <w:color w:val="auto"/>
              <w:sz w:val="22"/>
              <w:szCs w:val="24"/>
              <w:highlight w:val="none"/>
            </w:rPr>
            <w:fldChar w:fldCharType="separate"/>
          </w:r>
          <w:r>
            <w:rPr>
              <w:rFonts w:hint="eastAsia" w:ascii="宋体" w:hAnsi="宋体" w:cs="宋体"/>
              <w:color w:val="auto"/>
              <w:sz w:val="22"/>
              <w:szCs w:val="24"/>
              <w:highlight w:val="none"/>
            </w:rPr>
            <w:t xml:space="preserve">33</w:t>
          </w:r>
          <w:r>
            <w:rPr>
              <w:rFonts w:hint="eastAsia" w:ascii="宋体" w:hAnsi="宋体" w:cs="宋体"/>
              <w:color w:val="auto"/>
              <w:sz w:val="22"/>
              <w:szCs w:val="24"/>
              <w:highlight w:val="none"/>
            </w:rPr>
            <w:fldChar w:fldCharType="end"/>
          </w:r>
          <w:r>
            <w:rPr>
              <w:rFonts w:hint="eastAsia" w:ascii="宋体" w:hAnsi="宋体" w:cs="宋体"/>
              <w:color w:val="auto"/>
              <w:sz w:val="22"/>
              <w:szCs w:val="22"/>
              <w:highlight w:val="none"/>
              <w:lang w:val="en-US"/>
            </w:rPr>
            <w:fldChar w:fldCharType="end"/>
          </w:r>
          <w:r/>
        </w:p>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2"/>
              <w:szCs w:val="22"/>
              <w:highlight w:val="none"/>
              <w:lang w:val="en-US"/>
            </w:rPr>
            <w:fldChar w:fldCharType="end"/>
          </w:r>
          <w:r/>
        </w:p>
      </w:sdtContent>
    </w:sdt>
    <w:p>
      <w:pPr>
        <w:pStyle w:val="885"/>
        <w:spacing w:line="360" w:lineRule="auto"/>
        <w:rPr>
          <w:rFonts w:hint="eastAsia" w:cs="宋体"/>
          <w:color w:val="auto"/>
          <w:highlight w:val="none"/>
          <w:lang w:val="en-US"/>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cs="宋体"/>
          <w:color w:val="auto"/>
          <w:highlight w:val="none"/>
          <w:lang w:val="en-US"/>
        </w:rPr>
      </w:r>
      <w:r/>
    </w:p>
    <w:p>
      <w:pPr>
        <w:pStyle w:val="687"/>
        <w:numPr>
          <w:ilvl w:val="-1"/>
          <w:numId w:val="0"/>
        </w:numPr>
        <w:jc w:val="center"/>
        <w:spacing w:before="181" w:after="181"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第一章 </w:t>
      </w:r>
      <w:r>
        <w:rPr>
          <w:rFonts w:hint="eastAsia" w:ascii="宋体" w:hAnsi="宋体" w:cs="宋体"/>
          <w:color w:val="auto"/>
          <w:highlight w:val="none"/>
        </w:rPr>
        <w:t xml:space="preserve"> </w:t>
      </w:r>
      <w:bookmarkStart w:id="1" w:name="_Toc31432"/>
      <w:r/>
      <w:bookmarkStart w:id="2" w:name="_Toc29362"/>
      <w:r/>
      <w:bookmarkStart w:id="3" w:name="_Toc16661"/>
      <w:r/>
      <w:bookmarkStart w:id="4" w:name="_Toc30760"/>
      <w:r>
        <w:rPr>
          <w:rFonts w:hint="eastAsia" w:ascii="宋体" w:hAnsi="宋体" w:cs="宋体"/>
          <w:color w:val="auto"/>
          <w:highlight w:val="none"/>
        </w:rPr>
        <w:t xml:space="preserve">招标公告</w:t>
      </w:r>
      <w:bookmarkEnd w:id="1"/>
      <w:r/>
      <w:bookmarkEnd w:id="2"/>
      <w:r/>
      <w:bookmarkEnd w:id="3"/>
      <w:r/>
      <w:bookmarkEnd w:id="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受</w:t>
      </w:r>
      <w:r>
        <w:rPr>
          <w:rFonts w:hint="eastAsia" w:ascii="宋体" w:hAnsi="宋体" w:eastAsia="宋体" w:cs="宋体"/>
          <w:color w:val="auto"/>
          <w:szCs w:val="21"/>
          <w:highlight w:val="none"/>
          <w:lang w:eastAsia="zh-CN"/>
        </w:rPr>
        <w:t xml:space="preserve">扬州市食品药品检验检测中心</w:t>
      </w:r>
      <w:r>
        <w:rPr>
          <w:rFonts w:hint="eastAsia" w:ascii="宋体" w:hAnsi="宋体" w:eastAsia="宋体" w:cs="宋体"/>
          <w:color w:val="auto"/>
          <w:szCs w:val="21"/>
          <w:highlight w:val="none"/>
          <w:lang w:val="en-US" w:eastAsia="zh-CN"/>
        </w:rPr>
        <w:t xml:space="preserve">的委托，江苏时代投资咨询有限公司就扬州市食品药品检验检测中心检验仪器设备采购项目进行采购，欢迎符合条件的供应商参加投标。</w:t>
      </w:r>
      <w:r/>
    </w:p>
    <w:p>
      <w:pPr>
        <w:ind w:firstLine="420"/>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u w:val="single"/>
          <w:lang w:eastAsia="zh-CN"/>
        </w:rPr>
        <w:t xml:space="preserve">扬州市食品药品检验检测中心检验仪器设备采购项目</w:t>
      </w:r>
      <w:r>
        <w:rPr>
          <w:rFonts w:hint="eastAsia" w:ascii="宋体" w:hAnsi="宋体" w:eastAsia="宋体" w:cs="宋体"/>
          <w:color w:val="auto"/>
          <w:szCs w:val="21"/>
          <w:highlight w:val="none"/>
        </w:rPr>
        <w:t xml:space="preserve">的潜在投标人应在</w:t>
      </w:r>
      <w:r>
        <w:rPr>
          <w:rFonts w:hint="eastAsia" w:ascii="宋体" w:hAnsi="宋体" w:eastAsia="宋体" w:cs="宋体"/>
          <w:color w:val="auto"/>
          <w:szCs w:val="21"/>
          <w:highlight w:val="none"/>
          <w:u w:val="single"/>
          <w:lang w:eastAsia="zh-CN"/>
        </w:rPr>
        <w:t xml:space="preserve">“扬州市政府采购网”“江苏省政府采购网”和“中国政府采购网”自行免费下载</w:t>
      </w:r>
      <w:r>
        <w:rPr>
          <w:rFonts w:hint="eastAsia" w:ascii="宋体" w:hAnsi="宋体" w:eastAsia="宋体" w:cs="宋体"/>
          <w:color w:val="auto"/>
          <w:szCs w:val="21"/>
          <w:highlight w:val="none"/>
        </w:rPr>
        <w:t xml:space="preserve">获取招标文件，并于</w:t>
      </w:r>
      <w:r>
        <w:rPr>
          <w:rFonts w:hint="eastAsia" w:ascii="宋体" w:hAnsi="宋体" w:eastAsia="宋体" w:cs="宋体"/>
          <w:color w:val="auto"/>
          <w:szCs w:val="21"/>
          <w:highlight w:val="none"/>
          <w:u w:val="single"/>
          <w:lang w:eastAsia="zh-CN"/>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eastAsia="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23</w:t>
      </w:r>
      <w:r>
        <w:rPr>
          <w:rFonts w:hint="eastAsia" w:ascii="宋体" w:hAnsi="宋体" w:eastAsia="宋体" w:cs="宋体"/>
          <w:color w:val="auto"/>
          <w:szCs w:val="21"/>
          <w:highlight w:val="none"/>
          <w:u w:val="single"/>
          <w:lang w:val="en-US" w:eastAsia="zh-CN"/>
        </w:rPr>
        <w:t xml:space="preserve">日9</w:t>
      </w:r>
      <w:r>
        <w:rPr>
          <w:rFonts w:hint="eastAsia" w:ascii="宋体" w:hAnsi="宋体" w:eastAsia="宋体" w:cs="宋体"/>
          <w:bCs/>
          <w:color w:val="auto"/>
          <w:szCs w:val="21"/>
          <w:highlight w:val="none"/>
          <w:u w:val="single"/>
        </w:rPr>
        <w:t xml:space="preserve">点</w:t>
      </w:r>
      <w:r>
        <w:rPr>
          <w:rFonts w:hint="eastAsia" w:ascii="宋体" w:hAnsi="宋体" w:eastAsia="宋体" w:cs="宋体"/>
          <w:bCs/>
          <w:color w:val="auto"/>
          <w:szCs w:val="21"/>
          <w:highlight w:val="none"/>
          <w:u w:val="single"/>
          <w:lang w:val="en-US" w:eastAsia="zh-CN"/>
        </w:rPr>
        <w:t xml:space="preserve">3</w:t>
      </w:r>
      <w:r>
        <w:rPr>
          <w:rFonts w:hint="eastAsia" w:ascii="宋体" w:hAnsi="宋体" w:eastAsia="宋体" w:cs="宋体"/>
          <w:bCs/>
          <w:color w:val="auto"/>
          <w:szCs w:val="21"/>
          <w:highlight w:val="none"/>
          <w:u w:val="single"/>
        </w:rPr>
        <w:t xml:space="preserve">0分（</w:t>
      </w:r>
      <w:r>
        <w:rPr>
          <w:rFonts w:hint="eastAsia" w:ascii="宋体" w:hAnsi="宋体" w:eastAsia="宋体" w:cs="宋体"/>
          <w:bCs/>
          <w:color w:val="auto"/>
          <w:szCs w:val="21"/>
          <w:highlight w:val="none"/>
        </w:rPr>
        <w:t xml:space="preserve">北京时间）前递交投标文件</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rPr>
      </w:pPr>
      <w:r/>
      <w:bookmarkStart w:id="5" w:name="_Toc28359079"/>
      <w:r/>
      <w:bookmarkStart w:id="6" w:name="_Toc28359002"/>
      <w:r/>
      <w:bookmarkStart w:id="7" w:name="_Toc35393621"/>
      <w:r/>
      <w:bookmarkStart w:id="8" w:name="_Toc35393790"/>
      <w:r/>
      <w:bookmarkStart w:id="9" w:name="_Hlk24379207"/>
      <w:r>
        <w:rPr>
          <w:rFonts w:hint="eastAsia" w:ascii="宋体" w:hAnsi="宋体" w:eastAsia="宋体" w:cs="宋体"/>
          <w:b/>
          <w:bCs/>
          <w:color w:val="auto"/>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highlight w:val="none"/>
          <w:lang w:val="en-US" w:eastAsia="zh-CN"/>
        </w:rPr>
        <w:t xml:space="preserve">JSZC-321000-SDTZ-G2026-0014</w:t>
      </w:r>
      <w:r>
        <w:rPr>
          <w:rFonts w:hint="eastAsia" w:ascii="宋体" w:hAnsi="宋体" w:eastAsia="宋体" w:cs="宋体"/>
          <w:color w:val="auto"/>
          <w:highlight w:val="none"/>
        </w:rPr>
        <w:t xml:space="preserve">号</w:t>
      </w:r>
      <w:r>
        <w:rPr>
          <w:rFonts w:hint="eastAsia" w:ascii="宋体" w:hAnsi="宋体" w:cs="宋体"/>
          <w:color w:val="auto"/>
          <w:highlight w:val="none"/>
        </w:rPr>
        <w:t xml:space="preserve"> </w:t>
      </w:r>
      <w:r/>
    </w:p>
    <w:p>
      <w:pPr>
        <w:ind w:right="-155"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2.项目名称：</w:t>
      </w:r>
      <w:r>
        <w:rPr>
          <w:rFonts w:hint="eastAsia" w:ascii="宋体" w:hAnsi="宋体" w:eastAsia="宋体" w:cs="宋体"/>
          <w:color w:val="auto"/>
          <w:szCs w:val="21"/>
          <w:highlight w:val="none"/>
          <w:lang w:eastAsia="zh-CN"/>
        </w:rPr>
        <w:t xml:space="preserve">扬州市食品药品检验检测中心检验仪器设备采购项目</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3.采购方式：公开招标</w:t>
      </w:r>
      <w:r/>
    </w:p>
    <w:p>
      <w:pPr>
        <w:ind w:firstLine="420"/>
        <w:spacing w:line="360" w:lineRule="auto"/>
        <w:tabs>
          <w:tab w:val="left" w:pos="900" w:leader="none"/>
        </w:tabs>
        <w:rPr>
          <w:rFonts w:hint="eastAsia" w:ascii="宋体" w:hAnsi="宋体" w:eastAsia="宋体" w:cs="宋体"/>
          <w:color w:val="auto"/>
          <w:szCs w:val="21"/>
          <w:highlight w:val="none"/>
          <w:lang w:val="en-US"/>
        </w:rPr>
      </w:pPr>
      <w:r>
        <w:rPr>
          <w:rFonts w:hint="eastAsia" w:ascii="宋体" w:hAnsi="宋体" w:cs="宋体"/>
          <w:color w:val="auto"/>
          <w:szCs w:val="21"/>
          <w:highlight w:val="none"/>
        </w:rPr>
        <w:t xml:space="preserve">4.</w:t>
      </w:r>
      <w:r>
        <w:rPr>
          <w:rFonts w:hint="eastAsia" w:ascii="宋体" w:hAnsi="宋体" w:eastAsia="宋体" w:cs="宋体"/>
          <w:color w:val="auto"/>
          <w:szCs w:val="21"/>
          <w:highlight w:val="none"/>
        </w:rPr>
        <w:t xml:space="preserve">预算总金额：</w:t>
      </w:r>
      <w:r>
        <w:rPr>
          <w:rFonts w:hint="eastAsia" w:ascii="宋体" w:hAnsi="宋体" w:cs="宋体"/>
          <w:color w:val="auto"/>
          <w:szCs w:val="21"/>
          <w:highlight w:val="none"/>
          <w:lang w:val="en-US" w:eastAsia="zh-CN"/>
        </w:rPr>
        <w:t xml:space="preserve">106万</w:t>
      </w:r>
      <w:r>
        <w:rPr>
          <w:rFonts w:hint="eastAsia" w:ascii="宋体" w:hAnsi="宋体" w:eastAsia="宋体" w:cs="宋体"/>
          <w:color w:val="auto"/>
          <w:szCs w:val="21"/>
          <w:highlight w:val="none"/>
          <w:lang w:val="en-US" w:eastAsia="zh-CN"/>
        </w:rPr>
        <w:t xml:space="preserve">元</w:t>
      </w:r>
      <w:r/>
    </w:p>
    <w:p>
      <w:pPr>
        <w:ind w:right="-155"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5.最高限价：</w:t>
      </w:r>
      <w:r>
        <w:rPr>
          <w:rFonts w:hint="eastAsia" w:ascii="宋体" w:hAnsi="宋体" w:cs="宋体"/>
          <w:color w:val="auto"/>
          <w:szCs w:val="21"/>
          <w:highlight w:val="none"/>
          <w:lang w:val="en-US" w:eastAsia="zh-CN"/>
        </w:rPr>
        <w:t xml:space="preserve">106万</w:t>
      </w:r>
      <w:r>
        <w:rPr>
          <w:rFonts w:hint="eastAsia" w:ascii="宋体" w:hAnsi="宋体" w:eastAsia="宋体" w:cs="宋体"/>
          <w:color w:val="auto"/>
          <w:szCs w:val="21"/>
          <w:highlight w:val="none"/>
          <w:lang w:val="en-US" w:eastAsia="zh-CN"/>
        </w:rPr>
        <w:t xml:space="preserve">元</w:t>
      </w:r>
      <w:r>
        <w:rPr>
          <w:rFonts w:hint="eastAsia" w:ascii="宋体" w:hAnsi="宋体" w:cs="宋体"/>
          <w:color w:val="auto"/>
          <w:highlight w:val="none"/>
        </w:rPr>
        <w:t xml:space="preserve">，投标报价超过最高限价，作无效标处理。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6.采购需求：具体要求详见招标文件第四章项目需求。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7.合同履行期限：具体要求详见招标文件第四章项目需求。</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8.本项目</w:t>
      </w:r>
      <w:r>
        <w:rPr>
          <w:rFonts w:hint="eastAsia" w:ascii="宋体" w:hAnsi="宋体" w:cs="宋体"/>
          <w:b/>
          <w:bCs/>
          <w:i/>
          <w:iCs/>
          <w:color w:val="auto"/>
          <w:szCs w:val="21"/>
          <w:highlight w:val="none"/>
          <w:u w:val="single"/>
          <w:lang w:val="en-US" w:eastAsia="zh-CN"/>
        </w:rPr>
        <w:t xml:space="preserve">不</w:t>
      </w:r>
      <w:r>
        <w:rPr>
          <w:rFonts w:hint="eastAsia" w:ascii="宋体" w:hAnsi="宋体" w:cs="宋体"/>
          <w:b/>
          <w:bCs/>
          <w:i/>
          <w:iCs/>
          <w:color w:val="auto"/>
          <w:szCs w:val="21"/>
          <w:highlight w:val="none"/>
          <w:u w:val="single"/>
        </w:rPr>
        <w:t xml:space="preserve">接受</w:t>
      </w:r>
      <w:r>
        <w:rPr>
          <w:rFonts w:hint="eastAsia" w:ascii="宋体" w:hAnsi="宋体" w:cs="宋体"/>
          <w:color w:val="auto"/>
          <w:szCs w:val="21"/>
          <w:highlight w:val="none"/>
        </w:rPr>
        <w:t xml:space="preserve">联合体</w:t>
      </w:r>
      <w:r>
        <w:rPr>
          <w:rFonts w:hint="eastAsia" w:ascii="宋体" w:hAnsi="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9.本项目中</w:t>
      </w:r>
      <w:r>
        <w:rPr>
          <w:rFonts w:hint="eastAsia" w:ascii="宋体" w:hAnsi="宋体" w:cs="宋体"/>
          <w:b/>
          <w:bCs/>
          <w:i/>
          <w:iCs/>
          <w:color w:val="auto"/>
          <w:szCs w:val="21"/>
          <w:highlight w:val="none"/>
          <w:u w:val="single"/>
          <w:lang w:val="en-US" w:eastAsia="zh-CN"/>
        </w:rPr>
        <w:t xml:space="preserve">不接受</w:t>
      </w:r>
      <w:r>
        <w:rPr>
          <w:rFonts w:hint="eastAsia" w:ascii="宋体" w:hAnsi="宋体" w:cs="宋体"/>
          <w:color w:val="auto"/>
          <w:szCs w:val="21"/>
          <w:highlight w:val="none"/>
          <w:lang w:val="en-US" w:eastAsia="zh-CN"/>
        </w:rPr>
        <w:t xml:space="preserve">进口产品</w:t>
      </w:r>
      <w:r>
        <w:rPr>
          <w:rFonts w:hint="eastAsia" w:ascii="宋体" w:hAnsi="宋体" w:cs="宋体"/>
          <w:color w:val="auto"/>
          <w:szCs w:val="21"/>
          <w:highlight w:val="none"/>
        </w:rPr>
        <w:t xml:space="preserve">。</w:t>
      </w:r>
      <w:bookmarkEnd w:id="9"/>
      <w:r/>
      <w:r/>
    </w:p>
    <w:p>
      <w:pPr>
        <w:ind w:firstLine="422"/>
        <w:spacing w:line="360" w:lineRule="auto"/>
        <w:rPr>
          <w:rFonts w:hint="eastAsia" w:ascii="宋体" w:hAnsi="宋体" w:eastAsia="宋体" w:cs="宋体"/>
          <w:b/>
          <w:bCs/>
          <w:color w:val="auto"/>
          <w:szCs w:val="21"/>
          <w:highlight w:val="none"/>
        </w:rPr>
      </w:pPr>
      <w:r/>
      <w:bookmarkStart w:id="10" w:name="_Toc28359080"/>
      <w:r/>
      <w:bookmarkStart w:id="11" w:name="_Toc35393622"/>
      <w:r/>
      <w:bookmarkStart w:id="12" w:name="_Toc28359003"/>
      <w:r/>
      <w:bookmarkStart w:id="13" w:name="_Toc35393791"/>
      <w:r>
        <w:rPr>
          <w:rFonts w:hint="eastAsia" w:ascii="宋体" w:hAnsi="宋体" w:eastAsia="宋体" w:cs="宋体"/>
          <w:b/>
          <w:bCs/>
          <w:color w:val="auto"/>
          <w:szCs w:val="21"/>
          <w:highlight w:val="none"/>
        </w:rPr>
        <w:t xml:space="preserve">二、申请人的资格要求：</w:t>
      </w:r>
      <w:bookmarkEnd w:id="10"/>
      <w:r/>
      <w:bookmarkEnd w:id="11"/>
      <w:r/>
      <w:bookmarkEnd w:id="12"/>
      <w:r/>
      <w:bookmarkEnd w:id="1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rPr>
        <w:t xml:space="preserve">满足以下规定，并提供下列材料</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i/>
          <w:color w:val="auto"/>
          <w:szCs w:val="21"/>
          <w:highlight w:val="none"/>
          <w:u w:val="single"/>
          <w:lang w:eastAsia="zh-CN"/>
        </w:rPr>
      </w:pPr>
      <w:r/>
      <w:bookmarkStart w:id="14" w:name="_Toc28359004"/>
      <w:r/>
      <w:bookmarkStart w:id="15" w:name="_Toc28359081"/>
      <w:r>
        <w:rPr>
          <w:rFonts w:hint="eastAsia" w:ascii="宋体" w:hAnsi="宋体" w:cs="宋体"/>
          <w:i/>
          <w:color w:val="auto"/>
          <w:szCs w:val="21"/>
          <w:highlight w:val="none"/>
          <w:u w:val="single"/>
        </w:rPr>
        <w:t xml:space="preserve">1.法人或者其他组织的营业执照等证明文件，自然人的身份证明</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eastAsia="宋体" w:cs="宋体"/>
          <w:i/>
          <w:color w:val="auto"/>
          <w:szCs w:val="21"/>
          <w:highlight w:val="none"/>
          <w:u w:val="single"/>
          <w:lang w:eastAsia="zh-CN"/>
        </w:rPr>
      </w:pPr>
      <w:r>
        <w:rPr>
          <w:rFonts w:hint="eastAsia" w:ascii="宋体" w:hAnsi="宋体" w:cs="宋体"/>
          <w:i/>
          <w:color w:val="auto"/>
          <w:szCs w:val="21"/>
          <w:highlight w:val="none"/>
          <w:u w:val="single"/>
        </w:rPr>
        <w:t xml:space="preserve">2.上一年度的财务状况报告（成立不满一年不需提供）</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4.具备履行合同所必需的设备和专业技术能力的书面声明</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5.参加本次政府采购活动前3年内在经营活动中没有重大违法记录的书面声明</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6.供应商信用承诺函</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eastAsia="宋体" w:cs="宋体"/>
          <w:i/>
          <w:color w:val="auto"/>
          <w:szCs w:val="21"/>
          <w:highlight w:val="none"/>
          <w:u w:val="single"/>
          <w:lang w:eastAsia="zh-CN"/>
        </w:rPr>
      </w:pPr>
      <w:r>
        <w:rPr>
          <w:rFonts w:hint="eastAsia" w:ascii="宋体" w:hAnsi="宋体" w:cs="宋体"/>
          <w:i/>
          <w:color w:val="auto"/>
          <w:szCs w:val="21"/>
          <w:highlight w:val="none"/>
          <w:u w:val="single"/>
        </w:rPr>
        <w:t xml:space="preserve">7.未被“信用中国”网站（www.creditchina.gov.cn）、“中国政府采购网”(www.ccgp.gov.cn)列入失信被执行人、重大税收违法案件当事人名单、政府采购严重违法失信行为记录名单</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cs="宋体"/>
          <w:i/>
          <w:color w:val="auto"/>
          <w:szCs w:val="21"/>
          <w:highlight w:val="none"/>
          <w:u w:val="single"/>
          <w:lang w:val="en-US" w:eastAsia="zh-CN"/>
        </w:rPr>
      </w:pPr>
      <w:r>
        <w:rPr>
          <w:rFonts w:hint="eastAsia" w:ascii="宋体" w:hAnsi="宋体" w:cs="宋体"/>
          <w:i/>
          <w:color w:val="auto"/>
          <w:szCs w:val="21"/>
          <w:highlight w:val="none"/>
          <w:u w:val="single"/>
          <w:lang w:val="en-US" w:eastAsia="zh-CN"/>
        </w:rPr>
        <w:t xml:space="preserve">8.投标函；</w:t>
      </w:r>
      <w:r/>
    </w:p>
    <w:p>
      <w:pPr>
        <w:ind w:firstLine="420"/>
        <w:spacing w:line="360" w:lineRule="auto"/>
        <w:rPr>
          <w:rFonts w:hint="default" w:ascii="宋体" w:hAnsi="宋体" w:cs="宋体"/>
          <w:i/>
          <w:color w:val="auto"/>
          <w:szCs w:val="21"/>
          <w:highlight w:val="none"/>
          <w:u w:val="single"/>
          <w:lang w:val="en-US" w:eastAsia="zh-CN"/>
        </w:rPr>
      </w:pPr>
      <w:r>
        <w:rPr>
          <w:rFonts w:hint="eastAsia" w:ascii="宋体" w:hAnsi="宋体" w:cs="宋体"/>
          <w:i/>
          <w:color w:val="auto"/>
          <w:szCs w:val="21"/>
          <w:highlight w:val="none"/>
          <w:u w:val="single"/>
          <w:lang w:val="en-US" w:eastAsia="zh-CN"/>
        </w:rPr>
        <w:t xml:space="preserve">9.法人授权书。</w:t>
      </w:r>
      <w:bookmarkStart w:id="120" w:name="_GoBack"/>
      <w:r/>
      <w:bookmarkEnd w:id="120"/>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color w:val="auto"/>
          <w:szCs w:val="21"/>
          <w:highlight w:val="none"/>
        </w:rPr>
        <w:t xml:space="preserve">2.落实政府采购需满足的资格要求：</w:t>
      </w:r>
      <w:r>
        <w:rPr>
          <w:rFonts w:hint="eastAsia" w:ascii="宋体" w:hAnsi="宋体" w:eastAsia="宋体" w:cs="宋体"/>
          <w:i/>
          <w:iCs/>
          <w:color w:val="auto"/>
          <w:szCs w:val="21"/>
          <w:highlight w:val="none"/>
          <w:u w:val="single"/>
        </w:rPr>
        <w:t xml:space="preserve">本项目根据《政府采购促进中小企业发展管理办法》的规定，对小型和微型企业、残疾人福利单位、监狱和戒毒企业给予</w:t>
      </w:r>
      <w:r>
        <w:rPr>
          <w:rFonts w:hint="eastAsia" w:ascii="宋体" w:hAnsi="宋体" w:cs="宋体"/>
          <w:i/>
          <w:iCs/>
          <w:color w:val="auto"/>
          <w:szCs w:val="21"/>
          <w:highlight w:val="none"/>
          <w:u w:val="single"/>
          <w:lang w:val="en-US" w:eastAsia="zh-CN"/>
        </w:rPr>
        <w:t xml:space="preserve">20</w:t>
      </w:r>
      <w:r>
        <w:rPr>
          <w:rFonts w:hint="eastAsia" w:ascii="宋体" w:hAnsi="宋体" w:eastAsia="宋体" w:cs="宋体"/>
          <w:i/>
          <w:iCs/>
          <w:color w:val="auto"/>
          <w:szCs w:val="21"/>
          <w:highlight w:val="none"/>
          <w:u w:val="single"/>
        </w:rPr>
        <w:t xml:space="preserve">%的价格扣除。投标人必须提供招标文件中相应企业声明函，不符合要求或未提供的不给予价格扣除。</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本项目采购标的按中小企业划分标准所属行业区分为</w:t>
      </w:r>
      <w:r>
        <w:rPr>
          <w:rFonts w:hint="eastAsia" w:ascii="宋体" w:hAnsi="宋体" w:eastAsia="宋体" w:cs="宋体"/>
          <w:b/>
          <w:bCs/>
          <w:i/>
          <w:iCs/>
          <w:color w:val="auto"/>
          <w:szCs w:val="21"/>
          <w:highlight w:val="none"/>
          <w:u w:val="single"/>
          <w:lang w:val="en-US" w:eastAsia="zh-CN"/>
        </w:rPr>
        <w:t xml:space="preserve">工</w:t>
      </w:r>
      <w:r>
        <w:rPr>
          <w:rFonts w:hint="eastAsia" w:ascii="宋体" w:hAnsi="宋体" w:eastAsia="宋体" w:cs="宋体"/>
          <w:b/>
          <w:bCs/>
          <w:i/>
          <w:iCs/>
          <w:color w:val="auto"/>
          <w:szCs w:val="21"/>
          <w:highlight w:val="none"/>
          <w:u w:val="single"/>
        </w:rPr>
        <w:t xml:space="preserve">业</w:t>
      </w:r>
      <w:r>
        <w:rPr>
          <w:rFonts w:hint="eastAsia" w:ascii="宋体" w:hAnsi="宋体" w:eastAsia="宋体" w:cs="宋体"/>
          <w:i/>
          <w:iCs/>
          <w:color w:val="auto"/>
          <w:szCs w:val="21"/>
          <w:highlight w:val="none"/>
          <w:u w:val="single"/>
        </w:rPr>
        <w:t xml:space="preserve">（中小微企业划型标准网址：</w:t>
      </w:r>
      <w:r>
        <w:rPr>
          <w:rFonts w:hint="eastAsia" w:ascii="宋体" w:hAnsi="宋体" w:eastAsia="宋体" w:cs="宋体"/>
          <w:i/>
          <w:iCs/>
          <w:color w:val="auto"/>
          <w:szCs w:val="21"/>
          <w:highlight w:val="none"/>
          <w:u w:val="single"/>
        </w:rPr>
        <w:fldChar w:fldCharType="begin"/>
      </w:r>
      <w:r>
        <w:rPr>
          <w:rFonts w:hint="eastAsia" w:ascii="宋体" w:hAnsi="宋体" w:eastAsia="宋体" w:cs="宋体"/>
          <w:i/>
          <w:iCs/>
          <w:color w:val="auto"/>
          <w:szCs w:val="21"/>
          <w:highlight w:val="none"/>
          <w:u w:val="single"/>
        </w:rPr>
        <w:instrText xml:space="preserve"> HYPERLINK "http://www.ccgp.gov.cn/zcfg/mof/201310/t20131029_3587674.htm）。" </w:instrText>
      </w:r>
      <w:r>
        <w:rPr>
          <w:rFonts w:hint="eastAsia" w:ascii="宋体" w:hAnsi="宋体" w:eastAsia="宋体" w:cs="宋体"/>
          <w:i/>
          <w:iCs/>
          <w:color w:val="auto"/>
          <w:szCs w:val="21"/>
          <w:highlight w:val="none"/>
          <w:u w:val="single"/>
        </w:rPr>
        <w:fldChar w:fldCharType="separate"/>
      </w:r>
      <w:r>
        <w:rPr>
          <w:rStyle w:val="736"/>
          <w:rFonts w:hint="eastAsia" w:ascii="宋体" w:hAnsi="宋体" w:eastAsia="宋体" w:cs="宋体"/>
          <w:i/>
          <w:iCs/>
          <w:color w:val="auto"/>
          <w:szCs w:val="21"/>
          <w:highlight w:val="none"/>
        </w:rPr>
        <w:t xml:space="preserve">http://www.ccgp.gov.cn/zcfg/mof/201310/t20131029_3587674.htm</w:t>
      </w:r>
      <w:r>
        <w:rPr>
          <w:rStyle w:val="736"/>
          <w:rFonts w:hint="eastAsia" w:ascii="宋体" w:hAnsi="宋体" w:eastAsia="宋体" w:cs="宋体"/>
          <w:i/>
          <w:iCs/>
          <w:color w:val="auto"/>
          <w:szCs w:val="21"/>
          <w:highlight w:val="none"/>
          <w:lang w:eastAsia="zh-CN"/>
        </w:rPr>
        <w:t xml:space="preserve">）</w:t>
      </w:r>
      <w:r>
        <w:rPr>
          <w:rStyle w:val="736"/>
          <w:rFonts w:hint="eastAsia" w:ascii="宋体" w:hAnsi="宋体" w:eastAsia="宋体" w:cs="宋体"/>
          <w:i/>
          <w:iCs/>
          <w:color w:val="auto"/>
          <w:szCs w:val="21"/>
          <w:highlight w:val="none"/>
        </w:rPr>
        <w:t xml:space="preserve">。</w:t>
      </w:r>
      <w:r>
        <w:rPr>
          <w:rFonts w:hint="eastAsia" w:ascii="宋体" w:hAnsi="宋体" w:eastAsia="宋体" w:cs="宋体"/>
          <w:i/>
          <w:iCs/>
          <w:color w:val="auto"/>
          <w:szCs w:val="21"/>
          <w:highlight w:val="none"/>
          <w:u w:val="single"/>
        </w:rPr>
        <w:fldChar w:fldCharType="end"/>
      </w:r>
      <w:r/>
    </w:p>
    <w:p>
      <w:pPr>
        <w:ind w:firstLine="420"/>
        <w:spacing w:line="360" w:lineRule="auto"/>
        <w:rPr>
          <w:rFonts w:hint="eastAsia" w:ascii="宋体" w:hAnsi="宋体" w:cs="宋体"/>
          <w:color w:val="auto"/>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rPr>
        <w:t xml:space="preserve">本项目的特定资格要求：</w:t>
      </w:r>
      <w:r>
        <w:rPr>
          <w:rFonts w:hint="eastAsia" w:ascii="宋体" w:hAnsi="宋体" w:cs="宋体"/>
          <w:i/>
          <w:iCs w:val="0"/>
          <w:color w:val="auto"/>
          <w:szCs w:val="21"/>
          <w:highlight w:val="none"/>
          <w:u w:val="single"/>
          <w:lang w:val="en-US" w:eastAsia="zh-CN"/>
        </w:rPr>
        <w:t xml:space="preserve">无。</w:t>
      </w:r>
      <w:r/>
    </w:p>
    <w:p>
      <w:pPr>
        <w:ind w:firstLine="422"/>
        <w:jc w:val="left"/>
        <w:spacing w:line="360" w:lineRule="auto"/>
        <w:rPr>
          <w:rFonts w:hint="eastAsia" w:ascii="宋体" w:hAnsi="宋体" w:eastAsia="宋体" w:cs="宋体"/>
          <w:b/>
          <w:bCs/>
          <w:color w:val="auto"/>
          <w:szCs w:val="21"/>
          <w:highlight w:val="none"/>
        </w:rPr>
      </w:pPr>
      <w:r/>
      <w:bookmarkStart w:id="16" w:name="_Toc35393623"/>
      <w:r/>
      <w:bookmarkStart w:id="17" w:name="_Toc35393792"/>
      <w:r>
        <w:rPr>
          <w:rFonts w:hint="eastAsia" w:ascii="宋体" w:hAnsi="宋体" w:eastAsia="宋体" w:cs="宋体"/>
          <w:b/>
          <w:bCs/>
          <w:color w:val="auto"/>
          <w:szCs w:val="21"/>
          <w:highlight w:val="none"/>
        </w:rPr>
        <w:t xml:space="preserve">三、获取招标文件</w:t>
      </w:r>
      <w:bookmarkEnd w:id="14"/>
      <w:r/>
      <w:bookmarkEnd w:id="15"/>
      <w:r/>
      <w:bookmarkEnd w:id="16"/>
      <w:r/>
      <w:bookmarkEnd w:id="17"/>
      <w:r/>
      <w:r/>
    </w:p>
    <w:p>
      <w:pPr>
        <w:ind w:firstLine="420"/>
        <w:spacing w:line="360" w:lineRule="auto"/>
        <w:rPr>
          <w:rFonts w:hint="eastAsia" w:ascii="宋体" w:hAnsi="宋体" w:eastAsia="宋体" w:cs="宋体"/>
          <w:color w:val="auto"/>
          <w:szCs w:val="21"/>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auto"/>
          <w:szCs w:val="21"/>
          <w:highlight w:val="none"/>
        </w:rPr>
        <w:t xml:space="preserve">1.时间：自招标文件公告发布之</w:t>
      </w:r>
      <w:r>
        <w:rPr>
          <w:rFonts w:hint="eastAsia" w:ascii="宋体" w:hAnsi="宋体" w:eastAsia="宋体" w:cs="宋体"/>
          <w:color w:val="auto"/>
          <w:szCs w:val="21"/>
          <w:highlight w:val="none"/>
          <w:lang w:val="en-US" w:eastAsia="zh-CN"/>
        </w:rPr>
        <w:t xml:space="preserve">日</w:t>
      </w:r>
      <w:r>
        <w:rPr>
          <w:rFonts w:hint="eastAsia" w:ascii="宋体" w:hAnsi="宋体" w:eastAsia="宋体" w:cs="宋体"/>
          <w:color w:val="auto"/>
          <w:szCs w:val="21"/>
          <w:highlight w:val="none"/>
        </w:rPr>
        <w:t xml:space="preserve">起5个工作日。5个工作日后仍可下载招标文件，但不作为供应商权益受到损害的证明材料和依据。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2.获取方式：本项目采用网上注册登记方式。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3.潜在投标人访问政府采购管理交易系统（苏采云）的网络地址和方法：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（3）“CA数字证书”的办理材料以及供应商操作手册详见：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http://zfcg.yangzhou.gov.cn/xzzx/art/2023/art_4d7de1f7865f4a2894fc22bc452f94d8.html。</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（4）潜在供应商访问“苏采云”系统的网络地址和方法：“苏采云”系统的网址：http://jszfcg.jsczt.cn/。</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（7）苏采云系统使用谷歌浏览器参与不见面开标。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四、提交投标文件</w:t>
      </w:r>
      <w:bookmarkEnd w:id="18"/>
      <w:r/>
      <w:bookmarkEnd w:id="19"/>
      <w:r>
        <w:rPr>
          <w:rFonts w:hint="eastAsia" w:ascii="宋体" w:hAnsi="宋体" w:eastAsia="宋体" w:cs="宋体"/>
          <w:b/>
          <w:bCs/>
          <w:color w:val="auto"/>
          <w:szCs w:val="21"/>
          <w:highlight w:val="none"/>
        </w:rPr>
        <w:t xml:space="preserve">截止时间、开标时间和地点</w:t>
      </w:r>
      <w:bookmarkEnd w:id="20"/>
      <w:r/>
      <w:bookmarkEnd w:id="2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时间：2026年</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lang w:val="en-US" w:eastAsia="zh-CN"/>
        </w:rPr>
        <w:t xml:space="preserve">月</w:t>
      </w:r>
      <w:r>
        <w:rPr>
          <w:rFonts w:hint="eastAsia" w:ascii="宋体" w:hAnsi="宋体" w:cs="宋体"/>
          <w:color w:val="auto"/>
          <w:szCs w:val="21"/>
          <w:highlight w:val="none"/>
          <w:lang w:val="en-US" w:eastAsia="zh-CN"/>
        </w:rPr>
        <w:t xml:space="preserve">23</w:t>
      </w:r>
      <w:r>
        <w:rPr>
          <w:rFonts w:hint="eastAsia" w:ascii="宋体" w:hAnsi="宋体" w:eastAsia="宋体" w:cs="宋体"/>
          <w:color w:val="auto"/>
          <w:szCs w:val="21"/>
          <w:highlight w:val="none"/>
          <w:lang w:val="en-US" w:eastAsia="zh-CN"/>
        </w:rPr>
        <w:t xml:space="preserve">日9</w:t>
      </w:r>
      <w:r>
        <w:rPr>
          <w:rFonts w:hint="eastAsia" w:ascii="宋体" w:hAnsi="宋体" w:eastAsia="宋体" w:cs="宋体"/>
          <w:color w:val="auto"/>
          <w:szCs w:val="21"/>
          <w:highlight w:val="none"/>
        </w:rPr>
        <w:t xml:space="preserve">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0分（北京时间）</w:t>
      </w:r>
      <w:r/>
    </w:p>
    <w:p>
      <w:pPr>
        <w:ind w:firstLine="420"/>
        <w:spacing w:line="360" w:lineRule="auto"/>
        <w:rPr>
          <w:rFonts w:hint="eastAsia" w:ascii="宋体" w:hAnsi="宋体" w:eastAsia="宋体" w:cs="宋体"/>
          <w:color w:val="auto"/>
          <w:szCs w:val="21"/>
          <w:highlight w:val="none"/>
          <w:u w:val="single"/>
          <w:shd w:val="clear" w:color="auto" w:fill="ffffff"/>
        </w:rPr>
      </w:pPr>
      <w:r>
        <w:rPr>
          <w:rFonts w:hint="eastAsia" w:ascii="宋体" w:hAnsi="宋体" w:eastAsia="宋体" w:cs="宋体"/>
          <w:color w:val="auto"/>
          <w:szCs w:val="21"/>
          <w:highlight w:val="none"/>
        </w:rPr>
        <w:t xml:space="preserve">地点：</w:t>
      </w:r>
      <w:bookmarkStart w:id="22" w:name="_Toc28359084"/>
      <w:r/>
      <w:bookmarkStart w:id="23" w:name="_Toc35393625"/>
      <w:r/>
      <w:bookmarkStart w:id="24" w:name="_Toc35393794"/>
      <w:r/>
      <w:bookmarkStart w:id="25" w:name="_Toc28359007"/>
      <w:r>
        <w:rPr>
          <w:rFonts w:hint="eastAsia" w:ascii="宋体" w:hAnsi="宋体" w:eastAsia="宋体" w:cs="宋体"/>
          <w:color w:val="auto"/>
          <w:szCs w:val="21"/>
          <w:highlight w:val="none"/>
        </w:rPr>
        <w:t xml:space="preserve">“苏采云”系统（网址： http://jszfcg.jsczt.cn/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五、公告期限</w:t>
      </w:r>
      <w:bookmarkEnd w:id="22"/>
      <w:r/>
      <w:bookmarkEnd w:id="23"/>
      <w:r/>
      <w:bookmarkEnd w:id="24"/>
      <w:r/>
      <w:bookmarkEnd w:id="2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招标公告及招标文件公告期限为自本公告发布之日起5个工作日。</w:t>
      </w:r>
      <w:r/>
    </w:p>
    <w:p>
      <w:pPr>
        <w:numPr>
          <w:ilvl w:val="0"/>
          <w:numId w:val="2"/>
        </w:numPr>
        <w:ind w:firstLine="422"/>
        <w:spacing w:line="360" w:lineRule="auto"/>
        <w:rPr>
          <w:rFonts w:hint="eastAsia" w:ascii="宋体" w:hAnsi="宋体" w:eastAsia="宋体" w:cs="宋体"/>
          <w:b/>
          <w:bCs/>
          <w:color w:val="auto"/>
          <w:szCs w:val="21"/>
          <w:highlight w:val="none"/>
        </w:rPr>
      </w:pPr>
      <w:r/>
      <w:bookmarkStart w:id="26" w:name="_Toc35393795"/>
      <w:r/>
      <w:bookmarkStart w:id="27" w:name="_Toc35393626"/>
      <w:r>
        <w:rPr>
          <w:rFonts w:hint="eastAsia" w:ascii="宋体" w:hAnsi="宋体" w:eastAsia="宋体" w:cs="宋体"/>
          <w:b/>
          <w:bCs/>
          <w:color w:val="auto"/>
          <w:szCs w:val="21"/>
          <w:highlight w:val="none"/>
        </w:rPr>
        <w:t xml:space="preserve">其他补充事宜</w:t>
      </w:r>
      <w:bookmarkEnd w:id="26"/>
      <w:r/>
      <w:bookmarkEnd w:id="27"/>
      <w:r>
        <w:rPr>
          <w:rFonts w:hint="eastAsia" w:ascii="宋体" w:hAnsi="宋体" w:eastAsia="宋体" w:cs="宋体"/>
          <w:b/>
          <w:bCs/>
          <w:color w:val="auto"/>
          <w:szCs w:val="21"/>
          <w:highlight w:val="none"/>
        </w:rPr>
        <w:t xml:space="preserve">：</w:t>
      </w:r>
      <w:r/>
    </w:p>
    <w:p>
      <w:pPr>
        <w:ind w:left="0" w:firstLine="420"/>
        <w:spacing w:line="360" w:lineRule="auto"/>
        <w:tabs>
          <w:tab w:val="left" w:pos="900" w:leader="none"/>
        </w:tabs>
        <w:rPr>
          <w:rFonts w:hint="eastAsia" w:ascii="宋体" w:hAnsi="宋体" w:cs="宋体"/>
          <w:color w:val="auto"/>
          <w:highlight w:val="none"/>
        </w:rPr>
      </w:pPr>
      <w:r/>
      <w:bookmarkStart w:id="28" w:name="_Toc35393627"/>
      <w:r/>
      <w:bookmarkStart w:id="29" w:name="_Toc28359085"/>
      <w:r/>
      <w:bookmarkStart w:id="30" w:name="_Toc28359008"/>
      <w:r/>
      <w:bookmarkStart w:id="31" w:name="_Toc35393796"/>
      <w:r>
        <w:rPr>
          <w:rFonts w:hint="eastAsia" w:ascii="宋体" w:hAnsi="宋体" w:cs="宋体"/>
          <w:color w:val="auto"/>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http://zfcg.yangzhou.gov.cn/xzzx/art/2023/art_4d7de1f7865f4a2894fc22bc452f94d8.html,技术支持联系方式：13813140731。</w:t>
      </w:r>
      <w:r/>
    </w:p>
    <w:p>
      <w:pPr>
        <w:numPr>
          <w:ilvl w:val="0"/>
          <w:numId w:val="3"/>
        </w:num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潜在投标人对招标文件项目需求部分的询问、质疑请向采购人提出，由采购人负责答复。</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、本次采购</w:t>
      </w:r>
      <w:r>
        <w:rPr>
          <w:rFonts w:hint="eastAsia" w:ascii="宋体" w:hAnsi="宋体" w:cs="宋体"/>
          <w:b/>
          <w:bCs/>
          <w:color w:val="auto"/>
          <w:szCs w:val="21"/>
          <w:highlight w:val="none"/>
          <w:u w:val="single"/>
        </w:rPr>
        <w:t xml:space="preserve">不收取</w:t>
      </w:r>
      <w:r>
        <w:rPr>
          <w:rFonts w:hint="eastAsia" w:ascii="宋体" w:hAnsi="宋体" w:cs="宋体"/>
          <w:color w:val="auto"/>
          <w:szCs w:val="21"/>
          <w:highlight w:val="none"/>
        </w:rPr>
        <w:t xml:space="preserve">投标保证金；</w:t>
      </w:r>
      <w:r>
        <w:rPr>
          <w:rFonts w:hint="eastAsia" w:ascii="宋体" w:hAnsi="宋体" w:cs="宋体"/>
          <w:b/>
          <w:bCs/>
          <w:color w:val="auto"/>
          <w:szCs w:val="21"/>
          <w:highlight w:val="none"/>
          <w:u w:val="single"/>
        </w:rPr>
        <w:t xml:space="preserve">不收取</w:t>
      </w:r>
      <w:r>
        <w:rPr>
          <w:rFonts w:hint="eastAsia" w:ascii="宋体" w:hAnsi="宋体" w:cs="宋体"/>
          <w:color w:val="auto"/>
          <w:szCs w:val="21"/>
          <w:highlight w:val="none"/>
        </w:rPr>
        <w:t xml:space="preserve">履约保证金。</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、有关本次招标的事项若存在变动或修改，敬请及时关注</w:t>
      </w:r>
      <w:r>
        <w:rPr>
          <w:rFonts w:hint="eastAsia" w:ascii="宋体" w:hAnsi="宋体" w:cs="宋体"/>
          <w:color w:val="auto"/>
          <w:highlight w:val="none"/>
          <w:lang w:eastAsia="zh-CN"/>
        </w:rPr>
        <w:t xml:space="preserve">“扬州市政府采购网”“江苏省政府采购网”和“中国政府采购网”</w:t>
      </w:r>
      <w:r>
        <w:rPr>
          <w:rFonts w:hint="eastAsia" w:ascii="宋体" w:hAnsi="宋体" w:cs="宋体"/>
          <w:color w:val="auto"/>
          <w:highlight w:val="none"/>
        </w:rPr>
        <w:t xml:space="preserve">发布的信息。</w:t>
      </w:r>
      <w:r/>
    </w:p>
    <w:p>
      <w:pPr>
        <w:ind w:left="0" w:firstLine="422"/>
        <w:spacing w:line="360" w:lineRule="auto"/>
        <w:tabs>
          <w:tab w:val="left" w:pos="900" w:leader="none"/>
        </w:tabs>
        <w:rPr>
          <w:rFonts w:hint="eastAsia" w:ascii="宋体" w:hAnsi="宋体" w:cs="宋体"/>
          <w:b/>
          <w:bCs/>
          <w:i/>
          <w:iCs/>
          <w:color w:val="auto"/>
          <w:highlight w:val="none"/>
          <w:u w:val="single"/>
        </w:rPr>
      </w:pPr>
      <w:r>
        <w:rPr>
          <w:rFonts w:hint="eastAsia" w:ascii="宋体" w:hAnsi="宋体" w:cs="宋体"/>
          <w:b/>
          <w:bCs/>
          <w:i/>
          <w:iCs/>
          <w:color w:val="auto"/>
          <w:highlight w:val="none"/>
          <w:u w:val="single"/>
          <w:lang w:val="en-US" w:eastAsia="zh-CN"/>
        </w:rPr>
        <w:t xml:space="preserve">6</w:t>
      </w:r>
      <w:r>
        <w:rPr>
          <w:rFonts w:hint="eastAsia" w:ascii="宋体" w:hAnsi="宋体" w:cs="宋体"/>
          <w:b/>
          <w:bCs/>
          <w:i/>
          <w:iCs/>
          <w:color w:val="auto"/>
          <w:highlight w:val="none"/>
          <w:u w:val="single"/>
        </w:rPr>
        <w:t xml:space="preserve">、本项目招标文件中所有斜体下划线部分为实质性条款，如不满足，则为无效投标。</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i/>
          <w:iCs/>
          <w:color w:val="auto"/>
          <w:highlight w:val="none"/>
          <w:u w:val="single"/>
          <w:lang w:val="en-US" w:eastAsia="zh-CN"/>
        </w:rPr>
        <w:t xml:space="preserve">7</w:t>
      </w:r>
      <w:r>
        <w:rPr>
          <w:rFonts w:hint="eastAsia" w:ascii="宋体" w:hAnsi="宋体" w:cs="宋体"/>
          <w:i/>
          <w:iCs/>
          <w:color w:val="auto"/>
          <w:highlight w:val="none"/>
          <w:u w:val="single"/>
        </w:rPr>
        <w:t xml:space="preserve">、</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不举行集中考察或答疑。如需实地考察，各投标人自行现场勘察，充分了解现场以及项目服务范围内足以影响报价的情况，任何忽视或误解项目基本情况，应自行承担因忽视或了解不充分而影响报价准确性的风险。</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9、落实好政府采购履约资金扶持政策。中标/成交供应商可凭政府采购合同办理融资贷款，详见江苏政府采购网“政采贷”专栏。</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10、严格执行政府采购关于支持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11、供应商对于投标产品的包装应按照“财办库〔2020〕123号《关于印发《商品包装政府采购需求标准（试行）》、《快递包装政府采购需求标准（试行）》的通知》”执行。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七、对本次招标提出询问，请按以下方式联系。</w:t>
      </w:r>
      <w:bookmarkEnd w:id="28"/>
      <w:r/>
      <w:bookmarkEnd w:id="29"/>
      <w:r/>
      <w:bookmarkEnd w:id="30"/>
      <w:r/>
      <w:bookmarkEnd w:id="3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jc w:val="left"/>
        <w:spacing w:line="360" w:lineRule="auto"/>
        <w:rPr>
          <w:rFonts w:hint="eastAsia" w:ascii="宋体" w:hAnsi="宋体" w:cs="宋体"/>
          <w:color w:val="auto"/>
          <w:highlight w:val="none"/>
        </w:rPr>
      </w:pPr>
      <w:r/>
      <w:bookmarkStart w:id="32" w:name="_Toc28359009"/>
      <w:r/>
      <w:bookmarkStart w:id="33" w:name="_Toc28359086"/>
      <w:r>
        <w:rPr>
          <w:rFonts w:hint="eastAsia" w:ascii="宋体" w:hAnsi="宋体" w:cs="宋体"/>
          <w:color w:val="auto"/>
          <w:highlight w:val="none"/>
        </w:rPr>
        <w:t xml:space="preserve">名 称：扬州市食品药品检验检测中心</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址：扬州市广陵区临江路205号食品科技园2幢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联系人：秦利军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联系方式：0514-80976230 </w:t>
      </w:r>
      <w:r>
        <w:rPr>
          <w:rFonts w:hint="eastAsia" w:ascii="宋体" w:hAnsi="宋体" w:cs="宋体"/>
          <w:color w:val="auto"/>
          <w:szCs w:val="21"/>
          <w:highlight w:val="none"/>
        </w:rPr>
        <w:t xml:space="preserve"> </w:t>
      </w:r>
      <w:bookmarkEnd w:id="32"/>
      <w:bookmarkEnd w:id="33"/>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2.招标代理公司信息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称：江苏时代投资咨询有限公司</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lang w:eastAsia="zh-CN"/>
        </w:rPr>
        <w:t xml:space="preserve">扬州市广陵区汶河北路65号二楼</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项目联系人：</w:t>
      </w:r>
      <w:r>
        <w:rPr>
          <w:rFonts w:hint="eastAsia" w:ascii="宋体" w:hAnsi="宋体" w:cs="宋体"/>
          <w:color w:val="auto"/>
          <w:szCs w:val="21"/>
          <w:highlight w:val="none"/>
          <w:lang w:val="en-US" w:eastAsia="zh-CN"/>
        </w:rPr>
        <w:t xml:space="preserve">林露、杨小新</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8652792880、18652798268</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cs="宋体"/>
          <w:color w:val="auto"/>
          <w:sz w:val="36"/>
          <w:highlight w:val="none"/>
        </w:rPr>
      </w:pPr>
      <w:r/>
      <w:bookmarkStart w:id="34" w:name="_Toc6316"/>
      <w:r/>
      <w:bookmarkStart w:id="35" w:name="_Toc16938520"/>
      <w:r/>
      <w:bookmarkStart w:id="36" w:name="_Toc20823276"/>
      <w:r/>
      <w:bookmarkStart w:id="37" w:name="_Toc4630"/>
      <w:r/>
      <w:bookmarkStart w:id="38" w:name="_Toc23530"/>
      <w:r/>
      <w:bookmarkStart w:id="39" w:name="_Toc513029204"/>
      <w:r/>
      <w:bookmarkStart w:id="40" w:name="_Toc458694821"/>
      <w:r/>
      <w:bookmarkStart w:id="41" w:name="_Toc31005"/>
      <w:r>
        <w:rPr>
          <w:rFonts w:hint="eastAsia" w:ascii="宋体" w:hAnsi="宋体" w:cs="宋体"/>
          <w:color w:val="auto"/>
          <w:sz w:val="36"/>
          <w:highlight w:val="none"/>
        </w:rPr>
        <w:br w:type="page" w:clear="all"/>
      </w:r>
      <w:r/>
    </w:p>
    <w:p>
      <w:pPr>
        <w:pStyle w:val="687"/>
        <w:numPr>
          <w:ilvl w:val="0"/>
          <w:numId w:val="0"/>
        </w:numPr>
        <w:ind w:firstLine="0"/>
        <w:jc w:val="center"/>
        <w:spacing w:before="181" w:after="181"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34"/>
      <w:r/>
      <w:bookmarkEnd w:id="35"/>
      <w:r/>
      <w:bookmarkEnd w:id="36"/>
      <w:r/>
      <w:bookmarkEnd w:id="37"/>
      <w:r/>
      <w:bookmarkEnd w:id="38"/>
      <w:r/>
      <w:bookmarkEnd w:id="39"/>
      <w:r/>
      <w:bookmarkEnd w:id="40"/>
      <w:r/>
      <w:bookmarkEnd w:id="41"/>
      <w:r/>
      <w:r/>
    </w:p>
    <w:p>
      <w:pPr>
        <w:ind w:firstLine="422"/>
        <w:spacing w:before="0" w:after="0" w:line="360" w:lineRule="auto"/>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1、招标方式</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 本次招标采取公开招标方式，本招标文件仅适用</w:t>
      </w:r>
      <w:r>
        <w:rPr>
          <w:rFonts w:hint="eastAsia" w:ascii="宋体" w:hAnsi="宋体" w:cs="宋体"/>
          <w:color w:val="auto"/>
          <w:szCs w:val="21"/>
          <w:highlight w:val="none"/>
          <w:u w:val="none"/>
        </w:rPr>
        <w:t xml:space="preserve">于</w:t>
      </w:r>
      <w:r>
        <w:rPr>
          <w:rFonts w:hint="eastAsia" w:ascii="宋体" w:hAnsi="宋体" w:cs="宋体"/>
          <w:color w:val="auto"/>
          <w:szCs w:val="21"/>
          <w:highlight w:val="none"/>
          <w:u w:val="none"/>
          <w:lang w:val="en-US" w:eastAsia="zh-CN"/>
        </w:rPr>
        <w:t xml:space="preserve">JSZC-321000-SDTZ-G2026-0014</w:t>
      </w:r>
      <w:r>
        <w:rPr>
          <w:rFonts w:hint="eastAsia" w:ascii="宋体" w:hAnsi="宋体" w:cs="宋体"/>
          <w:color w:val="auto"/>
          <w:szCs w:val="21"/>
          <w:highlight w:val="none"/>
        </w:rPr>
        <w:t xml:space="preserve">项目。</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42" w:name="_Toc513029205"/>
      <w:r/>
      <w:bookmarkStart w:id="43" w:name="_Toc20823277"/>
      <w:r/>
      <w:bookmarkStart w:id="44" w:name="_Toc16938521"/>
      <w:r>
        <w:rPr>
          <w:rFonts w:hint="eastAsia" w:ascii="宋体" w:hAnsi="宋体" w:eastAsia="宋体" w:cs="宋体"/>
          <w:b/>
          <w:bCs w:val="0"/>
          <w:color w:val="auto"/>
          <w:sz w:val="21"/>
          <w:szCs w:val="21"/>
          <w:highlight w:val="none"/>
        </w:rPr>
        <w:t xml:space="preserve">2、投标人</w:t>
      </w:r>
      <w:r/>
    </w:p>
    <w:p>
      <w:pPr>
        <w:ind w:firstLine="422"/>
        <w:spacing w:before="0" w:after="0"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 本招标文件中“供应商”，即“投标人”，是指参加投标竞争，并符合招标文件规定资格条件的法人、其他组织或者自然人。</w:t>
      </w:r>
      <w:r/>
    </w:p>
    <w:p>
      <w:pPr>
        <w:ind w:firstLine="422"/>
        <w:spacing w:before="0" w:after="0"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2.2合格的投标人</w:t>
      </w:r>
      <w:bookmarkEnd w:id="42"/>
      <w:r/>
      <w:bookmarkEnd w:id="43"/>
      <w:r/>
      <w:bookmarkEnd w:id="44"/>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2.2.1 </w:t>
      </w:r>
      <w:r>
        <w:rPr>
          <w:rFonts w:hint="eastAsia" w:ascii="宋体" w:hAnsi="宋体" w:cs="宋体"/>
          <w:bCs/>
          <w:color w:val="auto"/>
          <w:szCs w:val="21"/>
          <w:highlight w:val="none"/>
        </w:rPr>
        <w:t xml:space="preserve">满足招标公告中供应商的资格条件要求的规定。</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2.2.2 满足本文件实质性条款的规定。</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45" w:name="_Toc513029206"/>
      <w:r/>
      <w:bookmarkStart w:id="46" w:name="_Toc20823278"/>
      <w:r/>
      <w:bookmarkStart w:id="47" w:name="_Toc16938522"/>
      <w:r>
        <w:rPr>
          <w:rFonts w:hint="eastAsia" w:ascii="宋体" w:hAnsi="宋体" w:eastAsia="宋体" w:cs="宋体"/>
          <w:b/>
          <w:bCs w:val="0"/>
          <w:color w:val="auto"/>
          <w:sz w:val="21"/>
          <w:szCs w:val="21"/>
          <w:highlight w:val="none"/>
        </w:rPr>
        <w:t xml:space="preserve">3、适用法律</w:t>
      </w:r>
      <w:bookmarkEnd w:id="45"/>
      <w:r/>
      <w:bookmarkEnd w:id="46"/>
      <w:r/>
      <w:bookmarkEnd w:id="47"/>
      <w:r/>
      <w:r/>
    </w:p>
    <w:p>
      <w:pPr>
        <w:ind w:firstLine="420"/>
        <w:spacing w:before="0" w:after="0" w:line="360" w:lineRule="auto"/>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4.1</w:t>
      </w:r>
      <w:r>
        <w:rPr>
          <w:rFonts w:hint="eastAsia" w:ascii="宋体" w:hAnsi="宋体" w:cs="宋体"/>
          <w:color w:val="auto"/>
          <w:szCs w:val="21"/>
          <w:highlight w:val="none"/>
        </w:rPr>
        <w:t xml:space="preserve"> 投标人应自行承担所有与参加投标有关的费用，无论投标过程中的做法和结果如何，代理机构在任何情况下均无义务和责任承担这些费用。</w:t>
      </w:r>
      <w:r/>
    </w:p>
    <w:p>
      <w:pPr>
        <w:numPr>
          <w:ilvl w:val="0"/>
          <w:numId w:val="0"/>
        </w:numPr>
        <w:ind w:firstLine="422"/>
        <w:jc w:val="left"/>
        <w:spacing w:line="360" w:lineRule="auto"/>
        <w:rPr>
          <w:rFonts w:hint="eastAsia" w:ascii="宋体" w:hAnsi="宋体" w:cs="宋体"/>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cs="宋体"/>
          <w:b/>
          <w:bCs/>
          <w:color w:val="auto"/>
          <w:szCs w:val="21"/>
          <w:highlight w:val="none"/>
        </w:rPr>
        <w:t xml:space="preserve">项目招标完成后</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由采购人一次性支付给代理机构代理服务费</w:t>
      </w:r>
      <w:r>
        <w:rPr>
          <w:rFonts w:hint="eastAsia" w:ascii="宋体" w:hAnsi="宋体" w:cs="宋体"/>
          <w:b/>
          <w:bCs/>
          <w:color w:val="auto"/>
          <w:szCs w:val="21"/>
          <w:highlight w:val="none"/>
          <w:lang w:val="en-US" w:eastAsia="zh-CN"/>
        </w:rPr>
        <w:t xml:space="preserve">3000元</w:t>
      </w:r>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）代理服务费以人民币支付；</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）代理服务费支付方式：一次性以电汇、转账、支票、现金等形式支付</w:t>
      </w:r>
      <w:r>
        <w:rPr>
          <w:rFonts w:hint="eastAsia" w:ascii="宋体" w:hAnsi="宋体" w:cs="宋体"/>
          <w:bCs/>
          <w:color w:val="auto"/>
          <w:szCs w:val="21"/>
          <w:highlight w:val="none"/>
        </w:rPr>
        <w:t xml:space="preserve">；</w:t>
      </w:r>
      <w:r/>
    </w:p>
    <w:p>
      <w:pPr>
        <w:pStyle w:val="892"/>
        <w:ind w:firstLine="422"/>
        <w:spacing w:line="360" w:lineRule="auto"/>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4.2专家评审费按《扬州市财政局关于进一步规范扬州市政府采购专家评审费标准的通知》（扬财购〔2020〕40号）执行。</w:t>
      </w:r>
      <w:r/>
    </w:p>
    <w:p>
      <w:pPr>
        <w:ind w:firstLine="422"/>
        <w:spacing w:before="0" w:after="0"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5、招标文件的约束力</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5.1</w:t>
      </w:r>
      <w:r>
        <w:rPr>
          <w:rFonts w:hint="eastAsia" w:ascii="宋体" w:hAnsi="宋体" w:cs="宋体"/>
          <w:color w:val="auto"/>
          <w:szCs w:val="21"/>
          <w:highlight w:val="none"/>
        </w:rPr>
        <w:t xml:space="preserve"> 投标人一旦参加本项目采购活动，即被认为接受了本招标文件的规定和约束。</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48" w:name="_Toc513029210"/>
      <w:r/>
      <w:bookmarkStart w:id="49" w:name="_Toc16938526"/>
      <w:r/>
      <w:bookmarkStart w:id="50" w:name="_Toc20823282"/>
      <w:r>
        <w:rPr>
          <w:rFonts w:hint="eastAsia" w:ascii="宋体" w:hAnsi="宋体" w:eastAsia="宋体" w:cs="宋体"/>
          <w:b/>
          <w:bCs w:val="0"/>
          <w:color w:val="auto"/>
          <w:sz w:val="21"/>
          <w:szCs w:val="21"/>
          <w:highlight w:val="none"/>
        </w:rPr>
        <w:t xml:space="preserve">6、招标文件构成</w:t>
      </w:r>
      <w:bookmarkEnd w:id="48"/>
      <w:r/>
      <w:bookmarkEnd w:id="49"/>
      <w:r/>
      <w:bookmarkEnd w:id="50"/>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6.1</w:t>
      </w:r>
      <w:r>
        <w:rPr>
          <w:rFonts w:hint="eastAsia" w:ascii="宋体" w:hAnsi="宋体" w:cs="宋体"/>
          <w:color w:val="auto"/>
          <w:szCs w:val="21"/>
          <w:highlight w:val="none"/>
        </w:rPr>
        <w:t xml:space="preserve"> 招标文件有以下部分组成：</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（1）招标公告</w:t>
      </w:r>
      <w:r/>
    </w:p>
    <w:p>
      <w:pPr>
        <w:ind w:firstLine="420"/>
        <w:spacing w:line="360" w:lineRule="auto"/>
        <w:tabs>
          <w:tab w:val="left" w:pos="258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（2）投标人须知</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（5）评标方法</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评标标准</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（6）投标文件格式</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6.4</w:t>
      </w:r>
      <w:r>
        <w:rPr>
          <w:rFonts w:hint="eastAsia" w:ascii="宋体" w:hAnsi="宋体" w:cs="宋体"/>
          <w:color w:val="auto"/>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51" w:name="_Toc20823283"/>
      <w:r/>
      <w:bookmarkStart w:id="52" w:name="_Toc16938527"/>
      <w:r/>
      <w:bookmarkStart w:id="53" w:name="_Toc513029211"/>
      <w:r/>
      <w:bookmarkStart w:id="54" w:name="_Toc462564070"/>
      <w:r>
        <w:rPr>
          <w:rFonts w:hint="eastAsia" w:ascii="宋体" w:hAnsi="宋体" w:eastAsia="宋体" w:cs="宋体"/>
          <w:b/>
          <w:bCs w:val="0"/>
          <w:color w:val="auto"/>
          <w:sz w:val="21"/>
          <w:szCs w:val="21"/>
          <w:highlight w:val="none"/>
        </w:rPr>
        <w:t xml:space="preserve">7、招标文件的</w:t>
      </w:r>
      <w:bookmarkEnd w:id="51"/>
      <w:r/>
      <w:bookmarkEnd w:id="52"/>
      <w:r/>
      <w:bookmarkEnd w:id="53"/>
      <w:r/>
      <w:bookmarkEnd w:id="54"/>
      <w:r>
        <w:rPr>
          <w:rFonts w:hint="eastAsia" w:ascii="宋体" w:hAnsi="宋体" w:eastAsia="宋体" w:cs="宋体"/>
          <w:b/>
          <w:bCs w:val="0"/>
          <w:color w:val="auto"/>
          <w:sz w:val="21"/>
          <w:szCs w:val="21"/>
          <w:highlight w:val="none"/>
        </w:rPr>
        <w:t xml:space="preserve">澄清</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7.1 任何要求对招标文件进行澄清的投标人，应在投标截止日期的十日前按投标邀请中的通讯地址，以书面形式通知代理机构。</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55" w:name="_Toc16938528"/>
      <w:r/>
      <w:bookmarkStart w:id="56" w:name="_Toc20823284"/>
      <w:r/>
      <w:bookmarkStart w:id="57" w:name="_Toc513029212"/>
      <w:r/>
      <w:bookmarkStart w:id="58" w:name="_Toc462564071"/>
      <w:r>
        <w:rPr>
          <w:rFonts w:hint="eastAsia" w:ascii="宋体" w:hAnsi="宋体" w:eastAsia="宋体" w:cs="宋体"/>
          <w:b/>
          <w:bCs w:val="0"/>
          <w:color w:val="auto"/>
          <w:sz w:val="21"/>
          <w:szCs w:val="21"/>
          <w:highlight w:val="none"/>
        </w:rPr>
        <w:t xml:space="preserve">8、招标文件的修改</w:t>
      </w:r>
      <w:bookmarkEnd w:id="55"/>
      <w:r/>
      <w:bookmarkEnd w:id="56"/>
      <w:r/>
      <w:bookmarkEnd w:id="57"/>
      <w:r/>
      <w:bookmarkEnd w:id="58"/>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8.1</w:t>
      </w:r>
      <w:r>
        <w:rPr>
          <w:rFonts w:hint="eastAsia" w:ascii="宋体" w:hAnsi="宋体" w:cs="宋体"/>
          <w:color w:val="auto"/>
          <w:szCs w:val="21"/>
          <w:highlight w:val="none"/>
        </w:rPr>
        <w:t xml:space="preserve"> 在投标截止时间前，代理机构可以对招标文件进行修改。</w:t>
      </w:r>
      <w:r/>
    </w:p>
    <w:p>
      <w:pPr>
        <w:ind w:firstLine="420"/>
        <w:spacing w:line="360" w:lineRule="auto"/>
        <w:rPr>
          <w:rFonts w:hint="eastAsia" w:ascii="宋体" w:hAnsi="宋体" w:cs="宋体"/>
          <w:bCs/>
          <w:color w:val="auto"/>
          <w:szCs w:val="21"/>
          <w:highlight w:val="none"/>
          <w:u w:val="none"/>
        </w:rPr>
        <w:outlineLvl w:val="9"/>
      </w:pPr>
      <w:r>
        <w:rPr>
          <w:rFonts w:hint="eastAsia" w:ascii="宋体" w:hAnsi="宋体" w:cs="宋体"/>
          <w:bCs/>
          <w:color w:val="auto"/>
          <w:szCs w:val="21"/>
          <w:highlight w:val="none"/>
        </w:rPr>
        <w:t xml:space="preserve">8.2代理机构在招标文件要求提交投标文件截止时间前，有权决定延长投标截止时间和开标</w:t>
      </w:r>
      <w:r>
        <w:rPr>
          <w:rFonts w:hint="eastAsia" w:ascii="宋体" w:hAnsi="宋体" w:cs="宋体"/>
          <w:bCs/>
          <w:color w:val="auto"/>
          <w:szCs w:val="21"/>
          <w:highlight w:val="none"/>
          <w:u w:val="none"/>
        </w:rPr>
        <w:t xml:space="preserve">时间，并在原采购信息发布媒体上发布变更公告。</w:t>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u w:val="none"/>
        </w:rPr>
        <w:t xml:space="preserve">8.3</w:t>
      </w:r>
      <w:r>
        <w:rPr>
          <w:rFonts w:hint="eastAsia" w:ascii="宋体" w:hAnsi="宋体" w:cs="宋体"/>
          <w:color w:val="auto"/>
          <w:szCs w:val="21"/>
          <w:highlight w:val="none"/>
          <w:u w:val="none"/>
        </w:rPr>
        <w:t xml:space="preserve">招标文件的修</w:t>
      </w:r>
      <w:r>
        <w:rPr>
          <w:rFonts w:hint="eastAsia" w:ascii="宋体" w:hAnsi="宋体" w:eastAsia="宋体" w:cs="宋体"/>
          <w:bCs/>
          <w:color w:val="auto"/>
          <w:szCs w:val="21"/>
          <w:highlight w:val="none"/>
          <w:u w:val="none"/>
        </w:rPr>
        <w:t xml:space="preserve">改将在</w:t>
      </w:r>
      <w:r>
        <w:rPr>
          <w:rFonts w:hint="eastAsia" w:ascii="宋体" w:hAnsi="宋体" w:cs="宋体"/>
          <w:color w:val="auto"/>
          <w:highlight w:val="none"/>
          <w:u w:val="none"/>
        </w:rPr>
        <w:t xml:space="preserve">“扬州市政府采购网”“江苏省政府采购网”和“中国政府采购网”</w:t>
      </w:r>
      <w:r>
        <w:rPr>
          <w:rFonts w:hint="eastAsia" w:ascii="宋体" w:hAnsi="宋体" w:eastAsia="宋体" w:cs="宋体"/>
          <w:bCs/>
          <w:color w:val="auto"/>
          <w:szCs w:val="21"/>
          <w:highlight w:val="none"/>
          <w:u w:val="none"/>
        </w:rPr>
        <w:t xml:space="preserve">公</w:t>
      </w:r>
      <w:r>
        <w:rPr>
          <w:rFonts w:hint="eastAsia" w:ascii="宋体" w:hAnsi="宋体" w:cs="宋体"/>
          <w:color w:val="auto"/>
          <w:szCs w:val="21"/>
          <w:highlight w:val="none"/>
          <w:u w:val="none"/>
        </w:rPr>
        <w:t xml:space="preserve">布，补充</w:t>
      </w:r>
      <w:r>
        <w:rPr>
          <w:rFonts w:hint="eastAsia" w:ascii="宋体" w:hAnsi="宋体" w:cs="宋体"/>
          <w:color w:val="auto"/>
          <w:szCs w:val="21"/>
          <w:highlight w:val="none"/>
        </w:rPr>
        <w:t xml:space="preserve">文件将作为招标文件的组成部分，并对投标人具有约束力。</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8.4投标人应在投标截止时间前关注原采购信息发布媒体上有关本招标项目有无变更公告。</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59" w:name="_Toc20823286"/>
      <w:r/>
      <w:bookmarkStart w:id="60" w:name="_Toc513029214"/>
      <w:r/>
      <w:bookmarkStart w:id="61" w:name="_Toc16938530"/>
      <w:r/>
      <w:bookmarkStart w:id="62" w:name="_Toc462564073"/>
      <w:r>
        <w:rPr>
          <w:rFonts w:hint="eastAsia" w:ascii="宋体" w:hAnsi="宋体" w:eastAsia="宋体" w:cs="宋体"/>
          <w:b/>
          <w:bCs w:val="0"/>
          <w:color w:val="auto"/>
          <w:sz w:val="21"/>
          <w:szCs w:val="21"/>
          <w:highlight w:val="none"/>
        </w:rPr>
        <w:t xml:space="preserve">9、投标文件的语言、度量衡单位</w:t>
      </w:r>
      <w:bookmarkEnd w:id="59"/>
      <w:r/>
      <w:bookmarkEnd w:id="60"/>
      <w:r/>
      <w:bookmarkEnd w:id="61"/>
      <w:r/>
      <w:bookmarkEnd w:id="62"/>
      <w:r>
        <w:rPr>
          <w:rFonts w:hint="eastAsia" w:ascii="宋体" w:hAnsi="宋体" w:eastAsia="宋体" w:cs="宋体"/>
          <w:b/>
          <w:bCs w:val="0"/>
          <w:color w:val="auto"/>
          <w:sz w:val="21"/>
          <w:szCs w:val="21"/>
          <w:highlight w:val="none"/>
        </w:rPr>
        <w:t xml:space="preserve">、货币和编制</w:t>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9.1</w:t>
      </w:r>
      <w:r>
        <w:rPr>
          <w:rFonts w:hint="eastAsia" w:ascii="宋体" w:hAnsi="宋体" w:cs="宋体"/>
          <w:color w:val="auto"/>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9.2</w:t>
      </w:r>
      <w:r>
        <w:rPr>
          <w:rFonts w:hint="eastAsia" w:ascii="宋体" w:hAnsi="宋体" w:cs="宋体"/>
          <w:color w:val="auto"/>
          <w:szCs w:val="21"/>
          <w:highlight w:val="none"/>
        </w:rPr>
        <w:t xml:space="preserve"> 除技术性能另有规定外，投标文件所使用的度量衡单位，均须采用国家法定计量单位。</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9.3投标人应使用人民币报价。</w:t>
      </w:r>
      <w:r/>
    </w:p>
    <w:p>
      <w:pPr>
        <w:ind w:firstLine="422"/>
        <w:spacing w:before="0" w:after="0" w:line="360" w:lineRule="auto"/>
        <w:rPr>
          <w:rFonts w:hint="eastAsia" w:ascii="宋体" w:hAnsi="宋体" w:eastAsia="宋体" w:cs="宋体"/>
          <w:b/>
          <w:bCs w:val="0"/>
          <w:color w:val="auto"/>
          <w:sz w:val="21"/>
          <w:szCs w:val="21"/>
          <w:highlight w:val="none"/>
        </w:rPr>
        <w:outlineLvl w:val="9"/>
      </w:pPr>
      <w:r/>
      <w:bookmarkStart w:id="63" w:name="_Toc16938531"/>
      <w:r/>
      <w:bookmarkStart w:id="64" w:name="_Toc513029215"/>
      <w:r/>
      <w:bookmarkStart w:id="65" w:name="_Toc462564074"/>
      <w:r/>
      <w:bookmarkStart w:id="66" w:name="_Toc20823287"/>
      <w:r>
        <w:rPr>
          <w:rFonts w:hint="eastAsia" w:ascii="宋体" w:hAnsi="宋体" w:eastAsia="宋体" w:cs="宋体"/>
          <w:b/>
          <w:bCs w:val="0"/>
          <w:color w:val="auto"/>
          <w:sz w:val="21"/>
          <w:szCs w:val="21"/>
          <w:highlight w:val="none"/>
        </w:rPr>
        <w:t xml:space="preserve">10、投标文件构成</w:t>
      </w:r>
      <w:bookmarkEnd w:id="63"/>
      <w:r/>
      <w:bookmarkEnd w:id="64"/>
      <w:r/>
      <w:bookmarkEnd w:id="65"/>
      <w:r/>
      <w:bookmarkEnd w:id="66"/>
      <w:r/>
      <w:r/>
    </w:p>
    <w:p>
      <w:pPr>
        <w:ind w:firstLine="42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10.1</w:t>
      </w:r>
      <w:r>
        <w:rPr>
          <w:rFonts w:hint="eastAsia" w:ascii="宋体" w:hAnsi="宋体" w:cs="宋体"/>
          <w:color w:val="auto"/>
          <w:szCs w:val="21"/>
          <w:highlight w:val="none"/>
        </w:rPr>
        <w:t xml:space="preserve"> 投标人编写的投标文件应包括</w:t>
      </w:r>
      <w:r/>
    </w:p>
    <w:p>
      <w:pPr>
        <w:ind w:firstLine="420"/>
        <w:spacing w:line="360" w:lineRule="auto"/>
        <w:rPr>
          <w:rFonts w:hint="eastAsia" w:ascii="宋体" w:hAnsi="宋体" w:cs="宋体"/>
          <w:bCs/>
          <w:color w:val="auto"/>
          <w:szCs w:val="21"/>
          <w:highlight w:val="none"/>
        </w:rPr>
      </w:pPr>
      <w:r/>
      <w:bookmarkStart w:id="67" w:name="_Toc49090509"/>
      <w:r/>
      <w:bookmarkStart w:id="68" w:name="_Toc513029219"/>
      <w:r/>
      <w:bookmarkStart w:id="69" w:name="_Toc14577357"/>
      <w:r/>
      <w:bookmarkStart w:id="70" w:name="_Toc49090507"/>
      <w:r/>
      <w:bookmarkStart w:id="71" w:name="_Toc513029216"/>
      <w:r/>
      <w:bookmarkStart w:id="72" w:name="_Toc14577354"/>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before="0" w:after="0"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w:t>
      </w:r>
      <w:r>
        <w:rPr>
          <w:rFonts w:hint="eastAsia" w:ascii="宋体" w:hAnsi="宋体" w:cs="宋体"/>
          <w:b w:val="0"/>
          <w:bCs w:val="0"/>
          <w:color w:val="auto"/>
          <w:sz w:val="21"/>
          <w:szCs w:val="21"/>
          <w:highlight w:val="none"/>
          <w:lang w:eastAsia="zh-CN"/>
        </w:rPr>
        <w:t xml:space="preserve">2</w:t>
      </w:r>
      <w:r>
        <w:rPr>
          <w:rFonts w:hint="eastAsia" w:ascii="宋体" w:hAnsi="宋体" w:eastAsia="宋体" w:cs="宋体"/>
          <w:b w:val="0"/>
          <w:bCs w:val="0"/>
          <w:color w:val="auto"/>
          <w:sz w:val="21"/>
          <w:szCs w:val="21"/>
          <w:highlight w:val="none"/>
        </w:rPr>
        <w:t xml:space="preserve"> 投标人应当根据招标文件要求编制投标文件，投标文件应对招标文件提出的要求和条件作出实质性响应，并在相应的投标文件中逐条标明满足与否。</w:t>
      </w:r>
      <w:r/>
    </w:p>
    <w:p>
      <w:pPr>
        <w:ind w:firstLine="422"/>
        <w:spacing w:before="0" w:after="0" w:line="360" w:lineRule="auto"/>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11、证明投标人资格及符合招标文件规定的文件</w:t>
      </w:r>
      <w:bookmarkEnd w:id="67"/>
      <w:r/>
      <w:bookmarkEnd w:id="68"/>
      <w:r/>
      <w:bookmarkEnd w:id="69"/>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11.1投标人应按要求提交资信证明文件及符合招标文件规定的文件。</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11.3投标人除必须具有履行合同所需提供的货物以及服务的能力外，还必须具备相应的财务、技术方面的能力。</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11.4投标人应提交根据合同要求提供的证明产品质量合格以及符合招标文件规定的证明文件。</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11.5证明投标人所提供货物与招标文件的要求相一致的文件可以是手册、图纸、文字资料和数据</w:t>
      </w:r>
      <w:r>
        <w:rPr>
          <w:rFonts w:hint="eastAsia" w:ascii="宋体" w:hAnsi="宋体" w:cs="宋体"/>
          <w:bCs/>
          <w:color w:val="auto"/>
          <w:szCs w:val="21"/>
          <w:highlight w:val="none"/>
        </w:rPr>
        <w:t xml:space="preserve">。</w:t>
      </w:r>
      <w:bookmarkEnd w:id="70"/>
      <w:r/>
      <w:bookmarkEnd w:id="71"/>
      <w:r/>
      <w:bookmarkEnd w:id="72"/>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12、分项报价表</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12.1 投标人应按照招标文件规定格式填报投标分项报价表。</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12.2投标货币。投标文件中的单价和总价无特殊规定的采用人民币报价，以元为单位标注。招标文件中另有规定的按规定执行。</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outlineLvl w:val="9"/>
      </w:pPr>
      <w:r/>
      <w:bookmarkStart w:id="73" w:name="_Toc16938541"/>
      <w:r/>
      <w:bookmarkStart w:id="74" w:name="_Toc513029225"/>
      <w:r/>
      <w:bookmarkStart w:id="75" w:name="_Toc20823297"/>
      <w:r/>
      <w:bookmarkStart w:id="76" w:name="_Toc462564084"/>
      <w:r>
        <w:rPr>
          <w:rFonts w:hint="eastAsia" w:ascii="宋体" w:hAnsi="宋体" w:cs="宋体"/>
          <w:b/>
          <w:color w:val="auto"/>
          <w:szCs w:val="21"/>
          <w:highlight w:val="none"/>
        </w:rPr>
        <w:t xml:space="preserve">17、投标文件</w:t>
      </w:r>
      <w:bookmarkEnd w:id="73"/>
      <w:r/>
      <w:bookmarkEnd w:id="74"/>
      <w:r/>
      <w:bookmarkEnd w:id="75"/>
      <w:r/>
      <w:bookmarkEnd w:id="7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77" w:name="_Toc16938542"/>
      <w:r/>
      <w:bookmarkStart w:id="78" w:name="_Toc20823298"/>
      <w:r/>
      <w:bookmarkStart w:id="79" w:name="_Toc513029226"/>
      <w:r/>
      <w:r/>
    </w:p>
    <w:p>
      <w:pPr>
        <w:ind w:firstLine="422"/>
        <w:spacing w:line="360" w:lineRule="auto"/>
        <w:rPr>
          <w:rFonts w:hint="eastAsia" w:ascii="宋体" w:hAnsi="宋体" w:cs="宋体"/>
          <w:b/>
          <w:bCs w:val="0"/>
          <w:color w:val="auto"/>
          <w:szCs w:val="21"/>
          <w:highlight w:val="none"/>
        </w:rPr>
        <w:outlineLvl w:val="9"/>
      </w:pPr>
      <w:r>
        <w:rPr>
          <w:rFonts w:hint="eastAsia" w:ascii="宋体" w:hAnsi="宋体" w:cs="宋体"/>
          <w:b/>
          <w:bCs w:val="0"/>
          <w:color w:val="auto"/>
          <w:szCs w:val="21"/>
          <w:highlight w:val="none"/>
          <w:lang w:val="en-US" w:eastAsia="zh-CN"/>
        </w:rPr>
        <w:t xml:space="preserve">17.2</w:t>
      </w:r>
      <w:r>
        <w:rPr>
          <w:rFonts w:hint="eastAsia" w:ascii="宋体" w:hAnsi="宋体" w:cs="宋体"/>
          <w:b/>
          <w:bCs/>
          <w:color w:val="auto"/>
          <w:sz w:val="21"/>
          <w:szCs w:val="21"/>
          <w:highlight w:val="none"/>
          <w:lang w:eastAsia="zh-CN"/>
        </w:rPr>
        <w:t xml:space="preserve">政府采购管理交易系统（苏采云）</w:t>
      </w:r>
      <w:r>
        <w:rPr>
          <w:rFonts w:hint="eastAsia" w:ascii="宋体" w:hAnsi="宋体" w:cs="宋体"/>
          <w:b/>
          <w:bCs w:val="0"/>
          <w:color w:val="auto"/>
          <w:szCs w:val="21"/>
          <w:highlight w:val="none"/>
        </w:rPr>
        <w:t xml:space="preserve">相关要求是本招标文件的组成部分。</w:t>
      </w:r>
      <w:r/>
    </w:p>
    <w:p>
      <w:pPr>
        <w:ind w:firstLine="422"/>
        <w:spacing w:line="360" w:lineRule="auto"/>
        <w:rPr>
          <w:rFonts w:hint="eastAsia" w:ascii="宋体" w:hAnsi="宋体" w:cs="宋体"/>
          <w:b/>
          <w:bCs w:val="0"/>
          <w:color w:val="auto"/>
          <w:szCs w:val="21"/>
          <w:highlight w:val="none"/>
        </w:rPr>
        <w:outlineLvl w:val="9"/>
      </w:pPr>
      <w:r>
        <w:rPr>
          <w:rFonts w:hint="eastAsia" w:ascii="宋体" w:hAnsi="宋体" w:cs="宋体"/>
          <w:b/>
          <w:bCs w:val="0"/>
          <w:color w:val="auto"/>
          <w:szCs w:val="21"/>
          <w:highlight w:val="none"/>
          <w:lang w:val="en-US" w:eastAsia="zh-CN"/>
        </w:rPr>
        <w:t xml:space="preserve">17.3</w:t>
      </w:r>
      <w:r>
        <w:rPr>
          <w:rFonts w:hint="eastAsia" w:ascii="宋体" w:hAnsi="宋体" w:cs="宋体"/>
          <w:b/>
          <w:bCs w:val="0"/>
          <w:color w:val="auto"/>
          <w:szCs w:val="21"/>
          <w:highlight w:val="none"/>
        </w:rPr>
        <w:t xml:space="preserve">投标人应对 CA 证书妥善保管，如被他人盗用投标，因此带来的结果均由投标人自行承担。</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17.4</w:t>
      </w:r>
      <w:r>
        <w:rPr>
          <w:rFonts w:hint="eastAsia" w:ascii="宋体" w:hAnsi="宋体" w:cs="宋体"/>
          <w:b/>
          <w:bCs w:val="0"/>
          <w:color w:val="auto"/>
          <w:szCs w:val="21"/>
          <w:highlight w:val="none"/>
        </w:rPr>
        <w:t xml:space="preserve">投标人应当对招标文件提出的要求和条件作出实质性响应，并在电子投标系统逐条应答。</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17.5</w:t>
      </w:r>
      <w:r>
        <w:rPr>
          <w:rFonts w:hint="eastAsia" w:ascii="宋体" w:hAnsi="宋体" w:cs="宋体"/>
          <w:b/>
          <w:bCs w:val="0"/>
          <w:color w:val="auto"/>
          <w:szCs w:val="21"/>
          <w:highlight w:val="none"/>
        </w:rPr>
        <w:t xml:space="preserve">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color w:val="auto"/>
          <w:highlight w:val="none"/>
        </w:rPr>
      </w:pPr>
      <w:r>
        <w:rPr>
          <w:rFonts w:hint="eastAsia" w:ascii="宋体" w:hAnsi="宋体" w:cs="宋体"/>
          <w:b/>
          <w:bCs w:val="0"/>
          <w:color w:val="auto"/>
          <w:szCs w:val="21"/>
          <w:highlight w:val="none"/>
          <w:lang w:val="en-US" w:eastAsia="zh-CN"/>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77"/>
      <w:r/>
      <w:bookmarkEnd w:id="78"/>
      <w:r/>
      <w:bookmarkEnd w:id="79"/>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80" w:name="_Toc20823299"/>
      <w:r/>
      <w:bookmarkStart w:id="81" w:name="_Toc16938543"/>
      <w:r/>
      <w:bookmarkStart w:id="82" w:name="_Toc513029227"/>
      <w:r>
        <w:rPr>
          <w:rFonts w:hint="eastAsia" w:ascii="宋体" w:hAnsi="宋体" w:cs="宋体"/>
          <w:b/>
          <w:color w:val="auto"/>
          <w:szCs w:val="21"/>
          <w:highlight w:val="none"/>
        </w:rPr>
        <w:t xml:space="preserve">19、投标文件</w:t>
      </w:r>
      <w:bookmarkEnd w:id="80"/>
      <w:r/>
      <w:bookmarkEnd w:id="81"/>
      <w:r/>
      <w:bookmarkEnd w:id="8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83" w:name="_Toc20823300"/>
      <w:r/>
      <w:bookmarkStart w:id="84" w:name="_Toc16938544"/>
      <w:r/>
      <w:bookmarkStart w:id="85" w:name="_Toc513029228"/>
      <w:r>
        <w:rPr>
          <w:rFonts w:hint="eastAsia" w:ascii="宋体" w:hAnsi="宋体" w:cs="宋体"/>
          <w:b/>
          <w:color w:val="auto"/>
          <w:szCs w:val="21"/>
          <w:highlight w:val="none"/>
        </w:rPr>
        <w:t xml:space="preserve">20、投标文件的撤回和修改</w:t>
      </w:r>
      <w:bookmarkEnd w:id="83"/>
      <w:r/>
      <w:bookmarkEnd w:id="84"/>
      <w:r/>
      <w:bookmarkEnd w:id="8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color w:val="auto"/>
          <w:szCs w:val="21"/>
          <w:highlight w:val="none"/>
          <w:lang w:val="en-US" w:eastAsia="zh-CN"/>
        </w:rPr>
        <w:t xml:space="preserve">信用</w:t>
      </w:r>
      <w:r>
        <w:rPr>
          <w:rFonts w:hint="eastAsia" w:ascii="宋体" w:hAnsi="宋体" w:cs="宋体"/>
          <w:bCs/>
          <w:color w:val="auto"/>
          <w:szCs w:val="21"/>
          <w:highlight w:val="none"/>
        </w:rPr>
        <w:t xml:space="preserve">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政府采购评审中出现下列情形之一的，评审委员会应当启动异常低价投标审查程序：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（3）投标报价低于采购项目最高限价45%的，即投标报价&lt;采购项目最高限价×45%；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w:t>
      </w:r>
      <w:r>
        <w:rPr>
          <w:rFonts w:hint="eastAsia" w:ascii="宋体" w:hAnsi="宋体" w:eastAsia="宋体" w:cs="宋体"/>
          <w:bCs/>
          <w:color w:val="auto"/>
          <w:szCs w:val="21"/>
          <w:highlight w:val="none"/>
        </w:rPr>
        <w:t xml:space="preserve">将在</w:t>
      </w:r>
      <w:r>
        <w:rPr>
          <w:rFonts w:hint="eastAsia" w:ascii="宋体" w:hAnsi="宋体" w:eastAsia="宋体" w:cs="宋体"/>
          <w:bCs/>
          <w:color w:val="auto"/>
          <w:szCs w:val="21"/>
          <w:highlight w:val="none"/>
          <w:lang w:eastAsia="zh-CN"/>
        </w:rPr>
        <w:t xml:space="preserve">“扬州市政府采购网”、“江苏政府采购网”、“中国政府采购网”</w:t>
      </w:r>
      <w:r>
        <w:rPr>
          <w:rFonts w:hint="eastAsia" w:ascii="宋体" w:hAnsi="宋体" w:eastAsia="宋体" w:cs="宋体"/>
          <w:bCs/>
          <w:color w:val="auto"/>
          <w:szCs w:val="21"/>
          <w:highlight w:val="none"/>
        </w:rPr>
        <w:t xml:space="preserve">发</w:t>
      </w:r>
      <w:r>
        <w:rPr>
          <w:rFonts w:hint="eastAsia" w:ascii="宋体" w:hAnsi="宋体" w:cs="宋体"/>
          <w:bCs/>
          <w:color w:val="auto"/>
          <w:szCs w:val="21"/>
          <w:highlight w:val="none"/>
        </w:rPr>
        <w:t xml:space="preserve">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31、</w:t>
      </w:r>
      <w:r>
        <w:rPr>
          <w:rFonts w:hint="eastAsia" w:ascii="宋体" w:hAnsi="宋体" w:cs="宋体"/>
          <w:b/>
          <w:bCs w:val="0"/>
          <w:color w:val="auto"/>
          <w:szCs w:val="21"/>
          <w:highlight w:val="none"/>
        </w:rPr>
        <w:t xml:space="preserve">电子投标文件要求</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31.1</w:t>
      </w:r>
      <w:r>
        <w:rPr>
          <w:rFonts w:hint="eastAsia" w:ascii="宋体" w:hAnsi="宋体" w:cs="宋体"/>
          <w:b/>
          <w:bCs/>
          <w:color w:val="auto"/>
          <w:sz w:val="21"/>
          <w:szCs w:val="21"/>
          <w:highlight w:val="none"/>
          <w:lang w:eastAsia="zh-CN"/>
        </w:rPr>
        <w:t xml:space="preserve">政府采购管理交易系统（苏采云）</w:t>
      </w:r>
      <w:r>
        <w:rPr>
          <w:rFonts w:hint="eastAsia" w:ascii="宋体" w:hAnsi="宋体" w:cs="宋体"/>
          <w:b/>
          <w:bCs w:val="0"/>
          <w:color w:val="auto"/>
          <w:szCs w:val="21"/>
          <w:highlight w:val="none"/>
        </w:rPr>
        <w:t xml:space="preserve">相关要求是本招标文件的组成部分。</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31.2</w:t>
      </w:r>
      <w:r>
        <w:rPr>
          <w:rFonts w:hint="eastAsia" w:ascii="宋体" w:hAnsi="宋体" w:cs="宋体"/>
          <w:b/>
          <w:bCs w:val="0"/>
          <w:color w:val="auto"/>
          <w:szCs w:val="21"/>
          <w:highlight w:val="none"/>
        </w:rPr>
        <w:t xml:space="preserve">投标人应对 CA 证书妥善保管，如被他人盗用投标，因此带来的结果均由投标人自行承担。</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31.3</w:t>
      </w:r>
      <w:r>
        <w:rPr>
          <w:rFonts w:hint="eastAsia" w:ascii="宋体" w:hAnsi="宋体" w:cs="宋体"/>
          <w:b/>
          <w:bCs w:val="0"/>
          <w:color w:val="auto"/>
          <w:szCs w:val="21"/>
          <w:highlight w:val="none"/>
        </w:rPr>
        <w:t xml:space="preserve">投标人应当对招标文件提出的要求和条件作出实质性响应，并在电子投标系统逐条应答。</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31.4</w:t>
      </w:r>
      <w:r>
        <w:rPr>
          <w:rFonts w:hint="eastAsia" w:ascii="宋体" w:hAnsi="宋体" w:cs="宋体"/>
          <w:b/>
          <w:bCs w:val="0"/>
          <w:color w:val="auto"/>
          <w:szCs w:val="21"/>
          <w:highlight w:val="none"/>
        </w:rPr>
        <w:t xml:space="preserve">投标人应对要求提供的资格证明文件（如资质证书、资格证书）、技术资料（如白皮书、彩页、手册、检测报告等）扫描上传至投标系统。</w:t>
      </w:r>
      <w:r/>
    </w:p>
    <w:p>
      <w:pPr>
        <w:numPr>
          <w:ilvl w:val="0"/>
          <w:numId w:val="4"/>
        </w:num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提交投标文件的截止时间（投标截止时间）</w:t>
      </w:r>
      <w:r/>
    </w:p>
    <w:p>
      <w:p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color w:val="auto"/>
          <w:highlight w:val="none"/>
        </w:rPr>
      </w:pPr>
      <w:r>
        <w:rPr>
          <w:rFonts w:hint="eastAsia" w:ascii="宋体" w:hAnsi="宋体" w:cs="宋体"/>
          <w:b/>
          <w:bCs w:val="0"/>
          <w:color w:val="auto"/>
          <w:szCs w:val="21"/>
          <w:highlight w:val="none"/>
          <w:lang w:val="en-US" w:eastAsia="zh-CN"/>
        </w:rPr>
        <w:t xml:space="preserve">32.2各投标人应在规定时间内凭CA证书进行网上解密。</w:t>
      </w:r>
      <w:r/>
    </w:p>
    <w:p>
      <w:pPr>
        <w:ind w:firstLine="420"/>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3</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、其他</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 w:val="0"/>
          <w:bCs w:val="0"/>
          <w:color w:val="auto"/>
          <w:highlight w:val="none"/>
        </w:rPr>
        <w:t xml:space="preserve">3</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.1 </w:t>
      </w:r>
      <w:r>
        <w:rPr>
          <w:rFonts w:hint="eastAsia" w:ascii="宋体" w:hAnsi="宋体" w:cs="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687"/>
        <w:numPr>
          <w:ilvl w:val="0"/>
          <w:numId w:val="0"/>
        </w:numPr>
        <w:jc w:val="center"/>
        <w:spacing w:before="181" w:after="181"/>
        <w:rPr>
          <w:rFonts w:hint="eastAsia" w:ascii="宋体" w:hAnsi="宋体" w:eastAsia="宋体" w:cs="宋体"/>
          <w:color w:val="auto"/>
          <w:sz w:val="32"/>
          <w:highlight w:val="none"/>
        </w:rPr>
      </w:pPr>
      <w:r/>
      <w:bookmarkStart w:id="86" w:name="_Toc23543"/>
      <w:r/>
      <w:bookmarkStart w:id="87" w:name="_Toc1065"/>
      <w:r/>
      <w:bookmarkStart w:id="88" w:name="_Toc29202"/>
      <w:r/>
      <w:bookmarkStart w:id="89" w:name="_Toc12037"/>
      <w:r/>
      <w:bookmarkStart w:id="90" w:name="_Toc1983571"/>
      <w:r/>
      <w:bookmarkStart w:id="91" w:name="_Toc497133093"/>
      <w:r>
        <w:rPr>
          <w:rFonts w:hint="eastAsia" w:ascii="宋体" w:hAnsi="宋体" w:eastAsia="宋体" w:cs="宋体"/>
          <w:color w:val="auto"/>
          <w:sz w:val="32"/>
          <w:highlight w:val="none"/>
        </w:rPr>
        <w:t xml:space="preserve">第三章  合同条款及格式</w:t>
      </w:r>
      <w:bookmarkEnd w:id="86"/>
      <w:r/>
      <w:bookmarkEnd w:id="87"/>
      <w:r/>
      <w:bookmarkEnd w:id="88"/>
      <w:r/>
      <w:bookmarkEnd w:id="89"/>
      <w:r/>
      <w:bookmarkEnd w:id="90"/>
      <w:r/>
      <w:r/>
    </w:p>
    <w:p>
      <w:pPr>
        <w:pStyle w:val="711"/>
        <w:ind w:firstLine="420"/>
        <w:spacing w:line="360" w:lineRule="auto"/>
        <w:rPr>
          <w:rFonts w:hint="eastAsia" w:hAnsi="宋体" w:cs="宋体"/>
          <w:color w:val="auto"/>
          <w:sz w:val="21"/>
          <w:highlight w:val="none"/>
        </w:rPr>
      </w:pPr>
      <w:r/>
      <w:bookmarkStart w:id="92" w:name="_Hlt16619369"/>
      <w:r/>
      <w:bookmarkEnd w:id="92"/>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711"/>
        <w:rPr>
          <w:rFonts w:hint="eastAsia" w:hAnsi="宋体" w:cs="宋体"/>
          <w:color w:val="auto"/>
          <w:highlight w:val="none"/>
        </w:rPr>
      </w:pPr>
      <w:r>
        <w:rPr>
          <w:rFonts w:hint="eastAsia" w:hAnsi="宋体" w:cs="宋体"/>
          <w:color w:val="auto"/>
          <w:highlight w:val="none"/>
        </w:rPr>
      </w:r>
      <w:r/>
    </w:p>
    <w:p>
      <w:pPr>
        <w:pStyle w:val="933"/>
        <w:ind w:firstLine="422"/>
        <w:jc w:val="center"/>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w:t>
      </w:r>
      <w:r/>
    </w:p>
    <w:p>
      <w:pPr>
        <w:pStyle w:val="933"/>
        <w:ind w:firstLine="42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lang w:eastAsia="zh-CN"/>
        </w:rPr>
        <w:t xml:space="preserve">扬州市食品药品检验检测中心检验仪器设备采购项目</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项目编号：</w:t>
      </w:r>
      <w:r>
        <w:rPr>
          <w:rFonts w:hint="eastAsia" w:ascii="宋体" w:hAnsi="宋体" w:eastAsia="宋体" w:cs="宋体"/>
          <w:color w:val="auto"/>
          <w:sz w:val="21"/>
          <w:highlight w:val="none"/>
          <w:lang w:val="en-US" w:eastAsia="zh-CN"/>
        </w:rPr>
        <w:t xml:space="preserve">JSZC-321000-SDTZ-G2026-0014</w:t>
      </w:r>
      <w:r>
        <w:rPr>
          <w:rFonts w:hint="eastAsia" w:ascii="宋体" w:hAnsi="宋体" w:eastAsia="宋体" w:cs="宋体"/>
          <w:color w:val="auto"/>
          <w:sz w:val="21"/>
          <w:highlight w:val="none"/>
        </w:rPr>
        <w:t xml:space="preserve">号</w:t>
      </w:r>
      <w:r/>
    </w:p>
    <w:p>
      <w:pPr>
        <w:pStyle w:val="933"/>
        <w:ind w:firstLine="42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ascii="宋体" w:hAnsi="宋体" w:eastAsia="宋体" w:cs="宋体"/>
          <w:color w:val="auto"/>
          <w:sz w:val="21"/>
          <w:highlight w:val="none"/>
          <w:lang w:eastAsia="zh-CN"/>
        </w:rPr>
        <w:t xml:space="preserve">扬州市食品药品检验检测中心</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乙方：（卖方）_________</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ascii="宋体" w:hAnsi="宋体" w:eastAsia="宋体" w:cs="宋体"/>
          <w:color w:val="auto"/>
          <w:sz w:val="21"/>
          <w:highlight w:val="none"/>
          <w:lang w:eastAsia="zh-CN"/>
        </w:rPr>
        <w:t xml:space="preserve">江苏时代投资咨询有限公司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w:t>
      </w:r>
      <w:r>
        <w:rPr>
          <w:rFonts w:hint="eastAsia" w:hAnsi="宋体" w:cs="宋体"/>
          <w:color w:val="auto"/>
          <w:sz w:val="21"/>
          <w:highlight w:val="none"/>
          <w:lang w:val="en-US" w:eastAsia="zh-CN"/>
        </w:rPr>
        <w:t xml:space="preserve">采购</w:t>
      </w:r>
      <w:r>
        <w:rPr>
          <w:rFonts w:hint="eastAsia" w:ascii="宋体" w:hAnsi="宋体" w:eastAsia="宋体" w:cs="宋体"/>
          <w:color w:val="auto"/>
          <w:sz w:val="21"/>
          <w:highlight w:val="none"/>
        </w:rPr>
        <w:t xml:space="preserve">的结果，签署本合同。</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乙方所供的医用设备品规，数量及价款，为其在甲方采购项目中的中标产品，为最终结算价格，包括安装、调试正常运行、验收合格后的价格（含保修费、零备件和运杂费、保险费、安装费、验收费、人员培训费、关税及进口环节增值税等所有税费及其它一切费用），质保期内免费提供维修备件，质保期外以优惠价格供应备件。详见下表：</w:t>
      </w:r>
      <w:r/>
    </w:p>
    <w:tbl>
      <w:tblPr>
        <w:tblStyle w:val="697"/>
        <w:tblW w:w="52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195"/>
        <w:gridCol w:w="1199"/>
        <w:gridCol w:w="1199"/>
        <w:gridCol w:w="1195"/>
        <w:gridCol w:w="1199"/>
        <w:gridCol w:w="1199"/>
        <w:gridCol w:w="1213"/>
      </w:tblGrid>
      <w:tr>
        <w:trPr>
          <w:cantSplit/>
          <w:jc w:val="center"/>
          <w:trHeight w:val="820"/>
        </w:trPr>
        <w:tc>
          <w:tcPr>
            <w:tcW w:w="27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67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商标品牌</w:t>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7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及单位</w:t>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67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r>
      <w:tr>
        <w:trPr>
          <w:cantSplit/>
          <w:jc w:val="center"/>
          <w:trHeight w:val="465"/>
        </w:trPr>
        <w:tc>
          <w:tcPr>
            <w:tcW w:w="27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67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2"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tcW w:w="27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7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2"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7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gridSpan w:val="8"/>
            <w:tcW w:w="5000"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人民币合计金额（大写）</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r/>
          </w:p>
        </w:tc>
      </w:tr>
    </w:tbl>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乙方应按招标文件规定的时间向甲方提供使用货物及服务的有关技术资料。</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乙方保证所交付的货物及服务的所有权完全属于乙方且无任何抵押、查封等产权瑕疵。</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3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lang w:eastAsia="zh-CN"/>
        </w:rPr>
        <w:t xml:space="preserve">。</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超高效液相色谱仪</w:t>
      </w:r>
      <w:r>
        <w:rPr>
          <w:rFonts w:hint="eastAsia" w:ascii="宋体" w:hAnsi="宋体" w:cs="宋体"/>
          <w:color w:val="auto"/>
          <w:highlight w:val="none"/>
        </w:rPr>
        <w:t xml:space="preserve">质保期    年。（自交货验收合格之日起</w:t>
      </w:r>
      <w:r>
        <w:rPr>
          <w:rFonts w:hint="eastAsia" w:ascii="宋体" w:hAnsi="宋体" w:cs="宋体"/>
          <w:color w:val="auto"/>
          <w:highlight w:val="none"/>
          <w:lang w:eastAsia="zh-CN"/>
        </w:rPr>
        <w:t xml:space="preserve">计算</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液相色谱仪</w:t>
      </w:r>
      <w:r>
        <w:rPr>
          <w:rFonts w:hint="eastAsia" w:ascii="宋体" w:hAnsi="宋体" w:cs="宋体"/>
          <w:color w:val="auto"/>
          <w:highlight w:val="none"/>
        </w:rPr>
        <w:t xml:space="preserve">质保期    年。（自交货验收合格之日起</w:t>
      </w:r>
      <w:r>
        <w:rPr>
          <w:rFonts w:hint="eastAsia" w:ascii="宋体" w:hAnsi="宋体" w:cs="宋体"/>
          <w:color w:val="auto"/>
          <w:highlight w:val="none"/>
          <w:lang w:eastAsia="zh-CN"/>
        </w:rPr>
        <w:t xml:space="preserve">计算</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pStyle w:val="933"/>
        <w:ind w:firstLine="420"/>
        <w:spacing w:line="360" w:lineRule="auto"/>
        <w:rPr>
          <w:rFonts w:hint="eastAsia" w:hAnsi="宋体" w:cs="宋体"/>
          <w:color w:val="auto"/>
          <w:sz w:val="21"/>
          <w:highlight w:val="none"/>
          <w:u w:val="single"/>
          <w:lang w:eastAsia="zh-CN"/>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rPr>
        <w:t xml:space="preserve">合同签订后60日内送达指定地点</w:t>
      </w:r>
      <w:r>
        <w:rPr>
          <w:rFonts w:hint="eastAsia" w:hAnsi="宋体" w:cs="宋体"/>
          <w:color w:val="auto"/>
          <w:sz w:val="21"/>
          <w:highlight w:val="none"/>
          <w:u w:val="single"/>
          <w:lang w:eastAsia="zh-CN"/>
        </w:rPr>
        <w:t xml:space="preserve">。</w:t>
      </w:r>
      <w:r/>
    </w:p>
    <w:p>
      <w:pPr>
        <w:pStyle w:val="933"/>
        <w:ind w:firstLine="420"/>
        <w:spacing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9.2 交付方式：</w:t>
      </w:r>
      <w:r>
        <w:rPr>
          <w:rFonts w:hint="eastAsia" w:hAnsi="宋体" w:cs="宋体"/>
          <w:color w:val="auto"/>
          <w:sz w:val="21"/>
          <w:highlight w:val="none"/>
          <w:u w:val="single"/>
          <w:lang w:eastAsia="zh-CN"/>
        </w:rPr>
        <w:t xml:space="preserve">乙方</w:t>
      </w:r>
      <w:r>
        <w:rPr>
          <w:rFonts w:hint="eastAsia" w:ascii="宋体" w:hAnsi="宋体" w:eastAsia="宋体" w:cs="宋体"/>
          <w:color w:val="auto"/>
          <w:sz w:val="21"/>
          <w:highlight w:val="none"/>
          <w:u w:val="single"/>
        </w:rPr>
        <w:t xml:space="preserve">负责运输和装卸、安装调试等，费用由</w:t>
      </w:r>
      <w:r>
        <w:rPr>
          <w:rFonts w:hint="eastAsia" w:hAnsi="宋体" w:cs="宋体"/>
          <w:color w:val="auto"/>
          <w:sz w:val="21"/>
          <w:highlight w:val="none"/>
          <w:u w:val="single"/>
          <w:lang w:val="en-US" w:eastAsia="zh-CN"/>
        </w:rPr>
        <w:t xml:space="preserve">乙方</w:t>
      </w:r>
      <w:r>
        <w:rPr>
          <w:rFonts w:hint="eastAsia" w:ascii="宋体" w:hAnsi="宋体" w:eastAsia="宋体" w:cs="宋体"/>
          <w:color w:val="auto"/>
          <w:sz w:val="21"/>
          <w:highlight w:val="none"/>
          <w:u w:val="single"/>
        </w:rPr>
        <w:t xml:space="preserve">负责，由</w:t>
      </w:r>
      <w:r>
        <w:rPr>
          <w:rFonts w:hint="eastAsia" w:ascii="宋体" w:hAnsi="宋体" w:eastAsia="宋体" w:cs="宋体"/>
          <w:color w:val="auto"/>
          <w:sz w:val="21"/>
          <w:highlight w:val="none"/>
          <w:u w:val="single"/>
          <w:lang w:val="en-US" w:eastAsia="zh-CN"/>
        </w:rPr>
        <w:t xml:space="preserve">甲方</w:t>
      </w:r>
      <w:r>
        <w:rPr>
          <w:rFonts w:hint="eastAsia" w:ascii="宋体" w:hAnsi="宋体" w:eastAsia="宋体" w:cs="宋体"/>
          <w:color w:val="auto"/>
          <w:sz w:val="21"/>
          <w:highlight w:val="none"/>
          <w:u w:val="single"/>
        </w:rPr>
        <w:t xml:space="preserve">组织验收，检验不合格或不符合质量要求，</w:t>
      </w:r>
      <w:r>
        <w:rPr>
          <w:rFonts w:hint="eastAsia" w:ascii="宋体" w:hAnsi="宋体" w:eastAsia="宋体" w:cs="宋体"/>
          <w:color w:val="auto"/>
          <w:sz w:val="21"/>
          <w:highlight w:val="none"/>
          <w:u w:val="single"/>
          <w:lang w:val="en-US" w:eastAsia="zh-CN"/>
        </w:rPr>
        <w:t xml:space="preserve">乙方</w:t>
      </w:r>
      <w:r>
        <w:rPr>
          <w:rFonts w:hint="eastAsia" w:ascii="宋体" w:hAnsi="宋体" w:eastAsia="宋体" w:cs="宋体"/>
          <w:color w:val="auto"/>
          <w:sz w:val="21"/>
          <w:highlight w:val="none"/>
          <w:u w:val="single"/>
        </w:rPr>
        <w:t xml:space="preserve">除无条件退货、返工外，还应承担</w:t>
      </w:r>
      <w:r>
        <w:rPr>
          <w:rFonts w:hint="eastAsia" w:ascii="宋体" w:hAnsi="宋体" w:eastAsia="宋体" w:cs="宋体"/>
          <w:color w:val="auto"/>
          <w:sz w:val="21"/>
          <w:highlight w:val="none"/>
          <w:u w:val="single"/>
          <w:lang w:val="en-US" w:eastAsia="zh-CN"/>
        </w:rPr>
        <w:t xml:space="preserve">甲方</w:t>
      </w:r>
      <w:r>
        <w:rPr>
          <w:rFonts w:hint="eastAsia" w:ascii="宋体" w:hAnsi="宋体" w:eastAsia="宋体" w:cs="宋体"/>
          <w:color w:val="auto"/>
          <w:sz w:val="21"/>
          <w:highlight w:val="none"/>
          <w:u w:val="single"/>
        </w:rPr>
        <w:t xml:space="preserve">的一切损失。</w:t>
      </w:r>
      <w:r/>
    </w:p>
    <w:p>
      <w:pPr>
        <w:pStyle w:val="933"/>
        <w:ind w:firstLine="420"/>
        <w:spacing w:line="360" w:lineRule="auto"/>
        <w:rPr>
          <w:rFonts w:hint="eastAsia" w:hAnsi="宋体" w:cs="宋体"/>
          <w:color w:val="auto"/>
          <w:sz w:val="21"/>
          <w:highlight w:val="none"/>
          <w:u w:val="single"/>
          <w:lang w:eastAsia="zh-CN"/>
        </w:rPr>
      </w:pPr>
      <w:r>
        <w:rPr>
          <w:rFonts w:hint="eastAsia" w:ascii="宋体" w:hAnsi="宋体" w:eastAsia="宋体" w:cs="宋体"/>
          <w:color w:val="auto"/>
          <w:sz w:val="21"/>
          <w:highlight w:val="none"/>
        </w:rPr>
        <w:t xml:space="preserve">9.3 交付地点：</w:t>
      </w:r>
      <w:r>
        <w:rPr>
          <w:rFonts w:hint="eastAsia" w:ascii="宋体" w:hAnsi="宋体" w:eastAsia="宋体" w:cs="宋体"/>
          <w:color w:val="auto"/>
          <w:sz w:val="21"/>
          <w:highlight w:val="none"/>
          <w:u w:val="single"/>
        </w:rPr>
        <w:t xml:space="preserve">甲方指定地点</w:t>
      </w:r>
      <w:r>
        <w:rPr>
          <w:rFonts w:hint="eastAsia" w:hAnsi="宋体" w:cs="宋体"/>
          <w:color w:val="auto"/>
          <w:sz w:val="21"/>
          <w:highlight w:val="none"/>
          <w:u w:val="single"/>
          <w:lang w:eastAsia="zh-CN"/>
        </w:rPr>
        <w:t xml:space="preserve">。</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2"/>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合同签订后，乙方向甲方开具发票，甲方自收到发票之日起10个工作日内支付合同总价40%的预付款；项目完成安装调试、试运行经验收合格后，乙方向甲方开具发票，甲方自收到发票之日起10个工作日内支付合同剩余价款。</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本合同执行中相关的一切税费均由乙方负担。</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hAnsi="宋体" w:cs="宋体"/>
          <w:color w:val="auto"/>
          <w:sz w:val="21"/>
          <w:highlight w:val="none"/>
          <w:u w:val="single"/>
          <w:lang w:val="en-US" w:eastAsia="zh-CN"/>
        </w:rPr>
        <w:t xml:space="preserve">24</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13.4 对技术复杂的货物及服务，甲方可请国家认可的专业检测机构参与初步验收及最终验收，并由其出具质量检测报告。</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13.5 验收时乙方必须在现场，验收完毕后作出验收结果报告；验收费用由甲乙双方协商解决。</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w:t>
      </w:r>
      <w:r>
        <w:rPr>
          <w:rFonts w:hint="eastAsia" w:ascii="宋体" w:hAnsi="宋体" w:eastAsia="宋体" w:cs="宋体"/>
          <w:b/>
          <w:bCs/>
          <w:color w:val="auto"/>
          <w:sz w:val="21"/>
          <w:highlight w:val="none"/>
          <w:lang w:val="en-US" w:eastAsia="zh-CN"/>
        </w:rPr>
        <w:t xml:space="preserve">项目验收</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.1 甲方依法组织履约验收工作。</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.3 对于实际使用人和甲方分离的项目，甲方邀请实际使用人参与验收。</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.6 验收合格的项目，甲方根据采购合同的约定及时向乙方支付合同款项。验收不合格的项目，甲方依法及时处理。采购合同的履行、违约责任和解决争议的方式等适用《</w:t>
      </w:r>
      <w:r>
        <w:rPr>
          <w:rFonts w:hint="eastAsia" w:hAnsi="宋体" w:cs="宋体"/>
          <w:color w:val="auto"/>
          <w:sz w:val="21"/>
          <w:highlight w:val="none"/>
          <w:lang w:val="en-US" w:eastAsia="zh-CN"/>
        </w:rPr>
        <w:t xml:space="preserve">中华人民共和国</w:t>
      </w:r>
      <w:r>
        <w:rPr>
          <w:rFonts w:hint="eastAsia" w:ascii="宋体" w:hAnsi="宋体" w:eastAsia="宋体" w:cs="宋体"/>
          <w:color w:val="auto"/>
          <w:sz w:val="21"/>
          <w:highlight w:val="none"/>
        </w:rPr>
        <w:t xml:space="preserve">民法典》。乙方在履约过程中有政府采购法律法规规定的违法违规情形的，甲方将及时报告本级财政部门。</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pStyle w:val="933"/>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合同经双方法定代表人签章并加盖单位公章后生效。</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3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本合同正本一式四份，具有同等法律效力，甲方、乙方各执</w:t>
      </w:r>
      <w:r>
        <w:rPr>
          <w:rFonts w:hint="eastAsia" w:ascii="宋体" w:hAnsi="宋体" w:eastAsia="宋体" w:cs="宋体"/>
          <w:color w:val="auto"/>
          <w:sz w:val="21"/>
          <w:highlight w:val="none"/>
          <w:lang w:val="en-US" w:eastAsia="zh-CN"/>
        </w:rPr>
        <w:t xml:space="preserve">两</w:t>
      </w:r>
      <w:r>
        <w:rPr>
          <w:rFonts w:hint="eastAsia" w:ascii="宋体" w:hAnsi="宋体" w:eastAsia="宋体" w:cs="宋体"/>
          <w:color w:val="auto"/>
          <w:sz w:val="21"/>
          <w:highlight w:val="none"/>
        </w:rPr>
        <w:t xml:space="preserve">份。</w:t>
      </w:r>
      <w:r/>
    </w:p>
    <w:tbl>
      <w:tblPr>
        <w:tblStyle w:val="697"/>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3"/>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w:t>
            </w:r>
            <w:r>
              <w:rPr>
                <w:rFonts w:hint="eastAsia" w:ascii="宋体" w:hAnsi="宋体" w:eastAsia="宋体" w:cs="宋体"/>
                <w:color w:val="auto"/>
                <w:sz w:val="21"/>
                <w:highlight w:val="none"/>
                <w:lang w:eastAsia="zh-CN"/>
              </w:rPr>
              <w:t xml:space="preserve">扬州市食品药品检验检测中心</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3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年    月    日</w:t>
            </w:r>
            <w:r/>
          </w:p>
        </w:tc>
      </w:tr>
    </w:tbl>
    <w:p>
      <w:pPr>
        <w:rPr>
          <w:rFonts w:hint="eastAsia" w:ascii="宋体" w:hAnsi="宋体" w:cs="宋体"/>
          <w:color w:val="auto"/>
          <w:sz w:val="36"/>
          <w:highlight w:val="none"/>
        </w:rPr>
      </w:pPr>
      <w:r>
        <w:rPr>
          <w:rFonts w:hint="eastAsia" w:ascii="宋体" w:hAnsi="宋体" w:cs="宋体"/>
          <w:color w:val="auto"/>
          <w:sz w:val="36"/>
          <w:highlight w:val="none"/>
          <w:lang w:val="en-US" w:eastAsia="zh-CN"/>
        </w:rPr>
        <w:br w:type="page" w:clear="all"/>
      </w:r>
      <w:r/>
    </w:p>
    <w:p>
      <w:pPr>
        <w:pStyle w:val="687"/>
        <w:numPr>
          <w:ilvl w:val="-1"/>
          <w:numId w:val="0"/>
        </w:numPr>
        <w:jc w:val="center"/>
        <w:spacing w:before="181" w:after="18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第四章 </w:t>
      </w:r>
      <w:r>
        <w:rPr>
          <w:rFonts w:hint="eastAsia" w:ascii="宋体" w:hAnsi="宋体" w:eastAsia="宋体" w:cs="宋体"/>
          <w:color w:val="auto"/>
          <w:highlight w:val="none"/>
        </w:rPr>
        <w:t xml:space="preserve"> </w:t>
      </w:r>
      <w:bookmarkStart w:id="93" w:name="_Toc8260"/>
      <w:r/>
      <w:bookmarkStart w:id="94" w:name="_Toc25662"/>
      <w:r/>
      <w:bookmarkStart w:id="95" w:name="_Toc32480"/>
      <w:r/>
      <w:bookmarkStart w:id="96" w:name="_Toc31579"/>
      <w:r>
        <w:rPr>
          <w:rFonts w:hint="eastAsia" w:ascii="宋体" w:hAnsi="宋体" w:eastAsia="宋体" w:cs="宋体"/>
          <w:color w:val="auto"/>
          <w:highlight w:val="none"/>
        </w:rPr>
        <w:t xml:space="preserve">项目需求</w:t>
      </w:r>
      <w:bookmarkEnd w:id="91"/>
      <w:r/>
      <w:bookmarkEnd w:id="93"/>
      <w:r/>
      <w:bookmarkEnd w:id="94"/>
      <w:r/>
      <w:bookmarkEnd w:id="95"/>
      <w:r/>
      <w:bookmarkEnd w:id="96"/>
      <w:r/>
      <w:bookmarkStart w:id="97" w:name="_Toc497133122"/>
      <w:r/>
      <w:bookmarkEnd w:id="97"/>
      <w:r/>
    </w:p>
    <w:p>
      <w:pPr>
        <w:ind w:firstLine="422"/>
        <w:spacing w:line="360" w:lineRule="auto"/>
        <w:rPr>
          <w:rFonts w:hint="eastAsia" w:ascii="宋体" w:hAnsi="宋体" w:cs="宋体"/>
          <w:b/>
          <w:bCs/>
          <w:color w:val="auto"/>
          <w:highlight w:val="none"/>
        </w:rPr>
      </w:pPr>
      <w:r/>
      <w:bookmarkStart w:id="98" w:name="_Toc319408306"/>
      <w:r>
        <w:rPr>
          <w:rFonts w:hint="eastAsia" w:ascii="宋体" w:hAnsi="宋体" w:cs="宋体"/>
          <w:b/>
          <w:bCs/>
          <w:color w:val="auto"/>
          <w:highlight w:val="none"/>
        </w:rPr>
        <w:t xml:space="preserve">注：本章内容</w:t>
      </w:r>
      <w:r>
        <w:rPr>
          <w:rFonts w:hint="eastAsia" w:ascii="宋体" w:hAnsi="宋体" w:cs="宋体"/>
          <w:b/>
          <w:bCs/>
          <w:color w:val="auto"/>
          <w:highlight w:val="none"/>
          <w:lang w:eastAsia="zh-CN"/>
        </w:rPr>
        <w:t xml:space="preserve">中</w:t>
      </w:r>
      <w:r>
        <w:rPr>
          <w:rFonts w:hint="eastAsia" w:ascii="宋体" w:hAnsi="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contextualSpacing/>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项目属性：货物类项目</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核心产品：</w:t>
      </w:r>
      <w:r>
        <w:rPr>
          <w:rFonts w:hint="eastAsia"/>
          <w:b/>
          <w:bCs/>
          <w:color w:val="auto"/>
          <w:highlight w:val="none"/>
        </w:rPr>
        <w:t xml:space="preserve">超高效液相色谱仪</w:t>
      </w:r>
      <w:r/>
    </w:p>
    <w:p>
      <w:pPr>
        <w:pStyle w:val="73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一、设备清单</w:t>
      </w:r>
      <w:bookmarkEnd w:id="98"/>
      <w:r/>
    </w:p>
    <w:tbl>
      <w:tblPr>
        <w:tblStyle w:val="7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52"/>
        <w:gridCol w:w="3289"/>
        <w:gridCol w:w="1280"/>
        <w:gridCol w:w="1109"/>
      </w:tblGrid>
      <w:tr>
        <w:trPr>
          <w:trHeight w:val="997"/>
        </w:trPr>
        <w:tc>
          <w:tcPr>
            <w:tcW w:w="463"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204"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设备名称</w:t>
            </w:r>
            <w:r/>
          </w:p>
        </w:tc>
        <w:tc>
          <w:tcPr>
            <w:tcW w:w="1930"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主要技术指标</w:t>
            </w:r>
            <w:r/>
          </w:p>
        </w:tc>
        <w:tc>
          <w:tcPr>
            <w:tcW w:w="751"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数量</w:t>
            </w:r>
            <w:r/>
          </w:p>
        </w:tc>
        <w:tc>
          <w:tcPr>
            <w:tcW w:w="650" w:type="pct"/>
            <w:vAlign w:val="center"/>
            <w:textDirection w:val="lrTb"/>
            <w:noWrap w:val="false"/>
          </w:tcPr>
          <w:p>
            <w:pPr>
              <w:jc w:val="center"/>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r>
      <w:tr>
        <w:trPr>
          <w:trHeight w:val="817"/>
        </w:trPr>
        <w:tc>
          <w:tcPr>
            <w:tcW w:w="463" w:type="pct"/>
            <w:vAlign w:val="center"/>
            <w:textDirection w:val="lrTb"/>
            <w:noWrap w:val="false"/>
          </w:tcPr>
          <w:p>
            <w:pPr>
              <w:pStyle w:val="899"/>
              <w:ind w:firstLine="0"/>
              <w:jc w:val="center"/>
              <w:keepLines w:val="0"/>
              <w:keepNext w:val="0"/>
              <w:pageBreakBefore w:val="0"/>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w:t>
            </w:r>
            <w:r/>
          </w:p>
        </w:tc>
        <w:tc>
          <w:tcPr>
            <w:tcW w:w="1204" w:type="pct"/>
            <w:vAlign w:val="center"/>
            <w:textDirection w:val="lrTb"/>
            <w:noWrap w:val="false"/>
          </w:tcPr>
          <w:p>
            <w:pPr>
              <w:jc w:val="center"/>
              <w:rPr>
                <w:rFonts w:hint="eastAsia"/>
                <w:color w:val="auto"/>
                <w:highlight w:val="none"/>
              </w:rPr>
            </w:pPr>
            <w:r>
              <w:rPr>
                <w:rFonts w:hint="eastAsia"/>
                <w:color w:val="auto"/>
                <w:highlight w:val="none"/>
              </w:rPr>
              <w:t xml:space="preserve">超高效液相色谱仪（核心产品）</w:t>
            </w:r>
            <w:r/>
          </w:p>
        </w:tc>
        <w:tc>
          <w:tcPr>
            <w:tcW w:w="1930" w:type="pct"/>
            <w:vAlign w:val="center"/>
            <w:textDirection w:val="lrTb"/>
            <w:noWrap w:val="false"/>
          </w:tcPr>
          <w:p>
            <w:pPr>
              <w:pStyle w:val="899"/>
              <w:ind w:firstLine="0"/>
              <w:jc w:val="center"/>
              <w:keepLines w:val="0"/>
              <w:keepNext w:val="0"/>
              <w:pageBreakBefore w:val="0"/>
              <w:spacing w:line="360" w:lineRule="auto"/>
              <w:rPr>
                <w:rFonts w:hAnsi="宋体" w:cs="宋体"/>
                <w:color w:val="auto"/>
                <w:szCs w:val="21"/>
                <w:highlight w:val="none"/>
              </w:rPr>
            </w:pPr>
            <w:r>
              <w:rPr>
                <w:rFonts w:hint="eastAsia" w:hAnsi="宋体" w:cs="宋体"/>
                <w:color w:val="auto"/>
                <w:szCs w:val="21"/>
                <w:highlight w:val="none"/>
              </w:rPr>
              <w:t xml:space="preserve">见：技术参数及配置要求</w:t>
            </w:r>
            <w:r/>
          </w:p>
        </w:tc>
        <w:tc>
          <w:tcPr>
            <w:tcW w:w="751"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50"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套</w:t>
            </w:r>
            <w:r/>
          </w:p>
        </w:tc>
      </w:tr>
      <w:tr>
        <w:trPr>
          <w:trHeight w:val="817"/>
        </w:trPr>
        <w:tc>
          <w:tcPr>
            <w:tcW w:w="463" w:type="pct"/>
            <w:vAlign w:val="center"/>
            <w:textDirection w:val="lrTb"/>
            <w:noWrap w:val="false"/>
          </w:tcPr>
          <w:p>
            <w:pPr>
              <w:pStyle w:val="899"/>
              <w:ind w:firstLine="0"/>
              <w:jc w:val="center"/>
              <w:keepLines w:val="0"/>
              <w:keepNext w:val="0"/>
              <w:pageBreakBefore w:val="0"/>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w:t>
            </w:r>
            <w:r/>
          </w:p>
        </w:tc>
        <w:tc>
          <w:tcPr>
            <w:tcW w:w="1204" w:type="pct"/>
            <w:vAlign w:val="center"/>
            <w:textDirection w:val="lrTb"/>
            <w:noWrap w:val="false"/>
          </w:tcPr>
          <w:p>
            <w:pPr>
              <w:jc w:val="center"/>
              <w:rPr>
                <w:rFonts w:hint="eastAsia"/>
                <w:color w:val="auto"/>
                <w:highlight w:val="none"/>
              </w:rPr>
            </w:pPr>
            <w:r>
              <w:rPr>
                <w:rFonts w:hint="eastAsia"/>
                <w:color w:val="auto"/>
                <w:highlight w:val="none"/>
              </w:rPr>
              <w:t xml:space="preserve">液相色谱仪</w:t>
            </w:r>
            <w:r/>
          </w:p>
        </w:tc>
        <w:tc>
          <w:tcPr>
            <w:tcW w:w="1930" w:type="pct"/>
            <w:vAlign w:val="center"/>
            <w:textDirection w:val="lrTb"/>
            <w:noWrap w:val="false"/>
          </w:tcPr>
          <w:p>
            <w:pPr>
              <w:pStyle w:val="899"/>
              <w:ind w:firstLine="0"/>
              <w:jc w:val="center"/>
              <w:keepLines w:val="0"/>
              <w:keepNext w:val="0"/>
              <w:pageBreakBefore w:val="0"/>
              <w:spacing w:line="360" w:lineRule="auto"/>
              <w:rPr>
                <w:rFonts w:hAnsi="宋体" w:cs="宋体"/>
                <w:color w:val="auto"/>
                <w:szCs w:val="21"/>
                <w:highlight w:val="none"/>
              </w:rPr>
            </w:pPr>
            <w:r>
              <w:rPr>
                <w:rFonts w:hint="eastAsia" w:hAnsi="宋体" w:cs="宋体"/>
                <w:color w:val="auto"/>
                <w:szCs w:val="21"/>
                <w:highlight w:val="none"/>
              </w:rPr>
              <w:t xml:space="preserve">见：技术参数及配置要求</w:t>
            </w:r>
            <w:r/>
          </w:p>
        </w:tc>
        <w:tc>
          <w:tcPr>
            <w:tcW w:w="751"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50"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套</w:t>
            </w:r>
            <w:r/>
          </w:p>
        </w:tc>
      </w:tr>
    </w:tbl>
    <w:p>
      <w:pPr>
        <w:pStyle w:val="899"/>
        <w:numPr>
          <w:ilvl w:val="0"/>
          <w:numId w:val="0"/>
        </w:numPr>
        <w:ind w:firstLine="422"/>
        <w:jc w:val="left"/>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技术参数及配置要求</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（一）超高效液相色谱仪</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高压输液泵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1.1泵类型：二元高压梯度泵，泵头后高压混合，内置溶剂脱气模块，支持流动相压缩性自动补偿技术</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 xml:space="preserve">★1.2系统最高泵压：≥1000 bar（15000 psi）</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zh-CN"/>
        </w:rPr>
        <w:t xml:space="preserve">▲</w:t>
      </w:r>
      <w:r>
        <w:rPr>
          <w:rFonts w:hint="eastAsia" w:ascii="宋体" w:hAnsi="宋体" w:eastAsia="宋体" w:cs="宋体"/>
          <w:color w:val="auto"/>
          <w:szCs w:val="21"/>
          <w:highlight w:val="none"/>
        </w:rPr>
        <w:t xml:space="preserve">1.3流速范围：0.001～8 mL/min，流速增量 1 μL/min；流量准确度≤±0.1%；流量精密度＜0.07% RSD</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1.4pH耐受范围：2～12，兼容高盐流动相，全流路生物兼容材质</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1.5溶剂通道数目：≥4</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2</w:t>
      </w:r>
      <w:r>
        <w:rPr>
          <w:rFonts w:hint="eastAsia" w:ascii="宋体" w:hAnsi="宋体" w:eastAsia="宋体" w:cs="宋体"/>
          <w:b/>
          <w:bCs/>
          <w:color w:val="auto"/>
          <w:szCs w:val="21"/>
          <w:highlight w:val="none"/>
        </w:rPr>
        <w:t xml:space="preserve">、自动进样器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2.1进样方式：可支持预压缩，消除压力波动，保护色谱柱，提升进样重复性</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 xml:space="preserve">★2.2进样体积：0.1～100 μL（配置100μL loop进样选项），满足 1～100 μL 工作区间</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zh-CN"/>
        </w:rPr>
        <w:t xml:space="preserve">▲</w:t>
      </w:r>
      <w:r>
        <w:rPr>
          <w:rFonts w:hint="eastAsia" w:ascii="宋体" w:hAnsi="宋体" w:eastAsia="宋体" w:cs="宋体"/>
          <w:color w:val="auto"/>
          <w:szCs w:val="21"/>
          <w:highlight w:val="none"/>
        </w:rPr>
        <w:t xml:space="preserve">2.3样品盘控温冷却：温控范围 4～40 ℃，温度精度 0.1 ℃；具备样品冷藏功能，防止样品降解</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2.4样品容量：至少2个瓶架，每个瓶架至少容纳54个外径12mm、≤1.5mL的样品瓶，还可增加12个外径22.5mm、≤10mL的样品瓶</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2.5pH耐受范围：2～12，兼容高盐流动相，全流路生物兼容材质</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2.6进样线性：r&gt;0.9999</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2.7系统最高泵压：≥1000 bar（15000 psi）</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2.8交叉污染：≤0.0009%</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3</w:t>
      </w:r>
      <w:r>
        <w:rPr>
          <w:rFonts w:hint="eastAsia" w:ascii="宋体" w:hAnsi="宋体" w:eastAsia="宋体" w:cs="宋体"/>
          <w:b/>
          <w:bCs/>
          <w:color w:val="auto"/>
          <w:szCs w:val="21"/>
          <w:highlight w:val="none"/>
        </w:rPr>
        <w:t xml:space="preserve">、柱温箱</w:t>
      </w:r>
      <w:r/>
    </w:p>
    <w:p>
      <w:pPr>
        <w:ind w:firstLine="422"/>
        <w:spacing w:line="360" w:lineRule="auto"/>
        <w:rPr>
          <w:rFonts w:hint="eastAsia" w:ascii="宋体" w:hAnsi="宋体" w:eastAsia="宋体" w:cs="宋体"/>
          <w:b w:val="0"/>
          <w:bCs w:val="0"/>
          <w:i w:val="0"/>
          <w:iCs w:val="0"/>
          <w:color w:val="auto"/>
          <w:szCs w:val="21"/>
          <w:highlight w:val="none"/>
          <w:u w:val="none"/>
        </w:rPr>
      </w:pPr>
      <w:r>
        <w:rPr>
          <w:rFonts w:hint="eastAsia" w:ascii="Times New Roman" w:hAnsi="Times New Roman" w:cs="宋体"/>
          <w:b/>
          <w:bCs/>
          <w:i w:val="0"/>
          <w:iCs w:val="0"/>
          <w:color w:val="auto"/>
          <w:szCs w:val="21"/>
          <w:highlight w:val="none"/>
          <w:u w:val="none"/>
          <w:lang w:val="zh-CN"/>
        </w:rPr>
        <w:t xml:space="preserve">▲</w:t>
      </w:r>
      <w:r>
        <w:rPr>
          <w:rFonts w:hint="eastAsia" w:ascii="宋体" w:hAnsi="宋体" w:eastAsia="宋体" w:cs="宋体"/>
          <w:b w:val="0"/>
          <w:bCs w:val="0"/>
          <w:i w:val="0"/>
          <w:iCs w:val="0"/>
          <w:color w:val="auto"/>
          <w:szCs w:val="21"/>
          <w:highlight w:val="none"/>
          <w:u w:val="none"/>
        </w:rPr>
        <w:t xml:space="preserve">3.1控温范围：5～120 ℃，温度设定增量 0.1 ℃，控温精度±0.1 ℃</w:t>
      </w:r>
      <w:r>
        <w:rPr>
          <w:rFonts w:hint="eastAsia" w:ascii="宋体" w:hAnsi="宋体" w:eastAsia="宋体" w:cs="宋体"/>
          <w:b w:val="0"/>
          <w:bCs w:val="0"/>
          <w:i w:val="0"/>
          <w:iCs w:val="0"/>
          <w:color w:val="auto"/>
          <w:szCs w:val="21"/>
          <w:highlight w:val="none"/>
          <w:u w:val="none"/>
          <w:lang w:eastAsia="zh-CN"/>
        </w:rPr>
        <w:t xml:space="preserve">；</w:t>
      </w:r>
      <w:r/>
    </w:p>
    <w:p>
      <w:pPr>
        <w:ind w:firstLine="422"/>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 xml:space="preserve">★3.2控温模式：强制对流或静止空气双模式，带色谱柱主动预热</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3.3温度准确度：±0.5℃</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3.4温度精度：0.1℃</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4</w:t>
      </w:r>
      <w:r>
        <w:rPr>
          <w:rFonts w:hint="eastAsia" w:ascii="宋体" w:hAnsi="宋体" w:eastAsia="宋体" w:cs="宋体"/>
          <w:b/>
          <w:bCs/>
          <w:color w:val="auto"/>
          <w:szCs w:val="21"/>
          <w:highlight w:val="none"/>
        </w:rPr>
        <w:t xml:space="preserve">、二极管阵列检测器（DAD）</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4.1检测器类型：二极管阵列 DAD 检测器</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4.2波长范围：190～800 nm，支持全光谱扫描、多波长同时采集</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4.3最大数据采集频率：≥200 Hz，满足窄 UHPLC 色谱峰采集要求</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4.4具备光谱库比对、峰纯度鉴定功能</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 xml:space="preserve">★4.5二极管阵列数：1024</w:t>
      </w:r>
      <w:r>
        <w:rPr>
          <w:rFonts w:hint="eastAsia" w:ascii="宋体" w:hAnsi="宋体" w:eastAsia="宋体" w:cs="宋体"/>
          <w:b/>
          <w:bCs/>
          <w:i/>
          <w:iCs/>
          <w:color w:val="auto"/>
          <w:szCs w:val="21"/>
          <w:highlight w:val="none"/>
          <w:u w:val="singl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5</w:t>
      </w:r>
      <w:r>
        <w:rPr>
          <w:rFonts w:hint="eastAsia" w:ascii="宋体" w:hAnsi="宋体" w:eastAsia="宋体" w:cs="宋体"/>
          <w:b/>
          <w:bCs/>
          <w:color w:val="auto"/>
          <w:szCs w:val="21"/>
          <w:highlight w:val="none"/>
        </w:rPr>
        <w:t xml:space="preserve">、软件与合规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5.1基于SQL 或甲骨文数据库系统的CDS 色谱工作站，支持审计追踪、电子签名，满足 CNAS 数据合规要求</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5.2可控制多个仪器厂商的多种LC和GC仪器等仪器，实现完全的双向控制、广泛的命令选项和详细的事件追踪</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5.3可支持网络版的升级，可接入主流的LIMS系统</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5.4可将数据导出为通用色谱数据格式</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zh-CN"/>
        </w:rPr>
        <w:t xml:space="preserve">▲</w:t>
      </w:r>
      <w:r>
        <w:rPr>
          <w:rFonts w:hint="eastAsia" w:ascii="宋体" w:hAnsi="宋体" w:eastAsia="宋体" w:cs="宋体"/>
          <w:color w:val="auto"/>
          <w:szCs w:val="21"/>
          <w:highlight w:val="none"/>
        </w:rPr>
        <w:t xml:space="preserve">5.5内置表格计算功能，无需第三方工具可得分析结果</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5.6符合cGMP/GLP和21 CFR Part 11等相关法规的要求，具备用户管理、审计追踪以及访问控制等功能</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、仪器配置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6.1二元高压梯度泵，包含在线脱气机</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6.2自动进样器，包含进样器控温模块</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6.3高性能柱温箱</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6.4高度可靠的二极管阵列检测</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6.5色谱工作站</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6.6电脑：i7处理器，16GB内存，1T硬盘，Win 11专业版/企业版正版软件，显示器22-24英寸</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（二）液相色谱仪</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1、仪器技术参数</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1.1四元梯度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（1）泵传动装置采用齿轮和滚珠螺杆，保证泵的可靠性，并在较长的生命周期里保证一贯良好的精度；</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（2）串联式双柱塞往复泵，最小冲程可至20μL，减小流动相输出的压力波动；最大冲程可至100μL，减小柱塞杆密封垫损耗。（提供产品官方技术白皮书、彩页或检测报告等有效证明材料）</w:t>
      </w:r>
      <w:r>
        <w:rPr>
          <w:rFonts w:hint="eastAsia"/>
          <w:color w:val="auto"/>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（3）自动柱塞清洗装置，有效防止高盐浓度流动相对柱塞的磨损，实时维护泵的使用性能；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（4）流量范围：0.001~10mL/min，递增率0.001mL/min；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（5）流量精度：&lt;0.07%RSD；</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（6）流速准确度 ：±1%；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（7）梯度精度：&lt; 0.2 % RSD；</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（8）最大操作压力&gt;580bar；</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（9）集成真空脱气机：四路独立脱气操作，无需洗针液脱气，每一通路最大流速：10mL/min。每个通道内部体积：1.5 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（10）仪器面板上可直接显示辅助故障排除和维护流程；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（11）仪器面板上提供最先进的用户界面，可直观、快速地概览和控制高效液相色谱仪器的参数；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（12）早期维护反馈，仪器面板上用户可设置的限制和反馈消息连续跟踪仪器使用情况，维护和错误的电子记录；</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（13）通过仪器面板可一键完成自动purge、冲洗系统、平衡方法等，无需人为介入（提供产品官方技术白皮书、彩页或检测报告等有效证明材料）。</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1.2自动进样器</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（1）采用阀进样</w:t>
      </w:r>
      <w:r>
        <w:rPr>
          <w:rFonts w:hint="eastAsia" w:ascii="宋体" w:hAnsi="宋体" w:cs="宋体"/>
          <w:color w:val="auto"/>
          <w:szCs w:val="21"/>
          <w:highlight w:val="none"/>
          <w:lang w:eastAsia="zh-CN"/>
        </w:rPr>
        <w:t xml:space="preserve">技术</w:t>
      </w:r>
      <w:r>
        <w:rPr>
          <w:rFonts w:hint="eastAsia" w:ascii="宋体" w:hAnsi="宋体" w:cs="宋体"/>
          <w:color w:val="auto"/>
          <w:szCs w:val="21"/>
          <w:highlight w:val="none"/>
        </w:rPr>
        <w:t xml:space="preserve">，使用计量泵准确控制取样体积，进样后，进样针始终置于流路中，保证最小样品残留量；通过工作站，可启动洗针程序，自动清洗进样针的外壁，因此可将样品在进样针中的残留降至最低。（提供技术说明和计量泵进样资料</w:t>
      </w:r>
      <w:r>
        <w:rPr>
          <w:rStyle w:val="737"/>
          <w:rFonts w:hint="eastAsia" w:ascii="宋体" w:hAnsi="宋体" w:cs="宋体"/>
          <w:color w:val="auto"/>
          <w:highlight w:val="none"/>
        </w:rPr>
        <w:t xml:space="preserve">）；</w:t>
      </w:r>
      <w:r/>
    </w:p>
    <w:p>
      <w:pPr>
        <w:ind w:firstLine="422"/>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★（2）可进行编程进样，用于进行柱前衍生，柱前样品自动稀释，自动混合等复杂进样方式。用户可根据样品的粘度，调节取样及进样速度（提供真实证明文件资料）；</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（3）内置5种进样程序，包括标准曲线配置，氨基酸在线衍生等直接调用，无需手动编写程序。（提供产品官方技术白皮书、彩页或检测报告等有效证明材料）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（4）进样范围：0.1~100μL，步进为0.1μL；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（5）进样精密度：&lt; 0.25% RSD（进样体积 5~100mL）；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（6）最大操作压力&gt;580bar；</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（7）样品残留：&lt;40ppm（启动洗针程序）；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（8）样品容量：&gt;130个2mL样品瓶；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（9）样品仓可控温：5-40 ˚C。</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1.3可降温柱温箱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（1）温控与校准：电子温度控制（ETC）(建议采用半导体控温)；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（2）两个独立控温模块，可同时控制两支色谱柱在不同的温度（提供产品官方技术白皮书、彩页或检测报告等有效证明材料）；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（3）柱温范围：从低于室温10 ˚C（最低为4 ˚C）至85˚C；</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（4）温度稳定性：± 0.1˚C，温度准确度：≤± 0.5 °C；</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（5）加热模式：双温区且静态柱温加热，并可降温；如无双温区功能需配置两个柱温箱；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（6）可安装柱识别器：自动识别和记录色谱柱参数；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（7）柱容量：可容纳使用3根30cm色谱柱，8根10cm色谱柱（提供产品官方技术白皮书、彩页或检测报告等有效证明材料）；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（8）可升级配置4柱选择阀在色谱柱间切换，而无需重新连接管线（提供产品官方技术白皮书、彩页或检测报告等有效证明材料）；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（9）具有内置控温阀接口；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（10）内置溶剂预热器，流动相柱前预加热，有效防止流动相在色谱柱内的热交换，有利于色谱柱内快速温度平衡，及两相间的物质分配平衡；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（11）溶剂预热器体积：3uL，并可选择加配不同体积的溶剂预热器用于不同应用方法，有多种规格可选（提供产品官方技术白皮书、彩页或检测报告等有效证明材料）。</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1.4二极管阵列测器（DAD）</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（1）检测类型：“二极管阵列（DAD），全谱/多波长同时采集，最高120 Hz，8个波</w:t>
      </w:r>
      <w:r>
        <w:rPr>
          <w:rFonts w:hint="eastAsia" w:ascii="宋体" w:hAnsi="宋体" w:cs="宋体"/>
          <w:i w:val="0"/>
          <w:iCs w:val="0"/>
          <w:color w:val="auto"/>
          <w:szCs w:val="21"/>
          <w:highlight w:val="none"/>
          <w:u w:val="none"/>
        </w:rPr>
        <w:t xml:space="preserve">长通道；</w:t>
      </w:r>
      <w:r/>
    </w:p>
    <w:p>
      <w:pPr>
        <w:ind w:firstLine="422"/>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★（2）氘灯+钨灯双灯覆盖全波段；</w:t>
      </w:r>
      <w:r/>
    </w:p>
    <w:p>
      <w:pPr>
        <w:ind w:firstLine="422"/>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★（3）最大数据采集速率 ≥110 Hz；</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（4）噪音：在 254nm 条件下，短期噪音＜±7 µAU（ASTM）；Max-Ligh10mm池＜3 µAU；</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（5）漂移 &lt;0.9·10</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 AU/h，在 254 nm 条件下；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（6）线性范围：＞2.5 AU（5%误差），适配主成分与杂质同时定量；</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（7）波长范围：190–950nm；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（8）波长准确度 ±1 nm；</w:t>
      </w:r>
      <w:r/>
    </w:p>
    <w:p>
      <w:pPr>
        <w:ind w:firstLine="420"/>
        <w:spacing w:line="360" w:lineRule="auto"/>
        <w:tabs>
          <w:tab w:val="left" w:pos="36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（9）波长精度 &lt;±0.1 nm；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（10）狭缝宽度：可编程1–16 nm，兼顾灵敏度与分辨率；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（11）时间可编程（提供产品官方技术白皮书、彩页或检测报告等有效证明材料）：波长、极性、峰宽、灯带宽、自动平衡、波长范围、阈值，光谱存储模式；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（12）整体光学单元含有电子温度控制 (ETC) ，可在环境温度和湿度不断变化的情况下最大限度地提高基线稳定性和实际灵敏；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（13）流通池：标配流通池10 mm光程（13 µL，120 bar）。多种流通池可选，包含高灵敏池、制备流通池、SFC流通池等。</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1.5工作站软件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（1）支持GLP/GMP，RFID追踪池/灯信息 。新建人员账户许可≥50个，后期可免费新建人员账户（提供产品官方技术白皮书、彩页或检测报告等有效证明材料）；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（2）早期维护预警：具有GLP 功能，早期维护反馈（EMF）用以连续跟踪仪器的使用情况，可以自行设置限值和反馈信息。维护和故障状况的电子记录。自动操作认证/ 性能认证（OQ/PV）。提供消耗元件累计使用情况，以便及时进行系统预防性维护；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（3）电子日志：实时记录仪器使用操作情况，随时查阅仪器状态。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1.6技术应用需求</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1）在流动相极端比例和缓梯度方法条件下，依然保持方法良好的精密度，按照2025版中国药典第二部碘海醇有关物质分析方法，对于杂质1、杂质2、碘海醇2个异构体，一共4种物质，连续9针进样保留时间重复性RSD%小于0.15%。（提供原始实验报告并且作为验收指标）；</w:t>
      </w:r>
      <w:r/>
    </w:p>
    <w:p>
      <w:pPr>
        <w:ind w:firstLine="420"/>
        <w:spacing w:line="360" w:lineRule="auto"/>
        <w:rPr>
          <w:rFonts w:hint="eastAsia" w:ascii="宋体" w:hAnsi="宋体" w:cs="宋体"/>
          <w:color w:val="auto"/>
          <w:szCs w:val="21"/>
          <w:highlight w:val="none"/>
        </w:rPr>
      </w:pPr>
      <w:r>
        <w:rPr>
          <w:rFonts w:hint="eastAsia" w:cs="宋体"/>
          <w:color w:val="auto"/>
          <w:szCs w:val="21"/>
          <w:highlight w:val="none"/>
          <w:lang w:val="zh-CN"/>
        </w:rPr>
        <w:t xml:space="preserve">▲</w:t>
      </w:r>
      <w:r>
        <w:rPr>
          <w:rFonts w:hint="eastAsia" w:ascii="宋体" w:hAnsi="宋体" w:cs="宋体"/>
          <w:color w:val="auto"/>
          <w:szCs w:val="21"/>
          <w:highlight w:val="none"/>
        </w:rPr>
        <w:t xml:space="preserve">（2）在极缓梯度方法（0.35%B/min）下，依然保持良好的精密度；按照2025版&lt;中国药典&gt;三七中含量方法测定人生皂苷Rg1，连续进样6针，分别于不同天进样，保留时间RSD%均≤0.05%。（提供原始实验报告并且作为验收指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2、仪器配置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2.1四元梯度泵，包含真空脱气机；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2.2高性能低残留自动进样器，包含进样器控温模块；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2.3高性能可降温多柱温箱；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2.4高性能二极管阵列检测器；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2.5色谱工作站；</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2.6电脑：WIN 11正版操作系统、I5 CPU、16G内存、1T硬盘、23寸或以上显示器、键盘、鼠标。</w:t>
      </w:r>
      <w:r/>
    </w:p>
    <w:p>
      <w:pPr>
        <w:pStyle w:val="727"/>
        <w:spacing w:line="360" w:lineRule="auto"/>
        <w:rPr>
          <w:rFonts w:ascii="Times New Roman" w:hAnsi="Times New Roman" w:cs="宋体"/>
          <w:b/>
          <w:bCs/>
          <w:color w:val="auto"/>
          <w:szCs w:val="21"/>
          <w:highlight w:val="none"/>
          <w:lang w:val="zh-CN"/>
        </w:rPr>
      </w:pPr>
      <w:r>
        <w:rPr>
          <w:rFonts w:hint="eastAsia" w:ascii="宋体" w:hAnsi="宋体"/>
          <w:b/>
          <w:bCs/>
          <w:color w:val="auto"/>
          <w:highlight w:val="none"/>
        </w:rPr>
        <w:t xml:space="preserve">注：以上</w:t>
      </w:r>
      <w:r>
        <w:rPr>
          <w:rFonts w:hint="eastAsia" w:ascii="Times New Roman" w:hAnsi="Times New Roman" w:cs="宋体"/>
          <w:b/>
          <w:bCs/>
          <w:color w:val="auto"/>
          <w:szCs w:val="21"/>
          <w:highlight w:val="none"/>
          <w:lang w:val="zh-CN"/>
        </w:rPr>
        <w:t xml:space="preserve">带“★”号项指标参数</w:t>
      </w:r>
      <w:r>
        <w:rPr>
          <w:rFonts w:ascii="Times New Roman" w:hAnsi="Times New Roman" w:cs="宋体"/>
          <w:b/>
          <w:bCs/>
          <w:color w:val="auto"/>
          <w:szCs w:val="21"/>
          <w:highlight w:val="none"/>
          <w:lang w:val="zh-CN"/>
        </w:rPr>
        <w:t xml:space="preserve">为实质性条款，</w:t>
      </w:r>
      <w:r>
        <w:rPr>
          <w:rFonts w:hint="eastAsia" w:ascii="Times New Roman" w:hAnsi="Times New Roman" w:cs="宋体"/>
          <w:b/>
          <w:bCs/>
          <w:color w:val="auto"/>
          <w:szCs w:val="21"/>
          <w:highlight w:val="none"/>
        </w:rPr>
        <w:t xml:space="preserve">不参与分值计算，</w:t>
      </w:r>
      <w:r>
        <w:rPr>
          <w:rFonts w:ascii="Times New Roman" w:hAnsi="Times New Roman" w:cs="宋体"/>
          <w:b/>
          <w:bCs/>
          <w:color w:val="auto"/>
          <w:szCs w:val="21"/>
          <w:highlight w:val="none"/>
          <w:lang w:val="zh-CN"/>
        </w:rPr>
        <w:t xml:space="preserve">如不满足，则为无效投标。</w:t>
      </w:r>
      <w:r/>
    </w:p>
    <w:p>
      <w:pPr>
        <w:pStyle w:val="727"/>
        <w:spacing w:line="360" w:lineRule="auto"/>
        <w:rPr>
          <w:rFonts w:ascii="Times New Roman" w:hAnsi="Times New Roman" w:cs="宋体"/>
          <w:b/>
          <w:bCs/>
          <w:color w:val="auto"/>
          <w:szCs w:val="21"/>
          <w:highlight w:val="none"/>
          <w:lang w:val="zh-CN"/>
        </w:rPr>
      </w:pPr>
      <w:r>
        <w:rPr>
          <w:rFonts w:hint="eastAsia" w:ascii="Times New Roman" w:hAnsi="Times New Roman" w:cs="宋体"/>
          <w:b/>
          <w:bCs/>
          <w:color w:val="auto"/>
          <w:szCs w:val="21"/>
          <w:highlight w:val="none"/>
          <w:lang w:val="zh-CN"/>
        </w:rPr>
        <w:t xml:space="preserve">设备交付验收时，招标人将对技术要求的具体描述进行逐一核实验收，如发现虚假应标，给招标人造成损失的由投标人承担一切责任。</w:t>
      </w:r>
      <w:r/>
    </w:p>
    <w:p>
      <w:pPr>
        <w:pStyle w:val="727"/>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zh-CN"/>
        </w:rPr>
        <w:t xml:space="preserve">服务方案</w:t>
      </w:r>
      <w:r/>
    </w:p>
    <w:p>
      <w:pPr>
        <w:ind w:firstLine="420"/>
        <w:keepLines w:val="0"/>
        <w:keepNext w:val="0"/>
        <w:pageBreakBefore w:val="0"/>
        <w:spacing w:line="360" w:lineRule="auto"/>
        <w:widowControl/>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1</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安装调试</w:t>
      </w:r>
      <w:r>
        <w:rPr>
          <w:rFonts w:hint="eastAsia" w:ascii="宋体" w:hAnsi="宋体" w:eastAsia="宋体" w:cs="宋体"/>
          <w:color w:val="auto"/>
          <w:szCs w:val="22"/>
          <w:highlight w:val="none"/>
          <w:lang w:eastAsia="zh-CN"/>
        </w:rPr>
        <w:t xml:space="preserve">：所有产品合同签订后60日历天内完成所需设备的采购、生产、供应、安装、调试等相关伴随服务，并交付采购人使用。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keepLines w:val="0"/>
        <w:keepNext w:val="0"/>
        <w:pageBreakBefore w:val="0"/>
        <w:spacing w:line="360" w:lineRule="auto"/>
        <w:widowControl/>
        <w:rPr>
          <w:rFonts w:hint="eastAsia" w:ascii="宋体" w:hAnsi="宋体" w:eastAsia="宋体" w:cs="宋体"/>
          <w:i/>
          <w:iCs/>
          <w:color w:val="auto"/>
          <w:szCs w:val="22"/>
          <w:highlight w:val="none"/>
          <w:u w:val="single"/>
          <w:lang w:eastAsia="zh-CN"/>
        </w:rPr>
      </w:pPr>
      <w:r>
        <w:rPr>
          <w:rFonts w:hint="eastAsia" w:ascii="宋体" w:hAnsi="宋体" w:eastAsia="宋体" w:cs="宋体"/>
          <w:i/>
          <w:iCs/>
          <w:color w:val="auto"/>
          <w:szCs w:val="22"/>
          <w:highlight w:val="none"/>
          <w:u w:val="single"/>
        </w:rPr>
        <w:t xml:space="preserve">2</w:t>
      </w:r>
      <w:r>
        <w:rPr>
          <w:rFonts w:hint="eastAsia" w:ascii="宋体" w:hAnsi="宋体" w:eastAsia="宋体" w:cs="宋体"/>
          <w:i/>
          <w:iCs/>
          <w:color w:val="auto"/>
          <w:szCs w:val="22"/>
          <w:highlight w:val="none"/>
          <w:u w:val="single"/>
          <w:lang w:eastAsia="zh-CN"/>
        </w:rPr>
        <w:t xml:space="preserve">、</w:t>
      </w:r>
      <w:r>
        <w:rPr>
          <w:rFonts w:hint="eastAsia" w:ascii="宋体" w:hAnsi="宋体" w:eastAsia="宋体" w:cs="宋体"/>
          <w:i/>
          <w:iCs/>
          <w:color w:val="auto"/>
          <w:szCs w:val="22"/>
          <w:highlight w:val="none"/>
          <w:u w:val="single"/>
        </w:rPr>
        <w:t xml:space="preserve">技术培训</w:t>
      </w:r>
      <w:r>
        <w:rPr>
          <w:rFonts w:hint="eastAsia" w:ascii="宋体" w:hAnsi="宋体" w:eastAsia="宋体" w:cs="宋体"/>
          <w:i/>
          <w:iCs/>
          <w:color w:val="auto"/>
          <w:szCs w:val="22"/>
          <w:highlight w:val="none"/>
          <w:u w:val="single"/>
          <w:lang w:eastAsia="zh-CN"/>
        </w:rPr>
        <w:t xml:space="preserve">：</w:t>
      </w:r>
      <w:r>
        <w:rPr>
          <w:rFonts w:hint="eastAsia" w:ascii="宋体" w:hAnsi="宋体" w:eastAsia="宋体" w:cs="宋体"/>
          <w:i/>
          <w:iCs/>
          <w:color w:val="auto"/>
          <w:szCs w:val="21"/>
          <w:highlight w:val="none"/>
          <w:u w:val="single"/>
        </w:rPr>
        <w:t xml:space="preserve">在国内设有</w:t>
      </w:r>
      <w:r>
        <w:rPr>
          <w:rFonts w:hint="eastAsia" w:ascii="宋体" w:hAnsi="宋体" w:eastAsia="宋体" w:cs="宋体"/>
          <w:i/>
          <w:iCs/>
          <w:strike w:val="0"/>
          <w:color w:val="auto"/>
          <w:szCs w:val="21"/>
          <w:highlight w:val="none"/>
          <w:u w:val="single"/>
        </w:rPr>
        <w:t xml:space="preserve">应用实验中心</w:t>
      </w:r>
      <w:r>
        <w:rPr>
          <w:rFonts w:hint="eastAsia" w:ascii="宋体" w:hAnsi="宋体" w:eastAsia="宋体" w:cs="宋体"/>
          <w:i/>
          <w:iCs/>
          <w:color w:val="auto"/>
          <w:szCs w:val="21"/>
          <w:highlight w:val="none"/>
          <w:u w:val="single"/>
        </w:rPr>
        <w:t xml:space="preserve">及培训中心，能够提供应用支持，提供免费培训用户的操作技术人员(两人次/四天/壹台)</w:t>
      </w:r>
      <w:r>
        <w:rPr>
          <w:rFonts w:hint="eastAsia" w:ascii="宋体" w:hAnsi="宋体" w:eastAsia="宋体" w:cs="宋体"/>
          <w:i/>
          <w:iCs/>
          <w:color w:val="auto"/>
          <w:szCs w:val="22"/>
          <w:highlight w:val="none"/>
          <w:u w:val="single"/>
          <w:lang w:eastAsia="zh-CN"/>
        </w:rPr>
        <w:t xml:space="preserve">（</w:t>
      </w:r>
      <w:r>
        <w:rPr>
          <w:rFonts w:hint="eastAsia" w:ascii="宋体" w:hAnsi="宋体" w:eastAsia="宋体" w:cs="宋体"/>
          <w:b w:val="0"/>
          <w:bCs w:val="0"/>
          <w:i/>
          <w:iCs/>
          <w:color w:val="auto"/>
          <w:highlight w:val="none"/>
          <w:u w:val="single"/>
        </w:rPr>
        <w:t xml:space="preserve">须提供承诺函，格式自拟，系统上传</w:t>
      </w:r>
      <w:r>
        <w:rPr>
          <w:rFonts w:hint="eastAsia" w:ascii="宋体" w:hAnsi="宋体" w:eastAsia="宋体" w:cs="宋体"/>
          <w:i/>
          <w:iCs/>
          <w:color w:val="auto"/>
          <w:szCs w:val="22"/>
          <w:highlight w:val="none"/>
          <w:u w:val="single"/>
          <w:lang w:eastAsia="zh-CN"/>
        </w:rPr>
        <w:t xml:space="preserve">）</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售后服务：</w:t>
      </w:r>
      <w:r/>
    </w:p>
    <w:p>
      <w:pPr>
        <w:ind w:firstLine="420"/>
        <w:keepLines w:val="0"/>
        <w:keepNext w:val="0"/>
        <w:pageBreakBefore w:val="0"/>
        <w:spacing w:line="360" w:lineRule="auto"/>
        <w:widowControl/>
        <w:rPr>
          <w:rFonts w:hint="eastAsia" w:ascii="宋体" w:hAnsi="宋体" w:eastAsia="宋体" w:cs="宋体"/>
          <w:i w:val="0"/>
          <w:iCs w:val="0"/>
          <w:color w:val="auto"/>
          <w:szCs w:val="22"/>
          <w:highlight w:val="none"/>
          <w:u w:val="none"/>
          <w:lang w:eastAsia="zh-CN"/>
        </w:rPr>
      </w:pPr>
      <w:r>
        <w:rPr>
          <w:rFonts w:hint="eastAsia" w:ascii="宋体" w:hAnsi="宋体" w:eastAsia="宋体" w:cs="宋体"/>
          <w:i w:val="0"/>
          <w:iCs w:val="0"/>
          <w:color w:val="auto"/>
          <w:szCs w:val="22"/>
          <w:highlight w:val="none"/>
          <w:u w:val="none"/>
          <w:lang w:eastAsia="zh-CN"/>
        </w:rPr>
        <w:t xml:space="preserve">（</w:t>
      </w:r>
      <w:r>
        <w:rPr>
          <w:rFonts w:hint="eastAsia" w:ascii="宋体" w:hAnsi="宋体" w:eastAsia="宋体" w:cs="宋体"/>
          <w:i w:val="0"/>
          <w:iCs w:val="0"/>
          <w:color w:val="auto"/>
          <w:szCs w:val="22"/>
          <w:highlight w:val="none"/>
          <w:u w:val="none"/>
          <w:lang w:val="en-US" w:eastAsia="zh-CN"/>
        </w:rPr>
        <w:t xml:space="preserve">1）</w:t>
      </w:r>
      <w:r>
        <w:rPr>
          <w:rFonts w:hint="eastAsia" w:ascii="宋体" w:hAnsi="宋体" w:eastAsia="宋体" w:cs="宋体"/>
          <w:i w:val="0"/>
          <w:iCs w:val="0"/>
          <w:color w:val="auto"/>
          <w:szCs w:val="22"/>
          <w:highlight w:val="none"/>
          <w:u w:val="none"/>
        </w:rPr>
        <w:t xml:space="preserve">质保期</w:t>
      </w:r>
      <w:r>
        <w:rPr>
          <w:rFonts w:hint="eastAsia" w:ascii="宋体" w:hAnsi="宋体" w:eastAsia="宋体" w:cs="宋体"/>
          <w:i w:val="0"/>
          <w:iCs w:val="0"/>
          <w:color w:val="auto"/>
          <w:szCs w:val="22"/>
          <w:highlight w:val="none"/>
          <w:u w:val="none"/>
          <w:lang w:eastAsia="zh-CN"/>
        </w:rPr>
        <w:t xml:space="preserve">：</w:t>
      </w:r>
      <w:r>
        <w:rPr>
          <w:rFonts w:hint="eastAsia" w:ascii="宋体" w:hAnsi="宋体" w:eastAsia="宋体" w:cs="宋体"/>
          <w:i w:val="0"/>
          <w:iCs w:val="0"/>
          <w:color w:val="auto"/>
          <w:highlight w:val="none"/>
          <w:u w:val="none"/>
        </w:rPr>
        <w:t xml:space="preserve">超高效液相色谱仪</w:t>
      </w:r>
      <w:r>
        <w:rPr>
          <w:rFonts w:hint="eastAsia" w:ascii="宋体" w:hAnsi="宋体" w:eastAsia="宋体" w:cs="宋体"/>
          <w:i w:val="0"/>
          <w:iCs w:val="0"/>
          <w:color w:val="auto"/>
          <w:highlight w:val="none"/>
          <w:u w:val="none"/>
          <w:lang w:val="en-US" w:eastAsia="zh-CN"/>
        </w:rPr>
        <w:t xml:space="preserve">和液相色谱仪</w:t>
      </w:r>
      <w:r>
        <w:rPr>
          <w:rFonts w:hint="eastAsia" w:ascii="宋体" w:hAnsi="宋体" w:eastAsia="宋体" w:cs="宋体"/>
          <w:i w:val="0"/>
          <w:iCs w:val="0"/>
          <w:color w:val="auto"/>
          <w:szCs w:val="22"/>
          <w:highlight w:val="none"/>
          <w:u w:val="none"/>
        </w:rPr>
        <w:t xml:space="preserve">设备</w:t>
      </w:r>
      <w:r>
        <w:rPr>
          <w:rFonts w:hint="eastAsia" w:ascii="宋体" w:hAnsi="宋体" w:eastAsia="宋体" w:cs="宋体"/>
          <w:i w:val="0"/>
          <w:iCs w:val="0"/>
          <w:color w:val="auto"/>
          <w:szCs w:val="22"/>
          <w:highlight w:val="none"/>
          <w:u w:val="none"/>
          <w:lang w:eastAsia="zh-CN"/>
        </w:rPr>
        <w:t xml:space="preserve">整机</w:t>
      </w:r>
      <w:r>
        <w:rPr>
          <w:rFonts w:hint="eastAsia" w:ascii="宋体" w:hAnsi="宋体" w:eastAsia="宋体" w:cs="宋体"/>
          <w:i w:val="0"/>
          <w:iCs w:val="0"/>
          <w:color w:val="auto"/>
          <w:szCs w:val="22"/>
          <w:highlight w:val="none"/>
          <w:u w:val="none"/>
        </w:rPr>
        <w:t xml:space="preserve">质保期≥</w:t>
      </w:r>
      <w:r>
        <w:rPr>
          <w:rFonts w:hint="eastAsia" w:ascii="宋体" w:hAnsi="宋体" w:cs="宋体"/>
          <w:i w:val="0"/>
          <w:iCs w:val="0"/>
          <w:color w:val="auto"/>
          <w:szCs w:val="22"/>
          <w:highlight w:val="none"/>
          <w:u w:val="none"/>
          <w:lang w:val="en-US" w:eastAsia="zh-CN"/>
        </w:rPr>
        <w:t xml:space="preserve">1</w:t>
      </w:r>
      <w:r>
        <w:rPr>
          <w:rFonts w:hint="eastAsia" w:ascii="宋体" w:hAnsi="宋体" w:eastAsia="宋体" w:cs="宋体"/>
          <w:i w:val="0"/>
          <w:iCs w:val="0"/>
          <w:color w:val="auto"/>
          <w:szCs w:val="22"/>
          <w:highlight w:val="none"/>
          <w:u w:val="none"/>
        </w:rPr>
        <w:t xml:space="preserve">年</w:t>
      </w:r>
      <w:r>
        <w:rPr>
          <w:rFonts w:hint="eastAsia" w:ascii="宋体" w:hAnsi="宋体" w:eastAsia="宋体" w:cs="宋体"/>
          <w:i w:val="0"/>
          <w:iCs w:val="0"/>
          <w:color w:val="auto"/>
          <w:szCs w:val="22"/>
          <w:highlight w:val="none"/>
          <w:u w:val="none"/>
          <w:lang w:eastAsia="zh-CN"/>
        </w:rPr>
        <w:t xml:space="preserve">；</w:t>
      </w:r>
      <w:r/>
    </w:p>
    <w:p>
      <w:pPr>
        <w:ind w:firstLine="420"/>
        <w:keepLines w:val="0"/>
        <w:keepNext w:val="0"/>
        <w:pageBreakBefore w:val="0"/>
        <w:spacing w:line="360" w:lineRule="auto"/>
        <w:widowControl/>
        <w:rPr>
          <w:rFonts w:hint="eastAsia" w:ascii="宋体" w:hAnsi="宋体" w:eastAsia="宋体" w:cs="宋体"/>
          <w:i/>
          <w:iCs/>
          <w:color w:val="auto"/>
          <w:szCs w:val="22"/>
          <w:highlight w:val="none"/>
          <w:u w:val="single"/>
          <w:lang w:eastAsia="zh-CN"/>
        </w:rPr>
      </w:pPr>
      <w:r>
        <w:rPr>
          <w:rFonts w:hint="eastAsia" w:ascii="宋体" w:hAnsi="宋体" w:eastAsia="宋体" w:cs="宋体"/>
          <w:i/>
          <w:iCs/>
          <w:color w:val="auto"/>
          <w:szCs w:val="22"/>
          <w:highlight w:val="none"/>
          <w:u w:val="single"/>
          <w:lang w:eastAsia="zh-CN"/>
        </w:rPr>
        <w:t xml:space="preserve">（</w:t>
      </w:r>
      <w:r>
        <w:rPr>
          <w:rFonts w:hint="eastAsia" w:ascii="宋体" w:hAnsi="宋体" w:eastAsia="宋体" w:cs="宋体"/>
          <w:i/>
          <w:iCs/>
          <w:color w:val="auto"/>
          <w:szCs w:val="22"/>
          <w:highlight w:val="none"/>
          <w:u w:val="single"/>
          <w:lang w:val="en-US" w:eastAsia="zh-CN"/>
        </w:rPr>
        <w:t xml:space="preserve">2）</w:t>
      </w:r>
      <w:r>
        <w:rPr>
          <w:rFonts w:hint="eastAsia" w:ascii="宋体" w:hAnsi="宋体" w:eastAsia="宋体" w:cs="宋体"/>
          <w:i/>
          <w:iCs/>
          <w:color w:val="auto"/>
          <w:szCs w:val="22"/>
          <w:highlight w:val="none"/>
          <w:u w:val="single"/>
        </w:rPr>
        <w:t xml:space="preserve">响应时间</w:t>
      </w:r>
      <w:r>
        <w:rPr>
          <w:rFonts w:hint="eastAsia" w:ascii="宋体" w:hAnsi="宋体" w:eastAsia="宋体" w:cs="宋体"/>
          <w:i/>
          <w:iCs/>
          <w:color w:val="auto"/>
          <w:szCs w:val="22"/>
          <w:highlight w:val="none"/>
          <w:u w:val="single"/>
          <w:lang w:eastAsia="zh-CN"/>
        </w:rPr>
        <w:t xml:space="preserve">：采用固定网点并结合流动的服务方式。</w:t>
      </w:r>
      <w:r>
        <w:rPr>
          <w:rFonts w:hint="eastAsia" w:ascii="宋体" w:hAnsi="宋体" w:eastAsia="宋体" w:cs="宋体"/>
          <w:i/>
          <w:iCs/>
          <w:color w:val="auto"/>
          <w:szCs w:val="22"/>
          <w:highlight w:val="none"/>
          <w:u w:val="single"/>
        </w:rPr>
        <w:t xml:space="preserve">接到维修通知后</w:t>
      </w:r>
      <w:r>
        <w:rPr>
          <w:rFonts w:hint="eastAsia" w:ascii="宋体" w:hAnsi="宋体" w:eastAsia="宋体" w:cs="宋体"/>
          <w:i/>
          <w:iCs/>
          <w:color w:val="auto"/>
          <w:szCs w:val="22"/>
          <w:highlight w:val="none"/>
          <w:u w:val="single"/>
          <w:lang w:val="en-US" w:eastAsia="zh-CN"/>
        </w:rPr>
        <w:t xml:space="preserve">8</w:t>
      </w:r>
      <w:r>
        <w:rPr>
          <w:rFonts w:hint="eastAsia" w:ascii="宋体" w:hAnsi="宋体" w:eastAsia="宋体" w:cs="宋体"/>
          <w:i/>
          <w:iCs/>
          <w:color w:val="auto"/>
          <w:szCs w:val="22"/>
          <w:highlight w:val="none"/>
          <w:u w:val="single"/>
        </w:rPr>
        <w:t xml:space="preserve">小时内响应，</w:t>
      </w:r>
      <w:r>
        <w:rPr>
          <w:rFonts w:hint="eastAsia" w:ascii="宋体" w:hAnsi="宋体" w:eastAsia="宋体" w:cs="宋体"/>
          <w:i/>
          <w:iCs/>
          <w:color w:val="auto"/>
          <w:szCs w:val="22"/>
          <w:highlight w:val="none"/>
          <w:u w:val="single"/>
          <w:lang w:val="en-US" w:eastAsia="zh-CN"/>
        </w:rPr>
        <w:t xml:space="preserve">12</w:t>
      </w:r>
      <w:r>
        <w:rPr>
          <w:rFonts w:hint="eastAsia" w:ascii="宋体" w:hAnsi="宋体" w:eastAsia="宋体" w:cs="宋体"/>
          <w:i/>
          <w:iCs/>
          <w:color w:val="auto"/>
          <w:szCs w:val="22"/>
          <w:highlight w:val="none"/>
          <w:u w:val="single"/>
        </w:rPr>
        <w:t xml:space="preserve">小时内到达现场（同城）或</w:t>
      </w:r>
      <w:r>
        <w:rPr>
          <w:rFonts w:hint="eastAsia" w:ascii="宋体" w:hAnsi="宋体" w:eastAsia="宋体" w:cs="宋体"/>
          <w:i/>
          <w:iCs/>
          <w:color w:val="auto"/>
          <w:szCs w:val="22"/>
          <w:highlight w:val="none"/>
          <w:u w:val="single"/>
          <w:lang w:val="en-US" w:eastAsia="zh-CN"/>
        </w:rPr>
        <w:t xml:space="preserve">12</w:t>
      </w:r>
      <w:r>
        <w:rPr>
          <w:rFonts w:hint="eastAsia" w:ascii="宋体" w:hAnsi="宋体" w:eastAsia="宋体" w:cs="宋体"/>
          <w:i/>
          <w:iCs/>
          <w:color w:val="auto"/>
          <w:szCs w:val="22"/>
          <w:highlight w:val="none"/>
          <w:u w:val="single"/>
        </w:rPr>
        <w:t xml:space="preserve">小时内远程解决（异地），无法远程解决的</w:t>
      </w:r>
      <w:r>
        <w:rPr>
          <w:rFonts w:hint="eastAsia" w:ascii="宋体" w:hAnsi="宋体" w:eastAsia="宋体" w:cs="宋体"/>
          <w:i/>
          <w:iCs/>
          <w:color w:val="auto"/>
          <w:szCs w:val="22"/>
          <w:highlight w:val="none"/>
          <w:u w:val="single"/>
          <w:lang w:val="en-US" w:eastAsia="zh-CN"/>
        </w:rPr>
        <w:t xml:space="preserve">24</w:t>
      </w:r>
      <w:r>
        <w:rPr>
          <w:rFonts w:hint="eastAsia" w:ascii="宋体" w:hAnsi="宋体" w:eastAsia="宋体" w:cs="宋体"/>
          <w:i/>
          <w:iCs/>
          <w:color w:val="auto"/>
          <w:szCs w:val="22"/>
          <w:highlight w:val="none"/>
          <w:u w:val="single"/>
        </w:rPr>
        <w:t xml:space="preserve">小时内派员到场</w:t>
      </w:r>
      <w:r>
        <w:rPr>
          <w:rFonts w:hint="eastAsia" w:ascii="宋体" w:hAnsi="宋体" w:eastAsia="宋体" w:cs="宋体"/>
          <w:i/>
          <w:iCs/>
          <w:color w:val="auto"/>
          <w:szCs w:val="22"/>
          <w:highlight w:val="none"/>
          <w:u w:val="single"/>
          <w:lang w:eastAsia="zh-CN"/>
        </w:rPr>
        <w:t xml:space="preserve">（</w:t>
      </w:r>
      <w:r>
        <w:rPr>
          <w:rFonts w:hint="eastAsia" w:ascii="宋体" w:hAnsi="宋体"/>
          <w:b w:val="0"/>
          <w:bCs w:val="0"/>
          <w:i/>
          <w:iCs/>
          <w:color w:val="auto"/>
          <w:highlight w:val="none"/>
          <w:u w:val="single"/>
        </w:rPr>
        <w:t xml:space="preserve">须提供承诺函，格式自拟，系统上传</w:t>
      </w:r>
      <w:r>
        <w:rPr>
          <w:rFonts w:hint="eastAsia" w:ascii="宋体" w:hAnsi="宋体" w:eastAsia="宋体" w:cs="宋体"/>
          <w:i/>
          <w:iCs/>
          <w:color w:val="auto"/>
          <w:szCs w:val="22"/>
          <w:highlight w:val="none"/>
          <w:u w:val="single"/>
          <w:lang w:eastAsia="zh-CN"/>
        </w:rPr>
        <w:t xml:space="preserve">）</w:t>
      </w:r>
      <w:r>
        <w:rPr>
          <w:rFonts w:hint="eastAsia"/>
          <w:color w:val="auto"/>
          <w:highlight w:val="none"/>
          <w:lang w:eastAsia="zh-CN"/>
        </w:rPr>
        <w:t xml:space="preserve">；</w:t>
      </w:r>
      <w:r/>
    </w:p>
    <w:p>
      <w:pPr>
        <w:ind w:firstLine="420"/>
        <w:keepLines w:val="0"/>
        <w:keepNext w:val="0"/>
        <w:pageBreakBefore w:val="0"/>
        <w:spacing w:line="360" w:lineRule="auto"/>
        <w:widowControl/>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备件供应</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质保期内免费提供维修备件，质保期外以优惠价格供应备件</w:t>
      </w:r>
      <w:r>
        <w:rPr>
          <w:rFonts w:hint="eastAsia" w:ascii="宋体" w:hAnsi="宋体" w:eastAsia="宋体" w:cs="宋体"/>
          <w:color w:val="auto"/>
          <w:szCs w:val="22"/>
          <w:highlight w:val="none"/>
          <w:lang w:eastAsia="zh-CN"/>
        </w:rPr>
        <w:t xml:space="preserve">；</w:t>
      </w:r>
      <w:r/>
    </w:p>
    <w:p>
      <w:pPr>
        <w:pStyle w:val="730"/>
        <w:spacing w:line="360" w:lineRule="auto"/>
        <w:rPr>
          <w:rFonts w:hint="eastAsia"/>
          <w:color w:val="auto"/>
          <w:highlight w:val="none"/>
          <w:lang w:eastAsia="zh-CN"/>
        </w:rPr>
      </w:pP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lang w:val="en-US" w:eastAsia="zh-CN"/>
        </w:rPr>
        <w:t xml:space="preserve">4</w:t>
      </w:r>
      <w:r>
        <w:rPr>
          <w:rFonts w:hint="eastAsia" w:ascii="宋体" w:hAnsi="宋体" w:eastAsia="宋体" w:cs="宋体"/>
          <w:color w:val="auto"/>
          <w:szCs w:val="22"/>
          <w:highlight w:val="none"/>
          <w:lang w:eastAsia="zh-CN"/>
        </w:rPr>
        <w:t xml:space="preserve">）</w:t>
      </w:r>
      <w:r>
        <w:rPr>
          <w:rFonts w:hint="eastAsia" w:ascii="宋体" w:hAnsi="宋体" w:eastAsia="宋体"/>
          <w:color w:val="auto"/>
          <w:highlight w:val="none"/>
        </w:rPr>
        <w:t xml:space="preserve">在保修期内，如有损坏或质量不合格者，中标人应及时给予修复和更换，其修理和更换应免费。正常修理周期和修理期间需提供免费测试。</w:t>
      </w:r>
      <w:r>
        <w:rPr>
          <w:rFonts w:hint="eastAsia" w:ascii="宋体" w:hAnsi="宋体" w:eastAsia="宋体" w:cs="宋体"/>
          <w:color w:val="auto"/>
          <w:szCs w:val="22"/>
          <w:highlight w:val="none"/>
          <w:lang w:eastAsia="zh-CN"/>
        </w:rPr>
        <w:t xml:space="preserve">在保修期内，如果投标人鉴定设备因为人为损坏，投标人须出具第三方检测证明，否则一律视为保修范围内容处理。</w:t>
      </w:r>
      <w:r/>
    </w:p>
    <w:p>
      <w:pPr>
        <w:numPr>
          <w:ilvl w:val="-1"/>
          <w:numId w:val="0"/>
        </w:numPr>
        <w:ind w:firstLine="420"/>
        <w:rPr>
          <w:rFonts w:hint="eastAsia" w:ascii="宋体" w:hAnsi="宋体" w:eastAsia="宋体" w:cs="宋体"/>
          <w:color w:val="auto"/>
          <w:szCs w:val="21"/>
          <w:highlight w:val="none"/>
        </w:rPr>
      </w:pPr>
      <w:r>
        <w:rPr>
          <w:rFonts w:hint="eastAsia" w:ascii="宋体" w:hAnsi="宋体" w:cs="宋体"/>
          <w:b w:val="0"/>
          <w:bCs w:val="0"/>
          <w:color w:val="auto"/>
          <w:sz w:val="21"/>
          <w:szCs w:val="21"/>
          <w:highlight w:val="none"/>
          <w:lang w:val="en-US" w:eastAsia="zh-CN"/>
        </w:rPr>
        <w:t xml:space="preserve">4、液相色谱仪</w:t>
      </w:r>
      <w:r>
        <w:rPr>
          <w:rFonts w:hint="eastAsia" w:ascii="宋体" w:hAnsi="宋体" w:eastAsia="宋体" w:cs="宋体"/>
          <w:color w:val="auto"/>
          <w:szCs w:val="21"/>
          <w:highlight w:val="none"/>
        </w:rPr>
        <w:t xml:space="preserve">保修期后，可以提供维修合同服务。</w:t>
      </w:r>
      <w:r/>
    </w:p>
    <w:p>
      <w:pPr>
        <w:numPr>
          <w:ilvl w:val="0"/>
          <w:numId w:val="0"/>
        </w:num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四、其他</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本项目为交钥匙项目，包括安装、调试正常运行、验收合格后的价格（含保修费、零备件和运杂费、保险费、安装费、验收费、人员培训费、关税及进口环节增值税等所有税费及其它一切费用）均包含在内，请各投标人认真考虑其各种风险。除合同另有规定之外，伴随服务的费用均已含在合同价款中，采购人不再另行支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投标人必须按照招标文件要求对货物的各个参数指标作出实质性应答，任何偏差都必须列入偏离表中。中标后，中标人在合同谈判中提出的任何偏差都不得超过此偏差表中明确提供货物的品牌、型号、规格和外形、尺寸、安装及一些必须说明的技术参数，同时明确生产厂家、型号规格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货物由中标人运至采购人指定地点，验收交货前存放及保管概由中标人负责。货物材料的包装均应有良好的防湿、防锈、防潮、防雨、防腐及防碰撞的措施。凡由于包装不良造成的损失和由此产生的费用均由中标人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安装队伍必须加强管理，遵守现场的一切规章制度，文明施工，注意安全；安装期间，中标人必须服从采购人管理，且出现的一切安全事故均由中标人自行承担。货物进场须经采购人验货后才能安装；无论安装期间或退换过程中，中标人负责及时清理垃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中标人在接到采购人通知后，需根据采购人要求及现场具体情况，拟定货物进场方案报采购人，征得采购人同意后方可安排货物进场。</w:t>
      </w:r>
      <w:r/>
    </w:p>
    <w:p>
      <w:pPr>
        <w:ind w:firstLine="420"/>
        <w:keepLines w:val="0"/>
        <w:keepNext w:val="0"/>
        <w:pageBreakBefore w:val="0"/>
        <w:spacing w:line="360" w:lineRule="auto"/>
        <w:widowControl w:val="off"/>
        <w:rPr>
          <w:rFonts w:hint="eastAsia" w:ascii="宋体" w:hAnsi="宋体" w:eastAsia="宋体" w:cs="宋体"/>
          <w:i/>
          <w:color w:val="auto"/>
          <w:highlight w:val="none"/>
          <w:u w:val="single"/>
        </w:rPr>
      </w:pPr>
      <w:r>
        <w:rPr>
          <w:rFonts w:hint="eastAsia" w:ascii="宋体" w:hAnsi="宋体" w:cs="宋体"/>
          <w:i/>
          <w:color w:val="auto"/>
          <w:highlight w:val="none"/>
          <w:u w:val="single"/>
          <w:lang w:val="en-US" w:eastAsia="zh-CN"/>
        </w:rPr>
        <w:t xml:space="preserve">6</w:t>
      </w:r>
      <w:r>
        <w:rPr>
          <w:rFonts w:hint="eastAsia" w:ascii="宋体" w:hAnsi="宋体" w:eastAsia="宋体" w:cs="宋体"/>
          <w:i/>
          <w:color w:val="auto"/>
          <w:highlight w:val="none"/>
          <w:u w:val="single"/>
          <w:lang w:val="en-US" w:eastAsia="zh-CN"/>
        </w:rPr>
        <w:t xml:space="preserve">、</w:t>
      </w:r>
      <w:r>
        <w:rPr>
          <w:rFonts w:hint="eastAsia" w:ascii="宋体" w:hAnsi="宋体" w:eastAsia="宋体" w:cs="宋体"/>
          <w:i/>
          <w:color w:val="auto"/>
          <w:highlight w:val="none"/>
          <w:u w:val="single"/>
        </w:rPr>
        <w:t xml:space="preserve">中标人在交付产品时不得更换投标文件所投产品的制造商</w:t>
      </w:r>
      <w:r>
        <w:rPr>
          <w:rFonts w:hint="eastAsia" w:ascii="宋体" w:hAnsi="宋体" w:eastAsia="宋体" w:cs="宋体"/>
          <w:i/>
          <w:color w:val="auto"/>
          <w:highlight w:val="none"/>
          <w:u w:val="single"/>
          <w:lang w:eastAsia="zh-CN"/>
        </w:rPr>
        <w:t xml:space="preserve">（</w:t>
      </w:r>
      <w:r>
        <w:rPr>
          <w:rFonts w:hint="eastAsia" w:ascii="宋体" w:hAnsi="宋体" w:eastAsia="宋体" w:cs="宋体"/>
          <w:i/>
          <w:color w:val="auto"/>
          <w:highlight w:val="none"/>
          <w:u w:val="single"/>
        </w:rPr>
        <w:t xml:space="preserve">生产者</w:t>
      </w:r>
      <w:r>
        <w:rPr>
          <w:rFonts w:hint="eastAsia" w:ascii="宋体" w:hAnsi="宋体" w:eastAsia="宋体" w:cs="宋体"/>
          <w:i/>
          <w:color w:val="auto"/>
          <w:highlight w:val="none"/>
          <w:u w:val="single"/>
          <w:lang w:eastAsia="zh-CN"/>
        </w:rPr>
        <w:t xml:space="preserve">）</w:t>
      </w:r>
      <w:r>
        <w:rPr>
          <w:rFonts w:hint="eastAsia" w:ascii="宋体" w:hAnsi="宋体" w:eastAsia="宋体" w:cs="宋体"/>
          <w:i/>
          <w:color w:val="auto"/>
          <w:highlight w:val="none"/>
          <w:u w:val="single"/>
        </w:rPr>
        <w:t xml:space="preserve">、规格、型号及技术参数；在产品验收时如所交付产品的技术参数不能满足投标文件要求和投标承诺，招标人将作退货处理，由此造成的损失，由投标人自行承担</w:t>
      </w:r>
      <w:r>
        <w:rPr>
          <w:rFonts w:hint="eastAsia" w:ascii="宋体" w:hAnsi="宋体" w:eastAsia="宋体" w:cs="宋体"/>
          <w:i/>
          <w:color w:val="auto"/>
          <w:highlight w:val="none"/>
          <w:u w:val="single"/>
          <w:lang w:eastAsia="zh-CN"/>
        </w:rPr>
        <w:t xml:space="preserve">，并</w:t>
      </w:r>
      <w:r>
        <w:rPr>
          <w:rFonts w:hint="eastAsia" w:ascii="宋体" w:hAnsi="宋体" w:eastAsia="宋体" w:cs="宋体"/>
          <w:i/>
          <w:color w:val="auto"/>
          <w:highlight w:val="none"/>
          <w:u w:val="single"/>
        </w:rPr>
        <w:t xml:space="preserve">追究相关的法律责任，并支付招标人合同总价10%的违约赔偿款。不予退货或整改的，招标人有权终止合同，</w:t>
      </w:r>
      <w:r>
        <w:rPr>
          <w:rFonts w:hint="eastAsia" w:ascii="宋体" w:hAnsi="宋体" w:eastAsia="宋体" w:cs="宋体"/>
          <w:i/>
          <w:color w:val="auto"/>
          <w:highlight w:val="none"/>
          <w:u w:val="single"/>
          <w:lang w:val="en-US" w:eastAsia="zh-CN"/>
        </w:rPr>
        <w:t xml:space="preserve">并按相关规定进行处罚</w:t>
      </w:r>
      <w:r>
        <w:rPr>
          <w:rFonts w:hint="eastAsia" w:ascii="宋体" w:hAnsi="宋体" w:eastAsia="宋体" w:cs="宋体"/>
          <w:i/>
          <w:color w:val="auto"/>
          <w:highlight w:val="none"/>
          <w:u w:val="single"/>
        </w:rPr>
        <w:t xml:space="preserve">。</w:t>
      </w:r>
      <w:r>
        <w:rPr>
          <w:rFonts w:hint="eastAsia" w:ascii="宋体" w:hAnsi="宋体" w:eastAsia="宋体" w:cs="宋体"/>
          <w:b/>
          <w:bCs/>
          <w:i/>
          <w:color w:val="auto"/>
          <w:highlight w:val="none"/>
          <w:u w:val="single"/>
        </w:rPr>
        <w:t xml:space="preserve">（投标人须提供承诺函，扫描上传）</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、节能产品要求</w:t>
      </w:r>
      <w:r/>
    </w:p>
    <w:p>
      <w:pPr>
        <w:ind w:firstLine="420"/>
        <w:jc w:val="left"/>
        <w:spacing w:line="360" w:lineRule="auto"/>
        <w:rPr>
          <w:rFonts w:hint="eastAsia" w:ascii="宋体" w:hAnsi="宋体" w:eastAsia="宋体" w:cs="宋体"/>
          <w:i/>
          <w:iCs/>
          <w:color w:val="auto"/>
          <w:highlight w:val="none"/>
          <w:u w:val="single"/>
          <w:lang w:val="en-US" w:eastAsia="zh-CN"/>
        </w:rPr>
      </w:pPr>
      <w:r>
        <w:rPr>
          <w:rFonts w:hint="eastAsia" w:ascii="宋体" w:hAnsi="宋体" w:eastAsia="宋体" w:cs="宋体"/>
          <w:color w:val="auto"/>
          <w:highlight w:val="none"/>
          <w:lang w:val="en-US" w:eastAsia="zh-CN"/>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查询，</w:t>
      </w:r>
      <w:r>
        <w:rPr>
          <w:rFonts w:hint="eastAsia" w:ascii="宋体" w:hAnsi="宋体" w:eastAsia="宋体" w:cs="宋体"/>
          <w:i/>
          <w:iCs/>
          <w:color w:val="auto"/>
          <w:highlight w:val="none"/>
          <w:u w:val="single"/>
          <w:lang w:val="en-US" w:eastAsia="zh-CN"/>
        </w:rPr>
        <w:t xml:space="preserve">并在投标文件内提供由国家确定的认证机构出具的、处于有效期之内的节能产品认证证书原件，扫描上传，否则视为无效投标。（本项目涉及强制采购范围内产品有：无）</w:t>
      </w:r>
      <w:r/>
    </w:p>
    <w:p>
      <w:pPr>
        <w:ind w:firstLine="422"/>
        <w:pageBreakBefore w:val="0"/>
        <w:spacing w:line="360" w:lineRule="auto"/>
        <w:widowControl w:val="off"/>
        <w:rPr>
          <w:rFonts w:hint="eastAsia" w:ascii="Times New Roman" w:hAnsi="Times New Roman" w:eastAsia="宋体" w:cs="宋体"/>
          <w:b/>
          <w:bCs/>
          <w:color w:val="auto"/>
          <w:szCs w:val="21"/>
          <w:highlight w:val="none"/>
        </w:rPr>
      </w:pPr>
      <w:r>
        <w:rPr>
          <w:rFonts w:hint="eastAsia"/>
          <w:b/>
          <w:bCs/>
          <w:color w:val="auto"/>
          <w:highlight w:val="none"/>
          <w:lang w:val="en-US" w:eastAsia="zh-CN"/>
        </w:rPr>
        <w:t xml:space="preserve">六、</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1.本项目对采购本国产品给予政策支持，具体内容见招标文件“第五章评标方法与评标标准”。</w:t>
      </w:r>
      <w:r/>
    </w:p>
    <w:p>
      <w:pPr>
        <w:ind w:firstLine="422"/>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default" w:eastAsia="宋体"/>
          <w:color w:val="auto"/>
          <w:highlight w:val="none"/>
          <w:lang w:val="en-US" w:eastAsia="zh-CN"/>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br w:type="page" w:clear="all"/>
      </w:r>
      <w:r/>
    </w:p>
    <w:p>
      <w:pPr>
        <w:pStyle w:val="687"/>
        <w:numPr>
          <w:ilvl w:val="-1"/>
          <w:numId w:val="0"/>
        </w:numPr>
        <w:spacing w:before="181" w:after="181"/>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lang w:val="en-US" w:eastAsia="zh-CN"/>
        </w:rPr>
        <w:t xml:space="preserve">第五章  </w:t>
      </w:r>
      <w:bookmarkStart w:id="99" w:name="_Toc2135"/>
      <w:r/>
      <w:bookmarkStart w:id="100" w:name="_Toc21220"/>
      <w:r>
        <w:rPr>
          <w:rFonts w:hint="eastAsia" w:ascii="宋体" w:hAnsi="宋体" w:eastAsia="宋体" w:cs="宋体"/>
          <w:b/>
          <w:bCs/>
          <w:color w:val="auto"/>
          <w:sz w:val="32"/>
          <w:szCs w:val="44"/>
          <w:highlight w:val="none"/>
        </w:rPr>
        <w:t xml:space="preserve">评标方法及评标标准</w:t>
      </w:r>
      <w:bookmarkEnd w:id="99"/>
      <w:r/>
      <w:bookmarkEnd w:id="100"/>
      <w:r/>
      <w:r/>
    </w:p>
    <w:p>
      <w:pPr>
        <w:pStyle w:val="88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一、评标方法</w:t>
      </w:r>
      <w:r/>
    </w:p>
    <w:p>
      <w:pPr>
        <w:pStyle w:val="885"/>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文件要求的响应文件进行评价和比较。评标结果按评审后得分由高到低顺序排列。得分相同的，按投标报价由低到高顺序排列。得分且投标报价相同的并列响应文件满足</w:t>
      </w:r>
      <w:r>
        <w:rPr>
          <w:rFonts w:hint="eastAsia"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文件全部实质性要求，且按照</w:t>
      </w:r>
      <w:r>
        <w:rPr>
          <w:rFonts w:hint="eastAsia" w:cs="宋体"/>
          <w:color w:val="auto"/>
          <w:sz w:val="21"/>
          <w:szCs w:val="21"/>
          <w:highlight w:val="none"/>
          <w:lang w:val="en-US" w:eastAsia="zh-CN"/>
        </w:rPr>
        <w:t xml:space="preserve">产品性能</w:t>
      </w:r>
      <w:r>
        <w:rPr>
          <w:rFonts w:hint="eastAsia" w:ascii="宋体" w:hAnsi="宋体" w:eastAsia="宋体" w:cs="宋体"/>
          <w:color w:val="auto"/>
          <w:sz w:val="21"/>
          <w:szCs w:val="21"/>
          <w:highlight w:val="none"/>
        </w:rPr>
        <w:t xml:space="preserve">评审得分最高的投标人为排名第一的成交候选人。</w:t>
      </w:r>
      <w:r/>
    </w:p>
    <w:p>
      <w:pPr>
        <w:pStyle w:val="885"/>
        <w:ind w:firstLine="211"/>
        <w:spacing w:line="360" w:lineRule="auto"/>
        <w:rPr>
          <w:rFonts w:ascii="宋体" w:hAnsi="宋体" w:eastAsia="宋体" w:cs="宋体"/>
          <w:b/>
          <w:bCs/>
          <w:color w:val="auto"/>
          <w:sz w:val="21"/>
          <w:szCs w:val="21"/>
          <w:highlight w:val="none"/>
        </w:rPr>
      </w:pPr>
      <w:r/>
      <w:bookmarkStart w:id="101" w:name="_Toc449017024"/>
      <w:r/>
      <w:bookmarkStart w:id="102" w:name="_Toc449016388"/>
      <w:r>
        <w:rPr>
          <w:rFonts w:hint="eastAsia" w:ascii="宋体" w:hAnsi="宋体" w:eastAsia="宋体" w:cs="宋体"/>
          <w:b/>
          <w:bCs/>
          <w:color w:val="auto"/>
          <w:sz w:val="21"/>
          <w:szCs w:val="21"/>
          <w:highlight w:val="none"/>
        </w:rPr>
        <w:t xml:space="preserve">二、</w:t>
      </w:r>
      <w:bookmarkEnd w:id="101"/>
      <w:r/>
      <w:bookmarkEnd w:id="102"/>
      <w:r>
        <w:rPr>
          <w:rFonts w:hint="eastAsia" w:ascii="宋体" w:hAnsi="宋体" w:cs="宋体"/>
          <w:b/>
          <w:color w:val="auto"/>
          <w:szCs w:val="21"/>
          <w:highlight w:val="none"/>
        </w:rPr>
        <w:t xml:space="preserve">政府采购政策功能落实</w:t>
      </w:r>
      <w:r/>
    </w:p>
    <w:p>
      <w:pPr>
        <w:pStyle w:val="898"/>
        <w:ind w:firstLine="422"/>
        <w:spacing w:before="0" w:after="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按照《政府采购促进中小企业发展管理办法》的规定，未预留份额专门面向中小企业采购的采购项目或分包，对符合条件的</w:t>
      </w:r>
      <w:r>
        <w:rPr>
          <w:rFonts w:hint="eastAsia" w:ascii="宋体" w:hAnsi="宋体" w:cs="宋体"/>
          <w:b/>
          <w:bCs/>
          <w:color w:val="auto"/>
          <w:sz w:val="21"/>
          <w:szCs w:val="21"/>
          <w:highlight w:val="none"/>
          <w:lang w:val="en-US" w:eastAsia="zh-CN"/>
        </w:rPr>
        <w:t xml:space="preserve">本国的</w:t>
      </w:r>
      <w:r>
        <w:rPr>
          <w:rFonts w:hint="eastAsia" w:ascii="宋体" w:hAnsi="宋体" w:eastAsia="宋体" w:cs="宋体"/>
          <w:b/>
          <w:bCs/>
          <w:color w:val="auto"/>
          <w:sz w:val="21"/>
          <w:szCs w:val="21"/>
          <w:highlight w:val="none"/>
        </w:rPr>
        <w:t xml:space="preserve">小微型企业、监狱和戒毒企业价格或残疾人福利单位所制造生产的货物或提供的服务进行价格扣除，具体如下：</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%的扣除价格，用扣除后的价格参与评审。</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%的价格扣除，用扣除后的价格参与评审。</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%的价格扣除，用扣除后的价格参与评审。</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%的价格扣除，用扣除后的价格参与评审。</w:t>
      </w:r>
      <w:r/>
    </w:p>
    <w:p>
      <w:pPr>
        <w:pStyle w:val="898"/>
        <w:ind w:firstLine="420"/>
        <w:spacing w:before="0" w:after="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根据《国务院办公厅关于在政府采购中实施本国产品标准及相关政策的通知》、关于贯彻落实《国务院办公厅关于在政府采购中实施本国产</w:t>
      </w:r>
      <w:r>
        <w:rPr>
          <w:rFonts w:hint="eastAsia" w:ascii="宋体" w:hAnsi="宋体" w:eastAsia="宋体" w:cs="宋体"/>
          <w:b/>
          <w:bCs/>
          <w:color w:val="auto"/>
          <w:sz w:val="21"/>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898"/>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评标标准</w:t>
      </w:r>
      <w:r/>
    </w:p>
    <w:tbl>
      <w:tblPr>
        <w:tblStyle w:val="6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7349"/>
      </w:tblGrid>
      <w:tr>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rPr>
              <w:outlineLvl w:val="0"/>
            </w:pPr>
            <w:r>
              <w:rPr>
                <w:rFonts w:ascii="Times New Roman" w:hAnsi="Times New Roman" w:cs="宋体"/>
                <w:color w:val="auto"/>
                <w:szCs w:val="21"/>
                <w:highlight w:val="none"/>
              </w:rPr>
              <w:t xml:space="preserve">项目</w:t>
            </w:r>
            <w:r/>
          </w:p>
        </w:tc>
        <w:tc>
          <w:tcPr>
            <w:tcW w:w="4312"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rPr>
              <w:outlineLvl w:val="0"/>
            </w:pPr>
            <w:r>
              <w:rPr>
                <w:rFonts w:ascii="Times New Roman" w:hAnsi="Times New Roman" w:cs="宋体"/>
                <w:color w:val="auto"/>
                <w:szCs w:val="21"/>
                <w:highlight w:val="none"/>
              </w:rPr>
              <w:t xml:space="preserve">评分标准</w:t>
            </w:r>
            <w:r/>
          </w:p>
        </w:tc>
      </w:tr>
      <w:tr>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lang w:val="zh-CN"/>
              </w:rPr>
              <w:outlineLvl w:val="0"/>
            </w:pPr>
            <w:r>
              <w:rPr>
                <w:rFonts w:ascii="Times New Roman" w:hAnsi="Times New Roman" w:cs="宋体"/>
                <w:color w:val="auto"/>
                <w:szCs w:val="21"/>
                <w:highlight w:val="none"/>
                <w:lang w:val="zh-CN"/>
              </w:rPr>
              <w:t xml:space="preserve">价  格</w:t>
            </w:r>
            <w:r/>
          </w:p>
          <w:p>
            <w:pPr>
              <w:jc w:val="center"/>
              <w:keepLines w:val="0"/>
              <w:keepNext w:val="0"/>
              <w:pageBreakBefore w:val="0"/>
              <w:spacing w:line="360" w:lineRule="auto"/>
              <w:widowControl/>
              <w:rPr>
                <w:rFonts w:ascii="Times New Roman" w:hAnsi="Times New Roman" w:cs="宋体"/>
                <w:color w:val="auto"/>
                <w:szCs w:val="21"/>
                <w:highlight w:val="none"/>
              </w:rPr>
              <w:outlineLvl w:val="0"/>
            </w:pPr>
            <w:r>
              <w:rPr>
                <w:rFonts w:ascii="Times New Roman" w:hAnsi="Times New Roman" w:cs="宋体"/>
                <w:color w:val="auto"/>
                <w:szCs w:val="21"/>
                <w:highlight w:val="none"/>
                <w:lang w:val="zh-CN"/>
              </w:rPr>
              <w:t xml:space="preserve">（</w:t>
            </w:r>
            <w:r>
              <w:rPr>
                <w:rFonts w:ascii="Times New Roman" w:hAnsi="Times New Roman" w:cs="宋体"/>
                <w:color w:val="auto"/>
                <w:szCs w:val="21"/>
                <w:highlight w:val="none"/>
              </w:rPr>
              <w:t xml:space="preserve">3</w:t>
            </w:r>
            <w:r>
              <w:rPr>
                <w:rFonts w:ascii="Times New Roman" w:hAnsi="Times New Roman" w:cs="宋体"/>
                <w:color w:val="auto"/>
                <w:szCs w:val="21"/>
                <w:highlight w:val="none"/>
                <w:lang w:val="zh-CN"/>
              </w:rPr>
              <w:t xml:space="preserve">0分）</w:t>
            </w:r>
            <w:r/>
          </w:p>
        </w:tc>
        <w:tc>
          <w:tcPr>
            <w:tcW w:w="4312" w:type="pct"/>
            <w:vAlign w:val="center"/>
            <w:textDirection w:val="lrTb"/>
            <w:noWrap w:val="false"/>
          </w:tcPr>
          <w:p>
            <w:pPr>
              <w:jc w:val="left"/>
              <w:keepLines w:val="0"/>
              <w:keepNext w:val="0"/>
              <w:pageBreakBefore w:val="0"/>
              <w:spacing w:line="360" w:lineRule="auto"/>
              <w:widowControl/>
              <w:rPr>
                <w:rFonts w:ascii="Times New Roman" w:hAnsi="Times New Roman" w:cs="宋体"/>
                <w:color w:val="auto"/>
                <w:szCs w:val="21"/>
                <w:highlight w:val="none"/>
              </w:rPr>
              <w:outlineLvl w:val="0"/>
            </w:pPr>
            <w:r>
              <w:rPr>
                <w:rFonts w:ascii="Times New Roman" w:hAnsi="Times New Roman" w:cs="宋体"/>
                <w:color w:val="auto"/>
                <w:szCs w:val="21"/>
                <w:highlight w:val="none"/>
              </w:rPr>
              <w:t xml:space="preserve">以满足招标文件要求且投标价格最低的投标报价为评标基准价，其价格为满分30分。其他投标人的价格分统一按照下列公式计算：投标报价得分＝（评标基准价/投标报价）×30</w:t>
            </w:r>
            <w:r>
              <w:rPr>
                <w:rFonts w:hint="eastAsia" w:ascii="Times New Roman" w:hAnsi="Times New Roman" w:cs="宋体"/>
                <w:color w:val="auto"/>
                <w:szCs w:val="21"/>
                <w:highlight w:val="none"/>
                <w:lang w:eastAsia="zh-CN"/>
              </w:rPr>
              <w:t xml:space="preserve">。</w:t>
            </w:r>
            <w:r>
              <w:rPr>
                <w:rFonts w:ascii="Times New Roman" w:hAnsi="Times New Roman" w:cs="宋体"/>
                <w:color w:val="auto"/>
                <w:szCs w:val="21"/>
                <w:highlight w:val="none"/>
              </w:rPr>
              <w:t xml:space="preserve">（保留两位小数）</w:t>
            </w:r>
            <w:r/>
          </w:p>
        </w:tc>
      </w:tr>
      <w:tr>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t xml:space="preserve">产品性能（</w:t>
            </w:r>
            <w:r>
              <w:rPr>
                <w:rFonts w:hint="eastAsia" w:ascii="Times New Roman" w:hAnsi="Times New Roman" w:cs="宋体"/>
                <w:color w:val="auto"/>
                <w:szCs w:val="21"/>
                <w:highlight w:val="none"/>
                <w:lang w:val="en-US" w:eastAsia="zh-CN"/>
              </w:rPr>
              <w:t xml:space="preserve">30</w:t>
            </w:r>
            <w:r>
              <w:rPr>
                <w:rFonts w:ascii="Times New Roman" w:hAnsi="Times New Roman" w:cs="宋体"/>
                <w:color w:val="auto"/>
                <w:szCs w:val="21"/>
                <w:highlight w:val="none"/>
                <w:lang w:val="zh-CN"/>
              </w:rPr>
              <w:t xml:space="preserve">分）</w:t>
            </w:r>
            <w:r/>
          </w:p>
        </w:tc>
        <w:tc>
          <w:tcPr>
            <w:tcW w:w="4312" w:type="pct"/>
            <w:vAlign w:val="center"/>
            <w:textDirection w:val="lrTb"/>
            <w:noWrap w:val="false"/>
          </w:tcPr>
          <w:p>
            <w:pPr>
              <w:jc w:val="left"/>
              <w:keepLines w:val="0"/>
              <w:keepNext w:val="0"/>
              <w:pageBreakBefore w:val="0"/>
              <w:spacing w:line="360" w:lineRule="auto"/>
              <w:widowControl/>
              <w:rPr>
                <w:rFonts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评委根据招标文件第四章项目需求中</w:t>
            </w:r>
            <w:r>
              <w:rPr>
                <w:rFonts w:hint="eastAsia" w:ascii="Times New Roman" w:hAnsi="Times New Roman" w:cs="宋体"/>
                <w:color w:val="auto"/>
                <w:szCs w:val="21"/>
                <w:highlight w:val="none"/>
              </w:rPr>
              <w:t xml:space="preserve">各设备要求的</w:t>
            </w:r>
            <w:r>
              <w:rPr>
                <w:rFonts w:hint="eastAsia" w:ascii="Times New Roman" w:hAnsi="Times New Roman" w:cs="宋体"/>
                <w:color w:val="auto"/>
                <w:szCs w:val="21"/>
                <w:highlight w:val="none"/>
                <w:lang w:val="zh-CN"/>
              </w:rPr>
              <w:t xml:space="preserve">【</w:t>
            </w:r>
            <w:r>
              <w:rPr>
                <w:rFonts w:hint="eastAsia" w:ascii="Times New Roman" w:hAnsi="Times New Roman" w:cs="宋体"/>
                <w:color w:val="auto"/>
                <w:szCs w:val="21"/>
                <w:highlight w:val="none"/>
                <w:lang w:val="en-US" w:eastAsia="zh-CN"/>
              </w:rPr>
              <w:t xml:space="preserve">二、</w:t>
            </w:r>
            <w:r>
              <w:rPr>
                <w:rFonts w:hint="eastAsia" w:ascii="Times New Roman" w:hAnsi="Times New Roman" w:cs="宋体"/>
                <w:color w:val="auto"/>
                <w:szCs w:val="21"/>
                <w:highlight w:val="none"/>
              </w:rPr>
              <w:t xml:space="preserve">技术参数及配置要求</w:t>
            </w:r>
            <w:r>
              <w:rPr>
                <w:rFonts w:hint="eastAsia" w:ascii="Times New Roman" w:hAnsi="Times New Roman" w:cs="宋体"/>
                <w:color w:val="auto"/>
                <w:szCs w:val="21"/>
                <w:highlight w:val="none"/>
                <w:lang w:val="zh-CN"/>
              </w:rPr>
              <w:t xml:space="preserve">】以及投标文件提供的佐证材料等进行评审：所投产品技术参数全部满足或者优于招标文件要求的得满分</w:t>
            </w:r>
            <w:r>
              <w:rPr>
                <w:rFonts w:hint="eastAsia" w:ascii="Times New Roman" w:hAnsi="Times New Roman" w:cs="宋体"/>
                <w:color w:val="auto"/>
                <w:szCs w:val="21"/>
                <w:highlight w:val="none"/>
                <w:lang w:val="en-US" w:eastAsia="zh-CN"/>
              </w:rPr>
              <w:t xml:space="preserve">30</w:t>
            </w:r>
            <w:r>
              <w:rPr>
                <w:rFonts w:hint="eastAsia" w:ascii="Times New Roman" w:hAnsi="Times New Roman" w:cs="宋体"/>
                <w:color w:val="auto"/>
                <w:szCs w:val="21"/>
                <w:highlight w:val="none"/>
                <w:lang w:val="zh-CN"/>
              </w:rPr>
              <w:t xml:space="preserve">分。带“★”号项指标参数</w:t>
            </w:r>
            <w:r>
              <w:rPr>
                <w:rFonts w:ascii="Times New Roman" w:hAnsi="Times New Roman" w:cs="宋体"/>
                <w:color w:val="auto"/>
                <w:szCs w:val="21"/>
                <w:highlight w:val="none"/>
                <w:lang w:val="zh-CN"/>
              </w:rPr>
              <w:t xml:space="preserve">为实质性条款，</w:t>
            </w:r>
            <w:r>
              <w:rPr>
                <w:rFonts w:hint="eastAsia" w:ascii="Times New Roman" w:hAnsi="Times New Roman" w:cs="宋体"/>
                <w:color w:val="auto"/>
                <w:szCs w:val="21"/>
                <w:highlight w:val="none"/>
                <w:lang w:val="en-US" w:eastAsia="zh-CN"/>
              </w:rPr>
              <w:t xml:space="preserve">不参与分值计算，</w:t>
            </w:r>
            <w:r>
              <w:rPr>
                <w:rFonts w:ascii="Times New Roman" w:hAnsi="Times New Roman" w:cs="宋体"/>
                <w:color w:val="auto"/>
                <w:szCs w:val="21"/>
                <w:highlight w:val="none"/>
                <w:lang w:val="zh-CN"/>
              </w:rPr>
              <w:t xml:space="preserve">如不满足，则为无效投标。</w:t>
            </w:r>
            <w:r/>
          </w:p>
          <w:p>
            <w:pPr>
              <w:jc w:val="left"/>
              <w:keepLines w:val="0"/>
              <w:keepNext w:val="0"/>
              <w:pageBreakBefore w:val="0"/>
              <w:spacing w:line="360" w:lineRule="auto"/>
              <w:widowControl/>
              <w:rPr>
                <w:rFonts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带“▲”为重要参数，</w:t>
            </w:r>
            <w:r>
              <w:rPr>
                <w:rFonts w:hint="eastAsia" w:ascii="Times New Roman" w:hAnsi="Times New Roman" w:cs="宋体"/>
                <w:color w:val="auto"/>
                <w:szCs w:val="21"/>
                <w:highlight w:val="none"/>
                <w:lang w:val="en-US" w:eastAsia="zh-CN"/>
              </w:rPr>
              <w:t xml:space="preserve">共1</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en-US" w:eastAsia="zh-CN"/>
              </w:rPr>
              <w:t xml:space="preserve">条，</w:t>
            </w:r>
            <w:r>
              <w:rPr>
                <w:rFonts w:hint="eastAsia" w:ascii="Times New Roman" w:hAnsi="Times New Roman" w:cs="宋体"/>
                <w:color w:val="auto"/>
                <w:szCs w:val="21"/>
                <w:highlight w:val="none"/>
                <w:lang w:val="zh-CN"/>
              </w:rPr>
              <w:t xml:space="preserve">每有1项负偏离（不满足）扣</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分，总分</w:t>
            </w:r>
            <w:r>
              <w:rPr>
                <w:rFonts w:hint="eastAsia" w:ascii="Times New Roman" w:hAnsi="Times New Roman" w:cs="宋体"/>
                <w:color w:val="auto"/>
                <w:szCs w:val="21"/>
                <w:highlight w:val="none"/>
                <w:lang w:val="en-US" w:eastAsia="zh-CN"/>
              </w:rPr>
              <w:t xml:space="preserve">2</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扣完为止。</w:t>
            </w:r>
            <w:r/>
          </w:p>
          <w:p>
            <w:pPr>
              <w:jc w:val="left"/>
              <w:keepLines w:val="0"/>
              <w:keepNext w:val="0"/>
              <w:pageBreakBefore w:val="0"/>
              <w:spacing w:line="360" w:lineRule="auto"/>
              <w:widowControl/>
              <w:rPr>
                <w:rFonts w:hint="eastAsia" w:ascii="Times New Roman" w:hAnsi="Times New Roman" w:cs="宋体"/>
                <w:strike w:val="0"/>
                <w:color w:val="auto"/>
                <w:szCs w:val="21"/>
                <w:highlight w:val="none"/>
                <w:lang w:val="zh-CN"/>
              </w:rPr>
              <w:outlineLvl w:val="0"/>
            </w:pPr>
            <w:r>
              <w:rPr>
                <w:rFonts w:hint="eastAsia" w:ascii="Times New Roman" w:hAnsi="Times New Roman" w:cs="宋体"/>
                <w:strike w:val="0"/>
                <w:color w:val="auto"/>
                <w:szCs w:val="21"/>
                <w:highlight w:val="none"/>
                <w:lang w:val="zh-CN"/>
              </w:rPr>
              <w:t xml:space="preserve">2</w:t>
            </w:r>
            <w:r>
              <w:rPr>
                <w:rFonts w:hint="eastAsia" w:ascii="Times New Roman" w:hAnsi="Times New Roman" w:cs="宋体"/>
                <w:strike w:val="0"/>
                <w:color w:val="auto"/>
                <w:szCs w:val="21"/>
                <w:highlight w:val="none"/>
                <w:lang w:val="en-US" w:eastAsia="zh-CN"/>
              </w:rPr>
              <w:t xml:space="preserve">.</w:t>
            </w:r>
            <w:r>
              <w:rPr>
                <w:rFonts w:hint="eastAsia" w:ascii="Times New Roman" w:hAnsi="Times New Roman" w:cs="宋体"/>
                <w:strike w:val="0"/>
                <w:color w:val="auto"/>
                <w:szCs w:val="21"/>
                <w:highlight w:val="none"/>
                <w:lang w:val="zh-CN"/>
              </w:rPr>
              <w:t xml:space="preserve">其他项作一般技术要求，</w:t>
            </w:r>
            <w:r>
              <w:rPr>
                <w:rFonts w:hint="eastAsia" w:ascii="Times New Roman" w:hAnsi="Times New Roman" w:cs="宋体"/>
                <w:strike w:val="0"/>
                <w:color w:val="auto"/>
                <w:szCs w:val="21"/>
                <w:highlight w:val="none"/>
                <w:lang w:val="en-US" w:eastAsia="zh-CN"/>
              </w:rPr>
              <w:t xml:space="preserve">共计</w:t>
            </w:r>
            <w:r>
              <w:rPr>
                <w:rFonts w:hint="eastAsia" w:cs="宋体"/>
                <w:strike w:val="0"/>
                <w:color w:val="auto"/>
                <w:szCs w:val="21"/>
                <w:highlight w:val="none"/>
                <w:lang w:val="en-US" w:eastAsia="zh-CN"/>
              </w:rPr>
              <w:t xml:space="preserve">8</w:t>
            </w:r>
            <w:r>
              <w:rPr>
                <w:rFonts w:hint="eastAsia" w:ascii="Times New Roman" w:hAnsi="Times New Roman" w:cs="宋体"/>
                <w:strike w:val="0"/>
                <w:color w:val="auto"/>
                <w:szCs w:val="21"/>
                <w:highlight w:val="none"/>
                <w:lang w:val="en-US" w:eastAsia="zh-CN"/>
              </w:rPr>
              <w:t xml:space="preserve">分</w:t>
            </w:r>
            <w:r>
              <w:rPr>
                <w:rFonts w:hint="eastAsia" w:cs="宋体"/>
                <w:strike w:val="0"/>
                <w:color w:val="auto"/>
                <w:szCs w:val="21"/>
                <w:highlight w:val="none"/>
                <w:lang w:val="zh-CN"/>
              </w:rPr>
              <w:t xml:space="preserve">，</w:t>
            </w:r>
            <w:r>
              <w:rPr>
                <w:rFonts w:hint="eastAsia" w:ascii="Times New Roman" w:hAnsi="Times New Roman" w:cs="宋体"/>
                <w:strike w:val="0"/>
                <w:color w:val="auto"/>
                <w:szCs w:val="21"/>
                <w:highlight w:val="none"/>
                <w:lang w:val="zh-CN"/>
              </w:rPr>
              <w:t xml:space="preserve">须在《技术参数响应及偏离表》中逐条应答</w:t>
            </w:r>
            <w:r>
              <w:rPr>
                <w:rFonts w:hint="eastAsia" w:ascii="Times New Roman" w:hAnsi="Times New Roman" w:cs="宋体"/>
                <w:strike w:val="0"/>
                <w:color w:val="auto"/>
                <w:szCs w:val="21"/>
                <w:highlight w:val="none"/>
                <w:lang w:val="en-US" w:eastAsia="zh-CN"/>
              </w:rPr>
              <w:t xml:space="preserve">并按要求提供证明材料</w:t>
            </w:r>
            <w:r>
              <w:rPr>
                <w:rFonts w:hint="eastAsia" w:ascii="Times New Roman" w:hAnsi="Times New Roman" w:cs="宋体"/>
                <w:strike w:val="0"/>
                <w:color w:val="auto"/>
                <w:szCs w:val="21"/>
                <w:highlight w:val="none"/>
                <w:lang w:val="zh-CN"/>
              </w:rPr>
              <w:t xml:space="preserve">，</w:t>
            </w:r>
            <w:r>
              <w:rPr>
                <w:rFonts w:hint="eastAsia" w:ascii="Times New Roman" w:hAnsi="Times New Roman" w:cs="宋体"/>
                <w:strike w:val="0"/>
                <w:color w:val="auto"/>
                <w:szCs w:val="21"/>
                <w:highlight w:val="none"/>
                <w:lang w:val="en-US" w:eastAsia="zh-CN"/>
              </w:rPr>
              <w:t xml:space="preserve">负偏离1-2项扣</w:t>
            </w:r>
            <w:r>
              <w:rPr>
                <w:rFonts w:hint="eastAsia" w:cs="宋体"/>
                <w:strike w:val="0"/>
                <w:color w:val="auto"/>
                <w:szCs w:val="21"/>
                <w:highlight w:val="none"/>
                <w:lang w:val="en-US" w:eastAsia="zh-CN"/>
              </w:rPr>
              <w:t xml:space="preserve">2</w:t>
            </w:r>
            <w:r>
              <w:rPr>
                <w:rFonts w:hint="eastAsia" w:ascii="Times New Roman" w:hAnsi="Times New Roman" w:cs="宋体"/>
                <w:strike w:val="0"/>
                <w:color w:val="auto"/>
                <w:szCs w:val="21"/>
                <w:highlight w:val="none"/>
                <w:lang w:val="en-US" w:eastAsia="zh-CN"/>
              </w:rPr>
              <w:t xml:space="preserve">分；负偏离3-4项扣</w:t>
            </w:r>
            <w:r>
              <w:rPr>
                <w:rFonts w:hint="eastAsia" w:cs="宋体"/>
                <w:strike w:val="0"/>
                <w:color w:val="auto"/>
                <w:szCs w:val="21"/>
                <w:highlight w:val="none"/>
                <w:lang w:val="en-US" w:eastAsia="zh-CN"/>
              </w:rPr>
              <w:t xml:space="preserve">4</w:t>
            </w:r>
            <w:r>
              <w:rPr>
                <w:rFonts w:hint="eastAsia" w:ascii="Times New Roman" w:hAnsi="Times New Roman" w:cs="宋体"/>
                <w:strike w:val="0"/>
                <w:color w:val="auto"/>
                <w:szCs w:val="21"/>
                <w:highlight w:val="none"/>
                <w:lang w:val="en-US" w:eastAsia="zh-CN"/>
              </w:rPr>
              <w:t xml:space="preserve">分；负偏离5-6项扣</w:t>
            </w:r>
            <w:r>
              <w:rPr>
                <w:rFonts w:hint="eastAsia" w:cs="宋体"/>
                <w:strike w:val="0"/>
                <w:color w:val="auto"/>
                <w:szCs w:val="21"/>
                <w:highlight w:val="none"/>
                <w:lang w:val="en-US" w:eastAsia="zh-CN"/>
              </w:rPr>
              <w:t xml:space="preserve">6</w:t>
            </w:r>
            <w:r>
              <w:rPr>
                <w:rFonts w:hint="eastAsia" w:ascii="Times New Roman" w:hAnsi="Times New Roman" w:cs="宋体"/>
                <w:strike w:val="0"/>
                <w:color w:val="auto"/>
                <w:szCs w:val="21"/>
                <w:highlight w:val="none"/>
                <w:lang w:val="en-US" w:eastAsia="zh-CN"/>
              </w:rPr>
              <w:t xml:space="preserve">分；负偏离7-9项扣</w:t>
            </w:r>
            <w:r>
              <w:rPr>
                <w:rFonts w:hint="eastAsia" w:cs="宋体"/>
                <w:strike w:val="0"/>
                <w:color w:val="auto"/>
                <w:szCs w:val="21"/>
                <w:highlight w:val="none"/>
                <w:lang w:val="en-US" w:eastAsia="zh-CN"/>
              </w:rPr>
              <w:t xml:space="preserve">8</w:t>
            </w:r>
            <w:r>
              <w:rPr>
                <w:rFonts w:hint="eastAsia" w:ascii="Times New Roman" w:hAnsi="Times New Roman" w:cs="宋体"/>
                <w:strike w:val="0"/>
                <w:color w:val="auto"/>
                <w:szCs w:val="21"/>
                <w:highlight w:val="none"/>
                <w:lang w:val="en-US" w:eastAsia="zh-CN"/>
              </w:rPr>
              <w:t xml:space="preserve">分</w:t>
            </w:r>
            <w:r>
              <w:rPr>
                <w:rFonts w:hint="eastAsia" w:ascii="Times New Roman" w:hAnsi="Times New Roman" w:cs="宋体"/>
                <w:strike w:val="0"/>
                <w:color w:val="auto"/>
                <w:szCs w:val="21"/>
                <w:highlight w:val="none"/>
                <w:lang w:val="zh-CN"/>
              </w:rPr>
              <w:t xml:space="preserve">。</w:t>
            </w:r>
            <w:r/>
          </w:p>
          <w:p>
            <w:pPr>
              <w:keepLines w:val="0"/>
              <w:keepNext w:val="0"/>
              <w:pageBreakBefore w:val="0"/>
              <w:spacing w:line="360" w:lineRule="auto"/>
              <w:rPr>
                <w:rFonts w:hint="eastAsia"/>
                <w:color w:val="auto"/>
                <w:highlight w:val="none"/>
              </w:rPr>
            </w:pPr>
            <w:r>
              <w:rPr>
                <w:rFonts w:hint="eastAsia" w:ascii="宋体" w:hAnsi="宋体" w:cs="宋体"/>
                <w:b/>
                <w:bCs/>
                <w:color w:val="auto"/>
                <w:szCs w:val="21"/>
                <w:highlight w:val="none"/>
              </w:rPr>
              <w:t xml:space="preserve">注：</w:t>
            </w:r>
            <w:r>
              <w:rPr>
                <w:rFonts w:hint="eastAsia" w:ascii="Times New Roman" w:hAnsi="Times New Roman" w:cs="宋体"/>
                <w:color w:val="auto"/>
                <w:szCs w:val="21"/>
                <w:highlight w:val="none"/>
                <w:lang w:val="zh-CN"/>
              </w:rPr>
              <w:t xml:space="preserve">“▲”</w:t>
            </w:r>
            <w:r>
              <w:rPr>
                <w:rFonts w:hint="eastAsia" w:ascii="宋体" w:hAnsi="宋体" w:cs="宋体"/>
                <w:b/>
                <w:bCs/>
                <w:color w:val="auto"/>
                <w:szCs w:val="21"/>
                <w:highlight w:val="none"/>
              </w:rPr>
              <w:t xml:space="preserve">重要参数</w:t>
            </w:r>
            <w:r>
              <w:rPr>
                <w:rFonts w:hint="eastAsia" w:ascii="宋体" w:hAnsi="宋体" w:cs="宋体"/>
                <w:b/>
                <w:bCs/>
                <w:color w:val="auto"/>
                <w:szCs w:val="21"/>
                <w:highlight w:val="none"/>
                <w:lang w:val="en-US" w:eastAsia="zh-CN"/>
              </w:rPr>
              <w:t xml:space="preserve">应按招标文件要求提供相关证明材料，</w:t>
            </w:r>
            <w:r>
              <w:rPr>
                <w:rFonts w:hint="eastAsia" w:ascii="宋体" w:hAnsi="宋体" w:cs="宋体"/>
                <w:b/>
                <w:bCs/>
                <w:color w:val="auto"/>
                <w:szCs w:val="21"/>
                <w:highlight w:val="none"/>
              </w:rPr>
              <w:t xml:space="preserve">上传系统，并同时须在《技术参数响应及偏离表》中逐条应答，未按要求提供证明材料并逐条应答的视为负偏离，评审时不予认可。</w:t>
            </w:r>
            <w:r/>
          </w:p>
          <w:p>
            <w:pPr>
              <w:keepLines w:val="0"/>
              <w:keepNext w:val="0"/>
              <w:pageBreakBefore w:val="0"/>
              <w:spacing w:line="360" w:lineRule="auto"/>
              <w:rPr>
                <w:rFonts w:hint="eastAsia"/>
                <w:b/>
                <w:bCs/>
                <w:color w:val="auto"/>
                <w:highlight w:val="none"/>
              </w:rPr>
            </w:pPr>
            <w:r>
              <w:rPr>
                <w:rFonts w:hint="eastAsia" w:ascii="宋体" w:hAnsi="宋体" w:cs="宋体"/>
                <w:b/>
                <w:bCs/>
                <w:color w:val="auto"/>
                <w:szCs w:val="21"/>
                <w:highlight w:val="none"/>
              </w:rPr>
              <w:t xml:space="preserve">若“</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”号项重要指标的负偏离项数≥</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项或一般技术要求项指标的负偏离项数≥10项，则视为无法实现技术指标功能，【产品性能】整项评审项不得</w:t>
            </w:r>
            <w:r>
              <w:rPr>
                <w:rFonts w:hint="eastAsia"/>
                <w:b/>
                <w:bCs/>
                <w:color w:val="auto"/>
                <w:highlight w:val="none"/>
              </w:rPr>
              <w:t xml:space="preserve">分。</w:t>
            </w:r>
            <w:r/>
          </w:p>
          <w:p>
            <w:pPr>
              <w:spacing w:line="360" w:lineRule="auto"/>
              <w:rPr>
                <w:rFonts w:ascii="Times New Roman" w:hAnsi="Times New Roman" w:cs="宋体"/>
                <w:color w:val="auto"/>
                <w:szCs w:val="21"/>
                <w:highlight w:val="none"/>
                <w:lang w:val="zh-CN"/>
              </w:rPr>
            </w:pPr>
            <w:r>
              <w:rPr>
                <w:rFonts w:hint="eastAsia"/>
                <w:b/>
                <w:bCs/>
                <w:color w:val="auto"/>
                <w:highlight w:val="none"/>
              </w:rPr>
              <w:t xml:space="preserve">设备交付验收时，招标人将对技术要求的具体描述进行逐一核实验收，如发现虚假应标，给招标人造成损失的由投标人承担一切责任。</w:t>
            </w:r>
            <w:r/>
          </w:p>
        </w:tc>
      </w:tr>
      <w:tr>
        <w:trPr>
          <w:trHeight w:val="307"/>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lang w:val="zh-CN"/>
              </w:rPr>
            </w:pPr>
            <w:r>
              <w:rPr>
                <w:rFonts w:ascii="Times New Roman" w:hAnsi="Times New Roman" w:cs="宋体"/>
                <w:color w:val="auto"/>
                <w:szCs w:val="21"/>
                <w:highlight w:val="none"/>
              </w:rPr>
              <w:t xml:space="preserve">技术方案</w:t>
            </w:r>
            <w:r>
              <w:rPr>
                <w:rFonts w:ascii="Times New Roman" w:hAnsi="Times New Roman" w:cs="宋体"/>
                <w:color w:val="auto"/>
                <w:szCs w:val="21"/>
                <w:highlight w:val="none"/>
                <w:lang w:val="zh-CN"/>
              </w:rPr>
              <w:t xml:space="preserve">（</w:t>
            </w:r>
            <w:r>
              <w:rPr>
                <w:rFonts w:hint="eastAsia" w:cs="宋体"/>
                <w:color w:val="auto"/>
                <w:szCs w:val="21"/>
                <w:highlight w:val="none"/>
                <w:lang w:val="en-US" w:eastAsia="zh-CN"/>
              </w:rPr>
              <w:t xml:space="preserve">12</w:t>
            </w:r>
            <w:r>
              <w:rPr>
                <w:rFonts w:ascii="Times New Roman" w:hAnsi="Times New Roman" w:cs="宋体"/>
                <w:color w:val="auto"/>
                <w:szCs w:val="21"/>
                <w:highlight w:val="none"/>
                <w:lang w:val="zh-CN"/>
              </w:rPr>
              <w:t xml:space="preserve">分）</w:t>
            </w:r>
            <w:r/>
          </w:p>
        </w:tc>
        <w:tc>
          <w:tcPr>
            <w:tcW w:w="4312" w:type="pct"/>
            <w:vAlign w:val="center"/>
            <w:textDirection w:val="lrTb"/>
            <w:noWrap w:val="false"/>
          </w:tcPr>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根据投标人提供的实施方案（如进度计划、安装调试、包装和运输等）进行评审： </w:t>
            </w:r>
            <w:r/>
          </w:p>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（1）给出的进度计划具体且</w:t>
            </w:r>
            <w:r>
              <w:rPr>
                <w:rFonts w:hint="eastAsia" w:cs="宋体"/>
                <w:color w:val="auto"/>
                <w:szCs w:val="21"/>
                <w:highlight w:val="none"/>
                <w:lang w:val="en-US" w:eastAsia="zh-CN"/>
              </w:rPr>
              <w:t xml:space="preserve">完整</w:t>
            </w:r>
            <w:r>
              <w:rPr>
                <w:rFonts w:hint="eastAsia" w:ascii="Times New Roman" w:hAnsi="Times New Roman" w:cs="宋体"/>
                <w:color w:val="auto"/>
                <w:szCs w:val="21"/>
                <w:highlight w:val="none"/>
                <w:lang w:val="zh-CN"/>
              </w:rPr>
              <w:t xml:space="preserve">，包含了生产、发货、运输、送货、安装、培训、验收等各关键节点，时间明确，考虑了潜在的风险因素，并制定了相应的应对措施，以保障项目按时完成得</w:t>
            </w:r>
            <w:r>
              <w:rPr>
                <w:rFonts w:hint="eastAsia" w:cs="宋体"/>
                <w:color w:val="auto"/>
                <w:szCs w:val="21"/>
                <w:highlight w:val="none"/>
                <w:lang w:val="en-US" w:eastAsia="zh-CN"/>
              </w:rPr>
              <w:t xml:space="preserve">4</w:t>
            </w:r>
            <w:r>
              <w:rPr>
                <w:rFonts w:hint="eastAsia" w:ascii="Times New Roman" w:hAnsi="Times New Roman" w:cs="宋体"/>
                <w:color w:val="auto"/>
                <w:szCs w:val="21"/>
                <w:highlight w:val="none"/>
                <w:lang w:val="zh-CN"/>
              </w:rPr>
              <w:t xml:space="preserve">分；进度计划内容有缺失，应对措施不能保障项目按时完成得</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分；未提供得0分；</w:t>
            </w:r>
            <w:r/>
          </w:p>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（2）给出的安装调试方案完整、内容清晰，包括了安装调试的各个环节、方法、步骤及可能遇到的问题与解决方案得</w:t>
            </w:r>
            <w:r>
              <w:rPr>
                <w:rFonts w:hint="eastAsia" w:cs="宋体"/>
                <w:color w:val="auto"/>
                <w:szCs w:val="21"/>
                <w:highlight w:val="none"/>
                <w:lang w:val="en-US" w:eastAsia="zh-CN"/>
              </w:rPr>
              <w:t xml:space="preserve">4</w:t>
            </w:r>
            <w:r>
              <w:rPr>
                <w:rFonts w:hint="eastAsia" w:ascii="Times New Roman" w:hAnsi="Times New Roman" w:cs="宋体"/>
                <w:color w:val="auto"/>
                <w:szCs w:val="21"/>
                <w:highlight w:val="none"/>
                <w:lang w:val="zh-CN"/>
              </w:rPr>
              <w:t xml:space="preserve">分；安装调试方案内容有缺失得</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分；未提供得0分；</w:t>
            </w:r>
            <w:r/>
          </w:p>
          <w:p>
            <w:pPr>
              <w:keepLines w:val="0"/>
              <w:keepNext w:val="0"/>
              <w:pageBreakBefore w:val="0"/>
              <w:spacing w:line="360" w:lineRule="auto"/>
              <w:widowControl/>
              <w:rPr>
                <w:rFonts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（3）对产品的包装和运输方案进行了周密的规划，考虑了产品的保护、防潮、防震等措施，以确保产品在运输过程中的安全得</w:t>
            </w:r>
            <w:r>
              <w:rPr>
                <w:rFonts w:hint="eastAsia" w:cs="宋体"/>
                <w:color w:val="auto"/>
                <w:szCs w:val="21"/>
                <w:highlight w:val="none"/>
                <w:lang w:val="en-US" w:eastAsia="zh-CN"/>
              </w:rPr>
              <w:t xml:space="preserve">4</w:t>
            </w:r>
            <w:r>
              <w:rPr>
                <w:rFonts w:hint="eastAsia" w:ascii="Times New Roman" w:hAnsi="Times New Roman" w:cs="宋体"/>
                <w:color w:val="auto"/>
                <w:szCs w:val="21"/>
                <w:highlight w:val="none"/>
                <w:lang w:val="zh-CN"/>
              </w:rPr>
              <w:t xml:space="preserve">分；包装和运输方案内容有缺失，相关措施不能确保产品在运输过程中的安全得</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分；未提供得0分。</w:t>
            </w:r>
            <w:r/>
          </w:p>
        </w:tc>
      </w:tr>
      <w:tr>
        <w:trPr>
          <w:trHeight w:val="307"/>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t xml:space="preserve">培训方案（</w:t>
            </w:r>
            <w:r>
              <w:rPr>
                <w:rFonts w:hint="eastAsia" w:cs="宋体"/>
                <w:color w:val="auto"/>
                <w:szCs w:val="21"/>
                <w:highlight w:val="none"/>
                <w:lang w:val="en-US" w:eastAsia="zh-CN"/>
              </w:rPr>
              <w:t xml:space="preserve">9</w:t>
            </w:r>
            <w:r>
              <w:rPr>
                <w:rFonts w:ascii="Times New Roman" w:hAnsi="Times New Roman" w:cs="宋体"/>
                <w:color w:val="auto"/>
                <w:szCs w:val="21"/>
                <w:highlight w:val="none"/>
                <w:lang w:val="zh-CN"/>
              </w:rPr>
              <w:t xml:space="preserve">分）</w:t>
            </w:r>
            <w:r/>
          </w:p>
        </w:tc>
        <w:tc>
          <w:tcPr>
            <w:tcW w:w="4312" w:type="pct"/>
            <w:vAlign w:val="center"/>
            <w:textDirection w:val="lrTb"/>
            <w:noWrap w:val="false"/>
          </w:tcPr>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根据投标人提供的培训方案（如培训目标、培训方法、培训内容、教师资历、培训时间、拟提供的培训资料等）进行评审：</w:t>
            </w:r>
            <w:r/>
          </w:p>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（1）提供了明确的培训目标，培训方法，时间安排，能确保培训效果，包括演示教学、学员动手实操，培训考核，得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lang w:val="zh-CN"/>
              </w:rPr>
              <w:t xml:space="preserve">分；内容有缺失，不能保证培训效果得</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分；未提供得0分；</w:t>
            </w:r>
            <w:r/>
          </w:p>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（2）提供的培训内容全面，提供的培训名额充足，满足或超出项目需求，提供的培训资料完整、实用得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lang w:val="zh-CN"/>
              </w:rPr>
              <w:t xml:space="preserve">分；内容有缺失，不能满足项目需求得</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分；未提供得0分；</w:t>
            </w:r>
            <w:r/>
          </w:p>
          <w:p>
            <w:pPr>
              <w:keepLines w:val="0"/>
              <w:keepNext w:val="0"/>
              <w:pageBreakBefore w:val="0"/>
              <w:spacing w:line="360" w:lineRule="auto"/>
              <w:widowControl/>
              <w:rPr>
                <w:rFonts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（3）提供的培训教师资历高，具有相关培训经验，能确保培训质量得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lang w:val="zh-CN"/>
              </w:rPr>
              <w:t xml:space="preserve">分；教师没有相关培训经验，不能确保培训质量得</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分；未提供得0分。</w:t>
            </w:r>
            <w:r/>
          </w:p>
        </w:tc>
      </w:tr>
      <w:tr>
        <w:trPr>
          <w:trHeight w:val="307"/>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t xml:space="preserve">售后服务方案</w:t>
            </w:r>
            <w:r/>
          </w:p>
          <w:p>
            <w:pPr>
              <w:jc w:val="center"/>
              <w:keepLines w:val="0"/>
              <w:keepNext w:val="0"/>
              <w:pageBreakBefore w:val="0"/>
              <w:spacing w:line="360" w:lineRule="auto"/>
              <w:widowControl/>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t xml:space="preserve">（</w:t>
            </w:r>
            <w:r>
              <w:rPr>
                <w:rFonts w:hint="eastAsia" w:cs="宋体"/>
                <w:color w:val="auto"/>
                <w:szCs w:val="21"/>
                <w:highlight w:val="none"/>
                <w:lang w:val="en-US" w:eastAsia="zh-CN"/>
              </w:rPr>
              <w:t xml:space="preserve">9</w:t>
            </w:r>
            <w:r>
              <w:rPr>
                <w:rFonts w:ascii="Times New Roman" w:hAnsi="Times New Roman" w:cs="宋体"/>
                <w:color w:val="auto"/>
                <w:szCs w:val="21"/>
                <w:highlight w:val="none"/>
                <w:lang w:val="zh-CN"/>
              </w:rPr>
              <w:t xml:space="preserve">分）</w:t>
            </w:r>
            <w:r/>
          </w:p>
        </w:tc>
        <w:tc>
          <w:tcPr>
            <w:tcW w:w="4312" w:type="pct"/>
            <w:vAlign w:val="center"/>
            <w:textDirection w:val="lrTb"/>
            <w:noWrap w:val="false"/>
          </w:tcPr>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根据投标人提供的售后服务方案（如故障解决方案、响应时间、专业技术人员情况及保障服务能力、质保期满后的服务方案等）进行评审：</w:t>
            </w:r>
            <w:r/>
          </w:p>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（1）提供了的故障响应及解决方案完整，针对本项目，包括远程支持和现场服务以及特殊情况解决措施等得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lang w:val="zh-CN"/>
              </w:rPr>
              <w:t xml:space="preserve">分，方案内容有缺失，缺少针对本项目特殊情况的处理措施得1分，未提供得0分；</w:t>
            </w:r>
            <w:r/>
          </w:p>
          <w:p>
            <w:pPr>
              <w:keepLines w:val="0"/>
              <w:keepNext w:val="0"/>
              <w:pageBreakBefore w:val="0"/>
              <w:spacing w:line="360" w:lineRule="auto"/>
              <w:widowControl/>
              <w:rPr>
                <w:rFonts w:hint="eastAsia"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（2）拥有专业技术人员，人员经过专业培训具有服务经验得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lang w:val="zh-CN"/>
              </w:rPr>
              <w:t xml:space="preserve">分，人员没有经过专业培训，没有服务经验得1分，未提供得0分；</w:t>
            </w:r>
            <w:r/>
          </w:p>
          <w:p>
            <w:pPr>
              <w:keepLines w:val="0"/>
              <w:keepNext w:val="0"/>
              <w:pageBreakBefore w:val="0"/>
              <w:spacing w:line="360" w:lineRule="auto"/>
              <w:widowControl/>
              <w:rPr>
                <w:rFonts w:ascii="Times New Roman" w:hAnsi="Times New Roman" w:cs="宋体"/>
                <w:color w:val="auto"/>
                <w:szCs w:val="21"/>
                <w:highlight w:val="none"/>
                <w:lang w:val="zh-CN"/>
              </w:rPr>
              <w:outlineLvl w:val="0"/>
            </w:pPr>
            <w:r>
              <w:rPr>
                <w:rFonts w:hint="eastAsia" w:ascii="Times New Roman" w:hAnsi="Times New Roman" w:cs="宋体"/>
                <w:color w:val="auto"/>
                <w:szCs w:val="21"/>
                <w:highlight w:val="none"/>
                <w:lang w:val="zh-CN"/>
              </w:rPr>
              <w:t xml:space="preserve">（3）质保期满后，提供了延续服务方案，包括有偿维修（各项维修费用有明细清单，且对采购人有优惠）、免费定期巡检等得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lang w:val="zh-CN"/>
              </w:rPr>
              <w:t xml:space="preserve">分，提供的服务内容有缺失，费用清单无明细，巡检收费或无巡检得</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分，未提供得0分。</w:t>
            </w:r>
            <w:r/>
          </w:p>
        </w:tc>
      </w:tr>
      <w:tr>
        <w:trPr>
          <w:trHeight w:val="307"/>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应急方案（</w:t>
            </w:r>
            <w:r>
              <w:rPr>
                <w:rFonts w:hint="eastAsia" w:cs="宋体"/>
                <w:color w:val="auto"/>
                <w:szCs w:val="21"/>
                <w:highlight w:val="none"/>
                <w:lang w:val="en-US" w:eastAsia="zh-CN"/>
              </w:rPr>
              <w:t xml:space="preserve">6</w:t>
            </w:r>
            <w:r>
              <w:rPr>
                <w:rFonts w:hint="eastAsia" w:ascii="Times New Roman" w:hAnsi="Times New Roman" w:cs="宋体"/>
                <w:color w:val="auto"/>
                <w:szCs w:val="21"/>
                <w:highlight w:val="none"/>
              </w:rPr>
              <w:t xml:space="preserve">分）</w:t>
            </w:r>
            <w:r/>
          </w:p>
        </w:tc>
        <w:tc>
          <w:tcPr>
            <w:tcW w:w="4312" w:type="pct"/>
            <w:vAlign w:val="center"/>
            <w:textDirection w:val="lrTb"/>
            <w:noWrap w:val="false"/>
          </w:tcPr>
          <w:p>
            <w:pPr>
              <w:numPr>
                <w:ilvl w:val="0"/>
                <w:numId w:val="0"/>
              </w:numPr>
              <w:keepLines w:val="0"/>
              <w:keepNext w:val="0"/>
              <w:pageBreakBefore w:val="0"/>
              <w:spacing w:line="360" w:lineRule="auto"/>
              <w:widowControl/>
              <w:rPr>
                <w:rFonts w:hint="eastAsia" w:ascii="Times New Roman" w:hAnsi="Times New Roman" w:cs="宋体"/>
                <w:color w:val="auto"/>
                <w:szCs w:val="21"/>
                <w:highlight w:val="none"/>
                <w:lang w:val="zh-CN"/>
              </w:rPr>
              <w:outlineLvl w:val="9"/>
            </w:pPr>
            <w:r>
              <w:rPr>
                <w:rFonts w:hint="eastAsia" w:ascii="Times New Roman" w:hAnsi="Times New Roman" w:cs="宋体"/>
                <w:color w:val="auto"/>
                <w:szCs w:val="21"/>
                <w:highlight w:val="none"/>
                <w:lang w:val="zh-CN"/>
              </w:rPr>
              <w:t xml:space="preserve">根据投标人提供的</w:t>
            </w:r>
            <w:r>
              <w:rPr>
                <w:rFonts w:hint="eastAsia" w:ascii="Times New Roman" w:hAnsi="Times New Roman" w:cs="宋体"/>
                <w:color w:val="auto"/>
                <w:szCs w:val="21"/>
                <w:highlight w:val="none"/>
              </w:rPr>
              <w:t xml:space="preserve">应急方案</w:t>
            </w:r>
            <w:r>
              <w:rPr>
                <w:rFonts w:hint="eastAsia" w:ascii="Times New Roman" w:hAnsi="Times New Roman" w:cs="宋体"/>
                <w:color w:val="auto"/>
                <w:szCs w:val="21"/>
                <w:highlight w:val="none"/>
                <w:lang w:val="zh-CN"/>
              </w:rPr>
              <w:t xml:space="preserve">（如</w:t>
            </w:r>
            <w:r>
              <w:rPr>
                <w:rFonts w:hint="eastAsia" w:cs="宋体"/>
                <w:color w:val="auto"/>
                <w:szCs w:val="21"/>
                <w:highlight w:val="none"/>
                <w:lang w:val="en-US" w:eastAsia="zh-CN"/>
              </w:rPr>
              <w:t xml:space="preserve">应</w:t>
            </w:r>
            <w:r>
              <w:rPr>
                <w:color w:val="auto"/>
                <w:highlight w:val="none"/>
              </w:rPr>
              <w:t xml:space="preserve">急预警机制</w:t>
            </w:r>
            <w:r>
              <w:rPr>
                <w:rFonts w:hint="eastAsia"/>
                <w:color w:val="auto"/>
                <w:highlight w:val="none"/>
                <w:lang w:eastAsia="zh-CN"/>
              </w:rPr>
              <w:t xml:space="preserve">、</w:t>
            </w:r>
            <w:r>
              <w:rPr>
                <w:color w:val="auto"/>
                <w:highlight w:val="none"/>
              </w:rPr>
              <w:t xml:space="preserve">应急资源配置方案</w:t>
            </w:r>
            <w:r>
              <w:rPr>
                <w:rFonts w:hint="eastAsia"/>
                <w:color w:val="auto"/>
                <w:highlight w:val="none"/>
                <w:lang w:eastAsia="zh-CN"/>
              </w:rPr>
              <w:t xml:space="preserve">、</w:t>
            </w:r>
            <w:r>
              <w:rPr>
                <w:color w:val="auto"/>
                <w:highlight w:val="none"/>
              </w:rPr>
              <w:t xml:space="preserve">应急演练方案</w:t>
            </w:r>
            <w:r>
              <w:rPr>
                <w:rFonts w:hint="eastAsia" w:ascii="Times New Roman" w:hAnsi="Times New Roman" w:cs="宋体"/>
                <w:color w:val="auto"/>
                <w:szCs w:val="21"/>
                <w:highlight w:val="none"/>
                <w:lang w:val="zh-CN"/>
              </w:rPr>
              <w:t xml:space="preserve">等）进行评审：</w:t>
            </w:r>
            <w:r/>
          </w:p>
          <w:p>
            <w:pPr>
              <w:numPr>
                <w:ilvl w:val="0"/>
                <w:numId w:val="0"/>
              </w:numPr>
              <w:ind w:left="0" w:firstLine="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w:t>
            </w:r>
            <w:r>
              <w:rPr>
                <w:rFonts w:hint="eastAsia" w:cs="宋体"/>
                <w:color w:val="auto"/>
                <w:szCs w:val="21"/>
                <w:highlight w:val="none"/>
                <w:lang w:val="en-US" w:eastAsia="zh-CN"/>
              </w:rPr>
              <w:t xml:space="preserve">应</w:t>
            </w:r>
            <w:r>
              <w:rPr>
                <w:color w:val="auto"/>
                <w:highlight w:val="none"/>
              </w:rPr>
              <w:t xml:space="preserve">急预警机制</w:t>
            </w:r>
            <w:r>
              <w:rPr>
                <w:rFonts w:hint="eastAsia"/>
                <w:color w:val="auto"/>
                <w:highlight w:val="none"/>
                <w:lang w:val="en-US" w:eastAsia="zh-CN"/>
              </w:rPr>
              <w:t xml:space="preserve">且</w:t>
            </w:r>
            <w:r>
              <w:rPr>
                <w:rFonts w:hint="eastAsia" w:ascii="宋体" w:hAnsi="宋体" w:eastAsia="宋体" w:cs="宋体"/>
                <w:color w:val="auto"/>
                <w:szCs w:val="21"/>
                <w:highlight w:val="none"/>
              </w:rPr>
              <w:t xml:space="preserve">完整梳理本项目设备各类潜在故障风险点，</w:t>
            </w:r>
            <w:r>
              <w:rPr>
                <w:rFonts w:hint="eastAsia" w:ascii="宋体" w:hAnsi="宋体" w:eastAsia="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分级预警判定标准、预警上报方式及预警通知机制</w:t>
            </w:r>
            <w:r>
              <w:rPr>
                <w:rFonts w:hint="eastAsia" w:ascii="Times New Roman" w:hAnsi="Times New Roman" w:cs="宋体"/>
                <w:color w:val="auto"/>
                <w:szCs w:val="21"/>
                <w:highlight w:val="none"/>
                <w:lang w:val="zh-CN"/>
              </w:rPr>
              <w:t xml:space="preserve">得</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w:t>
            </w:r>
            <w:r>
              <w:rPr>
                <w:rFonts w:hint="eastAsia" w:cs="宋体"/>
                <w:color w:val="auto"/>
                <w:szCs w:val="21"/>
                <w:highlight w:val="none"/>
                <w:lang w:val="zh-CN"/>
              </w:rPr>
              <w:t xml:space="preserve">，</w:t>
            </w:r>
            <w:r>
              <w:rPr>
                <w:rFonts w:hint="eastAsia" w:ascii="宋体" w:hAnsi="宋体" w:eastAsia="宋体" w:cs="宋体"/>
                <w:color w:val="auto"/>
                <w:szCs w:val="21"/>
                <w:highlight w:val="none"/>
              </w:rPr>
              <w:t xml:space="preserve">预警机制描述简略，缺少分级判定或通知流程</w:t>
            </w:r>
            <w:r>
              <w:rPr>
                <w:rFonts w:hint="eastAsia" w:ascii="Times New Roman" w:hAnsi="Times New Roman" w:cs="宋体"/>
                <w:color w:val="auto"/>
                <w:szCs w:val="21"/>
                <w:highlight w:val="none"/>
                <w:lang w:val="zh-CN"/>
              </w:rPr>
              <w:t xml:space="preserve">得1分</w:t>
            </w:r>
            <w:r>
              <w:rPr>
                <w:rFonts w:hint="eastAsia" w:cs="宋体"/>
                <w:color w:val="auto"/>
                <w:szCs w:val="21"/>
                <w:highlight w:val="none"/>
                <w:lang w:val="zh-CN"/>
              </w:rPr>
              <w:t xml:space="preserve">，</w:t>
            </w:r>
            <w:r>
              <w:rPr>
                <w:rFonts w:hint="eastAsia" w:ascii="Times New Roman" w:hAnsi="Times New Roman" w:cs="宋体"/>
                <w:color w:val="auto"/>
                <w:szCs w:val="21"/>
                <w:highlight w:val="none"/>
                <w:lang w:val="zh-CN"/>
              </w:rPr>
              <w:t xml:space="preserve">未提供得0分；</w:t>
            </w:r>
            <w:r/>
          </w:p>
          <w:p>
            <w:pPr>
              <w:numPr>
                <w:ilvl w:val="0"/>
                <w:numId w:val="0"/>
              </w:numPr>
              <w:ind w:left="0" w:firstLine="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SA"/>
              </w:rPr>
              <w:t xml:space="preserve">（2）提供</w:t>
            </w:r>
            <w:r>
              <w:rPr>
                <w:color w:val="auto"/>
                <w:highlight w:val="none"/>
              </w:rPr>
              <w:t xml:space="preserve">应急资源配置方案</w:t>
            </w:r>
            <w:r>
              <w:rPr>
                <w:rFonts w:hint="eastAsia"/>
                <w:color w:val="auto"/>
                <w:highlight w:val="none"/>
                <w:lang w:eastAsia="zh-CN"/>
              </w:rPr>
              <w:t xml:space="preserve">，</w:t>
            </w:r>
            <w:r>
              <w:rPr>
                <w:rFonts w:hint="eastAsia" w:ascii="宋体" w:hAnsi="宋体" w:eastAsia="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应急备品备件、专用检修工具、备用设备配置清单，明确物资存放地点、补给及调用流程</w:t>
            </w:r>
            <w:r>
              <w:rPr>
                <w:rFonts w:hint="eastAsia" w:ascii="Times New Roman" w:hAnsi="Times New Roman" w:cs="宋体"/>
                <w:color w:val="auto"/>
                <w:szCs w:val="21"/>
                <w:highlight w:val="none"/>
                <w:lang w:val="zh-CN"/>
              </w:rPr>
              <w:t xml:space="preserve">得</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w:t>
            </w:r>
            <w:r>
              <w:rPr>
                <w:rFonts w:hint="eastAsia" w:cs="宋体"/>
                <w:color w:val="auto"/>
                <w:szCs w:val="21"/>
                <w:highlight w:val="none"/>
                <w:lang w:val="zh-CN"/>
              </w:rPr>
              <w:t xml:space="preserve">，</w:t>
            </w:r>
            <w:r>
              <w:rPr>
                <w:rFonts w:hint="eastAsia" w:ascii="宋体" w:hAnsi="宋体" w:eastAsia="宋体" w:cs="宋体"/>
                <w:color w:val="auto"/>
                <w:szCs w:val="21"/>
                <w:highlight w:val="none"/>
              </w:rPr>
              <w:t xml:space="preserve">清单不全，缺少调用、备用设备相关安排</w:t>
            </w:r>
            <w:r>
              <w:rPr>
                <w:rFonts w:hint="eastAsia" w:ascii="Times New Roman" w:hAnsi="Times New Roman" w:cs="宋体"/>
                <w:color w:val="auto"/>
                <w:szCs w:val="21"/>
                <w:highlight w:val="none"/>
                <w:lang w:val="zh-CN"/>
              </w:rPr>
              <w:t xml:space="preserve">得</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分，未提供得0分。</w:t>
            </w:r>
            <w:r/>
          </w:p>
          <w:p>
            <w:pPr>
              <w:numPr>
                <w:ilvl w:val="0"/>
                <w:numId w:val="0"/>
              </w:numPr>
              <w:keepLines w:val="0"/>
              <w:keepNext w:val="0"/>
              <w:pageBreakBefore w:val="0"/>
              <w:spacing w:line="360" w:lineRule="auto"/>
              <w:widowControl/>
              <w:rPr>
                <w:rFonts w:ascii="Times New Roman" w:hAnsi="Times New Roman" w:cs="宋体"/>
                <w:color w:val="auto"/>
                <w:szCs w:val="21"/>
                <w:highlight w:val="none"/>
                <w:lang w:val="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提供完整应急演练方案，包含演练记录及演练效果评估、问题整改闭环措施</w:t>
            </w:r>
            <w:r>
              <w:rPr>
                <w:rFonts w:ascii="宋体" w:hAnsi="宋体" w:eastAsia="宋体" w:cs="宋体"/>
                <w:color w:val="auto"/>
                <w:sz w:val="21"/>
                <w:szCs w:val="21"/>
                <w:highlight w:val="none"/>
              </w:rPr>
              <w:t xml:space="preserve">景</w:t>
            </w:r>
            <w:r>
              <w:rPr>
                <w:rFonts w:hint="eastAsia" w:ascii="Times New Roman" w:hAnsi="Times New Roman" w:cs="宋体"/>
                <w:color w:val="auto"/>
                <w:szCs w:val="21"/>
                <w:highlight w:val="none"/>
                <w:lang w:val="zh-CN"/>
              </w:rPr>
              <w:t xml:space="preserve">得</w:t>
            </w:r>
            <w:r>
              <w:rPr>
                <w:rFonts w:hint="eastAsia" w:cs="宋体"/>
                <w:color w:val="auto"/>
                <w:szCs w:val="21"/>
                <w:highlight w:val="none"/>
                <w:lang w:val="en-US" w:eastAsia="zh-CN"/>
              </w:rPr>
              <w:t xml:space="preserve">2</w:t>
            </w:r>
            <w:r>
              <w:rPr>
                <w:rFonts w:hint="eastAsia" w:ascii="Times New Roman" w:hAnsi="Times New Roman" w:cs="宋体"/>
                <w:color w:val="auto"/>
                <w:szCs w:val="21"/>
                <w:highlight w:val="none"/>
                <w:lang w:val="zh-CN"/>
              </w:rPr>
              <w:t xml:space="preserve">分</w:t>
            </w:r>
            <w:r>
              <w:rPr>
                <w:rFonts w:hint="eastAsia" w:cs="宋体"/>
                <w:color w:val="auto"/>
                <w:szCs w:val="21"/>
                <w:highlight w:val="none"/>
                <w:lang w:val="zh-CN"/>
              </w:rPr>
              <w:t xml:space="preserve">，</w:t>
            </w:r>
            <w:r>
              <w:rPr>
                <w:rFonts w:hint="eastAsia" w:ascii="宋体" w:hAnsi="宋体" w:eastAsia="宋体" w:cs="宋体"/>
                <w:color w:val="auto"/>
                <w:szCs w:val="21"/>
                <w:highlight w:val="none"/>
              </w:rPr>
              <w:t xml:space="preserve">仅简要提及应急演练，缺少场景设计、评估或整改闭环等关键内容</w:t>
            </w:r>
            <w:r>
              <w:rPr>
                <w:rFonts w:hint="eastAsia"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分，未提供得0分。</w:t>
            </w:r>
            <w:r/>
          </w:p>
        </w:tc>
      </w:tr>
      <w:tr>
        <w:trPr>
          <w:trHeight w:val="307"/>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olor w:val="auto"/>
                <w:szCs w:val="21"/>
                <w:highlight w:val="none"/>
                <w:lang w:val="zh-CN"/>
              </w:rPr>
            </w:pPr>
            <w:r>
              <w:rPr>
                <w:rFonts w:hint="eastAsia" w:ascii="Times New Roman" w:hAnsi="Times New Roman"/>
                <w:color w:val="auto"/>
                <w:szCs w:val="21"/>
                <w:highlight w:val="none"/>
              </w:rPr>
              <w:t xml:space="preserve">类似</w:t>
            </w:r>
            <w:r>
              <w:rPr>
                <w:rFonts w:ascii="Times New Roman" w:hAnsi="Times New Roman"/>
                <w:color w:val="auto"/>
                <w:szCs w:val="21"/>
                <w:highlight w:val="none"/>
                <w:lang w:val="zh-CN"/>
              </w:rPr>
              <w:t xml:space="preserve">业绩</w:t>
            </w:r>
            <w:r/>
          </w:p>
          <w:p>
            <w:pPr>
              <w:jc w:val="center"/>
              <w:keepLines w:val="0"/>
              <w:keepNext w:val="0"/>
              <w:pageBreakBefore w:val="0"/>
              <w:spacing w:line="360" w:lineRule="auto"/>
              <w:widowControl/>
              <w:rPr>
                <w:rFonts w:ascii="Times New Roman" w:hAnsi="Times New Roman"/>
                <w:color w:val="auto"/>
                <w:szCs w:val="21"/>
                <w:highlight w:val="none"/>
                <w:lang w:val="zh-CN"/>
              </w:rPr>
            </w:pPr>
            <w:r>
              <w:rPr>
                <w:rFonts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2</w:t>
            </w:r>
            <w:r>
              <w:rPr>
                <w:rFonts w:ascii="Times New Roman" w:hAnsi="Times New Roman"/>
                <w:color w:val="auto"/>
                <w:szCs w:val="21"/>
                <w:highlight w:val="none"/>
                <w:lang w:val="zh-CN"/>
              </w:rPr>
              <w:t xml:space="preserve">分）</w:t>
            </w:r>
            <w:r/>
          </w:p>
        </w:tc>
        <w:tc>
          <w:tcPr>
            <w:tcW w:w="4312" w:type="pct"/>
            <w:vAlign w:val="center"/>
            <w:textDirection w:val="lrTb"/>
            <w:noWrap w:val="false"/>
          </w:tcPr>
          <w:p>
            <w:pPr>
              <w:keepLines w:val="0"/>
              <w:keepNext w:val="0"/>
              <w:pageBreakBefore w:val="0"/>
              <w:spacing w:line="360" w:lineRule="auto"/>
              <w:widowControl/>
              <w:rPr>
                <w:rFonts w:ascii="Times New Roman" w:hAnsi="Times New Roman"/>
                <w:color w:val="auto"/>
                <w:szCs w:val="21"/>
                <w:highlight w:val="none"/>
                <w:lang w:val="zh-CN"/>
              </w:rPr>
              <w:outlineLvl w:val="0"/>
            </w:pPr>
            <w:r>
              <w:rPr>
                <w:rFonts w:ascii="Times New Roman" w:hAnsi="Times New Roman"/>
                <w:color w:val="auto"/>
                <w:szCs w:val="21"/>
                <w:highlight w:val="none"/>
                <w:lang w:val="zh-CN"/>
              </w:rPr>
              <w:t xml:space="preserve">投标人或制造商自202</w:t>
            </w:r>
            <w:r>
              <w:rPr>
                <w:rFonts w:hint="eastAsia" w:ascii="Times New Roman" w:hAnsi="Times New Roman"/>
                <w:color w:val="auto"/>
                <w:szCs w:val="21"/>
                <w:highlight w:val="none"/>
                <w:lang w:val="en-US" w:eastAsia="zh-CN"/>
              </w:rPr>
              <w:t xml:space="preserve">3</w:t>
            </w:r>
            <w:r>
              <w:rPr>
                <w:rFonts w:ascii="Times New Roman" w:hAnsi="Times New Roman"/>
                <w:color w:val="auto"/>
                <w:szCs w:val="21"/>
                <w:highlight w:val="none"/>
                <w:lang w:val="zh-CN"/>
              </w:rPr>
              <w:t xml:space="preserve">年1月1日至投标截止时间（</w:t>
            </w:r>
            <w:r>
              <w:rPr>
                <w:rFonts w:ascii="Times New Roman" w:hAnsi="Times New Roman"/>
                <w:color w:val="auto"/>
                <w:szCs w:val="21"/>
                <w:highlight w:val="none"/>
              </w:rPr>
              <w:t xml:space="preserve">以签订合同时间为准）</w:t>
            </w:r>
            <w:r>
              <w:rPr>
                <w:rFonts w:ascii="Times New Roman" w:hAnsi="Times New Roman"/>
                <w:color w:val="auto"/>
                <w:szCs w:val="21"/>
                <w:highlight w:val="none"/>
                <w:lang w:val="zh-CN"/>
              </w:rPr>
              <w:t xml:space="preserve">已签订的</w:t>
            </w:r>
            <w:r>
              <w:rPr>
                <w:rFonts w:hint="eastAsia" w:ascii="Times New Roman" w:hAnsi="Times New Roman"/>
                <w:color w:val="auto"/>
                <w:szCs w:val="21"/>
                <w:highlight w:val="none"/>
              </w:rPr>
              <w:t xml:space="preserve">与核心产品同类的</w:t>
            </w:r>
            <w:r>
              <w:rPr>
                <w:rFonts w:ascii="Times New Roman" w:hAnsi="Times New Roman"/>
                <w:color w:val="auto"/>
                <w:szCs w:val="21"/>
                <w:highlight w:val="none"/>
                <w:lang w:val="zh-CN"/>
              </w:rPr>
              <w:t xml:space="preserve">项目</w:t>
            </w:r>
            <w:r>
              <w:rPr>
                <w:rFonts w:hint="eastAsia" w:ascii="Times New Roman" w:hAnsi="Times New Roman"/>
                <w:color w:val="auto"/>
                <w:szCs w:val="21"/>
                <w:highlight w:val="none"/>
              </w:rPr>
              <w:t xml:space="preserve">业绩</w:t>
            </w:r>
            <w:r>
              <w:rPr>
                <w:rFonts w:ascii="Times New Roman" w:hAnsi="Times New Roman"/>
                <w:color w:val="auto"/>
                <w:szCs w:val="21"/>
                <w:highlight w:val="none"/>
                <w:lang w:val="zh-CN"/>
              </w:rPr>
              <w:t xml:space="preserve">，</w:t>
            </w:r>
            <w:r>
              <w:rPr>
                <w:rFonts w:hint="eastAsia" w:ascii="Times New Roman" w:hAnsi="Times New Roman"/>
                <w:color w:val="auto"/>
                <w:szCs w:val="21"/>
                <w:highlight w:val="none"/>
                <w:lang w:val="zh-CN"/>
              </w:rPr>
              <w:t xml:space="preserve">提供合同复印件作为有效证明文件，包含合同首页、标的内容所在页及签字盖章页的</w:t>
            </w:r>
            <w:r>
              <w:rPr>
                <w:rFonts w:hint="eastAsia" w:ascii="Times New Roman" w:hAnsi="Times New Roman"/>
                <w:color w:val="auto"/>
                <w:szCs w:val="21"/>
                <w:highlight w:val="none"/>
                <w:lang w:val="en-US" w:eastAsia="zh-CN"/>
              </w:rPr>
              <w:t xml:space="preserve">原件扫描件，每有一份</w:t>
            </w:r>
            <w:r>
              <w:rPr>
                <w:rFonts w:ascii="Times New Roman" w:hAnsi="Times New Roman"/>
                <w:color w:val="auto"/>
                <w:szCs w:val="21"/>
                <w:highlight w:val="none"/>
                <w:lang w:val="zh-CN"/>
              </w:rPr>
              <w:t xml:space="preserve">得</w:t>
            </w:r>
            <w:r>
              <w:rPr>
                <w:rFonts w:hint="eastAsia" w:ascii="Times New Roman" w:hAnsi="Times New Roman"/>
                <w:color w:val="auto"/>
                <w:szCs w:val="21"/>
                <w:highlight w:val="none"/>
                <w:lang w:val="en-US" w:eastAsia="zh-CN"/>
              </w:rPr>
              <w:t xml:space="preserve">0.5</w:t>
            </w:r>
            <w:r>
              <w:rPr>
                <w:rFonts w:ascii="Times New Roman" w:hAnsi="Times New Roman"/>
                <w:color w:val="auto"/>
                <w:szCs w:val="21"/>
                <w:highlight w:val="none"/>
                <w:lang w:val="zh-CN"/>
              </w:rPr>
              <w:t xml:space="preserve">分，满分</w:t>
            </w:r>
            <w:r>
              <w:rPr>
                <w:rFonts w:hint="eastAsia" w:ascii="Times New Roman" w:hAnsi="Times New Roman"/>
                <w:color w:val="auto"/>
                <w:szCs w:val="21"/>
                <w:highlight w:val="none"/>
                <w:lang w:val="en-US" w:eastAsia="zh-CN"/>
              </w:rPr>
              <w:t xml:space="preserve">2</w:t>
            </w:r>
            <w:r>
              <w:rPr>
                <w:rFonts w:ascii="Times New Roman" w:hAnsi="Times New Roman"/>
                <w:color w:val="auto"/>
                <w:szCs w:val="21"/>
                <w:highlight w:val="none"/>
                <w:lang w:val="zh-CN"/>
              </w:rPr>
              <w:t xml:space="preserve">分。</w:t>
            </w:r>
            <w:r/>
          </w:p>
        </w:tc>
      </w:tr>
      <w:tr>
        <w:trPr>
          <w:trHeight w:val="307"/>
        </w:trPr>
        <w:tc>
          <w:tcPr>
            <w:tcW w:w="687" w:type="pct"/>
            <w:vAlign w:val="center"/>
            <w:textDirection w:val="lrTb"/>
            <w:noWrap w:val="false"/>
          </w:tcPr>
          <w:p>
            <w:pPr>
              <w:jc w:val="center"/>
              <w:keepLines w:val="0"/>
              <w:keepNext w:val="0"/>
              <w:pageBreakBefore w:val="0"/>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质保</w:t>
            </w:r>
            <w:r>
              <w:rPr>
                <w:rFonts w:hint="eastAsia" w:ascii="Times New Roman" w:hAnsi="Times New Roman" w:cs="宋体"/>
                <w:color w:val="auto"/>
                <w:szCs w:val="21"/>
                <w:highlight w:val="none"/>
              </w:rPr>
              <w:t xml:space="preserve">期限</w:t>
            </w:r>
            <w:r/>
          </w:p>
          <w:p>
            <w:pPr>
              <w:jc w:val="center"/>
              <w:keepLines w:val="0"/>
              <w:keepNext w:val="0"/>
              <w:pageBreakBefore w:val="0"/>
              <w:spacing w:line="360" w:lineRule="auto"/>
              <w:widowControl/>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t xml:space="preserve">（</w:t>
            </w:r>
            <w:r>
              <w:rPr>
                <w:rFonts w:hint="eastAsia" w:ascii="Times New Roman" w:hAnsi="Times New Roman" w:cs="宋体"/>
                <w:color w:val="auto"/>
                <w:szCs w:val="21"/>
                <w:highlight w:val="none"/>
                <w:lang w:val="en-US" w:eastAsia="zh-CN"/>
              </w:rPr>
              <w:t xml:space="preserve">2</w:t>
            </w:r>
            <w:r>
              <w:rPr>
                <w:rFonts w:ascii="Times New Roman" w:hAnsi="Times New Roman" w:cs="宋体"/>
                <w:color w:val="auto"/>
                <w:szCs w:val="21"/>
                <w:highlight w:val="none"/>
                <w:lang w:val="zh-CN"/>
              </w:rPr>
              <w:t xml:space="preserve">分）</w:t>
            </w:r>
            <w:r/>
          </w:p>
        </w:tc>
        <w:tc>
          <w:tcPr>
            <w:tcW w:w="4312" w:type="pct"/>
            <w:vAlign w:val="center"/>
            <w:textDirection w:val="lrTb"/>
            <w:noWrap w:val="false"/>
          </w:tcPr>
          <w:p>
            <w:pPr>
              <w:keepLines w:val="0"/>
              <w:keepNext w:val="0"/>
              <w:pageBreakBefore w:val="0"/>
              <w:spacing w:line="360" w:lineRule="auto"/>
              <w:widowControl/>
              <w:rPr>
                <w:rFonts w:ascii="Times New Roman" w:hAnsi="Times New Roman" w:cs="宋体"/>
                <w:color w:val="auto"/>
                <w:szCs w:val="21"/>
                <w:highlight w:val="none"/>
              </w:rPr>
              <w:outlineLvl w:val="0"/>
            </w:pPr>
            <w:r>
              <w:rPr>
                <w:rFonts w:hint="eastAsia" w:ascii="Times New Roman" w:hAnsi="Times New Roman" w:cs="宋体"/>
                <w:color w:val="auto"/>
                <w:szCs w:val="21"/>
                <w:highlight w:val="none"/>
                <w:lang w:val="zh-CN"/>
              </w:rPr>
              <w:t xml:space="preserve">承诺产品整机质保期</w:t>
            </w:r>
            <w:r>
              <w:rPr>
                <w:rFonts w:hint="eastAsia" w:cs="宋体"/>
                <w:color w:val="auto"/>
                <w:szCs w:val="21"/>
                <w:highlight w:val="none"/>
                <w:lang w:val="en-US" w:eastAsia="zh-CN"/>
              </w:rPr>
              <w:t xml:space="preserve">一</w:t>
            </w:r>
            <w:r>
              <w:rPr>
                <w:rFonts w:hint="eastAsia" w:ascii="Times New Roman" w:hAnsi="Times New Roman" w:cs="宋体"/>
                <w:color w:val="auto"/>
                <w:szCs w:val="21"/>
                <w:highlight w:val="none"/>
                <w:lang w:val="zh-CN"/>
              </w:rPr>
              <w:t xml:space="preserve">年，</w:t>
            </w:r>
            <w:r>
              <w:rPr>
                <w:rFonts w:hint="eastAsia" w:ascii="Times New Roman" w:hAnsi="Times New Roman" w:cs="宋体"/>
                <w:color w:val="auto"/>
                <w:szCs w:val="21"/>
                <w:highlight w:val="none"/>
                <w:lang w:val="en-US" w:eastAsia="zh-CN"/>
              </w:rPr>
              <w:t xml:space="preserve">质保期每增加1年的</w:t>
            </w:r>
            <w:r>
              <w:rPr>
                <w:rFonts w:hint="eastAsia" w:ascii="Times New Roman" w:hAnsi="Times New Roman" w:cs="宋体"/>
                <w:color w:val="auto"/>
                <w:szCs w:val="21"/>
                <w:highlight w:val="none"/>
                <w:lang w:val="zh-CN"/>
              </w:rPr>
              <w:t xml:space="preserve">得</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lang w:val="zh-CN"/>
              </w:rPr>
              <w:t xml:space="preserve">分，</w:t>
            </w:r>
            <w:r>
              <w:rPr>
                <w:rFonts w:hint="eastAsia" w:ascii="Times New Roman" w:hAnsi="Times New Roman" w:cs="宋体"/>
                <w:color w:val="auto"/>
                <w:szCs w:val="21"/>
                <w:highlight w:val="none"/>
                <w:lang w:val="en-US" w:eastAsia="zh-CN"/>
              </w:rPr>
              <w:t xml:space="preserve">满分2分</w:t>
            </w:r>
            <w:r>
              <w:rPr>
                <w:rFonts w:hint="eastAsia" w:ascii="Times New Roman" w:hAnsi="Times New Roman" w:cs="宋体"/>
                <w:color w:val="auto"/>
                <w:szCs w:val="21"/>
                <w:highlight w:val="none"/>
                <w:lang w:val="zh-CN"/>
              </w:rPr>
              <w:t xml:space="preserve">。</w:t>
            </w:r>
            <w:r>
              <w:rPr>
                <w:rFonts w:ascii="Times New Roman" w:hAnsi="Times New Roman" w:cs="宋体"/>
                <w:b/>
                <w:bCs/>
                <w:color w:val="auto"/>
                <w:szCs w:val="21"/>
                <w:highlight w:val="none"/>
                <w:lang w:val="zh-CN"/>
              </w:rPr>
              <w:t xml:space="preserve">（</w:t>
            </w:r>
            <w:r>
              <w:rPr>
                <w:rFonts w:ascii="Times New Roman" w:hAnsi="Times New Roman" w:cs="宋体"/>
                <w:b/>
                <w:bCs/>
                <w:color w:val="auto"/>
                <w:szCs w:val="21"/>
                <w:highlight w:val="none"/>
              </w:rPr>
              <w:t xml:space="preserve">需提供承诺书</w:t>
            </w:r>
            <w:r>
              <w:rPr>
                <w:rFonts w:hint="eastAsia" w:ascii="Times New Roman" w:hAnsi="Times New Roman" w:cs="宋体"/>
                <w:b/>
                <w:bCs/>
                <w:color w:val="auto"/>
                <w:szCs w:val="21"/>
                <w:highlight w:val="none"/>
              </w:rPr>
              <w:t xml:space="preserve">加盖</w:t>
            </w:r>
            <w:r>
              <w:rPr>
                <w:rFonts w:hint="eastAsia" w:ascii="Times New Roman" w:hAnsi="Times New Roman" w:cs="宋体"/>
                <w:b/>
                <w:bCs/>
                <w:color w:val="auto"/>
                <w:szCs w:val="21"/>
                <w:highlight w:val="none"/>
                <w:lang w:val="en-US" w:eastAsia="zh-CN"/>
              </w:rPr>
              <w:t xml:space="preserve">投标人</w:t>
            </w:r>
            <w:r>
              <w:rPr>
                <w:rFonts w:hint="eastAsia" w:ascii="Times New Roman" w:hAnsi="Times New Roman" w:cs="宋体"/>
                <w:b/>
                <w:bCs/>
                <w:color w:val="auto"/>
                <w:szCs w:val="21"/>
                <w:highlight w:val="none"/>
              </w:rPr>
              <w:t xml:space="preserve">公章</w:t>
            </w:r>
            <w:r>
              <w:rPr>
                <w:rFonts w:ascii="Times New Roman" w:hAnsi="Times New Roman" w:cs="宋体"/>
                <w:b/>
                <w:bCs/>
                <w:color w:val="auto"/>
                <w:szCs w:val="21"/>
                <w:highlight w:val="none"/>
              </w:rPr>
              <w:t xml:space="preserve">，承诺书格式自拟</w:t>
            </w:r>
            <w:r>
              <w:rPr>
                <w:rFonts w:hint="eastAsia" w:ascii="Times New Roman" w:hAnsi="Times New Roman" w:cs="宋体"/>
                <w:b/>
                <w:bCs/>
                <w:color w:val="auto"/>
                <w:szCs w:val="21"/>
                <w:highlight w:val="none"/>
                <w:lang w:eastAsia="zh-CN"/>
              </w:rPr>
              <w:t xml:space="preserve">，</w:t>
            </w:r>
            <w:r>
              <w:rPr>
                <w:rFonts w:hint="eastAsia" w:ascii="Times New Roman" w:hAnsi="Times New Roman" w:cs="宋体"/>
                <w:b/>
                <w:bCs/>
                <w:color w:val="auto"/>
                <w:szCs w:val="21"/>
                <w:highlight w:val="none"/>
                <w:lang w:val="en-US" w:eastAsia="zh-CN"/>
              </w:rPr>
              <w:t xml:space="preserve">缺项漏项不得分</w:t>
            </w:r>
            <w:r>
              <w:rPr>
                <w:rFonts w:ascii="Times New Roman" w:hAnsi="Times New Roman" w:cs="宋体"/>
                <w:b/>
                <w:bCs/>
                <w:color w:val="auto"/>
                <w:szCs w:val="21"/>
                <w:highlight w:val="none"/>
                <w:lang w:val="zh-CN"/>
              </w:rPr>
              <w:t xml:space="preserve">）</w:t>
            </w:r>
            <w:r/>
          </w:p>
        </w:tc>
      </w:tr>
    </w:tbl>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注：</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（1）评审中出现下列情形之一的，评审委员会应当启动异常低价投标（响应）审查程序：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相关法律法规对供应商报价有规定的，从其规定。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（2）</w:t>
      </w:r>
      <w:r>
        <w:rPr>
          <w:rFonts w:hint="eastAsia" w:ascii="宋体" w:hAnsi="宋体" w:eastAsia="宋体" w:cs="宋体"/>
          <w:b/>
          <w:bCs w:val="0"/>
          <w:color w:val="auto"/>
          <w:sz w:val="21"/>
          <w:highlight w:val="none"/>
          <w:lang w:eastAsia="zh-CN"/>
        </w:rPr>
        <w:t xml:space="preserve">启动异常低价投标（响应）审查后，评审委员会应当要求相关供应商在评标现场合理的时间内，</w:t>
      </w:r>
      <w:r>
        <w:rPr>
          <w:rFonts w:hint="eastAsia" w:ascii="宋体" w:hAnsi="宋体" w:eastAsia="宋体" w:cs="宋体"/>
          <w:b/>
          <w:bCs w:val="0"/>
          <w:color w:val="auto"/>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360" w:lineRule="auto"/>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687"/>
        <w:jc w:val="center"/>
        <w:rPr>
          <w:rFonts w:hint="eastAsia" w:ascii="宋体" w:hAnsi="宋体" w:cs="宋体"/>
          <w:color w:val="auto"/>
          <w:sz w:val="36"/>
          <w:highlight w:val="none"/>
        </w:rPr>
      </w:pPr>
      <w:r/>
      <w:bookmarkStart w:id="103" w:name="_Toc30583"/>
      <w:r/>
      <w:bookmarkStart w:id="104" w:name="_Toc14037"/>
      <w:r/>
      <w:bookmarkStart w:id="105" w:name="_Toc32414"/>
      <w:r/>
      <w:bookmarkStart w:id="106" w:name="_Toc13998"/>
      <w:r>
        <w:rPr>
          <w:rFonts w:hint="eastAsia" w:ascii="宋体" w:hAnsi="宋体" w:cs="宋体"/>
          <w:color w:val="auto"/>
          <w:sz w:val="36"/>
          <w:highlight w:val="none"/>
        </w:rPr>
        <w:t xml:space="preserve">第六章  投标文件格式</w:t>
      </w:r>
      <w:bookmarkEnd w:id="103"/>
      <w:r/>
      <w:bookmarkEnd w:id="104"/>
      <w:r/>
      <w:bookmarkEnd w:id="105"/>
      <w:r/>
      <w:bookmarkEnd w:id="106"/>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z w:val="22"/>
          <w:szCs w:val="21"/>
          <w:highlight w:val="none"/>
        </w:rPr>
      </w:pPr>
      <w:r>
        <w:rPr>
          <w:rFonts w:hint="eastAsia" w:ascii="宋体" w:hAnsi="宋体" w:cs="宋体"/>
          <w:b/>
          <w:color w:val="auto"/>
          <w:sz w:val="22"/>
          <w:szCs w:val="21"/>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outlineLvl w:val="9"/>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hint="eastAsia" w:ascii="宋体" w:hAnsi="宋体" w:cs="宋体"/>
          <w:b/>
          <w:color w:val="auto"/>
          <w:sz w:val="36"/>
          <w:highlight w:val="none"/>
          <w:u w:val="single"/>
        </w:rPr>
        <w:outlineLvl w:val="9"/>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outlineLvl w:val="9"/>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outlineLvl w:val="9"/>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rPr>
          <w:rFonts w:hint="eastAsia" w:ascii="宋体" w:hAnsi="宋体" w:cs="宋体"/>
          <w:b/>
          <w:bCs/>
          <w:color w:val="auto"/>
          <w:sz w:val="32"/>
          <w:szCs w:val="32"/>
          <w:highlight w:val="none"/>
        </w:rPr>
        <w:outlineLvl w:val="9"/>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spacing w:before="312" w:after="312"/>
        <w:rPr>
          <w:rFonts w:hint="eastAsia" w:ascii="宋体" w:hAnsi="宋体" w:cs="宋体"/>
          <w:b/>
          <w:color w:val="auto"/>
          <w:szCs w:val="21"/>
          <w:highlight w:val="none"/>
        </w:rPr>
      </w:pPr>
      <w:r>
        <w:rPr>
          <w:rFonts w:hint="eastAsia" w:ascii="宋体" w:hAnsi="宋体" w:cs="宋体"/>
          <w:b/>
          <w:color w:val="auto"/>
          <w:szCs w:val="21"/>
          <w:highlight w:val="none"/>
        </w:rPr>
      </w:r>
      <w:r/>
    </w:p>
    <w:p>
      <w:pPr>
        <w:spacing w:before="312" w:after="312"/>
        <w:rPr>
          <w:rFonts w:hint="eastAsia" w:ascii="宋体" w:hAnsi="宋体" w:cs="宋体"/>
          <w:b/>
          <w:color w:val="auto"/>
          <w:szCs w:val="21"/>
          <w:highlight w:val="none"/>
        </w:rPr>
      </w:pPr>
      <w:r>
        <w:rPr>
          <w:rFonts w:hint="eastAsia" w:ascii="宋体" w:hAnsi="宋体" w:cs="宋体"/>
          <w:b/>
          <w:color w:val="auto"/>
          <w:szCs w:val="21"/>
          <w:highlight w:val="none"/>
        </w:rPr>
      </w:r>
      <w:r/>
    </w:p>
    <w:p>
      <w:pPr>
        <w:spacing w:before="312" w:after="312"/>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6"/>
        <w:rPr>
          <w:rFonts w:hint="eastAsia" w:ascii="宋体" w:hAnsi="宋体" w:cs="宋体"/>
          <w:color w:val="auto"/>
          <w:highlight w:val="none"/>
        </w:rPr>
      </w:pPr>
      <w:r>
        <w:rPr>
          <w:rFonts w:hint="eastAsia" w:ascii="宋体" w:hAnsi="宋体" w:cs="宋体"/>
          <w:color w:val="auto"/>
          <w:highlight w:val="none"/>
        </w:rPr>
      </w:r>
      <w:r/>
    </w:p>
    <w:p>
      <w:pPr>
        <w:pStyle w:val="716"/>
        <w:rPr>
          <w:rFonts w:hint="eastAsia" w:ascii="宋体" w:hAnsi="宋体" w:cs="宋体"/>
          <w:color w:val="auto"/>
          <w:highlight w:val="none"/>
        </w:rPr>
      </w:pPr>
      <w:r>
        <w:rPr>
          <w:rFonts w:hint="eastAsia" w:ascii="宋体" w:hAnsi="宋体" w:cs="宋体"/>
          <w:color w:val="auto"/>
          <w:highlight w:val="none"/>
        </w:rPr>
      </w:r>
      <w:r/>
    </w:p>
    <w:p>
      <w:pPr>
        <w:pStyle w:val="716"/>
        <w:rPr>
          <w:rFonts w:hint="eastAsia" w:ascii="宋体" w:hAnsi="宋体" w:cs="宋体"/>
          <w:color w:val="auto"/>
          <w:highlight w:val="none"/>
        </w:rPr>
      </w:pPr>
      <w:r>
        <w:rPr>
          <w:rFonts w:hint="eastAsia" w:ascii="宋体" w:hAnsi="宋体" w:cs="宋体"/>
          <w:color w:val="auto"/>
          <w:highlight w:val="none"/>
        </w:rPr>
      </w:r>
      <w:r/>
    </w:p>
    <w:p>
      <w:pPr>
        <w:pStyle w:val="716"/>
        <w:rPr>
          <w:rFonts w:hint="eastAsia" w:ascii="宋体" w:hAnsi="宋体" w:cs="宋体"/>
          <w:color w:val="auto"/>
          <w:highlight w:val="none"/>
        </w:rPr>
      </w:pPr>
      <w:r>
        <w:rPr>
          <w:rFonts w:hint="eastAsia" w:ascii="宋体" w:hAnsi="宋体" w:cs="宋体"/>
          <w:color w:val="auto"/>
          <w:highlight w:val="none"/>
        </w:rPr>
      </w:r>
      <w:r/>
    </w:p>
    <w:p>
      <w:pPr>
        <w:pStyle w:val="71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after="312"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投标主要文件目录</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五、分项报价表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36"/>
          <w:szCs w:val="36"/>
          <w:highlight w:val="none"/>
        </w:rPr>
        <w:outlineLvl w:val="9"/>
      </w:pPr>
      <w:r>
        <w:rPr>
          <w:rFonts w:hint="eastAsia" w:ascii="宋体" w:hAnsi="宋体" w:cs="宋体"/>
          <w:color w:val="auto"/>
          <w:sz w:val="24"/>
          <w:highlight w:val="none"/>
        </w:rPr>
        <w:t xml:space="preserve">八、其他（投标人认为有必要提供的声明和文件，如有自拟并自行添加）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b/>
          <w:color w:val="auto"/>
          <w:sz w:val="22"/>
          <w:szCs w:val="21"/>
          <w:highlight w:val="none"/>
        </w:rPr>
      </w:pPr>
      <w:r>
        <w:rPr>
          <w:rFonts w:hint="eastAsia" w:ascii="宋体" w:hAnsi="宋体" w:cs="宋体"/>
          <w:b/>
          <w:color w:val="auto"/>
          <w:sz w:val="22"/>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after="312"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after="312"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7"/>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numPr>
          <w:ilvl w:val="0"/>
          <w:numId w:val="0"/>
        </w:numPr>
        <w:jc w:val="center"/>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一、资格审查响应对照表</w:t>
      </w:r>
      <w:r/>
    </w:p>
    <w:p>
      <w:pPr>
        <w:ind w:right="278" w:firstLine="30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投标人全称</w:t>
      </w:r>
      <w:r>
        <w:rPr>
          <w:rFonts w:hint="eastAsia" w:ascii="宋体" w:hAnsi="宋体" w:cs="宋体"/>
          <w:color w:val="auto"/>
          <w:szCs w:val="21"/>
          <w:highlight w:val="none"/>
          <w:lang w:eastAsia="zh-CN"/>
        </w:rPr>
        <w:t xml:space="preserve">（</w:t>
      </w:r>
      <w:r>
        <w:rPr>
          <w:rFonts w:hint="eastAsia" w:ascii="宋体" w:hAnsi="宋体" w:cs="宋体"/>
          <w:color w:val="auto"/>
          <w:szCs w:val="24"/>
          <w:highlight w:val="none"/>
        </w:rPr>
        <w:t xml:space="preserve">加盖CA电子签章</w:t>
      </w:r>
      <w:r>
        <w:rPr>
          <w:rFonts w:hint="eastAsia" w:ascii="宋体" w:hAnsi="宋体" w:cs="宋体"/>
          <w:color w:val="auto"/>
          <w:szCs w:val="21"/>
          <w:highlight w:val="none"/>
        </w:rPr>
        <w:t xml:space="preserve">）：</w:t>
      </w:r>
      <w:r/>
    </w:p>
    <w:tbl>
      <w:tblPr>
        <w:tblStyle w:val="697"/>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7"/>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法人或者其他组织的营业执照等证明文件，自然人的身份证明</w:t>
            </w:r>
            <w:r>
              <w:rPr>
                <w:rFonts w:hint="eastAsia"/>
                <w:color w:val="auto"/>
                <w:highlight w:val="none"/>
                <w:lang w:eastAsia="zh-CN"/>
              </w:rPr>
              <w:t xml:space="preserve">；</w:t>
            </w:r>
            <w:r/>
          </w:p>
        </w:tc>
        <w:tc>
          <w:tcPr>
            <w:tcW w:w="2158"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上一年度的财务状况报告（成立不满一年不需提供）</w:t>
            </w:r>
            <w:r>
              <w:rPr>
                <w:rFonts w:hint="eastAsia"/>
                <w:color w:val="auto"/>
                <w:highlight w:val="none"/>
                <w:lang w:eastAsia="zh-CN"/>
              </w:rPr>
              <w:t xml:space="preserve">；</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具备履行合同所必需的设备和专业技术能力的书面声明</w:t>
            </w:r>
            <w:r>
              <w:rPr>
                <w:rFonts w:hint="eastAsia"/>
                <w:color w:val="auto"/>
                <w:highlight w:val="none"/>
                <w:lang w:eastAsia="zh-CN"/>
              </w:rPr>
              <w:t xml:space="preserve">；</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参加本次政府采购活动前3年内在经营活动中没有重大违法记录的书面声明</w:t>
            </w:r>
            <w:r>
              <w:rPr>
                <w:rFonts w:hint="eastAsia"/>
                <w:color w:val="auto"/>
                <w:highlight w:val="none"/>
                <w:lang w:eastAsia="zh-CN"/>
              </w:rPr>
              <w:t xml:space="preserve">；</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供应商信用承诺函</w:t>
            </w:r>
            <w:r>
              <w:rPr>
                <w:rFonts w:hint="eastAsia"/>
                <w:color w:val="auto"/>
                <w:highlight w:val="none"/>
                <w:lang w:eastAsia="zh-CN"/>
              </w:rPr>
              <w:t xml:space="preserve">；</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240" w:lineRule="auto"/>
              <w:rPr>
                <w:rFonts w:hint="eastAsia"/>
                <w:color w:val="auto"/>
                <w:highlight w:val="none"/>
              </w:rPr>
            </w:pPr>
            <w:r>
              <w:rPr>
                <w:rFonts w:hint="eastAsia"/>
                <w:color w:val="auto"/>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83"/>
        </w:trPr>
        <w:tc>
          <w:tcPr>
            <w:gridSpan w:val="3"/>
            <w:tcW w:w="8251" w:type="dxa"/>
            <w:vAlign w:val="center"/>
            <w:textDirection w:val="lrTb"/>
            <w:noWrap w:val="false"/>
          </w:tcPr>
          <w:p>
            <w:pPr>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Times New Roman" w:hAnsi="Times New Roman"/>
                <w:color w:val="auto"/>
                <w:szCs w:val="22"/>
                <w:highlight w:val="none"/>
              </w:rPr>
            </w:pPr>
            <w:r>
              <w:rPr>
                <w:rFonts w:hint="eastAsia"/>
                <w:color w:val="auto"/>
                <w:szCs w:val="22"/>
                <w:highlight w:val="none"/>
                <w:lang w:eastAsia="zh-CN"/>
              </w:rPr>
              <w:t xml:space="preserve">8</w:t>
            </w:r>
            <w:r/>
          </w:p>
        </w:tc>
        <w:tc>
          <w:tcPr>
            <w:tcW w:w="5447" w:type="dxa"/>
            <w:vAlign w:val="center"/>
            <w:textDirection w:val="lrTb"/>
            <w:noWrap w:val="false"/>
          </w:tcPr>
          <w:p>
            <w:pPr>
              <w:jc w:val="left"/>
              <w:spacing w:line="240" w:lineRule="auto"/>
              <w:rPr>
                <w:rFonts w:hint="eastAsia"/>
                <w:color w:val="auto"/>
                <w:highlight w:val="none"/>
              </w:rPr>
            </w:pPr>
            <w:r>
              <w:rPr>
                <w:rFonts w:hint="eastAsia"/>
                <w:color w:val="auto"/>
                <w:highlight w:val="none"/>
              </w:rPr>
              <w:t xml:space="preserve">本项目根据《政府采购促进中小企业发展管理办法》的规定，对小型和微型企业、残疾人福利单位、监狱和戒毒企业给予20%的价格扣除。投标人必须提供招标文件中相应企业声明函，不符合要求或未提供的不给予价格扣除。</w:t>
            </w:r>
            <w:r/>
          </w:p>
          <w:p>
            <w:pPr>
              <w:jc w:val="left"/>
              <w:spacing w:line="240" w:lineRule="auto"/>
              <w:rPr>
                <w:rFonts w:hint="eastAsia"/>
                <w:color w:val="auto"/>
                <w:highlight w:val="none"/>
              </w:rPr>
            </w:pPr>
            <w:r>
              <w:rPr>
                <w:rFonts w:hint="eastAsia"/>
                <w:color w:val="auto"/>
                <w:highlight w:val="none"/>
              </w:rPr>
              <w:t xml:space="preserve">本项目采购标的按中小企业划分标准所属行业区分为工业（中小微企业划型标准网址：http://www.ccgp.gov.cn/zcfg/mof/201310/t20131029_3587674.htm）。</w:t>
            </w:r>
            <w:r/>
          </w:p>
        </w:tc>
        <w:tc>
          <w:tcPr>
            <w:tcW w:w="2158" w:type="dxa"/>
            <w:vAlign w:val="center"/>
            <w:textDirection w:val="lrTb"/>
            <w:noWrap w:val="false"/>
          </w:tcPr>
          <w:p>
            <w:pPr>
              <w:rPr>
                <w:rFonts w:hint="eastAsia" w:ascii="Times New Roman" w:hAnsi="Times New Roman"/>
                <w:color w:val="auto"/>
                <w:szCs w:val="22"/>
                <w:highlight w:val="none"/>
              </w:rPr>
            </w:pPr>
            <w:r>
              <w:rPr>
                <w:rFonts w:hint="eastAsia" w:ascii="Times New Roman" w:hAnsi="Times New Roman"/>
                <w:color w:val="auto"/>
                <w:szCs w:val="22"/>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5447" w:type="dxa"/>
            <w:vAlign w:val="center"/>
            <w:textDirection w:val="lrTb"/>
            <w:noWrap w:val="false"/>
          </w:tcPr>
          <w:p>
            <w:pPr>
              <w:rPr>
                <w:rFonts w:hint="eastAsia" w:ascii="宋体" w:hAnsi="宋体" w:eastAsia="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无</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251" w:type="dxa"/>
            <w:vAlign w:val="center"/>
            <w:textDirection w:val="lrTb"/>
            <w:noWrap w:val="false"/>
          </w:tcPr>
          <w:p>
            <w:pPr>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0</w:t>
            </w:r>
            <w:r/>
          </w:p>
        </w:tc>
        <w:tc>
          <w:tcPr>
            <w:tcW w:w="5447" w:type="dxa"/>
            <w:vAlign w:val="center"/>
            <w:textDirection w:val="lrTb"/>
            <w:noWrap w:val="false"/>
          </w:tcPr>
          <w:p>
            <w:pPr>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p>
        </w:tc>
        <w:tc>
          <w:tcPr>
            <w:tcW w:w="5447" w:type="dxa"/>
            <w:vAlign w:val="center"/>
            <w:textDirection w:val="lrTb"/>
            <w:noWrap w:val="false"/>
          </w:tcPr>
          <w:p>
            <w:pPr>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215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50" w:after="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50" w:after="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Cs w:val="21"/>
          <w:highlight w:val="none"/>
        </w:rPr>
        <w:br w:type="page" w:clear="all"/>
      </w:r>
      <w:r>
        <w:rPr>
          <w:rFonts w:hint="eastAsia" w:ascii="宋体" w:hAnsi="宋体" w:cs="宋体"/>
          <w:b/>
          <w:bCs/>
          <w:color w:val="auto"/>
          <w:sz w:val="28"/>
          <w:szCs w:val="28"/>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spacing w:line="360" w:lineRule="auto"/>
        <w:rPr>
          <w:rFonts w:hint="eastAsia" w:ascii="宋体" w:hAnsi="宋体" w:cs="宋体"/>
          <w:bCs/>
          <w:color w:val="auto"/>
          <w:highlight w:val="none"/>
        </w:rPr>
        <w:outlineLvl w:val="9"/>
      </w:pPr>
      <w:r>
        <w:rPr>
          <w:rFonts w:hint="eastAsia" w:ascii="宋体" w:hAnsi="宋体" w:cs="宋体"/>
          <w:bCs/>
          <w:color w:val="auto"/>
          <w:highlight w:val="none"/>
        </w:rPr>
      </w:r>
      <w:r/>
    </w:p>
    <w:p>
      <w:pPr>
        <w:ind w:firstLine="3360"/>
        <w:spacing w:line="360" w:lineRule="auto"/>
        <w:rPr>
          <w:rFonts w:hint="eastAsia" w:ascii="宋体" w:hAnsi="宋体" w:cs="宋体"/>
          <w:bCs/>
          <w:color w:val="auto"/>
          <w:highlight w:val="none"/>
        </w:rPr>
        <w:outlineLvl w:val="9"/>
      </w:pPr>
      <w:r>
        <w:rPr>
          <w:rFonts w:hint="eastAsia" w:ascii="宋体" w:hAnsi="宋体" w:cs="宋体"/>
          <w:bCs/>
          <w:color w:val="auto"/>
          <w:highlight w:val="none"/>
        </w:rPr>
        <w:t xml:space="preserve">供应商名称</w:t>
      </w:r>
      <w:r>
        <w:rPr>
          <w:rFonts w:hint="eastAsia" w:ascii="宋体" w:hAnsi="宋体" w:cs="宋体"/>
          <w:color w:val="auto"/>
          <w:szCs w:val="24"/>
          <w:highlight w:val="none"/>
        </w:rPr>
        <w:t xml:space="preserve">（加盖CA电子签章）</w:t>
      </w:r>
      <w:r>
        <w:rPr>
          <w:rFonts w:hint="eastAsia" w:ascii="宋体" w:hAnsi="宋体" w:cs="宋体"/>
          <w:bCs/>
          <w:color w:val="auto"/>
          <w:highlight w:val="none"/>
        </w:rPr>
        <w:t xml:space="preserve">：</w:t>
      </w:r>
      <w:r/>
    </w:p>
    <w:p>
      <w:pPr>
        <w:spacing w:line="360" w:lineRule="auto"/>
        <w:rPr>
          <w:rFonts w:hint="default" w:ascii="宋体" w:hAnsi="宋体" w:eastAsia="宋体" w:cs="宋体"/>
          <w:bCs/>
          <w:color w:val="auto"/>
          <w:highlight w:val="none"/>
          <w:lang w:val="en-US" w:eastAsia="zh-CN"/>
        </w:rPr>
        <w:outlineLvl w:val="9"/>
      </w:pPr>
      <w:r>
        <w:rPr>
          <w:rFonts w:hint="eastAsia" w:ascii="宋体" w:hAnsi="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法定代表人</w:t>
      </w:r>
      <w:r>
        <w:rPr>
          <w:rFonts w:hint="eastAsia" w:ascii="宋体" w:hAnsi="宋体" w:cs="宋体"/>
          <w:color w:val="auto"/>
          <w:szCs w:val="24"/>
          <w:highlight w:val="none"/>
        </w:rPr>
        <w:t xml:space="preserve">（加盖CA电子签章）</w:t>
      </w:r>
      <w:r>
        <w:rPr>
          <w:rFonts w:hint="eastAsia" w:ascii="宋体" w:hAnsi="宋体" w:cs="宋体"/>
          <w:bCs/>
          <w:color w:val="auto"/>
          <w:highlight w:val="none"/>
        </w:rPr>
        <w:t xml:space="preserve">：</w:t>
      </w:r>
      <w:r/>
    </w:p>
    <w:p>
      <w:pPr>
        <w:contextualSpacing/>
        <w:spacing w:line="360" w:lineRule="auto"/>
        <w:rPr>
          <w:rFonts w:hint="eastAsia" w:ascii="宋体" w:hAnsi="宋体" w:cs="宋体"/>
          <w:b/>
          <w:color w:val="auto"/>
          <w:sz w:val="36"/>
          <w:highlight w:val="none"/>
        </w:rPr>
      </w:pPr>
      <w:r>
        <w:rPr>
          <w:rFonts w:hint="eastAsia" w:ascii="宋体" w:hAnsi="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日期：</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highlight w:val="none"/>
        </w:rPr>
        <w:br w:type="page" w:clear="all"/>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t xml:space="preserve">声  明</w:t>
      </w:r>
      <w:r/>
    </w:p>
    <w:p>
      <w:pPr>
        <w:pStyle w:val="698"/>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highlight w:val="none"/>
        </w:rPr>
        <w:outlineLvl w:val="9"/>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3360"/>
        <w:spacing w:line="360" w:lineRule="auto"/>
        <w:rPr>
          <w:rFonts w:hint="eastAsia" w:ascii="宋体" w:hAnsi="宋体" w:cs="宋体"/>
          <w:bCs/>
          <w:color w:val="auto"/>
          <w:highlight w:val="none"/>
        </w:rPr>
        <w:outlineLvl w:val="9"/>
      </w:pPr>
      <w:r>
        <w:rPr>
          <w:rFonts w:hint="eastAsia" w:ascii="宋体" w:hAnsi="宋体" w:cs="宋体"/>
          <w:bCs/>
          <w:color w:val="auto"/>
          <w:highlight w:val="none"/>
        </w:rPr>
        <w:t xml:space="preserve">供应商名称</w:t>
      </w:r>
      <w:r>
        <w:rPr>
          <w:rFonts w:hint="eastAsia" w:ascii="宋体" w:hAnsi="宋体" w:cs="宋体"/>
          <w:color w:val="auto"/>
          <w:szCs w:val="24"/>
          <w:highlight w:val="none"/>
        </w:rPr>
        <w:t xml:space="preserve">（加盖CA电子签章）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outlineLvl w:val="9"/>
      </w:pPr>
      <w:r>
        <w:rPr>
          <w:rFonts w:hint="eastAsia" w:ascii="宋体" w:hAnsi="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法定代表人</w:t>
      </w:r>
      <w:r>
        <w:rPr>
          <w:rFonts w:hint="eastAsia" w:ascii="宋体" w:hAnsi="宋体" w:cs="宋体"/>
          <w:color w:val="auto"/>
          <w:szCs w:val="24"/>
          <w:highlight w:val="none"/>
        </w:rPr>
        <w:t xml:space="preserve">（加盖CA电子签章）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outlineLvl w:val="9"/>
      </w:pPr>
      <w:r>
        <w:rPr>
          <w:rFonts w:hint="eastAsia" w:ascii="宋体" w:hAnsi="宋体" w:cs="宋体"/>
          <w:bCs/>
          <w:color w:val="auto"/>
          <w:highlight w:val="none"/>
        </w:rPr>
        <w:t xml:space="preserve">                               日期：</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r>
      <w:r/>
    </w:p>
    <w:p>
      <w:pPr>
        <w:jc w:val="center"/>
        <w:spacing w:line="500" w:lineRule="exact"/>
        <w:rPr>
          <w:rFonts w:hint="eastAsia" w:ascii="宋体" w:hAnsi="宋体" w:cs="宋体"/>
          <w:color w:val="auto"/>
          <w:szCs w:val="32"/>
          <w:highlight w:val="none"/>
        </w:rPr>
        <w:outlineLvl w:val="9"/>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承诺主体名称：</w:t>
      </w:r>
      <w:r/>
    </w:p>
    <w:p>
      <w:pPr>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统一社会信用代码：</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四、自觉接受行政管理部门、行业组织、社会公众、新闻舆论的监督；</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七、严格遵守信用信息公示相关规定，向社会公示信用信息；</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十、本承诺书自签订之日起生效。</w:t>
      </w:r>
      <w:r/>
    </w:p>
    <w:p>
      <w:pPr>
        <w:ind w:firstLine="420"/>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（注：法定代表人或负责人、主体名称发生变更的应当重新做出承诺。）</w:t>
      </w:r>
      <w:r/>
    </w:p>
    <w:p>
      <w:pPr>
        <w:jc w:val="center"/>
        <w:keepLines w:val="0"/>
        <w:keepNext w:val="0"/>
        <w:pageBreakBefore w:val="0"/>
        <w:spacing w:line="432" w:lineRule="auto"/>
        <w:widowControl w:val="off"/>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　　　　　　　　　　承诺单位（</w:t>
      </w:r>
      <w:r>
        <w:rPr>
          <w:rFonts w:hint="eastAsia" w:ascii="宋体" w:hAnsi="宋体" w:cs="宋体"/>
          <w:color w:val="auto"/>
          <w:szCs w:val="24"/>
          <w:highlight w:val="none"/>
        </w:rPr>
        <w:t xml:space="preserve">加盖CA电子签章</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p>
    <w:p>
      <w:pPr>
        <w:jc w:val="center"/>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法定代表人（负责人）：</w:t>
      </w:r>
      <w:r/>
    </w:p>
    <w:p>
      <w:pPr>
        <w:jc w:val="center"/>
        <w:keepLines w:val="0"/>
        <w:keepNext w:val="0"/>
        <w:pageBreakBefore w:val="0"/>
        <w:spacing w:line="432"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日</w:t>
      </w:r>
      <w:r/>
    </w:p>
    <w:p>
      <w:pPr>
        <w:jc w:val="center"/>
        <w:spacing w:line="500" w:lineRule="exact"/>
        <w:rPr>
          <w:rFonts w:ascii="宋体" w:hAnsi="宋体" w:cs="宋体"/>
          <w:color w:val="auto"/>
          <w:szCs w:val="21"/>
          <w:highlight w:val="none"/>
        </w:rPr>
        <w:outlineLvl w:val="9"/>
      </w:pPr>
      <w:r>
        <w:rPr>
          <w:rFonts w:ascii="宋体" w:hAnsi="宋体" w:cs="宋体"/>
          <w:color w:val="auto"/>
          <w:szCs w:val="21"/>
          <w:highlight w:val="none"/>
        </w:rPr>
      </w:r>
      <w:r/>
    </w:p>
    <w:p>
      <w:pPr>
        <w:jc w:val="center"/>
        <w:spacing w:line="360" w:lineRule="auto"/>
        <w:rPr>
          <w:rFonts w:hint="eastAsia" w:ascii="宋体" w:hAnsi="宋体" w:cs="宋体"/>
          <w:b/>
          <w:bCs/>
          <w:color w:val="auto"/>
          <w:highlight w:val="none"/>
        </w:rPr>
        <w:outlineLvl w:val="9"/>
      </w:pPr>
      <w:r>
        <w:rPr>
          <w:rFonts w:hint="eastAsia" w:ascii="宋体" w:hAnsi="宋体" w:cs="宋体"/>
          <w:b/>
          <w:bCs/>
          <w:color w:val="auto"/>
          <w:highlight w:val="none"/>
        </w:rPr>
        <w:t xml:space="preserve">投标函格式</w:t>
      </w:r>
      <w:r/>
    </w:p>
    <w:p>
      <w:pPr>
        <w:pStyle w:val="898"/>
        <w:ind w:firstLine="0"/>
        <w:spacing w:before="0" w:after="0"/>
        <w:rPr>
          <w:rFonts w:hint="eastAsia" w:ascii="宋体" w:hAnsi="宋体" w:eastAsia="宋体" w:cs="宋体"/>
          <w:color w:val="auto"/>
          <w:sz w:val="21"/>
          <w:szCs w:val="21"/>
          <w:highlight w:val="none"/>
          <w:lang w:eastAsia="zh-CN"/>
        </w:rPr>
        <w:outlineLvl w:val="9"/>
      </w:pPr>
      <w:r>
        <w:rPr>
          <w:rFonts w:hint="eastAsia" w:ascii="宋体" w:hAnsi="宋体" w:cs="宋体"/>
          <w:color w:val="auto"/>
          <w:sz w:val="21"/>
          <w:szCs w:val="21"/>
          <w:highlight w:val="none"/>
        </w:rPr>
        <w:t xml:space="preserve">致：</w:t>
      </w:r>
      <w:r>
        <w:rPr>
          <w:rFonts w:hint="eastAsia" w:ascii="宋体" w:hAnsi="宋体" w:cs="宋体"/>
          <w:color w:val="auto"/>
          <w:sz w:val="21"/>
          <w:highlight w:val="none"/>
          <w:lang w:eastAsia="zh-CN"/>
        </w:rPr>
        <w:t xml:space="preserve">江苏时代投资咨询有限公司</w:t>
      </w:r>
      <w:r/>
    </w:p>
    <w:p>
      <w:pPr>
        <w:pStyle w:val="898"/>
        <w:ind w:firstLine="420"/>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号招标文件，正式授权下述签字人_________________(姓名)代表我方______________（投标人的名称），全权处理本次项目投标的有关事宜。</w:t>
      </w:r>
      <w:r/>
    </w:p>
    <w:p>
      <w:pPr>
        <w:pStyle w:val="898"/>
        <w:ind w:firstLine="420"/>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据此函，__________签字人（姓名）兹宣布同意如下：</w:t>
      </w:r>
      <w:r/>
    </w:p>
    <w:p>
      <w:pPr>
        <w:pStyle w:val="898"/>
        <w:ind w:firstLine="420"/>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1.按招标文件规定的各项要求，向买方提供所需货物与服务。</w:t>
      </w:r>
      <w:r/>
    </w:p>
    <w:p>
      <w:pPr>
        <w:pStyle w:val="898"/>
        <w:ind w:firstLine="420"/>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2.我们完全理解贵方不一定将合同授予最低报价的投标人。</w:t>
      </w:r>
      <w:r/>
    </w:p>
    <w:p>
      <w:pPr>
        <w:pStyle w:val="898"/>
        <w:ind w:firstLine="420"/>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89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89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8"/>
        <w:ind w:left="425" w:firstLine="105"/>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7.与本投标有关的正式通讯地址为：</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地 址：</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邮 编：</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电 话： </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传 真： </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投标人开户行：</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账 户： </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行 号：</w:t>
      </w:r>
      <w:r/>
    </w:p>
    <w:p>
      <w:pPr>
        <w:pStyle w:val="898"/>
        <w:ind w:firstLine="478"/>
        <w:spacing w:before="0" w:after="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br w:type="page" w:clear="all"/>
      </w:r>
      <w:r/>
    </w:p>
    <w:p>
      <w:pPr>
        <w:pStyle w:val="901"/>
        <w:ind w:firstLine="422"/>
        <w:jc w:val="center"/>
        <w:spacing w:line="360" w:lineRule="auto"/>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t xml:space="preserve">法人授权书</w:t>
      </w:r>
      <w:r/>
    </w:p>
    <w:p>
      <w:pPr>
        <w:pStyle w:val="901"/>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01"/>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本授权书于______年____月____日起生效，特此声明。</w:t>
      </w:r>
      <w:r/>
    </w:p>
    <w:p>
      <w:pPr>
        <w:pStyle w:val="901"/>
        <w:ind w:firstLine="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    </w:t>
      </w:r>
      <w:r/>
    </w:p>
    <w:p>
      <w:pPr>
        <w:pStyle w:val="901"/>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被授权人姓名：_____________________</w:t>
      </w:r>
      <w:r/>
    </w:p>
    <w:p>
      <w:pPr>
        <w:pStyle w:val="901"/>
        <w:ind w:firstLine="420"/>
        <w:spacing w:line="360" w:lineRule="auto"/>
        <w:rPr>
          <w:rFonts w:hint="eastAsia"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01"/>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单位名称：____________________________________</w:t>
      </w:r>
      <w:r/>
    </w:p>
    <w:p>
      <w:pPr>
        <w:pStyle w:val="901"/>
        <w:ind w:firstLine="420"/>
        <w:spacing w:line="360" w:lineRule="auto"/>
        <w:rPr>
          <w:rFonts w:hint="eastAsia"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01"/>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460" w:lineRule="exact"/>
        <w:rPr>
          <w:rFonts w:hint="eastAsia" w:ascii="宋体" w:hAnsi="宋体" w:cs="宋体"/>
          <w:bCs/>
          <w:color w:val="auto"/>
          <w:highlight w:val="none"/>
        </w:rPr>
        <w:outlineLvl w:val="9"/>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outlineLvl w:val="9"/>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outlineLvl w:val="9"/>
      </w:pPr>
      <w:r>
        <w:rPr>
          <w:rFonts w:hint="eastAsia" w:ascii="宋体" w:hAnsi="宋体" w:cs="宋体"/>
          <w:bCs/>
          <w:color w:val="auto"/>
          <w:highlight w:val="none"/>
        </w:rPr>
        <w:t xml:space="preserve">被授权人身份证复印件</w:t>
      </w:r>
      <w:r/>
    </w:p>
    <w:p>
      <w:pPr>
        <w:pStyle w:val="730"/>
        <w:rPr>
          <w:rFonts w:hint="eastAsia" w:ascii="宋体" w:hAnsi="宋体" w:cs="宋体"/>
          <w:bCs/>
          <w:color w:val="auto"/>
          <w:highlight w:val="none"/>
        </w:rPr>
      </w:pPr>
      <w:r>
        <w:rPr>
          <w:rFonts w:hint="eastAsia" w:ascii="宋体" w:hAnsi="宋体" w:cs="宋体"/>
          <w:bCs/>
          <w:color w:val="auto"/>
          <w:highlight w:val="none"/>
        </w:rPr>
      </w:r>
      <w:r/>
    </w:p>
    <w:p>
      <w:pPr>
        <w:pStyle w:val="730"/>
        <w:rPr>
          <w:rFonts w:hint="eastAsia" w:ascii="宋体" w:hAnsi="宋体" w:cs="宋体"/>
          <w:bCs/>
          <w:color w:val="auto"/>
          <w:highlight w:val="none"/>
        </w:rPr>
      </w:pPr>
      <w:r>
        <w:rPr>
          <w:rFonts w:hint="eastAsia" w:ascii="宋体" w:hAnsi="宋体" w:cs="宋体"/>
          <w:bCs/>
          <w:color w:val="auto"/>
          <w:highlight w:val="none"/>
        </w:rPr>
      </w:r>
      <w:r/>
    </w:p>
    <w:p>
      <w:pPr>
        <w:jc w:val="left"/>
        <w:spacing w:before="0" w:after="0"/>
        <w:rPr>
          <w:rFonts w:hint="eastAsia" w:ascii="宋体" w:hAnsi="宋体" w:cs="宋体"/>
          <w:b/>
          <w:bCs/>
          <w:color w:val="auto"/>
          <w:highlight w:val="none"/>
        </w:rPr>
      </w:pPr>
      <w:r>
        <w:rPr>
          <w:rFonts w:hint="eastAsia" w:ascii="宋体" w:hAnsi="宋体" w:cs="宋体"/>
          <w:b/>
          <w:bCs/>
          <w:color w:val="auto"/>
          <w:highlight w:val="none"/>
        </w:rPr>
        <w:br w:type="page" w:clear="all"/>
      </w:r>
      <w:r/>
    </w:p>
    <w:p>
      <w:pPr>
        <w:ind w:firstLine="420"/>
        <w:jc w:val="center"/>
        <w:spacing w:before="0" w:after="0" w:line="460" w:lineRule="exact"/>
        <w:rPr>
          <w:rFonts w:hint="eastAsia" w:ascii="宋体" w:hAnsi="宋体" w:cs="宋体"/>
          <w:b/>
          <w:bCs/>
          <w:color w:val="auto"/>
          <w:highlight w:val="none"/>
        </w:rPr>
        <w:outlineLvl w:val="9"/>
      </w:pPr>
      <w:r>
        <w:rPr>
          <w:rFonts w:hint="eastAsia" w:ascii="宋体" w:hAnsi="宋体" w:cs="宋体"/>
          <w:b/>
          <w:bCs/>
          <w:color w:val="auto"/>
          <w:highlight w:val="none"/>
        </w:rPr>
        <w:t xml:space="preserve">中小企业声明函（货物）</w:t>
      </w:r>
      <w:r/>
    </w:p>
    <w:p>
      <w:pPr>
        <w:ind w:firstLine="420"/>
        <w:jc w:val="left"/>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w:t>
      </w:r>
      <w:r>
        <w:rPr>
          <w:rFonts w:hint="eastAsia" w:ascii="宋体" w:hAnsi="宋体" w:cs="宋体"/>
          <w:b/>
          <w:bCs/>
          <w:color w:val="auto"/>
          <w:highlight w:val="none"/>
          <w:u w:val="single"/>
          <w:lang w:val="en-US" w:eastAsia="zh-CN"/>
        </w:rPr>
        <w:t xml:space="preserve">工业</w:t>
      </w:r>
      <w:r>
        <w:rPr>
          <w:rFonts w:hint="eastAsia" w:ascii="宋体" w:hAnsi="宋体" w:cs="宋体"/>
          <w:b/>
          <w:bCs/>
          <w:color w:val="auto"/>
          <w:highlight w:val="none"/>
          <w:u w:val="single"/>
        </w:rPr>
        <w:t xml:space="preserve">）</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w:t>
      </w:r>
      <w:r>
        <w:rPr>
          <w:rFonts w:hint="eastAsia" w:ascii="宋体" w:hAnsi="宋体" w:cs="宋体"/>
          <w:b/>
          <w:bCs/>
          <w:color w:val="auto"/>
          <w:highlight w:val="none"/>
          <w:u w:val="single"/>
          <w:lang w:val="en-US" w:eastAsia="zh-CN"/>
        </w:rPr>
        <w:t xml:space="preserve">工业</w:t>
      </w:r>
      <w:r>
        <w:rPr>
          <w:rFonts w:hint="eastAsia" w:ascii="宋体" w:hAnsi="宋体" w:cs="宋体"/>
          <w:b/>
          <w:bCs/>
          <w:color w:val="auto"/>
          <w:highlight w:val="none"/>
          <w:u w:val="single"/>
        </w:rPr>
        <w:t xml:space="preserve">）</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pageBreakBefore w:val="0"/>
        <w:spacing w:after="0"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after="0"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本企业对上述声明内容的真实性负责。如有虚假，将依法承担相应责任。</w:t>
      </w:r>
      <w:r/>
    </w:p>
    <w:p>
      <w:pPr>
        <w:ind w:firstLine="420"/>
        <w:jc w:val="left"/>
        <w:pageBreakBefore w:val="0"/>
        <w:spacing w:after="0"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pageBreakBefore w:val="0"/>
        <w:spacing w:after="0" w:line="360" w:lineRule="auto"/>
        <w:widowControl w:val="off"/>
        <w:rPr>
          <w:rFonts w:hint="default" w:ascii="宋体" w:hAnsi="宋体" w:cs="宋体"/>
          <w:color w:val="auto"/>
          <w:highlight w:val="none"/>
          <w:lang w:val="en-US" w:eastAsia="zh-CN"/>
        </w:rPr>
        <w:outlineLvl w:val="9"/>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ind w:firstLine="420"/>
        <w:pageBreakBefore w:val="0"/>
        <w:spacing w:after="0" w:line="360" w:lineRule="auto"/>
        <w:widowControl w:val="off"/>
        <w:rPr>
          <w:rFonts w:hint="eastAsia" w:ascii="宋体" w:hAnsi="宋体" w:cs="宋体"/>
          <w:color w:val="auto"/>
          <w:highlight w:val="none"/>
        </w:rPr>
        <w:outlineLvl w:val="9"/>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、企业声明函请完整填写，中标后将公示。</w:t>
      </w:r>
      <w:r/>
    </w:p>
    <w:p>
      <w:pPr>
        <w:ind w:firstLine="420"/>
        <w:jc w:val="left"/>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2"/>
        <w:jc w:val="left"/>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、声明函请按照</w:t>
      </w:r>
      <w:r>
        <w:rPr>
          <w:rFonts w:hint="eastAsia" w:ascii="宋体" w:hAnsi="宋体" w:cs="宋体"/>
          <w:b/>
          <w:bCs/>
          <w:color w:val="auto"/>
          <w:highlight w:val="none"/>
          <w:lang w:val="en-US" w:eastAsia="zh-CN"/>
        </w:rPr>
        <w:t xml:space="preserve">采购文件要求</w:t>
      </w:r>
      <w:r>
        <w:rPr>
          <w:rFonts w:hint="eastAsia" w:ascii="宋体" w:hAnsi="宋体" w:cs="宋体"/>
          <w:b/>
          <w:bCs/>
          <w:color w:val="auto"/>
          <w:highlight w:val="none"/>
        </w:rPr>
        <w:t xml:space="preserve">并根据实际情况逐项填写，声明函应涵盖本项目所有货物</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否则视为不符合要求，</w:t>
      </w:r>
      <w:r>
        <w:rPr>
          <w:rFonts w:ascii="Times New Roman" w:hAnsi="Times New Roman"/>
          <w:b/>
          <w:bCs/>
          <w:color w:val="auto"/>
          <w:highlight w:val="none"/>
        </w:rPr>
        <w:t xml:space="preserve">价格不</w:t>
      </w:r>
      <w:r>
        <w:rPr>
          <w:rFonts w:hint="eastAsia" w:ascii="Times New Roman" w:hAnsi="Times New Roman"/>
          <w:b/>
          <w:bCs/>
          <w:color w:val="auto"/>
          <w:highlight w:val="none"/>
          <w:lang w:eastAsia="zh-CN"/>
        </w:rPr>
        <w:t xml:space="preserve">作</w:t>
      </w:r>
      <w:r>
        <w:rPr>
          <w:rFonts w:ascii="Times New Roman" w:hAnsi="Times New Roman"/>
          <w:b/>
          <w:bCs/>
          <w:color w:val="auto"/>
          <w:highlight w:val="none"/>
        </w:rPr>
        <w:t xml:space="preserve">扣除</w:t>
      </w:r>
      <w:r>
        <w:rPr>
          <w:rFonts w:hint="eastAsia" w:ascii="宋体" w:hAnsi="宋体" w:cs="宋体"/>
          <w:b/>
          <w:bCs/>
          <w:color w:val="auto"/>
          <w:highlight w:val="none"/>
        </w:rPr>
        <w:t xml:space="preserve">。</w:t>
      </w:r>
      <w:r/>
    </w:p>
    <w:p>
      <w:pPr>
        <w:ind w:firstLine="420"/>
        <w:jc w:val="left"/>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highlight w:val="none"/>
          <w:lang w:val="en-US" w:eastAsia="zh-CN"/>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after="0"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cs="宋体"/>
          <w:b w:val="0"/>
          <w:bCs/>
          <w:color w:val="auto"/>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center"/>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cs="宋体"/>
          <w:color w:val="auto"/>
          <w:szCs w:val="24"/>
          <w:highlight w:val="none"/>
        </w:rPr>
        <w:t xml:space="preserve">加盖CA电子签章</w:t>
      </w:r>
      <w:r>
        <w:rPr>
          <w:rFonts w:hint="eastAsia" w:ascii="宋体" w:hAnsi="宋体" w:cs="宋体"/>
          <w:color w:val="auto"/>
          <w:highlight w:val="none"/>
        </w:rPr>
        <w:t xml:space="preserve">）：</w:t>
      </w:r>
      <w:r/>
    </w:p>
    <w:p>
      <w:pPr>
        <w:ind w:firstLine="420"/>
        <w:jc w:val="center"/>
        <w:spacing w:line="360" w:lineRule="auto"/>
        <w:rPr>
          <w:rFonts w:hint="eastAsia" w:ascii="宋体" w:hAnsi="宋体" w:eastAsia="宋体" w:cs="宋体"/>
          <w:bCs w:val="0"/>
          <w:color w:val="auto"/>
          <w:sz w:val="21"/>
          <w:szCs w:val="21"/>
          <w:highlight w:val="none"/>
        </w:rPr>
      </w:pPr>
      <w:r>
        <w:rPr>
          <w:rFonts w:hint="eastAsia" w:ascii="宋体" w:hAnsi="宋体" w:cs="宋体"/>
          <w:color w:val="auto"/>
          <w:highlight w:val="none"/>
        </w:rPr>
        <w:t xml:space="preserve">                   日 期：</w:t>
      </w:r>
      <w:r>
        <w:rPr>
          <w:rFonts w:hint="eastAsia" w:ascii="宋体" w:hAnsi="宋体" w:eastAsia="宋体" w:cs="宋体"/>
          <w:bCs w:val="0"/>
          <w:color w:val="auto"/>
          <w:sz w:val="21"/>
          <w:szCs w:val="21"/>
          <w:highlight w:val="none"/>
        </w:rPr>
        <w:br w:type="page" w:clear="all"/>
      </w:r>
      <w:r/>
    </w:p>
    <w:p>
      <w:pPr>
        <w:jc w:val="center"/>
        <w:spacing w:before="300" w:after="300" w:line="360" w:lineRule="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中小微企业划型标准</w:t>
      </w:r>
      <w:r/>
    </w:p>
    <w:p>
      <w:pPr>
        <w:pStyle w:val="728"/>
        <w:ind w:firstLine="420"/>
        <w:spacing w:before="300" w:after="452" w:line="360" w:lineRule="auto"/>
        <w:widowControl/>
        <w:rPr>
          <w:rFonts w:hint="eastAsia" w:ascii="宋体" w:hAnsi="宋体" w:cs="宋体"/>
          <w:color w:val="auto"/>
          <w:sz w:val="21"/>
          <w:szCs w:val="21"/>
          <w:highlight w:val="none"/>
        </w:rPr>
        <w:outlineLvl w:val="9"/>
      </w:pPr>
      <w:r>
        <w:rPr>
          <w:rStyle w:val="733"/>
          <w:rFonts w:hint="eastAsia" w:ascii="宋体" w:hAnsi="宋体" w:cs="宋体"/>
          <w:color w:val="auto"/>
          <w:sz w:val="21"/>
          <w:szCs w:val="21"/>
          <w:highlight w:val="none"/>
        </w:rPr>
        <w:t xml:space="preserve">中小微企业划型标准如下：</w:t>
      </w:r>
      <w:r/>
    </w:p>
    <w:tbl>
      <w:tblPr>
        <w:tblStyle w:val="697"/>
        <w:tblW w:w="0" w:type="auto"/>
        <w:jc w:val="right"/>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86"/>
        <w:gridCol w:w="1808"/>
        <w:gridCol w:w="1709"/>
        <w:gridCol w:w="1500"/>
      </w:tblGrid>
      <w:tr>
        <w:trPr>
          <w:jc w:val="right"/>
          <w:tblCellSpacing w:w="15" w:type="dxa"/>
          <w:trHeight w:val="567"/>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微型</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Y＜50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Y＜300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Y＜300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Z＜300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X＜5</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Y＜200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Y＜50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Y＜2000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Y＜500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8"/>
              <w:ind w:firstLine="0"/>
              <w:jc w:val="center"/>
              <w:keepLines w:val="0"/>
              <w:keepNext w:val="0"/>
              <w:pageBreakBefore w:val="0"/>
              <w:spacing w:beforeAutospacing="0" w:after="0" w:afterAutospacing="0" w:line="240" w:lineRule="auto"/>
              <w:widowControl/>
              <w:rPr>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X＜10</w:t>
            </w:r>
            <w:r/>
          </w:p>
        </w:tc>
      </w:tr>
    </w:tbl>
    <w:p>
      <w:pPr>
        <w:pStyle w:val="728"/>
        <w:ind w:firstLine="810"/>
        <w:spacing w:before="300" w:after="452" w:line="360" w:lineRule="auto"/>
        <w:widowControl/>
        <w:rPr>
          <w:rStyle w:val="733"/>
          <w:rFonts w:hint="eastAsia" w:ascii="宋体" w:hAnsi="宋体" w:cs="宋体"/>
          <w:color w:val="auto"/>
          <w:sz w:val="21"/>
          <w:szCs w:val="21"/>
          <w:highlight w:val="none"/>
        </w:rPr>
      </w:pPr>
      <w:r>
        <w:rPr>
          <w:rStyle w:val="73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Style w:val="733"/>
          <w:rFonts w:hint="eastAsia" w:ascii="宋体" w:hAnsi="宋体" w:cs="宋体"/>
          <w:color w:val="auto"/>
          <w:sz w:val="21"/>
          <w:szCs w:val="21"/>
          <w:highlight w:val="none"/>
        </w:rPr>
      </w:pPr>
      <w:r>
        <w:rPr>
          <w:rStyle w:val="733"/>
          <w:rFonts w:hint="eastAsia" w:ascii="宋体" w:hAnsi="宋体" w:cs="宋体"/>
          <w:color w:val="auto"/>
          <w:sz w:val="21"/>
          <w:szCs w:val="21"/>
          <w:highlight w:val="none"/>
        </w:rPr>
        <w:br w:type="page" w:clear="all"/>
      </w:r>
      <w:r/>
    </w:p>
    <w:p>
      <w:pPr>
        <w:numPr>
          <w:ilvl w:val="0"/>
          <w:numId w:val="0"/>
        </w:numPr>
        <w:jc w:val="center"/>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二、符合性审查响应对照表</w:t>
      </w:r>
      <w:r/>
    </w:p>
    <w:p>
      <w:pPr>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tbl>
      <w:tblPr>
        <w:tblStyle w:val="697"/>
        <w:tblW w:w="86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20"/>
        <w:gridCol w:w="1890"/>
        <w:gridCol w:w="115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序号</w:t>
            </w:r>
            <w:r/>
          </w:p>
        </w:tc>
        <w:tc>
          <w:tcPr>
            <w:tcW w:w="4920" w:type="dxa"/>
            <w:vAlign w:val="center"/>
            <w:textDirection w:val="lrTb"/>
            <w:noWrap w:val="false"/>
          </w:tcPr>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符合性审查响应内容</w:t>
            </w:r>
            <w:r/>
          </w:p>
        </w:tc>
        <w:tc>
          <w:tcPr>
            <w:tcW w:w="1890" w:type="dxa"/>
            <w:vAlign w:val="center"/>
            <w:textDirection w:val="lrTb"/>
            <w:noWrap w:val="false"/>
          </w:tcPr>
          <w:p>
            <w:pPr>
              <w:jc w:val="center"/>
              <w:spacing w:line="240" w:lineRule="atLeast"/>
              <w:rPr>
                <w:rFonts w:ascii="宋体" w:hAnsi="宋体" w:cs="宋体"/>
                <w:b/>
                <w:color w:val="auto"/>
                <w:szCs w:val="21"/>
                <w:highlight w:val="none"/>
              </w:rPr>
              <w:outlineLvl w:val="9"/>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（填是或者否）</w:t>
            </w:r>
            <w:r/>
          </w:p>
        </w:tc>
        <w:tc>
          <w:tcPr>
            <w:tcW w:w="1155" w:type="dxa"/>
            <w:vAlign w:val="center"/>
            <w:textDirection w:val="lrTb"/>
            <w:noWrap w:val="false"/>
          </w:tcPr>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hint="eastAsia" w:ascii="宋体" w:hAnsi="宋体" w:cs="宋体"/>
                <w:b/>
                <w:color w:val="auto"/>
                <w:szCs w:val="21"/>
                <w:highlight w:val="none"/>
              </w:rPr>
              <w:outlineLvl w:val="9"/>
            </w:pPr>
            <w:r>
              <w:rPr>
                <w:rFonts w:hint="eastAsia" w:ascii="宋体" w:hAnsi="宋体" w:cs="宋体"/>
                <w:b w:val="0"/>
                <w:bCs/>
                <w:color w:val="auto"/>
                <w:szCs w:val="21"/>
                <w:highlight w:val="none"/>
              </w:rPr>
              <w:t xml:space="preserve">1</w:t>
            </w:r>
            <w:r/>
          </w:p>
        </w:tc>
        <w:tc>
          <w:tcPr>
            <w:tcW w:w="4920" w:type="dxa"/>
            <w:vAlign w:val="center"/>
            <w:textDirection w:val="lrTb"/>
            <w:noWrap w:val="false"/>
          </w:tcPr>
          <w:p>
            <w:pPr>
              <w:spacing w:line="0" w:lineRule="atLeast"/>
              <w:rPr>
                <w:rFonts w:hint="eastAsia" w:ascii="宋体" w:hAnsi="宋体" w:cs="宋体"/>
                <w:iCs/>
                <w:color w:val="auto"/>
                <w:szCs w:val="21"/>
                <w:highlight w:val="none"/>
              </w:rPr>
              <w:outlineLvl w:val="9"/>
            </w:pPr>
            <w:r>
              <w:rPr>
                <w:rFonts w:hint="eastAsia" w:ascii="宋体" w:hAnsi="宋体" w:cs="宋体"/>
                <w:iCs/>
                <w:color w:val="auto"/>
                <w:szCs w:val="21"/>
                <w:highlight w:val="none"/>
              </w:rPr>
              <w:t xml:space="preserve">采购需求中必须满足的实质性要求（即加斜体下划线内容，每条详细列出）</w:t>
            </w:r>
            <w:r/>
          </w:p>
        </w:tc>
        <w:tc>
          <w:tcPr>
            <w:tcW w:w="1890" w:type="dxa"/>
            <w:vAlign w:val="center"/>
            <w:textDirection w:val="lrTb"/>
            <w:noWrap w:val="false"/>
          </w:tcPr>
          <w:p>
            <w:pPr>
              <w:rPr>
                <w:rFonts w:hint="eastAsia" w:ascii="宋体" w:hAnsi="宋体" w:cs="宋体"/>
                <w:b/>
                <w:color w:val="auto"/>
                <w:szCs w:val="21"/>
                <w:highlight w:val="none"/>
              </w:rPr>
              <w:outlineLvl w:val="9"/>
            </w:pPr>
            <w:r>
              <w:rPr>
                <w:rFonts w:hint="eastAsia" w:ascii="宋体" w:hAnsi="宋体" w:cs="宋体"/>
                <w:b/>
                <w:color w:val="auto"/>
                <w:szCs w:val="21"/>
                <w:highlight w:val="none"/>
              </w:rPr>
            </w:r>
            <w:r/>
          </w:p>
        </w:tc>
        <w:tc>
          <w:tcPr>
            <w:tcW w:w="1155" w:type="dxa"/>
            <w:vAlign w:val="center"/>
            <w:textDirection w:val="lrTb"/>
            <w:noWrap w:val="false"/>
          </w:tcPr>
          <w:p>
            <w:pPr>
              <w:rPr>
                <w:rFonts w:hint="eastAsia" w:ascii="宋体" w:hAnsi="宋体" w:cs="宋体"/>
                <w:b/>
                <w:color w:val="auto"/>
                <w:szCs w:val="21"/>
                <w:highlight w:val="none"/>
              </w:rPr>
              <w:outlineLvl w:val="9"/>
            </w:pPr>
            <w:r>
              <w:rPr>
                <w:rFonts w:hint="eastAsia" w:ascii="宋体" w:hAnsi="宋体" w:cs="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p>
        </w:tc>
        <w:tc>
          <w:tcPr>
            <w:tcW w:w="4920" w:type="dxa"/>
            <w:vAlign w:val="center"/>
            <w:textDirection w:val="lrTb"/>
            <w:noWrap w:val="false"/>
          </w:tcPr>
          <w:p>
            <w:pPr>
              <w:spacing w:line="0" w:lineRule="atLeast"/>
              <w:rPr>
                <w:rFonts w:hint="eastAsia" w:ascii="宋体" w:hAnsi="宋体" w:cs="宋体"/>
                <w:iCs/>
                <w:color w:val="auto"/>
                <w:szCs w:val="21"/>
                <w:highlight w:val="none"/>
              </w:rPr>
              <w:outlineLvl w:val="9"/>
            </w:pPr>
            <w:r>
              <w:rPr>
                <w:rFonts w:hint="eastAsia" w:ascii="宋体" w:hAnsi="宋体" w:cs="宋体"/>
                <w:iCs/>
                <w:color w:val="auto"/>
                <w:szCs w:val="21"/>
                <w:highlight w:val="none"/>
              </w:rPr>
            </w:r>
            <w:r/>
          </w:p>
        </w:tc>
        <w:tc>
          <w:tcPr>
            <w:tcW w:w="189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55"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p>
        </w:tc>
        <w:tc>
          <w:tcPr>
            <w:tcW w:w="4920" w:type="dxa"/>
            <w:vAlign w:val="center"/>
            <w:textDirection w:val="lrTb"/>
            <w:noWrap w:val="false"/>
          </w:tcPr>
          <w:p>
            <w:pPr>
              <w:spacing w:line="0" w:lineRule="atLeast"/>
              <w:rPr>
                <w:rFonts w:hint="eastAsia" w:ascii="宋体" w:hAnsi="宋体" w:cs="宋体"/>
                <w:iCs/>
                <w:color w:val="auto"/>
                <w:szCs w:val="21"/>
                <w:highlight w:val="none"/>
              </w:rPr>
              <w:outlineLvl w:val="9"/>
            </w:pPr>
            <w:r>
              <w:rPr>
                <w:rFonts w:hint="eastAsia" w:ascii="宋体" w:hAnsi="宋体" w:cs="宋体"/>
                <w:iCs/>
                <w:color w:val="auto"/>
                <w:szCs w:val="21"/>
                <w:highlight w:val="none"/>
              </w:rPr>
            </w:r>
            <w:r/>
          </w:p>
        </w:tc>
        <w:tc>
          <w:tcPr>
            <w:tcW w:w="189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55"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w:t>
            </w:r>
            <w:r/>
          </w:p>
        </w:tc>
        <w:tc>
          <w:tcPr>
            <w:tcW w:w="4920" w:type="dxa"/>
            <w:vAlign w:val="center"/>
            <w:textDirection w:val="lrTb"/>
            <w:noWrap w:val="false"/>
          </w:tcPr>
          <w:p>
            <w:pPr>
              <w:spacing w:line="0" w:lineRule="atLeast"/>
              <w:rPr>
                <w:rFonts w:hint="eastAsia" w:ascii="宋体" w:hAnsi="宋体" w:cs="宋体"/>
                <w:iCs/>
                <w:color w:val="auto"/>
                <w:szCs w:val="21"/>
                <w:highlight w:val="none"/>
              </w:rPr>
              <w:outlineLvl w:val="9"/>
            </w:pPr>
            <w:r>
              <w:rPr>
                <w:rFonts w:hint="eastAsia" w:ascii="宋体" w:hAnsi="宋体" w:cs="宋体"/>
                <w:iCs/>
                <w:color w:val="auto"/>
                <w:szCs w:val="21"/>
                <w:highlight w:val="none"/>
              </w:rPr>
            </w:r>
            <w:r/>
          </w:p>
        </w:tc>
        <w:tc>
          <w:tcPr>
            <w:tcW w:w="189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55"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w:t>
            </w:r>
            <w:r/>
          </w:p>
        </w:tc>
        <w:tc>
          <w:tcPr>
            <w:tcW w:w="4920" w:type="dxa"/>
            <w:vAlign w:val="center"/>
            <w:textDirection w:val="lrTb"/>
            <w:noWrap w:val="false"/>
          </w:tcPr>
          <w:p>
            <w:pPr>
              <w:spacing w:line="0" w:lineRule="atLeast"/>
              <w:rPr>
                <w:rFonts w:hint="eastAsia" w:ascii="宋体" w:hAnsi="宋体" w:cs="宋体"/>
                <w:iCs/>
                <w:color w:val="auto"/>
                <w:szCs w:val="21"/>
                <w:highlight w:val="none"/>
              </w:rPr>
              <w:outlineLvl w:val="9"/>
            </w:pPr>
            <w:r>
              <w:rPr>
                <w:rFonts w:hint="eastAsia" w:ascii="宋体" w:hAnsi="宋体" w:cs="宋体"/>
                <w:iCs/>
                <w:color w:val="auto"/>
                <w:szCs w:val="21"/>
                <w:highlight w:val="none"/>
              </w:rPr>
              <w:t xml:space="preserve">……</w:t>
            </w:r>
            <w:r/>
          </w:p>
        </w:tc>
        <w:tc>
          <w:tcPr>
            <w:tcW w:w="189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55"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rPr>
          <w:rFonts w:hint="eastAsia" w:ascii="宋体" w:hAnsi="宋体" w:cs="宋体"/>
          <w:b/>
          <w:bCs/>
          <w:color w:val="auto"/>
          <w:szCs w:val="21"/>
          <w:highlight w:val="none"/>
        </w:rPr>
      </w:pPr>
      <w:r>
        <w:rPr>
          <w:rFonts w:hint="eastAsia" w:ascii="宋体" w:hAnsi="宋体" w:eastAsia="宋体" w:cs="宋体"/>
          <w:color w:val="auto"/>
          <w:sz w:val="32"/>
          <w:highlight w:val="none"/>
        </w:rPr>
        <w:br w:type="page" w:clear="all"/>
      </w:r>
      <w:r/>
    </w:p>
    <w:p>
      <w:pPr>
        <w:numPr>
          <w:ilvl w:val="0"/>
          <w:numId w:val="0"/>
        </w:numPr>
        <w:ind w:left="284"/>
        <w:jc w:val="center"/>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三、非实质性响应对照表</w:t>
      </w:r>
      <w:r/>
    </w:p>
    <w:p>
      <w:pPr>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tbl>
      <w:tblPr>
        <w:tblStyle w:val="697"/>
        <w:tblW w:w="84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1740"/>
        <w:gridCol w:w="1320"/>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序号</w:t>
            </w:r>
            <w:r/>
          </w:p>
        </w:tc>
        <w:tc>
          <w:tcPr>
            <w:tcW w:w="4770" w:type="dxa"/>
            <w:vAlign w:val="center"/>
            <w:textDirection w:val="lrTb"/>
            <w:noWrap w:val="false"/>
          </w:tcPr>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非实质性响应内容</w:t>
            </w:r>
            <w:r/>
          </w:p>
        </w:tc>
        <w:tc>
          <w:tcPr>
            <w:tcW w:w="1740" w:type="dxa"/>
            <w:vAlign w:val="center"/>
            <w:textDirection w:val="lrTb"/>
            <w:noWrap w:val="false"/>
          </w:tcPr>
          <w:p>
            <w:pPr>
              <w:jc w:val="center"/>
              <w:spacing w:line="240" w:lineRule="atLeast"/>
              <w:rPr>
                <w:rFonts w:ascii="宋体" w:hAnsi="宋体" w:cs="宋体"/>
                <w:b/>
                <w:color w:val="auto"/>
                <w:szCs w:val="21"/>
                <w:highlight w:val="none"/>
              </w:rPr>
              <w:outlineLvl w:val="9"/>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outlineLvl w:val="9"/>
            </w:pPr>
            <w:r>
              <w:rPr>
                <w:rFonts w:hint="eastAsia" w:ascii="宋体" w:hAnsi="宋体" w:cs="宋体"/>
                <w:b/>
                <w:color w:val="auto"/>
                <w:szCs w:val="21"/>
                <w:highlight w:val="none"/>
              </w:rPr>
              <w:t xml:space="preserve">（填是或者否）</w:t>
            </w:r>
            <w:r/>
          </w:p>
        </w:tc>
        <w:tc>
          <w:tcPr>
            <w:tcW w:w="1320" w:type="dxa"/>
            <w:vAlign w:val="center"/>
            <w:textDirection w:val="lrTb"/>
            <w:noWrap w:val="false"/>
          </w:tcPr>
          <w:p>
            <w:pPr>
              <w:jc w:val="center"/>
              <w:spacing w:line="240" w:lineRule="atLeast"/>
              <w:rPr>
                <w:rFonts w:ascii="宋体" w:hAnsi="宋体" w:cs="宋体"/>
                <w:b/>
                <w:color w:val="auto"/>
                <w:szCs w:val="21"/>
                <w:highlight w:val="none"/>
              </w:rPr>
              <w:outlineLvl w:val="9"/>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1</w:t>
            </w:r>
            <w:r/>
          </w:p>
        </w:tc>
        <w:tc>
          <w:tcPr>
            <w:tcW w:w="4770" w:type="dxa"/>
            <w:vAlign w:val="center"/>
            <w:textDirection w:val="lrTb"/>
            <w:noWrap w:val="false"/>
          </w:tcPr>
          <w:p>
            <w:pPr>
              <w:pageBreakBefore w:val="0"/>
              <w:spacing w:line="360" w:lineRule="auto"/>
              <w:rPr>
                <w:rFonts w:hint="eastAsia" w:ascii="宋体" w:hAnsi="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174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2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2</w:t>
            </w:r>
            <w:r/>
          </w:p>
        </w:tc>
        <w:tc>
          <w:tcPr>
            <w:tcW w:w="4770" w:type="dxa"/>
            <w:vAlign w:val="center"/>
            <w:textDirection w:val="lrTb"/>
            <w:noWrap w:val="false"/>
          </w:tcPr>
          <w:p>
            <w:pPr>
              <w:pageBreakBefore w:val="0"/>
              <w:spacing w:line="360" w:lineRule="auto"/>
              <w:rPr>
                <w:rFonts w:hint="eastAsia" w:ascii="宋体" w:hAnsi="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174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2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rPr>
                <w:rFonts w:hint="default"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3</w:t>
            </w:r>
            <w:r/>
          </w:p>
        </w:tc>
        <w:tc>
          <w:tcPr>
            <w:tcW w:w="4770" w:type="dxa"/>
            <w:vAlign w:val="center"/>
            <w:textDirection w:val="lrTb"/>
            <w:noWrap w:val="false"/>
          </w:tcPr>
          <w:p>
            <w:pPr>
              <w:spacing w:line="0" w:lineRule="atLeast"/>
              <w:rPr>
                <w:rFonts w:hint="eastAsia" w:ascii="宋体" w:hAnsi="宋体" w:cs="宋体"/>
                <w:iCs/>
                <w:color w:val="auto"/>
                <w:szCs w:val="21"/>
                <w:highlight w:val="none"/>
              </w:rPr>
              <w:outlineLvl w:val="9"/>
            </w:pPr>
            <w:r>
              <w:rPr>
                <w:rFonts w:hint="eastAsia" w:ascii="宋体" w:hAnsi="宋体" w:cs="宋体"/>
                <w:iCs/>
                <w:color w:val="auto"/>
                <w:szCs w:val="21"/>
                <w:highlight w:val="none"/>
              </w:rPr>
              <w:t xml:space="preserve">……</w:t>
            </w:r>
            <w:r/>
          </w:p>
        </w:tc>
        <w:tc>
          <w:tcPr>
            <w:tcW w:w="174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20" w:type="dxa"/>
            <w:vAlign w:val="center"/>
            <w:textDirection w:val="lrTb"/>
            <w:noWrap w:val="false"/>
          </w:tcPr>
          <w:p>
            <w:pP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w:t>
      </w:r>
      <w:r/>
    </w:p>
    <w:p>
      <w:pPr>
        <w:pStyle w:val="728"/>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28"/>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35"/>
          <w:rFonts w:hint="eastAsia" w:ascii="宋体" w:hAnsi="宋体" w:eastAsia="宋体" w:cs="宋体"/>
          <w:i w:val="0"/>
          <w:color w:val="auto"/>
          <w:highlight w:val="none"/>
          <w:u w:val="single"/>
          <w:shd w:val="clear" w:color="auto" w:fill="ffffff"/>
        </w:rPr>
        <w:t xml:space="preserve">（产品名称1）</w:t>
      </w:r>
      <w:r>
        <w:rPr>
          <w:rStyle w:val="73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35"/>
          <w:rFonts w:hint="eastAsia" w:ascii="宋体" w:hAnsi="宋体" w:eastAsia="宋体" w:cs="宋体"/>
          <w:i w:val="0"/>
          <w:color w:val="auto"/>
          <w:highlight w:val="none"/>
          <w:u w:val="single"/>
          <w:shd w:val="clear" w:color="auto" w:fill="ffffff"/>
        </w:rPr>
        <w:t xml:space="preserve">（厂名）</w:t>
      </w:r>
      <w:r>
        <w:rPr>
          <w:rStyle w:val="73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3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35"/>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35"/>
          <w:rFonts w:hint="eastAsia" w:ascii="宋体" w:hAnsi="宋体" w:eastAsia="宋体" w:cs="宋体"/>
          <w:i w:val="0"/>
          <w:color w:val="auto"/>
          <w:highlight w:val="none"/>
          <w:u w:val="single"/>
          <w:shd w:val="clear" w:color="auto" w:fill="ffffff"/>
        </w:rPr>
        <w:t xml:space="preserve">（规定比例）</w:t>
      </w:r>
      <w:r>
        <w:rPr>
          <w:rStyle w:val="73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3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35"/>
          <w:rFonts w:hint="eastAsia" w:ascii="宋体" w:hAnsi="宋体" w:eastAsia="宋体" w:cs="宋体"/>
          <w:i w:val="0"/>
          <w:color w:val="auto"/>
          <w:highlight w:val="none"/>
          <w:u w:val="single"/>
          <w:shd w:val="clear" w:color="auto" w:fill="ffffff"/>
        </w:rPr>
        <w:t xml:space="preserve">（关键组件）</w:t>
      </w:r>
      <w:r>
        <w:rPr>
          <w:rStyle w:val="73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3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35"/>
          <w:rFonts w:hint="eastAsia" w:ascii="宋体" w:hAnsi="宋体" w:eastAsia="宋体" w:cs="宋体"/>
          <w:i w:val="0"/>
          <w:color w:val="auto"/>
          <w:highlight w:val="none"/>
          <w:u w:val="single"/>
          <w:shd w:val="clear" w:color="auto" w:fill="ffffff"/>
        </w:rPr>
        <w:t xml:space="preserve">（关键工序）</w:t>
      </w:r>
      <w:r>
        <w:rPr>
          <w:rStyle w:val="73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28"/>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3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3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3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3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3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3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3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3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3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28"/>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28"/>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28"/>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8"/>
        <w:ind w:right="480" w:firstLine="37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28"/>
        <w:jc w:val="center"/>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728"/>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28"/>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28"/>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28"/>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28"/>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28"/>
        <w:pageBreakBefore w:val="0"/>
        <w:spacing w:beforeAutospacing="0" w:afterAutospacing="0" w:line="36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28"/>
        <w:pageBreakBefore w:val="0"/>
        <w:spacing w:beforeAutospacing="0" w:afterAutospacing="0" w:line="36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31"/>
        <w:ind w:left="0" w:firstLine="0"/>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四、开标一览表</w:t>
      </w:r>
      <w:r/>
    </w:p>
    <w:p>
      <w:pPr>
        <w:ind w:firstLine="480"/>
        <w:spacing w:line="360" w:lineRule="auto"/>
        <w:rPr>
          <w:rFonts w:hint="eastAsia" w:ascii="宋体" w:hAnsi="宋体" w:eastAsia="宋体" w:cs="宋体"/>
          <w:color w:val="auto"/>
          <w:szCs w:val="21"/>
          <w:highlight w:val="none"/>
          <w:u w:val="none"/>
        </w:rPr>
        <w:outlineLvl w:val="9"/>
      </w:pPr>
      <w:r>
        <w:rPr>
          <w:rFonts w:hint="eastAsia" w:ascii="宋体" w:hAnsi="宋体" w:eastAsia="宋体" w:cs="宋体"/>
          <w:color w:val="auto"/>
          <w:szCs w:val="21"/>
          <w:highlight w:val="none"/>
        </w:rPr>
        <w:t xml:space="preserve">供应商全称（加盖CA电子签章）：</w:t>
      </w:r>
      <w:r/>
    </w:p>
    <w:p>
      <w:pPr>
        <w:ind w:firstLine="48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4271"/>
        <w:gridCol w:w="2565"/>
      </w:tblGrid>
      <w:tr>
        <w:trPr>
          <w:cantSplit/>
          <w:trHeight w:val="1072"/>
        </w:trPr>
        <w:tc>
          <w:tcPr>
            <w:tcW w:w="988" w:type="dxa"/>
            <w:vAlign w:val="center"/>
            <w:textDirection w:val="lrTb"/>
            <w:noWrap w:val="false"/>
          </w:tcPr>
          <w:p>
            <w:pPr>
              <w:pStyle w:val="930"/>
              <w:jc w:val="center"/>
              <w:spacing w:line="300" w:lineRule="auto"/>
              <w:rPr>
                <w:rFonts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项目名称</w:t>
            </w:r>
            <w:r/>
          </w:p>
        </w:tc>
        <w:tc>
          <w:tcPr>
            <w:tcW w:w="2506"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投标总报价</w:t>
            </w:r>
            <w:r/>
          </w:p>
        </w:tc>
        <w:tc>
          <w:tcPr>
            <w:tcW w:w="1505" w:type="dxa"/>
            <w:vAlign w:val="center"/>
            <w:textDirection w:val="lrTb"/>
            <w:noWrap w:val="false"/>
          </w:tcPr>
          <w:p>
            <w:pPr>
              <w:jc w:val="center"/>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备注</w:t>
            </w:r>
            <w:r/>
          </w:p>
        </w:tc>
      </w:tr>
      <w:tr>
        <w:trPr>
          <w:cantSplit/>
          <w:trHeight w:val="1651"/>
        </w:trPr>
        <w:tc>
          <w:tcPr>
            <w:tcW w:w="988" w:type="dxa"/>
            <w:vAlign w:val="center"/>
            <w:textDirection w:val="lrTb"/>
            <w:noWrap w:val="false"/>
          </w:tcPr>
          <w:p>
            <w:pPr>
              <w:pStyle w:val="930"/>
              <w:spacing w:line="300" w:lineRule="auto"/>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r>
            <w:r/>
          </w:p>
        </w:tc>
        <w:tc>
          <w:tcPr>
            <w:tcW w:w="2506" w:type="dxa"/>
            <w:vAlign w:val="center"/>
            <w:textDirection w:val="lrTb"/>
            <w:noWrap w:val="false"/>
          </w:tcPr>
          <w:p>
            <w:pPr>
              <w:pStyle w:val="898"/>
              <w:ind w:firstLine="0"/>
              <w:spacing w:before="0" w:after="0" w:line="500" w:lineRule="exact"/>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大写：</w:t>
            </w:r>
            <w:r/>
          </w:p>
          <w:p>
            <w:pPr>
              <w:pStyle w:val="898"/>
              <w:ind w:firstLine="0"/>
              <w:spacing w:before="0" w:after="0" w:line="50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w:t>
            </w:r>
            <w:r/>
          </w:p>
          <w:p>
            <w:pPr>
              <w:pStyle w:val="898"/>
              <w:ind w:firstLine="0"/>
              <w:spacing w:before="0" w:after="0" w:line="5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05" w:type="dxa"/>
            <w:vAlign w:val="center"/>
            <w:textDirection w:val="lrTb"/>
            <w:noWrap w:val="false"/>
          </w:tcPr>
          <w:p>
            <w:pPr>
              <w:pStyle w:val="898"/>
              <w:ind w:firstLine="0"/>
              <w:spacing w:before="0" w:after="0" w:line="5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cantSplit/>
          <w:trHeight w:val="1661"/>
        </w:trPr>
        <w:tc>
          <w:tcPr>
            <w:tcW w:w="988" w:type="dxa"/>
            <w:vAlign w:val="center"/>
            <w:textDirection w:val="lrTb"/>
            <w:noWrap w:val="false"/>
          </w:tcPr>
          <w:p>
            <w:pPr>
              <w:pStyle w:val="930"/>
              <w:jc w:val="center"/>
              <w:spacing w:line="30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分包</w:t>
            </w:r>
            <w:r/>
          </w:p>
        </w:tc>
        <w:tc>
          <w:tcPr>
            <w:tcW w:w="2506" w:type="dxa"/>
            <w:vAlign w:val="center"/>
            <w:textDirection w:val="lrTb"/>
            <w:noWrap w:val="false"/>
          </w:tcPr>
          <w:p>
            <w:pPr>
              <w:pStyle w:val="898"/>
              <w:ind w:firstLine="0"/>
              <w:spacing w:before="0" w:after="0" w:line="5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05" w:type="dxa"/>
            <w:vAlign w:val="center"/>
            <w:textDirection w:val="lrTb"/>
            <w:noWrap w:val="false"/>
          </w:tcPr>
          <w:p>
            <w:pPr>
              <w:pStyle w:val="898"/>
              <w:ind w:firstLine="0"/>
              <w:spacing w:before="0" w:after="0" w:line="5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2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outlineLvl w:val="9"/>
      </w:pPr>
      <w:r>
        <w:rPr>
          <w:rFonts w:hint="eastAsia" w:ascii="宋体" w:hAnsi="宋体" w:cs="宋体"/>
          <w:color w:val="auto"/>
          <w:szCs w:val="21"/>
          <w:highlight w:val="none"/>
        </w:rPr>
        <w:t xml:space="preserve">                                              日期：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932"/>
        <w:ind w:firstLine="640"/>
        <w:rPr>
          <w:rFonts w:hint="eastAsia" w:ascii="宋体" w:hAnsi="宋体" w:cs="宋体"/>
          <w:color w:val="auto"/>
          <w:sz w:val="32"/>
          <w:szCs w:val="32"/>
          <w:highlight w:val="none"/>
        </w:rPr>
        <w:outlineLvl w:val="9"/>
      </w:pPr>
      <w:r>
        <w:rPr>
          <w:rFonts w:hint="eastAsia" w:ascii="宋体" w:hAnsi="宋体" w:cs="宋体"/>
          <w:color w:val="auto"/>
          <w:sz w:val="32"/>
          <w:szCs w:val="32"/>
          <w:highlight w:val="none"/>
        </w:rPr>
      </w:r>
      <w:r/>
    </w:p>
    <w:p>
      <w:pPr>
        <w:pStyle w:val="932"/>
        <w:ind w:firstLine="640"/>
        <w:rPr>
          <w:rFonts w:hint="eastAsia" w:ascii="宋体" w:hAnsi="宋体" w:cs="宋体"/>
          <w:color w:val="auto"/>
          <w:sz w:val="32"/>
          <w:szCs w:val="32"/>
          <w:highlight w:val="none"/>
        </w:rPr>
        <w:outlineLvl w:val="9"/>
      </w:pPr>
      <w:r>
        <w:rPr>
          <w:rFonts w:hint="eastAsia" w:ascii="宋体" w:hAnsi="宋体" w:cs="宋体"/>
          <w:color w:val="auto"/>
          <w:sz w:val="32"/>
          <w:szCs w:val="32"/>
          <w:highlight w:val="none"/>
        </w:rPr>
      </w:r>
      <w:r/>
    </w:p>
    <w:p>
      <w:pPr>
        <w:jc w:val="center"/>
        <w:rPr>
          <w:rFonts w:hint="eastAsia" w:ascii="宋体" w:hAnsi="宋体" w:eastAsia="宋体" w:cs="宋体"/>
          <w:b/>
          <w:bCs/>
          <w:color w:val="auto"/>
          <w:sz w:val="32"/>
          <w:highlight w:val="none"/>
        </w:rPr>
        <w:outlineLvl w:val="1"/>
      </w:pPr>
      <w:r>
        <w:rPr>
          <w:rFonts w:hint="eastAsia" w:ascii="宋体" w:hAnsi="宋体" w:cs="宋体"/>
          <w:color w:val="auto"/>
          <w:sz w:val="32"/>
          <w:szCs w:val="32"/>
          <w:highlight w:val="none"/>
        </w:rPr>
        <w:br w:type="page" w:clear="all"/>
      </w:r>
      <w:r>
        <w:rPr>
          <w:rFonts w:hint="eastAsia" w:ascii="宋体" w:hAnsi="宋体" w:eastAsia="宋体" w:cs="宋体"/>
          <w:b/>
          <w:bCs/>
          <w:color w:val="auto"/>
          <w:sz w:val="32"/>
          <w:highlight w:val="none"/>
        </w:rPr>
        <w:t xml:space="preserve">五、分项报价表</w:t>
      </w:r>
      <w:r/>
    </w:p>
    <w:p>
      <w:pPr>
        <w:ind w:firstLine="480"/>
        <w:spacing w:line="360" w:lineRule="auto"/>
        <w:rPr>
          <w:rFonts w:hint="eastAsia" w:ascii="宋体" w:hAnsi="宋体" w:eastAsia="宋体" w:cs="宋体"/>
          <w:color w:val="auto"/>
          <w:szCs w:val="21"/>
          <w:highlight w:val="none"/>
          <w:u w:val="none"/>
        </w:rPr>
        <w:outlineLvl w:val="9"/>
      </w:pPr>
      <w:r>
        <w:rPr>
          <w:rFonts w:hint="eastAsia" w:ascii="宋体" w:hAnsi="宋体" w:eastAsia="宋体" w:cs="宋体"/>
          <w:color w:val="auto"/>
          <w:szCs w:val="21"/>
          <w:highlight w:val="none"/>
        </w:rPr>
        <w:t xml:space="preserve">供应商全称（加盖CA电子签章）：</w:t>
      </w:r>
      <w:r/>
    </w:p>
    <w:p>
      <w:pPr>
        <w:ind w:firstLine="48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p>
    <w:tbl>
      <w:tblPr>
        <w:tblStyle w:val="7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178"/>
        <w:gridCol w:w="2009"/>
        <w:gridCol w:w="1016"/>
        <w:gridCol w:w="1135"/>
        <w:gridCol w:w="1472"/>
      </w:tblGrid>
      <w:tr>
        <w:trPr>
          <w:trHeight w:val="997"/>
        </w:trPr>
        <w:tc>
          <w:tcPr>
            <w:tcW w:w="416"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278"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设备名称</w:t>
            </w:r>
            <w:r/>
          </w:p>
        </w:tc>
        <w:tc>
          <w:tcPr>
            <w:tcW w:w="1179"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主要技术指标</w:t>
            </w:r>
            <w:r/>
          </w:p>
        </w:tc>
        <w:tc>
          <w:tcPr>
            <w:tcW w:w="596" w:type="pct"/>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数量</w:t>
            </w:r>
            <w:r/>
          </w:p>
        </w:tc>
        <w:tc>
          <w:tcPr>
            <w:tcW w:w="664" w:type="pct"/>
            <w:vAlign w:val="center"/>
            <w:textDirection w:val="lrTb"/>
            <w:noWrap w:val="false"/>
          </w:tcPr>
          <w:p>
            <w:pPr>
              <w:jc w:val="center"/>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8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单价（元）</w:t>
            </w:r>
            <w:r/>
          </w:p>
        </w:tc>
      </w:tr>
      <w:tr>
        <w:trPr>
          <w:trHeight w:val="817"/>
        </w:trPr>
        <w:tc>
          <w:tcPr>
            <w:tcW w:w="416" w:type="pct"/>
            <w:vAlign w:val="center"/>
            <w:textDirection w:val="lrTb"/>
            <w:noWrap w:val="false"/>
          </w:tcPr>
          <w:p>
            <w:pPr>
              <w:pStyle w:val="899"/>
              <w:ind w:firstLine="0"/>
              <w:jc w:val="center"/>
              <w:keepLines w:val="0"/>
              <w:keepNext w:val="0"/>
              <w:pageBreakBefore w:val="0"/>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w:t>
            </w:r>
            <w:r/>
          </w:p>
        </w:tc>
        <w:tc>
          <w:tcPr>
            <w:tcW w:w="1278" w:type="pct"/>
            <w:vAlign w:val="center"/>
            <w:textDirection w:val="lrTb"/>
            <w:noWrap w:val="false"/>
          </w:tcPr>
          <w:p>
            <w:pPr>
              <w:pStyle w:val="899"/>
              <w:ind w:firstLine="0"/>
              <w:jc w:val="center"/>
              <w:keepLines w:val="0"/>
              <w:keepNext w:val="0"/>
              <w:pageBreakBefore w:val="0"/>
              <w:spacing w:line="360" w:lineRule="auto"/>
              <w:rPr>
                <w:rFonts w:hint="eastAsia" w:hAnsi="宋体" w:cs="宋体"/>
                <w:color w:val="auto"/>
                <w:szCs w:val="21"/>
                <w:highlight w:val="none"/>
              </w:rPr>
            </w:pPr>
            <w:r>
              <w:rPr>
                <w:rFonts w:hint="eastAsia" w:hAnsi="宋体" w:cs="宋体"/>
                <w:color w:val="auto"/>
                <w:szCs w:val="21"/>
                <w:highlight w:val="none"/>
              </w:rPr>
              <w:t xml:space="preserve">超高效液相色谱仪</w:t>
            </w:r>
            <w:r/>
          </w:p>
        </w:tc>
        <w:tc>
          <w:tcPr>
            <w:tcW w:w="1179" w:type="pct"/>
            <w:vAlign w:val="center"/>
            <w:textDirection w:val="lrTb"/>
            <w:noWrap w:val="false"/>
          </w:tcPr>
          <w:p>
            <w:pPr>
              <w:pStyle w:val="899"/>
              <w:ind w:firstLine="0"/>
              <w:jc w:val="center"/>
              <w:keepLines w:val="0"/>
              <w:keepNext w:val="0"/>
              <w:pageBreakBefore w:val="0"/>
              <w:spacing w:line="360" w:lineRule="auto"/>
              <w:rPr>
                <w:rFonts w:hAnsi="宋体" w:cs="宋体"/>
                <w:color w:val="auto"/>
                <w:szCs w:val="21"/>
                <w:highlight w:val="none"/>
              </w:rPr>
            </w:pPr>
            <w:r>
              <w:rPr>
                <w:rFonts w:hint="eastAsia" w:hAnsi="宋体" w:cs="宋体"/>
                <w:color w:val="auto"/>
                <w:szCs w:val="21"/>
                <w:highlight w:val="none"/>
              </w:rPr>
              <w:t xml:space="preserve">见：详细技术参数</w:t>
            </w:r>
            <w:r/>
          </w:p>
        </w:tc>
        <w:tc>
          <w:tcPr>
            <w:tcW w:w="596"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64"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864" w:type="pct"/>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17"/>
        </w:trPr>
        <w:tc>
          <w:tcPr>
            <w:tcW w:w="416" w:type="pct"/>
            <w:vAlign w:val="center"/>
            <w:textDirection w:val="lrTb"/>
            <w:noWrap w:val="false"/>
          </w:tcPr>
          <w:p>
            <w:pPr>
              <w:pStyle w:val="899"/>
              <w:ind w:firstLine="0"/>
              <w:jc w:val="center"/>
              <w:keepLines w:val="0"/>
              <w:keepNext w:val="0"/>
              <w:pageBreakBefore w:val="0"/>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w:t>
            </w:r>
            <w:r/>
          </w:p>
        </w:tc>
        <w:tc>
          <w:tcPr>
            <w:tcW w:w="1278" w:type="pct"/>
            <w:vAlign w:val="center"/>
            <w:textDirection w:val="lrTb"/>
            <w:noWrap w:val="false"/>
          </w:tcPr>
          <w:p>
            <w:pPr>
              <w:pStyle w:val="899"/>
              <w:ind w:firstLine="0"/>
              <w:jc w:val="center"/>
              <w:keepLines w:val="0"/>
              <w:keepNext w:val="0"/>
              <w:pageBreakBefore w:val="0"/>
              <w:spacing w:line="360" w:lineRule="auto"/>
              <w:rPr>
                <w:rFonts w:hint="eastAsia" w:hAnsi="宋体" w:cs="宋体"/>
                <w:color w:val="auto"/>
                <w:szCs w:val="21"/>
                <w:highlight w:val="none"/>
              </w:rPr>
            </w:pPr>
            <w:r>
              <w:rPr>
                <w:rFonts w:hint="eastAsia" w:hAnsi="宋体" w:cs="宋体"/>
                <w:color w:val="auto"/>
                <w:szCs w:val="21"/>
                <w:highlight w:val="none"/>
              </w:rPr>
              <w:t xml:space="preserve">液相色谱仪</w:t>
            </w:r>
            <w:r/>
          </w:p>
        </w:tc>
        <w:tc>
          <w:tcPr>
            <w:tcW w:w="1179" w:type="pct"/>
            <w:vAlign w:val="center"/>
            <w:textDirection w:val="lrTb"/>
            <w:noWrap w:val="false"/>
          </w:tcPr>
          <w:p>
            <w:pPr>
              <w:pStyle w:val="899"/>
              <w:ind w:firstLine="0"/>
              <w:jc w:val="center"/>
              <w:keepLines w:val="0"/>
              <w:keepNext w:val="0"/>
              <w:pageBreakBefore w:val="0"/>
              <w:spacing w:line="360" w:lineRule="auto"/>
              <w:rPr>
                <w:rFonts w:hAnsi="宋体" w:cs="宋体"/>
                <w:color w:val="auto"/>
                <w:szCs w:val="21"/>
                <w:highlight w:val="none"/>
              </w:rPr>
            </w:pPr>
            <w:r>
              <w:rPr>
                <w:rFonts w:hint="eastAsia" w:hAnsi="宋体" w:cs="宋体"/>
                <w:color w:val="auto"/>
                <w:szCs w:val="21"/>
                <w:highlight w:val="none"/>
              </w:rPr>
              <w:t xml:space="preserve">见：详细技术参数</w:t>
            </w:r>
            <w:r/>
          </w:p>
        </w:tc>
        <w:tc>
          <w:tcPr>
            <w:tcW w:w="596"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64" w:type="pct"/>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864" w:type="pct"/>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17"/>
        </w:trPr>
        <w:tc>
          <w:tcPr>
            <w:gridSpan w:val="5"/>
            <w:tcW w:w="413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合计含税（元）</w:t>
            </w:r>
            <w:r/>
          </w:p>
        </w:tc>
        <w:tc>
          <w:tcPr>
            <w:tcW w:w="864" w:type="pct"/>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2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outlineLvl w:val="9"/>
      </w:pPr>
      <w:r>
        <w:rPr>
          <w:rFonts w:hint="eastAsia" w:ascii="宋体" w:hAnsi="宋体" w:cs="宋体"/>
          <w:color w:val="auto"/>
          <w:szCs w:val="21"/>
          <w:highlight w:val="none"/>
        </w:rPr>
        <w:t xml:space="preserve">                                              日期：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after="312" w:line="360" w:lineRule="auto"/>
        <w:rPr>
          <w:rFonts w:hint="eastAsia" w:ascii="宋体" w:hAnsi="宋体" w:cs="宋体"/>
          <w:b/>
          <w:color w:val="auto"/>
          <w:highlight w:val="none"/>
        </w:rPr>
      </w:pPr>
      <w:r>
        <w:rPr>
          <w:rFonts w:hint="eastAsia" w:ascii="宋体" w:hAnsi="宋体" w:cs="宋体"/>
          <w:b/>
          <w:color w:val="auto"/>
          <w:highlight w:val="none"/>
        </w:rPr>
      </w:r>
      <w:r/>
    </w:p>
    <w:p>
      <w:pPr>
        <w:pStyle w:val="730"/>
        <w:rPr>
          <w:rFonts w:hint="eastAsia" w:ascii="宋体" w:hAnsi="宋体" w:cs="宋体"/>
          <w:b/>
          <w:color w:val="auto"/>
          <w:highlight w:val="none"/>
        </w:rPr>
      </w:pPr>
      <w:r>
        <w:rPr>
          <w:rFonts w:hint="eastAsia" w:ascii="宋体" w:hAnsi="宋体" w:cs="宋体"/>
          <w:b/>
          <w:color w:val="auto"/>
          <w:highlight w:val="none"/>
        </w:rPr>
      </w:r>
      <w:r/>
    </w:p>
    <w:p>
      <w:pPr>
        <w:numPr>
          <w:ilvl w:val="-1"/>
          <w:numId w:val="0"/>
        </w:numPr>
        <w:jc w:val="left"/>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br w:type="page" w:clear="all"/>
      </w:r>
      <w:r/>
    </w:p>
    <w:p>
      <w:pPr>
        <w:numPr>
          <w:ilvl w:val="0"/>
          <w:numId w:val="0"/>
        </w:numPr>
        <w:jc w:val="center"/>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六、技术参数响应及偏离表</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2441"/>
        <w:gridCol w:w="2586"/>
        <w:gridCol w:w="1394"/>
        <w:gridCol w:w="1157"/>
      </w:tblGrid>
      <w:tr>
        <w:trPr>
          <w:cantSplit/>
        </w:trPr>
        <w:tc>
          <w:tcPr>
            <w:tcW w:w="552"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序号</w:t>
            </w:r>
            <w:r/>
          </w:p>
        </w:tc>
        <w:tc>
          <w:tcPr>
            <w:tcW w:w="1432"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招标要求</w:t>
            </w:r>
            <w:r/>
          </w:p>
        </w:tc>
        <w:tc>
          <w:tcPr>
            <w:tcW w:w="1517"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投标响应</w:t>
            </w:r>
            <w:r/>
          </w:p>
        </w:tc>
        <w:tc>
          <w:tcPr>
            <w:tcW w:w="818"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超出、符合或偏离</w:t>
            </w:r>
            <w:r/>
          </w:p>
        </w:tc>
        <w:tc>
          <w:tcPr>
            <w:tcW w:w="679" w:type="dxa"/>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证明材料</w:t>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55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432"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517"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18"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679" w:type="dxa"/>
            <w:vAlign w:val="top"/>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注：1、按照基本技术要求详细填列。</w:t>
      </w:r>
      <w:r/>
    </w:p>
    <w:p>
      <w:pPr>
        <w:ind w:firstLine="48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2、行数不够，可自行添加。</w:t>
      </w:r>
      <w:r/>
    </w:p>
    <w:p>
      <w:pPr>
        <w:jc w:val="center"/>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r>
      <w:r/>
    </w:p>
    <w:p>
      <w:pPr>
        <w:jc w:val="center"/>
        <w:rPr>
          <w:rFonts w:hint="eastAsia" w:ascii="宋体" w:hAnsi="宋体" w:eastAsia="宋体" w:cs="宋体"/>
          <w:b w:val="0"/>
          <w:bCs w:val="0"/>
          <w:color w:val="auto"/>
          <w:sz w:val="32"/>
          <w:highlight w:val="none"/>
        </w:rPr>
        <w:outlineLvl w:val="1"/>
      </w:pPr>
      <w:r>
        <w:rPr>
          <w:rFonts w:hint="eastAsia" w:ascii="宋体" w:hAnsi="宋体" w:eastAsia="宋体" w:cs="宋体"/>
          <w:color w:val="auto"/>
          <w:sz w:val="32"/>
          <w:highlight w:val="none"/>
        </w:rPr>
        <w:br w:type="page" w:clear="all"/>
      </w:r>
      <w:bookmarkStart w:id="107" w:name="_Hlt26955054"/>
      <w:r/>
      <w:bookmarkEnd w:id="107"/>
      <w:r>
        <w:rPr>
          <w:rFonts w:hint="eastAsia" w:ascii="宋体" w:hAnsi="宋体" w:eastAsia="宋体" w:cs="宋体"/>
          <w:b/>
          <w:bCs/>
          <w:color w:val="auto"/>
          <w:sz w:val="32"/>
          <w:highlight w:val="none"/>
        </w:rPr>
        <w:t xml:space="preserve">七、商务条款响应及偏离表</w:t>
      </w:r>
      <w:r/>
    </w:p>
    <w:tbl>
      <w:tblPr>
        <w:tblStyle w:val="6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2481"/>
        <w:gridCol w:w="1822"/>
        <w:gridCol w:w="2592"/>
      </w:tblGrid>
      <w:tr>
        <w:trPr>
          <w:trHeight w:val="624"/>
        </w:trPr>
        <w:tc>
          <w:tcPr>
            <w:tcW w:w="953" w:type="pct"/>
            <w:vAlign w:val="center"/>
            <w:textDirection w:val="lrTb"/>
            <w:noWrap w:val="false"/>
          </w:tcPr>
          <w:p>
            <w:pPr>
              <w:jc w:val="center"/>
              <w:rPr>
                <w:rFonts w:hint="eastAsia" w:ascii="宋体" w:hAnsi="宋体" w:eastAsia="宋体" w:cs="宋体"/>
                <w:color w:val="auto"/>
                <w:szCs w:val="21"/>
                <w:highlight w:val="none"/>
              </w:rPr>
              <w:outlineLvl w:val="9"/>
            </w:pPr>
            <w:r/>
            <w:bookmarkStart w:id="108" w:name="_Hlt26580838"/>
            <w:r/>
            <w:bookmarkEnd w:id="108"/>
            <w:r/>
            <w:bookmarkStart w:id="109" w:name="_Hlt26955064"/>
            <w:r/>
            <w:bookmarkEnd w:id="109"/>
            <w:r/>
            <w:bookmarkStart w:id="110" w:name="_Hlt26671343"/>
            <w:r/>
            <w:bookmarkEnd w:id="110"/>
            <w:r/>
            <w:bookmarkStart w:id="111" w:name="_Hlt26609391"/>
            <w:r/>
            <w:bookmarkEnd w:id="111"/>
            <w:r/>
            <w:bookmarkStart w:id="112" w:name="_Hlt26955056"/>
            <w:r/>
            <w:bookmarkEnd w:id="112"/>
            <w:r/>
            <w:bookmarkStart w:id="113" w:name="_Hlt26782999"/>
            <w:r/>
            <w:bookmarkEnd w:id="113"/>
            <w:r/>
            <w:bookmarkStart w:id="114" w:name="_Hlt26671372"/>
            <w:r/>
            <w:bookmarkEnd w:id="114"/>
            <w:r/>
            <w:bookmarkStart w:id="115" w:name="_Hlt24879081"/>
            <w:r/>
            <w:bookmarkEnd w:id="115"/>
            <w:r>
              <w:rPr>
                <w:rFonts w:hint="eastAsia" w:ascii="宋体" w:hAnsi="宋体" w:cs="宋体"/>
                <w:color w:val="auto"/>
                <w:szCs w:val="21"/>
                <w:highlight w:val="none"/>
              </w:rPr>
              <w:t xml:space="preserve">项目</w:t>
            </w:r>
            <w:r/>
          </w:p>
        </w:tc>
        <w:tc>
          <w:tcPr>
            <w:tcW w:w="1456"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cs="宋体"/>
                <w:color w:val="auto"/>
                <w:szCs w:val="21"/>
                <w:highlight w:val="none"/>
              </w:rPr>
              <w:t xml:space="preserve">招标文件要求</w:t>
            </w:r>
            <w:r/>
          </w:p>
        </w:tc>
        <w:tc>
          <w:tcPr>
            <w:tcW w:w="1069"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cs="宋体"/>
                <w:color w:val="auto"/>
                <w:szCs w:val="21"/>
                <w:highlight w:val="none"/>
              </w:rPr>
              <w:t xml:space="preserve">是否响应</w:t>
            </w:r>
            <w:r/>
          </w:p>
        </w:tc>
        <w:tc>
          <w:tcPr>
            <w:tcW w:w="1521"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cs="宋体"/>
                <w:color w:val="auto"/>
                <w:szCs w:val="21"/>
                <w:highlight w:val="none"/>
              </w:rPr>
              <w:t xml:space="preserve">投标人的承诺或说明</w:t>
            </w:r>
            <w:r/>
          </w:p>
        </w:tc>
      </w:tr>
      <w:tr>
        <w:trPr>
          <w:trHeight w:val="624"/>
        </w:trPr>
        <w:tc>
          <w:tcPr>
            <w:tcW w:w="953"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cs="宋体"/>
                <w:color w:val="auto"/>
                <w:szCs w:val="21"/>
                <w:highlight w:val="none"/>
              </w:rPr>
              <w:t xml:space="preserve">服务时间</w:t>
            </w:r>
            <w:r/>
          </w:p>
        </w:tc>
        <w:tc>
          <w:tcPr>
            <w:tcW w:w="1456"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069"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521"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24"/>
        </w:trPr>
        <w:tc>
          <w:tcPr>
            <w:tcW w:w="953"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cs="宋体"/>
                <w:color w:val="auto"/>
                <w:szCs w:val="21"/>
                <w:highlight w:val="none"/>
              </w:rPr>
              <w:t xml:space="preserve">服务方式</w:t>
            </w:r>
            <w:r/>
          </w:p>
        </w:tc>
        <w:tc>
          <w:tcPr>
            <w:tcW w:w="1456"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069"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521"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24"/>
        </w:trPr>
        <w:tc>
          <w:tcPr>
            <w:tcW w:w="953"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cs="宋体"/>
                <w:color w:val="auto"/>
                <w:szCs w:val="21"/>
                <w:highlight w:val="none"/>
              </w:rPr>
              <w:t xml:space="preserve">服务地点</w:t>
            </w:r>
            <w:r/>
          </w:p>
        </w:tc>
        <w:tc>
          <w:tcPr>
            <w:tcW w:w="1456" w:type="pct"/>
            <w:vAlign w:val="center"/>
            <w:textDirection w:val="lrTb"/>
            <w:noWrap w:val="false"/>
          </w:tcPr>
          <w:p>
            <w:pPr>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069"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521"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24"/>
        </w:trPr>
        <w:tc>
          <w:tcPr>
            <w:tcW w:w="953" w:type="pct"/>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付款方式</w:t>
            </w:r>
            <w:r/>
          </w:p>
        </w:tc>
        <w:tc>
          <w:tcPr>
            <w:tcW w:w="1456" w:type="pct"/>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069"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521"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24"/>
        </w:trPr>
        <w:tc>
          <w:tcPr>
            <w:tcW w:w="953" w:type="pct"/>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其他</w:t>
            </w:r>
            <w:r/>
          </w:p>
        </w:tc>
        <w:tc>
          <w:tcPr>
            <w:tcW w:w="1456" w:type="pct"/>
            <w:vAlign w:val="center"/>
            <w:textDirection w:val="lrTb"/>
            <w:noWrap w:val="false"/>
          </w:tcPr>
          <w:p>
            <w:pPr>
              <w:jc w:val="center"/>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069"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1521"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24"/>
        </w:trPr>
        <w:tc>
          <w:tcPr>
            <w:tcW w:w="953" w:type="pct"/>
            <w:vAlign w:val="center"/>
            <w:textDirection w:val="lrTb"/>
            <w:noWrap w:val="false"/>
          </w:tcPr>
          <w:p>
            <w:pPr>
              <w:jc w:val="center"/>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eastAsia="zh-CN"/>
              </w:rPr>
              <w:t xml:space="preserve">……</w:t>
            </w:r>
            <w:r/>
          </w:p>
        </w:tc>
        <w:tc>
          <w:tcPr>
            <w:tcW w:w="1456" w:type="pct"/>
            <w:vAlign w:val="center"/>
            <w:textDirection w:val="lrTb"/>
            <w:noWrap w:val="false"/>
          </w:tcPr>
          <w:p>
            <w:pPr>
              <w:jc w:val="center"/>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eastAsia="zh-CN"/>
              </w:rPr>
              <w:t xml:space="preserve">……</w:t>
            </w:r>
            <w:r/>
          </w:p>
        </w:tc>
        <w:tc>
          <w:tcPr>
            <w:tcW w:w="1069" w:type="pct"/>
            <w:vAlign w:val="center"/>
            <w:textDirection w:val="lrTb"/>
            <w:noWrap w:val="false"/>
          </w:tcPr>
          <w:p>
            <w:pPr>
              <w:ind w:left="43"/>
              <w:jc w:val="center"/>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eastAsia="zh-CN"/>
              </w:rPr>
              <w:t xml:space="preserve">……</w:t>
            </w:r>
            <w:r/>
          </w:p>
        </w:tc>
        <w:tc>
          <w:tcPr>
            <w:tcW w:w="1521" w:type="pct"/>
            <w:vAlign w:val="center"/>
            <w:textDirection w:val="lrTb"/>
            <w:noWrap w:val="false"/>
          </w:tcPr>
          <w:p>
            <w:pPr>
              <w:ind w:left="43"/>
              <w:jc w:val="cente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bl>
    <w:p>
      <w:pPr>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注：1、按照基本</w:t>
      </w:r>
      <w:r>
        <w:rPr>
          <w:rFonts w:hint="eastAsia" w:ascii="宋体" w:hAnsi="宋体" w:cs="宋体"/>
          <w:color w:val="auto"/>
          <w:sz w:val="21"/>
          <w:szCs w:val="21"/>
          <w:highlight w:val="none"/>
          <w:lang w:val="en-US" w:eastAsia="zh-CN"/>
        </w:rPr>
        <w:t xml:space="preserve">商务</w:t>
      </w:r>
      <w:r>
        <w:rPr>
          <w:rFonts w:hint="eastAsia" w:ascii="宋体" w:hAnsi="宋体" w:cs="宋体"/>
          <w:color w:val="auto"/>
          <w:sz w:val="21"/>
          <w:szCs w:val="21"/>
          <w:highlight w:val="none"/>
        </w:rPr>
        <w:t xml:space="preserve">要求详细填列。</w:t>
      </w:r>
      <w:r/>
    </w:p>
    <w:p>
      <w:pPr>
        <w:ind w:firstLine="48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2、行数不够，可自行添加。</w:t>
      </w:r>
      <w:r/>
    </w:p>
    <w:p>
      <w:pPr>
        <w:spacing w:line="48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outlineLvl w:val="9"/>
      </w:pPr>
      <w:r>
        <w:rPr>
          <w:rFonts w:hint="eastAsia" w:ascii="宋体" w:hAnsi="宋体" w:cs="宋体"/>
          <w:color w:val="auto"/>
          <w:sz w:val="30"/>
          <w:highlight w:val="none"/>
        </w:rPr>
      </w:r>
      <w:r/>
    </w:p>
    <w:p>
      <w:pPr>
        <w:jc w:val="left"/>
        <w:rPr>
          <w:rFonts w:hint="eastAsia" w:ascii="宋体" w:hAnsi="宋体" w:eastAsia="宋体" w:cs="宋体"/>
          <w:b w:val="0"/>
          <w:bCs w:val="0"/>
          <w:color w:val="auto"/>
          <w:sz w:val="32"/>
          <w:highlight w:val="none"/>
        </w:rPr>
        <w:outlineLvl w:val="9"/>
      </w:pPr>
      <w:r/>
      <w:bookmarkStart w:id="116" w:name="_Hlt26671374"/>
      <w:r/>
      <w:bookmarkEnd w:id="116"/>
      <w:r/>
      <w:bookmarkStart w:id="117" w:name="_格式2__法定代表人授权书"/>
      <w:r/>
      <w:bookmarkEnd w:id="117"/>
      <w:r/>
      <w:bookmarkStart w:id="118" w:name="_Hlt26609389"/>
      <w:r/>
      <w:bookmarkEnd w:id="118"/>
      <w:r/>
      <w:bookmarkStart w:id="119" w:name="_Hlt26955066"/>
      <w:r/>
      <w:bookmarkEnd w:id="119"/>
      <w:r>
        <w:rPr>
          <w:rFonts w:hint="eastAsia" w:ascii="宋体" w:hAnsi="宋体" w:eastAsia="宋体" w:cs="宋体"/>
          <w:b w:val="0"/>
          <w:bCs w:val="0"/>
          <w:color w:val="auto"/>
          <w:sz w:val="32"/>
          <w:highlight w:val="none"/>
        </w:rPr>
        <w:br w:type="page" w:clear="all"/>
      </w:r>
      <w:r/>
    </w:p>
    <w:p>
      <w:pPr>
        <w:jc w:val="center"/>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八、其他</w:t>
      </w:r>
      <w:r/>
    </w:p>
    <w:p>
      <w:pPr>
        <w:jc w:val="center"/>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（投标人认为有必要提供的声明和文件，如有自拟并自行添加）</w:t>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hint="eastAsia" w:ascii="宋体" w:hAnsi="宋体" w:cs="宋体"/>
          <w:b/>
          <w:color w:val="auto"/>
          <w:highlight w:val="none"/>
        </w:rPr>
        <w:outlineLvl w:val="9"/>
      </w:pPr>
      <w:r>
        <w:rPr>
          <w:rFonts w:hint="eastAsia" w:ascii="宋体" w:hAnsi="宋体" w:cs="宋体"/>
          <w:b/>
          <w:color w:val="auto"/>
          <w:highlight w:val="none"/>
        </w:rPr>
        <w:t xml:space="preserve">主要标的信息（中标后将公示）</w:t>
      </w:r>
      <w:r/>
    </w:p>
    <w:p>
      <w:pPr>
        <w:spacing w:line="360" w:lineRule="auto"/>
        <w:rPr>
          <w:rFonts w:hint="eastAsia" w:ascii="宋体" w:hAnsi="宋体" w:cs="宋体"/>
          <w:b/>
          <w:color w:val="auto"/>
          <w:highlight w:val="none"/>
        </w:rPr>
        <w:outlineLvl w:val="9"/>
      </w:pPr>
      <w:r>
        <w:rPr>
          <w:rFonts w:hint="eastAsia" w:ascii="宋体" w:hAnsi="宋体" w:cs="宋体"/>
          <w:color w:val="auto"/>
          <w:highlight w:val="none"/>
        </w:rPr>
        <w:t xml:space="preserve">投标人全称：</w:t>
      </w:r>
      <w:r/>
    </w:p>
    <w:tbl>
      <w:tblPr>
        <w:tblStyle w:val="697"/>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vAlign w:val="top"/>
            <w:textDirection w:val="lrTb"/>
            <w:noWrap w:val="false"/>
          </w:tcPr>
          <w:p>
            <w:pPr>
              <w:jc w:val="center"/>
              <w:rPr>
                <w:rFonts w:ascii="宋体" w:hAnsi="宋体" w:cs="宋体"/>
                <w:color w:val="auto"/>
                <w:highlight w:val="none"/>
              </w:rPr>
              <w:outlineLvl w:val="9"/>
            </w:pPr>
            <w:r>
              <w:rPr>
                <w:rFonts w:hint="eastAsia" w:ascii="宋体" w:hAnsi="宋体" w:cs="宋体"/>
                <w:color w:val="auto"/>
                <w:highlight w:val="none"/>
              </w:rPr>
              <w:t xml:space="preserve">货物类</w:t>
            </w:r>
            <w:r/>
          </w:p>
        </w:tc>
        <w:tc>
          <w:tcPr>
            <w:tcW w:w="3780" w:type="dxa"/>
            <w:vAlign w:val="top"/>
            <w:textDirection w:val="lrTb"/>
            <w:noWrap w:val="false"/>
          </w:tcPr>
          <w:p>
            <w:pPr>
              <w:jc w:val="center"/>
              <w:rPr>
                <w:rFonts w:ascii="宋体" w:hAnsi="宋体" w:cs="宋体"/>
                <w:color w:val="auto"/>
                <w:highlight w:val="none"/>
              </w:rPr>
              <w:outlineLvl w:val="9"/>
            </w:pPr>
            <w:r>
              <w:rPr>
                <w:rFonts w:hint="eastAsia" w:ascii="宋体" w:hAnsi="宋体" w:cs="宋体"/>
                <w:color w:val="auto"/>
                <w:highlight w:val="none"/>
              </w:rPr>
              <w:t xml:space="preserve">服务类</w:t>
            </w:r>
            <w:r/>
          </w:p>
        </w:tc>
      </w:tr>
      <w:tr>
        <w:trPr>
          <w:jc w:val="center"/>
          <w:trHeight w:val="3810"/>
        </w:trPr>
        <w:tc>
          <w:tcPr>
            <w:tcW w:w="3901" w:type="dxa"/>
            <w:vAlign w:val="top"/>
            <w:textDirection w:val="lrTb"/>
            <w:noWrap w:val="false"/>
          </w:tcPr>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outlineLvl w:val="9"/>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outlineLvl w:val="9"/>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outlineLvl w:val="9"/>
            </w:pPr>
            <w:r>
              <w:rPr>
                <w:rFonts w:hint="eastAsia" w:ascii="宋体" w:hAnsi="宋体" w:cs="宋体"/>
                <w:color w:val="auto"/>
                <w:highlight w:val="none"/>
              </w:rPr>
              <w:t xml:space="preserve">服务标准：</w:t>
            </w:r>
            <w:r/>
          </w:p>
        </w:tc>
      </w:tr>
    </w:tbl>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方正楷体_GB2312">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s>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28</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28</w:t>
                    </w:r>
                    <w:r>
                      <w:rPr>
                        <w:rFonts w:hint="eastAsia"/>
                        <w:lang w:eastAsia="zh-CN"/>
                      </w:rPr>
                      <w:fldChar w:fldCharType="end"/>
                    </w:r>
                    <w:r/>
                  </w:p>
                  <w:p>
                    <w:r/>
                    <w:r/>
                  </w:p>
                </w:txbxContent>
              </v:textbox>
            </v:shape>
          </w:pict>
        </mc:Fallback>
      </mc:AlternateContent>
    </w:r>
    <w:r>
      <w:rPr>
        <w:rFonts w:hint="eastAsia" w:ascii="仿宋_GB2312" w:eastAsia="仿宋_GB2312"/>
        <w:b/>
        <w:sz w:val="24"/>
        <w:szCs w:val="24"/>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rFonts w:hint="eastAsia" w:ascii="宋体" w:hAnsi="宋体"/>
        <w:color w:val="000000"/>
        <w:lang w:eastAsia="zh-CN"/>
      </w:rPr>
      <w:t xml:space="preserve">JSZC-321000-SDTZ-G2026-0014</w:t>
    </w:r>
    <w:r>
      <w:rPr>
        <w:rFonts w:hint="eastAsia" w:ascii="宋体" w:hAnsi="宋体"/>
        <w:color w:val="000000"/>
      </w:rPr>
      <w:t xml:space="preserve">号  </w:t>
    </w:r>
    <w:r>
      <w:rPr>
        <w:rFonts w:hint="eastAsia"/>
      </w:rPr>
      <w:t xml:space="preserve">             </w:t>
    </w:r>
    <w:r>
      <w:rPr>
        <w:rFonts w:hint="eastAsia"/>
        <w:lang w:val="en-US" w:eastAsia="zh-CN"/>
      </w:rPr>
      <w:t xml:space="preserve">    </w:t>
    </w:r>
    <w:r>
      <w:rPr>
        <w:rFonts w:hint="eastAsia"/>
      </w:rPr>
      <w:t xml:space="preserve">                  江苏时代投资咨询有限公司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hint="eastAsia" w:ascii="宋体" w:hAnsi="宋体"/>
        <w:szCs w:val="21"/>
      </w:rPr>
      <w:pBdr>
        <w:bottom w:val="single" w:color="000000" w:sz="6" w:space="0"/>
      </w:pBdr>
    </w:pPr>
    <w:r>
      <w:rPr>
        <w:rFonts w:hint="eastAsia" w:cs="Times New Roman"/>
        <w:spacing w:val="1"/>
        <w:sz w:val="18"/>
        <w:szCs w:val="18"/>
        <w:lang w:val="en-US" w:eastAsia="zh-CN"/>
      </w:rPr>
      <w:t xml:space="preserve">JSZC-321000-SDTZ-G2026-0014号</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江苏</w:t>
    </w:r>
    <w:r>
      <w:rPr>
        <w:rFonts w:hint="eastAsia"/>
        <w:lang w:eastAsia="zh-CN"/>
      </w:rPr>
      <w:t xml:space="preserve">时代投资</w:t>
    </w:r>
    <w:r>
      <w:rPr>
        <w:rFonts w:hint="eastAsia"/>
      </w:rPr>
      <w:t xml:space="preserve">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0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uiPriority w:val="9"/>
    <w:qFormat/>
    <w:pPr>
      <w:jc w:val="center"/>
      <w:keepLines/>
      <w:keepNext/>
      <w:spacing w:before="0" w:after="0" w:line="360" w:lineRule="auto"/>
      <w:outlineLvl w:val="0"/>
    </w:pPr>
    <w:rPr>
      <w:b/>
      <w:bCs/>
      <w:sz w:val="32"/>
      <w:szCs w:val="44"/>
    </w:rPr>
  </w:style>
  <w:style w:type="paragraph" w:styleId="688">
    <w:name w:val="Heading 2"/>
    <w:basedOn w:val="686"/>
    <w:next w:val="686"/>
    <w:uiPriority w:val="9"/>
    <w:qFormat/>
    <w:pPr>
      <w:jc w:val="center"/>
      <w:keepLines/>
      <w:spacing w:before="280" w:after="280"/>
      <w:outlineLvl w:val="1"/>
    </w:pPr>
    <w:rPr>
      <w:b/>
      <w:color w:val="000000"/>
      <w:sz w:val="36"/>
    </w:rPr>
  </w:style>
  <w:style w:type="paragraph" w:styleId="689">
    <w:name w:val="Heading 3"/>
    <w:basedOn w:val="686"/>
    <w:next w:val="686"/>
    <w:uiPriority w:val="9"/>
    <w:unhideWhenUsed/>
    <w:qFormat/>
    <w:pPr>
      <w:keepLines/>
      <w:keepNext/>
      <w:spacing w:before="260" w:after="260" w:line="412" w:lineRule="auto"/>
      <w:outlineLvl w:val="2"/>
    </w:pPr>
    <w:rPr>
      <w:b/>
      <w:bCs/>
      <w:sz w:val="32"/>
      <w:szCs w:val="32"/>
    </w:rPr>
  </w:style>
  <w:style w:type="paragraph" w:styleId="690">
    <w:name w:val="Heading 4"/>
    <w:basedOn w:val="686"/>
    <w:next w:val="701"/>
    <w:uiPriority w:val="0"/>
    <w:qFormat/>
    <w:pPr>
      <w:spacing w:before="280" w:after="290" w:line="377" w:lineRule="auto"/>
      <w:outlineLvl w:val="3"/>
    </w:pPr>
    <w:rPr>
      <w:rFonts w:ascii="Arial" w:hAnsi="Arial" w:eastAsia="黑体"/>
      <w:b/>
      <w:bCs/>
      <w:sz w:val="28"/>
      <w:szCs w:val="28"/>
    </w:rPr>
  </w:style>
  <w:style w:type="paragraph" w:styleId="691">
    <w:name w:val="Heading 5"/>
    <w:basedOn w:val="686"/>
    <w:next w:val="686"/>
    <w:link w:val="743"/>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44"/>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6"/>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7"/>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首行缩进 21"/>
    <w:basedOn w:val="699"/>
    <w:next w:val="686"/>
    <w:uiPriority w:val="0"/>
    <w:qFormat/>
    <w:pPr>
      <w:ind w:firstLine="420"/>
      <w:spacing w:before="100" w:beforeAutospacing="1"/>
    </w:pPr>
    <w:rPr>
      <w:rFonts w:ascii="Times New Roman" w:hAnsi="Times New Roman" w:eastAsia="宋体"/>
      <w:sz w:val="20"/>
      <w:szCs w:val="21"/>
    </w:rPr>
  </w:style>
  <w:style w:type="paragraph" w:styleId="699" w:customStyle="1">
    <w:name w:val="正文文本缩进12"/>
    <w:basedOn w:val="686"/>
    <w:next w:val="700"/>
    <w:uiPriority w:val="0"/>
    <w:qFormat/>
    <w:pPr>
      <w:ind w:firstLine="645"/>
    </w:pPr>
    <w:rPr>
      <w:rFonts w:ascii="方正楷体_GB2312" w:eastAsia="方正楷体_GB2312"/>
      <w:sz w:val="32"/>
    </w:rPr>
  </w:style>
  <w:style w:type="paragraph" w:styleId="700" w:customStyle="1">
    <w:name w:val="寄信人地址11"/>
    <w:basedOn w:val="686"/>
    <w:uiPriority w:val="0"/>
    <w:qFormat/>
    <w:rPr>
      <w:rFonts w:ascii="Arial" w:hAnsi="Arial"/>
    </w:rPr>
  </w:style>
  <w:style w:type="paragraph" w:styleId="701">
    <w:name w:val="Normal Indent"/>
    <w:basedOn w:val="686"/>
    <w:uiPriority w:val="0"/>
    <w:unhideWhenUsed/>
    <w:qFormat/>
    <w:pPr>
      <w:ind w:firstLine="420"/>
    </w:pPr>
  </w:style>
  <w:style w:type="paragraph" w:styleId="702">
    <w:name w:val="toc 7"/>
    <w:basedOn w:val="686"/>
    <w:next w:val="686"/>
    <w:uiPriority w:val="39"/>
    <w:unhideWhenUsed/>
    <w:qFormat/>
    <w:pPr>
      <w:ind w:left="1701" w:right="0" w:firstLine="0"/>
      <w:spacing w:after="57"/>
    </w:pPr>
  </w:style>
  <w:style w:type="paragraph" w:styleId="703">
    <w:name w:val="table of authorities"/>
    <w:basedOn w:val="686"/>
    <w:next w:val="686"/>
    <w:uiPriority w:val="0"/>
    <w:qFormat/>
    <w:pPr>
      <w:ind w:left="420" w:firstLine="200"/>
      <w:spacing w:line="360" w:lineRule="auto"/>
    </w:pPr>
    <w:rPr>
      <w:sz w:val="24"/>
      <w:szCs w:val="24"/>
    </w:rPr>
  </w:style>
  <w:style w:type="paragraph" w:styleId="704">
    <w:name w:val="Caption"/>
    <w:basedOn w:val="686"/>
    <w:next w:val="6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5">
    <w:name w:val="annotation text"/>
    <w:basedOn w:val="686"/>
    <w:uiPriority w:val="0"/>
    <w:qFormat/>
    <w:pPr>
      <w:jc w:val="left"/>
    </w:pPr>
  </w:style>
  <w:style w:type="paragraph" w:styleId="706">
    <w:name w:val="Body Text"/>
    <w:basedOn w:val="686"/>
    <w:uiPriority w:val="0"/>
    <w:qFormat/>
    <w:rPr>
      <w:rFonts w:ascii="楷体_GB2312" w:hAnsi="Arial" w:eastAsia="楷体_GB2312"/>
      <w:sz w:val="28"/>
      <w:szCs w:val="28"/>
    </w:rPr>
  </w:style>
  <w:style w:type="paragraph" w:styleId="707">
    <w:name w:val="Body Text Indent"/>
    <w:basedOn w:val="686"/>
    <w:uiPriority w:val="99"/>
    <w:qFormat/>
    <w:pPr>
      <w:ind w:left="420"/>
      <w:spacing w:after="120"/>
    </w:pPr>
    <w:rPr>
      <w:sz w:val="20"/>
      <w:szCs w:val="24"/>
    </w:rPr>
  </w:style>
  <w:style w:type="paragraph" w:styleId="708">
    <w:name w:val="List Bullet 2"/>
    <w:basedOn w:val="686"/>
    <w:uiPriority w:val="0"/>
    <w:qFormat/>
    <w:pPr>
      <w:numPr>
        <w:ilvl w:val="0"/>
        <w:numId w:val="1"/>
      </w:numPr>
    </w:pPr>
  </w:style>
  <w:style w:type="paragraph" w:styleId="709">
    <w:name w:val="toc 5"/>
    <w:basedOn w:val="686"/>
    <w:next w:val="686"/>
    <w:uiPriority w:val="0"/>
    <w:qFormat/>
    <w:pPr>
      <w:ind w:left="1680"/>
    </w:pPr>
  </w:style>
  <w:style w:type="paragraph" w:styleId="710">
    <w:name w:val="toc 3"/>
    <w:basedOn w:val="686"/>
    <w:next w:val="686"/>
    <w:uiPriority w:val="39"/>
    <w:unhideWhenUsed/>
    <w:qFormat/>
    <w:pPr>
      <w:ind w:left="567" w:right="0" w:firstLine="0"/>
      <w:spacing w:after="57"/>
    </w:pPr>
  </w:style>
  <w:style w:type="paragraph" w:styleId="711">
    <w:name w:val="Plain Text"/>
    <w:basedOn w:val="686"/>
    <w:next w:val="701"/>
    <w:uiPriority w:val="0"/>
    <w:qFormat/>
    <w:rPr>
      <w:rFonts w:ascii="宋体" w:hAnsi="Courier New"/>
      <w:sz w:val="20"/>
      <w:szCs w:val="21"/>
    </w:rPr>
  </w:style>
  <w:style w:type="paragraph" w:styleId="712">
    <w:name w:val="toc 8"/>
    <w:basedOn w:val="686"/>
    <w:next w:val="686"/>
    <w:uiPriority w:val="39"/>
    <w:unhideWhenUsed/>
    <w:qFormat/>
    <w:pPr>
      <w:ind w:left="1984" w:right="0" w:firstLine="0"/>
      <w:spacing w:after="57"/>
    </w:pPr>
  </w:style>
  <w:style w:type="paragraph" w:styleId="713">
    <w:name w:val="endnote text"/>
    <w:basedOn w:val="686"/>
    <w:link w:val="883"/>
    <w:uiPriority w:val="99"/>
    <w:semiHidden/>
    <w:unhideWhenUsed/>
    <w:qFormat/>
    <w:pPr>
      <w:spacing w:after="0" w:line="240" w:lineRule="auto"/>
    </w:pPr>
    <w:rPr>
      <w:sz w:val="20"/>
    </w:rPr>
  </w:style>
  <w:style w:type="paragraph" w:styleId="714">
    <w:name w:val="Balloon Text"/>
    <w:basedOn w:val="686"/>
    <w:link w:val="908"/>
    <w:uiPriority w:val="0"/>
    <w:qFormat/>
    <w:rPr>
      <w:sz w:val="18"/>
      <w:szCs w:val="18"/>
    </w:rPr>
  </w:style>
  <w:style w:type="paragraph" w:styleId="715">
    <w:name w:val="Footer"/>
    <w:basedOn w:val="686"/>
    <w:uiPriority w:val="99"/>
    <w:unhideWhenUsed/>
    <w:qFormat/>
    <w:pPr>
      <w:jc w:val="left"/>
      <w:tabs>
        <w:tab w:val="center" w:pos="4153" w:leader="none"/>
        <w:tab w:val="right" w:pos="8306" w:leader="none"/>
      </w:tabs>
    </w:pPr>
    <w:rPr>
      <w:sz w:val="18"/>
      <w:szCs w:val="18"/>
    </w:rPr>
  </w:style>
  <w:style w:type="paragraph" w:styleId="716">
    <w:name w:val="envelope return"/>
    <w:basedOn w:val="686"/>
    <w:uiPriority w:val="99"/>
    <w:qFormat/>
    <w:rPr>
      <w:rFonts w:ascii="Arial" w:hAnsi="Arial"/>
    </w:rPr>
  </w:style>
  <w:style w:type="paragraph" w:styleId="717">
    <w:name w:val="Header"/>
    <w:basedOn w:val="68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6"/>
    <w:next w:val="686"/>
    <w:uiPriority w:val="39"/>
    <w:unhideWhenUsed/>
    <w:qFormat/>
    <w:rPr>
      <w:rFonts w:ascii="Calibri" w:hAnsi="Calibri"/>
    </w:rPr>
  </w:style>
  <w:style w:type="paragraph" w:styleId="719">
    <w:name w:val="toc 4"/>
    <w:basedOn w:val="686"/>
    <w:next w:val="686"/>
    <w:uiPriority w:val="39"/>
    <w:unhideWhenUsed/>
    <w:qFormat/>
    <w:pPr>
      <w:ind w:left="850" w:right="0" w:firstLine="0"/>
      <w:spacing w:after="57"/>
    </w:pPr>
  </w:style>
  <w:style w:type="paragraph" w:styleId="720">
    <w:name w:val="Subtitle"/>
    <w:basedOn w:val="686"/>
    <w:next w:val="686"/>
    <w:link w:val="749"/>
    <w:uiPriority w:val="11"/>
    <w:qFormat/>
    <w:pPr>
      <w:spacing w:before="200" w:after="200"/>
    </w:pPr>
    <w:rPr>
      <w:sz w:val="24"/>
      <w:szCs w:val="24"/>
    </w:rPr>
  </w:style>
  <w:style w:type="paragraph" w:styleId="721">
    <w:name w:val="footnote text"/>
    <w:basedOn w:val="686"/>
    <w:link w:val="882"/>
    <w:uiPriority w:val="99"/>
    <w:semiHidden/>
    <w:unhideWhenUsed/>
    <w:qFormat/>
    <w:pPr>
      <w:spacing w:after="40" w:line="240" w:lineRule="auto"/>
    </w:pPr>
    <w:rPr>
      <w:sz w:val="18"/>
    </w:rPr>
  </w:style>
  <w:style w:type="paragraph" w:styleId="722">
    <w:name w:val="toc 6"/>
    <w:basedOn w:val="686"/>
    <w:next w:val="686"/>
    <w:uiPriority w:val="39"/>
    <w:unhideWhenUsed/>
    <w:qFormat/>
    <w:pPr>
      <w:ind w:left="1417" w:right="0" w:firstLine="0"/>
      <w:spacing w:after="57"/>
    </w:pPr>
  </w:style>
  <w:style w:type="paragraph" w:styleId="723">
    <w:name w:val="table of figures"/>
    <w:basedOn w:val="686"/>
    <w:next w:val="686"/>
    <w:uiPriority w:val="99"/>
    <w:unhideWhenUsed/>
    <w:qFormat/>
    <w:pPr>
      <w:spacing w:after="0" w:afterAutospacing="0"/>
    </w:pPr>
  </w:style>
  <w:style w:type="paragraph" w:styleId="724">
    <w:name w:val="toc 2"/>
    <w:basedOn w:val="686"/>
    <w:next w:val="686"/>
    <w:uiPriority w:val="0"/>
    <w:semiHidden/>
    <w:qFormat/>
    <w:pPr>
      <w:ind w:left="210"/>
      <w:jc w:val="left"/>
    </w:pPr>
    <w:rPr>
      <w:smallCaps/>
      <w:szCs w:val="24"/>
    </w:rPr>
  </w:style>
  <w:style w:type="paragraph" w:styleId="725">
    <w:name w:val="toc 9"/>
    <w:basedOn w:val="686"/>
    <w:next w:val="686"/>
    <w:uiPriority w:val="0"/>
    <w:qFormat/>
    <w:pPr>
      <w:ind w:left="1680" w:firstLine="5632"/>
    </w:pPr>
  </w:style>
  <w:style w:type="paragraph" w:styleId="726">
    <w:name w:val="Body Text 2"/>
    <w:basedOn w:val="686"/>
    <w:uiPriority w:val="0"/>
    <w:qFormat/>
    <w:pPr>
      <w:spacing w:after="120" w:line="480" w:lineRule="auto"/>
    </w:pPr>
  </w:style>
  <w:style w:type="paragraph" w:styleId="727">
    <w:name w:val="HTML Preformatted"/>
    <w:basedOn w:val="68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28">
    <w:name w:val="Normal (Web)"/>
    <w:basedOn w:val="686"/>
    <w:uiPriority w:val="99"/>
    <w:unhideWhenUsed/>
    <w:qFormat/>
    <w:pPr>
      <w:ind w:left="0" w:right="0"/>
      <w:jc w:val="left"/>
      <w:spacing w:before="0" w:beforeAutospacing="1" w:after="0" w:afterAutospacing="1"/>
    </w:pPr>
    <w:rPr>
      <w:sz w:val="24"/>
      <w:lang w:val="en-US" w:eastAsia="zh-CN" w:bidi="ar"/>
    </w:rPr>
  </w:style>
  <w:style w:type="paragraph" w:styleId="729">
    <w:name w:val="Title"/>
    <w:basedOn w:val="686"/>
    <w:next w:val="686"/>
    <w:link w:val="748"/>
    <w:uiPriority w:val="10"/>
    <w:qFormat/>
    <w:pPr>
      <w:contextualSpacing/>
      <w:spacing w:before="300" w:after="200"/>
    </w:pPr>
    <w:rPr>
      <w:sz w:val="48"/>
      <w:szCs w:val="48"/>
    </w:rPr>
  </w:style>
  <w:style w:type="paragraph" w:styleId="730">
    <w:name w:val="Body Text First Indent"/>
    <w:basedOn w:val="706"/>
    <w:uiPriority w:val="0"/>
    <w:qFormat/>
    <w:pPr>
      <w:ind w:firstLine="420"/>
    </w:pPr>
    <w:rPr>
      <w:sz w:val="21"/>
    </w:rPr>
  </w:style>
  <w:style w:type="paragraph" w:styleId="731">
    <w:name w:val="Body Text First Indent 2"/>
    <w:basedOn w:val="707"/>
    <w:uiPriority w:val="0"/>
    <w:qFormat/>
    <w:pPr>
      <w:ind w:firstLine="420"/>
    </w:pPr>
  </w:style>
  <w:style w:type="table" w:styleId="732">
    <w:name w:val="Table Grid"/>
    <w:basedOn w:val="6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basedOn w:val="696"/>
    <w:uiPriority w:val="22"/>
    <w:qFormat/>
    <w:rPr>
      <w:rFonts w:ascii="Tahoma" w:hAnsi="Tahoma" w:eastAsia="宋体"/>
      <w:b/>
      <w:bCs/>
      <w:spacing w:val="10"/>
      <w:sz w:val="24"/>
      <w:lang w:val="en-US" w:eastAsia="zh-CN" w:bidi="ar-SA"/>
    </w:rPr>
  </w:style>
  <w:style w:type="character" w:styleId="734">
    <w:name w:val="endnote reference"/>
    <w:basedOn w:val="696"/>
    <w:uiPriority w:val="99"/>
    <w:semiHidden/>
    <w:unhideWhenUsed/>
    <w:qFormat/>
    <w:rPr>
      <w:vertAlign w:val="superscript"/>
    </w:rPr>
  </w:style>
  <w:style w:type="character" w:styleId="735">
    <w:name w:val="Emphasis"/>
    <w:basedOn w:val="696"/>
    <w:uiPriority w:val="0"/>
    <w:qFormat/>
    <w:rPr>
      <w:i/>
    </w:rPr>
  </w:style>
  <w:style w:type="character" w:styleId="736">
    <w:name w:val="Hyperlink"/>
    <w:basedOn w:val="696"/>
    <w:uiPriority w:val="0"/>
    <w:unhideWhenUsed/>
    <w:qFormat/>
    <w:rPr>
      <w:color w:val="0000ff"/>
      <w:u w:val="single"/>
    </w:rPr>
  </w:style>
  <w:style w:type="character" w:styleId="737">
    <w:name w:val="annotation reference"/>
    <w:uiPriority w:val="0"/>
    <w:qFormat/>
    <w:rPr>
      <w:sz w:val="21"/>
      <w:szCs w:val="21"/>
    </w:rPr>
  </w:style>
  <w:style w:type="character" w:styleId="738">
    <w:name w:val="footnote reference"/>
    <w:basedOn w:val="696"/>
    <w:uiPriority w:val="99"/>
    <w:unhideWhenUsed/>
    <w:qFormat/>
    <w:rPr>
      <w:vertAlign w:val="superscript"/>
    </w:rPr>
  </w:style>
  <w:style w:type="character" w:styleId="739" w:customStyle="1">
    <w:name w:val="Heading 1 Char"/>
    <w:basedOn w:val="696"/>
    <w:uiPriority w:val="9"/>
    <w:qFormat/>
    <w:rPr>
      <w:rFonts w:ascii="Arial" w:hAnsi="Arial" w:eastAsia="Arial" w:cs="Arial"/>
      <w:sz w:val="40"/>
      <w:szCs w:val="40"/>
    </w:rPr>
  </w:style>
  <w:style w:type="character" w:styleId="740" w:customStyle="1">
    <w:name w:val="Heading 2 Char"/>
    <w:basedOn w:val="696"/>
    <w:uiPriority w:val="9"/>
    <w:qFormat/>
    <w:rPr>
      <w:rFonts w:ascii="Arial" w:hAnsi="Arial" w:eastAsia="Arial" w:cs="Arial"/>
      <w:sz w:val="34"/>
    </w:rPr>
  </w:style>
  <w:style w:type="character" w:styleId="741" w:customStyle="1">
    <w:name w:val="Heading 3 Char"/>
    <w:basedOn w:val="696"/>
    <w:uiPriority w:val="9"/>
    <w:qFormat/>
    <w:rPr>
      <w:rFonts w:ascii="Arial" w:hAnsi="Arial" w:eastAsia="Arial" w:cs="Arial"/>
      <w:sz w:val="30"/>
      <w:szCs w:val="30"/>
    </w:rPr>
  </w:style>
  <w:style w:type="character" w:styleId="742" w:customStyle="1">
    <w:name w:val="Heading 4 Char"/>
    <w:basedOn w:val="696"/>
    <w:uiPriority w:val="9"/>
    <w:qFormat/>
    <w:rPr>
      <w:rFonts w:ascii="Arial" w:hAnsi="Arial" w:eastAsia="Arial" w:cs="Arial"/>
      <w:b/>
      <w:bCs/>
      <w:sz w:val="26"/>
      <w:szCs w:val="26"/>
    </w:rPr>
  </w:style>
  <w:style w:type="character" w:styleId="743" w:customStyle="1">
    <w:name w:val="Heading 5 Char"/>
    <w:basedOn w:val="696"/>
    <w:link w:val="691"/>
    <w:uiPriority w:val="9"/>
    <w:qFormat/>
    <w:rPr>
      <w:rFonts w:ascii="Arial" w:hAnsi="Arial" w:eastAsia="Arial" w:cs="Arial"/>
      <w:b/>
      <w:bCs/>
      <w:sz w:val="24"/>
      <w:szCs w:val="24"/>
    </w:rPr>
  </w:style>
  <w:style w:type="character" w:styleId="744" w:customStyle="1">
    <w:name w:val="Heading 6 Char"/>
    <w:basedOn w:val="696"/>
    <w:link w:val="692"/>
    <w:uiPriority w:val="9"/>
    <w:qFormat/>
    <w:rPr>
      <w:rFonts w:ascii="Arial" w:hAnsi="Arial" w:eastAsia="Arial" w:cs="Arial"/>
      <w:b/>
      <w:bCs/>
      <w:sz w:val="22"/>
      <w:szCs w:val="22"/>
    </w:rPr>
  </w:style>
  <w:style w:type="character" w:styleId="745" w:customStyle="1">
    <w:name w:val="Heading 7 Char"/>
    <w:basedOn w:val="696"/>
    <w:link w:val="693"/>
    <w:uiPriority w:val="9"/>
    <w:qFormat/>
    <w:rPr>
      <w:rFonts w:ascii="Arial" w:hAnsi="Arial" w:eastAsia="Arial" w:cs="Arial"/>
      <w:b/>
      <w:bCs/>
      <w:i/>
      <w:iCs/>
      <w:sz w:val="22"/>
      <w:szCs w:val="22"/>
    </w:rPr>
  </w:style>
  <w:style w:type="character" w:styleId="746" w:customStyle="1">
    <w:name w:val="Heading 8 Char"/>
    <w:basedOn w:val="696"/>
    <w:link w:val="694"/>
    <w:uiPriority w:val="9"/>
    <w:qFormat/>
    <w:rPr>
      <w:rFonts w:ascii="Arial" w:hAnsi="Arial" w:eastAsia="Arial" w:cs="Arial"/>
      <w:i/>
      <w:iCs/>
      <w:sz w:val="22"/>
      <w:szCs w:val="22"/>
    </w:rPr>
  </w:style>
  <w:style w:type="character" w:styleId="747" w:customStyle="1">
    <w:name w:val="Heading 9 Char"/>
    <w:basedOn w:val="696"/>
    <w:link w:val="695"/>
    <w:uiPriority w:val="9"/>
    <w:qFormat/>
    <w:rPr>
      <w:rFonts w:ascii="Arial" w:hAnsi="Arial" w:eastAsia="Arial" w:cs="Arial"/>
      <w:i/>
      <w:iCs/>
      <w:sz w:val="21"/>
      <w:szCs w:val="21"/>
    </w:rPr>
  </w:style>
  <w:style w:type="character" w:styleId="748" w:customStyle="1">
    <w:name w:val="Title Char"/>
    <w:basedOn w:val="696"/>
    <w:link w:val="729"/>
    <w:uiPriority w:val="10"/>
    <w:qFormat/>
    <w:rPr>
      <w:sz w:val="48"/>
      <w:szCs w:val="48"/>
    </w:rPr>
  </w:style>
  <w:style w:type="character" w:styleId="749" w:customStyle="1">
    <w:name w:val="Subtitle Char"/>
    <w:basedOn w:val="696"/>
    <w:link w:val="720"/>
    <w:uiPriority w:val="11"/>
    <w:qFormat/>
    <w:rPr>
      <w:sz w:val="24"/>
      <w:szCs w:val="24"/>
    </w:rPr>
  </w:style>
  <w:style w:type="paragraph" w:styleId="750">
    <w:name w:val="Quote"/>
    <w:basedOn w:val="686"/>
    <w:next w:val="686"/>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86"/>
    <w:next w:val="686"/>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basedOn w:val="696"/>
    <w:uiPriority w:val="99"/>
    <w:qFormat/>
  </w:style>
  <w:style w:type="character" w:styleId="755" w:customStyle="1">
    <w:name w:val="Footer Char"/>
    <w:basedOn w:val="696"/>
    <w:uiPriority w:val="99"/>
    <w:qFormat/>
  </w:style>
  <w:style w:type="character" w:styleId="756" w:customStyle="1">
    <w:name w:val="Caption Char"/>
    <w:uiPriority w:val="99"/>
    <w:qFormat/>
  </w:style>
  <w:style w:type="table" w:styleId="757"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69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69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69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69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69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69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69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69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69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69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69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69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7"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69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69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69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69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69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69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69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6" w:customStyle="1">
    <w:name w:val="Grid Table 4 - Accent 2"/>
    <w:basedOn w:val="69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7" w:customStyle="1">
    <w:name w:val="Grid Table 4 - Accent 3"/>
    <w:basedOn w:val="69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8" w:customStyle="1">
    <w:name w:val="Grid Table 4 - Accent 4"/>
    <w:basedOn w:val="69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9" w:customStyle="1">
    <w:name w:val="Grid Table 4 - Accent 5"/>
    <w:basedOn w:val="69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0" w:customStyle="1">
    <w:name w:val="Grid Table 4 - Accent 6"/>
    <w:basedOn w:val="69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1"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3" w:customStyle="1">
    <w:name w:val="Grid Table 5 Dark - Accent 2"/>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4" w:customStyle="1">
    <w:name w:val="Grid Table 5 Dark - Accent 3"/>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5" w:customStyle="1">
    <w:name w:val="Grid Table 5 Dark- Accent 4"/>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6" w:customStyle="1">
    <w:name w:val="Grid Table 5 Dark - Accent 5"/>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7" w:customStyle="1">
    <w:name w:val="Grid Table 5 Dark - Accent 6"/>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8"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basedOn w:val="69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69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69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2" w:customStyle="1">
    <w:name w:val="Grid Table 6 Colorful - Accent 4"/>
    <w:basedOn w:val="69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69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4" w:customStyle="1">
    <w:name w:val="Grid Table 6 Colorful - Accent 6"/>
    <w:basedOn w:val="69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69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69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69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69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69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69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69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69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69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69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69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69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69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1" w:customStyle="1">
    <w:name w:val="List Table 2 - Accent 2"/>
    <w:basedOn w:val="69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2" w:customStyle="1">
    <w:name w:val="List Table 2 - Accent 3"/>
    <w:basedOn w:val="69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3" w:customStyle="1">
    <w:name w:val="List Table 2 - Accent 4"/>
    <w:basedOn w:val="69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4" w:customStyle="1">
    <w:name w:val="List Table 2 - Accent 5"/>
    <w:basedOn w:val="69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5" w:customStyle="1">
    <w:name w:val="List Table 2 - Accent 6"/>
    <w:basedOn w:val="69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6"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69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8" w:customStyle="1">
    <w:name w:val="List Table 3 - Accent 2"/>
    <w:basedOn w:val="69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69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69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69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69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3"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69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5" w:customStyle="1">
    <w:name w:val="List Table 4 - Accent 2"/>
    <w:basedOn w:val="69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6" w:customStyle="1">
    <w:name w:val="List Table 4 - Accent 3"/>
    <w:basedOn w:val="69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7" w:customStyle="1">
    <w:name w:val="List Table 4 - Accent 4"/>
    <w:basedOn w:val="69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8" w:customStyle="1">
    <w:name w:val="List Table 4 - Accent 5"/>
    <w:basedOn w:val="69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9" w:customStyle="1">
    <w:name w:val="List Table 4 - Accent 6"/>
    <w:basedOn w:val="69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0"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basedOn w:val="69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basedOn w:val="69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basedOn w:val="69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basedOn w:val="69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basedOn w:val="69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basedOn w:val="69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basedOn w:val="69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9" w:customStyle="1">
    <w:name w:val="List Table 6 Colorful - Accent 2"/>
    <w:basedOn w:val="69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0" w:customStyle="1">
    <w:name w:val="List Table 6 Colorful - Accent 3"/>
    <w:basedOn w:val="69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1" w:customStyle="1">
    <w:name w:val="List Table 6 Colorful - Accent 4"/>
    <w:basedOn w:val="69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2" w:customStyle="1">
    <w:name w:val="List Table 6 Colorful - Accent 5"/>
    <w:basedOn w:val="69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3" w:customStyle="1">
    <w:name w:val="List Table 6 Colorful - Accent 6"/>
    <w:basedOn w:val="69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4"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69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69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69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69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69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69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3"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4"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6"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7"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69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0" w:customStyle="1">
    <w:name w:val="Bordered &amp; Lined - Accent 2"/>
    <w:basedOn w:val="69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1" w:customStyle="1">
    <w:name w:val="Bordered &amp; Lined - Accent 3"/>
    <w:basedOn w:val="69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2" w:customStyle="1">
    <w:name w:val="Bordered &amp; Lined - Accent 4"/>
    <w:basedOn w:val="69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3" w:customStyle="1">
    <w:name w:val="Bordered &amp; Lined - Accent 5"/>
    <w:basedOn w:val="69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4" w:customStyle="1">
    <w:name w:val="Bordered &amp; Lined - Accent 6"/>
    <w:basedOn w:val="69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5"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69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7" w:customStyle="1">
    <w:name w:val="Bordered - Accent 2"/>
    <w:basedOn w:val="69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8" w:customStyle="1">
    <w:name w:val="Bordered - Accent 3"/>
    <w:basedOn w:val="69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9" w:customStyle="1">
    <w:name w:val="Bordered - Accent 4"/>
    <w:basedOn w:val="69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0" w:customStyle="1">
    <w:name w:val="Bordered - Accent 5"/>
    <w:basedOn w:val="69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1" w:customStyle="1">
    <w:name w:val="Bordered - Accent 6"/>
    <w:basedOn w:val="69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2" w:customStyle="1">
    <w:name w:val="Footnote Text Char"/>
    <w:link w:val="721"/>
    <w:uiPriority w:val="99"/>
    <w:qFormat/>
    <w:rPr>
      <w:sz w:val="18"/>
    </w:rPr>
  </w:style>
  <w:style w:type="character" w:styleId="883" w:customStyle="1">
    <w:name w:val="Endnote Text Char"/>
    <w:link w:val="713"/>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正文（缩进）"/>
    <w:basedOn w:val="686"/>
    <w:next w:val="886"/>
    <w:uiPriority w:val="0"/>
    <w:qFormat/>
    <w:pPr>
      <w:ind w:firstLine="200"/>
      <w:spacing w:line="360" w:lineRule="auto"/>
    </w:pPr>
    <w:rPr>
      <w:rFonts w:ascii="宋体" w:hAnsi="宋体"/>
    </w:rPr>
  </w:style>
  <w:style w:type="paragraph" w:styleId="886" w:customStyle="1">
    <w:name w:val="Char Char Char Char Char Char Char Char Char"/>
    <w:basedOn w:val="686"/>
    <w:next w:val="887"/>
    <w:uiPriority w:val="0"/>
    <w:qFormat/>
    <w:pPr>
      <w:ind w:left="360" w:firstLine="5784"/>
    </w:pPr>
  </w:style>
  <w:style w:type="paragraph" w:styleId="887" w:customStyle="1">
    <w:name w:val="正文文本 21"/>
    <w:basedOn w:val="686"/>
    <w:next w:val="888"/>
    <w:uiPriority w:val="0"/>
    <w:qFormat/>
    <w:pPr>
      <w:ind w:left="720" w:firstLine="5680"/>
      <w:widowControl/>
    </w:pPr>
  </w:style>
  <w:style w:type="paragraph" w:styleId="888" w:customStyle="1">
    <w:name w:val="默认段落字体 Para Char Char Char Char Char Char Char"/>
    <w:basedOn w:val="686"/>
    <w:next w:val="889"/>
    <w:uiPriority w:val="0"/>
    <w:qFormat/>
    <w:pPr>
      <w:ind w:firstLine="5632"/>
    </w:pPr>
  </w:style>
  <w:style w:type="paragraph" w:styleId="889" w:customStyle="1">
    <w:name w:val="样式 首行缩进:  2 字符"/>
    <w:basedOn w:val="686"/>
    <w:next w:val="890"/>
    <w:uiPriority w:val="0"/>
    <w:qFormat/>
    <w:pPr>
      <w:ind w:left="480" w:firstLine="5856"/>
      <w:spacing w:line="360" w:lineRule="auto"/>
    </w:pPr>
  </w:style>
  <w:style w:type="paragraph" w:styleId="890" w:customStyle="1">
    <w:name w:val="样式 段后: 0.25 行"/>
    <w:basedOn w:val="686"/>
    <w:next w:val="891"/>
    <w:uiPriority w:val="0"/>
    <w:qFormat/>
    <w:pPr>
      <w:ind w:left="420" w:firstLine="5796"/>
      <w:spacing w:line="300" w:lineRule="auto"/>
      <w:widowControl/>
    </w:pPr>
  </w:style>
  <w:style w:type="paragraph" w:styleId="891" w:customStyle="1">
    <w:name w:val="正文 New New New New New New New New New New New New New New"/>
    <w:next w:val="725"/>
    <w:uiPriority w:val="0"/>
    <w:qFormat/>
    <w:pPr>
      <w:ind w:firstLine="2048"/>
      <w:jc w:val="both"/>
      <w:widowControl w:val="off"/>
    </w:pPr>
    <w:rPr>
      <w:rFonts w:hint="default" w:ascii="Calibri" w:hAnsi="Calibri" w:eastAsia="宋体" w:cs="Times New Roman"/>
      <w:lang w:val="en-US" w:eastAsia="zh-CN" w:bidi="ar-SA"/>
    </w:rPr>
  </w:style>
  <w:style w:type="paragraph" w:styleId="892" w:customStyle="1">
    <w:name w:val="正文1"/>
    <w:basedOn w:val="686"/>
    <w:next w:val="893"/>
    <w:uiPriority w:val="99"/>
    <w:qFormat/>
    <w:pPr>
      <w:ind w:firstLine="480"/>
      <w:spacing w:line="440" w:lineRule="exact"/>
    </w:pPr>
    <w:rPr>
      <w:rFonts w:ascii="微软雅黑" w:hAnsi="微软雅黑" w:eastAsia="微软雅黑"/>
      <w:sz w:val="24"/>
      <w:szCs w:val="20"/>
    </w:rPr>
  </w:style>
  <w:style w:type="paragraph" w:styleId="893" w:customStyle="1">
    <w:name w:val="正文文本1"/>
    <w:basedOn w:val="892"/>
    <w:next w:val="894"/>
    <w:uiPriority w:val="0"/>
    <w:qFormat/>
    <w:pPr>
      <w:spacing w:after="120"/>
    </w:pPr>
    <w:rPr>
      <w:lang w:eastAsia="en-US"/>
    </w:rPr>
  </w:style>
  <w:style w:type="paragraph" w:styleId="894" w:customStyle="1">
    <w:name w:val="一级条标题"/>
    <w:basedOn w:val="895"/>
    <w:next w:val="8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5" w:customStyle="1">
    <w:name w:val="章标题"/>
    <w:next w:val="6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6" w:customStyle="1">
    <w:name w:val="段"/>
    <w:next w:val="686"/>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897" w:customStyle="1">
    <w:name w:val="首行缩进"/>
    <w:basedOn w:val="686"/>
    <w:uiPriority w:val="99"/>
    <w:qFormat/>
    <w:pPr>
      <w:ind w:firstLine="480"/>
    </w:pPr>
    <w:rPr>
      <w:lang w:val="zh-CN"/>
    </w:rPr>
  </w:style>
  <w:style w:type="paragraph" w:styleId="898"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899" w:customStyle="1">
    <w:name w:val="列出段落2"/>
    <w:basedOn w:val="686"/>
    <w:uiPriority w:val="34"/>
    <w:qFormat/>
    <w:pPr>
      <w:ind w:firstLine="420"/>
    </w:pPr>
    <w:rPr>
      <w:rFonts w:ascii="宋体"/>
      <w:color w:val="404040"/>
    </w:rPr>
  </w:style>
  <w:style w:type="paragraph" w:styleId="900" w:customStyle="1">
    <w:name w:val="列出段落1"/>
    <w:basedOn w:val="686"/>
    <w:uiPriority w:val="0"/>
    <w:qFormat/>
    <w:pPr>
      <w:ind w:firstLine="200"/>
    </w:pPr>
    <w:rPr>
      <w:rFonts w:ascii="Calibri" w:hAnsi="Calibri"/>
      <w:sz w:val="20"/>
      <w:szCs w:val="20"/>
    </w:rPr>
  </w:style>
  <w:style w:type="paragraph" w:styleId="901" w:customStyle="1">
    <w:name w:val="Char"/>
    <w:basedOn w:val="686"/>
    <w:uiPriority w:val="0"/>
    <w:qFormat/>
    <w:pPr>
      <w:ind w:firstLine="200"/>
      <w:tabs>
        <w:tab w:val="left" w:pos="360" w:leader="none"/>
      </w:tabs>
    </w:pPr>
    <w:rPr>
      <w:sz w:val="28"/>
      <w:szCs w:val="30"/>
    </w:rPr>
  </w:style>
  <w:style w:type="paragraph" w:styleId="902" w:customStyle="1">
    <w:name w:val="Table Paragraph"/>
    <w:basedOn w:val="686"/>
    <w:uiPriority w:val="1"/>
    <w:qFormat/>
    <w:rPr>
      <w:rFonts w:ascii="宋体" w:hAnsi="宋体" w:cs="宋体"/>
      <w:lang w:val="zh-CN" w:bidi="zh-CN"/>
    </w:rPr>
  </w:style>
  <w:style w:type="paragraph" w:styleId="903" w:customStyle="1">
    <w:name w:val="Body text|1"/>
    <w:basedOn w:val="686"/>
    <w:uiPriority w:val="0"/>
    <w:qFormat/>
    <w:pPr>
      <w:ind w:firstLine="400"/>
      <w:jc w:val="left"/>
      <w:spacing w:line="410" w:lineRule="auto"/>
    </w:pPr>
    <w:rPr>
      <w:rFonts w:ascii="宋体" w:hAnsi="宋体" w:cs="宋体"/>
      <w:sz w:val="30"/>
      <w:szCs w:val="30"/>
      <w:lang w:val="zh-TW" w:eastAsia="zh-TW" w:bidi="zh-TW"/>
    </w:rPr>
  </w:style>
  <w:style w:type="paragraph" w:styleId="904" w:customStyle="1">
    <w:name w:val="Body text|2"/>
    <w:basedOn w:val="686"/>
    <w:uiPriority w:val="0"/>
    <w:qFormat/>
    <w:pPr>
      <w:jc w:val="left"/>
    </w:pPr>
    <w:rPr>
      <w:sz w:val="28"/>
      <w:szCs w:val="28"/>
    </w:rPr>
  </w:style>
  <w:style w:type="paragraph" w:styleId="905" w:customStyle="1">
    <w:name w:val="Picture caption|1"/>
    <w:basedOn w:val="686"/>
    <w:uiPriority w:val="0"/>
    <w:qFormat/>
    <w:pPr>
      <w:jc w:val="left"/>
    </w:pPr>
    <w:rPr>
      <w:sz w:val="28"/>
      <w:szCs w:val="28"/>
    </w:rPr>
  </w:style>
  <w:style w:type="character" w:styleId="906" w:customStyle="1">
    <w:name w:val="NormalCharacter"/>
    <w:uiPriority w:val="0"/>
    <w:qFormat/>
    <w:rPr>
      <w:rFonts w:ascii="Times New Roman" w:hAnsi="Times New Roman" w:eastAsia="宋体" w:cs="Times New Roman"/>
      <w:sz w:val="21"/>
      <w:szCs w:val="22"/>
      <w:lang w:val="en-US" w:eastAsia="zh-CN" w:bidi="ar-SA"/>
    </w:rPr>
  </w:style>
  <w:style w:type="paragraph" w:styleId="907" w:customStyle="1">
    <w:name w:val="PlainText"/>
    <w:basedOn w:val="686"/>
    <w:uiPriority w:val="0"/>
    <w:qFormat/>
    <w:rPr>
      <w:rFonts w:ascii="宋体" w:hAnsi="Courier New"/>
      <w:szCs w:val="21"/>
    </w:rPr>
  </w:style>
  <w:style w:type="character" w:styleId="908" w:customStyle="1">
    <w:name w:val="批注框文本 Char"/>
    <w:basedOn w:val="696"/>
    <w:link w:val="714"/>
    <w:uiPriority w:val="0"/>
    <w:qFormat/>
    <w:rPr>
      <w:sz w:val="18"/>
      <w:szCs w:val="18"/>
    </w:rPr>
  </w:style>
  <w:style w:type="paragraph" w:styleId="909">
    <w:name w:val="List Paragraph"/>
    <w:basedOn w:val="686"/>
    <w:uiPriority w:val="34"/>
    <w:qFormat/>
    <w:pPr>
      <w:ind w:firstLine="420"/>
    </w:pPr>
  </w:style>
  <w:style w:type="paragraph" w:styleId="91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1" w:customStyle="1">
    <w:name w:val="标题 21"/>
    <w:basedOn w:val="686"/>
    <w:next w:val="912"/>
    <w:uiPriority w:val="9"/>
    <w:qFormat/>
    <w:pPr>
      <w:keepLines/>
      <w:keepNext/>
      <w:spacing w:before="260" w:after="260" w:line="416" w:lineRule="auto"/>
      <w:outlineLvl w:val="1"/>
    </w:pPr>
    <w:rPr>
      <w:rFonts w:ascii="Cambria" w:hAnsi="Cambria"/>
      <w:b/>
      <w:bCs/>
      <w:sz w:val="32"/>
      <w:szCs w:val="32"/>
    </w:rPr>
  </w:style>
  <w:style w:type="paragraph" w:styleId="912" w:customStyle="1">
    <w:name w:val="正文缩进1"/>
    <w:basedOn w:val="686"/>
    <w:uiPriority w:val="0"/>
    <w:unhideWhenUsed/>
    <w:qFormat/>
    <w:pPr>
      <w:ind w:firstLine="420"/>
    </w:pPr>
    <w:rPr>
      <w:rFonts w:ascii="Calibri" w:hAnsi="Calibri"/>
    </w:rPr>
  </w:style>
  <w:style w:type="paragraph" w:styleId="913" w:customStyle="1">
    <w:name w:val="普通(网站)1"/>
    <w:basedOn w:val="686"/>
    <w:uiPriority w:val="0"/>
    <w:unhideWhenUsed/>
    <w:qFormat/>
    <w:pPr>
      <w:jc w:val="left"/>
    </w:pPr>
    <w:rPr>
      <w:rFonts w:ascii="Calibri" w:hAnsi="Calibri"/>
      <w:sz w:val="24"/>
      <w:szCs w:val="24"/>
    </w:rPr>
  </w:style>
  <w:style w:type="character" w:styleId="914" w:customStyle="1">
    <w:name w:val="要点1"/>
    <w:uiPriority w:val="0"/>
    <w:qFormat/>
    <w:rPr>
      <w:rFonts w:hint="default" w:ascii="Times New Roman" w:hAnsi="Times New Roman" w:eastAsia="宋体" w:cs="Times New Roman"/>
      <w:sz w:val="21"/>
      <w:szCs w:val="22"/>
      <w:lang w:val="en-US" w:eastAsia="zh-CN" w:bidi="ar-SA"/>
    </w:rPr>
  </w:style>
  <w:style w:type="character" w:styleId="915" w:customStyle="1">
    <w:name w:val="font61"/>
    <w:basedOn w:val="696"/>
    <w:uiPriority w:val="0"/>
    <w:qFormat/>
    <w:rPr>
      <w:rFonts w:hint="eastAsia" w:ascii="宋体" w:hAnsi="宋体" w:eastAsia="宋体" w:cs="宋体"/>
      <w:color w:val="000000"/>
      <w:sz w:val="21"/>
      <w:szCs w:val="21"/>
      <w:u w:val="none"/>
    </w:rPr>
  </w:style>
  <w:style w:type="character" w:styleId="916" w:customStyle="1">
    <w:name w:val="font112"/>
    <w:basedOn w:val="696"/>
    <w:uiPriority w:val="0"/>
    <w:qFormat/>
    <w:rPr>
      <w:rFonts w:hint="default" w:ascii="Times New Roman" w:hAnsi="Times New Roman" w:cs="Times New Roman"/>
      <w:color w:val="000000"/>
      <w:sz w:val="21"/>
      <w:szCs w:val="21"/>
      <w:u w:val="none"/>
    </w:rPr>
  </w:style>
  <w:style w:type="character" w:styleId="917" w:customStyle="1">
    <w:name w:val="font111"/>
    <w:basedOn w:val="696"/>
    <w:uiPriority w:val="0"/>
    <w:qFormat/>
    <w:rPr>
      <w:rFonts w:hint="default" w:ascii="Times New Roman" w:hAnsi="Times New Roman" w:cs="Times New Roman"/>
      <w:color w:val="000000"/>
      <w:sz w:val="21"/>
      <w:szCs w:val="21"/>
      <w:u w:val="none"/>
    </w:rPr>
  </w:style>
  <w:style w:type="character" w:styleId="918" w:customStyle="1">
    <w:name w:val="font81"/>
    <w:basedOn w:val="696"/>
    <w:uiPriority w:val="0"/>
    <w:qFormat/>
    <w:rPr>
      <w:rFonts w:hint="default" w:ascii="Times New Roman" w:hAnsi="Times New Roman" w:cs="Times New Roman"/>
      <w:color w:val="000000"/>
      <w:sz w:val="21"/>
      <w:szCs w:val="21"/>
      <w:u w:val="none"/>
    </w:rPr>
  </w:style>
  <w:style w:type="character" w:styleId="919" w:customStyle="1">
    <w:name w:val="font51"/>
    <w:basedOn w:val="696"/>
    <w:uiPriority w:val="0"/>
    <w:qFormat/>
    <w:rPr>
      <w:rFonts w:hint="default" w:ascii="Times New Roman" w:hAnsi="Times New Roman" w:cs="Times New Roman"/>
      <w:color w:val="000000"/>
      <w:sz w:val="20"/>
      <w:szCs w:val="20"/>
      <w:u w:val="none"/>
    </w:rPr>
  </w:style>
  <w:style w:type="character" w:styleId="920" w:customStyle="1">
    <w:name w:val="font31"/>
    <w:basedOn w:val="696"/>
    <w:uiPriority w:val="0"/>
    <w:qFormat/>
    <w:rPr>
      <w:rFonts w:hint="eastAsia" w:ascii="宋体" w:hAnsi="宋体" w:eastAsia="宋体" w:cs="宋体"/>
      <w:color w:val="000000"/>
      <w:sz w:val="20"/>
      <w:szCs w:val="20"/>
      <w:u w:val="none"/>
    </w:rPr>
  </w:style>
  <w:style w:type="paragraph" w:styleId="92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正文文本缩进1"/>
    <w:basedOn w:val="686"/>
    <w:next w:val="925"/>
    <w:uiPriority w:val="99"/>
    <w:unhideWhenUsed/>
    <w:qFormat/>
    <w:pPr>
      <w:ind w:firstLine="540"/>
      <w:spacing w:line="400" w:lineRule="exact"/>
    </w:pPr>
    <w:rPr>
      <w:sz w:val="24"/>
    </w:rPr>
  </w:style>
  <w:style w:type="paragraph" w:styleId="925" w:customStyle="1">
    <w:name w:val="寄信人地址1"/>
    <w:basedOn w:val="686"/>
    <w:uiPriority w:val="99"/>
    <w:unhideWhenUsed/>
    <w:qFormat/>
    <w:rPr>
      <w:rFonts w:ascii="Arial" w:hAnsi="Arial"/>
    </w:rPr>
  </w:style>
  <w:style w:type="paragraph" w:styleId="926" w:customStyle="1">
    <w:name w:val="正文首行缩进1"/>
    <w:basedOn w:val="927"/>
    <w:next w:val="686"/>
    <w:uiPriority w:val="0"/>
    <w:qFormat/>
    <w:pPr>
      <w:ind w:firstLine="425"/>
      <w:spacing w:before="100" w:after="100" w:line="360" w:lineRule="atLeast"/>
    </w:pPr>
    <w:rPr>
      <w:rFonts w:ascii="Times New Roman" w:hAnsi="Times New Roman" w:eastAsia="宋体" w:cs="Times New Roman"/>
    </w:rPr>
  </w:style>
  <w:style w:type="paragraph" w:styleId="927" w:customStyle="1">
    <w:name w:val="正文文本11"/>
    <w:basedOn w:val="686"/>
    <w:next w:val="686"/>
    <w:uiPriority w:val="0"/>
    <w:qFormat/>
    <w:rPr>
      <w:rFonts w:ascii="楷体_GB2312" w:hAnsi="Arial" w:eastAsia="楷体_GB2312"/>
      <w:sz w:val="28"/>
      <w:szCs w:val="28"/>
    </w:rPr>
  </w:style>
  <w:style w:type="paragraph" w:styleId="928" w:customStyle="1">
    <w:name w:val="页眉11"/>
    <w:basedOn w:val="6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9" w:customStyle="1">
    <w:name w:val="页脚11"/>
    <w:basedOn w:val="686"/>
    <w:uiPriority w:val="99"/>
    <w:unhideWhenUsed/>
    <w:qFormat/>
    <w:pPr>
      <w:jc w:val="left"/>
      <w:tabs>
        <w:tab w:val="center" w:pos="4153" w:leader="none"/>
        <w:tab w:val="right" w:pos="8306" w:leader="none"/>
      </w:tabs>
    </w:pPr>
    <w:rPr>
      <w:sz w:val="18"/>
      <w:szCs w:val="18"/>
    </w:rPr>
  </w:style>
  <w:style w:type="paragraph" w:styleId="930" w:customStyle="1">
    <w:name w:val="正文文本12"/>
    <w:basedOn w:val="686"/>
    <w:next w:val="931"/>
    <w:uiPriority w:val="0"/>
    <w:qFormat/>
    <w:rPr>
      <w:rFonts w:ascii="楷体_GB2312" w:hAnsi="Arial" w:eastAsia="楷体_GB2312"/>
      <w:sz w:val="28"/>
      <w:szCs w:val="28"/>
    </w:rPr>
  </w:style>
  <w:style w:type="paragraph" w:styleId="931" w:customStyle="1">
    <w:name w:val="正文文本 211"/>
    <w:basedOn w:val="686"/>
    <w:uiPriority w:val="0"/>
    <w:qFormat/>
    <w:pPr>
      <w:spacing w:after="120" w:line="480" w:lineRule="auto"/>
    </w:pPr>
  </w:style>
  <w:style w:type="paragraph" w:styleId="932" w:customStyle="1">
    <w:name w:val="正文缩进11"/>
    <w:basedOn w:val="686"/>
    <w:next w:val="686"/>
    <w:uiPriority w:val="0"/>
    <w:unhideWhenUsed/>
    <w:qFormat/>
    <w:pPr>
      <w:ind w:firstLine="420"/>
    </w:pPr>
  </w:style>
  <w:style w:type="paragraph" w:styleId="933" w:customStyle="1">
    <w:name w:val="纯文本1"/>
    <w:basedOn w:val="934"/>
    <w:uiPriority w:val="99"/>
    <w:qFormat/>
    <w:rPr>
      <w:rFonts w:ascii="宋体" w:hAnsi="Courier New"/>
      <w:sz w:val="20"/>
      <w:szCs w:val="21"/>
    </w:rPr>
  </w:style>
  <w:style w:type="paragraph" w:styleId="934" w:customStyle="1">
    <w:name w:val="正文11"/>
    <w:next w:val="698"/>
    <w:uiPriority w:val="0"/>
    <w:qFormat/>
    <w:pPr>
      <w:jc w:val="both"/>
      <w:widowControl w:val="off"/>
    </w:pPr>
    <w:rPr>
      <w:rFonts w:ascii="Times New Roman" w:hAnsi="Times New Roman" w:eastAsia="宋体" w:cs="Times New Roman"/>
      <w:sz w:val="21"/>
      <w:szCs w:val="22"/>
      <w:lang w:val="en-US" w:eastAsia="zh-CN" w:bidi="ar-SA"/>
    </w:rPr>
  </w:style>
  <w:style w:type="paragraph" w:styleId="935" w:customStyle="1">
    <w:name w:val="纯文本2"/>
    <w:basedOn w:val="686"/>
    <w:uiPriority w:val="0"/>
    <w:qFormat/>
    <w:pPr>
      <w:ind w:firstLine="200"/>
      <w:spacing w:line="360" w:lineRule="auto"/>
    </w:pPr>
    <w:rPr>
      <w:rFonts w:ascii="宋体" w:hAnsi="Courier New"/>
      <w:sz w:val="20"/>
      <w:szCs w:val="20"/>
    </w:rPr>
  </w:style>
  <w:style w:type="numbering" w:styleId="10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二条</dc:creator>
  <cp:lastModifiedBy>杨小新</cp:lastModifiedBy>
  <cp:revision>16</cp:revision>
  <dcterms:created xsi:type="dcterms:W3CDTF">2022-05-10T02:27:00Z</dcterms:created>
  <dcterms:modified xsi:type="dcterms:W3CDTF">2026-10-30T09:09:52Z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1EFF166F3B954FAA9F782093AD669E5E_13</vt:lpwstr>
  </property>
  <property fmtid="{D5CDD505-2E9C-101B-9397-08002B2CF9AE}" pid="4" name="KSOTemplateDocerSaveRecord">
    <vt:lpwstr>eyJoZGlkIjoiZmY5ZjY0NjFhYTdhM2E1MjM3YmYxNDBkNWE3NzU4OGUiLCJ1c2VySWQiOiI2NTQzNzQ4NjIifQ==</vt:lpwstr>
  </property>
</Properties>
</file>