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20"/>
          <w:szCs w:val="22"/>
          <w:highlight w:val="none"/>
        </w:rPr>
      </w:pPr>
      <w:r>
        <w:rPr>
          <w:rFonts w:ascii="宋体" w:hAnsi="宋体"/>
          <w:color w:val="000000"/>
          <w:sz w:val="20"/>
          <w:szCs w:val="22"/>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jc w:val="center"/>
        <w:rPr>
          <w:rFonts w:ascii="宋体" w:hAnsi="宋体"/>
          <w:b/>
          <w:color w:val="000000"/>
          <w:sz w:val="56"/>
          <w:szCs w:val="56"/>
          <w:highlight w:val="none"/>
        </w:rPr>
      </w:pPr>
      <w:r/>
      <w:bookmarkStart w:id="0" w:name="_Toc537065439"/>
      <w:r>
        <w:rPr>
          <w:rFonts w:hint="eastAsia" w:ascii="宋体" w:hAnsi="宋体"/>
          <w:b/>
          <w:color w:val="000000"/>
          <w:sz w:val="56"/>
          <w:szCs w:val="56"/>
          <w:highlight w:val="none"/>
        </w:rPr>
        <w:t xml:space="preserve">竞 争 性 磋 商 文 件</w:t>
      </w:r>
      <w:bookmarkEnd w:id="0"/>
      <w:r/>
      <w:r/>
    </w:p>
    <w:p>
      <w:pPr>
        <w:rPr>
          <w:rFonts w:ascii="宋体" w:hAnsi="宋体"/>
          <w:color w:val="000000"/>
          <w:highlight w:val="none"/>
        </w:rPr>
      </w:pPr>
      <w:r>
        <w:rPr>
          <w:rFonts w:ascii="宋体" w:hAnsi="宋体"/>
          <w:color w:val="000000"/>
          <w:highlight w:val="none"/>
        </w:rPr>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（电子招投标）</w:t>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jc w:val="center"/>
        <w:spacing w:line="480" w:lineRule="auto"/>
        <w:rPr>
          <w:rFonts w:ascii="宋体" w:hAnsi="宋体"/>
          <w:b/>
          <w:color w:val="000000"/>
          <w:sz w:val="32"/>
          <w:szCs w:val="22"/>
          <w:highlight w:val="none"/>
        </w:rPr>
      </w:pPr>
      <w:r/>
      <w:bookmarkStart w:id="1" w:name="_Toc585064932"/>
      <w:r/>
      <w:r/>
    </w:p>
    <w:p>
      <w:pPr>
        <w:jc w:val="center"/>
        <w:spacing w:line="480" w:lineRule="auto"/>
        <w:rPr>
          <w:rFonts w:ascii="宋体" w:hAnsi="宋体"/>
          <w:b/>
          <w:color w:val="000000"/>
          <w:sz w:val="32"/>
          <w:szCs w:val="22"/>
          <w:highlight w:val="none"/>
        </w:rPr>
      </w:pPr>
      <w:r>
        <w:rPr>
          <w:rFonts w:hint="eastAsia" w:ascii="宋体" w:hAnsi="宋体"/>
          <w:b/>
          <w:color w:val="000000"/>
          <w:sz w:val="32"/>
          <w:szCs w:val="22"/>
          <w:highlight w:val="none"/>
        </w:rPr>
        <w:t xml:space="preserve">项目编号：</w:t>
      </w:r>
      <w:bookmarkEnd w:id="1"/>
      <w:r>
        <w:rPr>
          <w:rFonts w:hint="eastAsia" w:ascii="宋体" w:hAnsi="宋体"/>
          <w:b/>
          <w:color w:val="000000"/>
          <w:sz w:val="32"/>
          <w:szCs w:val="22"/>
          <w:highlight w:val="none"/>
        </w:rPr>
        <w:t xml:space="preserve">JSZC-321112-JSWX-C2026-0034</w:t>
      </w:r>
      <w:r/>
    </w:p>
    <w:p>
      <w:pPr>
        <w:jc w:val="center"/>
        <w:spacing w:line="360" w:lineRule="auto"/>
        <w:rPr>
          <w:rFonts w:ascii="宋体" w:hAnsi="宋体"/>
          <w:b/>
          <w:bCs/>
          <w:color w:val="000000"/>
          <w:sz w:val="32"/>
          <w:szCs w:val="32"/>
          <w:highlight w:val="none"/>
        </w:rPr>
      </w:pPr>
      <w:r/>
      <w:bookmarkStart w:id="2" w:name="_Toc2006176158"/>
      <w:r>
        <w:rPr>
          <w:rFonts w:hint="eastAsia" w:ascii="宋体" w:hAnsi="宋体"/>
          <w:b/>
          <w:color w:val="000000"/>
          <w:sz w:val="32"/>
          <w:szCs w:val="22"/>
          <w:highlight w:val="none"/>
        </w:rPr>
        <w:t xml:space="preserve">项目名称：</w:t>
      </w:r>
      <w:bookmarkEnd w:id="2"/>
      <w:r>
        <w:rPr>
          <w:rFonts w:hint="eastAsia" w:ascii="宋体" w:hAnsi="宋体"/>
          <w:b/>
          <w:color w:val="000000"/>
          <w:sz w:val="32"/>
          <w:szCs w:val="22"/>
          <w:highlight w:val="none"/>
        </w:rPr>
        <w:t xml:space="preserve">镇江市丹徒区电子政务外网运营服务项目</w:t>
      </w:r>
      <w:r/>
    </w:p>
    <w:p>
      <w:pPr>
        <w:spacing w:line="480" w:lineRule="auto"/>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jc w:val="center"/>
        <w:spacing w:before="240"/>
        <w:rPr>
          <w:rFonts w:ascii="宋体" w:hAnsi="宋体"/>
          <w:b/>
          <w:color w:val="000000"/>
          <w:sz w:val="32"/>
          <w:szCs w:val="32"/>
          <w:highlight w:val="none"/>
        </w:rPr>
      </w:pPr>
      <w:r/>
      <w:bookmarkStart w:id="3" w:name="_Toc161945959"/>
      <w:r>
        <w:rPr>
          <w:rFonts w:hint="eastAsia" w:ascii="宋体" w:hAnsi="宋体"/>
          <w:b/>
          <w:color w:val="000000"/>
          <w:sz w:val="32"/>
          <w:szCs w:val="32"/>
          <w:highlight w:val="none"/>
        </w:rPr>
        <w:t xml:space="preserve">江苏巍信项目管理有限公司</w:t>
      </w:r>
      <w:bookmarkEnd w:id="3"/>
      <w:r/>
      <w:r/>
    </w:p>
    <w:p>
      <w:pPr>
        <w:jc w:val="center"/>
        <w:spacing w:before="240" w:after="240"/>
        <w:rPr>
          <w:rFonts w:ascii="宋体" w:hAnsi="宋体"/>
          <w:b/>
          <w:color w:val="000000"/>
          <w:sz w:val="32"/>
          <w:szCs w:val="32"/>
          <w:highlight w:val="none"/>
        </w:rPr>
      </w:pPr>
      <w:r>
        <w:rPr>
          <w:rFonts w:hint="eastAsia" w:ascii="宋体" w:hAnsi="宋体"/>
          <w:b/>
          <w:color w:val="000000"/>
          <w:sz w:val="32"/>
          <w:szCs w:val="32"/>
          <w:highlight w:val="none"/>
        </w:rPr>
        <w:t xml:space="preserve">二○二六年十月</w:t>
      </w:r>
      <w:r/>
    </w:p>
    <w:p>
      <w:pPr>
        <w:jc w:val="center"/>
        <w:spacing w:before="240" w:after="240"/>
        <w:rPr>
          <w:rFonts w:ascii="宋体" w:hAnsi="宋体"/>
          <w:b/>
          <w:color w:val="000000"/>
          <w:sz w:val="32"/>
          <w:szCs w:val="32"/>
          <w:highlight w:val="none"/>
        </w:rPr>
        <w:sectPr>
          <w:headerReference w:type="default" r:id="rId9"/>
          <w:headerReference w:type="first" r:id="rId10"/>
          <w:footnotePr/>
          <w:endnotePr/>
          <w:type w:val="nextPage"/>
          <w:pgSz w:w="11907" w:h="16840" w:orient="portrait"/>
          <w:pgMar w:top="1440" w:right="1800" w:bottom="1440" w:left="1800" w:header="851" w:footer="992" w:gutter="0"/>
          <w:pgNumType w:start="1"/>
          <w:cols w:num="1" w:sep="0" w:space="1701" w:equalWidth="1"/>
          <w:docGrid w:linePitch="360"/>
        </w:sectPr>
      </w:pPr>
      <w:r>
        <w:rPr>
          <w:rFonts w:ascii="宋体" w:hAnsi="宋体"/>
          <w:b/>
          <w:color w:val="000000"/>
          <w:sz w:val="32"/>
          <w:szCs w:val="32"/>
          <w:highlight w:val="none"/>
        </w:rPr>
      </w:r>
      <w:r/>
    </w:p>
    <w:p>
      <w:pPr>
        <w:pStyle w:val="1711"/>
        <w:rPr>
          <w:rFonts w:ascii="宋体" w:hAnsi="宋体" w:eastAsia="宋体"/>
          <w:color w:val="000000"/>
          <w:sz w:val="24"/>
          <w:szCs w:val="18"/>
          <w:highlight w:val="none"/>
        </w:rPr>
      </w:pPr>
      <w:r>
        <w:rPr>
          <w:rFonts w:ascii="宋体" w:hAnsi="宋体" w:eastAsia="宋体"/>
          <w:color w:val="000000"/>
          <w:sz w:val="24"/>
          <w:szCs w:val="18"/>
          <w:highlight w:val="none"/>
        </w:rPr>
      </w:r>
      <w:r/>
    </w:p>
    <w:p>
      <w:pPr>
        <w:jc w:val="center"/>
        <w:spacing w:before="240" w:after="240"/>
        <w:rPr>
          <w:rFonts w:ascii="宋体" w:hAnsi="宋体"/>
          <w:b/>
          <w:color w:val="000000"/>
          <w:sz w:val="40"/>
          <w:szCs w:val="22"/>
          <w:highlight w:val="none"/>
        </w:rPr>
      </w:pPr>
      <w:r>
        <w:rPr>
          <w:rFonts w:hint="eastAsia" w:ascii="宋体" w:hAnsi="宋体"/>
          <w:b/>
          <w:color w:val="000000"/>
          <w:sz w:val="32"/>
          <w:szCs w:val="32"/>
          <w:highlight w:val="none"/>
        </w:rPr>
        <w:t xml:space="preserve">磋商文件目录</w:t>
      </w:r>
      <w:r/>
    </w:p>
    <w:p>
      <w:pPr>
        <w:pStyle w:val="1492"/>
        <w:spacing w:line="360" w:lineRule="auto"/>
        <w:tabs>
          <w:tab w:val="right" w:pos="9747" w:leader="dot"/>
        </w:tabs>
        <w:rPr>
          <w:sz w:val="24"/>
          <w:highlight w:val="none"/>
        </w:rPr>
      </w:pPr>
      <w:r/>
      <w:bookmarkStart w:id="4" w:name="_Toc105940806"/>
      <w:r/>
      <w:bookmarkStart w:id="5" w:name="_Toc100386033"/>
      <w:r/>
      <w:bookmarkStart w:id="6" w:name="_Toc20732967"/>
      <w:r/>
      <w:bookmarkStart w:id="7" w:name="_Toc92167999"/>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TOC \o "1-1" \h \u </w:instrText>
      </w:r>
      <w:r>
        <w:rPr>
          <w:rFonts w:hint="eastAsia" w:ascii="宋体" w:hAnsi="宋体" w:cs="宋体"/>
          <w:b/>
          <w:bCs/>
          <w:color w:val="000000"/>
          <w:sz w:val="24"/>
          <w:highlight w:val="none"/>
        </w:rPr>
        <w:fldChar w:fldCharType="separate"/>
      </w:r>
      <w:r>
        <w:rPr>
          <w:highlight w:val="none"/>
        </w:rPr>
        <w:fldChar w:fldCharType="begin"/>
      </w:r>
      <w:r>
        <w:rPr>
          <w:highlight w:val="none"/>
        </w:rPr>
        <w:instrText xml:space="preserve"> HYPERLINK \l "_Toc4005" </w:instrText>
      </w:r>
      <w:r>
        <w:rPr>
          <w:highlight w:val="none"/>
        </w:rPr>
        <w:fldChar w:fldCharType="separate"/>
      </w:r>
      <w:r>
        <w:rPr>
          <w:rFonts w:hint="eastAsia" w:ascii="宋体" w:hAnsi="宋体" w:cs="宋体"/>
          <w:sz w:val="24"/>
          <w:highlight w:val="none"/>
        </w:rPr>
        <w:t xml:space="preserve">第一部分  磋商邀请</w:t>
      </w:r>
      <w:r>
        <w:rPr>
          <w:sz w:val="24"/>
          <w:highlight w:val="none"/>
        </w:rPr>
        <w:tab/>
      </w:r>
      <w:r>
        <w:rPr>
          <w:sz w:val="24"/>
          <w:highlight w:val="none"/>
        </w:rPr>
        <w:fldChar w:fldCharType="begin"/>
      </w:r>
      <w:r>
        <w:rPr>
          <w:sz w:val="24"/>
          <w:highlight w:val="none"/>
        </w:rPr>
        <w:instrText xml:space="preserve"> PAGEREF _Toc4005 \h </w:instrText>
      </w:r>
      <w:r>
        <w:rPr>
          <w:sz w:val="24"/>
          <w:highlight w:val="none"/>
        </w:rPr>
        <w:fldChar w:fldCharType="separate"/>
      </w:r>
      <w:r>
        <w:rPr>
          <w:sz w:val="24"/>
          <w:highlight w:val="none"/>
        </w:rPr>
        <w:t xml:space="preserve">3</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"_Toc13833" </w:instrText>
      </w:r>
      <w:r>
        <w:rPr>
          <w:highlight w:val="none"/>
        </w:rPr>
        <w:fldChar w:fldCharType="separate"/>
      </w:r>
      <w:r>
        <w:rPr>
          <w:rFonts w:hint="eastAsia" w:ascii="宋体" w:hAnsi="宋体" w:cs="宋体"/>
          <w:sz w:val="24"/>
          <w:highlight w:val="none"/>
        </w:rPr>
        <w:t xml:space="preserve">第二部分  供应商须知</w:t>
      </w:r>
      <w:r>
        <w:rPr>
          <w:sz w:val="24"/>
          <w:highlight w:val="none"/>
        </w:rPr>
        <w:tab/>
      </w:r>
      <w:r>
        <w:rPr>
          <w:sz w:val="24"/>
          <w:highlight w:val="none"/>
        </w:rPr>
        <w:fldChar w:fldCharType="begin"/>
      </w:r>
      <w:r>
        <w:rPr>
          <w:sz w:val="24"/>
          <w:highlight w:val="none"/>
        </w:rPr>
        <w:instrText xml:space="preserve"> PAGEREF _Toc13833 \h </w:instrText>
      </w:r>
      <w:r>
        <w:rPr>
          <w:sz w:val="24"/>
          <w:highlight w:val="none"/>
        </w:rPr>
        <w:fldChar w:fldCharType="separate"/>
      </w:r>
      <w:r>
        <w:rPr>
          <w:sz w:val="24"/>
          <w:highlight w:val="none"/>
        </w:rPr>
        <w:t xml:space="preserve">7</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"_Toc11670" </w:instrText>
      </w:r>
      <w:r>
        <w:rPr>
          <w:highlight w:val="none"/>
        </w:rPr>
        <w:fldChar w:fldCharType="separate"/>
      </w:r>
      <w:r>
        <w:rPr>
          <w:rFonts w:hint="eastAsia" w:ascii="宋体" w:hAnsi="宋体" w:cs="宋体"/>
          <w:sz w:val="24"/>
          <w:highlight w:val="none"/>
        </w:rPr>
        <w:t xml:space="preserve">第三部分  合同格式</w:t>
      </w:r>
      <w:r>
        <w:rPr>
          <w:sz w:val="24"/>
          <w:highlight w:val="none"/>
        </w:rPr>
        <w:tab/>
      </w:r>
      <w:r>
        <w:rPr>
          <w:sz w:val="24"/>
          <w:highlight w:val="none"/>
        </w:rPr>
        <w:fldChar w:fldCharType="begin"/>
      </w:r>
      <w:r>
        <w:rPr>
          <w:sz w:val="24"/>
          <w:highlight w:val="none"/>
        </w:rPr>
        <w:instrText xml:space="preserve"> PAGEREF _Toc11670 \h </w:instrText>
      </w:r>
      <w:r>
        <w:rPr>
          <w:sz w:val="24"/>
          <w:highlight w:val="none"/>
        </w:rPr>
        <w:fldChar w:fldCharType="separate"/>
      </w:r>
      <w:r>
        <w:rPr>
          <w:sz w:val="24"/>
          <w:highlight w:val="none"/>
        </w:rPr>
        <w:t xml:space="preserve">28</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"_Toc12977" </w:instrText>
      </w:r>
      <w:r>
        <w:rPr>
          <w:highlight w:val="none"/>
        </w:rPr>
        <w:fldChar w:fldCharType="separate"/>
      </w:r>
      <w:r>
        <w:rPr>
          <w:rFonts w:hint="eastAsia" w:ascii="宋体" w:hAnsi="宋体" w:cs="宋体"/>
          <w:sz w:val="24"/>
          <w:highlight w:val="none"/>
        </w:rPr>
        <w:t xml:space="preserve">第四部分  项目采购需求</w:t>
      </w:r>
      <w:r>
        <w:rPr>
          <w:sz w:val="24"/>
          <w:highlight w:val="none"/>
        </w:rPr>
        <w:tab/>
      </w:r>
      <w:r>
        <w:rPr>
          <w:sz w:val="24"/>
          <w:highlight w:val="none"/>
        </w:rPr>
        <w:fldChar w:fldCharType="begin"/>
      </w:r>
      <w:r>
        <w:rPr>
          <w:sz w:val="24"/>
          <w:highlight w:val="none"/>
        </w:rPr>
        <w:instrText xml:space="preserve"> PAGEREF _Toc12977 \h </w:instrText>
      </w:r>
      <w:r>
        <w:rPr>
          <w:sz w:val="24"/>
          <w:highlight w:val="none"/>
        </w:rPr>
        <w:fldChar w:fldCharType="separate"/>
      </w:r>
      <w:r>
        <w:rPr>
          <w:sz w:val="24"/>
          <w:highlight w:val="none"/>
        </w:rPr>
        <w:t xml:space="preserve">34</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"_Toc7242" </w:instrText>
      </w:r>
      <w:r>
        <w:rPr>
          <w:highlight w:val="none"/>
        </w:rPr>
        <w:fldChar w:fldCharType="separate"/>
      </w:r>
      <w:r>
        <w:rPr>
          <w:rFonts w:hint="eastAsia" w:ascii="宋体" w:hAnsi="宋体" w:cs="宋体"/>
          <w:sz w:val="24"/>
          <w:highlight w:val="none"/>
        </w:rPr>
        <w:t xml:space="preserve">第五部分  磋商及评审</w:t>
      </w:r>
      <w:r>
        <w:rPr>
          <w:sz w:val="24"/>
          <w:highlight w:val="none"/>
        </w:rPr>
        <w:tab/>
      </w:r>
      <w:r>
        <w:rPr>
          <w:sz w:val="24"/>
          <w:highlight w:val="none"/>
        </w:rPr>
        <w:fldChar w:fldCharType="begin"/>
      </w:r>
      <w:r>
        <w:rPr>
          <w:sz w:val="24"/>
          <w:highlight w:val="none"/>
        </w:rPr>
        <w:instrText xml:space="preserve"> PAGEREF _Toc7242 \h </w:instrText>
      </w:r>
      <w:r>
        <w:rPr>
          <w:sz w:val="24"/>
          <w:highlight w:val="none"/>
        </w:rPr>
        <w:fldChar w:fldCharType="separate"/>
      </w:r>
      <w:r>
        <w:rPr>
          <w:sz w:val="24"/>
          <w:highlight w:val="none"/>
        </w:rPr>
        <w:t xml:space="preserve">41</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"_Toc43" </w:instrText>
      </w:r>
      <w:r>
        <w:rPr>
          <w:highlight w:val="none"/>
        </w:rPr>
        <w:fldChar w:fldCharType="separate"/>
      </w:r>
      <w:r>
        <w:rPr>
          <w:rFonts w:hint="eastAsia" w:ascii="宋体" w:hAnsi="宋体" w:cs="宋体"/>
          <w:sz w:val="24"/>
          <w:highlight w:val="none"/>
        </w:rPr>
        <w:t xml:space="preserve">第六部分  磋商响应文件（格式）</w:t>
      </w:r>
      <w:r>
        <w:rPr>
          <w:sz w:val="24"/>
          <w:highlight w:val="none"/>
        </w:rPr>
        <w:tab/>
      </w:r>
      <w:r>
        <w:rPr>
          <w:sz w:val="24"/>
          <w:highlight w:val="none"/>
        </w:rPr>
        <w:fldChar w:fldCharType="begin"/>
      </w:r>
      <w:r>
        <w:rPr>
          <w:sz w:val="24"/>
          <w:highlight w:val="none"/>
        </w:rPr>
        <w:instrText xml:space="preserve"> PAGEREF _Toc43 \h </w:instrText>
      </w:r>
      <w:r>
        <w:rPr>
          <w:sz w:val="24"/>
          <w:highlight w:val="none"/>
        </w:rPr>
        <w:fldChar w:fldCharType="separate"/>
      </w:r>
      <w:r>
        <w:rPr>
          <w:sz w:val="24"/>
          <w:highlight w:val="none"/>
        </w:rPr>
        <w:t xml:space="preserve">47</w:t>
      </w:r>
      <w:r>
        <w:rPr>
          <w:sz w:val="24"/>
          <w:highlight w:val="none"/>
        </w:rPr>
        <w:fldChar w:fldCharType="end"/>
      </w:r>
      <w:r>
        <w:rPr>
          <w:sz w:val="24"/>
          <w:highlight w:val="none"/>
        </w:rPr>
        <w:fldChar w:fldCharType="end"/>
      </w:r>
      <w:r/>
    </w:p>
    <w:p>
      <w:pPr>
        <w:spacing w:line="360" w:lineRule="auto"/>
        <w:rPr>
          <w:rFonts w:ascii="宋体" w:hAnsi="宋体"/>
          <w:bCs/>
          <w:color w:val="000000"/>
          <w:sz w:val="22"/>
          <w:szCs w:val="20"/>
          <w:highlight w:val="none"/>
        </w:rPr>
      </w:pPr>
      <w:r>
        <w:rPr>
          <w:rFonts w:hint="eastAsia" w:ascii="宋体" w:hAnsi="宋体" w:cs="宋体"/>
          <w:bCs/>
          <w:color w:val="000000"/>
          <w:sz w:val="24"/>
          <w:highlight w:val="none"/>
        </w:rPr>
        <w:fldChar w:fldCharType="end"/>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bookmarkEnd w:id="4"/>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r/>
    </w:p>
    <w:p>
      <w:pPr>
        <w:jc w:val="center"/>
        <w:spacing w:line="360" w:lineRule="auto"/>
        <w:rPr>
          <w:rStyle w:val="1706"/>
          <w:rFonts w:ascii="宋体" w:hAnsi="宋体" w:cs="宋体"/>
          <w:color w:val="000000"/>
          <w:sz w:val="28"/>
          <w:szCs w:val="28"/>
          <w:highlight w:val="none"/>
        </w:rPr>
        <w:sectPr>
          <w:headerReference w:type="default" r:id="rId11"/>
          <w:footerReference w:type="default" r:id="rId20"/>
          <w:footnotePr/>
          <w:endnotePr/>
          <w:type w:val="nextPage"/>
          <w:pgSz w:w="11907" w:h="16839" w:orient="portrait"/>
          <w:pgMar w:top="1440" w:right="1080" w:bottom="1440" w:left="1080" w:header="1111" w:footer="1229" w:gutter="0"/>
          <w:cols w:num="1" w:sep="0" w:space="1701" w:equalWidth="1"/>
          <w:docGrid w:linePitch="360"/>
        </w:sectPr>
      </w:pPr>
      <w:r>
        <w:rPr>
          <w:rFonts w:ascii="宋体" w:hAnsi="宋体" w:cs="宋体"/>
          <w:color w:val="000000"/>
          <w:sz w:val="28"/>
          <w:szCs w:val="28"/>
          <w:highlight w:val="none"/>
        </w:rPr>
      </w:r>
      <w:r/>
    </w:p>
    <w:p>
      <w:pPr>
        <w:jc w:val="center"/>
        <w:spacing w:line="360" w:lineRule="auto"/>
        <w:rPr>
          <w:rStyle w:val="1706"/>
          <w:rFonts w:ascii="宋体" w:hAnsi="宋体" w:cs="宋体"/>
          <w:color w:val="000000"/>
          <w:sz w:val="28"/>
          <w:szCs w:val="28"/>
          <w:highlight w:val="none"/>
        </w:rPr>
        <w:outlineLvl w:val="0"/>
      </w:pPr>
      <w:r/>
      <w:bookmarkStart w:id="8" w:name="_Toc4005"/>
      <w:r/>
      <w:bookmarkStart w:id="9" w:name="_Toc29296085"/>
      <w:r>
        <w:rPr>
          <w:rStyle w:val="1706"/>
          <w:rFonts w:hint="eastAsia" w:ascii="宋体" w:hAnsi="宋体" w:cs="宋体"/>
          <w:color w:val="000000"/>
          <w:sz w:val="28"/>
          <w:szCs w:val="28"/>
          <w:highlight w:val="none"/>
        </w:rPr>
        <w:t xml:space="preserve">第一部分  磋商邀请</w:t>
      </w:r>
      <w:bookmarkEnd w:id="5"/>
      <w:r/>
      <w:bookmarkEnd w:id="6"/>
      <w:r/>
      <w:bookmarkEnd w:id="7"/>
      <w:r/>
      <w:bookmarkEnd w:id="8"/>
      <w:r/>
      <w:bookmarkEnd w:id="9"/>
      <w:r/>
      <w:r/>
    </w:p>
    <w:p>
      <w:pPr>
        <w:ind w:firstLine="480"/>
        <w:spacing w:line="360" w:lineRule="auto"/>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10" w:name="_Toc100386044"/>
      <w:r/>
      <w:bookmarkStart w:id="11" w:name="_Toc20732978"/>
      <w:r/>
      <w:bookmarkStart w:id="12" w:name="_Toc92168010"/>
      <w:r/>
      <w:bookmarkStart w:id="13" w:name="_Toc98669341"/>
      <w:r/>
      <w:bookmarkStart w:id="14" w:name="_Toc98669699"/>
      <w:r>
        <w:rPr>
          <w:rFonts w:hint="eastAsia" w:ascii="宋体" w:hAnsi="宋体" w:cs="宋体"/>
          <w:color w:val="000000"/>
          <w:sz w:val="24"/>
          <w:highlight w:val="none"/>
        </w:rPr>
        <w:t xml:space="preserve">项目概况</w:t>
      </w:r>
      <w:r/>
    </w:p>
    <w:p>
      <w:pPr>
        <w:ind w:firstLine="480"/>
        <w:spacing w:line="360" w:lineRule="auto"/>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镇江市丹徒区电子政务外网运营服务项目</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“苏采云”电子交易平台http://jszfcg.jsczt.cn/</w:t>
      </w:r>
      <w:r>
        <w:rPr>
          <w:rFonts w:hint="eastAsia" w:ascii="宋体" w:hAnsi="宋体" w:cs="宋体"/>
          <w:color w:val="000000"/>
          <w:sz w:val="24"/>
          <w:highlight w:val="none"/>
        </w:rPr>
        <w:t xml:space="preserve">获取磋商文件，并于</w:t>
      </w:r>
      <w:r>
        <w:rPr>
          <w:rFonts w:hint="eastAsia" w:ascii="宋体" w:hAnsi="宋体"/>
          <w:color w:val="000000"/>
          <w:sz w:val="24"/>
          <w:highlight w:val="none"/>
          <w:u w:val="single"/>
        </w:rPr>
        <w:t xml:space="preserve">2026年10月</w:t>
      </w:r>
      <w:r>
        <w:rPr>
          <w:rFonts w:hint="eastAsia" w:ascii="宋体" w:hAnsi="宋体"/>
          <w:color w:val="000000"/>
          <w:sz w:val="24"/>
          <w:highlight w:val="none"/>
          <w:u w:val="single"/>
          <w:lang w:val="en-US" w:eastAsia="zh-CN"/>
        </w:rPr>
        <w:t xml:space="preserve">21</w:t>
      </w:r>
      <w:r>
        <w:rPr>
          <w:rFonts w:hint="eastAsia"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14</w:t>
      </w:r>
      <w:r>
        <w:rPr>
          <w:rFonts w:hint="eastAsia" w:ascii="宋体" w:hAnsi="宋体"/>
          <w:color w:val="000000"/>
          <w:sz w:val="24"/>
          <w:highlight w:val="none"/>
          <w:u w:val="single"/>
        </w:rPr>
        <w:t xml:space="preserve">点30分</w:t>
      </w:r>
      <w:r>
        <w:rPr>
          <w:rFonts w:hint="eastAsia" w:ascii="宋体" w:hAnsi="宋体"/>
          <w:bCs/>
          <w:color w:val="000000"/>
          <w:sz w:val="24"/>
          <w:highlight w:val="none"/>
        </w:rPr>
        <w:t xml:space="preserve">（北京时间）前按要求提交响应</w:t>
      </w:r>
      <w:r>
        <w:rPr>
          <w:rFonts w:ascii="宋体" w:hAnsi="宋体"/>
          <w:bCs/>
          <w:color w:val="000000"/>
          <w:sz w:val="24"/>
          <w:highlight w:val="none"/>
        </w:rPr>
        <w:t xml:space="preserve">文件</w:t>
      </w:r>
      <w:r>
        <w:rPr>
          <w:rFonts w:hint="eastAsia" w:ascii="宋体" w:hAnsi="宋体" w:cs="宋体"/>
          <w:color w:val="000000"/>
          <w:sz w:val="24"/>
          <w:highlight w:val="none"/>
        </w:rPr>
        <w:t xml:space="preserve">。</w:t>
      </w:r>
      <w:r/>
    </w:p>
    <w:p>
      <w:pPr>
        <w:jc w:val="left"/>
        <w:spacing w:before="240"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一、项目基本情况</w:t>
      </w:r>
      <w:r/>
    </w:p>
    <w:p>
      <w:pPr>
        <w:ind w:firstLine="480"/>
        <w:spacing w:line="360" w:lineRule="auto"/>
        <w:tabs>
          <w:tab w:val="left" w:pos="2310" w:leader="none"/>
        </w:tabs>
        <w:rPr>
          <w:rFonts w:ascii="宋体" w:hAnsi="宋体" w:cs="宋体"/>
          <w:color w:val="000000"/>
          <w:sz w:val="24"/>
          <w:highlight w:val="none"/>
        </w:rPr>
      </w:pPr>
      <w:r>
        <w:rPr>
          <w:rFonts w:hint="eastAsia" w:ascii="宋体" w:hAnsi="宋体" w:cs="宋体"/>
          <w:color w:val="000000"/>
          <w:sz w:val="24"/>
          <w:highlight w:val="none"/>
        </w:rPr>
        <w:t xml:space="preserve">项目编号：JSZC-321112-JSWX-C2026-0034</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项目名称：镇江市丹徒区电子政务外网运营服务项目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预算金额：276万元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最高限价：276万元，投标报价超过最高限价的视为无效报价。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采购需求：详细内容及要求见磋商文件第四部分采购需求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合同履行期限：详细内容及要求见磋商文件第四部分采购需求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本项目是否接受联合体：不接受。</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二、申请人的资格要求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1.3具有履行合同所必需的设备和专业技术能力[提供供应商相关信息一览表或资格承诺函（格式见第六部分）]；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1.5参加政府采购活动前三年内，在经营活动中没有重大违法记录[见磋商承诺函或提供资格承诺函（格式见第六部分）]；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1.6法律、行政法规规定的其他条件：无。</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2.1本项目支持和适用节能环保产品（财库【2019】9号）、（财库【2019】19号）、（财库【2019】18号）；支持中小微企业（财库【2022】19号）、（苏财购【2022】45号）、（工信部联企业【2011】</w:t>
      </w:r>
      <w:r>
        <w:rPr>
          <w:rFonts w:hint="eastAsia" w:ascii="宋体" w:hAnsi="宋体" w:cs="宋体"/>
          <w:sz w:val="24"/>
          <w:highlight w:val="none"/>
        </w:rPr>
        <w:t xml:space="preserve">300）等政策。本项目属于服务类项目，采购标的对应的行业为软件和信息技术服务业。如果本项目的服务全部由小型或微型企业或视同小型和微型企业承接的，对其价格给予10%的调减，用调减后价格计算价格分。中小企业划型标准请对照《关于印发中小企业划型标准规定的通知》（工信部联企业〔2011〕300号）。</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1512"/>
        <w:spacing w:line="360"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2.4既有本国产品又有非本国产品参与竞争的，依法对本国产品给予价格评审优惠，对本国产品的报价给予20%的价格扣除，用扣除后的价格参与评审。当采</w:t>
      </w:r>
      <w:r>
        <w:rPr>
          <w:rFonts w:hint="eastAsia" w:ascii="宋体" w:hAnsi="宋体" w:eastAsia="宋体" w:cs="宋体"/>
          <w:sz w:val="24"/>
          <w:szCs w:val="24"/>
          <w:highlight w:val="none"/>
        </w:rPr>
        <w:t xml:space="preserve">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60" w:lineRule="auto"/>
        <w:rPr>
          <w:rFonts w:ascii="宋体" w:hAnsi="宋体" w:cs="宋体"/>
          <w:sz w:val="24"/>
          <w:highlight w:val="none"/>
        </w:rPr>
      </w:pPr>
      <w:r>
        <w:rPr>
          <w:rFonts w:hint="eastAsia" w:ascii="宋体" w:hAnsi="宋体" w:cs="宋体"/>
          <w:sz w:val="24"/>
          <w:highlight w:val="none"/>
        </w:rPr>
        <w:t xml:space="preserve">3、本项目的特定资格要求：</w:t>
      </w:r>
      <w:r/>
    </w:p>
    <w:p>
      <w:pPr>
        <w:pStyle w:val="15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1）供应商若具备独立法人资格，提供工信部颁发的《基础电信业务经营许可证》或省级广电部门颁发的开展增值业务经营许可；</w:t>
      </w:r>
      <w:r/>
    </w:p>
    <w:p>
      <w:pPr>
        <w:pStyle w:val="15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2）供应商若为经独立法人授权经营的省、市、区分支机构（营业执照在有效期内），提供总公司《基础电信业务经营许可证》（或省级广电部门颁发的开展增值业务经营许可</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及授权书。</w:t>
      </w:r>
      <w:r/>
    </w:p>
    <w:p>
      <w:pPr>
        <w:pStyle w:val="15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具有同一《基础电信业务经营许可证》或省级广电部门颁发的开展增值业务经营许可的独立法人或其分支机构，只允许一家参与本项目的采购活动。</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三、获取磋商文件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获取时间：自磋商文件公告发布之日起5个工作日。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获取地点：江苏政府采购网-苏采云交易平台</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获取方式：操作指南“苏采云”系统用户注册--获取“CA数字证书”--CA绑定与登录--网上报名--下载磋商文件(后缀名为“.kedt”)</w:t>
      </w:r>
      <w:r/>
    </w:p>
    <w:p>
      <w:pPr>
        <w:pStyle w:val="1732"/>
        <w:ind w:firstLine="480"/>
        <w:jc w:val="both"/>
        <w:spacing w:before="0" w:beforeAutospacing="0" w:after="0" w:afterAutospacing="0" w:line="360" w:lineRule="auto"/>
        <w:shd w:val="clear" w:color="auto" w:fill="ffffff"/>
        <w:rPr>
          <w:rFonts w:cs="宋体"/>
          <w:highlight w:val="none"/>
        </w:rPr>
      </w:pPr>
      <w:r>
        <w:rPr>
          <w:rFonts w:hint="eastAsia" w:cs="宋体"/>
          <w:highlight w:val="none"/>
        </w:rPr>
        <w:t xml:space="preserve">磋商文件售价：免费</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四、提交磋商响应文件截止时间、开标时间和地点</w:t>
      </w:r>
      <w:r/>
    </w:p>
    <w:p>
      <w:pPr>
        <w:ind w:firstLine="480"/>
        <w:spacing w:line="360" w:lineRule="auto"/>
        <w:rPr>
          <w:rFonts w:ascii="宋体" w:hAnsi="宋体" w:cs="宋体"/>
          <w:color w:val="000000"/>
          <w:sz w:val="24"/>
          <w:highlight w:val="none"/>
        </w:rPr>
      </w:pPr>
      <w:r/>
      <w:bookmarkStart w:id="15" w:name="EB76ff7bd3b9764d5d98ae568815db1ef0"/>
      <w:r>
        <w:rPr>
          <w:rFonts w:hint="eastAsia" w:ascii="宋体" w:hAnsi="宋体" w:cs="宋体"/>
          <w:bCs/>
          <w:color w:val="000000"/>
          <w:sz w:val="24"/>
          <w:highlight w:val="none"/>
        </w:rPr>
        <w:t xml:space="preserve">提交截止时间及开标时间：</w:t>
      </w:r>
      <w:r>
        <w:rPr>
          <w:rFonts w:hint="eastAsia" w:ascii="宋体" w:hAnsi="宋体" w:cs="宋体"/>
          <w:bCs/>
          <w:color w:val="000000"/>
          <w:sz w:val="24"/>
          <w:highlight w:val="none"/>
        </w:rPr>
        <w:t xml:space="preserve">2026-10-</w:t>
      </w:r>
      <w:r>
        <w:rPr>
          <w:rFonts w:hint="eastAsia" w:ascii="宋体" w:hAnsi="宋体" w:cs="宋体"/>
          <w:bCs/>
          <w:color w:val="000000"/>
          <w:sz w:val="24"/>
          <w:highlight w:val="none"/>
          <w:lang w:val="en-US" w:eastAsia="zh-CN"/>
        </w:rPr>
        <w:t xml:space="preserve">21</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14</w:t>
      </w:r>
      <w:r>
        <w:rPr>
          <w:rFonts w:hint="eastAsia" w:ascii="宋体" w:hAnsi="宋体" w:cs="宋体"/>
          <w:bCs/>
          <w:color w:val="000000"/>
          <w:sz w:val="24"/>
          <w:highlight w:val="none"/>
        </w:rPr>
        <w:t xml:space="preserve">:30</w:t>
      </w:r>
      <w:bookmarkEnd w:id="15"/>
      <w:r>
        <w:rPr>
          <w:rFonts w:hint="eastAsia" w:ascii="宋体" w:hAnsi="宋体"/>
          <w:color w:val="000000"/>
          <w:sz w:val="24"/>
          <w:highlight w:val="none"/>
        </w:rPr>
        <w:t xml:space="preserve">（北京时间）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开标地点：网上开标大厅</w:t>
      </w:r>
      <w:r/>
    </w:p>
    <w:p>
      <w:pPr>
        <w:ind w:firstLine="480"/>
        <w:jc w:val="left"/>
        <w:spacing w:line="360" w:lineRule="auto"/>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注意事项：</w:t>
      </w:r>
      <w:r/>
    </w:p>
    <w:p>
      <w:pPr>
        <w:ind w:firstLine="480"/>
        <w:jc w:val="left"/>
        <w:spacing w:line="360" w:lineRule="auto"/>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1）本项目通过苏采云电子交易平台进行采购，供应商须通过苏采云发布的最新响应文件制作软件在线制作并提交响应文件。截至响应截止时间，电子交易平台投标通道将关闭，供应商未完成电子响应文件有效提交的，其响应将被拒绝。</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bCs/>
          <w:color w:val="000000"/>
          <w:sz w:val="24"/>
          <w:highlight w:val="none"/>
        </w:rPr>
        <w:t xml:space="preserve">（2）本项目采用网上开标方式，请供应商事先做好电脑环境准备，自行选择互联网连接畅通的场地，在规定的开标时间登录网上开标大厅进行响应文件解密。</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五、公告期限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六、其他补充事宜</w:t>
      </w:r>
      <w:r/>
    </w:p>
    <w:p>
      <w:pPr>
        <w:pStyle w:val="1760"/>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午13:30-17:30期间致电技术支持热线咨询，联系方式：0519-86722803。</w:t>
      </w:r>
      <w:r/>
    </w:p>
    <w:p>
      <w:pPr>
        <w:pStyle w:val="1760"/>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s="宋体"/>
          <w:color w:val="000000"/>
          <w:sz w:val="24"/>
          <w:szCs w:val="24"/>
          <w:highlight w:val="none"/>
        </w:rPr>
        <w:t xml:space="preserve">2、供应商投标需提前办理数字认证证书，镇江</w:t>
      </w:r>
      <w:r>
        <w:rPr>
          <w:rFonts w:hint="eastAsia" w:ascii="宋体" w:hAnsi="宋体"/>
          <w:color w:val="000000"/>
          <w:sz w:val="24"/>
          <w:szCs w:val="24"/>
          <w:highlight w:val="none"/>
        </w:rPr>
        <w:t xml:space="preserve">CA数字证书的办理：</w:t>
      </w:r>
      <w:r>
        <w:rPr>
          <w:rFonts w:hint="eastAsia" w:ascii="宋体" w:hAnsi="宋体" w:cs="宋体"/>
          <w:color w:val="000000"/>
          <w:sz w:val="24"/>
          <w:szCs w:val="24"/>
          <w:highlight w:val="none"/>
        </w:rPr>
        <w:t xml:space="preserve">镇江地区意源（方正）CA办理方式：镇江市润州区冠城路8号工人大厦7楼公共资源交易中心大厅CA窗口。</w:t>
      </w:r>
      <w:r>
        <w:rPr>
          <w:rFonts w:hint="eastAsia" w:ascii="宋体" w:hAnsi="宋体"/>
          <w:color w:val="000000"/>
          <w:sz w:val="24"/>
          <w:szCs w:val="24"/>
          <w:highlight w:val="none"/>
        </w:rPr>
        <w:t xml:space="preserve">工作日办公时间：9:00-12:00、13:30-17:30。联系电话：0511-88968012。</w:t>
      </w:r>
      <w:r/>
    </w:p>
    <w:p>
      <w:pPr>
        <w:pStyle w:val="1760"/>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4、请各供应商及时关注和查看“江苏政府采购网”是否有更正公告。因供应商自身原因未能及时获取的，一切后果由供应商自行承担。</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七、凡对本次采购提出询问，请按以下方式联系。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1、采购人信息</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名    称：镇江市丹徒区人民政府办公室</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地    址：江苏省镇江市丹徒区府前路1号</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联 系 人：袁主任</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联系方式：0511-88991070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    称：江苏巍信项目管理有限公司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址：江苏省镇江市润州区九华山路江苏科技大学南校区二号楼四楼</w:t>
      </w:r>
      <w:r/>
    </w:p>
    <w:p>
      <w:pPr>
        <w:ind w:firstLine="500"/>
        <w:spacing w:line="360" w:lineRule="auto"/>
        <w:rPr>
          <w:rFonts w:ascii="宋体" w:hAnsi="宋体" w:cs="宋体"/>
          <w:color w:val="000000"/>
          <w:sz w:val="24"/>
          <w:highlight w:val="none"/>
        </w:rPr>
      </w:pPr>
      <w:r>
        <w:rPr>
          <w:rFonts w:hint="eastAsia" w:ascii="宋体" w:hAnsi="宋体" w:cs="宋体"/>
          <w:color w:val="000000"/>
          <w:spacing w:val="60"/>
          <w:sz w:val="24"/>
          <w:highlight w:val="none"/>
        </w:rPr>
        <w:t xml:space="preserve">联系</w:t>
      </w:r>
      <w:r>
        <w:rPr>
          <w:rFonts w:hint="eastAsia" w:ascii="宋体" w:hAnsi="宋体" w:cs="宋体"/>
          <w:color w:val="000000"/>
          <w:sz w:val="24"/>
          <w:highlight w:val="none"/>
        </w:rPr>
        <w:t xml:space="preserve">人：刘工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    话：0511-80836003</w:t>
      </w:r>
      <w:r/>
    </w:p>
    <w:p>
      <w:pPr>
        <w:pStyle w:val="1729"/>
        <w:ind w:left="0"/>
        <w:jc w:val="center"/>
        <w:spacing w:line="360" w:lineRule="auto"/>
        <w:tabs>
          <w:tab w:val="right" w:pos="9061" w:leader="dot"/>
        </w:tabs>
        <w:rPr>
          <w:rStyle w:val="1706"/>
          <w:rFonts w:ascii="宋体" w:hAnsi="宋体" w:cs="宋体"/>
          <w:color w:val="000000"/>
          <w:sz w:val="28"/>
          <w:szCs w:val="28"/>
          <w:highlight w:val="none"/>
        </w:rPr>
        <w:outlineLvl w:val="0"/>
      </w:pPr>
      <w:r>
        <w:rPr>
          <w:rFonts w:ascii="宋体" w:hAnsi="宋体"/>
          <w:color w:val="000000"/>
          <w:sz w:val="20"/>
          <w:szCs w:val="22"/>
          <w:highlight w:val="none"/>
        </w:rPr>
        <w:br w:type="page" w:clear="all"/>
      </w:r>
      <w:bookmarkStart w:id="16" w:name="_Toc105940807"/>
      <w:r/>
      <w:bookmarkStart w:id="17" w:name="_Toc605545432"/>
      <w:r/>
      <w:bookmarkStart w:id="18" w:name="_Toc13833"/>
      <w:r>
        <w:rPr>
          <w:rStyle w:val="1706"/>
          <w:rFonts w:hint="eastAsia" w:ascii="宋体" w:hAnsi="宋体" w:cs="宋体"/>
          <w:color w:val="000000"/>
          <w:sz w:val="28"/>
          <w:szCs w:val="28"/>
          <w:highlight w:val="none"/>
        </w:rPr>
        <w:t xml:space="preserve">第二部分  供应商须知</w:t>
      </w:r>
      <w:bookmarkEnd w:id="16"/>
      <w:r/>
      <w:bookmarkEnd w:id="17"/>
      <w:r/>
      <w:bookmarkEnd w:id="18"/>
      <w:r/>
      <w:r/>
    </w:p>
    <w:p>
      <w:pPr>
        <w:pStyle w:val="1700"/>
        <w:jc w:val="center"/>
        <w:keepLines w:val="0"/>
        <w:keepNext w:val="0"/>
        <w:spacing w:before="0" w:after="0" w:line="360" w:lineRule="auto"/>
        <w:shd w:val="clear" w:color="auto" w:fill="ffffff"/>
        <w:rPr>
          <w:rFonts w:ascii="宋体" w:hAnsi="宋体" w:cs="宋体"/>
          <w:color w:val="000000"/>
          <w:sz w:val="28"/>
          <w:szCs w:val="28"/>
          <w:highlight w:val="none"/>
        </w:rPr>
      </w:pPr>
      <w:r/>
      <w:bookmarkStart w:id="19" w:name="_Toc92168000"/>
      <w:r/>
      <w:bookmarkStart w:id="20" w:name="_Toc105940890"/>
      <w:r/>
      <w:bookmarkStart w:id="21" w:name="_Toc105940808"/>
      <w:r/>
      <w:bookmarkStart w:id="22" w:name="_Toc100386034"/>
      <w:r>
        <w:rPr>
          <w:rFonts w:hint="eastAsia" w:ascii="宋体" w:hAnsi="宋体" w:cs="宋体"/>
          <w:color w:val="000000"/>
          <w:sz w:val="28"/>
          <w:szCs w:val="28"/>
          <w:highlight w:val="none"/>
        </w:rPr>
        <w:t xml:space="preserve">前附表</w:t>
      </w:r>
      <w:r/>
    </w:p>
    <w:tbl>
      <w:tblPr>
        <w:tblStyle w:val="1476"/>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99"/>
        <w:gridCol w:w="6859"/>
      </w:tblGrid>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事项</w:t>
            </w:r>
            <w:r/>
          </w:p>
        </w:tc>
        <w:tc>
          <w:tcPr>
            <w:tcW w:w="6859" w:type="dxa"/>
            <w:vAlign w:val="center"/>
            <w:textDirection w:val="lrTb"/>
            <w:noWrap w:val="false"/>
          </w:tcPr>
          <w:p>
            <w:pPr>
              <w:pStyle w:val="1699"/>
              <w:keepLines w:val="0"/>
              <w:keepNext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本项目规定</w:t>
            </w:r>
            <w:r/>
          </w:p>
        </w:tc>
      </w:tr>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报价要求</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本次投标报价的币种为人民币。</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供应商应按磋商文件所提供的各报价表格式报价。</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供应商应对本项目报出最具有竞争力的价格，应包括本次招标要求提供的服务已支付或将支付的所有费用（含税费）。</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最低投标报价不能作为中标的保证。</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中标价即为合同签约价。</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如出现报价前后不一致的，将按磋商文件第五部分“评标办法和标准”第5项规定进行修正。</w:t>
            </w:r>
            <w:r/>
          </w:p>
          <w:p>
            <w:pPr>
              <w:pStyle w:val="1512"/>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按照财库〔2026〕2号文要求，评审过程中出现下列情形之一的，评标委员会应当启动异常低价投标（响应）审查程序： </w:t>
            </w:r>
            <w:r/>
          </w:p>
          <w:p>
            <w:pPr>
              <w:pStyle w:val="1512"/>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1.投标（响应）报价低于全部通过符合性审查供应商投标（响应）报价平均值65%的，即投标（响应）报价&lt;全部通过符合性审查供应商投标（响应）报价平均值×65%；</w:t>
            </w:r>
            <w:r/>
          </w:p>
          <w:p>
            <w:pPr>
              <w:pStyle w:val="1512"/>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2.投标（响应）报价低于通过符合性审查的次低报价供应商投标（响应）报价65%的，即投标（响应）报价&lt;通过符合性审查的次低报价供应商投标（响应）报价×65%；</w:t>
            </w:r>
            <w:r/>
          </w:p>
          <w:p>
            <w:pPr>
              <w:pStyle w:val="1512"/>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3.投标（响应）报价低于采购项目最高限价65%的，即投标（响应）报价&lt;采购项目最高限价×65%；</w:t>
            </w:r>
            <w:r/>
          </w:p>
          <w:p>
            <w:pPr>
              <w:pStyle w:val="1512"/>
              <w:ind w:firstLine="0"/>
              <w:rPr>
                <w:sz w:val="24"/>
                <w:szCs w:val="24"/>
                <w:highlight w:val="none"/>
              </w:rPr>
            </w:pPr>
            <w:r>
              <w:rPr>
                <w:rFonts w:hint="eastAsia" w:ascii="宋体" w:hAnsi="宋体" w:eastAsia="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jc w:val="center"/>
          <w:trHeight w:val="746"/>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转包及分包</w:t>
            </w:r>
            <w:r/>
          </w:p>
        </w:tc>
        <w:tc>
          <w:tcPr>
            <w:tcW w:w="6859" w:type="dxa"/>
            <w:vAlign w:val="center"/>
            <w:textDirection w:val="lrTb"/>
            <w:noWrap w:val="false"/>
          </w:tcPr>
          <w:p>
            <w:pPr>
              <w:pStyle w:val="1478"/>
              <w:ind w:firstLine="0"/>
              <w:rPr>
                <w:rFonts w:ascii="宋体" w:hAnsi="宋体" w:cs="宋体"/>
                <w:color w:val="000000"/>
                <w:sz w:val="24"/>
                <w:highlight w:val="none"/>
              </w:rPr>
            </w:pPr>
            <w:r>
              <w:rPr>
                <w:rFonts w:hint="eastAsia" w:ascii="宋体" w:hAnsi="宋体" w:cs="宋体"/>
                <w:color w:val="000000"/>
                <w:sz w:val="24"/>
                <w:highlight w:val="none"/>
              </w:rPr>
              <w:t xml:space="preserve">项目依法不得转包</w:t>
            </w:r>
            <w:r/>
          </w:p>
          <w:p>
            <w:pPr>
              <w:pStyle w:val="1478"/>
              <w:ind w:firstLine="0"/>
              <w:rPr>
                <w:rFonts w:ascii="宋体" w:hAnsi="宋体" w:cs="宋体"/>
                <w:color w:val="000000"/>
                <w:sz w:val="24"/>
                <w:highlight w:val="none"/>
              </w:rPr>
            </w:pPr>
            <w:r>
              <w:rPr>
                <w:rFonts w:ascii="Wingdings 2" w:hAnsi="Wingdings 2" w:eastAsia="Wingdings 2" w:cs="Wingdings 2"/>
                <w:color w:val="000000"/>
                <w:sz w:val="24"/>
                <w:highlight w:val="none"/>
              </w:rPr>
              <w:t xml:space="preserve">R</w:t>
            </w:r>
            <w:r>
              <w:rPr>
                <w:rFonts w:hint="eastAsia" w:ascii="宋体" w:hAnsi="宋体" w:cs="宋体"/>
                <w:color w:val="000000"/>
                <w:sz w:val="24"/>
                <w:highlight w:val="none"/>
              </w:rPr>
              <w:t xml:space="preserve">A本项目不同意分包。</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color w:val="000000"/>
                <w:sz w:val="24"/>
                <w:szCs w:val="24"/>
                <w:highlight w:val="none"/>
              </w:rPr>
              <w:t xml:space="preserve">£</w:t>
            </w:r>
            <w:r>
              <w:rPr>
                <w:rFonts w:hint="eastAsia" w:ascii="宋体" w:hAnsi="宋体" w:eastAsia="宋体" w:cs="宋体"/>
                <w:b w:val="0"/>
                <w:color w:val="000000"/>
                <w:sz w:val="24"/>
                <w:szCs w:val="24"/>
                <w:highlight w:val="none"/>
              </w:rPr>
              <w:t xml:space="preserve">B同意将非主体、非关键性的</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工作分包。投标人应当在投标文件中载明分包承担主体，分包承担主体应当具备相应资质条件且不得再次分包。</w:t>
            </w:r>
            <w:r>
              <w:rPr>
                <w:rFonts w:hint="eastAsia" w:ascii="宋体" w:hAnsi="宋体" w:eastAsia="宋体" w:cs="宋体"/>
                <w:b w:val="0"/>
                <w:color w:val="000000"/>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开标前答疑会</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A不组织</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B组织</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szCs w:val="24"/>
                <w:highlight w:val="none"/>
                <w:u w:val="single"/>
              </w:rPr>
              <w:t xml:space="preserve">           </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szCs w:val="24"/>
                <w:highlight w:val="none"/>
                <w:u w:val="single"/>
              </w:rPr>
              <w:t xml:space="preserve">           </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p>
        </w:tc>
      </w:tr>
      <w:tr>
        <w:trPr>
          <w:jc w:val="center"/>
          <w:trHeight w:val="1366"/>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现场踏勘</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A不统一组织</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B统一组织</w:t>
            </w:r>
            <w:r/>
          </w:p>
          <w:p>
            <w:pPr>
              <w:pStyle w:val="1699"/>
              <w:jc w:val="both"/>
              <w:keepLines w:val="0"/>
              <w:keepNext w:val="0"/>
              <w:spacing w:before="0" w:after="0" w:line="240" w:lineRule="auto"/>
              <w:rPr>
                <w:rFonts w:ascii="宋体" w:hAnsi="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szCs w:val="24"/>
                <w:highlight w:val="none"/>
                <w:u w:val="single"/>
              </w:rPr>
              <w:t xml:space="preserve">       </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p>
        </w:tc>
      </w:tr>
      <w:tr>
        <w:trPr>
          <w:jc w:val="center"/>
          <w:trHeight w:val="551"/>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演示</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无</w:t>
            </w:r>
            <w:r/>
          </w:p>
        </w:tc>
      </w:tr>
      <w:tr>
        <w:trPr>
          <w:jc w:val="center"/>
          <w:trHeight w:val="435"/>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样品</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不要求提供。</w:t>
            </w:r>
            <w:r/>
          </w:p>
        </w:tc>
      </w:tr>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是否允许采购进口产品</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本项目不允许采购进口产品。</w:t>
            </w:r>
            <w:r/>
          </w:p>
        </w:tc>
      </w:tr>
      <w:tr>
        <w:trPr>
          <w:jc w:val="center"/>
          <w:trHeight w:val="90"/>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核心产品</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A货物类。</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B服务类。</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本项目核心产品为：/ 。</w:t>
            </w:r>
            <w:r/>
          </w:p>
        </w:tc>
      </w:tr>
      <w:tr>
        <w:trPr>
          <w:jc w:val="center"/>
          <w:trHeight w:val="90"/>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采购标的对应的中小企业划分标准所属行业</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（1）标的：</w:t>
            </w:r>
            <w:r>
              <w:rPr>
                <w:rFonts w:hint="eastAsia" w:ascii="宋体" w:hAnsi="宋体" w:eastAsia="宋体" w:cs="宋体"/>
                <w:b w:val="0"/>
                <w:bCs/>
                <w:color w:val="000000"/>
                <w:sz w:val="24"/>
                <w:szCs w:val="24"/>
                <w:highlight w:val="none"/>
                <w:u w:val="single"/>
              </w:rPr>
              <w:t xml:space="preserve">镇江市丹徒区电子政务外网运营服务项目</w:t>
            </w:r>
            <w:r>
              <w:rPr>
                <w:rFonts w:hint="eastAsia" w:ascii="宋体" w:hAnsi="宋体" w:eastAsia="宋体" w:cs="宋体"/>
                <w:b w:val="0"/>
                <w:bCs/>
                <w:color w:val="000000"/>
                <w:sz w:val="24"/>
                <w:szCs w:val="24"/>
                <w:highlight w:val="none"/>
              </w:rPr>
              <w:t xml:space="preserve">，属于</w:t>
            </w:r>
            <w:r>
              <w:rPr>
                <w:rFonts w:hint="eastAsia" w:ascii="宋体" w:hAnsi="宋体" w:eastAsia="宋体" w:cs="宋体"/>
                <w:b w:val="0"/>
                <w:bCs/>
                <w:color w:val="000000"/>
                <w:sz w:val="24"/>
                <w:szCs w:val="24"/>
                <w:highlight w:val="none"/>
                <w:u w:val="single"/>
              </w:rPr>
              <w:t xml:space="preserve">软件和信息技术服务业</w:t>
            </w:r>
            <w:r>
              <w:rPr>
                <w:rFonts w:hint="eastAsia" w:ascii="宋体" w:hAnsi="宋体" w:eastAsia="宋体" w:cs="宋体"/>
                <w:b w:val="0"/>
                <w:bCs/>
                <w:color w:val="000000"/>
                <w:sz w:val="24"/>
                <w:szCs w:val="24"/>
                <w:highlight w:val="none"/>
              </w:rPr>
              <w:t xml:space="preserve">。</w:t>
            </w:r>
            <w:r/>
          </w:p>
        </w:tc>
      </w:tr>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节能产品、环境标志产品</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中小企业信用融资</w:t>
            </w:r>
            <w:r/>
          </w:p>
        </w:tc>
        <w:tc>
          <w:tcPr>
            <w:tcW w:w="6859" w:type="dxa"/>
            <w:vAlign w:val="center"/>
            <w:textDirection w:val="lrTb"/>
            <w:noWrap w:val="false"/>
          </w:tcPr>
          <w:p>
            <w:pPr>
              <w:pStyle w:val="1699"/>
              <w:jc w:val="left"/>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23" w:name="_Hlk136445673"/>
            <w:r>
              <w:rPr>
                <w:rFonts w:hint="eastAsia" w:ascii="宋体" w:hAnsi="宋体" w:eastAsia="宋体" w:cs="宋体"/>
                <w:b w:val="0"/>
                <w:bCs/>
                <w:color w:val="000000"/>
                <w:sz w:val="24"/>
                <w:szCs w:val="24"/>
                <w:highlight w:val="none"/>
              </w:rPr>
              <w:t xml:space="preserve">镇江市财政局和中国人民银行镇江市中心支行联合印发《关于转发〈关于深入推进政府采购线上合同信用融资工作的通知〉的通知》</w:t>
            </w:r>
            <w:bookmarkEnd w:id="23"/>
            <w:r>
              <w:rPr>
                <w:rFonts w:hint="eastAsia" w:ascii="宋体" w:hAnsi="宋体" w:eastAsia="宋体" w:cs="宋体"/>
                <w:b w:val="0"/>
                <w:bCs/>
                <w:color w:val="000000"/>
                <w:sz w:val="24"/>
                <w:szCs w:val="24"/>
                <w:highlight w:val="none"/>
              </w:rPr>
              <w:t xml:space="preserve">，</w:t>
            </w:r>
            <w:bookmarkStart w:id="24" w:name="_Hlk136444446"/>
            <w:r>
              <w:rPr>
                <w:rFonts w:hint="eastAsia" w:ascii="宋体" w:hAnsi="宋体" w:eastAsia="宋体" w:cs="宋体"/>
                <w:b w:val="0"/>
                <w:bCs/>
                <w:color w:val="000000"/>
                <w:sz w:val="24"/>
                <w:szCs w:val="24"/>
                <w:highlight w:val="none"/>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4"/>
            <w:r>
              <w:rPr>
                <w:rFonts w:hint="eastAsia" w:ascii="宋体" w:hAnsi="宋体" w:eastAsia="宋体" w:cs="宋体"/>
                <w:b w:val="0"/>
                <w:bCs/>
                <w:color w:val="000000"/>
                <w:sz w:val="24"/>
                <w:szCs w:val="24"/>
                <w:highlight w:val="none"/>
              </w:rPr>
              <w:t xml:space="preserve">办理流程详见江苏政府采购网“政采贷”栏目，网址</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ascii="宋体" w:hAnsi="宋体" w:eastAsia="宋体" w:cs="宋体"/>
                <w:b w:val="0"/>
                <w:bCs/>
                <w:color w:val="000000"/>
                <w:sz w:val="24"/>
                <w:szCs w:val="24"/>
                <w:highlight w:val="none"/>
              </w:rPr>
              <w:t xml:space="preserve">http://www.ccgp-jiangsu.gov.cn/jiangsu/paying.html</w:t>
            </w:r>
            <w:r>
              <w:rPr>
                <w:rFonts w:hint="eastAsia" w:ascii="宋体" w:hAnsi="宋体" w:eastAsia="宋体" w:cs="宋体"/>
                <w:b w:val="0"/>
                <w:bCs/>
                <w:color w:val="000000"/>
                <w:sz w:val="24"/>
                <w:szCs w:val="24"/>
                <w:highlight w:val="none"/>
              </w:rPr>
              <w:fldChar w:fldCharType="end"/>
            </w:r>
            <w:r>
              <w:rPr>
                <w:rFonts w:hint="eastAsia" w:ascii="宋体" w:hAnsi="宋体" w:eastAsia="宋体" w:cs="宋体"/>
                <w:b w:val="0"/>
                <w:bCs/>
                <w:color w:val="000000"/>
                <w:sz w:val="24"/>
                <w:szCs w:val="24"/>
                <w:highlight w:val="none"/>
              </w:rPr>
              <w:t xml:space="preserve">。</w:t>
            </w:r>
            <w:r/>
          </w:p>
          <w:p>
            <w:pPr>
              <w:pStyle w:val="1699"/>
              <w:jc w:val="left"/>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咨询电话：镇江市财政局政府采购处0511-80909958。</w:t>
            </w:r>
            <w:r/>
          </w:p>
        </w:tc>
      </w:tr>
      <w:tr>
        <w:trPr>
          <w:jc w:val="center"/>
          <w:trHeight w:val="472"/>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特别说明</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无。</w:t>
            </w:r>
            <w:r/>
          </w:p>
        </w:tc>
      </w:tr>
    </w:tbl>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一、总  则</w:t>
      </w:r>
      <w:bookmarkEnd w:id="19"/>
      <w:r/>
      <w:bookmarkEnd w:id="20"/>
      <w:r/>
      <w:bookmarkEnd w:id="21"/>
      <w:r/>
      <w:bookmarkEnd w:id="22"/>
      <w:r/>
      <w:r/>
    </w:p>
    <w:p>
      <w:pPr>
        <w:pStyle w:val="1700"/>
        <w:jc w:val="left"/>
        <w:keepLines w:val="0"/>
        <w:keepNext w:val="0"/>
        <w:spacing w:before="0" w:after="0" w:line="360" w:lineRule="auto"/>
        <w:rPr>
          <w:rFonts w:ascii="宋体" w:hAnsi="宋体" w:cs="宋体"/>
          <w:color w:val="000000"/>
          <w:sz w:val="24"/>
          <w:szCs w:val="24"/>
          <w:highlight w:val="none"/>
        </w:rPr>
      </w:pPr>
      <w:r/>
      <w:bookmarkStart w:id="25" w:name="_Toc105940809"/>
      <w:r/>
      <w:bookmarkStart w:id="26" w:name="_Toc92168001"/>
      <w:r/>
      <w:bookmarkStart w:id="27" w:name="_Toc105940891"/>
      <w:r/>
      <w:bookmarkStart w:id="28" w:name="_Toc100386035"/>
      <w:r>
        <w:rPr>
          <w:rFonts w:hint="eastAsia" w:ascii="宋体" w:hAnsi="宋体" w:cs="宋体"/>
          <w:color w:val="000000"/>
          <w:sz w:val="24"/>
          <w:szCs w:val="24"/>
          <w:highlight w:val="none"/>
        </w:rPr>
        <w:t xml:space="preserve">1、适用范围</w:t>
      </w:r>
      <w:bookmarkEnd w:id="25"/>
      <w:r/>
      <w:bookmarkEnd w:id="26"/>
      <w:r/>
      <w:bookmarkEnd w:id="27"/>
      <w:r/>
      <w:bookmarkEnd w:id="28"/>
      <w:r/>
      <w:r/>
    </w:p>
    <w:p>
      <w:pPr>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1.1本磋商文件仅适用于</w:t>
      </w:r>
      <w:r>
        <w:rPr>
          <w:rFonts w:hint="eastAsia" w:ascii="宋体" w:hAnsi="宋体" w:cs="宋体"/>
          <w:b/>
          <w:bCs/>
          <w:color w:val="000000"/>
          <w:sz w:val="24"/>
          <w:highlight w:val="none"/>
          <w:u w:val="single"/>
        </w:rPr>
        <w:t xml:space="preserve">镇江市丹徒区电子政务外网运营服务项目</w:t>
      </w:r>
      <w:r>
        <w:rPr>
          <w:rFonts w:hint="eastAsia" w:ascii="宋体" w:hAnsi="宋体" w:cs="宋体"/>
          <w:color w:val="000000"/>
          <w:sz w:val="24"/>
          <w:highlight w:val="none"/>
        </w:rPr>
        <w:t xml:space="preserve">。</w:t>
      </w:r>
      <w:r/>
    </w:p>
    <w:p>
      <w:pPr>
        <w:pStyle w:val="1700"/>
        <w:jc w:val="left"/>
        <w:keepLines w:val="0"/>
        <w:keepNext w:val="0"/>
        <w:spacing w:before="0" w:after="0" w:line="360" w:lineRule="auto"/>
        <w:rPr>
          <w:rFonts w:ascii="宋体" w:hAnsi="宋体" w:cs="宋体"/>
          <w:color w:val="000000"/>
          <w:sz w:val="24"/>
          <w:szCs w:val="24"/>
          <w:highlight w:val="none"/>
        </w:rPr>
      </w:pPr>
      <w:r/>
      <w:bookmarkStart w:id="29" w:name="_Toc100386036"/>
      <w:r/>
      <w:bookmarkStart w:id="30" w:name="_Toc92168002"/>
      <w:r>
        <w:rPr>
          <w:rFonts w:hint="eastAsia" w:ascii="宋体" w:hAnsi="宋体" w:cs="宋体"/>
          <w:color w:val="000000"/>
          <w:sz w:val="24"/>
          <w:szCs w:val="24"/>
          <w:highlight w:val="none"/>
        </w:rPr>
        <w:t xml:space="preserve">2、定义</w:t>
      </w:r>
      <w:bookmarkEnd w:id="29"/>
      <w:r/>
      <w:bookmarkEnd w:id="30"/>
      <w:r/>
      <w:r/>
    </w:p>
    <w:p>
      <w:pPr>
        <w:ind w:firstLine="480"/>
        <w:spacing w:line="360" w:lineRule="auto"/>
        <w:rPr>
          <w:rFonts w:ascii="宋体" w:hAnsi="宋体"/>
          <w:b/>
          <w:color w:val="000000"/>
          <w:sz w:val="24"/>
          <w:highlight w:val="none"/>
        </w:rPr>
      </w:pPr>
      <w:r>
        <w:rPr>
          <w:rFonts w:hint="eastAsia" w:ascii="宋体" w:hAnsi="宋体" w:cs="宋体"/>
          <w:color w:val="000000"/>
          <w:sz w:val="24"/>
          <w:highlight w:val="none"/>
        </w:rPr>
        <w:t xml:space="preserve">磋商文件中下列术语应解释为：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2.1“磋商组织方”指政府采购代理机构，即：</w:t>
      </w:r>
      <w:r>
        <w:rPr>
          <w:rFonts w:hint="eastAsia" w:ascii="宋体" w:hAnsi="宋体" w:cs="宋体"/>
          <w:b/>
          <w:color w:val="000000"/>
          <w:sz w:val="24"/>
          <w:highlight w:val="none"/>
          <w:u w:val="single"/>
        </w:rPr>
        <w:t xml:space="preserve">江苏巍信项目管理有限公司</w:t>
      </w:r>
      <w:r>
        <w:rPr>
          <w:rFonts w:hint="eastAsia" w:ascii="宋体" w:hAnsi="宋体" w:cs="宋体"/>
          <w:color w:val="000000"/>
          <w:sz w:val="24"/>
          <w:highlight w:val="none"/>
        </w:rPr>
        <w:t xml:space="preserve">。</w:t>
      </w:r>
      <w:r/>
    </w:p>
    <w:p>
      <w:pPr>
        <w:ind w:firstLine="480"/>
        <w:spacing w:line="360" w:lineRule="auto"/>
        <w:tabs>
          <w:tab w:val="left" w:pos="7725" w:leader="none"/>
        </w:tabs>
        <w:rPr>
          <w:rFonts w:ascii="宋体" w:hAnsi="宋体" w:cs="宋体"/>
          <w:color w:val="000000"/>
          <w:sz w:val="24"/>
          <w:highlight w:val="none"/>
        </w:rPr>
      </w:pPr>
      <w:r>
        <w:rPr>
          <w:rFonts w:hint="eastAsia" w:ascii="宋体" w:hAnsi="宋体" w:cs="宋体"/>
          <w:color w:val="000000"/>
          <w:sz w:val="24"/>
          <w:highlight w:val="none"/>
        </w:rPr>
        <w:t xml:space="preserve">2.2“供应商”指向磋商组织方提交磋商响应文件的投标单位。</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2.3“采购人”</w:t>
      </w:r>
      <w:r>
        <w:rPr>
          <w:rFonts w:ascii="宋体" w:hAnsi="宋体" w:cs="宋体"/>
          <w:color w:val="000000"/>
          <w:sz w:val="24"/>
          <w:highlight w:val="none"/>
        </w:rPr>
        <w:t xml:space="preserve">系指依法进行政府采购的国家机关、事业单位、团体组织</w:t>
      </w:r>
      <w:r>
        <w:rPr>
          <w:rFonts w:hint="eastAsia" w:ascii="宋体" w:hAnsi="宋体" w:cs="宋体"/>
          <w:color w:val="000000"/>
          <w:sz w:val="24"/>
          <w:highlight w:val="none"/>
        </w:rPr>
        <w:t xml:space="preserve">，即：</w:t>
      </w:r>
      <w:r>
        <w:rPr>
          <w:rFonts w:hint="eastAsia" w:ascii="宋体" w:hAnsi="宋体" w:cs="宋体"/>
          <w:b/>
          <w:bCs/>
          <w:color w:val="000000"/>
          <w:sz w:val="24"/>
          <w:highlight w:val="none"/>
          <w:u w:val="single"/>
        </w:rPr>
        <w:t xml:space="preserve">镇江市丹徒区人民政府办公室。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t xml:space="preserve">“服务”系指本</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所述</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应该履行的承诺和义务，</w:t>
      </w:r>
      <w:r>
        <w:rPr>
          <w:rFonts w:ascii="宋体" w:hAnsi="宋体" w:cs="宋体"/>
          <w:color w:val="000000"/>
          <w:spacing w:val="2"/>
          <w:sz w:val="24"/>
          <w:highlight w:val="none"/>
        </w:rPr>
        <w:t xml:space="preserve">即</w:t>
      </w:r>
      <w:r>
        <w:rPr>
          <w:rFonts w:hint="eastAsia" w:ascii="宋体" w:hAnsi="宋体" w:cs="宋体"/>
          <w:color w:val="000000"/>
          <w:spacing w:val="2"/>
          <w:sz w:val="24"/>
          <w:highlight w:val="none"/>
        </w:rPr>
        <w:t xml:space="preserve">供应商</w:t>
      </w:r>
      <w:r>
        <w:rPr>
          <w:rFonts w:ascii="宋体" w:hAnsi="宋体" w:cs="宋体"/>
          <w:color w:val="000000"/>
          <w:spacing w:val="-2"/>
          <w:sz w:val="24"/>
          <w:highlight w:val="none"/>
        </w:rPr>
        <w:t xml:space="preserve">按合</w:t>
      </w:r>
      <w:r>
        <w:rPr>
          <w:rFonts w:ascii="宋体" w:hAnsi="宋体" w:cs="宋体"/>
          <w:color w:val="000000"/>
          <w:spacing w:val="2"/>
          <w:sz w:val="24"/>
          <w:highlight w:val="none"/>
        </w:rPr>
        <w:t xml:space="preserve">同规定必须提供的</w:t>
      </w:r>
      <w:r>
        <w:rPr>
          <w:rFonts w:hint="eastAsia" w:ascii="宋体" w:hAnsi="宋体" w:cs="宋体"/>
          <w:color w:val="000000"/>
          <w:spacing w:val="2"/>
          <w:sz w:val="24"/>
          <w:highlight w:val="none"/>
        </w:rPr>
        <w:t xml:space="preserve">镇江市丹徒区电子政务外网运营服务项目及其他类似的承诺义务。服务亦包括磋商文件中特别描述的其它形式的服务</w:t>
      </w:r>
      <w:r>
        <w:rPr>
          <w:rFonts w:ascii="宋体" w:hAnsi="宋体" w:cs="宋体"/>
          <w:color w:val="000000"/>
          <w:spacing w:val="1"/>
          <w:sz w:val="24"/>
          <w:highlight w:val="none"/>
        </w:rPr>
        <w:t xml:space="preserve">。</w:t>
      </w:r>
      <w:r/>
    </w:p>
    <w:p>
      <w:pPr>
        <w:pStyle w:val="1700"/>
        <w:jc w:val="left"/>
        <w:keepLines w:val="0"/>
        <w:keepNext w:val="0"/>
        <w:spacing w:before="0" w:after="0" w:line="360" w:lineRule="auto"/>
        <w:rPr>
          <w:rFonts w:ascii="宋体" w:hAnsi="宋体" w:cs="宋体"/>
          <w:color w:val="000000"/>
          <w:sz w:val="24"/>
          <w:szCs w:val="24"/>
          <w:highlight w:val="none"/>
        </w:rPr>
      </w:pPr>
      <w:r/>
      <w:bookmarkStart w:id="31" w:name="_Toc105940810"/>
      <w:r/>
      <w:bookmarkStart w:id="32" w:name="_Toc105940892"/>
      <w:r/>
      <w:bookmarkStart w:id="33" w:name="_Toc92168004"/>
      <w:r/>
      <w:bookmarkStart w:id="34" w:name="_Toc20732971"/>
      <w:r/>
      <w:bookmarkStart w:id="35" w:name="_Toc98669693"/>
      <w:r/>
      <w:bookmarkStart w:id="36" w:name="_Toc100386038"/>
      <w:r/>
      <w:bookmarkStart w:id="37" w:name="_Toc98669335"/>
      <w:r>
        <w:rPr>
          <w:rFonts w:hint="eastAsia" w:ascii="宋体" w:hAnsi="宋体" w:cs="宋体"/>
          <w:color w:val="000000"/>
          <w:sz w:val="24"/>
          <w:szCs w:val="24"/>
          <w:highlight w:val="none"/>
        </w:rPr>
        <w:t xml:space="preserve">3、本次采购方式</w:t>
      </w:r>
      <w:bookmarkEnd w:id="31"/>
      <w:r/>
      <w:bookmarkEnd w:id="3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3.1本次采购采取竞争性磋商方式☑综合评分法□最低评标价法。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3.2本项目资格审查方式：☑资格后审□资格预审。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3.3本次采购确定的成交供应商数量：1名。</w:t>
      </w:r>
      <w:r/>
    </w:p>
    <w:p>
      <w:pPr>
        <w:pStyle w:val="1700"/>
        <w:jc w:val="left"/>
        <w:keepLines w:val="0"/>
        <w:keepNext w:val="0"/>
        <w:spacing w:before="0" w:after="0" w:line="360" w:lineRule="auto"/>
        <w:rPr>
          <w:rFonts w:ascii="宋体" w:hAnsi="宋体" w:cs="宋体"/>
          <w:color w:val="000000"/>
          <w:sz w:val="24"/>
          <w:szCs w:val="24"/>
          <w:highlight w:val="none"/>
        </w:rPr>
      </w:pPr>
      <w:r/>
      <w:bookmarkStart w:id="38" w:name="_Toc105940811"/>
      <w:r/>
      <w:bookmarkStart w:id="39" w:name="_Toc105940893"/>
      <w:r>
        <w:rPr>
          <w:rFonts w:hint="eastAsia" w:ascii="宋体" w:hAnsi="宋体" w:cs="宋体"/>
          <w:color w:val="000000"/>
          <w:sz w:val="24"/>
          <w:szCs w:val="24"/>
          <w:highlight w:val="none"/>
        </w:rPr>
        <w:t xml:space="preserve">4、磋商费用</w:t>
      </w:r>
      <w:bookmarkEnd w:id="33"/>
      <w:r/>
      <w:bookmarkEnd w:id="34"/>
      <w:r/>
      <w:bookmarkEnd w:id="35"/>
      <w:r/>
      <w:bookmarkEnd w:id="36"/>
      <w:r/>
      <w:bookmarkEnd w:id="37"/>
      <w:r/>
      <w:bookmarkEnd w:id="38"/>
      <w:r/>
      <w:bookmarkEnd w:id="39"/>
      <w:r/>
      <w:r/>
    </w:p>
    <w:p>
      <w:pPr>
        <w:ind w:firstLine="480"/>
        <w:spacing w:line="360" w:lineRule="auto"/>
        <w:rPr>
          <w:rFonts w:ascii="宋体" w:hAnsi="宋体" w:cs="宋体"/>
          <w:b/>
          <w:bCs/>
          <w:color w:val="000000"/>
          <w:sz w:val="24"/>
          <w:highlight w:val="none"/>
        </w:rPr>
      </w:pPr>
      <w:r/>
      <w:bookmarkStart w:id="40" w:name="_Toc98669694"/>
      <w:r/>
      <w:bookmarkStart w:id="41" w:name="_Toc92168005"/>
      <w:r/>
      <w:bookmarkStart w:id="42" w:name="_Toc98669336"/>
      <w:r/>
      <w:bookmarkStart w:id="43" w:name="_Toc100386039"/>
      <w:r/>
      <w:bookmarkStart w:id="44" w:name="_Toc20732973"/>
      <w:r/>
      <w:bookmarkStart w:id="45" w:name="_Toc105940812"/>
      <w:r/>
      <w:bookmarkStart w:id="46" w:name="_Toc105940894"/>
      <w:r>
        <w:rPr>
          <w:rFonts w:hint="eastAsia" w:ascii="宋体" w:hAnsi="宋体" w:cs="宋体"/>
          <w:color w:val="000000"/>
          <w:sz w:val="24"/>
          <w:highlight w:val="none"/>
        </w:rPr>
        <w:t xml:space="preserve">4.1</w:t>
      </w:r>
      <w:r>
        <w:rPr>
          <w:rFonts w:hint="eastAsia" w:ascii="宋体" w:hAnsi="宋体" w:cs="宋体"/>
          <w:b/>
          <w:bCs/>
          <w:color w:val="000000"/>
          <w:sz w:val="24"/>
          <w:highlight w:val="none"/>
        </w:rPr>
        <w:t xml:space="preserve">为简化资金结算流程、保障代理服务及时履约，提高采购执行效率，供应商应自行承担所有与参加磋商有关的费用，并将代理费计入供应商报价成本中。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成交供应商需向代理机构缴纳代理服务费。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收费标准：参照发改价格[2011]534号收费标准优惠后收取18000元整。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采购代理费用收款信息：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收款单位：江苏巍信项目管理有限公司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收款账号：10312501040016032</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开户银行：中国农业银行股份有限公司镇江常发支行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4.2不论投标的结果如何，采购代理机构在任何情况下均无义务和责任承担上述费用。</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bookmarkEnd w:id="40"/>
      <w:r/>
      <w:bookmarkEnd w:id="41"/>
      <w:r/>
      <w:bookmarkEnd w:id="42"/>
      <w:r/>
      <w:bookmarkEnd w:id="43"/>
      <w:r/>
      <w:bookmarkEnd w:id="44"/>
      <w:r/>
      <w:bookmarkEnd w:id="45"/>
      <w:r/>
      <w:bookmarkEnd w:id="46"/>
      <w:r>
        <w:rPr>
          <w:rFonts w:hint="eastAsia" w:ascii="宋体" w:hAnsi="宋体" w:cs="宋体"/>
          <w:color w:val="000000"/>
          <w:sz w:val="24"/>
          <w:szCs w:val="24"/>
          <w:highlight w:val="none"/>
        </w:rPr>
        <w:t xml:space="preserve">政策功能</w:t>
      </w:r>
      <w:r/>
    </w:p>
    <w:p>
      <w:pPr>
        <w:pStyle w:val="1478"/>
        <w:ind w:firstLine="480"/>
        <w:spacing w:line="460" w:lineRule="exact"/>
        <w:rPr>
          <w:rFonts w:ascii="宋体" w:hAnsi="宋体" w:cs="宋体"/>
          <w:sz w:val="24"/>
          <w:highlight w:val="none"/>
        </w:rPr>
      </w:pPr>
      <w:r/>
      <w:bookmarkStart w:id="47" w:name="_Toc105940895"/>
      <w:r/>
      <w:bookmarkStart w:id="48" w:name="_Toc105940813"/>
      <w:r>
        <w:rPr>
          <w:rFonts w:hint="eastAsia" w:ascii="宋体" w:hAnsi="宋体" w:cs="宋体"/>
          <w:sz w:val="24"/>
          <w:highlight w:val="none"/>
        </w:rPr>
        <w:t xml:space="preserve">5.1支持中小企业发展</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5.1.2在政府采购活动中，供应商提供的货物、工程或者服务符合下列情形的，享受中小企业扶持政策：</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5.1.2.1在货物采购项目中，货物由中小企业制造，即货物由中小企业生产且使用该中小企业商号或者注册商标；</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5.1.2.2在工程采购项目中，工程由中小企业承建，即工程施工单位为中小企业；</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5.1.2.3在服务采购项目中，服务由中小企业承接，即提供服务的人员为中小企业依照《中华人民共和国劳动合同法》订立劳动合同的从业人员。</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w:t>
      </w:r>
      <w:r>
        <w:rPr>
          <w:rFonts w:hint="eastAsia" w:ascii="宋体" w:hAnsi="宋体"/>
          <w:sz w:val="24"/>
          <w:highlight w:val="none"/>
        </w:rPr>
        <w:t xml:space="preserve">与小微企业组成联合体或者允许大中型企业向一家或者多家小微企业分包的采购项目，对于联合</w:t>
      </w:r>
      <w:r>
        <w:rPr>
          <w:rFonts w:hint="eastAsia" w:ascii="宋体" w:hAnsi="宋体"/>
          <w:sz w:val="24"/>
          <w:highlight w:val="none"/>
        </w:rPr>
        <w:t xml:space="preserve">协议或者分包意向协议约定小型、微型企业的合同份额占到合同总金额30%以上的，给予联合体3%的价格扣除。联合体各方均为小型、微型企业的，联合体视同为小型、微型企业享受10%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5.1.6中小企业享受扶持政策获得政府采购合同的，小微企业不得将合同分包给大中型企业，中型企业不得将合同分包给大型企业。</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5.2强制采购信息安全产品</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信息安全产品指国家质检总局国家认监委《信息安全产品强制性认证目录》，并获得强制性产品认证证书的产品。</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5.3支持绿色发展</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478"/>
        <w:ind w:firstLine="480"/>
        <w:spacing w:line="460" w:lineRule="exact"/>
        <w:rPr>
          <w:rFonts w:ascii="宋体" w:hAnsi="宋体"/>
          <w:sz w:val="24"/>
          <w:highlight w:val="none"/>
        </w:rPr>
      </w:pPr>
      <w:r>
        <w:rPr>
          <w:rFonts w:hint="eastAsia" w:ascii="宋体" w:hAnsi="宋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1478"/>
        <w:ind w:firstLine="480"/>
        <w:spacing w:line="460" w:lineRule="exact"/>
        <w:rPr>
          <w:rFonts w:ascii="宋体" w:hAnsi="宋体"/>
          <w:sz w:val="24"/>
          <w:highlight w:val="none"/>
        </w:rPr>
      </w:pPr>
      <w:r>
        <w:rPr>
          <w:rFonts w:hint="eastAsia" w:ascii="宋体" w:hAnsi="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1478"/>
        <w:ind w:firstLine="480"/>
        <w:spacing w:line="460" w:lineRule="exact"/>
        <w:rPr>
          <w:rFonts w:ascii="宋体" w:hAnsi="宋体"/>
          <w:sz w:val="24"/>
          <w:highlight w:val="none"/>
        </w:rPr>
      </w:pPr>
      <w:r>
        <w:rPr>
          <w:rFonts w:hint="eastAsia" w:ascii="宋体" w:hAnsi="宋体"/>
          <w:sz w:val="24"/>
          <w:highlight w:val="none"/>
        </w:rPr>
        <w:t xml:space="preserve">5.3.4采购人采购数据中心相关设备、运维服务，按照《绿色数据中心政府采购需求标准（试行）》实施相关采购活动。</w:t>
      </w:r>
      <w:r/>
    </w:p>
    <w:p>
      <w:pPr>
        <w:pStyle w:val="1478"/>
        <w:ind w:firstLine="480"/>
        <w:spacing w:line="460" w:lineRule="exact"/>
        <w:rPr>
          <w:rFonts w:ascii="宋体" w:hAnsi="宋体" w:cs="宋体"/>
          <w:sz w:val="24"/>
          <w:highlight w:val="none"/>
        </w:rPr>
      </w:pPr>
      <w:r>
        <w:rPr>
          <w:rFonts w:hint="eastAsia" w:ascii="宋体" w:hAnsi="宋体"/>
          <w:sz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1478"/>
        <w:ind w:firstLine="480"/>
        <w:spacing w:line="460" w:lineRule="exact"/>
        <w:rPr>
          <w:rFonts w:ascii="宋体" w:hAnsi="宋体"/>
          <w:sz w:val="24"/>
          <w:highlight w:val="none"/>
        </w:rPr>
      </w:pPr>
      <w:r>
        <w:rPr>
          <w:rFonts w:hint="eastAsia" w:ascii="宋体" w:hAnsi="宋体"/>
          <w:sz w:val="24"/>
          <w:highlight w:val="none"/>
        </w:rPr>
        <w:t xml:space="preserve">5.5支持创新发展</w:t>
      </w:r>
      <w:r/>
    </w:p>
    <w:p>
      <w:pPr>
        <w:pStyle w:val="1478"/>
        <w:ind w:firstLine="480"/>
        <w:spacing w:line="460" w:lineRule="exact"/>
        <w:rPr>
          <w:rFonts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pStyle w:val="1478"/>
        <w:ind w:firstLine="480"/>
        <w:spacing w:line="460" w:lineRule="exact"/>
        <w:rPr>
          <w:rFonts w:ascii="宋体" w:hAnsi="宋体"/>
          <w:sz w:val="24"/>
          <w:highlight w:val="none"/>
        </w:rPr>
      </w:pPr>
      <w:r>
        <w:rPr>
          <w:rFonts w:hint="eastAsia" w:ascii="宋体" w:hAnsi="宋体"/>
          <w:sz w:val="24"/>
          <w:highlight w:val="none"/>
        </w:rPr>
        <w:t xml:space="preserve">5.6平等对待内外资企业和符合条件的破产重整企业</w:t>
      </w:r>
      <w:r/>
    </w:p>
    <w:p>
      <w:pPr>
        <w:pStyle w:val="1478"/>
        <w:ind w:firstLine="480"/>
        <w:spacing w:line="460" w:lineRule="exact"/>
        <w:rPr>
          <w:rFonts w:ascii="宋体" w:hAnsi="宋体" w:cs="宋体"/>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5.7实施本国产品标准及相关政策</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5.7.1认定标准</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本国产品应当符合以下条件：</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（一）在中国境内生产</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产品应当在中国境内生产，即在中华人民共和国关境内实现从原材料、组件到产品的属性改变。</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属性改变是指经过制造、加工或者组装等工序，产生完全不同于原材料、组件的新产品，并具有新的名称和特征（用途）。属性改变不包括以下细微操作：</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1.为确保产品在运输或者储存期间保持某种状态而进行的操作；</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2.为产品运输或者销售进行的包装或者展示；</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3.在产品或者其包装上粘贴或者印刷品牌、标志、标识以及其他用于区别的标记；</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4.简单的上漆、磨光和分装；</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5.其他不属于属性改变的情形。</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（二）在中国境内生产的组件成本占比达到规定比例</w:t>
      </w:r>
      <w:r/>
    </w:p>
    <w:p>
      <w:pPr>
        <w:pStyle w:val="1478"/>
        <w:ind w:firstLine="480"/>
        <w:spacing w:line="460" w:lineRule="exact"/>
        <w:rPr>
          <w:rFonts w:ascii="宋体" w:hAnsi="宋体"/>
          <w:sz w:val="24"/>
          <w:highlight w:val="none"/>
        </w:rPr>
      </w:pPr>
      <w:r>
        <w:rPr>
          <w:rFonts w:hint="eastAsia" w:ascii="宋体" w:hAnsi="宋体"/>
          <w:sz w:val="24"/>
          <w:highlight w:val="none"/>
        </w:rPr>
        <w:t xml:space="preserve">产品在中国境内生产的组件成本占比应当达到规定比例，计算公式为：</w:t>
      </w:r>
      <w:r/>
    </w:p>
    <w:p>
      <w:pPr>
        <w:ind w:firstLine="480"/>
        <w:spacing w:line="360" w:lineRule="auto"/>
        <w:rPr>
          <w:rFonts w:hAnsi="Cambria Math"/>
          <w:bCs/>
          <w:color w:val="0000ff"/>
          <w:sz w:val="24"/>
          <w:highlight w:val="none"/>
        </w:rPr>
      </w:pPr>
      <w:r/>
      <m:oMathPara>
        <m:oMathParaPr/>
        <m:oMath>
          <m:f>
            <m:fPr>
              <m:ctrlPr>
                <w:rPr>
                  <w:rFonts w:hint="eastAsia" w:ascii="Cambria Math" w:hAnsi="Cambria Math" w:cs="宋体"/>
                  <w:bCs/>
                  <w:iCs/>
                  <w:sz w:val="24"/>
                  <w:highlight w:val="none"/>
                </w:rPr>
              </m:ctrlPr>
            </m:fPr>
            <m:num>
              <m:r>
                <w:rPr>
                  <w:rFonts w:hint="eastAsia" w:ascii="Cambria Math" w:hAnsi="Cambria Math" w:cs="宋体"/>
                  <w:sz w:val="24"/>
                  <w:highlight w:val="none"/>
                </w:rPr>
                <m:rPr>
                  <m:sty m:val="p"/>
                </m:rPr>
                <m:t>产品在中国境内生产的组件成本</m:t>
              </m:r>
            </m:num>
            <m:den>
              <m:r>
                <w:rPr>
                  <w:rFonts w:hint="eastAsia" w:ascii="Cambria Math" w:hAnsi="Cambria Math" w:cs="宋体"/>
                  <w:sz w:val="24"/>
                  <w:highlight w:val="none"/>
                </w:rPr>
                <m:rPr>
                  <m:sty m:val="p"/>
                </m:rPr>
                <m:t>产品总成本</m:t>
              </m:r>
            </m:den>
          </m:f>
          <m:r>
            <w:rPr>
              <w:rFonts w:hint="eastAsia" w:ascii="Cambria Math" w:hAnsi="Cambria Math" w:cs="宋体"/>
              <w:sz w:val="24"/>
              <w:highlight w:val="none"/>
            </w:rPr>
            <m:rPr>
              <m:sty m:val="p"/>
            </m:rPr>
            <m:t>≥规定比例</m:t>
          </m:r>
        </m:oMath>
      </m:oMathPara>
      <w:r/>
      <w:r/>
    </w:p>
    <w:p>
      <w:pPr>
        <w:pStyle w:val="1478"/>
        <w:ind w:firstLine="480"/>
        <w:spacing w:line="460" w:lineRule="exact"/>
        <w:rPr>
          <w:rFonts w:ascii="宋体" w:hAnsi="宋体"/>
          <w:sz w:val="24"/>
          <w:highlight w:val="none"/>
        </w:rPr>
      </w:pPr>
      <w:r>
        <w:rPr>
          <w:rFonts w:hint="eastAsia" w:ascii="宋体" w:hAnsi="宋体"/>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（三）特定产品的关键组件、关键工序符合相关要求</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5.7.2适用范围</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78"/>
        <w:ind w:firstLine="480"/>
        <w:spacing w:line="460" w:lineRule="exact"/>
        <w:rPr>
          <w:rFonts w:ascii="宋体" w:hAnsi="宋体"/>
          <w:sz w:val="24"/>
          <w:highlight w:val="none"/>
        </w:rPr>
      </w:pPr>
      <w:r>
        <w:rPr>
          <w:rFonts w:hint="eastAsia" w:ascii="宋体" w:hAnsi="宋体"/>
          <w:sz w:val="24"/>
          <w:highlight w:val="none"/>
        </w:rPr>
        <w:t xml:space="preserve">5.7.3对本国产品的支持政策</w:t>
      </w:r>
      <w:r/>
    </w:p>
    <w:p>
      <w:pPr>
        <w:pStyle w:val="1478"/>
        <w:ind w:firstLine="480"/>
        <w:spacing w:line="460" w:lineRule="exact"/>
        <w:rPr>
          <w:rFonts w:ascii="宋体" w:hAnsi="宋体" w:cs="宋体"/>
          <w:sz w:val="24"/>
          <w:highlight w:val="none"/>
        </w:rPr>
      </w:pPr>
      <w:r>
        <w:rPr>
          <w:rFonts w:hint="eastAsia" w:ascii="宋体" w:hAnsi="宋体"/>
          <w:sz w:val="24"/>
          <w:highlight w:val="none"/>
        </w:rPr>
        <w:t xml:space="preserve">政府采购活动中既有本国产品又有非本国产品参与竞争的，依法对本国产</w:t>
      </w:r>
      <w:r>
        <w:rPr>
          <w:rFonts w:hint="eastAsia" w:ascii="宋体" w:hAnsi="宋体" w:cs="宋体"/>
          <w:sz w:val="24"/>
          <w:highlight w:val="none"/>
        </w:rPr>
        <w:t xml:space="preserve">品给予价格评审优惠，对本国产品的报价给予20%的价格扣除，用扣除后的价格参与评审。</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478"/>
        <w:ind w:firstLine="480"/>
        <w:spacing w:line="460" w:lineRule="exact"/>
        <w:rPr>
          <w:rFonts w:ascii="宋体" w:hAnsi="宋体" w:cs="宋体"/>
          <w:sz w:val="24"/>
          <w:highlight w:val="none"/>
        </w:rPr>
      </w:pPr>
      <w:r>
        <w:rPr>
          <w:rFonts w:hint="eastAsia" w:ascii="宋体" w:hAnsi="宋体" w:cs="宋体"/>
          <w:sz w:val="24"/>
          <w:highlight w:val="none"/>
        </w:rPr>
        <w:t xml:space="preserve">5.7.4书面澄清、说明或者补正</w:t>
      </w:r>
      <w:r/>
    </w:p>
    <w:p>
      <w:pPr>
        <w:pStyle w:val="1478"/>
        <w:ind w:firstLine="480"/>
        <w:spacing w:line="460" w:lineRule="exact"/>
        <w:rPr>
          <w:rFonts w:ascii="宋体" w:hAnsi="宋体" w:cs="宋体"/>
          <w:color w:val="000000"/>
          <w:sz w:val="24"/>
          <w:highlight w:val="none"/>
        </w:rPr>
      </w:pPr>
      <w:r>
        <w:rPr>
          <w:rFonts w:hint="eastAsia" w:ascii="宋体" w:hAnsi="宋体" w:cs="宋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二、磋商文件</w:t>
      </w:r>
      <w:bookmarkEnd w:id="47"/>
      <w:r/>
      <w:bookmarkEnd w:id="48"/>
      <w:r/>
      <w:r/>
    </w:p>
    <w:p>
      <w:pPr>
        <w:pStyle w:val="1700"/>
        <w:jc w:val="left"/>
        <w:keepLines w:val="0"/>
        <w:keepNext w:val="0"/>
        <w:spacing w:before="0" w:after="0" w:line="360" w:lineRule="auto"/>
        <w:rPr>
          <w:rFonts w:ascii="宋体" w:hAnsi="宋体" w:cs="宋体"/>
          <w:color w:val="000000"/>
          <w:sz w:val="24"/>
          <w:szCs w:val="24"/>
          <w:highlight w:val="none"/>
        </w:rPr>
      </w:pPr>
      <w:r/>
      <w:bookmarkStart w:id="49" w:name="_Toc98669696"/>
      <w:r/>
      <w:bookmarkStart w:id="50" w:name="_Toc92168007"/>
      <w:r/>
      <w:bookmarkStart w:id="51" w:name="_Toc100386041"/>
      <w:r/>
      <w:bookmarkStart w:id="52" w:name="_Toc105940814"/>
      <w:r/>
      <w:bookmarkStart w:id="53" w:name="_Toc98669338"/>
      <w:r/>
      <w:bookmarkStart w:id="54" w:name="_Toc105940896"/>
      <w:r/>
      <w:bookmarkStart w:id="55" w:name="_Toc20732975"/>
      <w:r>
        <w:rPr>
          <w:rFonts w:hint="eastAsia" w:ascii="宋体" w:hAnsi="宋体" w:cs="宋体"/>
          <w:color w:val="000000"/>
          <w:sz w:val="24"/>
          <w:szCs w:val="24"/>
          <w:highlight w:val="none"/>
        </w:rPr>
        <w:t xml:space="preserve">6、磋商文件构成</w:t>
      </w:r>
      <w:bookmarkEnd w:id="49"/>
      <w:r/>
      <w:bookmarkEnd w:id="50"/>
      <w:r/>
      <w:bookmarkEnd w:id="51"/>
      <w:r/>
      <w:bookmarkEnd w:id="52"/>
      <w:r/>
      <w:bookmarkEnd w:id="53"/>
      <w:r/>
      <w:bookmarkEnd w:id="54"/>
      <w:r/>
      <w:bookmarkEnd w:id="55"/>
      <w:r>
        <w:rPr>
          <w:rFonts w:hint="eastAsia" w:ascii="宋体" w:hAnsi="宋体" w:cs="宋体"/>
          <w:color w:val="000000"/>
          <w:sz w:val="24"/>
          <w:szCs w:val="24"/>
          <w:highlight w:val="none"/>
        </w:rPr>
        <w:tab/>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6.1磋商文件包括：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（1）磋商邀请；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（2）供应商须知；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（4）项目需求；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（5）评标办法和标准；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（6）磋商响应文件（格式）；</w:t>
      </w:r>
      <w:r/>
    </w:p>
    <w:p>
      <w:pPr>
        <w:ind w:firstLine="361"/>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t xml:space="preserve">请仔细检查磋商文件是否齐全，如有缺漏请立即与磋商组织方联系解决</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6.2供应商</w:t>
      </w:r>
      <w:r>
        <w:rPr>
          <w:rFonts w:ascii="宋体" w:hAnsi="宋体" w:cs="宋体"/>
          <w:color w:val="000000"/>
          <w:sz w:val="24"/>
          <w:highlight w:val="none"/>
        </w:rPr>
        <w:t xml:space="preserve">获取本文件后，应认真阅读本文件中所有的事项、格式条款和规范等要求。</w:t>
      </w:r>
      <w:r/>
    </w:p>
    <w:p>
      <w:pPr>
        <w:ind w:firstLine="480"/>
        <w:spacing w:line="360" w:lineRule="auto"/>
        <w:rPr>
          <w:rFonts w:eastAsia="楷体_GB2312"/>
          <w:color w:val="000000"/>
          <w:sz w:val="24"/>
          <w:highlight w:val="none"/>
        </w:rPr>
      </w:pPr>
      <w:r>
        <w:rPr>
          <w:rFonts w:hint="eastAsia" w:ascii="宋体" w:hAnsi="宋体" w:cs="宋体"/>
          <w:color w:val="000000"/>
          <w:sz w:val="24"/>
          <w:highlight w:val="none"/>
        </w:rPr>
        <w:t xml:space="preserve">6.3</w:t>
      </w:r>
      <w:r>
        <w:rPr>
          <w:rFonts w:ascii="宋体" w:hAnsi="宋体" w:cs="宋体"/>
          <w:b/>
          <w:color w:val="000000"/>
          <w:sz w:val="24"/>
          <w:highlight w:val="none"/>
          <w:u w:val="single"/>
        </w:rPr>
        <w:t xml:space="preserve">除非有特殊要求，</w:t>
      </w:r>
      <w:r>
        <w:rPr>
          <w:rFonts w:hint="eastAsia" w:ascii="宋体" w:hAnsi="宋体" w:cs="宋体"/>
          <w:b/>
          <w:color w:val="000000"/>
          <w:sz w:val="24"/>
          <w:highlight w:val="none"/>
          <w:u w:val="single"/>
        </w:rPr>
        <w:t xml:space="preserve">磋商文件</w:t>
      </w:r>
      <w:r>
        <w:rPr>
          <w:rFonts w:ascii="宋体" w:hAnsi="宋体" w:cs="宋体"/>
          <w:b/>
          <w:color w:val="000000"/>
          <w:sz w:val="24"/>
          <w:highlight w:val="none"/>
          <w:u w:val="single"/>
        </w:rPr>
        <w:t xml:space="preserve">不单独提供招标标的所在地自然环境、气象条件、公用设施等情况，</w:t>
      </w:r>
      <w:r>
        <w:rPr>
          <w:rFonts w:hint="eastAsia" w:ascii="宋体" w:hAnsi="宋体" w:cs="宋体"/>
          <w:b/>
          <w:color w:val="000000"/>
          <w:sz w:val="24"/>
          <w:highlight w:val="none"/>
          <w:u w:val="single"/>
        </w:rPr>
        <w:t xml:space="preserve">供应商</w:t>
      </w:r>
      <w:r>
        <w:rPr>
          <w:rFonts w:ascii="宋体" w:hAnsi="宋体" w:cs="宋体"/>
          <w:b/>
          <w:color w:val="000000"/>
          <w:sz w:val="24"/>
          <w:highlight w:val="none"/>
          <w:u w:val="single"/>
        </w:rPr>
        <w:t xml:space="preserve">被视为熟悉上述与签订和履行合同有关的一切情况</w:t>
      </w:r>
      <w:r>
        <w:rPr>
          <w:rFonts w:ascii="宋体" w:hAnsi="宋体" w:cs="宋体"/>
          <w:color w:val="000000"/>
          <w:sz w:val="24"/>
          <w:highlight w:val="none"/>
        </w:rPr>
        <w:t xml:space="preserve">。</w:t>
      </w:r>
      <w:r/>
    </w:p>
    <w:p>
      <w:pPr>
        <w:pStyle w:val="1700"/>
        <w:jc w:val="left"/>
        <w:keepLines w:val="0"/>
        <w:keepNext w:val="0"/>
        <w:spacing w:before="0" w:after="0" w:line="360" w:lineRule="auto"/>
        <w:rPr>
          <w:rFonts w:ascii="宋体" w:hAnsi="宋体" w:cs="宋体"/>
          <w:color w:val="000000"/>
          <w:sz w:val="24"/>
          <w:szCs w:val="24"/>
          <w:highlight w:val="none"/>
        </w:rPr>
      </w:pPr>
      <w:r/>
      <w:bookmarkStart w:id="56" w:name="_Toc20732976"/>
      <w:r/>
      <w:bookmarkStart w:id="57" w:name="_Toc100386042"/>
      <w:r/>
      <w:bookmarkStart w:id="58" w:name="_Toc98669339"/>
      <w:r/>
      <w:bookmarkStart w:id="59" w:name="_Toc92168008"/>
      <w:r/>
      <w:bookmarkStart w:id="60" w:name="_Toc98669697"/>
      <w:r/>
      <w:bookmarkStart w:id="61" w:name="_Toc105940815"/>
      <w:r/>
      <w:bookmarkStart w:id="62" w:name="_Toc105940897"/>
      <w:r>
        <w:rPr>
          <w:rFonts w:hint="eastAsia" w:ascii="宋体" w:hAnsi="宋体" w:cs="宋体"/>
          <w:color w:val="000000"/>
          <w:sz w:val="24"/>
          <w:szCs w:val="24"/>
          <w:highlight w:val="none"/>
        </w:rPr>
        <w:t xml:space="preserve">7、磋商文件的澄清</w:t>
      </w:r>
      <w:bookmarkEnd w:id="56"/>
      <w:r/>
      <w:bookmarkEnd w:id="57"/>
      <w:r/>
      <w:bookmarkEnd w:id="58"/>
      <w:r/>
      <w:bookmarkEnd w:id="59"/>
      <w:r/>
      <w:bookmarkEnd w:id="60"/>
      <w:r/>
      <w:bookmarkStart w:id="63" w:name="_Toc20732977"/>
      <w:r/>
      <w:bookmarkStart w:id="64" w:name="_Toc92168009"/>
      <w:r/>
      <w:bookmarkStart w:id="65" w:name="_Toc98669340"/>
      <w:r/>
      <w:bookmarkStart w:id="66" w:name="_Toc100386043"/>
      <w:r/>
      <w:bookmarkStart w:id="67" w:name="_Toc98669698"/>
      <w:r>
        <w:rPr>
          <w:rFonts w:hint="eastAsia" w:ascii="宋体" w:hAnsi="宋体" w:cs="宋体"/>
          <w:color w:val="000000"/>
          <w:sz w:val="24"/>
          <w:szCs w:val="24"/>
          <w:highlight w:val="none"/>
        </w:rPr>
        <w:t xml:space="preserve">和修改</w:t>
      </w:r>
      <w:bookmarkEnd w:id="61"/>
      <w:r/>
      <w:bookmarkEnd w:id="62"/>
      <w:r/>
      <w:bookmarkEnd w:id="63"/>
      <w:r/>
      <w:bookmarkEnd w:id="64"/>
      <w:r/>
      <w:bookmarkEnd w:id="65"/>
      <w:r/>
      <w:bookmarkEnd w:id="66"/>
      <w:r/>
      <w:bookmarkEnd w:id="67"/>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7.1任何要求对磋商文件进行澄清的供应商，均应按磋商文件中的通讯地址，以书面形式（如信件、传真、电报等）通知磋商组织方。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w:t>
      </w:r>
      <w:r>
        <w:rPr>
          <w:rFonts w:ascii="宋体" w:hAnsi="宋体" w:cs="宋体"/>
          <w:b/>
          <w:color w:val="000000"/>
          <w:sz w:val="24"/>
          <w:highlight w:val="none"/>
        </w:rPr>
        <w:t xml:space="preserve">按照权责相一致原则，</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提出的对于</w:t>
      </w:r>
      <w:r>
        <w:rPr>
          <w:rFonts w:hint="eastAsia" w:ascii="宋体" w:hAnsi="宋体" w:cs="宋体"/>
          <w:b/>
          <w:color w:val="000000"/>
          <w:sz w:val="24"/>
          <w:highlight w:val="none"/>
        </w:rPr>
        <w:t xml:space="preserve">磋商文件</w:t>
      </w:r>
      <w:r>
        <w:rPr>
          <w:rFonts w:ascii="宋体" w:hAnsi="宋体" w:cs="宋体"/>
          <w:b/>
          <w:color w:val="000000"/>
          <w:sz w:val="24"/>
          <w:highlight w:val="none"/>
        </w:rPr>
        <w:t xml:space="preserve">主要商务、技术指标的相关澄清、修改要求，由采购人负责答复并视情况作出澄清或修改的决定。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7.4澄清或者修改的内容可能影响磋商响应文件编制的，磋商组织方将在投标截止时间至少5日前，</w:t>
      </w:r>
      <w:r>
        <w:rPr>
          <w:rFonts w:ascii="宋体" w:hAnsi="宋体" w:cs="宋体"/>
          <w:color w:val="000000"/>
          <w:sz w:val="24"/>
          <w:highlight w:val="none"/>
        </w:rPr>
        <w:t xml:space="preserve">在系统中以书面形式通知所有已获取</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的潜在</w:t>
      </w:r>
      <w:r>
        <w:rPr>
          <w:rFonts w:hint="eastAsia" w:ascii="宋体" w:hAnsi="宋体" w:cs="宋体"/>
          <w:color w:val="000000"/>
          <w:sz w:val="24"/>
          <w:highlight w:val="none"/>
        </w:rPr>
        <w:t xml:space="preserve">供应商；不足5日的，磋商组织方将顺延提交磋商响应文件的截止时间。</w:t>
      </w:r>
      <w:r>
        <w:rPr>
          <w:rFonts w:hint="eastAsia" w:ascii="宋体" w:hAnsi="宋体" w:cs="宋体"/>
          <w:b/>
          <w:bCs/>
          <w:color w:val="000000"/>
          <w:sz w:val="24"/>
          <w:highlight w:val="none"/>
          <w:u w:val="single"/>
        </w:rPr>
        <w:t xml:space="preserve">供应商应及时自行登录系统查看相应内容。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7.5如澄清或修改公告有重新发布磋商文件的，投标供应商应下载最新发布的磋商文件制作投标文件。因投标供应商自身原因未能及时获取的，一切后果由投标供应商自行承担。</w:t>
      </w:r>
      <w:r/>
    </w:p>
    <w:p>
      <w:pPr>
        <w:pStyle w:val="1699"/>
        <w:keepLines w:val="0"/>
        <w:keepNext w:val="0"/>
        <w:spacing w:before="200" w:after="200" w:line="240" w:lineRule="auto"/>
        <w:rPr>
          <w:rFonts w:ascii="宋体" w:hAnsi="宋体" w:eastAsia="宋体" w:cs="宋体"/>
          <w:color w:val="000000"/>
          <w:sz w:val="28"/>
          <w:szCs w:val="28"/>
          <w:highlight w:val="none"/>
        </w:rPr>
      </w:pPr>
      <w:r/>
      <w:bookmarkStart w:id="68" w:name="_Toc105940816"/>
      <w:r/>
      <w:bookmarkStart w:id="69" w:name="_Toc105940898"/>
      <w:r>
        <w:rPr>
          <w:rFonts w:hint="eastAsia" w:ascii="宋体" w:hAnsi="宋体" w:eastAsia="宋体" w:cs="宋体"/>
          <w:color w:val="000000"/>
          <w:sz w:val="28"/>
          <w:szCs w:val="28"/>
          <w:highlight w:val="none"/>
        </w:rPr>
        <w:t xml:space="preserve">三、磋商响应文件的编制</w:t>
      </w:r>
      <w:bookmarkEnd w:id="68"/>
      <w:r/>
      <w:bookmarkEnd w:id="69"/>
      <w:r/>
      <w:r/>
    </w:p>
    <w:p>
      <w:pPr>
        <w:pStyle w:val="1700"/>
        <w:jc w:val="left"/>
        <w:keepLines w:val="0"/>
        <w:keepNext w:val="0"/>
        <w:spacing w:before="0" w:after="0" w:line="360" w:lineRule="auto"/>
        <w:rPr>
          <w:rFonts w:ascii="宋体" w:hAnsi="宋体" w:cs="宋体"/>
          <w:color w:val="000000"/>
          <w:sz w:val="24"/>
          <w:szCs w:val="24"/>
          <w:highlight w:val="none"/>
        </w:rPr>
      </w:pPr>
      <w:r/>
      <w:bookmarkStart w:id="70" w:name="_Toc105940817"/>
      <w:r/>
      <w:bookmarkStart w:id="71" w:name="_Toc105940899"/>
      <w:r>
        <w:rPr>
          <w:rFonts w:hint="eastAsia" w:ascii="宋体" w:hAnsi="宋体" w:cs="宋体"/>
          <w:color w:val="000000"/>
          <w:sz w:val="24"/>
          <w:szCs w:val="24"/>
          <w:highlight w:val="none"/>
        </w:rPr>
        <w:t xml:space="preserve">8、磋商响应文件的编写</w:t>
      </w:r>
      <w:bookmarkEnd w:id="70"/>
      <w:r/>
      <w:bookmarkEnd w:id="7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8.2供应商在编制磋商响应文件时，请按照磋商文件第六部分规定的格式进行填写并提交到对应位置，无相应内容可填的项应填写“无”、“没有相应指标”等明确的回答文字。</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8.3如没有按照磋商文件要求和规定编制磋商响应文件提交相关资料，其风险应由供应商自行承担；投磋商响应文件编排混乱、文字表达不清或上传资料内容模糊所引起的不利后果，由供应商自行承担。</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8.4供应商必须保证投标文件所提供的全部资料合法、真实、可靠。</w:t>
      </w:r>
      <w:r/>
    </w:p>
    <w:p>
      <w:pPr>
        <w:pStyle w:val="1700"/>
        <w:jc w:val="left"/>
        <w:keepLines w:val="0"/>
        <w:keepNext w:val="0"/>
        <w:spacing w:before="0" w:after="0" w:line="360" w:lineRule="auto"/>
        <w:rPr>
          <w:rFonts w:ascii="宋体" w:hAnsi="宋体" w:cs="宋体"/>
          <w:color w:val="000000"/>
          <w:sz w:val="24"/>
          <w:szCs w:val="24"/>
          <w:highlight w:val="none"/>
        </w:rPr>
      </w:pPr>
      <w:r/>
      <w:bookmarkStart w:id="72" w:name="_Toc105940900"/>
      <w:r/>
      <w:bookmarkStart w:id="73" w:name="_Toc105940818"/>
      <w:r>
        <w:rPr>
          <w:rFonts w:hint="eastAsia" w:ascii="宋体" w:hAnsi="宋体" w:cs="宋体"/>
          <w:color w:val="000000"/>
          <w:sz w:val="24"/>
          <w:szCs w:val="24"/>
          <w:highlight w:val="none"/>
        </w:rPr>
        <w:t xml:space="preserve">9、投标语言及度量衡单位</w:t>
      </w:r>
      <w:bookmarkEnd w:id="72"/>
      <w:r/>
      <w:bookmarkEnd w:id="7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9.1供应商的磋商响应文件以及供应商就有关投标的所有来往函电等均应使用中文。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9.2磋商响应文件中所使用的计量单位除磋商文件中另有特殊规定外，一律使用法定计量单位。</w:t>
      </w:r>
      <w:r/>
    </w:p>
    <w:p>
      <w:pPr>
        <w:pStyle w:val="1700"/>
        <w:jc w:val="left"/>
        <w:keepLines w:val="0"/>
        <w:keepNext w:val="0"/>
        <w:spacing w:before="0" w:after="0" w:line="360" w:lineRule="auto"/>
        <w:rPr>
          <w:rFonts w:ascii="宋体" w:hAnsi="宋体" w:cs="宋体"/>
          <w:color w:val="000000"/>
          <w:sz w:val="24"/>
          <w:szCs w:val="24"/>
          <w:highlight w:val="none"/>
        </w:rPr>
      </w:pPr>
      <w:r/>
      <w:bookmarkStart w:id="74" w:name="_Toc105940901"/>
      <w:r/>
      <w:bookmarkStart w:id="75" w:name="_Toc105940819"/>
      <w:r>
        <w:rPr>
          <w:rFonts w:hint="eastAsia" w:ascii="宋体" w:hAnsi="宋体" w:cs="宋体"/>
          <w:color w:val="000000"/>
          <w:sz w:val="24"/>
          <w:szCs w:val="24"/>
          <w:highlight w:val="none"/>
        </w:rPr>
        <w:t xml:space="preserve">10、磋商响应文件构成</w:t>
      </w:r>
      <w:bookmarkEnd w:id="74"/>
      <w:r/>
      <w:bookmarkEnd w:id="7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10.1供应商编写的磋商响应文件应分为</w:t>
      </w:r>
      <w:r>
        <w:rPr>
          <w:rFonts w:ascii="宋体" w:hAnsi="宋体" w:cs="宋体"/>
          <w:color w:val="000000"/>
          <w:sz w:val="24"/>
          <w:highlight w:val="none"/>
        </w:rPr>
        <w:t xml:space="preserve">资格部分、商务部分、技术部分和价格部分</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w:t>
      </w:r>
      <w:r>
        <w:rPr>
          <w:rFonts w:ascii="宋体" w:hAnsi="宋体" w:cs="宋体"/>
          <w:color w:val="000000"/>
          <w:sz w:val="24"/>
          <w:highlight w:val="none"/>
        </w:rPr>
        <w:t xml:space="preserve">资格部分系指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提交的证明其有资格参加投标的文件</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10.3</w:t>
      </w:r>
      <w:r>
        <w:rPr>
          <w:rFonts w:ascii="宋体" w:hAnsi="宋体" w:cs="宋体"/>
          <w:color w:val="000000"/>
          <w:sz w:val="24"/>
          <w:highlight w:val="none"/>
        </w:rPr>
        <w:t xml:space="preserve">商务部分系指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提交的证明其中标后有能力履行合同的文件。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10.4</w:t>
      </w:r>
      <w:r>
        <w:rPr>
          <w:rFonts w:ascii="宋体" w:hAnsi="宋体" w:cs="宋体"/>
          <w:color w:val="000000"/>
          <w:sz w:val="24"/>
          <w:highlight w:val="none"/>
        </w:rPr>
        <w:t xml:space="preserve">技术部分系指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提交的能够证明</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提供的货物（服务）符合</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规定的文件。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10.5</w:t>
      </w:r>
      <w:r>
        <w:rPr>
          <w:rFonts w:ascii="宋体" w:hAnsi="宋体" w:cs="宋体"/>
          <w:color w:val="000000"/>
          <w:sz w:val="24"/>
          <w:highlight w:val="none"/>
        </w:rPr>
        <w:t xml:space="preserve">具体填写格式详见</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第六部分。</w:t>
      </w:r>
      <w:r/>
    </w:p>
    <w:p>
      <w:pPr>
        <w:pStyle w:val="1700"/>
        <w:jc w:val="left"/>
        <w:keepLines w:val="0"/>
        <w:keepNext w:val="0"/>
        <w:spacing w:before="0" w:after="0" w:line="360" w:lineRule="auto"/>
        <w:rPr>
          <w:rFonts w:ascii="宋体" w:hAnsi="宋体" w:cs="宋体"/>
          <w:color w:val="000000"/>
          <w:sz w:val="24"/>
          <w:szCs w:val="24"/>
          <w:highlight w:val="none"/>
        </w:rPr>
      </w:pPr>
      <w:r/>
      <w:bookmarkStart w:id="76" w:name="_Toc105940820"/>
      <w:r/>
      <w:bookmarkStart w:id="77" w:name="_Toc105940902"/>
      <w:r/>
      <w:bookmarkStart w:id="78" w:name="_Toc105940821"/>
      <w:r/>
      <w:bookmarkStart w:id="79" w:name="_Toc105940903"/>
      <w:r>
        <w:rPr>
          <w:rFonts w:hint="eastAsia" w:ascii="宋体" w:hAnsi="宋体" w:cs="宋体"/>
          <w:color w:val="000000"/>
          <w:sz w:val="24"/>
          <w:szCs w:val="24"/>
          <w:highlight w:val="none"/>
        </w:rPr>
        <w:t xml:space="preserve">11、编制投标文件的工具</w:t>
      </w:r>
      <w:r/>
    </w:p>
    <w:p>
      <w:pPr>
        <w:pStyle w:val="1711"/>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11.1供应商须通过江苏省政府采购网提供的最新响应文件制作软件编制磋商响应文件。</w:t>
      </w:r>
      <w:bookmarkEnd w:id="76"/>
      <w:r/>
      <w:bookmarkEnd w:id="77"/>
      <w:r/>
      <w:r/>
    </w:p>
    <w:p>
      <w:pPr>
        <w:pStyle w:val="1700"/>
        <w:jc w:val="left"/>
        <w:keepLines w:val="0"/>
        <w:keepNext w:val="0"/>
        <w:spacing w:before="0" w:after="0" w:line="360" w:lineRule="auto"/>
        <w:tabs>
          <w:tab w:val="center" w:pos="41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12、投标报价</w:t>
      </w:r>
      <w:bookmarkEnd w:id="78"/>
      <w:r/>
      <w:bookmarkEnd w:id="79"/>
      <w:r/>
      <w:r>
        <w:tab/>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12.3在磋商过程中未对磋商内容作出实质性变更、修改的情况下，如二轮报价超过首轮报价，则二轮报价无效，仅以其首轮报价作为最终报价。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12.4磋商最后报价即为合同签约价。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12.5最低磋商报价不能作为成交的唯一保证。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12.6磋商报价应以人民币报价。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12.7磋商报价的其他要求：无</w:t>
      </w:r>
      <w:r/>
    </w:p>
    <w:p>
      <w:pPr>
        <w:pStyle w:val="1700"/>
        <w:jc w:val="left"/>
        <w:keepLines w:val="0"/>
        <w:keepNext w:val="0"/>
        <w:spacing w:before="0" w:after="0" w:line="360" w:lineRule="auto"/>
        <w:rPr>
          <w:rFonts w:ascii="宋体" w:hAnsi="宋体" w:cs="宋体"/>
          <w:color w:val="000000"/>
          <w:sz w:val="24"/>
          <w:szCs w:val="24"/>
          <w:highlight w:val="none"/>
        </w:rPr>
      </w:pPr>
      <w:r/>
      <w:bookmarkStart w:id="80" w:name="_Toc105940822"/>
      <w:r/>
      <w:bookmarkStart w:id="81" w:name="_Toc105940904"/>
      <w:r>
        <w:rPr>
          <w:rFonts w:hint="eastAsia" w:ascii="宋体" w:hAnsi="宋体" w:cs="宋体"/>
          <w:color w:val="000000"/>
          <w:sz w:val="24"/>
          <w:szCs w:val="24"/>
          <w:highlight w:val="none"/>
        </w:rPr>
        <w:t xml:space="preserve">13、技术规格要求和服务要求的响应</w:t>
      </w:r>
      <w:bookmarkEnd w:id="80"/>
      <w:r/>
      <w:bookmarkEnd w:id="8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13.1供应商必须依据技术要求及规格，逐条说明投标服务的技术参数、运行性能以及适用性。</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13.3技术规格的响应，应对磋商文件中的技术规格逐项作出实质性响应。</w:t>
      </w:r>
      <w:r>
        <w:rPr>
          <w:rFonts w:ascii="宋体" w:hAnsi="宋体"/>
          <w:color w:val="000000"/>
          <w:sz w:val="24"/>
          <w:highlight w:val="none"/>
          <w:u w:val="single"/>
        </w:rPr>
      </w:r>
      <w:r/>
    </w:p>
    <w:p>
      <w:pPr>
        <w:ind w:left="479"/>
        <w:spacing w:line="360" w:lineRule="auto"/>
        <w:rPr>
          <w:rFonts w:ascii="宋体" w:hAnsi="宋体"/>
          <w:color w:val="000000"/>
          <w:sz w:val="24"/>
          <w:szCs w:val="24"/>
          <w:highlight w:val="none"/>
          <w:u w:val="single"/>
        </w:rPr>
      </w:pPr>
      <w:r>
        <w:rPr>
          <w:rFonts w:hint="eastAsia" w:ascii="宋体" w:hAnsi="宋体" w:cs="宋体"/>
          <w:color w:val="000000"/>
          <w:sz w:val="24"/>
          <w:highlight w:val="none"/>
        </w:rPr>
        <w:t xml:space="preserve">13.4供应商的服务承诺应按不低于磋商文件中服务要求的标准做出响应。</w:t>
      </w:r>
      <w:r/>
    </w:p>
    <w:p>
      <w:pPr>
        <w:pStyle w:val="1700"/>
        <w:jc w:val="left"/>
        <w:keepLines w:val="0"/>
        <w:keepNext w:val="0"/>
        <w:spacing w:before="0" w:after="0" w:line="360" w:lineRule="auto"/>
        <w:rPr>
          <w:rFonts w:ascii="宋体" w:hAnsi="宋体" w:cs="宋体"/>
          <w:color w:val="000000"/>
          <w:sz w:val="24"/>
          <w:szCs w:val="24"/>
          <w:highlight w:val="none"/>
        </w:rPr>
      </w:pPr>
      <w:r/>
      <w:bookmarkStart w:id="82" w:name="_Toc105940823"/>
      <w:r/>
      <w:bookmarkStart w:id="83" w:name="_Toc105940905"/>
      <w:r>
        <w:rPr>
          <w:rFonts w:hint="eastAsia" w:ascii="宋体" w:hAnsi="宋体" w:cs="宋体"/>
          <w:color w:val="000000"/>
          <w:sz w:val="24"/>
          <w:szCs w:val="24"/>
          <w:highlight w:val="none"/>
        </w:rPr>
        <w:t xml:space="preserve">14、供应商资格和能力的证明文件</w:t>
      </w:r>
      <w:bookmarkEnd w:id="82"/>
      <w:r/>
      <w:bookmarkEnd w:id="8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14.2供应商除必须具有履行合同所需提供的服务能力外，还必须具备相应的财务、技术等各方面的能力。</w:t>
      </w:r>
      <w:bookmarkStart w:id="84" w:name="_Toc105940824"/>
      <w:r/>
      <w:bookmarkEnd w:id="84"/>
      <w:r/>
      <w:bookmarkStart w:id="85" w:name="_Toc105940906"/>
      <w:r/>
      <w:bookmarkEnd w:id="85"/>
      <w:r/>
      <w:r/>
    </w:p>
    <w:p>
      <w:pPr>
        <w:pStyle w:val="1700"/>
        <w:jc w:val="left"/>
        <w:keepLines w:val="0"/>
        <w:keepNext w:val="0"/>
        <w:spacing w:before="0" w:after="0" w:line="360" w:lineRule="auto"/>
        <w:rPr>
          <w:rFonts w:ascii="宋体" w:hAnsi="宋体" w:cs="宋体"/>
          <w:color w:val="000000"/>
          <w:sz w:val="24"/>
          <w:szCs w:val="24"/>
          <w:highlight w:val="none"/>
        </w:rPr>
      </w:pPr>
      <w:r/>
      <w:bookmarkStart w:id="86" w:name="_Toc105940910"/>
      <w:r/>
      <w:bookmarkStart w:id="87" w:name="_Toc105940828"/>
      <w:r/>
      <w:bookmarkStart w:id="88" w:name="_Toc105940907"/>
      <w:r/>
      <w:bookmarkStart w:id="89" w:name="_Toc105940825"/>
      <w:r>
        <w:rPr>
          <w:rFonts w:hint="eastAsia" w:ascii="宋体" w:hAnsi="宋体" w:cs="宋体"/>
          <w:color w:val="000000"/>
          <w:sz w:val="24"/>
          <w:szCs w:val="24"/>
          <w:highlight w:val="none"/>
        </w:rPr>
        <w:t xml:space="preserve">15、投标</w:t>
      </w:r>
      <w:bookmarkEnd w:id="86"/>
      <w:r/>
      <w:bookmarkEnd w:id="87"/>
      <w:r>
        <w:rPr>
          <w:rFonts w:hint="eastAsia" w:ascii="宋体" w:hAnsi="宋体" w:cs="宋体"/>
          <w:color w:val="000000"/>
          <w:sz w:val="24"/>
          <w:szCs w:val="24"/>
          <w:highlight w:val="none"/>
        </w:rPr>
        <w:t xml:space="preserve">文件的提交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highlight w:val="none"/>
          <w:u w:val="single"/>
        </w:rPr>
        <w:t xml:space="preserve">时间以电子交易平台时间为准。</w:t>
      </w:r>
      <w:r/>
    </w:p>
    <w:p>
      <w:pPr>
        <w:ind w:left="1"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15.1.2</w:t>
      </w:r>
      <w:r>
        <w:rPr>
          <w:rFonts w:hint="eastAsia" w:ascii="宋体" w:hAnsi="宋体" w:cs="宋体"/>
          <w:b/>
          <w:color w:val="000000"/>
          <w:sz w:val="24"/>
          <w:highlight w:val="none"/>
          <w:u w:val="single"/>
        </w:rPr>
        <w:t xml:space="preserve">截止时间以后提交的磋商响应文件，电子交易平台将拒绝接收。供应商应充分考虑网络环境、网络带宽等风险因素。</w:t>
      </w:r>
      <w:r/>
    </w:p>
    <w:p>
      <w:pPr>
        <w:ind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15.1.3</w:t>
      </w:r>
      <w:r>
        <w:rPr>
          <w:rFonts w:hint="eastAsia" w:ascii="宋体" w:hAnsi="宋体" w:cs="宋体"/>
          <w:b/>
          <w:color w:val="000000"/>
          <w:sz w:val="24"/>
          <w:highlight w:val="none"/>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15.1.4</w:t>
      </w:r>
      <w:r>
        <w:rPr>
          <w:rFonts w:hint="eastAsia" w:ascii="宋体" w:hAnsi="宋体" w:cs="宋体"/>
          <w:b/>
          <w:color w:val="000000"/>
          <w:sz w:val="24"/>
          <w:highlight w:val="none"/>
          <w:u w:val="single"/>
        </w:rPr>
        <w:t xml:space="preserve">提交完成后至解密前，供应商不能对加密磋商响应文件时所使用的数字认证证书进行更新、续费，否则可能引起的磋商响应文件解密失败等相关后果由供应商自行承担。</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15.2采购代理机构可以通过修改磋商文件自行酌情延长提交截止时间，在此情况下，推迟的提交截止时间将在系统中以书面形式通知已获取磋商文件的潜在</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，并在</w:t>
      </w:r>
      <w:r>
        <w:rPr>
          <w:rFonts w:hint="eastAsia" w:ascii="宋体" w:hAnsi="宋体" w:cs="宋体"/>
          <w:b/>
          <w:bCs/>
          <w:color w:val="000000"/>
          <w:sz w:val="24"/>
          <w:highlight w:val="none"/>
          <w:u w:val="single"/>
        </w:rPr>
        <w:t xml:space="preserve">原公告媒体</w:t>
      </w:r>
      <w:r>
        <w:rPr>
          <w:rFonts w:hint="eastAsia" w:ascii="宋体" w:hAnsi="宋体" w:cs="宋体"/>
          <w:color w:val="000000"/>
          <w:sz w:val="24"/>
          <w:highlight w:val="none"/>
        </w:rPr>
        <w:t xml:space="preserve">上发布公告。</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应及时自行登录系统查看相应内容。</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16、投标有效期</w:t>
      </w:r>
      <w:bookmarkEnd w:id="88"/>
      <w:r/>
      <w:bookmarkEnd w:id="89"/>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16.1投标有效期为：磋商响应文件自开标之日起</w:t>
      </w:r>
      <w:r>
        <w:rPr>
          <w:rFonts w:hint="eastAsia" w:ascii="宋体" w:hAnsi="宋体"/>
          <w:b/>
          <w:color w:val="000000"/>
          <w:sz w:val="24"/>
          <w:highlight w:val="none"/>
          <w:u w:val="single"/>
        </w:rPr>
        <w:t xml:space="preserve">90</w:t>
      </w:r>
      <w:r>
        <w:rPr>
          <w:rFonts w:hint="eastAsia" w:ascii="宋体" w:hAnsi="宋体" w:cs="宋体"/>
          <w:color w:val="000000"/>
          <w:sz w:val="24"/>
          <w:highlight w:val="none"/>
        </w:rPr>
        <w:t xml:space="preserve">天内有效。</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一旦获取了本磋商文件并参加投标，即被认为接受了投标有效期的约定。</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16.2在特殊情况下，采购人于原投标有效期满之前，可向</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提出延长投标有效期的要求。这种要求与答复均应采用书面形式（如信件、传真或电报等）。</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可以拒绝磋商组织方的这一要求而放弃投标。同意延长的</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既不能要求也不允许修改其磋商响应文件。</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17、投标文件的式样和签署</w:t>
      </w:r>
      <w:r/>
    </w:p>
    <w:p>
      <w:pPr>
        <w:pStyle w:val="171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w:t>
      </w:r>
      <w:r>
        <w:rPr>
          <w:rFonts w:ascii="宋体" w:hAnsi="宋体" w:eastAsia="宋体" w:cs="宋体"/>
          <w:color w:val="000000"/>
          <w:spacing w:val="-6"/>
          <w:sz w:val="24"/>
          <w:szCs w:val="24"/>
          <w:highlight w:val="none"/>
        </w:rPr>
        <w:t xml:space="preserve">供应商</w:t>
      </w:r>
      <w:r>
        <w:rPr>
          <w:rFonts w:hint="eastAsia" w:ascii="宋体" w:hAnsi="宋体" w:eastAsia="宋体" w:cs="宋体"/>
          <w:color w:val="000000"/>
          <w:sz w:val="24"/>
          <w:szCs w:val="24"/>
          <w:highlight w:val="none"/>
        </w:rPr>
        <w:t xml:space="preserve">应通过响应文件制作软件使用数字认证证书对磋商响应文件进行合成、电子签章及加密打包。</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18、磋商保证金</w:t>
      </w:r>
      <w:r/>
    </w:p>
    <w:p>
      <w:pPr>
        <w:pStyle w:val="171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本项目无需缴纳磋商保证金。</w:t>
      </w:r>
      <w:r/>
    </w:p>
    <w:p>
      <w:pPr>
        <w:pStyle w:val="1700"/>
        <w:jc w:val="left"/>
        <w:keepLines w:val="0"/>
        <w:keepNext w:val="0"/>
        <w:spacing w:before="0" w:after="0" w:line="360" w:lineRule="auto"/>
        <w:rPr>
          <w:rFonts w:ascii="宋体" w:hAnsi="宋体" w:cs="宋体"/>
          <w:color w:val="000000"/>
          <w:sz w:val="24"/>
          <w:szCs w:val="24"/>
          <w:highlight w:val="none"/>
        </w:rPr>
      </w:pPr>
      <w:r/>
      <w:bookmarkStart w:id="90" w:name="_Toc105940829"/>
      <w:r/>
      <w:bookmarkStart w:id="91" w:name="_Toc105940911"/>
      <w:r>
        <w:rPr>
          <w:rFonts w:hint="eastAsia" w:ascii="宋体" w:hAnsi="宋体" w:cs="宋体"/>
          <w:color w:val="000000"/>
          <w:sz w:val="24"/>
          <w:szCs w:val="24"/>
          <w:highlight w:val="none"/>
        </w:rPr>
        <w:t xml:space="preserve">19、磋商响应文件的补充、修改或者撤回</w:t>
      </w:r>
      <w:bookmarkEnd w:id="90"/>
      <w:r/>
      <w:bookmarkEnd w:id="9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19.1</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在提交截止时间前，可以对所提交的磋商响应文件进行补充、修改或者撤回。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19.2在提交截止时间之前</w:t>
      </w:r>
      <w:r>
        <w:rPr>
          <w:rFonts w:ascii="宋体" w:hAnsi="宋体" w:cs="宋体"/>
          <w:color w:val="000000"/>
          <w:sz w:val="24"/>
          <w:highlight w:val="none"/>
        </w:rPr>
        <w:t xml:space="preserve">需要对</w:t>
      </w:r>
      <w:r>
        <w:rPr>
          <w:rFonts w:hint="eastAsia" w:ascii="宋体" w:hAnsi="宋体" w:cs="宋体"/>
          <w:color w:val="000000"/>
          <w:sz w:val="24"/>
          <w:highlight w:val="none"/>
        </w:rPr>
        <w:t xml:space="preserve">磋商响应</w:t>
      </w:r>
      <w:r>
        <w:rPr>
          <w:rFonts w:ascii="宋体" w:hAnsi="宋体" w:cs="宋体"/>
          <w:color w:val="000000"/>
          <w:sz w:val="24"/>
          <w:highlight w:val="none"/>
        </w:rPr>
        <w:t xml:space="preserve">文件进行补充、修改的，应当使用响应文件制作软件重新制作并提交。</w:t>
      </w:r>
      <w:r/>
    </w:p>
    <w:p>
      <w:pPr>
        <w:ind w:firstLine="480"/>
        <w:spacing w:line="360" w:lineRule="auto"/>
        <w:rPr>
          <w:rFonts w:ascii="宋体" w:hAnsi="宋体" w:cs="宋体"/>
          <w:color w:val="000000"/>
          <w:sz w:val="24"/>
          <w:highlight w:val="none"/>
        </w:rPr>
      </w:pPr>
      <w:r/>
      <w:bookmarkStart w:id="92" w:name="_Toc105940830"/>
      <w:r/>
      <w:bookmarkStart w:id="93" w:name="_Toc105940912"/>
      <w:r>
        <w:rPr>
          <w:rFonts w:hint="eastAsia" w:ascii="宋体" w:hAnsi="宋体" w:cs="宋体"/>
          <w:color w:val="000000"/>
          <w:sz w:val="24"/>
          <w:highlight w:val="none"/>
        </w:rPr>
        <w:t xml:space="preserve">19.3</w:t>
      </w:r>
      <w:r>
        <w:rPr>
          <w:rFonts w:ascii="宋体" w:hAnsi="宋体" w:cs="宋体"/>
          <w:color w:val="000000"/>
          <w:sz w:val="24"/>
          <w:highlight w:val="none"/>
        </w:rPr>
        <w:t xml:space="preserve">在提交截止时间之后，</w:t>
      </w:r>
      <w:r>
        <w:rPr>
          <w:rFonts w:ascii="宋体" w:hAnsi="宋体" w:cs="宋体"/>
          <w:color w:val="000000"/>
          <w:spacing w:val="-6"/>
          <w:sz w:val="24"/>
          <w:highlight w:val="none"/>
        </w:rPr>
        <w:t xml:space="preserve">供应商</w:t>
      </w:r>
      <w:r>
        <w:rPr>
          <w:rFonts w:ascii="宋体" w:hAnsi="宋体" w:cs="宋体"/>
          <w:color w:val="000000"/>
          <w:sz w:val="24"/>
          <w:highlight w:val="none"/>
        </w:rPr>
        <w:t xml:space="preserve">不得对其投标文件作任何修改或撤回。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19.4在投标截止时间至磋商组织方在磋商文件中规定的投标有效期满之间的这段时间内，</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不得撤回其投标。</w:t>
      </w:r>
      <w:bookmarkEnd w:id="92"/>
      <w:r/>
      <w:bookmarkEnd w:id="93"/>
      <w:r/>
      <w:r/>
    </w:p>
    <w:p>
      <w:pPr>
        <w:pStyle w:val="1699"/>
        <w:keepLines w:val="0"/>
        <w:keepNext w:val="0"/>
        <w:spacing w:before="200" w:after="200" w:line="240" w:lineRule="auto"/>
        <w:rPr>
          <w:rFonts w:ascii="宋体" w:hAnsi="宋体" w:eastAsia="宋体" w:cs="宋体"/>
          <w:color w:val="000000"/>
          <w:sz w:val="28"/>
          <w:szCs w:val="28"/>
          <w:highlight w:val="none"/>
        </w:rPr>
      </w:pPr>
      <w:r/>
      <w:bookmarkStart w:id="94" w:name="_Toc105940913"/>
      <w:r/>
      <w:bookmarkStart w:id="95" w:name="_Toc105940831"/>
      <w:r>
        <w:rPr>
          <w:rFonts w:hint="eastAsia" w:ascii="宋体" w:hAnsi="宋体" w:eastAsia="宋体" w:cs="宋体"/>
          <w:color w:val="000000"/>
          <w:sz w:val="28"/>
          <w:szCs w:val="28"/>
          <w:highlight w:val="none"/>
          <w:lang w:val="en-US" w:eastAsia="zh-CN"/>
        </w:rPr>
        <w:t xml:space="preserve">四</w:t>
      </w:r>
      <w:r>
        <w:rPr>
          <w:rFonts w:hint="eastAsia" w:ascii="宋体" w:hAnsi="宋体" w:eastAsia="宋体" w:cs="宋体"/>
          <w:color w:val="000000"/>
          <w:sz w:val="28"/>
          <w:szCs w:val="28"/>
          <w:highlight w:val="none"/>
        </w:rPr>
        <w:t xml:space="preserve">、磋商与评定</w:t>
      </w:r>
      <w:bookmarkEnd w:id="94"/>
      <w:r/>
      <w:bookmarkEnd w:id="95"/>
      <w:r/>
      <w:r/>
    </w:p>
    <w:p>
      <w:pPr>
        <w:pStyle w:val="1700"/>
        <w:jc w:val="left"/>
        <w:keepLines w:val="0"/>
        <w:keepNext w:val="0"/>
        <w:spacing w:before="0" w:after="0" w:line="360" w:lineRule="auto"/>
        <w:rPr>
          <w:rFonts w:ascii="宋体" w:hAnsi="宋体" w:cs="宋体"/>
          <w:color w:val="000000"/>
          <w:sz w:val="24"/>
          <w:szCs w:val="24"/>
          <w:highlight w:val="none"/>
        </w:rPr>
      </w:pPr>
      <w:r/>
      <w:bookmarkStart w:id="96" w:name="_Toc105940832"/>
      <w:r/>
      <w:bookmarkStart w:id="97" w:name="_Toc105940914"/>
      <w:r>
        <w:rPr>
          <w:rFonts w:hint="eastAsia" w:ascii="宋体" w:hAnsi="宋体" w:cs="宋体"/>
          <w:color w:val="000000"/>
          <w:sz w:val="24"/>
          <w:szCs w:val="24"/>
          <w:highlight w:val="none"/>
        </w:rPr>
        <w:t xml:space="preserve">20、磋商</w:t>
      </w:r>
      <w:bookmarkEnd w:id="96"/>
      <w:r/>
      <w:bookmarkEnd w:id="97"/>
      <w:r/>
      <w:r/>
    </w:p>
    <w:p>
      <w:pPr>
        <w:ind w:firstLine="480"/>
        <w:spacing w:line="360" w:lineRule="auto"/>
        <w:rPr>
          <w:rFonts w:ascii="宋体" w:hAnsi="宋体"/>
          <w:b/>
          <w:color w:val="000000"/>
          <w:sz w:val="24"/>
          <w:highlight w:val="none"/>
          <w:u w:val="single"/>
        </w:rPr>
      </w:pPr>
      <w:r>
        <w:rPr>
          <w:rFonts w:hint="eastAsia" w:ascii="宋体" w:hAnsi="宋体" w:cs="宋体"/>
          <w:color w:val="000000"/>
          <w:sz w:val="24"/>
          <w:highlight w:val="none"/>
        </w:rPr>
        <w:t xml:space="preserve">20.1磋商组织方将在“磋商文件”中规定的时间和地点主持开标。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20.2</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应当在开标前做好充分准备，使用制作该磋商响应文件的同一数字认证证书准时参加开标。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20.3</w:t>
      </w:r>
      <w:r>
        <w:rPr>
          <w:rFonts w:ascii="宋体" w:hAnsi="宋体" w:cs="宋体"/>
          <w:b/>
          <w:bCs/>
          <w:color w:val="000000"/>
          <w:spacing w:val="-13"/>
          <w:sz w:val="24"/>
          <w:highlight w:val="none"/>
        </w:rPr>
        <w:t xml:space="preserve">供应商不足3家，不进入解密程序。</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20.4</w:t>
      </w:r>
      <w:r>
        <w:rPr>
          <w:rFonts w:hint="eastAsia" w:ascii="宋体" w:hAnsi="宋体" w:cs="宋体"/>
          <w:b/>
          <w:bCs/>
          <w:color w:val="000000"/>
          <w:sz w:val="24"/>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ascii="宋体" w:hAnsi="宋体" w:cs="宋体"/>
          <w:b/>
          <w:bCs/>
          <w:color w:val="000000"/>
          <w:sz w:val="24"/>
          <w:highlight w:val="none"/>
        </w:rPr>
      </w:pPr>
      <w:r>
        <w:rPr>
          <w:rFonts w:hint="eastAsia" w:ascii="宋体" w:hAnsi="宋体" w:cs="宋体"/>
          <w:color w:val="000000"/>
          <w:sz w:val="24"/>
          <w:highlight w:val="none"/>
        </w:rPr>
        <w:t xml:space="preserve">20.5</w:t>
      </w:r>
      <w:r>
        <w:rPr>
          <w:rFonts w:ascii="宋体" w:hAnsi="宋体" w:cs="宋体"/>
          <w:color w:val="000000"/>
          <w:spacing w:val="-6"/>
          <w:sz w:val="24"/>
          <w:highlight w:val="none"/>
        </w:rPr>
        <w:t xml:space="preserve">因供应商原因造成响应文件未解密或解密失败或无法正常打开响应文件的， 磋商</w:t>
      </w:r>
      <w:r>
        <w:rPr>
          <w:rFonts w:ascii="宋体" w:hAnsi="宋体" w:cs="宋体"/>
          <w:color w:val="000000"/>
          <w:sz w:val="24"/>
          <w:highlight w:val="none"/>
        </w:rPr>
        <w:t xml:space="preserve"> </w:t>
      </w:r>
      <w:r>
        <w:rPr>
          <w:rFonts w:ascii="宋体" w:hAnsi="宋体" w:cs="宋体"/>
          <w:color w:val="000000"/>
          <w:spacing w:val="-4"/>
          <w:sz w:val="24"/>
          <w:highlight w:val="none"/>
        </w:rPr>
        <w:t xml:space="preserve">组织方将拒绝其响应。部分供应商的响应文件未解密或解密失败的， 程序可以继续进</w:t>
      </w:r>
      <w:r>
        <w:rPr>
          <w:rFonts w:ascii="宋体" w:hAnsi="宋体" w:cs="宋体"/>
          <w:color w:val="000000"/>
          <w:spacing w:val="-3"/>
          <w:sz w:val="24"/>
          <w:highlight w:val="none"/>
        </w:rPr>
        <w:t xml:space="preserve">行</w:t>
      </w:r>
      <w:r>
        <w:rPr>
          <w:rFonts w:ascii="宋体" w:hAnsi="宋体" w:cs="宋体"/>
          <w:color w:val="000000"/>
          <w:sz w:val="24"/>
          <w:highlight w:val="none"/>
        </w:rPr>
        <w:t xml:space="preserve">。</w:t>
      </w:r>
      <w:r>
        <w:rPr>
          <w:rFonts w:ascii="宋体" w:hAnsi="宋体" w:cs="宋体"/>
          <w:b/>
          <w:bCs/>
          <w:color w:val="000000"/>
          <w:spacing w:val="1"/>
          <w:sz w:val="24"/>
          <w:highlight w:val="none"/>
        </w:rPr>
        <w:t xml:space="preserve">若解密成功的</w:t>
      </w:r>
      <w:r>
        <w:rPr>
          <w:rFonts w:ascii="宋体" w:hAnsi="宋体" w:cs="宋体"/>
          <w:b/>
          <w:bCs/>
          <w:color w:val="000000"/>
          <w:sz w:val="24"/>
          <w:highlight w:val="none"/>
        </w:rPr>
        <w:t xml:space="preserve">供应商不足三家，不进入后续程序。</w:t>
      </w:r>
      <w:r/>
    </w:p>
    <w:p>
      <w:pPr>
        <w:ind w:left="41" w:right="121" w:firstLine="497"/>
        <w:spacing w:before="3" w:line="359" w:lineRule="auto"/>
        <w:rPr>
          <w:rFonts w:ascii="宋体" w:hAnsi="宋体" w:cs="宋体"/>
          <w:color w:val="000000"/>
          <w:sz w:val="24"/>
          <w:highlight w:val="none"/>
        </w:rPr>
      </w:pPr>
      <w:r>
        <w:rPr>
          <w:rFonts w:hint="eastAsia" w:ascii="宋体" w:hAnsi="宋体" w:cs="宋体"/>
          <w:color w:val="000000"/>
          <w:sz w:val="24"/>
          <w:highlight w:val="none"/>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20.7电子投标文件解密全部完成后，按</w:t>
      </w:r>
      <w:r>
        <w:rPr>
          <w:rFonts w:hint="eastAsia" w:ascii="宋体" w:hAnsi="宋体" w:cs="宋体"/>
          <w:b/>
          <w:color w:val="000000"/>
          <w:sz w:val="24"/>
          <w:highlight w:val="none"/>
        </w:rPr>
        <w:t xml:space="preserve">投标文件解密成功顺序</w:t>
      </w:r>
      <w:r>
        <w:rPr>
          <w:rFonts w:hint="eastAsia" w:ascii="宋体" w:hAnsi="宋体" w:cs="宋体"/>
          <w:color w:val="000000"/>
          <w:sz w:val="24"/>
          <w:highlight w:val="none"/>
        </w:rPr>
        <w:t xml:space="preserve">向所有供应商宣布供应商名称、投标价格以及磋商文件规定的其他内容。</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20.8电子交易平台自动记录开标过程，由参加开标的各供应商代表和相关工作人员确认开标结果。</w:t>
      </w:r>
      <w:r/>
    </w:p>
    <w:p>
      <w:pPr>
        <w:ind w:firstLine="480"/>
        <w:spacing w:line="360" w:lineRule="auto"/>
        <w:rPr>
          <w:rFonts w:ascii="宋体" w:hAnsi="宋体" w:cs="宋体"/>
          <w:color w:val="000000"/>
          <w:spacing w:val="-8"/>
          <w:sz w:val="24"/>
          <w:highlight w:val="none"/>
        </w:rPr>
      </w:pPr>
      <w:r>
        <w:rPr>
          <w:rFonts w:hint="eastAsia" w:ascii="宋体" w:hAnsi="宋体" w:cs="宋体"/>
          <w:color w:val="000000"/>
          <w:sz w:val="24"/>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hAnsi="宋体" w:cs="宋体"/>
          <w:color w:val="000000"/>
          <w:sz w:val="24"/>
          <w:highlight w:val="none"/>
        </w:rPr>
      </w:pPr>
      <w:r>
        <w:rPr>
          <w:rFonts w:hint="eastAsia" w:ascii="宋体" w:hAnsi="宋体" w:cs="宋体"/>
          <w:color w:val="000000"/>
          <w:spacing w:val="-8"/>
          <w:sz w:val="24"/>
          <w:highlight w:val="none"/>
        </w:rPr>
        <w:t xml:space="preserve">20.10</w:t>
      </w:r>
      <w:r>
        <w:rPr>
          <w:rFonts w:ascii="宋体" w:hAnsi="宋体" w:cs="宋体"/>
          <w:color w:val="000000"/>
          <w:spacing w:val="-4"/>
          <w:sz w:val="24"/>
          <w:highlight w:val="none"/>
        </w:rPr>
        <w:t xml:space="preserve">供应商须配合磋商工作，否则自行承担后果。</w:t>
      </w:r>
      <w:r/>
    </w:p>
    <w:p>
      <w:pPr>
        <w:pStyle w:val="1700"/>
        <w:jc w:val="left"/>
        <w:keepLines w:val="0"/>
        <w:keepNext w:val="0"/>
        <w:spacing w:before="0" w:after="0" w:line="360" w:lineRule="auto"/>
        <w:rPr>
          <w:rFonts w:ascii="宋体" w:hAnsi="宋体" w:cs="宋体"/>
          <w:color w:val="000000"/>
          <w:sz w:val="24"/>
          <w:szCs w:val="24"/>
          <w:highlight w:val="none"/>
        </w:rPr>
      </w:pPr>
      <w:r/>
      <w:bookmarkStart w:id="98" w:name="_Toc105940915"/>
      <w:r/>
      <w:bookmarkStart w:id="99" w:name="_Toc105940833"/>
      <w:r>
        <w:rPr>
          <w:rFonts w:hint="eastAsia" w:ascii="宋体" w:hAnsi="宋体" w:cs="宋体"/>
          <w:color w:val="000000"/>
          <w:sz w:val="24"/>
          <w:szCs w:val="24"/>
          <w:highlight w:val="none"/>
        </w:rPr>
        <w:t xml:space="preserve">21、磋商过程的保密</w:t>
      </w:r>
      <w:bookmarkEnd w:id="98"/>
      <w:r/>
      <w:bookmarkEnd w:id="99"/>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
          <w:bCs/>
          <w:color w:val="000000"/>
          <w:sz w:val="24"/>
          <w:highlight w:val="none"/>
          <w:u w:val="single"/>
        </w:rPr>
        <w:t xml:space="preserve">磋商</w:t>
      </w:r>
      <w:r>
        <w:rPr>
          <w:rFonts w:hint="eastAsia" w:ascii="宋体" w:hAnsi="宋体" w:cs="宋体"/>
          <w:b/>
          <w:color w:val="000000"/>
          <w:sz w:val="24"/>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21.2在磋商过程中，如果供应商试图在磋商响应文件审查、澄清、比较及授予建议等方面向磋商组织方或参加磋商的人员施加任何影响，都将会导致其投标无效。</w:t>
      </w:r>
      <w:r/>
    </w:p>
    <w:p>
      <w:pPr>
        <w:pStyle w:val="1700"/>
        <w:jc w:val="left"/>
        <w:keepLines w:val="0"/>
        <w:keepNext w:val="0"/>
        <w:spacing w:before="0" w:after="0" w:line="360" w:lineRule="auto"/>
        <w:rPr>
          <w:rFonts w:ascii="宋体" w:hAnsi="宋体" w:cs="宋体"/>
          <w:color w:val="000000"/>
          <w:sz w:val="24"/>
          <w:szCs w:val="24"/>
          <w:highlight w:val="none"/>
        </w:rPr>
      </w:pPr>
      <w:r/>
      <w:bookmarkStart w:id="100" w:name="_Toc105940834"/>
      <w:r/>
      <w:bookmarkStart w:id="101" w:name="_Toc105940916"/>
      <w:r>
        <w:rPr>
          <w:rFonts w:hint="eastAsia" w:ascii="宋体" w:hAnsi="宋体" w:cs="宋体"/>
          <w:color w:val="000000"/>
          <w:sz w:val="24"/>
          <w:szCs w:val="24"/>
          <w:highlight w:val="none"/>
        </w:rPr>
        <w:t xml:space="preserve">22、磋商小组评审纪律</w:t>
      </w:r>
      <w:bookmarkEnd w:id="100"/>
      <w:r/>
      <w:bookmarkEnd w:id="10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22.1磋商时，磋商小组各成员应当独立对每个供应商的磋商响应文件进行评价，并汇总每个供应商的得分。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磋商小组成员应当按照客观、公正、审慎的原则，根据磋商文件规定的评审程序、评审方法和评审标准进行独立评审。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22.2评审专家应当遵守评审工作纪律，不得泄露评审情况和评审中获悉的商业秘密。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磋商小组在评审过程中发现供应商有行贿、提供虚假材料或者串通等违法行为的，应当及时向财政部门报告。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评审专家在评审过程中受到非法干涉的，应当及时向财政、监察等部门举报。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ascii="宋体" w:hAnsi="宋体" w:cs="宋体"/>
          <w:b/>
          <w:bCs/>
          <w:color w:val="000000"/>
          <w:sz w:val="24"/>
          <w:highlight w:val="none"/>
        </w:rPr>
      </w:pPr>
      <w:r/>
      <w:bookmarkStart w:id="102" w:name="_Toc105940917"/>
      <w:r/>
      <w:bookmarkStart w:id="103" w:name="_Toc105940835"/>
      <w:r>
        <w:rPr>
          <w:rFonts w:hint="eastAsia" w:ascii="宋体" w:hAnsi="宋体" w:cs="宋体"/>
          <w:b/>
          <w:bCs/>
          <w:color w:val="000000"/>
          <w:sz w:val="24"/>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2"/>
      <w:r/>
      <w:bookmarkEnd w:id="103"/>
      <w:r/>
      <w:r/>
    </w:p>
    <w:p>
      <w:pPr>
        <w:pStyle w:val="1700"/>
        <w:jc w:val="left"/>
        <w:keepLines w:val="0"/>
        <w:keepNext w:val="0"/>
        <w:spacing w:before="0" w:after="0" w:line="360" w:lineRule="auto"/>
        <w:rPr>
          <w:rFonts w:ascii="宋体" w:hAnsi="宋体" w:cs="宋体"/>
          <w:color w:val="000000"/>
          <w:sz w:val="24"/>
          <w:szCs w:val="24"/>
          <w:highlight w:val="none"/>
        </w:rPr>
      </w:pPr>
      <w:r/>
      <w:bookmarkStart w:id="104" w:name="_Toc105940920"/>
      <w:r/>
      <w:bookmarkStart w:id="105" w:name="_Toc105940838"/>
      <w:r>
        <w:rPr>
          <w:rFonts w:hint="eastAsia" w:ascii="宋体" w:hAnsi="宋体" w:cs="宋体"/>
          <w:color w:val="000000"/>
          <w:sz w:val="24"/>
          <w:szCs w:val="24"/>
          <w:highlight w:val="none"/>
        </w:rPr>
        <w:t xml:space="preserve">23、无效磋商的情形</w:t>
      </w:r>
      <w:bookmarkEnd w:id="104"/>
      <w:r/>
      <w:bookmarkEnd w:id="10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供应商存在下列情况之一的，其投标无效：</w:t>
      </w:r>
      <w:r/>
    </w:p>
    <w:p>
      <w:pPr>
        <w:ind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（1）响应文件未按招标文件要求进行有效签章的；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（2）报价超过招标文件中规定的预算金额或最高限价的；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（3）响应文件含有采购人不能接受的附加条件的;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4）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（5）供应商对根据修正原则修正后的报价不确认的；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（6）响应文件中提供了虚假或失实资料的；</w:t>
      </w:r>
      <w:r/>
    </w:p>
    <w:p>
      <w:pPr>
        <w:ind w:left="1" w:firstLine="482"/>
        <w:spacing w:line="360" w:lineRule="auto"/>
        <w:rPr>
          <w:rFonts w:ascii="宋体" w:hAnsi="宋体" w:cs="宋体"/>
          <w:b/>
          <w:bCs/>
          <w:sz w:val="24"/>
          <w:highlight w:val="none"/>
          <w:u w:val="single"/>
        </w:rPr>
      </w:pPr>
      <w:r>
        <w:rPr>
          <w:rFonts w:hint="eastAsia" w:ascii="宋体" w:hAnsi="宋体" w:cs="宋体"/>
          <w:b/>
          <w:bCs/>
          <w:sz w:val="24"/>
          <w:highlight w:val="none"/>
          <w:u w:val="single"/>
        </w:rPr>
        <w:t xml:space="preserve">（7）不同供应商的电子响应文件出自同一台电脑；</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（8）供应商存在串通投标情形的；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（9）为本项目提供整体设计、规范编制或者项目管理、监理、检测等服务的；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（10）不同供应商的法定代表人或单位负责人为同一个人或者存在直接控股、管理关系的；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（11）响应文件不满足招标文件的其它实质性要求的；</w:t>
      </w:r>
      <w:r/>
    </w:p>
    <w:p>
      <w:pPr>
        <w:ind w:left="1" w:firstLine="482"/>
        <w:spacing w:line="360" w:lineRule="auto"/>
        <w:rPr>
          <w:rFonts w:ascii="宋体" w:hAnsi="宋体" w:cs="宋体"/>
          <w:b/>
          <w:sz w:val="24"/>
          <w:highlight w:val="none"/>
          <w:u w:val="single"/>
        </w:rPr>
      </w:pPr>
      <w:r>
        <w:rPr>
          <w:rFonts w:hint="eastAsia" w:ascii="宋体" w:hAnsi="宋体" w:cs="宋体"/>
          <w:b/>
          <w:sz w:val="24"/>
          <w:highlight w:val="none"/>
          <w:u w:val="single"/>
        </w:rPr>
        <w:t xml:space="preserve">（12）采购需求中加“★”项有负偏离的（如有）。</w:t>
      </w:r>
      <w:r/>
    </w:p>
    <w:p>
      <w:pPr>
        <w:ind w:firstLine="442"/>
        <w:spacing w:line="360" w:lineRule="auto"/>
        <w:rPr>
          <w:rFonts w:ascii="宋体" w:hAnsi="宋体"/>
          <w:b/>
          <w:bCs/>
          <w:color w:val="000000"/>
          <w:sz w:val="24"/>
          <w:highlight w:val="none"/>
          <w:u w:val="single"/>
        </w:rPr>
      </w:pPr>
      <w:r>
        <w:rPr>
          <w:rFonts w:hint="eastAsia" w:ascii="宋体" w:hAnsi="宋体" w:cs="宋体"/>
          <w:b/>
          <w:sz w:val="24"/>
          <w:highlight w:val="none"/>
          <w:u w:val="single"/>
        </w:rPr>
        <w:t xml:space="preserve">（13）法律、法规、规章（适用本市的）及省级以上规范性文件（适用本市的）规定的其他无效情形。</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24、磋商响应文件的澄清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25、磋商内容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25.1磋商小组与符合条件的供应商就磋商文件中的技术、服务要求及合同草案条款等进行磋商。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700"/>
        <w:jc w:val="left"/>
        <w:keepLines w:val="0"/>
        <w:keepNext w:val="0"/>
        <w:spacing w:before="0" w:after="0" w:line="360" w:lineRule="auto"/>
        <w:rPr>
          <w:rFonts w:ascii="宋体" w:hAnsi="宋体" w:cs="宋体"/>
          <w:color w:val="000000"/>
          <w:sz w:val="24"/>
          <w:szCs w:val="24"/>
          <w:highlight w:val="none"/>
        </w:rPr>
      </w:pPr>
      <w:r/>
      <w:bookmarkStart w:id="106" w:name="_Toc105940921"/>
      <w:r/>
      <w:bookmarkStart w:id="107" w:name="_Toc105940839"/>
      <w:r>
        <w:rPr>
          <w:rFonts w:hint="eastAsia" w:ascii="宋体" w:hAnsi="宋体" w:cs="宋体"/>
          <w:color w:val="000000"/>
          <w:sz w:val="24"/>
          <w:szCs w:val="24"/>
          <w:highlight w:val="none"/>
        </w:rPr>
        <w:t xml:space="preserve">26、最后报价的提交</w:t>
      </w:r>
      <w:bookmarkEnd w:id="106"/>
      <w:r/>
      <w:bookmarkEnd w:id="107"/>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成交供应商与采购人签订合同时，必须提交与合同价（最后总报价）一致的明细报价。</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本项目符合第一种情况</w:t>
      </w:r>
      <w:r>
        <w:rPr>
          <w:rFonts w:hint="eastAsia" w:ascii="宋体" w:hAnsi="宋体" w:cs="宋体"/>
          <w:color w:val="000000"/>
          <w:sz w:val="24"/>
          <w:highlight w:val="none"/>
        </w:rPr>
        <w:t xml:space="preserve">。</w:t>
      </w:r>
      <w:r/>
    </w:p>
    <w:p>
      <w:pPr>
        <w:ind w:firstLine="482"/>
        <w:spacing w:line="360" w:lineRule="auto"/>
        <w:rPr>
          <w:rFonts w:ascii="宋体" w:hAnsi="宋体" w:cs="宋体"/>
          <w:color w:val="000000"/>
          <w:sz w:val="24"/>
          <w:highlight w:val="none"/>
        </w:rPr>
      </w:pPr>
      <w:r/>
      <w:bookmarkStart w:id="108" w:name="_Toc105940922"/>
      <w:r/>
      <w:bookmarkStart w:id="109" w:name="_Toc105940840"/>
      <w:r>
        <w:rPr>
          <w:rFonts w:hint="eastAsia" w:ascii="宋体" w:hAnsi="宋体" w:cs="宋体"/>
          <w:b/>
          <w:bCs/>
          <w:color w:val="000000"/>
          <w:sz w:val="24"/>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highlight w:val="none"/>
        </w:rPr>
        <w:t xml:space="preserve">。</w:t>
      </w:r>
      <w:bookmarkEnd w:id="108"/>
      <w:r/>
      <w:bookmarkEnd w:id="109"/>
      <w:r/>
      <w:bookmarkStart w:id="110" w:name="_Toc98669361"/>
      <w:r/>
      <w:bookmarkStart w:id="111" w:name="_Toc20732998"/>
      <w:r/>
      <w:bookmarkStart w:id="112" w:name="_Toc92168030"/>
      <w:r/>
      <w:bookmarkStart w:id="113" w:name="_Toc98669719"/>
      <w:r/>
      <w:bookmarkStart w:id="114" w:name="_Toc100386064"/>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26.3最后报价是供应商响应文件的有效组成部分。符合《政府采购竞争性磋商采购方式管理暂行办法》第三条第四项及本须知第25.2项情形的，提交最后报价的供应商可以为2家。</w:t>
      </w:r>
      <w:bookmarkEnd w:id="10"/>
      <w:r/>
      <w:bookmarkEnd w:id="11"/>
      <w:r/>
      <w:bookmarkEnd w:id="12"/>
      <w:r/>
      <w:bookmarkEnd w:id="13"/>
      <w:r/>
      <w:bookmarkEnd w:id="14"/>
      <w:r/>
      <w:bookmarkEnd w:id="110"/>
      <w:r/>
      <w:bookmarkEnd w:id="111"/>
      <w:r/>
      <w:bookmarkEnd w:id="112"/>
      <w:r/>
      <w:bookmarkEnd w:id="113"/>
      <w:r/>
      <w:bookmarkEnd w:id="114"/>
      <w:r/>
      <w:r/>
    </w:p>
    <w:p>
      <w:pPr>
        <w:pStyle w:val="1700"/>
        <w:jc w:val="left"/>
        <w:keepLines w:val="0"/>
        <w:keepNext w:val="0"/>
        <w:spacing w:before="0" w:after="0" w:line="360" w:lineRule="auto"/>
        <w:rPr>
          <w:rFonts w:ascii="宋体" w:hAnsi="宋体" w:cs="宋体"/>
          <w:color w:val="000000"/>
          <w:sz w:val="24"/>
          <w:szCs w:val="24"/>
          <w:highlight w:val="none"/>
        </w:rPr>
      </w:pPr>
      <w:r/>
      <w:bookmarkStart w:id="115" w:name="_Toc20821546"/>
      <w:r/>
      <w:bookmarkStart w:id="116" w:name="_Toc76955302"/>
      <w:r/>
      <w:bookmarkStart w:id="117" w:name="_Toc98669372"/>
      <w:r/>
      <w:bookmarkStart w:id="118" w:name="_Toc100386076"/>
      <w:r/>
      <w:bookmarkStart w:id="119" w:name="_Toc98669730"/>
      <w:r>
        <w:rPr>
          <w:rFonts w:hint="eastAsia" w:ascii="宋体" w:hAnsi="宋体" w:cs="宋体"/>
          <w:color w:val="000000"/>
          <w:sz w:val="24"/>
          <w:szCs w:val="24"/>
          <w:highlight w:val="none"/>
        </w:rPr>
        <w:t xml:space="preserve">27、相同品牌产品的处理原则</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27.1非单一产品采购项目，采购人应当根据采购项目技术构成、产品价格比重等合理确定核心产品。本项目核心产品见供应商须知前附表。</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27.2使用综合评分法的采购项目，核心产品提供相同品牌产品且通过资格审查、符合性审查的不同供应商参加同一合同项下投标的，按一家供应商计</w:t>
      </w:r>
      <w:r>
        <w:rPr>
          <w:rFonts w:hint="eastAsia" w:ascii="宋体" w:hAnsi="宋体" w:cs="宋体"/>
          <w:color w:val="000000"/>
          <w:sz w:val="24"/>
          <w:highlight w:val="none"/>
        </w:rPr>
        <w:t xml:space="preserve">算，评审后得分最高的同品牌供应商获得中标候选人推荐资格；评审得分相同的，由采购人或者采购人委托评标委员会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磋商文件规定的方式确定一个参加评标的供应商，磋商文件未规定的采取随机抽取方式确定，其他投标无效。</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28、竞争性磋商特殊情况处理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28.1出现下列情形之一的，应当终止竞争性磋商采购活动，发布项目终止公告并说明原因，重新开展采购活动：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28.2</w:t>
      </w:r>
      <w:r>
        <w:rPr>
          <w:rFonts w:hint="eastAsia" w:ascii="宋体" w:hAnsi="宋体" w:cs="宋体"/>
          <w:b/>
          <w:bCs/>
          <w:color w:val="000000"/>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55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28.3因重大变故，采购任务取消的则该磋商活动取消，采购人应当将取消理由通知所有供应商。</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29、允许组织重新评审的情形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29.1磋商结果汇总完成后，除下列情形外，任何人不得以任何理由组织重新评审：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（1）资格性检查认定错误的；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（2）分值汇总计算错误的；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（3）分项评分超出评分标准范围的；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（4）客观分评分不一致的；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（5）经磋商小组一致认定评分畸高、畸低的。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采购人、采购代理机构发现磋商小组未按照磋商文件规定的评审标准进行评审的，应当重新开展采购活动，并同时书面报告本级财政部门。</w:t>
      </w:r>
      <w:r/>
    </w:p>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五</w:t>
      </w:r>
      <w:r>
        <w:rPr>
          <w:rFonts w:hint="eastAsia" w:ascii="宋体" w:hAnsi="宋体" w:eastAsia="宋体" w:cs="宋体"/>
          <w:color w:val="000000"/>
          <w:sz w:val="28"/>
          <w:szCs w:val="28"/>
          <w:highlight w:val="none"/>
        </w:rPr>
        <w:t xml:space="preserve">、确定结果</w:t>
      </w:r>
      <w:r/>
    </w:p>
    <w:p>
      <w:pPr>
        <w:pStyle w:val="1700"/>
        <w:jc w:val="left"/>
        <w:keepLines w:val="0"/>
        <w:keepNext w:val="0"/>
        <w:spacing w:before="0" w:after="0" w:line="360" w:lineRule="auto"/>
        <w:rPr>
          <w:rFonts w:ascii="宋体" w:hAnsi="宋体" w:cs="宋体"/>
          <w:color w:val="000000"/>
          <w:sz w:val="24"/>
          <w:szCs w:val="24"/>
          <w:highlight w:val="none"/>
        </w:rPr>
      </w:pPr>
      <w:r/>
      <w:bookmarkStart w:id="120" w:name="_Toc105940841"/>
      <w:r/>
      <w:bookmarkStart w:id="121" w:name="_Toc105940923"/>
      <w:r>
        <w:rPr>
          <w:rFonts w:hint="eastAsia" w:ascii="宋体" w:hAnsi="宋体" w:cs="宋体"/>
          <w:color w:val="000000"/>
          <w:sz w:val="24"/>
          <w:szCs w:val="24"/>
          <w:highlight w:val="none"/>
        </w:rPr>
        <w:t xml:space="preserve">30、确定</w:t>
      </w:r>
      <w:bookmarkEnd w:id="120"/>
      <w:r/>
      <w:bookmarkEnd w:id="121"/>
      <w:r>
        <w:rPr>
          <w:rFonts w:hint="eastAsia" w:ascii="宋体" w:hAnsi="宋体" w:cs="宋体"/>
          <w:color w:val="000000"/>
          <w:sz w:val="24"/>
          <w:szCs w:val="24"/>
          <w:highlight w:val="none"/>
        </w:rPr>
        <w:t xml:space="preserve">成交供应商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30.1磋商小组在评标结束后2个工作日内将评标报告送采购人。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699"/>
        <w:keepLines w:val="0"/>
        <w:keepNext w:val="0"/>
        <w:spacing w:before="200" w:after="200" w:line="240" w:lineRule="auto"/>
        <w:rPr>
          <w:rFonts w:ascii="宋体" w:hAnsi="宋体" w:eastAsia="宋体" w:cs="宋体"/>
          <w:color w:val="000000"/>
          <w:sz w:val="28"/>
          <w:szCs w:val="28"/>
          <w:highlight w:val="none"/>
        </w:rPr>
      </w:pPr>
      <w:r/>
      <w:bookmarkStart w:id="122" w:name="_Toc105940924"/>
      <w:r/>
      <w:bookmarkStart w:id="123" w:name="_Toc105940842"/>
      <w:r>
        <w:rPr>
          <w:rFonts w:hint="eastAsia" w:ascii="宋体" w:hAnsi="宋体" w:eastAsia="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rPr>
        <w:t xml:space="preserve">、授予合同</w:t>
      </w:r>
      <w:bookmarkEnd w:id="122"/>
      <w:r/>
      <w:bookmarkEnd w:id="123"/>
      <w:r/>
      <w:r/>
    </w:p>
    <w:p>
      <w:pPr>
        <w:pStyle w:val="1700"/>
        <w:jc w:val="left"/>
        <w:keepLines w:val="0"/>
        <w:keepNext w:val="0"/>
        <w:spacing w:before="0" w:after="0" w:line="360" w:lineRule="auto"/>
        <w:rPr>
          <w:rFonts w:ascii="宋体" w:hAnsi="宋体" w:cs="宋体"/>
          <w:color w:val="000000"/>
          <w:sz w:val="24"/>
          <w:szCs w:val="24"/>
          <w:highlight w:val="none"/>
        </w:rPr>
      </w:pPr>
      <w:r/>
      <w:bookmarkStart w:id="124" w:name="_Toc105940925"/>
      <w:r/>
      <w:bookmarkStart w:id="125" w:name="_Toc105940843"/>
      <w:r>
        <w:rPr>
          <w:rFonts w:hint="eastAsia" w:ascii="宋体" w:hAnsi="宋体" w:cs="宋体"/>
          <w:color w:val="000000"/>
          <w:sz w:val="24"/>
          <w:szCs w:val="24"/>
          <w:highlight w:val="none"/>
        </w:rPr>
        <w:t xml:space="preserve">31、磋商组织方接受和拒绝任何或所有投标的权利</w:t>
      </w:r>
      <w:bookmarkEnd w:id="124"/>
      <w:r/>
      <w:bookmarkEnd w:id="12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31.1为维护国家和社会公共利益，磋商组织方保留在授标之前任何时候接受或拒绝任何供应商中标的权利，且对受影响的供应商不承担任何责任。</w:t>
      </w:r>
      <w:r/>
    </w:p>
    <w:p>
      <w:pPr>
        <w:pStyle w:val="1700"/>
        <w:jc w:val="left"/>
        <w:keepLines w:val="0"/>
        <w:keepNext w:val="0"/>
        <w:spacing w:before="0" w:after="0" w:line="360" w:lineRule="auto"/>
        <w:rPr>
          <w:rFonts w:ascii="宋体" w:hAnsi="宋体" w:cs="宋体"/>
          <w:color w:val="000000"/>
          <w:sz w:val="24"/>
          <w:szCs w:val="24"/>
          <w:highlight w:val="none"/>
        </w:rPr>
      </w:pPr>
      <w:r/>
      <w:bookmarkStart w:id="126" w:name="_Toc105940844"/>
      <w:r/>
      <w:bookmarkStart w:id="127" w:name="_Toc105940926"/>
      <w:r>
        <w:rPr>
          <w:rFonts w:hint="eastAsia" w:ascii="宋体" w:hAnsi="宋体" w:cs="宋体"/>
          <w:color w:val="000000"/>
          <w:sz w:val="24"/>
          <w:szCs w:val="24"/>
          <w:highlight w:val="none"/>
        </w:rPr>
        <w:t xml:space="preserve">32、</w:t>
      </w:r>
      <w:bookmarkEnd w:id="126"/>
      <w:r/>
      <w:bookmarkEnd w:id="127"/>
      <w:r>
        <w:rPr>
          <w:rFonts w:hint="eastAsia" w:ascii="宋体" w:hAnsi="宋体" w:cs="宋体"/>
          <w:color w:val="000000"/>
          <w:sz w:val="24"/>
          <w:szCs w:val="24"/>
          <w:highlight w:val="none"/>
        </w:rPr>
        <w:t xml:space="preserve">成交通知书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32.1自成交供应商确定之日起2个工作日内，磋商组织方向成交供应商发出成交通知书，同时编制发布采购结果公告。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32.2成交通知书将是合同的一个组成部分。</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u w:val="single"/>
        </w:rPr>
        <w:t xml:space="preserve">32.3成交通知书发出后，采购人不得违法改变中标结果，成交供应商无正当理由不得放弃中标</w:t>
      </w:r>
      <w:r>
        <w:rPr>
          <w:rFonts w:hint="eastAsia" w:ascii="宋体" w:hAnsi="宋体" w:cs="宋体"/>
          <w:b/>
          <w:bCs/>
          <w:color w:val="000000"/>
          <w:sz w:val="24"/>
          <w:highlight w:val="none"/>
        </w:rPr>
        <w:t xml:space="preserve">。</w:t>
      </w:r>
      <w:r/>
    </w:p>
    <w:p>
      <w:pPr>
        <w:pStyle w:val="1700"/>
        <w:jc w:val="left"/>
        <w:keepLines w:val="0"/>
        <w:keepNext w:val="0"/>
        <w:spacing w:before="0" w:after="0" w:line="360" w:lineRule="auto"/>
        <w:rPr>
          <w:rFonts w:ascii="宋体" w:hAnsi="宋体" w:cs="宋体"/>
          <w:color w:val="000000"/>
          <w:sz w:val="24"/>
          <w:szCs w:val="24"/>
          <w:highlight w:val="none"/>
        </w:rPr>
      </w:pPr>
      <w:r/>
      <w:bookmarkStart w:id="128" w:name="_Toc105940928"/>
      <w:r/>
      <w:bookmarkStart w:id="129" w:name="_Toc105940846"/>
      <w:r>
        <w:rPr>
          <w:rFonts w:hint="eastAsia" w:ascii="宋体" w:hAnsi="宋体" w:cs="宋体"/>
          <w:color w:val="000000"/>
          <w:sz w:val="24"/>
          <w:szCs w:val="24"/>
          <w:highlight w:val="none"/>
        </w:rPr>
        <w:t xml:space="preserve">33、</w:t>
      </w:r>
      <w:bookmarkEnd w:id="128"/>
      <w:r/>
      <w:bookmarkEnd w:id="129"/>
      <w:r>
        <w:rPr>
          <w:rFonts w:hint="eastAsia" w:ascii="宋体" w:hAnsi="宋体" w:cs="宋体"/>
          <w:color w:val="000000"/>
          <w:sz w:val="24"/>
          <w:szCs w:val="24"/>
          <w:highlight w:val="none"/>
        </w:rPr>
        <w:t xml:space="preserve">履约保证金</w:t>
      </w:r>
      <w:r/>
    </w:p>
    <w:p>
      <w:pPr>
        <w:pStyle w:val="1478"/>
        <w:ind w:firstLine="440"/>
        <w:spacing w:line="360" w:lineRule="auto"/>
        <w:rPr>
          <w:rFonts w:ascii="宋体" w:hAnsi="宋体" w:cs="宋体"/>
          <w:sz w:val="24"/>
          <w:highlight w:val="none"/>
        </w:rPr>
      </w:pPr>
      <w:r>
        <w:rPr>
          <w:rFonts w:hint="eastAsia" w:ascii="宋体" w:hAnsi="宋体" w:cs="宋体"/>
          <w:color w:val="000000"/>
          <w:sz w:val="24"/>
          <w:highlight w:val="none"/>
        </w:rPr>
        <w:t xml:space="preserve">33.1</w:t>
      </w:r>
      <w:r>
        <w:rPr>
          <w:rFonts w:hint="eastAsia" w:ascii="宋体" w:hAnsi="宋体" w:cs="宋体"/>
          <w:sz w:val="24"/>
          <w:highlight w:val="none"/>
        </w:rPr>
        <w:t xml:space="preserve">A☑本项目不收取履约保证金。</w:t>
      </w:r>
      <w:r/>
    </w:p>
    <w:p>
      <w:pPr>
        <w:ind w:firstLine="440"/>
        <w:spacing w:line="360" w:lineRule="auto"/>
        <w:rPr>
          <w:sz w:val="24"/>
          <w:highlight w:val="none"/>
        </w:rPr>
      </w:pPr>
      <w:r>
        <w:rPr>
          <w:rFonts w:hint="eastAsia" w:ascii="宋体" w:hAnsi="宋体" w:cs="宋体"/>
          <w:sz w:val="24"/>
          <w:highlight w:val="none"/>
        </w:rPr>
        <w:t xml:space="preserve">B□本项目中标供应商应提交政府采购合同金额XX%的履约保证金（不得超过政府采购合同金额的10%），履约保证金应以支票、汇票、本票、保函、保险保单等非现金形式缴纳或提交。</w:t>
      </w:r>
      <w:r>
        <w:rPr>
          <w:rFonts w:hint="eastAsia" w:ascii="宋体" w:hAnsi="宋体" w:cs="宋体"/>
          <w:color w:val="000000"/>
          <w:sz w:val="24"/>
          <w:highlight w:val="none"/>
        </w:rPr>
        <w:t xml:space="preserve">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700"/>
        <w:jc w:val="left"/>
        <w:keepLines w:val="0"/>
        <w:keepNext w:val="0"/>
        <w:spacing w:before="0" w:after="0" w:line="360" w:lineRule="auto"/>
        <w:rPr>
          <w:rFonts w:ascii="宋体" w:hAnsi="宋体" w:cs="宋体"/>
          <w:color w:val="000000"/>
          <w:sz w:val="24"/>
          <w:szCs w:val="24"/>
          <w:highlight w:val="none"/>
        </w:rPr>
      </w:pPr>
      <w:r/>
      <w:bookmarkStart w:id="130" w:name="_Toc105940847"/>
      <w:r/>
      <w:bookmarkStart w:id="131" w:name="_Toc105940929"/>
      <w:r>
        <w:rPr>
          <w:rFonts w:hint="eastAsia" w:ascii="宋体" w:hAnsi="宋体" w:cs="宋体"/>
          <w:color w:val="000000"/>
          <w:sz w:val="24"/>
          <w:szCs w:val="24"/>
          <w:highlight w:val="none"/>
        </w:rPr>
        <w:t xml:space="preserve">34、签订合同</w:t>
      </w:r>
      <w:bookmarkEnd w:id="130"/>
      <w:r/>
      <w:bookmarkEnd w:id="131"/>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34.1采购人应当自中标通知书发出之日起</w:t>
      </w:r>
      <w:r>
        <w:rPr>
          <w:rFonts w:hint="eastAsia" w:ascii="宋体" w:hAnsi="宋体" w:cs="宋体"/>
          <w:b/>
          <w:bCs/>
          <w:color w:val="000000"/>
          <w:sz w:val="24"/>
          <w:highlight w:val="none"/>
          <w:u w:val="single"/>
        </w:rPr>
        <w:t xml:space="preserve">15</w:t>
      </w:r>
      <w:r>
        <w:rPr>
          <w:rFonts w:hint="eastAsia" w:ascii="宋体" w:hAnsi="宋体" w:cs="宋体"/>
          <w:color w:val="000000"/>
          <w:sz w:val="24"/>
          <w:highlight w:val="none"/>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ascii="宋体" w:hAnsi="宋体" w:cs="宋体"/>
          <w:color w:val="000000"/>
          <w:sz w:val="22"/>
          <w:szCs w:val="22"/>
          <w:highlight w:val="none"/>
        </w:rPr>
      </w:pPr>
      <w:r>
        <w:rPr>
          <w:rFonts w:hint="eastAsia" w:ascii="宋体" w:hAnsi="宋体" w:cs="宋体"/>
          <w:color w:val="000000"/>
          <w:sz w:val="24"/>
          <w:highlight w:val="none"/>
        </w:rPr>
        <w:t xml:space="preserve">34.6采购人与成交供应商应当根据合同的约定依法履行合同义务。政府采购合同的履行、违约责任和解决争议的方法等适用《中华人民共和国民法典》。</w:t>
      </w:r>
      <w:r/>
    </w:p>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、询问、质疑、投诉</w:t>
      </w:r>
      <w:r/>
    </w:p>
    <w:p>
      <w:pPr>
        <w:pStyle w:val="1700"/>
        <w:jc w:val="left"/>
        <w:keepLines w:val="0"/>
        <w:keepNext w:val="0"/>
        <w:spacing w:before="0" w:after="0" w:line="360" w:lineRule="auto"/>
        <w:rPr>
          <w:rFonts w:ascii="宋体" w:hAnsi="宋体" w:cs="宋体"/>
          <w:color w:val="000000"/>
          <w:sz w:val="24"/>
          <w:szCs w:val="24"/>
          <w:highlight w:val="none"/>
        </w:rPr>
      </w:pPr>
      <w:r/>
      <w:bookmarkStart w:id="132" w:name="_Toc105940931"/>
      <w:r/>
      <w:bookmarkStart w:id="133" w:name="_Toc105940849"/>
      <w:r>
        <w:rPr>
          <w:rFonts w:hint="eastAsia" w:ascii="宋体" w:hAnsi="宋体" w:cs="宋体"/>
          <w:color w:val="000000"/>
          <w:sz w:val="24"/>
          <w:szCs w:val="24"/>
          <w:highlight w:val="none"/>
        </w:rPr>
        <w:t xml:space="preserve">35、询问</w:t>
      </w:r>
      <w:bookmarkEnd w:id="132"/>
      <w:r/>
      <w:bookmarkEnd w:id="13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700"/>
        <w:jc w:val="left"/>
        <w:keepLines w:val="0"/>
        <w:keepNext w:val="0"/>
        <w:spacing w:before="0" w:after="0" w:line="360" w:lineRule="auto"/>
        <w:rPr>
          <w:rFonts w:ascii="宋体" w:hAnsi="宋体" w:cs="宋体"/>
          <w:color w:val="000000"/>
          <w:sz w:val="24"/>
          <w:szCs w:val="24"/>
          <w:highlight w:val="none"/>
        </w:rPr>
      </w:pPr>
      <w:r/>
      <w:bookmarkStart w:id="134" w:name="_Toc105940932"/>
      <w:r/>
      <w:bookmarkStart w:id="135" w:name="_Toc105940850"/>
      <w:r>
        <w:rPr>
          <w:rFonts w:hint="eastAsia" w:ascii="宋体" w:hAnsi="宋体" w:cs="宋体"/>
          <w:color w:val="000000"/>
          <w:sz w:val="24"/>
          <w:szCs w:val="24"/>
          <w:highlight w:val="none"/>
        </w:rPr>
        <w:t xml:space="preserve">36、质疑</w:t>
      </w:r>
      <w:bookmarkEnd w:id="134"/>
      <w:r/>
      <w:bookmarkEnd w:id="135"/>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以上规定的供应商应知其权益受到损害之日，是指：</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（1）对可以质疑的磋商文件提出质疑的，为收到磋商文件之日或者磋商文件公告期限届满之日；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（2）对采购过程提出质疑的，为各采购程序环节结束之日；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（3）对中标结果提出质疑的，为中标结果公告期限届满之日。</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6" w:name="_Hlk132706924"/>
      <w:r>
        <w:rPr>
          <w:rFonts w:hint="eastAsia" w:ascii="宋体" w:hAnsi="宋体" w:cs="宋体"/>
          <w:color w:val="000000"/>
          <w:sz w:val="24"/>
          <w:highlight w:val="none"/>
        </w:rPr>
        <w:t xml:space="preserve">政府采购监管部门</w:t>
      </w:r>
      <w:bookmarkEnd w:id="136"/>
      <w:r>
        <w:rPr>
          <w:rFonts w:hint="eastAsia" w:ascii="宋体" w:hAnsi="宋体" w:cs="宋体"/>
          <w:color w:val="000000"/>
          <w:sz w:val="24"/>
          <w:highlight w:val="none"/>
        </w:rPr>
        <w:t xml:space="preserve">将其列入不良行为记录名单，并依法予以处罚。</w:t>
      </w:r>
      <w:r/>
    </w:p>
    <w:p>
      <w:pPr>
        <w:ind w:firstLine="480"/>
        <w:jc w:val="left"/>
        <w:spacing w:line="360" w:lineRule="auto"/>
        <w:shd w:val="clear" w:color="auto" w:fill="ffffff"/>
        <w:rPr>
          <w:rFonts w:ascii="宋体" w:hAnsi="宋体" w:cs="宋体"/>
          <w:b/>
          <w:color w:val="000000"/>
          <w:sz w:val="24"/>
          <w:highlight w:val="none"/>
        </w:rPr>
      </w:pPr>
      <w:r>
        <w:rPr>
          <w:rFonts w:hint="eastAsia" w:ascii="宋体" w:hAnsi="宋体" w:cs="宋体"/>
          <w:color w:val="000000"/>
          <w:sz w:val="24"/>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highlight w:val="none"/>
        </w:rPr>
        <w:t xml:space="preserve">供应商如对采购需求提出质疑，采购人负责处理和答复涉及采购需求的质疑内容。</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36.4采购人、采购代理机构不得拒收质疑供应商在法定质疑期内发出的质疑函，应当在收到质疑函后7个工作日内作出答复，并以书面形式通知质疑供应商和其他有关供应商。</w:t>
      </w:r>
      <w:r/>
    </w:p>
    <w:p>
      <w:pPr>
        <w:pStyle w:val="1700"/>
        <w:jc w:val="left"/>
        <w:keepLines w:val="0"/>
        <w:keepNext w:val="0"/>
        <w:spacing w:before="0" w:after="0" w:line="360" w:lineRule="auto"/>
        <w:rPr>
          <w:rFonts w:ascii="宋体" w:hAnsi="宋体" w:cs="宋体"/>
          <w:color w:val="000000"/>
          <w:sz w:val="24"/>
          <w:szCs w:val="24"/>
          <w:highlight w:val="none"/>
        </w:rPr>
      </w:pPr>
      <w:r/>
      <w:bookmarkStart w:id="137" w:name="_Toc105940851"/>
      <w:r/>
      <w:bookmarkStart w:id="138" w:name="_Toc105940933"/>
      <w:r>
        <w:rPr>
          <w:rFonts w:hint="eastAsia" w:ascii="宋体" w:hAnsi="宋体" w:cs="宋体"/>
          <w:color w:val="000000"/>
          <w:sz w:val="24"/>
          <w:szCs w:val="24"/>
          <w:highlight w:val="none"/>
        </w:rPr>
        <w:t xml:space="preserve">37、投诉</w:t>
      </w:r>
      <w:bookmarkEnd w:id="137"/>
      <w:r/>
      <w:bookmarkEnd w:id="138"/>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37.2投诉流程及注意事项见“江苏政府采购网”网站“办事指南”。</w:t>
      </w:r>
      <w:r/>
    </w:p>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color w:val="000000"/>
          <w:sz w:val="28"/>
          <w:szCs w:val="28"/>
          <w:highlight w:val="none"/>
        </w:rPr>
        <w:t xml:space="preserve">、诚实信用和解释权</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38、诚实信用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38.1供应商之间不得相互串通投标报价，不得妨碍其他供应商的公平竞争，不得损害采购人和其他供应商的合法权益。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38.3供应商不得虚假承诺，否则，按照提供虚假材料谋取中标（成交）处理。</w:t>
      </w:r>
      <w:r/>
    </w:p>
    <w:p>
      <w:pPr>
        <w:ind w:left="2"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38.5根据《财政部关于在政府采购活动中查询及使用信息记录有关问题的通知》（财库〔2016〕125号）、江苏省财政厅《关于做好政府采购信用信息查询使用及登记等工作的通知》（苏财购〔2016〕5</w:t>
      </w:r>
      <w:r>
        <w:rPr>
          <w:rFonts w:hint="eastAsia" w:ascii="宋体" w:hAnsi="宋体" w:cs="宋体"/>
          <w:color w:val="000000"/>
          <w:sz w:val="24"/>
          <w:highlight w:val="none"/>
        </w:rPr>
        <w:t xml:space="preserve">0号）等文件精神，采购人在项目资格性审查时对参加本项目的各供应商进行信用记录查询，信用记录查询渠道为“信用中国”网站（www.creditchina.gov.cn）、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39、解释权</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39.1除相关法律、法规规定外，本磋商文件的解释权归</w:t>
      </w:r>
      <w:r>
        <w:rPr>
          <w:rFonts w:hint="eastAsia" w:ascii="宋体" w:hAnsi="宋体" w:cs="宋体"/>
          <w:b/>
          <w:bCs/>
          <w:color w:val="000000"/>
          <w:sz w:val="24"/>
          <w:highlight w:val="none"/>
        </w:rPr>
        <w:t xml:space="preserve">江苏巍信项目管理有限公司</w:t>
      </w:r>
      <w:r>
        <w:rPr>
          <w:rFonts w:hint="eastAsia" w:ascii="宋体" w:hAnsi="宋体" w:cs="宋体"/>
          <w:color w:val="000000"/>
          <w:sz w:val="24"/>
          <w:highlight w:val="none"/>
        </w:rPr>
        <w:t xml:space="preserve">所有。</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40、适用法律及约束力</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40.1</w:t>
      </w:r>
      <w:r>
        <w:rPr>
          <w:rFonts w:hint="eastAsia" w:ascii="宋体" w:hAnsi="宋体" w:cs="宋体"/>
          <w:b/>
          <w:color w:val="000000"/>
          <w:sz w:val="24"/>
          <w:highlight w:val="none"/>
        </w:rPr>
        <w:t xml:space="preserve">供应商一旦获取了本磋商文件并参加磋商，即被认为接受了本磋商文件的规定和约束。</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40.2本次采购及由本次招标产生的合同受中华人民共和国法律制约和保护。</w:t>
      </w:r>
      <w:bookmarkStart w:id="139" w:name="_Toc105940853"/>
      <w:r/>
      <w:bookmarkStart w:id="140" w:name="_Toc105940935"/>
      <w:r/>
      <w:r/>
    </w:p>
    <w:p>
      <w:pPr>
        <w:ind w:firstLine="480"/>
        <w:jc w:val="center"/>
        <w:spacing w:line="360" w:lineRule="auto"/>
        <w:shd w:val="clear" w:color="auto" w:fill="ffffff"/>
        <w:rPr>
          <w:rFonts w:ascii="宋体" w:cs="宋体"/>
          <w:color w:val="000000"/>
          <w:highlight w:val="none"/>
        </w:rPr>
        <w:outlineLvl w:val="0"/>
      </w:pPr>
      <w:r>
        <w:rPr>
          <w:rFonts w:hint="eastAsia" w:ascii="宋体" w:hAnsi="宋体" w:cs="宋体"/>
          <w:color w:val="000000"/>
          <w:sz w:val="22"/>
          <w:szCs w:val="22"/>
          <w:highlight w:val="none"/>
        </w:rPr>
        <w:br w:type="page" w:clear="all"/>
      </w:r>
      <w:bookmarkStart w:id="141" w:name="_Toc11670"/>
      <w:r>
        <w:rPr>
          <w:rStyle w:val="1706"/>
          <w:rFonts w:hint="eastAsia" w:ascii="宋体" w:hAnsi="宋体" w:cs="宋体"/>
          <w:color w:val="000000"/>
          <w:sz w:val="28"/>
          <w:szCs w:val="28"/>
          <w:highlight w:val="none"/>
        </w:rPr>
        <w:t xml:space="preserve">第三部分  合同格式</w:t>
      </w:r>
      <w:bookmarkEnd w:id="139"/>
      <w:r/>
      <w:bookmarkEnd w:id="140"/>
      <w:r/>
      <w:bookmarkEnd w:id="141"/>
      <w:r/>
      <w:bookmarkStart w:id="142" w:name="_Toc237516017"/>
      <w:r/>
      <w:bookmarkStart w:id="143" w:name="_Toc105940854"/>
      <w:r/>
      <w:r/>
    </w:p>
    <w:p>
      <w:pPr>
        <w:pStyle w:val="1775"/>
        <w:jc w:val="center"/>
        <w:spacing w:after="0" w:line="360" w:lineRule="exact"/>
        <w:rPr>
          <w:rFonts w:ascii="宋体" w:hAnsi="宋体"/>
          <w:b/>
          <w:bCs/>
          <w:sz w:val="72"/>
          <w:szCs w:val="72"/>
          <w:highlight w:val="none"/>
        </w:rPr>
      </w:pPr>
      <w:r/>
      <w:bookmarkStart w:id="144" w:name="EB0db309cd75bd4f689fb07273c1a254bc"/>
      <w:r/>
      <w:bookmarkStart w:id="145" w:name="_Toc22000612"/>
      <w:r/>
      <w:r/>
    </w:p>
    <w:p>
      <w:pPr>
        <w:pStyle w:val="1775"/>
        <w:jc w:val="center"/>
        <w:spacing w:after="0" w:line="360" w:lineRule="auto"/>
        <w:rPr>
          <w:rFonts w:ascii="宋体" w:hAnsi="宋体"/>
          <w:b/>
          <w:bCs/>
          <w:sz w:val="56"/>
          <w:szCs w:val="56"/>
          <w:highlight w:val="none"/>
        </w:rPr>
      </w:pPr>
      <w:r>
        <w:rPr>
          <w:rFonts w:hint="eastAsia" w:ascii="宋体" w:hAnsi="宋体"/>
          <w:b/>
          <w:bCs/>
          <w:sz w:val="56"/>
          <w:szCs w:val="56"/>
          <w:highlight w:val="none"/>
        </w:rPr>
        <w:t xml:space="preserve">镇江市政府采购合同</w:t>
      </w:r>
      <w:r/>
    </w:p>
    <w:p>
      <w:pPr>
        <w:pStyle w:val="1775"/>
        <w:jc w:val="center"/>
        <w:spacing w:after="0" w:line="360" w:lineRule="auto"/>
        <w:rPr>
          <w:rFonts w:ascii="宋体" w:hAnsi="宋体"/>
          <w:b/>
          <w:bCs/>
          <w:sz w:val="52"/>
          <w:szCs w:val="52"/>
          <w:highlight w:val="none"/>
        </w:rPr>
      </w:pPr>
      <w:r>
        <w:rPr>
          <w:rFonts w:hint="eastAsia" w:ascii="仿宋_GB2312" w:hAnsi="仿宋_GB2312" w:eastAsia="仿宋_GB2312" w:cs="仿宋_GB2312"/>
          <w:b/>
          <w:color w:val="000000"/>
          <w:sz w:val="20"/>
          <w:szCs w:val="20"/>
          <w:highlight w:val="none"/>
        </w:rPr>
        <w:t xml:space="preserve">（</w:t>
      </w:r>
      <w:r>
        <w:rPr>
          <w:rFonts w:hint="eastAsia" w:ascii="仿宋_GB2312" w:hAnsi="仿宋_GB2312" w:eastAsia="仿宋_GB2312" w:cs="仿宋_GB2312"/>
          <w:b/>
          <w:sz w:val="20"/>
          <w:szCs w:val="20"/>
          <w:highlight w:val="none"/>
        </w:rPr>
        <w:t xml:space="preserve">以下为中标后签定本项目合同的通用条款，中标供应商不得提出实质性的修改，最终由采购单位与中标单位结合本项目具体情况协商后签订</w:t>
      </w:r>
      <w:r>
        <w:rPr>
          <w:rFonts w:hint="eastAsia" w:ascii="仿宋_GB2312" w:hAnsi="仿宋_GB2312" w:eastAsia="仿宋_GB2312" w:cs="仿宋_GB2312"/>
          <w:b/>
          <w:color w:val="000000"/>
          <w:sz w:val="20"/>
          <w:szCs w:val="20"/>
          <w:highlight w:val="none"/>
        </w:rPr>
        <w:t xml:space="preserve">）</w:t>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945"/>
        <w:jc w:val="left"/>
        <w:spacing w:after="0" w:line="360" w:lineRule="exact"/>
        <w:rPr>
          <w:rFonts w:ascii="宋体" w:hAnsi="宋体"/>
          <w:sz w:val="24"/>
          <w:highlight w:val="none"/>
          <w:u w:val="single"/>
        </w:rPr>
      </w:pPr>
      <w:r>
        <w:rPr>
          <w:rFonts w:hint="eastAsia" w:ascii="宋体" w:hAnsi="宋体"/>
          <w:sz w:val="24"/>
          <w:highlight w:val="none"/>
        </w:rPr>
        <w:t xml:space="preserve">项目名称：</w:t>
      </w:r>
      <w:r>
        <w:rPr>
          <w:rFonts w:hint="eastAsia" w:ascii="宋体" w:hAnsi="宋体"/>
          <w:sz w:val="24"/>
          <w:highlight w:val="none"/>
          <w:u w:val="single"/>
        </w:rPr>
        <w:t xml:space="preserve"> </w:t>
      </w:r>
      <w:r>
        <w:rPr>
          <w:rFonts w:ascii="宋体" w:hAnsi="宋体"/>
          <w:sz w:val="24"/>
          <w:highlight w:val="none"/>
          <w:u w:val="single"/>
        </w:rPr>
        <w:t xml:space="preserve">                                    </w:t>
      </w:r>
      <w:r/>
    </w:p>
    <w:p>
      <w:pPr>
        <w:pStyle w:val="1775"/>
        <w:ind w:firstLine="618"/>
        <w:jc w:val="left"/>
        <w:spacing w:after="0" w:line="360" w:lineRule="exact"/>
        <w:rPr>
          <w:rFonts w:ascii="宋体" w:hAnsi="宋体"/>
          <w:sz w:val="24"/>
          <w:highlight w:val="none"/>
        </w:rPr>
      </w:pPr>
      <w:r>
        <w:rPr>
          <w:rFonts w:ascii="宋体" w:hAnsi="宋体"/>
          <w:sz w:val="24"/>
          <w:highlight w:val="none"/>
        </w:rPr>
      </w:r>
      <w:r/>
    </w:p>
    <w:p>
      <w:pPr>
        <w:pStyle w:val="1775"/>
        <w:ind w:firstLine="945"/>
        <w:jc w:val="left"/>
        <w:spacing w:after="0" w:line="360" w:lineRule="exact"/>
        <w:rPr>
          <w:rFonts w:ascii="宋体" w:hAnsi="宋体"/>
          <w:sz w:val="24"/>
          <w:highlight w:val="none"/>
        </w:rPr>
      </w:pPr>
      <w:r>
        <w:rPr>
          <w:rFonts w:hint="eastAsia" w:ascii="宋体" w:hAnsi="宋体"/>
          <w:sz w:val="24"/>
          <w:highlight w:val="none"/>
        </w:rPr>
        <w:t xml:space="preserve">项目编号：</w:t>
      </w:r>
      <w:r>
        <w:rPr>
          <w:rFonts w:hint="eastAsia" w:ascii="宋体" w:hAnsi="宋体"/>
          <w:sz w:val="24"/>
          <w:highlight w:val="none"/>
          <w:u w:val="single"/>
        </w:rPr>
        <w:t xml:space="preserve"> </w:t>
      </w:r>
      <w:r>
        <w:rPr>
          <w:rFonts w:ascii="宋体" w:hAnsi="宋体"/>
          <w:sz w:val="24"/>
          <w:highlight w:val="none"/>
          <w:u w:val="single"/>
        </w:rPr>
        <w:t xml:space="preserve">                                    </w:t>
      </w:r>
      <w:r/>
    </w:p>
    <w:p>
      <w:pPr>
        <w:pStyle w:val="1775"/>
        <w:ind w:firstLine="618"/>
        <w:jc w:val="left"/>
        <w:spacing w:after="0" w:line="360" w:lineRule="exact"/>
        <w:rPr>
          <w:rFonts w:ascii="宋体" w:hAnsi="宋体"/>
          <w:sz w:val="24"/>
          <w:highlight w:val="none"/>
        </w:rPr>
      </w:pPr>
      <w:r>
        <w:rPr>
          <w:rFonts w:ascii="宋体" w:hAnsi="宋体"/>
          <w:sz w:val="24"/>
          <w:highlight w:val="none"/>
        </w:rPr>
      </w:r>
      <w:r/>
    </w:p>
    <w:p>
      <w:pPr>
        <w:pStyle w:val="1775"/>
        <w:ind w:firstLine="945"/>
        <w:jc w:val="left"/>
        <w:spacing w:after="0" w:line="360" w:lineRule="exact"/>
        <w:rPr>
          <w:rFonts w:ascii="宋体" w:hAnsi="宋体"/>
          <w:sz w:val="24"/>
          <w:highlight w:val="none"/>
        </w:rPr>
      </w:pPr>
      <w:r>
        <w:rPr>
          <w:rFonts w:hint="eastAsia" w:ascii="宋体" w:hAnsi="宋体"/>
          <w:sz w:val="24"/>
          <w:highlight w:val="none"/>
        </w:rPr>
        <w:t xml:space="preserve">采购单位：</w:t>
      </w:r>
      <w:r>
        <w:rPr>
          <w:rFonts w:hint="eastAsia" w:ascii="宋体" w:hAnsi="宋体"/>
          <w:sz w:val="24"/>
          <w:highlight w:val="none"/>
          <w:u w:val="single"/>
        </w:rPr>
        <w:t xml:space="preserve"> </w:t>
      </w:r>
      <w:r>
        <w:rPr>
          <w:rFonts w:ascii="宋体" w:hAnsi="宋体"/>
          <w:sz w:val="24"/>
          <w:highlight w:val="none"/>
          <w:u w:val="single"/>
        </w:rPr>
        <w:t xml:space="preserve">                                    </w:t>
      </w:r>
      <w:r/>
    </w:p>
    <w:p>
      <w:pPr>
        <w:pStyle w:val="1775"/>
        <w:ind w:firstLine="618"/>
        <w:jc w:val="left"/>
        <w:spacing w:after="0" w:line="360" w:lineRule="exact"/>
        <w:rPr>
          <w:rFonts w:ascii="宋体" w:hAnsi="宋体"/>
          <w:sz w:val="24"/>
          <w:highlight w:val="none"/>
        </w:rPr>
      </w:pPr>
      <w:r>
        <w:rPr>
          <w:rFonts w:ascii="宋体" w:hAnsi="宋体"/>
          <w:sz w:val="24"/>
          <w:highlight w:val="none"/>
        </w:rPr>
      </w:r>
      <w:r/>
    </w:p>
    <w:p>
      <w:pPr>
        <w:pStyle w:val="1775"/>
        <w:ind w:firstLine="945"/>
        <w:jc w:val="left"/>
        <w:spacing w:after="0" w:line="360" w:lineRule="exact"/>
        <w:rPr>
          <w:rFonts w:ascii="宋体" w:hAnsi="宋体"/>
          <w:sz w:val="24"/>
          <w:highlight w:val="none"/>
        </w:rPr>
      </w:pPr>
      <w:r>
        <w:rPr>
          <w:rFonts w:hint="eastAsia" w:ascii="宋体" w:hAnsi="宋体"/>
          <w:sz w:val="24"/>
          <w:highlight w:val="none"/>
        </w:rPr>
        <w:t xml:space="preserve">中标单位：</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p>
    <w:p>
      <w:pPr>
        <w:pStyle w:val="1775"/>
        <w:jc w:val="center"/>
        <w:spacing w:after="0" w:line="360" w:lineRule="exact"/>
        <w:rPr>
          <w:rFonts w:ascii="宋体" w:hAnsi="宋体"/>
          <w:sz w:val="24"/>
          <w:highlight w:val="none"/>
        </w:rPr>
      </w:pPr>
      <w:r>
        <w:rPr>
          <w:rFonts w:ascii="宋体" w:hAnsi="宋体"/>
          <w:sz w:val="24"/>
          <w:highlight w:val="none"/>
        </w:rPr>
      </w:r>
      <w:r/>
    </w:p>
    <w:p>
      <w:pPr>
        <w:pStyle w:val="1775"/>
        <w:jc w:val="center"/>
        <w:spacing w:after="0" w:line="360" w:lineRule="exact"/>
        <w:rPr>
          <w:rFonts w:ascii="宋体" w:hAnsi="宋体"/>
          <w:b/>
          <w:sz w:val="36"/>
          <w:szCs w:val="36"/>
          <w:highlight w:val="none"/>
        </w:rPr>
      </w:pPr>
      <w:r>
        <w:rPr>
          <w:rFonts w:hint="eastAsia" w:ascii="宋体" w:hAnsi="宋体"/>
          <w:sz w:val="24"/>
          <w:highlight w:val="none"/>
        </w:rPr>
        <w:t xml:space="preserve">二○</w:t>
      </w:r>
      <w:r>
        <w:rPr>
          <w:rFonts w:ascii="宋体" w:hAnsi="宋体"/>
          <w:sz w:val="24"/>
          <w:highlight w:val="none"/>
        </w:rPr>
        <w:t xml:space="preserve">二</w:t>
      </w:r>
      <w:r>
        <w:rPr>
          <w:rFonts w:hint="eastAsia" w:ascii="宋体" w:hAnsi="宋体"/>
          <w:sz w:val="24"/>
          <w:highlight w:val="none"/>
        </w:rPr>
        <w:t xml:space="preserve">六年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月</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日</w:t>
      </w:r>
      <w:r/>
    </w:p>
    <w:p>
      <w:pPr>
        <w:spacing w:line="360" w:lineRule="exact"/>
        <w:rPr>
          <w:rFonts w:ascii="宋体" w:hAnsi="宋体"/>
          <w:highlight w:val="none"/>
        </w:rPr>
      </w:pPr>
      <w:r>
        <w:rPr>
          <w:rFonts w:ascii="宋体" w:hAnsi="宋体"/>
          <w:highlight w:val="none"/>
        </w:rPr>
      </w:r>
      <w:r/>
    </w:p>
    <w:p>
      <w:pPr>
        <w:rPr>
          <w:rFonts w:ascii="宋体" w:hAnsi="宋体" w:cs="宋体"/>
          <w:bCs/>
          <w:color w:val="000000"/>
          <w:sz w:val="24"/>
          <w:highlight w:val="none"/>
        </w:rPr>
      </w:pPr>
      <w:r>
        <w:rPr>
          <w:rFonts w:hint="eastAsia" w:ascii="宋体" w:hAnsi="宋体" w:cs="宋体"/>
          <w:bCs/>
          <w:color w:val="000000"/>
          <w:sz w:val="24"/>
          <w:highlight w:val="none"/>
        </w:rPr>
        <w:br w:type="page" w:clear="all"/>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项目名称：镇江市丹徒区电子政务外网运营服务项目</w:t>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项目编号：JSZC-321112-JSWX-C2026-0034</w:t>
      </w:r>
      <w:r/>
    </w:p>
    <w:p>
      <w:pPr>
        <w:ind w:firstLine="500"/>
        <w:spacing w:line="360" w:lineRule="auto"/>
        <w:rPr>
          <w:rFonts w:ascii="宋体" w:hAnsi="宋体" w:cs="宋体"/>
          <w:color w:val="000000"/>
          <w:spacing w:val="5"/>
          <w:sz w:val="24"/>
          <w:highlight w:val="none"/>
        </w:rPr>
      </w:pPr>
      <w:r>
        <w:rPr>
          <w:rFonts w:ascii="宋体" w:hAnsi="宋体" w:cs="宋体"/>
          <w:color w:val="000000"/>
          <w:spacing w:val="5"/>
          <w:sz w:val="24"/>
          <w:highlight w:val="none"/>
        </w:rPr>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委托方（甲方）：镇江市丹徒区人民政府办公室 </w:t>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受托方（乙方）：</w:t>
      </w:r>
      <w:bookmarkEnd w:id="144"/>
      <w:r/>
      <w:bookmarkEnd w:id="145"/>
      <w:r/>
      <w:r/>
    </w:p>
    <w:p>
      <w:pPr>
        <w:ind w:firstLine="480"/>
        <w:spacing w:line="360" w:lineRule="auto"/>
        <w:rPr>
          <w:rFonts w:ascii="宋体" w:hAnsi="宋体" w:cs="宋体"/>
          <w:color w:val="000000"/>
          <w:sz w:val="24"/>
          <w:highlight w:val="none"/>
        </w:rPr>
      </w:pPr>
      <w:r/>
      <w:bookmarkStart w:id="146" w:name="_Toc47707249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镇江市丹徒区人民政府办公室</w:t>
      </w:r>
      <w:r>
        <w:rPr>
          <w:rFonts w:hint="eastAsia" w:ascii="宋体" w:hAnsi="宋体" w:cs="宋体"/>
          <w:color w:val="000000"/>
          <w:spacing w:val="5"/>
          <w:sz w:val="24"/>
          <w:highlight w:val="none"/>
        </w:rPr>
        <w:t xml:space="preserve">开展镇江市丹徒区电子政务外网运营服务项目，委托</w:t>
      </w:r>
      <w:r>
        <w:rPr>
          <w:rFonts w:hint="eastAsia" w:ascii="宋体" w:hAnsi="宋体" w:cs="宋体"/>
          <w:color w:val="000000"/>
          <w:spacing w:val="5"/>
          <w:sz w:val="24"/>
          <w:highlight w:val="none"/>
          <w:u w:val="single"/>
        </w:rPr>
        <w:t xml:space="preserve">          </w:t>
      </w:r>
      <w:r>
        <w:rPr>
          <w:rFonts w:hint="eastAsia" w:ascii="宋体" w:hAnsi="宋体" w:cs="宋体"/>
          <w:color w:val="000000"/>
          <w:spacing w:val="5"/>
          <w:sz w:val="24"/>
          <w:highlight w:val="none"/>
        </w:rPr>
        <w:t xml:space="preserve">负责具体实施，</w:t>
      </w:r>
      <w:r>
        <w:rPr>
          <w:rFonts w:hint="eastAsia" w:ascii="宋体" w:hAnsi="宋体" w:cs="宋体"/>
          <w:color w:val="000000"/>
          <w:sz w:val="24"/>
          <w:highlight w:val="none"/>
        </w:rPr>
        <w:t xml:space="preserve">甲、乙双方经友好协商并就</w:t>
      </w:r>
      <w:r>
        <w:rPr>
          <w:rFonts w:hint="eastAsia" w:ascii="宋体" w:hAnsi="宋体" w:cs="宋体"/>
          <w:color w:val="000000"/>
          <w:spacing w:val="5"/>
          <w:sz w:val="24"/>
          <w:highlight w:val="none"/>
        </w:rPr>
        <w:t xml:space="preserve">相关工作的顺利开展</w:t>
      </w:r>
      <w:r>
        <w:rPr>
          <w:rFonts w:hint="eastAsia" w:ascii="宋体" w:hAnsi="宋体" w:cs="宋体"/>
          <w:color w:val="000000"/>
          <w:sz w:val="24"/>
          <w:highlight w:val="none"/>
        </w:rPr>
        <w:t xml:space="preserve">签订合同。具体内容如下：</w:t>
      </w:r>
      <w:r/>
    </w:p>
    <w:p>
      <w:pPr>
        <w:jc w:val="left"/>
        <w:spacing w:line="360" w:lineRule="auto"/>
        <w:rPr>
          <w:rFonts w:ascii="宋体" w:hAnsi="宋体" w:cs="宋体"/>
          <w:b/>
          <w:color w:val="000000"/>
          <w:sz w:val="24"/>
          <w:highlight w:val="none"/>
        </w:rPr>
        <w:outlineLvl w:val="1"/>
      </w:pPr>
      <w:r/>
      <w:bookmarkStart w:id="147" w:name="_Toc22000633"/>
      <w:r>
        <w:rPr>
          <w:rFonts w:hint="eastAsia" w:ascii="宋体" w:hAnsi="宋体" w:cs="宋体"/>
          <w:b/>
          <w:color w:val="000000"/>
          <w:sz w:val="24"/>
          <w:highlight w:val="none"/>
        </w:rPr>
        <w:t xml:space="preserve">1、合同文件</w:t>
      </w:r>
      <w:bookmarkEnd w:id="147"/>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下列关于江苏巍信项目管理有限公司就</w:t>
      </w:r>
      <w:r>
        <w:rPr>
          <w:rFonts w:hint="eastAsia" w:cs="宋体" w:asciiTheme="minorEastAsia" w:hAnsiTheme="minorEastAsia" w:eastAsiaTheme="minorEastAsia"/>
          <w:b/>
          <w:color w:val="000000"/>
          <w:sz w:val="24"/>
          <w:highlight w:val="none"/>
          <w:u w:val="single"/>
        </w:rPr>
        <w:t xml:space="preserve">（项目名称）（项目编号</w:t>
      </w:r>
      <w:r>
        <w:rPr>
          <w:rFonts w:hint="eastAsia" w:cs="宋体" w:asciiTheme="minorEastAsia" w:hAnsiTheme="minorEastAsia"/>
          <w:b/>
          <w:color w:val="000000"/>
          <w:sz w:val="24"/>
          <w:highlight w:val="none"/>
          <w:u w:val="single"/>
        </w:rPr>
        <w:t xml:space="preserve">）</w:t>
      </w:r>
      <w:r>
        <w:rPr>
          <w:rFonts w:hint="eastAsia" w:ascii="宋体" w:hAnsi="宋体" w:cs="宋体"/>
          <w:color w:val="000000"/>
          <w:sz w:val="24"/>
          <w:highlight w:val="none"/>
        </w:rPr>
        <w:t xml:space="preserve">的招标文件、乙方提交的响应文件是构成本合同不可分割的部分：</w:t>
      </w:r>
      <w:r/>
    </w:p>
    <w:p>
      <w:pPr>
        <w:ind w:firstLine="480"/>
        <w:spacing w:line="360" w:lineRule="auto"/>
        <w:tabs>
          <w:tab w:val="left" w:pos="1365" w:leader="none"/>
        </w:tabs>
        <w:rPr>
          <w:rFonts w:ascii="宋体" w:hAnsi="宋体" w:cs="宋体"/>
          <w:color w:val="000000"/>
          <w:sz w:val="24"/>
          <w:highlight w:val="none"/>
        </w:rPr>
      </w:pPr>
      <w:r/>
      <w:bookmarkStart w:id="148" w:name="_Toc22000634"/>
      <w:r>
        <w:rPr>
          <w:rFonts w:hint="eastAsia" w:ascii="宋体" w:hAnsi="宋体" w:cs="宋体"/>
          <w:color w:val="000000"/>
          <w:sz w:val="24"/>
          <w:highlight w:val="none"/>
        </w:rPr>
        <w:t xml:space="preserve">（1）成交通知书；</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（2）磋商承诺函；</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（3）报价一览表；</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（4）清单及报价明细表；</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（5）技术响应文件；</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（6）服务承诺。</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2、合同范围和条件</w:t>
      </w:r>
      <w:bookmarkEnd w:id="148"/>
      <w:r/>
      <w:r/>
    </w:p>
    <w:p>
      <w:pPr>
        <w:ind w:firstLine="480"/>
        <w:spacing w:line="360" w:lineRule="auto"/>
        <w:rPr>
          <w:rFonts w:ascii="宋体" w:hAnsi="宋体" w:cs="宋体"/>
          <w:b/>
          <w:color w:val="000000"/>
          <w:sz w:val="32"/>
          <w:szCs w:val="32"/>
          <w:highlight w:val="none"/>
        </w:rPr>
      </w:pPr>
      <w:r>
        <w:rPr>
          <w:rFonts w:hint="eastAsia" w:ascii="宋体" w:hAnsi="宋体" w:cs="宋体"/>
          <w:color w:val="000000"/>
          <w:sz w:val="24"/>
          <w:highlight w:val="none"/>
        </w:rPr>
        <w:t xml:space="preserve">本合同的范围和条件应与上述合同文件的规定相一致。</w:t>
      </w:r>
      <w:r/>
    </w:p>
    <w:p>
      <w:pPr>
        <w:jc w:val="left"/>
        <w:spacing w:line="360" w:lineRule="auto"/>
        <w:rPr>
          <w:rFonts w:ascii="宋体" w:hAnsi="宋体" w:cs="宋体"/>
          <w:b/>
          <w:color w:val="000000"/>
          <w:sz w:val="24"/>
          <w:highlight w:val="none"/>
        </w:rPr>
        <w:outlineLvl w:val="1"/>
      </w:pPr>
      <w:r/>
      <w:bookmarkStart w:id="149" w:name="_Toc22000635"/>
      <w:r>
        <w:rPr>
          <w:rFonts w:hint="eastAsia" w:ascii="宋体" w:hAnsi="宋体" w:cs="宋体"/>
          <w:b/>
          <w:color w:val="000000"/>
          <w:sz w:val="24"/>
          <w:highlight w:val="none"/>
        </w:rPr>
        <w:t xml:space="preserve">3</w:t>
      </w:r>
      <w:bookmarkEnd w:id="149"/>
      <w:r>
        <w:rPr>
          <w:rFonts w:hint="eastAsia" w:ascii="宋体" w:hAnsi="宋体" w:cs="宋体"/>
          <w:b/>
          <w:color w:val="000000"/>
          <w:sz w:val="24"/>
          <w:highlight w:val="none"/>
        </w:rPr>
        <w:t xml:space="preserve">、标的物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本合同所提供的标的物详见“清单及明细报价表”（</w:t>
      </w:r>
      <w:r>
        <w:rPr>
          <w:rFonts w:hint="eastAsia" w:ascii="宋体" w:hAnsi="宋体" w:cs="宋体"/>
          <w:bCs/>
          <w:color w:val="000000"/>
          <w:sz w:val="24"/>
          <w:highlight w:val="none"/>
        </w:rPr>
        <w:t xml:space="preserve">本项目为交钥匙项目，乙方必须完全实现磋商文件中的采购需求，如有不足或缺陷，由乙方自行负责弥补，甲方不再承担任何相关费用）</w:t>
      </w:r>
      <w:r>
        <w:rPr>
          <w:rFonts w:hint="eastAsia" w:ascii="宋体" w:hAnsi="宋体" w:cs="宋体"/>
          <w:color w:val="000000"/>
          <w:sz w:val="24"/>
          <w:highlight w:val="none"/>
        </w:rPr>
        <w:t xml:space="preserve">。</w:t>
      </w:r>
      <w:r/>
    </w:p>
    <w:p>
      <w:pPr>
        <w:jc w:val="left"/>
        <w:spacing w:line="360" w:lineRule="auto"/>
        <w:rPr>
          <w:rFonts w:ascii="宋体" w:hAnsi="宋体" w:cs="宋体"/>
          <w:b/>
          <w:color w:val="000000"/>
          <w:sz w:val="24"/>
          <w:highlight w:val="none"/>
        </w:rPr>
        <w:outlineLvl w:val="1"/>
      </w:pPr>
      <w:r/>
      <w:bookmarkStart w:id="150" w:name="_Toc22000636"/>
      <w:r>
        <w:rPr>
          <w:rFonts w:hint="eastAsia" w:ascii="宋体" w:hAnsi="宋体" w:cs="宋体"/>
          <w:b/>
          <w:color w:val="000000"/>
          <w:sz w:val="24"/>
          <w:highlight w:val="none"/>
        </w:rPr>
        <w:t xml:space="preserve">4、合同金额</w:t>
      </w:r>
      <w:bookmarkEnd w:id="150"/>
      <w:r/>
      <w:r/>
    </w:p>
    <w:p>
      <w:pPr>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根据上述合同文件要求，合同金额（大写）为人民币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元（项目增加费用不得超过原合同金额的10%，同时双方必须签订补充合同），分项价格在乙方提交的报价表中有明确规定。</w:t>
      </w:r>
      <w:bookmarkStart w:id="151" w:name="_Toc22000637"/>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5、付款</w:t>
      </w:r>
      <w:bookmarkEnd w:id="151"/>
      <w:r>
        <w:rPr>
          <w:rFonts w:hint="eastAsia" w:ascii="宋体" w:hAnsi="宋体" w:cs="宋体"/>
          <w:b/>
          <w:color w:val="000000"/>
          <w:sz w:val="24"/>
          <w:highlight w:val="none"/>
        </w:rPr>
        <w:t xml:space="preserve">方式</w:t>
      </w:r>
      <w:r/>
    </w:p>
    <w:p>
      <w:pPr>
        <w:ind w:firstLine="480"/>
        <w:spacing w:line="360" w:lineRule="auto"/>
        <w:rPr>
          <w:rFonts w:ascii="宋体" w:hAnsi="宋体" w:cs="宋体"/>
          <w:bCs/>
          <w:sz w:val="24"/>
          <w:highlight w:val="none"/>
        </w:rPr>
      </w:pPr>
      <w:r/>
      <w:bookmarkStart w:id="152" w:name="_Toc22000638"/>
      <w:r>
        <w:rPr>
          <w:rFonts w:hint="eastAsia" w:ascii="宋体" w:hAnsi="宋体" w:cs="宋体"/>
          <w:bCs/>
          <w:sz w:val="24"/>
          <w:highlight w:val="none"/>
        </w:rPr>
        <w:t xml:space="preserve">5.1分三年支付，合同签订生效后，甲方收到乙方开具的正规发票后10个工作日内支付第一年合同额的10%；</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5.2服务期满3个月后，甲方收到乙方开具的正规发票后支付第一年合同额的15%；</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5.3合同余款按季度结算，由乙方开具对应金额的服务费发票给甲方，按流程支付。</w:t>
      </w:r>
      <w:r/>
    </w:p>
    <w:p>
      <w:pPr>
        <w:ind w:firstLine="480"/>
        <w:spacing w:line="360" w:lineRule="auto"/>
        <w:rPr>
          <w:rFonts w:ascii="宋体" w:hAnsi="宋体" w:cs="宋体"/>
          <w:b/>
          <w:sz w:val="24"/>
          <w:highlight w:val="none"/>
        </w:rPr>
      </w:pPr>
      <w:r>
        <w:rPr>
          <w:rFonts w:hint="eastAsia" w:ascii="宋体" w:hAnsi="宋体" w:cs="宋体"/>
          <w:bCs/>
          <w:sz w:val="24"/>
          <w:highlight w:val="none"/>
        </w:rPr>
        <w:t xml:space="preserve">备注：上述款项均不另计利息。具体支付进度还应根据拨款进度执行，延期支付采购人不承担利息及滞纳金。</w:t>
      </w:r>
      <w:r/>
    </w:p>
    <w:p>
      <w:pPr>
        <w:jc w:val="left"/>
        <w:spacing w:line="360" w:lineRule="auto"/>
        <w:rPr>
          <w:rFonts w:ascii="宋体" w:hAnsi="宋体" w:cs="宋体"/>
          <w:b/>
          <w:sz w:val="24"/>
          <w:highlight w:val="none"/>
        </w:rPr>
        <w:outlineLvl w:val="1"/>
      </w:pPr>
      <w:r>
        <w:rPr>
          <w:rFonts w:hint="eastAsia" w:ascii="宋体" w:hAnsi="宋体" w:cs="宋体"/>
          <w:b/>
          <w:sz w:val="24"/>
          <w:highlight w:val="none"/>
        </w:rPr>
        <w:t xml:space="preserve">6、合同履行期限和实施</w:t>
      </w:r>
      <w:bookmarkEnd w:id="152"/>
      <w:r>
        <w:rPr>
          <w:rFonts w:hint="eastAsia" w:ascii="宋体" w:hAnsi="宋体" w:cs="宋体"/>
          <w:b/>
          <w:sz w:val="24"/>
          <w:highlight w:val="none"/>
        </w:rPr>
        <w:t xml:space="preserve">范围</w:t>
      </w:r>
      <w:r/>
    </w:p>
    <w:p>
      <w:pPr>
        <w:ind w:firstLine="480"/>
        <w:spacing w:line="360" w:lineRule="auto"/>
        <w:rPr>
          <w:rFonts w:ascii="宋体" w:hAnsi="宋体" w:cs="宋体"/>
          <w:sz w:val="24"/>
          <w:highlight w:val="none"/>
        </w:rPr>
      </w:pPr>
      <w:r/>
      <w:bookmarkStart w:id="153" w:name="_Toc22000639"/>
      <w:r>
        <w:rPr>
          <w:rFonts w:hint="eastAsia" w:ascii="宋体" w:hAnsi="宋体" w:cs="宋体"/>
          <w:sz w:val="24"/>
          <w:highlight w:val="none"/>
        </w:rPr>
        <w:t xml:space="preserve">6.1 合同履行期限：3年（服务期自部署交付并经甲方确认后，自开通使用的当月开始计算，为期三年）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6.2 项目实施范围：镇江市丹徒区。</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7、服务内容</w:t>
      </w:r>
      <w:bookmarkEnd w:id="15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 电子政务外网链路服务：提供丹徒区政府各部委办局及拓展村镇现有电子政务外网链路服务，确保链路正常，满足日常办公需要。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 电子政务外网运维服务：提供丹徒区电子政务外网软硬件设备检查及升级服务，支持IPv4/IPv6双栈技术。提供丹徒区电子政务外网的运行监控、定期巡检、故障排除、重点保障及应急响应服务。 </w:t>
      </w:r>
      <w:r/>
    </w:p>
    <w:p>
      <w:pPr>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7.3. 电子政务外网安全升级</w:t>
      </w:r>
      <w:r>
        <w:rPr>
          <w:rFonts w:hint="eastAsia" w:ascii="宋体" w:hAnsi="宋体" w:cs="宋体"/>
          <w:sz w:val="24"/>
          <w:highlight w:val="none"/>
        </w:rPr>
        <w:t xml:space="preserve">服务：提供丹徒区电子政务外网网络安全升级服务，提升电子政务外网的网络安全及终端设备安全，提供网络安全培训。</w:t>
      </w:r>
      <w:r/>
    </w:p>
    <w:p>
      <w:pPr>
        <w:jc w:val="left"/>
        <w:spacing w:line="360" w:lineRule="auto"/>
        <w:rPr>
          <w:rFonts w:ascii="宋体" w:hAnsi="宋体" w:cs="宋体"/>
          <w:b/>
          <w:sz w:val="24"/>
          <w:highlight w:val="none"/>
        </w:rPr>
        <w:outlineLvl w:val="1"/>
      </w:pPr>
      <w:r>
        <w:rPr>
          <w:rFonts w:hint="eastAsia" w:ascii="宋体" w:hAnsi="宋体" w:cs="宋体"/>
          <w:b/>
          <w:sz w:val="24"/>
          <w:highlight w:val="none"/>
        </w:rPr>
        <w:t xml:space="preserve">8、服务内容</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8.1 服务要求：乙方须明确至少一名</w:t>
      </w:r>
      <w:r>
        <w:rPr>
          <w:rFonts w:hint="eastAsia" w:ascii="宋体" w:hAnsi="宋体" w:cs="宋体"/>
          <w:color w:val="000000"/>
          <w:sz w:val="24"/>
          <w:highlight w:val="none"/>
        </w:rPr>
        <w:t xml:space="preserve">专业人员定点维护丹徒区政府各部委办局及拓展村镇的电子政务外网的软硬件设备及链路。乙方必须提供必要的驻场运维服务以及7×24小时应急响应技术服务。定点运维人员不能解决的技术问题应由所在公司统一协调解决。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8.2 提供7*24小时响应服务，乙方应在收到用户报修请求后，需10分钟响应，30分钟到达现场服务，乙方需在1小时内排除故障；紧急故障的处理原则：乙方应按照先恢复、后维修的原则迅速处理。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8.3 保密要求：乙方对本项目所有信息负有保密义务，不得侵害、外泄或以任何直接或间接的方法使任何第三人知悉或使用。乙方保证参与甲方工作过程中严格遵守关于网络安全的相关规定。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8.4 乙方必须根据本次项目的目标和范围，提出相应的维护服务方案。</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9、甲、乙双方违约责任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9.1甲方违约责任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9.1.1合同签订后，由于甲方原因停止项目而终止合同的，乙方未进入现场工作前，乙方必须全额返还预付款；乙方已进入现场工作，但因甲方过错导致的项目停止和终止，甲方应按完成的实际工作量支付合同款。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9.2乙方违约责任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9.2.1合同签订后，由于乙方原因停止项目而终止合同的，甲方有权不支付乙方剩余合同款项。</w:t>
      </w:r>
      <w:r/>
    </w:p>
    <w:p>
      <w:pPr>
        <w:pStyle w:val="1503"/>
        <w:ind w:firstLine="480"/>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9.2.2在甲方根据上述规定，终止了全部或部分合同后，甲方可以依其认为适当的条件和方法购买与未提供服务类似的服务，乙方应对甲方购买类似服务所超出部分费用负责。</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10、不可抗力</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t xml:space="preserve">.1如果双方由于不可抗拒力的任何事故(须经双方认同)，致使影响合同履行时，履行合同的期限应予延长，延长期限相当于事故影响的时间。</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t xml:space="preserve">.2本条所述的“不可抗拒力”系指双方无法控制、不可预见的事件。这些事件包括但不限于：战争、严重水灾、台风、地震以及其他双方商定的事件。</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t xml:space="preserve">.3受事故影响的一方应在不可抗拒力事故发后尽快以传真通知对方，双方应通过友好协商在合理时间内达成进一步履行合同的协议。</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11、税费</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.1中国政府根据现行税法规定对甲方征收的与本合同有关的一切税费均由甲方负担(免税部分除外)，采购文件另有规定的除外。</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.2中国政府根据现行税法规定对乙方征收的与本合同有关的一切税费均由乙方负担(免税部分除外)，采购文件另有规定的除外。</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12、纠纷解决办法</w:t>
      </w:r>
      <w:r/>
    </w:p>
    <w:p>
      <w:pPr>
        <w:ind w:left="37" w:right="65" w:firstLine="498"/>
        <w:spacing w:before="4" w:line="359" w:lineRule="auto"/>
        <w:rPr>
          <w:rFonts w:ascii="宋体" w:hAnsi="宋体" w:cs="宋体"/>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.1在执行本合同中所发生的或与本合同有关的一切争端，甲方和乙方应通过友好协商的办法进行解决。如协商仍不能解决，则通过由甲方所在地人民</w:t>
      </w:r>
      <w:r>
        <w:rPr>
          <w:rFonts w:ascii="宋体" w:hAnsi="宋体" w:cs="宋体"/>
          <w:sz w:val="24"/>
          <w:highlight w:val="none"/>
        </w:rPr>
        <w:t xml:space="preserve">法院诉讼。</w:t>
      </w:r>
      <w:r/>
    </w:p>
    <w:p>
      <w:pPr>
        <w:ind w:left="37" w:right="65" w:firstLine="498"/>
        <w:spacing w:before="4" w:line="359" w:lineRule="auto"/>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2</w:t>
      </w:r>
      <w:r>
        <w:rPr>
          <w:rFonts w:ascii="宋体" w:hAnsi="宋体" w:cs="宋体"/>
          <w:sz w:val="24"/>
          <w:highlight w:val="none"/>
        </w:rPr>
        <w:t xml:space="preserve">.2在诉讼期间，本合同应继续执行。</w:t>
      </w:r>
      <w:r/>
    </w:p>
    <w:p>
      <w:pPr>
        <w:jc w:val="left"/>
        <w:spacing w:line="360" w:lineRule="auto"/>
        <w:rPr>
          <w:rFonts w:ascii="宋体" w:hAnsi="宋体" w:cs="宋体"/>
          <w:spacing w:val="-8"/>
          <w:sz w:val="24"/>
          <w:highlight w:val="none"/>
        </w:rPr>
        <w:outlineLvl w:val="1"/>
      </w:pPr>
      <w:r>
        <w:rPr>
          <w:rFonts w:hint="eastAsia" w:ascii="宋体" w:hAnsi="宋体" w:cs="宋体"/>
          <w:b/>
          <w:sz w:val="24"/>
          <w:highlight w:val="none"/>
        </w:rPr>
        <w:t xml:space="preserve">13、违约终止合同</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3</w:t>
      </w:r>
      <w:r>
        <w:rPr>
          <w:rFonts w:hint="eastAsia" w:ascii="宋体" w:hAnsi="宋体"/>
          <w:sz w:val="24"/>
          <w:highlight w:val="none"/>
          <w:lang w:val="zh-CN"/>
        </w:rPr>
        <w:t xml:space="preserve">.1 甲方无正当理由拒绝接受乙方提供服务的，应向乙方偿付拒绝接受服务合同总额</w:t>
      </w:r>
      <w:r>
        <w:rPr>
          <w:rFonts w:hint="eastAsia" w:ascii="宋体" w:hAnsi="宋体"/>
          <w:sz w:val="24"/>
          <w:highlight w:val="none"/>
        </w:rPr>
        <w:t xml:space="preserve"> 2% </w:t>
      </w:r>
      <w:r>
        <w:rPr>
          <w:rFonts w:hint="eastAsia" w:ascii="宋体" w:hAnsi="宋体"/>
          <w:sz w:val="24"/>
          <w:highlight w:val="none"/>
          <w:lang w:val="zh-CN"/>
        </w:rPr>
        <w:t xml:space="preserve">的违约金。</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3</w:t>
      </w:r>
      <w:r>
        <w:rPr>
          <w:rFonts w:hint="eastAsia" w:ascii="宋体" w:hAnsi="宋体"/>
          <w:sz w:val="24"/>
          <w:highlight w:val="none"/>
          <w:lang w:val="zh-CN"/>
        </w:rPr>
        <w:t xml:space="preserve">.2 甲方无故逾期验收和办理支付手续的，应按逾期付款总额每日 </w:t>
      </w:r>
      <w:r>
        <w:rPr>
          <w:rFonts w:hint="eastAsia" w:ascii="宋体" w:hAnsi="宋体"/>
          <w:sz w:val="24"/>
          <w:highlight w:val="none"/>
        </w:rPr>
        <w:t xml:space="preserve">0.0</w:t>
      </w:r>
      <w:r>
        <w:rPr>
          <w:rFonts w:hint="eastAsia" w:ascii="宋体" w:hAnsi="宋体"/>
          <w:sz w:val="24"/>
          <w:highlight w:val="none"/>
          <w:lang w:val="zh-CN"/>
        </w:rPr>
        <w:t xml:space="preserve">1</w:t>
      </w:r>
      <w:r>
        <w:rPr>
          <w:rFonts w:hint="eastAsia" w:ascii="宋体" w:hAnsi="宋体"/>
          <w:sz w:val="24"/>
          <w:highlight w:val="none"/>
        </w:rPr>
        <w:t xml:space="preserve">%</w:t>
      </w:r>
      <w:r>
        <w:rPr>
          <w:rFonts w:hint="eastAsia" w:ascii="宋体" w:hAnsi="宋体"/>
          <w:sz w:val="24"/>
          <w:highlight w:val="none"/>
          <w:lang w:val="zh-CN"/>
        </w:rPr>
        <w:t xml:space="preserve"> 向乙方支付违约金，但违约金最高不得超过</w:t>
      </w:r>
      <w:r>
        <w:rPr>
          <w:rFonts w:hint="eastAsia" w:ascii="宋体" w:hAnsi="宋体"/>
          <w:sz w:val="24"/>
          <w:highlight w:val="none"/>
        </w:rPr>
        <w:t xml:space="preserve">欠款</w:t>
      </w:r>
      <w:r>
        <w:rPr>
          <w:rFonts w:hint="eastAsia" w:ascii="宋体" w:hAnsi="宋体"/>
          <w:sz w:val="24"/>
          <w:highlight w:val="none"/>
          <w:lang w:val="zh-CN"/>
        </w:rPr>
        <w:t xml:space="preserve">总价的 5% 。</w:t>
      </w:r>
      <w:r>
        <w:rPr>
          <w:rFonts w:hint="eastAsia" w:ascii="宋体" w:hAnsi="宋体"/>
          <w:sz w:val="24"/>
          <w:highlight w:val="none"/>
        </w:rPr>
        <w:t xml:space="preserve">本款与本条第一款不重复适用。</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3</w:t>
      </w:r>
      <w:r>
        <w:rPr>
          <w:rFonts w:hint="eastAsia" w:ascii="宋体" w:hAnsi="宋体"/>
          <w:sz w:val="24"/>
          <w:highlight w:val="none"/>
          <w:lang w:val="zh-CN"/>
        </w:rPr>
        <w:t xml:space="preserve">.3 乙方逾期提供服务的，应按逾期提供服务合同总额每日  </w:t>
      </w:r>
      <w:r>
        <w:rPr>
          <w:rFonts w:hint="eastAsia" w:ascii="宋体" w:hAnsi="宋体"/>
          <w:sz w:val="24"/>
          <w:highlight w:val="none"/>
        </w:rPr>
        <w:t xml:space="preserve">2%</w:t>
      </w:r>
      <w:r>
        <w:rPr>
          <w:rFonts w:hint="eastAsia" w:ascii="宋体" w:hAnsi="宋体"/>
          <w:sz w:val="24"/>
          <w:highlight w:val="none"/>
          <w:lang w:val="zh-CN"/>
        </w:rPr>
        <w:t xml:space="preserve"> 向甲方支付违约金，由甲方从待付合同款中扣除。超过约定日期5个自然日不能提供服务的，甲方可解除本合同。乙方因逾期提供服务或因其他违约行为导致甲方解除合同的，应向甲方支付合同总额 </w:t>
      </w:r>
      <w:r>
        <w:rPr>
          <w:rFonts w:hint="eastAsia" w:ascii="宋体" w:hAnsi="宋体"/>
          <w:sz w:val="24"/>
          <w:highlight w:val="none"/>
        </w:rPr>
        <w:t xml:space="preserve">10</w:t>
      </w:r>
      <w:r>
        <w:rPr>
          <w:rFonts w:hint="eastAsia" w:ascii="宋体" w:hAnsi="宋体"/>
          <w:sz w:val="24"/>
          <w:highlight w:val="none"/>
          <w:lang w:val="zh-CN"/>
        </w:rPr>
        <w:t xml:space="preserve">% 的违约金。</w:t>
      </w:r>
      <w:r/>
    </w:p>
    <w:p>
      <w:pPr>
        <w:ind w:left="37" w:right="65" w:firstLine="498"/>
        <w:spacing w:before="4" w:line="359" w:lineRule="auto"/>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4</w:t>
      </w:r>
      <w:r>
        <w:rPr>
          <w:rFonts w:ascii="宋体" w:hAnsi="宋体" w:cs="宋体"/>
          <w:sz w:val="24"/>
          <w:highlight w:val="none"/>
        </w:rPr>
        <w:t xml:space="preserve">在甲方对乙方违约而采取的任何补救措施不受影响的情况下，甲方可向乙方发出终止部分或全部合同的书面通知书。</w:t>
      </w:r>
      <w:r/>
    </w:p>
    <w:p>
      <w:pPr>
        <w:ind w:left="37" w:right="65" w:firstLine="498"/>
        <w:spacing w:before="4" w:line="359" w:lineRule="auto"/>
        <w:rPr>
          <w:rFonts w:ascii="宋体" w:hAnsi="宋体" w:cs="宋体"/>
          <w:sz w:val="24"/>
          <w:highlight w:val="none"/>
        </w:rPr>
      </w:pPr>
      <w:r>
        <w:rPr>
          <w:rFonts w:ascii="宋体" w:hAnsi="宋体" w:cs="宋体"/>
          <w:sz w:val="24"/>
          <w:highlight w:val="none"/>
        </w:rPr>
        <w:t xml:space="preserve">(1)如果乙方未能按合同规定的期限或甲方同意延长的限期内完成部分或全部</w:t>
      </w:r>
      <w:r>
        <w:rPr>
          <w:rFonts w:hint="eastAsia" w:ascii="宋体" w:hAnsi="宋体" w:cs="宋体"/>
          <w:sz w:val="24"/>
          <w:highlight w:val="none"/>
        </w:rPr>
        <w:t xml:space="preserve">成果</w:t>
      </w:r>
      <w:r>
        <w:rPr>
          <w:rFonts w:ascii="宋体" w:hAnsi="宋体" w:cs="宋体"/>
          <w:sz w:val="24"/>
          <w:highlight w:val="none"/>
        </w:rPr>
        <w:t xml:space="preserve">交付及相关的服务工作</w:t>
      </w:r>
      <w:r>
        <w:rPr>
          <w:rFonts w:hint="eastAsia" w:ascii="宋体" w:hAnsi="宋体" w:cs="宋体"/>
          <w:sz w:val="24"/>
          <w:highlight w:val="none"/>
        </w:rPr>
        <w:t xml:space="preserve">；</w:t>
      </w:r>
      <w:r/>
    </w:p>
    <w:p>
      <w:pPr>
        <w:ind w:left="37" w:right="65" w:firstLine="498"/>
        <w:spacing w:before="4" w:line="359" w:lineRule="auto"/>
        <w:rPr>
          <w:rFonts w:ascii="宋体" w:hAnsi="宋体" w:cs="宋体"/>
          <w:sz w:val="24"/>
          <w:highlight w:val="none"/>
        </w:rPr>
      </w:pPr>
      <w:r>
        <w:rPr>
          <w:rFonts w:ascii="宋体" w:hAnsi="宋体" w:cs="宋体"/>
          <w:sz w:val="24"/>
          <w:highlight w:val="none"/>
        </w:rPr>
        <w:t xml:space="preserve">(2)乙方在收到甲方发出的违约通知后20天内，或经甲方书面认可延长的时间内未能纠正其过失</w:t>
      </w:r>
      <w:r>
        <w:rPr>
          <w:rFonts w:hint="eastAsia" w:ascii="宋体" w:hAnsi="宋体" w:cs="宋体"/>
          <w:sz w:val="24"/>
          <w:highlight w:val="none"/>
        </w:rPr>
        <w:t xml:space="preserve">；</w:t>
      </w:r>
      <w:r/>
    </w:p>
    <w:p>
      <w:pPr>
        <w:ind w:left="37" w:right="65" w:firstLine="498"/>
        <w:spacing w:before="4" w:line="359" w:lineRule="auto"/>
        <w:rPr>
          <w:rFonts w:ascii="宋体" w:hAnsi="宋体" w:cs="宋体"/>
          <w:sz w:val="24"/>
          <w:highlight w:val="none"/>
        </w:rPr>
      </w:pPr>
      <w:r>
        <w:rPr>
          <w:rFonts w:ascii="宋体" w:hAnsi="宋体" w:cs="宋体"/>
          <w:sz w:val="24"/>
          <w:highlight w:val="none"/>
        </w:rPr>
        <w:t xml:space="preserve">(3)如果乙方未能履行合同规定的其他义务。</w:t>
      </w:r>
      <w:r/>
    </w:p>
    <w:p>
      <w:pPr>
        <w:ind w:left="37" w:right="65" w:firstLine="498"/>
        <w:spacing w:before="4" w:line="359" w:lineRule="auto"/>
        <w:rPr>
          <w:rFonts w:ascii="宋体" w:hAnsi="宋体" w:cs="宋体"/>
          <w:color w:val="000000"/>
          <w:sz w:val="24"/>
          <w:highlight w:val="none"/>
        </w:rPr>
      </w:pPr>
      <w:r>
        <w:rPr>
          <w:rFonts w:ascii="宋体" w:hAnsi="宋体" w:cs="宋体"/>
          <w:sz w:val="24"/>
          <w:highlight w:val="none"/>
        </w:rPr>
        <w:t xml:space="preserve">1</w:t>
      </w: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5</w:t>
      </w:r>
      <w:r>
        <w:rPr>
          <w:rFonts w:ascii="宋体" w:hAnsi="宋体" w:cs="宋体"/>
          <w:sz w:val="24"/>
          <w:highlight w:val="none"/>
        </w:rPr>
        <w:t xml:space="preserve">在甲方根据上述规定，终止了全部</w:t>
      </w:r>
      <w:r>
        <w:rPr>
          <w:rFonts w:ascii="宋体" w:hAnsi="宋体" w:cs="宋体"/>
          <w:color w:val="000000"/>
          <w:sz w:val="24"/>
          <w:highlight w:val="none"/>
        </w:rPr>
        <w:t xml:space="preserve">或部分合同后，甲方可以依其认为适当的条件和方法购买与未交货物类似的货物，乙方应对甲方购买类似货物所超出的那部分费用负责。但是，乙方应继续执行合同中未终止的部分。</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14、破产终止合同</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.1如果乙方破产或无清偿能力时，甲方在任何时候书面通知乙方终止合同而不给乙方补偿。该终止合同将不损害或影响甲方已经或将要采取的补救措施的权利。</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15、转让和分包</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t xml:space="preserve">.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16、合同生效及其它</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16.1合同应在双方签字盖章后生效。</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16.2本合同一式肆份，甲方贰份、乙方贰份，具有同等法律效力。</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16.3本合同未尽事宜，遵照《中华人民共和国民法典》有关条文执行。</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（以下无合同正文）</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甲方（单位盖章）：</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代表签字：</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乙方（单位盖章）：</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代表签字：</w:t>
      </w:r>
      <w:r/>
    </w:p>
    <w:p>
      <w:pPr>
        <w:ind w:firstLine="357"/>
        <w:jc w:val="righ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合同签订日期：    年  月  日</w:t>
      </w:r>
      <w:r/>
    </w:p>
    <w:p>
      <w:pPr>
        <w:rPr>
          <w:rFonts w:ascii="宋体" w:hAnsi="宋体" w:cs="宋体"/>
          <w:bCs/>
          <w:color w:val="000000"/>
          <w:sz w:val="24"/>
          <w:highlight w:val="none"/>
        </w:rPr>
      </w:pPr>
      <w:r>
        <w:rPr>
          <w:rFonts w:hint="eastAsia" w:ascii="宋体" w:hAnsi="宋体" w:cs="宋体"/>
          <w:bCs/>
          <w:color w:val="000000"/>
          <w:sz w:val="24"/>
          <w:highlight w:val="none"/>
        </w:rPr>
        <w:br w:type="page" w:clear="all"/>
      </w:r>
      <w:r/>
    </w:p>
    <w:p>
      <w:pPr>
        <w:ind w:firstLine="480"/>
        <w:jc w:val="center"/>
        <w:spacing w:line="360" w:lineRule="auto"/>
        <w:shd w:val="clear" w:color="auto" w:fill="ffffff"/>
        <w:rPr>
          <w:rStyle w:val="1706"/>
          <w:rFonts w:ascii="宋体" w:hAnsi="宋体" w:cs="宋体"/>
          <w:color w:val="000000"/>
          <w:sz w:val="28"/>
          <w:szCs w:val="28"/>
          <w:highlight w:val="none"/>
        </w:rPr>
        <w:outlineLvl w:val="0"/>
      </w:pPr>
      <w:r/>
      <w:bookmarkStart w:id="154" w:name="_Toc12977"/>
      <w:r>
        <w:rPr>
          <w:rStyle w:val="1706"/>
          <w:rFonts w:hint="eastAsia" w:ascii="宋体" w:hAnsi="宋体" w:cs="宋体"/>
          <w:color w:val="000000"/>
          <w:sz w:val="28"/>
          <w:szCs w:val="28"/>
          <w:highlight w:val="none"/>
        </w:rPr>
        <w:t xml:space="preserve">第四部分 </w:t>
      </w:r>
      <w:bookmarkEnd w:id="142"/>
      <w:r>
        <w:rPr>
          <w:rStyle w:val="1706"/>
          <w:rFonts w:hint="eastAsia" w:ascii="宋体" w:hAnsi="宋体" w:cs="宋体"/>
          <w:color w:val="000000"/>
          <w:sz w:val="28"/>
          <w:szCs w:val="28"/>
          <w:highlight w:val="none"/>
        </w:rPr>
        <w:t xml:space="preserve"> 项目采购需求</w:t>
      </w:r>
      <w:bookmarkEnd w:id="143"/>
      <w:r/>
      <w:bookmarkEnd w:id="146"/>
      <w:r/>
      <w:bookmarkEnd w:id="154"/>
      <w:r/>
      <w:r/>
    </w:p>
    <w:p>
      <w:pPr>
        <w:jc w:val="left"/>
        <w:spacing w:line="360" w:lineRule="auto"/>
        <w:rPr>
          <w:rFonts w:ascii="宋体" w:hAnsi="宋体" w:cs="宋体"/>
          <w:b/>
          <w:bCs/>
          <w:sz w:val="24"/>
          <w:highlight w:val="none"/>
        </w:rPr>
      </w:pPr>
      <w:r/>
      <w:bookmarkStart w:id="155" w:name="_Toc1600901986"/>
      <w:r>
        <w:rPr>
          <w:rFonts w:hint="eastAsia" w:ascii="宋体" w:hAnsi="宋体" w:cs="宋体"/>
          <w:b/>
          <w:bCs/>
          <w:sz w:val="24"/>
          <w:highlight w:val="none"/>
        </w:rPr>
        <w:t xml:space="preserve">一、项目概况</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电子政务外网是电子政务传输骨干网，主要运行政务部门面向社会的专业性服务业务和不需在涉密内网运行的业务，满足各级政务部门社会管理和公共服务需要。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为进一步保障丹徒区电子政务外网的接续稳定、业务不间断，计划开展对该项目进行升级运营服务，包括软硬件设备和链路的检查及升级、网络安全保障、终端安全防护、日常运维、重点保障与应急响应工作等。</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项目所属行业：软件和信息技术服务业。</w:t>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二、建设原则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按照国家、省、市电子政务外网建设相关技术规范，在本次电子政务外网链路组网时遵循以下基本原则：</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1.网络设计标准化</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本项目网络改造组网设计所采用的组网技术和设备应符合国标标准和行业标准，为网络系统的扩展升级改造提供基础。</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2.组网技术的先进性和成熟性</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本项目网络建设应适应自身的发展特点及网络通信技术的更新换代，在网络结构设计、网络配置、网络管理方式等方面具有一定的先进性和前瞻性，同时又是成熟、实用的技术，尽量避免技术风险。</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3.高度的网络安全性</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提供完备的安全防护策略，能防止对网络资源的非法访问，保护网络使用者的合法权益。</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4.高度的网络可靠性</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组网设计应能有效避免单点故障，在设备的选择和关键设备互连时，应提供充分的冗余备份，一方面最大限度地减少故障的可能性，另一方面要保证网络能在最短时间内修复。</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5.良好的扩展能力</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能够根据未来业务的增长和变化，平滑扩充和升级现有的网络覆盖范围，扩大网络容量和提高网络的各层次节点的功能，最大程度地减少对网络架构和现有设备的调整。</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6.良好的管理能力</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在组网设计中，需建立有效的网络管理解决方案。通过先进的管理策略、管理工具提高网络的运维效率，简化网络的维护工作。</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7.经济性和实用性</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建设原则以实际需求为出发点，以满足网络应用需求和适应一定时间内的发展规划为原则。</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8.业务过渡平滑性</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为保障采购人业务的连续性，供应商应在充分调研客户业务架构和运行情况的基础上，就电子政务外网制定符合项目需求的组网方案，尽可能降低实施过程对现有网络运行的影响。</w:t>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三、技术要求</w:t>
      </w:r>
      <w:r/>
    </w:p>
    <w:tbl>
      <w:tblPr>
        <w:tblStyle w:val="14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7871"/>
      </w:tblGrid>
      <w:tr>
        <w:trPr>
          <w:jc w:val="center"/>
          <w:tblHeader/>
        </w:trPr>
        <w:tc>
          <w:tcPr>
            <w:tcW w:w="906"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tcW w:w="787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技术要求</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7871"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▲行政村新一代电子政务外网运营所需的传输、交换、安全设备由供应商提供，其维护更换亦由供应商自行负责，所有设备需满足省级所需要求。</w:t>
            </w:r>
            <w:r>
              <w:rPr>
                <w:rFonts w:hint="eastAsia" w:ascii="宋体" w:hAnsi="宋体" w:cs="宋体"/>
                <w:b/>
                <w:bCs/>
                <w:color w:val="auto"/>
                <w:sz w:val="24"/>
                <w:highlight w:val="none"/>
              </w:rPr>
              <w:t xml:space="preserve">（供应商需提供承诺函加盖供应商公章，原件扫描上传，格式自拟）</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W w:w="7871"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每条接入业务两端发送和接收光功率应符合设备光功率技术要求，且正常情况下接收光功率不低于-15dBm。</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tcW w:w="7871"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每条接入业务两端发送和接收光功率应基本保持一致，两端接收光功率差值应小于1dBm。</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4</w:t>
            </w:r>
            <w:r/>
          </w:p>
        </w:tc>
        <w:tc>
          <w:tcPr>
            <w:tcW w:w="7871"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每条接入业务每个跳纤点衰耗不应大于0.5dBm，且跳纤尾纤原则上不允许采用增加法兰头短纤用作长纤的方式。</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W w:w="7871"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每条接入业务的吞吐量、丢包率、时延和抖动等指标测试均应符合承载业务要求。</w:t>
            </w:r>
            <w:r/>
          </w:p>
        </w:tc>
      </w:tr>
      <w:tr>
        <w:trPr>
          <w:jc w:val="center"/>
          <w:trHeight w:val="90"/>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6</w:t>
            </w:r>
            <w:r/>
          </w:p>
        </w:tc>
        <w:tc>
          <w:tcPr>
            <w:shd w:val="clear" w:color="auto" w:fill="auto"/>
            <w:tcW w:w="7871"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在采购人规定的时限内完成区电子政务外网IP地址规划、配置（包括编制所有接入单位IPV4的地址规划表，并配合做好各接入单位网络设备及业务终端的IPV4地址配置；IPV6地址规划表及各接入单位网络设备和业务终端的</w:t>
            </w:r>
            <w:bookmarkStart w:id="156" w:name="OLE_LINK4"/>
            <w:r/>
            <w:bookmarkStart w:id="157" w:name="OLE_LINK3"/>
            <w:r>
              <w:rPr>
                <w:rFonts w:hint="eastAsia" w:ascii="宋体" w:hAnsi="宋体" w:cs="宋体"/>
                <w:color w:val="auto"/>
                <w:sz w:val="24"/>
                <w:highlight w:val="none"/>
              </w:rPr>
              <w:t xml:space="preserve">IPV6</w:t>
            </w:r>
            <w:bookmarkEnd w:id="156"/>
            <w:r/>
            <w:bookmarkEnd w:id="157"/>
            <w:r>
              <w:rPr>
                <w:rFonts w:hint="eastAsia" w:ascii="宋体" w:hAnsi="宋体" w:cs="宋体"/>
                <w:color w:val="auto"/>
                <w:sz w:val="24"/>
                <w:highlight w:val="none"/>
              </w:rPr>
              <w:t xml:space="preserve">配置待上级明确统一规划和标准后，无偿配合采购人完成；服务期内省市区IP规划调整的，无偿配合采购人完成），确保所有设备符合要求，100%接入市电子政务外网，与省市电子政务外网互联互通。</w:t>
            </w:r>
            <w:r>
              <w:rPr>
                <w:rFonts w:hint="eastAsia" w:ascii="宋体" w:hAnsi="宋体" w:cs="宋体"/>
                <w:b/>
                <w:bCs/>
                <w:color w:val="auto"/>
                <w:sz w:val="24"/>
                <w:highlight w:val="none"/>
              </w:rPr>
              <w:t xml:space="preserve">（供应商需提供承诺函加盖供应商公章，原件扫描上传，格式自拟）</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7</w:t>
            </w:r>
            <w:r/>
          </w:p>
        </w:tc>
        <w:tc>
          <w:tcPr>
            <w:shd w:val="clear" w:color="auto" w:fill="auto"/>
            <w:tcW w:w="7871" w:type="dxa"/>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所有线缆两端应附注标签，且符合国家及行业标准规范。</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8</w:t>
            </w:r>
            <w:r/>
          </w:p>
        </w:tc>
        <w:tc>
          <w:tcPr>
            <w:shd w:val="clear" w:color="auto" w:fill="auto"/>
            <w:tcW w:w="7871" w:type="dxa"/>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根据各级网络安全通报、等保测评建议，及时配合处置各部门接入网络设备和用户终端（PC等）安全风险漏洞或事件。</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9</w:t>
            </w:r>
            <w:r/>
          </w:p>
        </w:tc>
        <w:tc>
          <w:tcPr>
            <w:shd w:val="clear" w:color="auto" w:fill="auto"/>
            <w:tcW w:w="7871"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针对2025年省、市、区新一轮电子政务外网改造计划，供应商在服务期内需根据相关标准规范和政策要求制定相关详细实施方案，并报采购人审核，并最终修改完善定稿，同时积极无偿配合采购人做好方案的落实与交付，包括但不限于网络规划、IP划分、配置变化、线路布放或调整、平台对接、配套网络、终端接入设备调试、线路检测等工作。</w:t>
            </w:r>
            <w:r>
              <w:rPr>
                <w:rFonts w:hint="eastAsia" w:ascii="宋体" w:hAnsi="宋体" w:cs="宋体"/>
                <w:b/>
                <w:bCs/>
                <w:color w:val="auto"/>
                <w:sz w:val="24"/>
                <w:highlight w:val="none"/>
              </w:rPr>
              <w:t xml:space="preserve">（供应商需提供承诺函加盖供应商公章，原件扫描上传，格式自拟）</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10</w:t>
            </w:r>
            <w:r/>
          </w:p>
        </w:tc>
        <w:tc>
          <w:tcPr>
            <w:shd w:val="clear" w:color="auto" w:fill="auto"/>
            <w:tcW w:w="7871"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▲需对全区行政村进行扎口出口，增加防火墙等安全设备，确保网络稳定安全。</w:t>
            </w:r>
            <w:r>
              <w:rPr>
                <w:rFonts w:hint="eastAsia" w:ascii="宋体" w:hAnsi="宋体" w:cs="宋体"/>
                <w:b/>
                <w:bCs/>
                <w:color w:val="auto"/>
                <w:sz w:val="24"/>
                <w:highlight w:val="none"/>
              </w:rPr>
              <w:t xml:space="preserve">（供应商需提供承诺函加盖供应商公章，原件扫描上传，格式自拟）</w:t>
            </w:r>
            <w:r/>
          </w:p>
        </w:tc>
      </w:tr>
      <w:tr>
        <w:trPr>
          <w:jc w:val="center"/>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11</w:t>
            </w:r>
            <w:r/>
          </w:p>
        </w:tc>
        <w:tc>
          <w:tcPr>
            <w:shd w:val="clear" w:color="auto" w:fill="auto"/>
            <w:tcW w:w="7871" w:type="dxa"/>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▲电子政务外网专线须和其他网络隔离，符合《江苏省电子政务外网管理办法（试行）》安全要求。</w:t>
            </w:r>
            <w:r>
              <w:rPr>
                <w:rFonts w:hint="eastAsia" w:ascii="宋体" w:hAnsi="宋体" w:cs="宋体"/>
                <w:b/>
                <w:bCs/>
                <w:sz w:val="24"/>
                <w:highlight w:val="none"/>
              </w:rPr>
              <w:t xml:space="preserve">（供应商需提供承诺函加盖供应商公章，原件扫描上传，格式自拟）</w:t>
            </w:r>
            <w:r/>
          </w:p>
        </w:tc>
      </w:tr>
      <w:tr>
        <w:trPr>
          <w:jc w:val="center"/>
          <w:trHeight w:val="90"/>
        </w:trPr>
        <w:tc>
          <w:tcPr>
            <w:tcW w:w="90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12</w:t>
            </w:r>
            <w:r/>
          </w:p>
        </w:tc>
        <w:tc>
          <w:tcPr>
            <w:shd w:val="clear" w:color="auto" w:fill="auto"/>
            <w:tcW w:w="7871" w:type="dxa"/>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供应商需对如下内容作出承诺：在项目实施过程中，遇到接入单位办公场所变动、线路带宽调整、相应点位合署办公或机构撤并等情形，供应商需按照采购人要求开通或调试接入点位，确保成功接入电子政务外网。同时，供应商应全力配合采购人开展各项网络安全工作，包含但不限于网络安全基础设施安装部署、网络安全运营保障等相关事宜。</w:t>
            </w:r>
            <w:r>
              <w:rPr>
                <w:rFonts w:hint="eastAsia" w:ascii="宋体" w:hAnsi="宋体" w:cs="宋体"/>
                <w:b/>
                <w:bCs/>
                <w:sz w:val="24"/>
                <w:highlight w:val="none"/>
              </w:rPr>
              <w:t xml:space="preserve">（响应文件中提供承诺函加盖供应商公章，格式自拟。）</w:t>
            </w:r>
            <w:r/>
          </w:p>
        </w:tc>
      </w:tr>
    </w:tbl>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行政村接入交换机参数要求如下：</w:t>
      </w:r>
      <w:r/>
    </w:p>
    <w:tbl>
      <w:tblPr>
        <w:tblStyle w:val="14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rHeight w:val="280"/>
        </w:trPr>
        <w:tc>
          <w:tcPr>
            <w:shd w:val="clear" w:color="auto" w:fill="auto"/>
            <w:tcW w:w="5000" w:type="pct"/>
            <w:vAlign w:val="center"/>
            <w:textDirection w:val="lrTb"/>
            <w:noWrap w:val="false"/>
          </w:tcPr>
          <w:p>
            <w:pPr>
              <w:jc w:val="center"/>
              <w:widowControl/>
              <w:rPr>
                <w:rFonts w:cs="宋体" w:asciiTheme="minorEastAsia" w:hAnsiTheme="minorEastAsia"/>
                <w:b/>
                <w:bCs/>
                <w:color w:val="000000"/>
                <w:szCs w:val="21"/>
                <w:highlight w:val="none"/>
              </w:rPr>
            </w:pPr>
            <w:r>
              <w:rPr>
                <w:rFonts w:hint="eastAsia" w:cs="宋体" w:asciiTheme="minorEastAsia" w:hAnsiTheme="minorEastAsia"/>
                <w:b/>
                <w:bCs/>
                <w:color w:val="000000"/>
                <w:szCs w:val="21"/>
                <w:highlight w:val="none"/>
              </w:rPr>
              <w:t xml:space="preserve">技术参数要求</w:t>
            </w:r>
            <w:r/>
          </w:p>
        </w:tc>
      </w:tr>
      <w:tr>
        <w:trPr>
          <w:trHeight w:val="540"/>
        </w:trPr>
        <w:tc>
          <w:tcPr>
            <w:shd w:val="clear" w:color="000000" w:fill="ffffff"/>
            <w:tcW w:w="5000"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★交换容量≥792Gbps，包转发率≥256Mpps，千兆电口≥24个，千兆SFP复用光口≥4个，万兆SFP+光口≥4个，Console口≥1。</w:t>
            </w:r>
            <w:r>
              <w:rPr>
                <w:rFonts w:hint="eastAsia" w:ascii="宋体" w:hAnsi="宋体" w:cs="宋体"/>
                <w:b/>
                <w:bCs/>
                <w:sz w:val="24"/>
                <w:highlight w:val="none"/>
              </w:rPr>
              <w:t xml:space="preserve">（提供官网截图并加盖供应商公章）</w:t>
            </w:r>
            <w:r/>
          </w:p>
        </w:tc>
      </w:tr>
      <w:tr>
        <w:trPr>
          <w:trHeight w:val="803"/>
        </w:trPr>
        <w:tc>
          <w:tcPr>
            <w:shd w:val="clear" w:color="000000" w:fill="ffffff"/>
            <w:tcW w:w="5000"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★要求投标设备能够被新一代市级电子政务外网的SDN管理平台纳管，实现无缝兼容市级电子政务外网网管系统。</w:t>
            </w:r>
            <w:r>
              <w:rPr>
                <w:rFonts w:hint="eastAsia" w:ascii="宋体" w:hAnsi="宋体" w:cs="宋体"/>
                <w:b/>
                <w:bCs/>
                <w:sz w:val="24"/>
                <w:highlight w:val="none"/>
              </w:rPr>
              <w:t xml:space="preserve">（供应商需提供承诺函加盖供应商公章，原件扫描上传，格式自拟）</w:t>
            </w:r>
            <w:r/>
          </w:p>
        </w:tc>
      </w:tr>
      <w:tr>
        <w:trPr>
          <w:trHeight w:val="90"/>
        </w:trPr>
        <w:tc>
          <w:tcPr>
            <w:shd w:val="clear" w:color="auto" w:fill="auto"/>
            <w:tcW w:w="5000"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支持IPv4/IPv6静态路由，支持RIPng，OSPF</w:t>
            </w:r>
            <w:r/>
          </w:p>
        </w:tc>
      </w:tr>
      <w:tr>
        <w:trPr>
          <w:trHeight w:val="280"/>
        </w:trPr>
        <w:tc>
          <w:tcPr>
            <w:shd w:val="clear" w:color="auto" w:fill="auto"/>
            <w:tcW w:w="5000"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支持802.1Q标准VLAN；支持STP、RSTP、MSTP；</w:t>
            </w:r>
            <w:r/>
          </w:p>
        </w:tc>
      </w:tr>
      <w:tr>
        <w:trPr>
          <w:trHeight w:val="540"/>
        </w:trPr>
        <w:tc>
          <w:tcPr>
            <w:shd w:val="clear" w:color="auto" w:fill="auto"/>
            <w:tcW w:w="5000" w:type="pct"/>
            <w:vAlign w:val="center"/>
            <w:textDirection w:val="lrTb"/>
            <w:noWrap w:val="false"/>
          </w:tcPr>
          <w:p>
            <w:pPr>
              <w:jc w:val="left"/>
              <w:rPr>
                <w:rFonts w:ascii="宋体" w:hAnsi="宋体" w:cs="宋体"/>
                <w:color w:val="ff0000"/>
                <w:sz w:val="24"/>
                <w:highlight w:val="none"/>
              </w:rPr>
            </w:pPr>
            <w:r>
              <w:rPr>
                <w:rFonts w:hint="eastAsia" w:ascii="宋体" w:hAnsi="宋体" w:cs="宋体"/>
                <w:sz w:val="24"/>
                <w:highlight w:val="none"/>
              </w:rPr>
              <w:t xml:space="preserve">支持静态路由；动态路由RIP、OSPF、BGP；支持DHCP Server，DHCP Relay；</w:t>
            </w:r>
            <w:r/>
          </w:p>
        </w:tc>
      </w:tr>
      <w:tr>
        <w:trPr>
          <w:trHeight w:val="280"/>
        </w:trPr>
        <w:tc>
          <w:tcPr>
            <w:shd w:val="clear" w:color="auto" w:fill="auto"/>
            <w:tcW w:w="5000"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支持ACL；支持端口隔离；支持对对组播/未知单播/广播的风暴抑制；</w:t>
            </w:r>
            <w:r/>
          </w:p>
        </w:tc>
      </w:tr>
      <w:tr>
        <w:trPr>
          <w:trHeight w:val="280"/>
        </w:trPr>
        <w:tc>
          <w:tcPr>
            <w:shd w:val="clear" w:color="auto" w:fill="auto"/>
            <w:tcW w:w="5000"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支持WEB、CLI、Telnet、SSH 2.0管理；支持SNMP网管；支持云端管理；支持网管平台统一管理.</w:t>
            </w:r>
            <w:r/>
          </w:p>
        </w:tc>
      </w:tr>
      <w:tr>
        <w:trPr>
          <w:trHeight w:val="280"/>
        </w:trPr>
        <w:tc>
          <w:tcPr>
            <w:shd w:val="clear" w:color="auto" w:fill="auto"/>
            <w:tcW w:w="5000"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▲支持网络环路检测功能，能够主动检测出交换机组网成环或者交换机自身端口接线成环，并支持破环（</w:t>
            </w:r>
            <w:r>
              <w:rPr>
                <w:rFonts w:hint="eastAsia" w:ascii="宋体" w:hAnsi="宋体" w:cs="宋体"/>
                <w:b/>
                <w:bCs/>
                <w:sz w:val="24"/>
                <w:highlight w:val="none"/>
              </w:rPr>
              <w:t xml:space="preserve">提供第三方检测报告</w:t>
            </w:r>
            <w:r>
              <w:rPr>
                <w:rFonts w:hint="eastAsia" w:ascii="宋体" w:hAnsi="宋体" w:cs="宋体"/>
                <w:b/>
                <w:bCs/>
                <w:sz w:val="24"/>
                <w:highlight w:val="none"/>
              </w:rPr>
              <w:t xml:space="preserve">复印件并加盖供应商公章）</w:t>
            </w:r>
            <w:r>
              <w:rPr>
                <w:rFonts w:hint="eastAsia" w:ascii="宋体" w:hAnsi="宋体" w:cs="宋体"/>
                <w:sz w:val="24"/>
                <w:highlight w:val="none"/>
              </w:rPr>
              <w:t xml:space="preserve">；</w:t>
            </w:r>
            <w:r/>
          </w:p>
        </w:tc>
      </w:tr>
      <w:tr>
        <w:trPr>
          <w:trHeight w:val="280"/>
        </w:trPr>
        <w:tc>
          <w:tcPr>
            <w:shd w:val="clear" w:color="auto" w:fill="auto"/>
            <w:tcW w:w="5000"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▲支持自动识别接入终端的功能，可自动识别到这些类型，并能查看这些类型设备的 IP、MAC、品牌、型号、端口位置、流量信息</w:t>
            </w:r>
            <w:r>
              <w:rPr>
                <w:rFonts w:hint="eastAsia" w:ascii="宋体" w:hAnsi="宋体" w:cs="宋体"/>
                <w:b/>
                <w:bCs/>
                <w:sz w:val="24"/>
                <w:highlight w:val="none"/>
              </w:rPr>
              <w:t xml:space="preserve">（</w:t>
            </w:r>
            <w:r>
              <w:rPr>
                <w:rFonts w:hint="eastAsia" w:ascii="宋体" w:hAnsi="宋体" w:cs="宋体"/>
                <w:b/>
                <w:bCs/>
                <w:sz w:val="24"/>
                <w:highlight w:val="none"/>
              </w:rPr>
              <w:t xml:space="preserve">提供第三方检测报告</w:t>
            </w:r>
            <w:r>
              <w:rPr>
                <w:rFonts w:hint="eastAsia" w:ascii="宋体" w:hAnsi="宋体" w:cs="宋体"/>
                <w:b/>
                <w:bCs/>
                <w:sz w:val="24"/>
                <w:highlight w:val="none"/>
              </w:rPr>
              <w:t xml:space="preserve">复印件并加盖供应商公章）</w:t>
            </w:r>
            <w:r>
              <w:rPr>
                <w:rFonts w:hint="eastAsia" w:ascii="宋体" w:hAnsi="宋体" w:cs="宋体"/>
                <w:sz w:val="24"/>
                <w:highlight w:val="none"/>
              </w:rPr>
              <w:t xml:space="preserve">；</w:t>
            </w:r>
            <w:r/>
          </w:p>
        </w:tc>
      </w:tr>
    </w:tbl>
    <w:p>
      <w:pPr>
        <w:pStyle w:val="1481"/>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供应商需在成交后签订合同前提供设备制造厂商原厂质保函。</w:t>
      </w:r>
      <w:r/>
    </w:p>
    <w:p>
      <w:pPr>
        <w:jc w:val="left"/>
        <w:spacing w:line="360" w:lineRule="auto"/>
        <w:rPr>
          <w:rFonts w:ascii="宋体" w:hAnsi="宋体" w:cs="宋体"/>
          <w:b/>
          <w:bCs/>
          <w:sz w:val="24"/>
          <w:highlight w:val="none"/>
        </w:rPr>
        <w:sectPr>
          <w:headerReference w:type="default" r:id="rId12"/>
          <w:footerReference w:type="default" r:id="rId21"/>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cs="宋体"/>
          <w:b/>
          <w:bCs/>
          <w:sz w:val="24"/>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四、项目服务清单</w:t>
      </w:r>
      <w:r/>
    </w:p>
    <w:tbl>
      <w:tblPr>
        <w:tblStyle w:val="15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360"/>
        <w:gridCol w:w="3710"/>
        <w:gridCol w:w="2586"/>
      </w:tblGrid>
      <w:tr>
        <w:trPr>
          <w:tblHeader/>
        </w:trPr>
        <w:tc>
          <w:tcPr>
            <w:tcW w:w="507" w:type="pct"/>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tcW w:w="798" w:type="pct"/>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名称</w:t>
            </w:r>
            <w:r/>
          </w:p>
        </w:tc>
        <w:tc>
          <w:tcPr>
            <w:tcW w:w="2177" w:type="pct"/>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服务内容</w:t>
            </w:r>
            <w:r/>
          </w:p>
        </w:tc>
        <w:tc>
          <w:tcPr>
            <w:tcW w:w="1517" w:type="pct"/>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说明</w:t>
            </w:r>
            <w:r/>
          </w:p>
        </w:tc>
      </w:tr>
      <w:tr>
        <w:trPr/>
        <w:tc>
          <w:tcPr>
            <w:tcW w:w="50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798" w:type="pct"/>
            <w:vAlign w:val="center"/>
            <w:vMerge w:val="restart"/>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电子政务外网运营服务</w:t>
            </w:r>
            <w:r/>
          </w:p>
        </w:tc>
        <w:tc>
          <w:tcPr>
            <w:tcW w:w="217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提供丹徒区政府各部委办局及各村（社区）传输设备的维护及更换服务，同时提供161条电子政务外网运营服务；服务期三年；</w:t>
            </w:r>
            <w:r/>
          </w:p>
        </w:tc>
        <w:tc>
          <w:tcPr>
            <w:tcW w:w="151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主线</w:t>
            </w:r>
            <w:bookmarkStart w:id="158" w:name="OLE_LINK1"/>
            <w:r/>
            <w:bookmarkStart w:id="159" w:name="OLE_LINK2"/>
            <w:r>
              <w:rPr>
                <w:rFonts w:hint="eastAsia" w:ascii="宋体" w:hAnsi="宋体" w:cs="宋体"/>
                <w:color w:val="auto"/>
                <w:sz w:val="24"/>
                <w:highlight w:val="none"/>
              </w:rPr>
              <w:t xml:space="preserve">（接入带宽不低于</w:t>
            </w:r>
            <w:r>
              <w:rPr>
                <w:rFonts w:hint="eastAsia" w:ascii="宋体" w:hAnsi="宋体" w:cs="宋体"/>
                <w:color w:val="auto"/>
                <w:sz w:val="24"/>
                <w:highlight w:val="none"/>
                <w:u w:val="single"/>
              </w:rPr>
              <w:t xml:space="preserve"> 200 </w:t>
            </w:r>
            <w:r>
              <w:rPr>
                <w:rFonts w:hint="eastAsia" w:ascii="宋体" w:hAnsi="宋体" w:cs="宋体"/>
                <w:color w:val="auto"/>
                <w:sz w:val="24"/>
                <w:highlight w:val="none"/>
              </w:rPr>
              <w:t xml:space="preserve">M）</w:t>
            </w:r>
            <w:bookmarkEnd w:id="158"/>
            <w:r/>
            <w:bookmarkEnd w:id="159"/>
            <w:r/>
            <w:r/>
          </w:p>
        </w:tc>
      </w:tr>
      <w:tr>
        <w:trPr/>
        <w:tc>
          <w:tcPr>
            <w:tcW w:w="50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W w:w="798" w:type="pct"/>
            <w:vAlign w:val="center"/>
            <w:vMerge w:val="continue"/>
            <w:textDirection w:val="lrTb"/>
            <w:noWrap w:val="false"/>
          </w:tcPr>
          <w:p>
            <w:pPr>
              <w:jc w:val="left"/>
              <w:rPr>
                <w:rFonts w:ascii="宋体" w:hAnsi="宋体" w:cs="宋体"/>
                <w:sz w:val="24"/>
                <w:highlight w:val="none"/>
              </w:rPr>
            </w:pPr>
            <w:r>
              <w:rPr>
                <w:rFonts w:ascii="宋体" w:hAnsi="宋体" w:cs="宋体"/>
                <w:sz w:val="24"/>
                <w:highlight w:val="none"/>
              </w:rPr>
            </w:r>
            <w:r/>
          </w:p>
        </w:tc>
        <w:tc>
          <w:tcPr>
            <w:tcW w:w="217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提供丹徒区政府重点委办局传输设备的维护及更换服务，同时提供41条电子政务外网备用运营服务；服务期三年；</w:t>
            </w:r>
            <w:r/>
          </w:p>
        </w:tc>
        <w:tc>
          <w:tcPr>
            <w:tcW w:w="151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备线（接入带宽不低于</w:t>
            </w:r>
            <w:r>
              <w:rPr>
                <w:rFonts w:hint="eastAsia" w:ascii="宋体" w:hAnsi="宋体" w:cs="宋体"/>
                <w:color w:val="auto"/>
                <w:sz w:val="24"/>
                <w:highlight w:val="none"/>
                <w:u w:val="single"/>
              </w:rPr>
              <w:t xml:space="preserve"> 200 </w:t>
            </w:r>
            <w:r>
              <w:rPr>
                <w:rFonts w:hint="eastAsia" w:ascii="宋体" w:hAnsi="宋体" w:cs="宋体"/>
                <w:color w:val="auto"/>
                <w:sz w:val="24"/>
                <w:highlight w:val="none"/>
              </w:rPr>
              <w:t xml:space="preserve">M）</w:t>
            </w:r>
            <w:r/>
          </w:p>
        </w:tc>
      </w:tr>
      <w:tr>
        <w:trPr/>
        <w:tc>
          <w:tcPr>
            <w:tcW w:w="50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tcW w:w="798" w:type="pct"/>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电子政务外网运维服务</w:t>
            </w:r>
            <w:r/>
          </w:p>
        </w:tc>
        <w:tc>
          <w:tcPr>
            <w:tcW w:w="217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提供丹徒区电子政务外网软硬件设备检查及升级服务。协同镇江市丹徒区人民政府办公室进行地址分配和网络管理，提供丹徒区电子政务外网的运行监控、定期巡检、故障排除、重点保障及应急响应服务。</w:t>
            </w:r>
            <w:r/>
          </w:p>
        </w:tc>
        <w:tc>
          <w:tcPr>
            <w:tcW w:w="151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提供至少1人驻场服务，工作时间同采购人工作时间，服务期3年</w:t>
            </w:r>
            <w:r/>
          </w:p>
        </w:tc>
      </w:tr>
      <w:tr>
        <w:trPr/>
        <w:tc>
          <w:tcPr>
            <w:tcW w:w="50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4</w:t>
            </w:r>
            <w:r/>
          </w:p>
        </w:tc>
        <w:tc>
          <w:tcPr>
            <w:tcW w:w="798" w:type="pct"/>
            <w:vAlign w:val="center"/>
            <w:vMerge w:val="restart"/>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电子政务外网安全升级服务</w:t>
            </w:r>
            <w:r/>
          </w:p>
        </w:tc>
        <w:tc>
          <w:tcPr>
            <w:tcW w:w="217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提供丹徒区电子政务外网二级等保测评服务。</w:t>
            </w:r>
            <w:r/>
          </w:p>
        </w:tc>
        <w:tc>
          <w:tcPr>
            <w:tcW w:w="151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提供2次服务</w:t>
            </w:r>
            <w:r/>
          </w:p>
        </w:tc>
      </w:tr>
      <w:tr>
        <w:trPr/>
        <w:tc>
          <w:tcPr>
            <w:tcW w:w="50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tcW w:w="798" w:type="pct"/>
            <w:vAlign w:val="center"/>
            <w:vMerge w:val="continue"/>
            <w:textDirection w:val="lrTb"/>
            <w:noWrap w:val="false"/>
          </w:tcPr>
          <w:p>
            <w:pPr>
              <w:jc w:val="left"/>
              <w:rPr>
                <w:rFonts w:ascii="宋体" w:hAnsi="宋体" w:cs="宋体"/>
                <w:sz w:val="24"/>
                <w:highlight w:val="none"/>
              </w:rPr>
            </w:pPr>
            <w:r>
              <w:rPr>
                <w:rFonts w:ascii="宋体" w:hAnsi="宋体" w:cs="宋体"/>
                <w:sz w:val="24"/>
                <w:highlight w:val="none"/>
              </w:rPr>
            </w:r>
            <w:r/>
          </w:p>
        </w:tc>
        <w:tc>
          <w:tcPr>
            <w:tcW w:w="217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提供丹徒区电子政务外网接入终端的安全防护，服务期三年。</w:t>
            </w:r>
            <w:r/>
          </w:p>
        </w:tc>
        <w:tc>
          <w:tcPr>
            <w:tcW w:w="151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包含三年总服务费用</w:t>
            </w:r>
            <w:r/>
          </w:p>
        </w:tc>
      </w:tr>
      <w:tr>
        <w:trPr/>
        <w:tc>
          <w:tcPr>
            <w:tcW w:w="50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6</w:t>
            </w:r>
            <w:r/>
          </w:p>
        </w:tc>
        <w:tc>
          <w:tcPr>
            <w:tcW w:w="798" w:type="pct"/>
            <w:vAlign w:val="center"/>
            <w:vMerge w:val="continue"/>
            <w:textDirection w:val="lrTb"/>
            <w:noWrap w:val="false"/>
          </w:tcPr>
          <w:p>
            <w:pPr>
              <w:jc w:val="left"/>
              <w:rPr>
                <w:rFonts w:ascii="宋体" w:hAnsi="宋体" w:cs="宋体"/>
                <w:sz w:val="24"/>
                <w:highlight w:val="none"/>
              </w:rPr>
            </w:pPr>
            <w:r>
              <w:rPr>
                <w:rFonts w:ascii="宋体" w:hAnsi="宋体" w:cs="宋体"/>
                <w:sz w:val="24"/>
                <w:highlight w:val="none"/>
              </w:rPr>
            </w:r>
            <w:r/>
          </w:p>
        </w:tc>
        <w:tc>
          <w:tcPr>
            <w:tcW w:w="217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提供丹徒区电子政务外网网络安全升级服务，提供网络安全培训。</w:t>
            </w:r>
            <w:r/>
          </w:p>
        </w:tc>
        <w:tc>
          <w:tcPr>
            <w:tcW w:w="1517" w:type="pct"/>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提供培训服务，人员数量不限制。</w:t>
            </w:r>
            <w:r/>
          </w:p>
        </w:tc>
      </w:tr>
    </w:tbl>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终端安全防护参数要求如下：</w:t>
      </w:r>
      <w:r/>
    </w:p>
    <w:tbl>
      <w:tblPr>
        <w:tblStyle w:val="147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7"/>
        <w:gridCol w:w="7153"/>
      </w:tblGrid>
      <w:tr>
        <w:trPr>
          <w:trHeight w:val="520"/>
        </w:trPr>
        <w:tc>
          <w:tcPr>
            <w:shd w:val="clear" w:color="auto" w:fill="auto"/>
            <w:tcW w:w="802"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功能项</w:t>
            </w:r>
            <w:r/>
          </w:p>
        </w:tc>
        <w:tc>
          <w:tcPr>
            <w:shd w:val="clear" w:color="auto" w:fill="auto"/>
            <w:tcW w:w="4197"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功能要求说明</w:t>
            </w:r>
            <w:r/>
          </w:p>
        </w:tc>
      </w:tr>
      <w:tr>
        <w:trPr>
          <w:trHeight w:val="1190"/>
        </w:trPr>
        <w:tc>
          <w:tcPr>
            <w:shd w:val="clear" w:color="auto" w:fill="auto"/>
            <w:tcW w:w="802" w:type="pct"/>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多维度威胁展示</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▲提供勒索病毒整体防护体系入口，直观展示最近七天勒索病毒防护效果，包括已处置的恶意文件数量、已拦截可疑行为次数、已阻止的未知进程操作次数、已阻止的暴力破解攻击次数。</w:t>
            </w:r>
            <w:r>
              <w:rPr>
                <w:rFonts w:hint="eastAsia" w:ascii="宋体" w:hAnsi="宋体" w:cs="宋体"/>
                <w:b/>
                <w:bCs/>
                <w:color w:val="000000"/>
                <w:sz w:val="24"/>
                <w:highlight w:val="none"/>
              </w:rPr>
              <w:t xml:space="preserve">（提供产品截图证明并加盖供应商公章）</w:t>
            </w:r>
            <w:r/>
          </w:p>
        </w:tc>
      </w:tr>
      <w:tr>
        <w:trPr>
          <w:trHeight w:val="520"/>
        </w:trPr>
        <w:tc>
          <w:tcPr>
            <w:shd w:val="clear" w:color="auto" w:fill="auto"/>
            <w:tcW w:w="802"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云端威胁分析</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▲支持跳转链接至云端威胁情报中心，针对已发生的威胁提供详细的分析结果，包含威胁分析、网络行为、静态分析、分析环境和影响分析。</w:t>
            </w:r>
            <w:r>
              <w:rPr>
                <w:rFonts w:hint="eastAsia" w:ascii="宋体" w:hAnsi="宋体" w:cs="宋体"/>
                <w:b/>
                <w:bCs/>
                <w:color w:val="000000"/>
                <w:sz w:val="24"/>
                <w:highlight w:val="none"/>
              </w:rPr>
              <w:t xml:space="preserve">（提供产品截图证明并加盖供应商公章）</w:t>
            </w:r>
            <w:r/>
          </w:p>
        </w:tc>
      </w:tr>
      <w:tr>
        <w:trPr>
          <w:trHeight w:val="520"/>
        </w:trPr>
        <w:tc>
          <w:tcPr>
            <w:shd w:val="clear" w:color="auto" w:fill="auto"/>
            <w:tcW w:w="802"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终端日志报表</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支持根据统计周期、终端名称、IP地址，补丁信息和漏洞等级等多维度的入侵检测日志，杀毒扫描日志，合规检测日志，管理员操作日志，运维日志，联动日志等的日志查询和检测</w:t>
            </w:r>
            <w:r/>
          </w:p>
        </w:tc>
      </w:tr>
      <w:tr>
        <w:trPr>
          <w:trHeight w:val="530"/>
        </w:trPr>
        <w:tc>
          <w:tcPr>
            <w:shd w:val="clear" w:color="auto" w:fill="auto"/>
            <w:tcW w:w="802"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升级管理</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支持客户端的错峰升级，可根据实际情况控制客户端同时升级的最大数量，避免大量终端程序同时更新造成网络拥堵或I/O风暴</w:t>
            </w:r>
            <w:r/>
          </w:p>
        </w:tc>
      </w:tr>
      <w:tr>
        <w:trPr>
          <w:trHeight w:val="520"/>
        </w:trPr>
        <w:tc>
          <w:tcPr>
            <w:shd w:val="clear" w:color="auto" w:fill="auto"/>
            <w:tcW w:w="802"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管理员管理</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支持配置不同的权限角色，支持超级管理员、普通管理员（管理）、审计管理员（查看）三种权限，并配置可管辖的终端范围，支持管理员账号限制IP登录；支持管理员账号采用双因素认证</w:t>
            </w:r>
            <w:r/>
          </w:p>
        </w:tc>
      </w:tr>
      <w:tr>
        <w:trPr>
          <w:trHeight w:val="916"/>
        </w:trPr>
        <w:tc>
          <w:tcPr>
            <w:shd w:val="clear" w:color="auto" w:fill="auto"/>
            <w:tcW w:w="802" w:type="pct"/>
            <w:vAlign w:val="center"/>
            <w:vMerge w:val="restart"/>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威胁检测</w:t>
            </w:r>
            <w:r/>
          </w:p>
        </w:tc>
        <w:tc>
          <w:tcPr>
            <w:shd w:val="clear" w:color="auto" w:fill="auto"/>
            <w:tcW w:w="4197" w:type="pct"/>
            <w:vAlign w:val="center"/>
            <w:textDirection w:val="lrTb"/>
            <w:noWrap w:val="false"/>
          </w:tcPr>
          <w:p>
            <w:pPr>
              <w:pStyle w:val="1501"/>
              <w:spacing w:before="0" w:beforeAutospacing="0" w:after="0" w:afterAutospacing="0"/>
              <w:shd w:val="clear" w:color="auto" w:fill="ffffff"/>
              <w:rPr>
                <w:rFonts w:eastAsia="宋体"/>
                <w:highlight w:val="none"/>
              </w:rPr>
            </w:pPr>
            <w:r>
              <w:rPr>
                <w:rFonts w:hint="eastAsia" w:eastAsia="宋体"/>
                <w:highlight w:val="none"/>
              </w:rPr>
              <w:t xml:space="preserve">▲针对Windows系统，支持开发环境智能识别和调整，动态识别开发环境，安全的开发编译软件所使用的文件产生的风险支持设置成仅告警、不处置、不弹窗，规避开发场景编译软件拉取文件和代码卡顿、延时过久的问题</w:t>
            </w:r>
            <w:r>
              <w:rPr>
                <w:rFonts w:hint="eastAsia" w:eastAsia="宋体"/>
                <w:b/>
                <w:bCs/>
                <w:highlight w:val="none"/>
              </w:rPr>
              <w:t xml:space="preserve">（提供产品截图证明并加盖</w:t>
            </w:r>
            <w:r>
              <w:rPr>
                <w:rFonts w:hint="eastAsia"/>
                <w:b/>
                <w:bCs/>
                <w:highlight w:val="none"/>
              </w:rPr>
              <w:t xml:space="preserve">供应商</w:t>
            </w:r>
            <w:r>
              <w:rPr>
                <w:rFonts w:hint="eastAsia" w:eastAsia="宋体"/>
                <w:b/>
                <w:bCs/>
                <w:highlight w:val="none"/>
              </w:rPr>
              <w:t xml:space="preserve">公章）</w:t>
            </w:r>
            <w:r/>
          </w:p>
        </w:tc>
      </w:tr>
      <w:tr>
        <w:trPr>
          <w:trHeight w:val="530"/>
        </w:trPr>
        <w:tc>
          <w:tcPr>
            <w:shd w:val="clear" w:color="auto" w:fill="auto"/>
            <w:tcW w:w="802" w:type="pct"/>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可通过多维度引擎进行漏斗式检测，保障查杀效果在低误报率的情况下保持高检出率</w:t>
            </w:r>
            <w:r/>
          </w:p>
        </w:tc>
      </w:tr>
      <w:tr>
        <w:trPr>
          <w:trHeight w:val="520"/>
        </w:trPr>
        <w:tc>
          <w:tcPr>
            <w:shd w:val="clear" w:color="auto" w:fill="auto"/>
            <w:tcW w:w="802" w:type="pct"/>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支持一键云鉴定服务，提供云端专家+沙箱+多引擎鉴定能力，结合云端威胁情报对已告警的威胁文件再次进行综合研判并给出100%黑白结果，用户可自助对管理平台告警的威胁快速判断是否误报和了解威胁详情。</w:t>
            </w:r>
            <w:r/>
          </w:p>
        </w:tc>
      </w:tr>
      <w:tr>
        <w:trPr>
          <w:trHeight w:val="520"/>
        </w:trPr>
        <w:tc>
          <w:tcPr>
            <w:shd w:val="clear" w:color="auto" w:fill="auto"/>
            <w:tcW w:w="802" w:type="pct"/>
            <w:vAlign w:val="center"/>
            <w:vMerge w:val="restart"/>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终端自保护</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支持agent安装目录的文件保护，可以保护agent目录和文件实时监控驱动文件，可以保护agent的服务/进程/文件不被恶意删除，以免影响正常功能，导致用户的终端受到病毒入侵</w:t>
            </w:r>
            <w:r/>
          </w:p>
        </w:tc>
      </w:tr>
      <w:tr>
        <w:trPr>
          <w:trHeight w:val="90"/>
        </w:trPr>
        <w:tc>
          <w:tcPr>
            <w:shd w:val="clear" w:color="auto" w:fill="auto"/>
            <w:tcW w:w="802" w:type="pct"/>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支持禁止黑客工具启动，包含：xuetr、ProcessHacker、PCHunter、Mimikatz等工具的自启动，可以防止黑客攻击</w:t>
            </w:r>
            <w:r/>
          </w:p>
        </w:tc>
      </w:tr>
      <w:tr>
        <w:trPr>
          <w:trHeight w:val="530"/>
        </w:trPr>
        <w:tc>
          <w:tcPr>
            <w:shd w:val="clear" w:color="auto" w:fill="auto"/>
            <w:tcW w:w="802" w:type="pct"/>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针对Windows系统，支持实时监控所有非授信驱动及黑客工具的装载、运行等行为,发现风险行为时进行提示和拦截，同时，支持设置敏感时间段，监控敏感时段内可疑驱动的装载、运行等行为，发现风险行为时进行提示和拦截</w:t>
            </w:r>
            <w:r/>
          </w:p>
        </w:tc>
      </w:tr>
      <w:tr>
        <w:trPr>
          <w:trHeight w:val="520"/>
        </w:trPr>
        <w:tc>
          <w:tcPr>
            <w:shd w:val="clear" w:color="auto" w:fill="auto"/>
            <w:tcW w:w="802"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文件实时监控</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可实时监控文件的状态，在文件读、写、执行或者进入主机时主动进行扫描，支持根据用户性能偏好设置高、中、低3种防护级别</w:t>
            </w:r>
            <w:r/>
          </w:p>
        </w:tc>
      </w:tr>
      <w:tr>
        <w:trPr>
          <w:trHeight w:val="530"/>
        </w:trPr>
        <w:tc>
          <w:tcPr>
            <w:shd w:val="clear" w:color="auto" w:fill="auto"/>
            <w:tcW w:w="802" w:type="pct"/>
            <w:vAlign w:val="center"/>
            <w:vMerge w:val="restart"/>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勒索病毒专防</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基于勒索病毒攻击过程，建立多维度立体防护机制，提供事前入侵防御-事中反加密-事后检测响应的完整防护体系，展示勒索病毒处置情况，对勒索病毒及变种实现专门有效防御</w:t>
            </w:r>
            <w:r/>
          </w:p>
        </w:tc>
      </w:tr>
      <w:tr>
        <w:trPr>
          <w:trHeight w:val="260"/>
        </w:trPr>
        <w:tc>
          <w:tcPr>
            <w:shd w:val="clear" w:color="auto" w:fill="auto"/>
            <w:tcW w:w="802" w:type="pct"/>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支持监控诱饵文件，诱饵文件可被实时监控，当勒索病毒对该文件进行修改或加密操作时进行拦截</w:t>
            </w:r>
            <w:r/>
          </w:p>
        </w:tc>
      </w:tr>
      <w:tr>
        <w:trPr>
          <w:trHeight w:val="520"/>
        </w:trPr>
        <w:tc>
          <w:tcPr>
            <w:shd w:val="clear" w:color="auto" w:fill="auto"/>
            <w:tcW w:w="802" w:type="pct"/>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▲支持勒索可疑行为检测，通过行为AI能力对勒索信、命令行、修改文件等多种躲避式投放勒索病毒的高危高频场景进行精准告警和自动拦截</w:t>
            </w:r>
            <w:r>
              <w:rPr>
                <w:rFonts w:hint="eastAsia" w:ascii="宋体" w:hAnsi="宋体" w:cs="宋体"/>
                <w:b/>
                <w:bCs/>
                <w:color w:val="000000"/>
                <w:sz w:val="24"/>
                <w:highlight w:val="none"/>
              </w:rPr>
              <w:t xml:space="preserve">（提供产品截图证明并加盖供应商公章）</w:t>
            </w:r>
            <w:r/>
          </w:p>
        </w:tc>
      </w:tr>
      <w:tr>
        <w:trPr>
          <w:trHeight w:val="520"/>
        </w:trPr>
        <w:tc>
          <w:tcPr>
            <w:shd w:val="clear" w:color="auto" w:fill="auto"/>
            <w:tcW w:w="802" w:type="pct"/>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基于异常行为AI的实时监测，实现文件动态备份，发生勒索事件时，支持自动删除原始文件夹中被加密的文件夹并隔离文件；支持文件恢复密码保护，用户下发文件恢复操作时需要经过认证校验，确保文件恢复操作的合法性。</w:t>
            </w:r>
            <w:r>
              <w:rPr>
                <w:rFonts w:hint="eastAsia" w:ascii="宋体" w:hAnsi="宋体" w:cs="宋体"/>
                <w:b/>
                <w:bCs/>
                <w:color w:val="000000"/>
                <w:sz w:val="24"/>
                <w:highlight w:val="none"/>
              </w:rPr>
              <w:t xml:space="preserve">（提供产品截图证明并加盖供应商公章）</w:t>
            </w:r>
            <w:r/>
          </w:p>
        </w:tc>
      </w:tr>
      <w:tr>
        <w:trPr>
          <w:trHeight w:val="520"/>
        </w:trPr>
        <w:tc>
          <w:tcPr>
            <w:shd w:val="clear" w:color="auto" w:fill="auto"/>
            <w:tcW w:w="802" w:type="pct"/>
            <w:vAlign w:val="center"/>
            <w:vMerge w:val="restart"/>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暴力破解检测</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统计单个攻击源及分布式攻击源的暴力破解检测，支持按照RDP、SMB和MSSQL类型进行封堵并自定义爆破阈值，可对封停时间进行自设置</w:t>
            </w:r>
            <w:r/>
          </w:p>
        </w:tc>
      </w:tr>
      <w:tr>
        <w:trPr>
          <w:trHeight w:val="1250"/>
        </w:trPr>
        <w:tc>
          <w:tcPr>
            <w:shd w:val="clear" w:color="auto" w:fill="auto"/>
            <w:tcW w:w="802" w:type="pct"/>
            <w:vAlign w:val="center"/>
            <w:vMerge w:val="continue"/>
            <w:textDirection w:val="lrTb"/>
            <w:noWrap w:val="false"/>
          </w:tcPr>
          <w:p>
            <w:pPr>
              <w:jc w:val="left"/>
              <w:widowControl/>
              <w:rPr>
                <w:rFonts w:ascii="宋体" w:hAnsi="宋体" w:cs="宋体"/>
                <w:color w:val="000000"/>
                <w:sz w:val="24"/>
                <w:highlight w:val="none"/>
              </w:rPr>
            </w:pPr>
            <w:r>
              <w:rPr>
                <w:rFonts w:ascii="宋体" w:hAnsi="宋体" w:cs="宋体"/>
                <w:color w:val="000000"/>
                <w:sz w:val="24"/>
                <w:highlight w:val="none"/>
              </w:rPr>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一键式操作对指定Linux终端/终端组进行合规性检查，包括身份鉴别、访问控制、安全审计、 SSH策略检测、入侵防范、恶意代码防范，对不合规的检查项提供设置建议，并可视化展示终端的基线合规检查结果</w:t>
            </w:r>
            <w:r/>
          </w:p>
        </w:tc>
      </w:tr>
      <w:tr>
        <w:trPr>
          <w:trHeight w:val="520"/>
        </w:trPr>
        <w:tc>
          <w:tcPr>
            <w:shd w:val="clear" w:color="auto" w:fill="auto"/>
            <w:tcW w:w="802" w:type="pct"/>
            <w:vAlign w:val="center"/>
            <w:vMerge w:val="restart"/>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威胁处置</w:t>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构建全网文件信誉库，当一台终端发现某一病毒文件，全网可进行感知并进行针对性查杀，支持处置病毒时选择是否在其它终端上同步处置</w:t>
            </w:r>
            <w:r/>
          </w:p>
        </w:tc>
      </w:tr>
      <w:tr>
        <w:trPr>
          <w:trHeight w:val="547"/>
        </w:trPr>
        <w:tc>
          <w:tcPr>
            <w:shd w:val="clear" w:color="auto" w:fill="auto"/>
            <w:tcW w:w="802" w:type="pct"/>
            <w:vAlign w:val="center"/>
            <w:vMerge w:val="continue"/>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shd w:val="clear" w:color="auto" w:fill="auto"/>
            <w:tcW w:w="419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具备力专杀云端下发通道，支持在管理端批量下发力专杀工具到内网各终端快速响应终端威胁。</w:t>
            </w:r>
            <w:r/>
          </w:p>
        </w:tc>
      </w:tr>
    </w:tbl>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五、服务主要内容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1、电子政务外网运营服务：提供丹徒区政府各部委办局及拓展村、镇现有电子政务外网运营服务，确保网络正常，满足日常办公需要。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电子政务外网运维服务：提供丹徒区电子政务外网软硬件设备检查。协同镇江市丹徒区人民政府办公室进行地址分配和网络管理，提供丹徒区电子政务外网的运行监控、定期巡检、故障排除、重点保障及应急响应服务。</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3、电子政务外网安全升级服务：提供丹徒区电子政务外网网络安全升级服务，提升电子政务外网的网络安全及终端设备安全，提供网络安全培训。</w:t>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六、服务要求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供应商明确至少一名专业人员定点维护丹徒区政府各部委办局及拓展村镇的电子政务外网的软硬件设备及链路。供应商必须提供必要的驻场运维服务以及7×24小时应急响应技术服务。定点运维人员不能解决的技术问题应由所在公司统一协调解决。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2.供应商提供7*24小时响应服务，供应商应在收到用户报修请求后，需10分钟响应，30分钟到达现场服务，供应商需在1小时内排除故障；紧急故障的处理原则：供应商应按照先恢复、后维修的原则迅速处理。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3.服务期内供应商须对本项目所涉及的所有设备及系统定期巡检，及时发现问题。每次巡检必须进行详细记录并向招标人指定单位报送巡检记录报表。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4.为了提高网络安全意识，增强网络安全程度，供应商需要定期开展网络安全培训服务，具体培训内容将根据客户实际需求进行沟通协商定制。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供应商要提供完整且合理的项目实施总体方案，应包含：网络安全方案、应急方案、机房管理方案、运维方案、项目实施方案。供应商还应配备对应团队人员，以保障项目按计划推进，高质量完成，实现项目目标与预期效益。</w:t>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七、商务要求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1.合同履行期限：3年（服务期自部署交付并经采购人确认后，自开通使用的当月开始计算，为期三年）。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2.项目服务地点：本项目服务地点由采购人指定。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3.保密要求：供应商对本项目所有信息负有保密义务，不得侵害、外泄或以任何直接或间接的方法使任何第三人知悉或使用。供应商保证参与采购人工作过程中严格遵守关于网络安全的相关规定。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4.供应商必须根据本次项目的目标和范围，提出相应的维护服务方案。</w:t>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八、付款方式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1.分三年支付，合同签订生效后，采购人收到中标供应商开具的正规发票后10个工作日内支付第一年合同额的10%；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2.服务期满3个月后，采购人收到中标供应商开具的正规发票后支付第一年合同额的15%；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3.合同余款按季度结算，由中标供应商开具对应金额的服务费发票给采购人，按流程支付。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备注：上述款项均不另计利息。具体支付进度还应根据拨款进度执行，延期支付采购人不承担利息及滞纳金。</w:t>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spacing w:line="360" w:lineRule="auto"/>
        <w:rPr>
          <w:b/>
          <w:bCs/>
          <w:color w:val="000000"/>
          <w:sz w:val="24"/>
          <w:highlight w:val="none"/>
        </w:rPr>
      </w:pPr>
      <w:r>
        <w:rPr>
          <w:b/>
          <w:bCs/>
          <w:color w:val="000000"/>
          <w:sz w:val="24"/>
          <w:highlight w:val="none"/>
        </w:rPr>
      </w:r>
      <w:r/>
    </w:p>
    <w:p>
      <w:pPr>
        <w:spacing w:line="360" w:lineRule="auto"/>
        <w:rPr>
          <w:b/>
          <w:bCs/>
          <w:color w:val="000000"/>
          <w:sz w:val="24"/>
          <w:highlight w:val="none"/>
        </w:rPr>
      </w:pPr>
      <w:r>
        <w:rPr>
          <w:b/>
          <w:bCs/>
          <w:color w:val="000000"/>
          <w:sz w:val="24"/>
          <w:highlight w:val="none"/>
        </w:rPr>
      </w:r>
      <w:r/>
    </w:p>
    <w:p>
      <w:pPr>
        <w:spacing w:line="360" w:lineRule="auto"/>
        <w:rPr>
          <w:b/>
          <w:bCs/>
          <w:color w:val="000000"/>
          <w:sz w:val="24"/>
          <w:highlight w:val="none"/>
        </w:rPr>
      </w:pPr>
      <w:r>
        <w:rPr>
          <w:b/>
          <w:bCs/>
          <w:color w:val="000000"/>
          <w:sz w:val="24"/>
          <w:highlight w:val="none"/>
        </w:rPr>
      </w:r>
      <w:r/>
    </w:p>
    <w:p>
      <w:pPr>
        <w:ind w:firstLine="480"/>
        <w:jc w:val="center"/>
        <w:spacing w:line="360" w:lineRule="auto"/>
        <w:shd w:val="clear" w:color="auto" w:fill="ffffff"/>
        <w:rPr>
          <w:rStyle w:val="1706"/>
          <w:rFonts w:ascii="宋体" w:hAnsi="宋体" w:cs="宋体"/>
          <w:color w:val="000000"/>
          <w:sz w:val="28"/>
          <w:szCs w:val="28"/>
          <w:highlight w:val="none"/>
        </w:rPr>
        <w:sectPr>
          <w:footnotePr/>
          <w:endnotePr/>
          <w:type w:val="nextPage"/>
          <w:pgSz w:w="11907" w:h="16839" w:orient="portrait"/>
          <w:pgMar w:top="1440" w:right="1800" w:bottom="1440" w:left="1800" w:header="1111" w:footer="1229" w:gutter="0"/>
          <w:cols w:num="1" w:sep="0" w:space="1701" w:equalWidth="1"/>
          <w:docGrid w:linePitch="360"/>
        </w:sectPr>
        <w:outlineLvl w:val="0"/>
      </w:pPr>
      <w:r/>
      <w:bookmarkStart w:id="160" w:name="_Toc7242"/>
      <w:r/>
      <w:r/>
    </w:p>
    <w:p>
      <w:pPr>
        <w:ind w:firstLine="480"/>
        <w:jc w:val="center"/>
        <w:spacing w:line="360" w:lineRule="auto"/>
        <w:shd w:val="clear" w:color="auto" w:fill="ffffff"/>
        <w:rPr>
          <w:rStyle w:val="1706"/>
          <w:rFonts w:ascii="宋体" w:hAnsi="宋体" w:cs="宋体"/>
          <w:color w:val="000000"/>
          <w:sz w:val="28"/>
          <w:szCs w:val="28"/>
          <w:highlight w:val="none"/>
        </w:rPr>
        <w:outlineLvl w:val="0"/>
      </w:pPr>
      <w:r>
        <w:rPr>
          <w:rStyle w:val="1706"/>
          <w:rFonts w:hint="eastAsia" w:ascii="宋体" w:hAnsi="宋体" w:cs="宋体"/>
          <w:color w:val="000000"/>
          <w:sz w:val="28"/>
          <w:szCs w:val="28"/>
          <w:highlight w:val="none"/>
        </w:rPr>
        <w:t xml:space="preserve">第五部分  磋商及评审</w:t>
      </w:r>
      <w:bookmarkEnd w:id="155"/>
      <w:r/>
      <w:bookmarkEnd w:id="160"/>
      <w:r/>
      <w:r/>
    </w:p>
    <w:p>
      <w:pPr>
        <w:ind w:left="451"/>
        <w:spacing w:before="101" w:after="240" w:line="412" w:lineRule="exact"/>
        <w:rPr>
          <w:rFonts w:ascii="宋体" w:hAnsi="宋体" w:cs="宋体"/>
          <w:b/>
          <w:bCs/>
          <w:color w:val="000000"/>
          <w:spacing w:val="10"/>
          <w:position w:val="2"/>
          <w:sz w:val="24"/>
          <w:highlight w:val="none"/>
        </w:rPr>
        <w:outlineLvl w:val="1"/>
      </w:pPr>
      <w:r/>
      <w:bookmarkStart w:id="161" w:name="_bookmark59"/>
      <w:r/>
      <w:bookmarkEnd w:id="161"/>
      <w:r>
        <w:rPr>
          <w:rFonts w:ascii="宋体" w:hAnsi="宋体" w:cs="宋体"/>
          <w:b/>
          <w:bCs/>
          <w:color w:val="000000"/>
          <w:spacing w:val="10"/>
          <w:position w:val="2"/>
          <w:sz w:val="24"/>
          <w:highlight w:val="none"/>
        </w:rPr>
        <w:t xml:space="preserve">1</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磋商小组职责</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1.2按照客观、公正、审慎的原则，根据磋商文件规定的评审程序、评审方法和评审标准进行独立评审。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1.3起草评审报告并进行签署。</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1.4推荐成交供应商。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1.5向采购人、采购代理机构、财政部门或者其他监督部门报告非法干预评审工作的行为。</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1.6法律、法规和规章规定的其他职责。</w:t>
      </w:r>
      <w:r/>
    </w:p>
    <w:p>
      <w:pPr>
        <w:ind w:left="451"/>
        <w:spacing w:before="101" w:after="240" w:line="412" w:lineRule="exact"/>
        <w:rPr>
          <w:rFonts w:ascii="宋体" w:hAnsi="宋体" w:cs="宋体"/>
          <w:b/>
          <w:bCs/>
          <w:color w:val="000000"/>
          <w:spacing w:val="10"/>
          <w:position w:val="2"/>
          <w:sz w:val="24"/>
          <w:highlight w:val="none"/>
        </w:rPr>
        <w:outlineLvl w:val="1"/>
      </w:pPr>
      <w:r/>
      <w:bookmarkStart w:id="162" w:name="_bookmark60"/>
      <w:r/>
      <w:bookmarkEnd w:id="162"/>
      <w:r>
        <w:rPr>
          <w:rFonts w:ascii="宋体" w:hAnsi="宋体" w:cs="宋体"/>
          <w:b/>
          <w:bCs/>
          <w:color w:val="000000"/>
          <w:spacing w:val="10"/>
          <w:position w:val="2"/>
          <w:sz w:val="24"/>
          <w:highlight w:val="none"/>
        </w:rPr>
        <w:t xml:space="preserve">2</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磋商及评审程序</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2.1磋商组织方按磋商小组名单核对身份并签到。</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2.2磋商组织方宣布磋商及评审纪律，磋商小组确认有无回避的情形。</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2.3磋商小组推选组长，负责组织磋商及评审活动，采购人代表不得担任组长。</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2.4磋商小组正式评审前，应当对磋商文件进行熟悉和理解，审查磋商文件。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2.7磋商小组应集中与符合要求的单一供应商分别进行磋商，并给予所有参加磋商的供应商平等的磋商机会</w:t>
      </w:r>
      <w:r>
        <w:rPr>
          <w:rFonts w:hint="eastAsia" w:ascii="宋体" w:hAnsi="宋体" w:cs="宋体"/>
          <w:color w:val="000000"/>
          <w:spacing w:val="-1"/>
          <w:sz w:val="24"/>
          <w:highlight w:val="none"/>
        </w:rPr>
        <w:t xml:space="preserve">。</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符合磋商文件供应商须知规定情形的，提交最后报价的供应商可以为2家。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2.12推荐成交候选供应商，并出具书面评审报告。</w:t>
      </w:r>
      <w:r/>
    </w:p>
    <w:p>
      <w:pPr>
        <w:ind w:left="451"/>
        <w:spacing w:before="101" w:after="240" w:line="412" w:lineRule="exact"/>
        <w:rPr>
          <w:rFonts w:ascii="宋体" w:hAnsi="宋体" w:cs="宋体"/>
          <w:b/>
          <w:bCs/>
          <w:color w:val="000000"/>
          <w:spacing w:val="10"/>
          <w:position w:val="2"/>
          <w:sz w:val="24"/>
          <w:highlight w:val="none"/>
        </w:rPr>
        <w:outlineLvl w:val="1"/>
      </w:pPr>
      <w:r/>
      <w:bookmarkStart w:id="163" w:name="_bookmark61"/>
      <w:r/>
      <w:bookmarkEnd w:id="163"/>
      <w:r>
        <w:rPr>
          <w:rFonts w:ascii="宋体" w:hAnsi="宋体" w:cs="宋体"/>
          <w:b/>
          <w:bCs/>
          <w:color w:val="000000"/>
          <w:spacing w:val="10"/>
          <w:position w:val="2"/>
          <w:sz w:val="24"/>
          <w:highlight w:val="none"/>
        </w:rPr>
        <w:t xml:space="preserve">3</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供应商资格审查</w:t>
      </w:r>
      <w:r/>
    </w:p>
    <w:p>
      <w:pPr>
        <w:ind w:left="601"/>
        <w:spacing w:before="79" w:line="219" w:lineRule="auto"/>
        <w:rPr>
          <w:rFonts w:ascii="宋体" w:hAnsi="宋体" w:cs="宋体"/>
          <w:color w:val="000000"/>
          <w:sz w:val="24"/>
          <w:highlight w:val="none"/>
        </w:rPr>
      </w:pPr>
      <w:r>
        <w:rPr>
          <w:rFonts w:ascii="宋体" w:hAnsi="宋体" w:cs="宋体"/>
          <w:color w:val="000000"/>
          <w:spacing w:val="-10"/>
          <w:sz w:val="24"/>
          <w:highlight w:val="none"/>
        </w:rPr>
        <w:t xml:space="preserve">开</w:t>
      </w:r>
      <w:r>
        <w:rPr>
          <w:rFonts w:ascii="宋体" w:hAnsi="宋体" w:cs="宋体"/>
          <w:color w:val="000000"/>
          <w:spacing w:val="-8"/>
          <w:sz w:val="24"/>
          <w:highlight w:val="none"/>
        </w:rPr>
        <w:t xml:space="preserve">启</w:t>
      </w:r>
      <w:r>
        <w:rPr>
          <w:rFonts w:ascii="宋体" w:hAnsi="宋体" w:cs="宋体"/>
          <w:color w:val="000000"/>
          <w:spacing w:val="-5"/>
          <w:sz w:val="24"/>
          <w:highlight w:val="none"/>
        </w:rPr>
        <w:t xml:space="preserve">结束后，采购人将依法对供应商的资格进行审查。资格审查的内容如下：</w:t>
      </w:r>
      <w:r/>
    </w:p>
    <w:tbl>
      <w:tblPr>
        <w:tblStyle w:val="1476"/>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2124"/>
        <w:gridCol w:w="5772"/>
      </w:tblGrid>
      <w:tr>
        <w:trPr>
          <w:jc w:val="center"/>
          <w:trHeight w:val="592"/>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序号</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审查要素</w:t>
            </w:r>
            <w:r/>
          </w:p>
        </w:tc>
        <w:tc>
          <w:tcPr>
            <w:tcW w:w="5772"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审查内容</w:t>
            </w:r>
            <w:r/>
          </w:p>
        </w:tc>
      </w:tr>
      <w:tr>
        <w:trPr>
          <w:jc w:val="center"/>
          <w:trHeight w:val="733"/>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具有独立承担民事责任的能力</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法人或者其他组织的营业执照等证明文件；自然人的身份证。</w:t>
            </w:r>
            <w:r/>
          </w:p>
        </w:tc>
      </w:tr>
      <w:tr>
        <w:trPr>
          <w:jc w:val="center"/>
          <w:trHeight w:val="1047"/>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具有良好的商业信誉和健全的财务会计制度</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2025年度财务报告(成立不满一年的提供至少一个月)，或银行出具的资信证明，或财政部门认可的政府采购专业担保机构出具的磋商担保函等。(或提供资格承诺函)</w:t>
            </w:r>
            <w:r/>
          </w:p>
        </w:tc>
      </w:tr>
      <w:tr>
        <w:trPr>
          <w:jc w:val="center"/>
          <w:trHeight w:val="788"/>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具有履行合同所必需的设备和专业技术能力</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供应商相关信息一览表。(或提供资格承诺函)</w:t>
            </w:r>
            <w:r/>
          </w:p>
        </w:tc>
      </w:tr>
      <w:tr>
        <w:trPr>
          <w:jc w:val="center"/>
          <w:trHeight w:val="1061"/>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有依法缴纳税收和社会保障资金的良好记录</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参加本次政府采购活动前半年内(至少一个月)依法缴纳税收和社会保险资金的相关材料。(或提供资格承诺函)</w:t>
            </w:r>
            <w:r/>
          </w:p>
        </w:tc>
      </w:tr>
      <w:tr>
        <w:trPr>
          <w:jc w:val="center"/>
          <w:trHeight w:val="1488"/>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5</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参加政府采购活动前三年内，在经营活动中没有重大违法记录</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磋商承诺函。(2)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771"/>
        </w:trPr>
        <w:tc>
          <w:tcPr>
            <w:tcW w:w="608" w:type="dxa"/>
            <w:vAlign w:val="center"/>
            <w:textDirection w:val="lrTb"/>
            <w:noWrap w:val="false"/>
          </w:tcPr>
          <w:p>
            <w:pPr>
              <w:jc w:val="center"/>
              <w:spacing w:line="20" w:lineRule="atLeas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6</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本项目特定资格要求</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见“第一部分  磋商邀请”。</w:t>
            </w:r>
            <w:r/>
          </w:p>
        </w:tc>
      </w:tr>
    </w:tbl>
    <w:p>
      <w:pPr>
        <w:ind w:left="451"/>
        <w:spacing w:before="101" w:after="240" w:line="412" w:lineRule="exact"/>
        <w:rPr>
          <w:rFonts w:ascii="宋体" w:hAnsi="宋体" w:cs="宋体"/>
          <w:b/>
          <w:bCs/>
          <w:color w:val="000000"/>
          <w:spacing w:val="10"/>
          <w:position w:val="2"/>
          <w:sz w:val="24"/>
          <w:highlight w:val="none"/>
        </w:rPr>
        <w:outlineLvl w:val="1"/>
      </w:pPr>
      <w:r/>
      <w:bookmarkStart w:id="164" w:name="_bookmark62"/>
      <w:r/>
      <w:bookmarkEnd w:id="164"/>
      <w:r>
        <w:rPr>
          <w:rFonts w:ascii="宋体" w:hAnsi="宋体" w:cs="宋体"/>
          <w:b/>
          <w:bCs/>
          <w:color w:val="000000"/>
          <w:spacing w:val="10"/>
          <w:position w:val="2"/>
          <w:sz w:val="24"/>
          <w:highlight w:val="none"/>
        </w:rPr>
        <w:t xml:space="preserve">4</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磋商响应文件的有效性、完整性和响应程度审查</w:t>
      </w:r>
      <w:r/>
    </w:p>
    <w:tbl>
      <w:tblPr>
        <w:tblStyle w:val="14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631"/>
        <w:gridCol w:w="604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65"/>
              <w:jc w:val="center"/>
              <w:rPr>
                <w:rFonts w:ascii="宋体" w:hAnsi="宋体" w:eastAsia="宋体" w:cs="宋体"/>
                <w:sz w:val="21"/>
                <w:szCs w:val="21"/>
                <w:highlight w:val="none"/>
              </w:rPr>
            </w:pPr>
            <w:r>
              <w:rPr>
                <w:rFonts w:ascii="宋体" w:hAnsi="宋体" w:eastAsia="宋体" w:cs="宋体"/>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65"/>
              <w:jc w:val="center"/>
              <w:rPr>
                <w:rFonts w:ascii="宋体" w:hAnsi="宋体" w:eastAsia="宋体" w:cs="宋体"/>
                <w:sz w:val="21"/>
                <w:szCs w:val="21"/>
                <w:highlight w:val="none"/>
              </w:rPr>
            </w:pPr>
            <w:r>
              <w:rPr>
                <w:rFonts w:ascii="宋体" w:hAnsi="宋体" w:eastAsia="宋体" w:cs="宋体"/>
                <w:sz w:val="21"/>
                <w:szCs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65"/>
              <w:jc w:val="center"/>
              <w:rPr>
                <w:rFonts w:ascii="宋体" w:hAnsi="宋体" w:eastAsia="宋体" w:cs="宋体"/>
                <w:sz w:val="21"/>
                <w:szCs w:val="21"/>
                <w:highlight w:val="none"/>
              </w:rPr>
            </w:pPr>
            <w:r>
              <w:rPr>
                <w:rFonts w:ascii="宋体" w:hAnsi="宋体" w:eastAsia="宋体" w:cs="宋体"/>
                <w:sz w:val="21"/>
                <w:szCs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65"/>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65"/>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报价符合性</w:t>
            </w:r>
            <w:r/>
          </w:p>
          <w:p>
            <w:pPr>
              <w:pStyle w:val="1765"/>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65"/>
              <w:jc w:val="both"/>
              <w:rPr>
                <w:rFonts w:ascii="宋体" w:hAnsi="宋体" w:eastAsia="宋体" w:cs="宋体"/>
                <w:sz w:val="21"/>
                <w:szCs w:val="21"/>
                <w:highlight w:val="none"/>
              </w:rPr>
            </w:pPr>
            <w:r>
              <w:rPr>
                <w:rFonts w:hint="eastAsia" w:ascii="宋体" w:hAnsi="宋体" w:eastAsia="宋体" w:cs="宋体"/>
                <w:sz w:val="21"/>
                <w:szCs w:val="21"/>
                <w:highlight w:val="none"/>
              </w:rPr>
              <w:t xml:space="preserve">属于投标（响应）报价低于采购项目最高限价65%的，即投标（响应）报价&lt;采购项目最高限价×65%，供应商可随投标（响应）文件一并提交相关书面说明及必要的证明材料。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65"/>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65"/>
              <w:jc w:val="center"/>
              <w:rPr>
                <w:rFonts w:ascii="宋体" w:hAnsi="宋体" w:eastAsia="宋体" w:cs="宋体"/>
                <w:sz w:val="21"/>
                <w:szCs w:val="21"/>
                <w:highlight w:val="none"/>
              </w:rPr>
            </w:pPr>
            <w:r>
              <w:rPr>
                <w:rFonts w:ascii="宋体" w:hAnsi="宋体" w:eastAsia="宋体" w:cs="宋体"/>
                <w:sz w:val="21"/>
                <w:szCs w:val="21"/>
                <w:highlight w:val="none"/>
              </w:rPr>
              <w:t xml:space="preserve">投标文件</w:t>
            </w:r>
            <w:r/>
          </w:p>
          <w:p>
            <w:pPr>
              <w:pStyle w:val="1765"/>
              <w:jc w:val="center"/>
              <w:rPr>
                <w:rFonts w:ascii="宋体" w:hAnsi="宋体" w:eastAsia="宋体" w:cs="宋体"/>
                <w:sz w:val="21"/>
                <w:szCs w:val="21"/>
                <w:highlight w:val="none"/>
              </w:rPr>
            </w:pPr>
            <w:r>
              <w:rPr>
                <w:rFonts w:ascii="宋体" w:hAnsi="宋体" w:eastAsia="宋体" w:cs="宋体"/>
                <w:sz w:val="21"/>
                <w:szCs w:val="21"/>
                <w:highlight w:val="none"/>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65"/>
              <w:jc w:val="both"/>
              <w:rPr>
                <w:rFonts w:ascii="宋体" w:hAnsi="宋体" w:eastAsia="宋体" w:cs="宋体"/>
                <w:sz w:val="21"/>
                <w:szCs w:val="21"/>
                <w:highlight w:val="none"/>
              </w:rPr>
            </w:pPr>
            <w:r>
              <w:rPr>
                <w:rFonts w:ascii="宋体" w:hAnsi="宋体" w:eastAsia="宋体" w:cs="宋体"/>
                <w:sz w:val="21"/>
                <w:szCs w:val="21"/>
                <w:highlight w:val="none"/>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65"/>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65"/>
              <w:jc w:val="center"/>
              <w:rPr>
                <w:rFonts w:ascii="宋体" w:hAnsi="宋体" w:eastAsia="宋体" w:cs="宋体"/>
                <w:sz w:val="21"/>
                <w:szCs w:val="21"/>
                <w:highlight w:val="none"/>
              </w:rPr>
            </w:pPr>
            <w:r>
              <w:rPr>
                <w:rFonts w:ascii="宋体" w:hAnsi="宋体" w:eastAsia="宋体" w:cs="宋体"/>
                <w:sz w:val="21"/>
                <w:szCs w:val="21"/>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65"/>
              <w:jc w:val="both"/>
              <w:rPr>
                <w:rFonts w:ascii="宋体" w:hAnsi="宋体" w:eastAsia="宋体" w:cs="宋体"/>
                <w:sz w:val="21"/>
                <w:szCs w:val="21"/>
                <w:highlight w:val="none"/>
              </w:rPr>
            </w:pPr>
            <w:r>
              <w:rPr>
                <w:rFonts w:ascii="宋体" w:hAnsi="宋体" w:eastAsia="宋体" w:cs="宋体"/>
                <w:sz w:val="21"/>
                <w:szCs w:val="21"/>
                <w:highlight w:val="none"/>
              </w:rPr>
              <w:t xml:space="preserve">审查投标文件与招标文件要求的主要条款、条件和技术规格是否相符，是否存在重大偏离或保留。</w:t>
            </w:r>
            <w:r/>
          </w:p>
        </w:tc>
      </w:tr>
    </w:tbl>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ascii="宋体" w:hAnsi="宋体" w:cs="宋体"/>
          <w:b/>
          <w:bCs/>
          <w:color w:val="000000"/>
          <w:spacing w:val="10"/>
          <w:position w:val="2"/>
          <w:sz w:val="24"/>
          <w:highlight w:val="none"/>
        </w:rPr>
        <w:outlineLvl w:val="1"/>
      </w:pPr>
      <w:r/>
      <w:bookmarkStart w:id="165" w:name="_bookmark63"/>
      <w:r/>
      <w:bookmarkEnd w:id="165"/>
      <w:r>
        <w:rPr>
          <w:rFonts w:ascii="宋体" w:hAnsi="宋体" w:cs="宋体"/>
          <w:b/>
          <w:bCs/>
          <w:color w:val="000000"/>
          <w:spacing w:val="10"/>
          <w:position w:val="2"/>
          <w:sz w:val="24"/>
          <w:highlight w:val="none"/>
        </w:rPr>
        <w:t xml:space="preserve">5</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磋商记录</w:t>
      </w:r>
      <w:r/>
    </w:p>
    <w:p>
      <w:pPr>
        <w:ind w:firstLine="476"/>
        <w:spacing w:before="240"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5.1《磋商记录》包括供应商答复或承诺的内容、磋商文件的变动情况及最后报价等。</w:t>
      </w:r>
      <w:r/>
    </w:p>
    <w:p>
      <w:pPr>
        <w:ind w:left="451"/>
        <w:spacing w:before="101" w:after="240" w:line="412" w:lineRule="exact"/>
        <w:rPr>
          <w:rFonts w:ascii="宋体" w:hAnsi="宋体" w:cs="宋体"/>
          <w:b/>
          <w:bCs/>
          <w:color w:val="ff0000"/>
          <w:spacing w:val="10"/>
          <w:position w:val="2"/>
          <w:sz w:val="24"/>
          <w:highlight w:val="none"/>
        </w:rPr>
        <w:outlineLvl w:val="1"/>
      </w:pPr>
      <w:r/>
      <w:bookmarkStart w:id="166" w:name="_bookmark64"/>
      <w:r/>
      <w:bookmarkEnd w:id="166"/>
      <w:r>
        <w:rPr>
          <w:rFonts w:ascii="宋体" w:hAnsi="宋体" w:cs="宋体"/>
          <w:b/>
          <w:bCs/>
          <w:color w:val="000000"/>
          <w:spacing w:val="10"/>
          <w:position w:val="2"/>
          <w:sz w:val="24"/>
          <w:highlight w:val="none"/>
        </w:rPr>
        <w:t xml:space="preserve">6</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综合评分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经磋商确定最终采购需求和提交最后报价的供应商后，磋商小组采用综合评分法对提交最后报价的供应商的磋商响应文件和最后报价进行综合评分</w:t>
      </w:r>
      <w:r>
        <w:rPr>
          <w:rFonts w:hint="eastAsia" w:ascii="宋体" w:hAnsi="宋体" w:cs="宋体"/>
          <w:color w:val="000000"/>
          <w:spacing w:val="-1"/>
          <w:sz w:val="24"/>
          <w:highlight w:val="none"/>
        </w:rPr>
        <w:t xml:space="preserve">，</w:t>
      </w:r>
      <w:r>
        <w:rPr>
          <w:rFonts w:ascii="宋体" w:hAnsi="宋体" w:cs="宋体"/>
          <w:color w:val="000000"/>
          <w:spacing w:val="-1"/>
          <w:sz w:val="24"/>
          <w:highlight w:val="none"/>
        </w:rPr>
        <w:t xml:space="preserve">总分100分。</w:t>
      </w:r>
      <w:r/>
    </w:p>
    <w:tbl>
      <w:tblPr>
        <w:tblStyle w:val="1476"/>
        <w:tblW w:w="515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37"/>
        <w:gridCol w:w="1015"/>
        <w:gridCol w:w="5825"/>
        <w:gridCol w:w="491"/>
        <w:gridCol w:w="808"/>
      </w:tblGrid>
      <w:tr>
        <w:trPr>
          <w:jc w:val="center"/>
          <w:trHeight w:val="493"/>
          <w:tblHeader/>
        </w:trPr>
        <w:tc>
          <w:tcPr>
            <w:tcW w:w="255" w:type="pct"/>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序号</w:t>
            </w:r>
            <w:r/>
          </w:p>
        </w:tc>
        <w:tc>
          <w:tcPr>
            <w:tcW w:w="592" w:type="pct"/>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评审因素</w:t>
            </w:r>
            <w:r/>
          </w:p>
        </w:tc>
        <w:tc>
          <w:tcPr>
            <w:tcW w:w="3396" w:type="pct"/>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评审细则</w:t>
            </w:r>
            <w:r/>
          </w:p>
        </w:tc>
        <w:tc>
          <w:tcPr>
            <w:tcW w:w="286" w:type="pct"/>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分值</w:t>
            </w:r>
            <w:r/>
          </w:p>
        </w:tc>
        <w:tc>
          <w:tcPr>
            <w:tcW w:w="468" w:type="pct"/>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类型</w:t>
            </w:r>
            <w:r/>
          </w:p>
        </w:tc>
      </w:tr>
      <w:tr>
        <w:trPr>
          <w:jc w:val="center"/>
          <w:trHeight w:val="465"/>
        </w:trPr>
        <w:tc>
          <w:tcPr>
            <w:gridSpan w:val="5"/>
            <w:tcW w:w="5000" w:type="pct"/>
            <w:textDirection w:val="lrTb"/>
            <w:noWrap w:val="false"/>
          </w:tcPr>
          <w:p>
            <w:pPr>
              <w:ind w:left="114"/>
              <w:jc w:val="center"/>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一、价格部分（10分）</w:t>
            </w:r>
            <w:r/>
          </w:p>
        </w:tc>
      </w:tr>
      <w:tr>
        <w:trPr>
          <w:jc w:val="center"/>
          <w:trHeight w:val="1202"/>
        </w:trPr>
        <w:tc>
          <w:tcPr>
            <w:tcW w:w="255" w:type="pct"/>
            <w:vAlign w:val="center"/>
            <w:textDirection w:val="lrTb"/>
            <w:noWrap w:val="false"/>
          </w:tcPr>
          <w:p>
            <w:pPr>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1</w:t>
            </w:r>
            <w:r/>
          </w:p>
        </w:tc>
        <w:tc>
          <w:tcPr>
            <w:tcW w:w="592" w:type="pct"/>
            <w:vAlign w:val="center"/>
            <w:textDirection w:val="lrTb"/>
            <w:noWrap w:val="false"/>
          </w:tcPr>
          <w:p>
            <w:pPr>
              <w:jc w:val="center"/>
              <w:spacing w:before="68" w:line="264" w:lineRule="auto"/>
              <w:rPr>
                <w:rFonts w:ascii="宋体" w:hAnsi="宋体" w:cs="宋体"/>
                <w:color w:val="000000"/>
                <w:highlight w:val="none"/>
              </w:rPr>
            </w:pPr>
            <w:r>
              <w:rPr>
                <w:rFonts w:ascii="宋体" w:hAnsi="宋体" w:cs="宋体"/>
                <w:color w:val="000000"/>
                <w:spacing w:val="-2"/>
                <w:highlight w:val="none"/>
              </w:rPr>
              <w:t xml:space="preserve">价格分</w:t>
            </w:r>
            <w:r/>
          </w:p>
        </w:tc>
        <w:tc>
          <w:tcPr>
            <w:tcW w:w="3396" w:type="pct"/>
            <w:vAlign w:val="center"/>
            <w:textDirection w:val="lrTb"/>
            <w:noWrap w:val="false"/>
          </w:tcPr>
          <w:p>
            <w:pPr>
              <w:jc w:val="left"/>
              <w:spacing w:line="264" w:lineRule="auto"/>
              <w:rPr>
                <w:rFonts w:ascii="宋体" w:hAnsi="宋体" w:cs="宋体"/>
                <w:color w:val="000000"/>
                <w:highlight w:val="none"/>
              </w:rPr>
            </w:pPr>
            <w:r>
              <w:rPr>
                <w:rFonts w:hint="eastAsia" w:ascii="宋体" w:hAnsi="宋体" w:cs="宋体"/>
                <w:color w:val="000000"/>
                <w:spacing w:val="1"/>
                <w:highlight w:val="none"/>
              </w:rPr>
              <w:t xml:space="preserve">采用低价优先</w:t>
            </w:r>
            <w:r>
              <w:rPr>
                <w:rFonts w:hint="eastAsia" w:ascii="宋体" w:hAnsi="宋体" w:cs="宋体"/>
                <w:color w:val="000000"/>
                <w:highlight w:val="none"/>
              </w:rPr>
              <w:t xml:space="preserve">法计算，即满足采购文件要求且投标价格最低的投标</w:t>
            </w:r>
            <w:r>
              <w:rPr>
                <w:rFonts w:hint="eastAsia" w:ascii="宋体" w:hAnsi="宋体" w:cs="宋体"/>
                <w:color w:val="000000"/>
                <w:spacing w:val="1"/>
                <w:highlight w:val="none"/>
              </w:rPr>
              <w:t xml:space="preserve">报价为评标基准</w:t>
            </w:r>
            <w:r>
              <w:rPr>
                <w:rFonts w:hint="eastAsia" w:ascii="宋体" w:hAnsi="宋体" w:cs="宋体"/>
                <w:color w:val="000000"/>
                <w:highlight w:val="none"/>
              </w:rPr>
              <w:t xml:space="preserve">价，其价格分为满分。其他投标人的价格分统一按</w:t>
            </w:r>
            <w:r>
              <w:rPr>
                <w:rFonts w:hint="eastAsia" w:ascii="宋体" w:hAnsi="宋体" w:cs="宋体"/>
                <w:color w:val="000000"/>
                <w:spacing w:val="-1"/>
                <w:highlight w:val="none"/>
              </w:rPr>
              <w:t xml:space="preserve">照下列公</w:t>
            </w:r>
            <w:r>
              <w:rPr>
                <w:rFonts w:hint="eastAsia" w:ascii="宋体" w:hAnsi="宋体" w:cs="宋体"/>
                <w:color w:val="000000"/>
                <w:highlight w:val="none"/>
              </w:rPr>
              <w:t xml:space="preserve">式计算：投标报价得分=(评标基准价/投标报价)×10（小数点保留两位）</w:t>
            </w:r>
            <w:r/>
          </w:p>
          <w:p>
            <w:pPr>
              <w:jc w:val="left"/>
              <w:spacing w:line="264" w:lineRule="auto"/>
              <w:rPr>
                <w:rFonts w:ascii="宋体" w:hAnsi="宋体" w:cs="宋体"/>
                <w:b/>
                <w:bCs/>
                <w:color w:val="000000"/>
                <w:spacing w:val="-1"/>
                <w:highlight w:val="none"/>
              </w:rPr>
            </w:pPr>
            <w:r>
              <w:rPr>
                <w:rFonts w:hint="eastAsia" w:ascii="宋体" w:hAnsi="宋体" w:cs="宋体"/>
                <w:b/>
                <w:bCs/>
                <w:color w:val="000000"/>
                <w:spacing w:val="-1"/>
                <w:highlight w:val="none"/>
              </w:rPr>
              <w:t xml:space="preserve">注1：根据财政部、工信部《政府采购促进中小企业发展管理办法》的规定，对小型和微型企业提供服务的，对其价格给予10%的调减，以调减后的价格计算价格分。《中小企业声明函》填写格式见第六部分磋商响应文件格式。</w:t>
            </w:r>
            <w:r/>
          </w:p>
          <w:p>
            <w:pPr>
              <w:jc w:val="left"/>
              <w:spacing w:line="264" w:lineRule="auto"/>
              <w:rPr>
                <w:highlight w:val="none"/>
              </w:rPr>
            </w:pPr>
            <w:r>
              <w:rPr>
                <w:rFonts w:hint="eastAsia" w:ascii="宋体" w:hAnsi="宋体" w:cs="宋体"/>
                <w:b/>
                <w:bCs/>
                <w:color w:val="000000"/>
                <w:spacing w:val="-1"/>
                <w:highlight w:val="none"/>
              </w:rPr>
              <w:t xml:space="preserve">注2：如果供应商报价属于财库〔2026〕2号文审查情形的，评审委员会将开展异常低价审查。</w:t>
            </w:r>
            <w:r/>
          </w:p>
        </w:tc>
        <w:tc>
          <w:tcPr>
            <w:tcW w:w="286" w:type="pct"/>
            <w:vAlign w:val="center"/>
            <w:textDirection w:val="lrTb"/>
            <w:noWrap w:val="false"/>
          </w:tcPr>
          <w:p>
            <w:pPr>
              <w:jc w:val="center"/>
              <w:spacing w:before="68" w:line="264" w:lineRule="auto"/>
              <w:rPr>
                <w:rFonts w:ascii="宋体" w:hAnsi="宋体" w:cs="宋体"/>
                <w:color w:val="000000"/>
                <w:spacing w:val="-4"/>
                <w:highlight w:val="none"/>
              </w:rPr>
            </w:pPr>
            <w:r>
              <w:rPr>
                <w:rFonts w:hint="eastAsia" w:ascii="宋体" w:hAnsi="宋体" w:cs="宋体"/>
                <w:color w:val="000000"/>
                <w:spacing w:val="-4"/>
                <w:highlight w:val="none"/>
              </w:rPr>
              <w:t xml:space="preserve">10</w:t>
            </w:r>
            <w:r/>
          </w:p>
        </w:tc>
        <w:tc>
          <w:tcPr>
            <w:tcW w:w="468" w:type="pct"/>
            <w:vAlign w:val="center"/>
            <w:textDirection w:val="lrTb"/>
            <w:noWrap w:val="false"/>
          </w:tcPr>
          <w:p>
            <w:pPr>
              <w:jc w:val="center"/>
              <w:spacing w:before="68" w:line="264" w:lineRule="auto"/>
              <w:rPr>
                <w:rFonts w:ascii="宋体" w:hAnsi="宋体" w:cs="宋体"/>
                <w:color w:val="000000"/>
                <w:spacing w:val="-4"/>
                <w:highlight w:val="none"/>
              </w:rPr>
            </w:pPr>
            <w:r>
              <w:rPr>
                <w:rFonts w:hint="eastAsia" w:ascii="宋体" w:hAnsi="宋体" w:cs="宋体"/>
                <w:color w:val="000000"/>
                <w:spacing w:val="-4"/>
                <w:highlight w:val="none"/>
              </w:rPr>
              <w:t xml:space="preserve">客观分</w:t>
            </w:r>
            <w:r/>
          </w:p>
        </w:tc>
      </w:tr>
      <w:tr>
        <w:trPr>
          <w:jc w:val="center"/>
          <w:trHeight w:val="465"/>
        </w:trPr>
        <w:tc>
          <w:tcPr>
            <w:gridSpan w:val="5"/>
            <w:tcW w:w="5000" w:type="pct"/>
            <w:textDirection w:val="lrTb"/>
            <w:noWrap w:val="false"/>
          </w:tcPr>
          <w:p>
            <w:pPr>
              <w:ind w:left="114"/>
              <w:jc w:val="center"/>
              <w:spacing w:before="123" w:line="264" w:lineRule="auto"/>
              <w:rPr>
                <w:highlight w:val="none"/>
              </w:rPr>
            </w:pPr>
            <w:r>
              <w:rPr>
                <w:rFonts w:hint="eastAsia" w:ascii="宋体" w:hAnsi="宋体" w:cs="宋体"/>
                <w:b/>
                <w:bCs/>
                <w:color w:val="000000"/>
                <w:spacing w:val="-3"/>
                <w:highlight w:val="none"/>
              </w:rPr>
              <w:t xml:space="preserve">二、技术部分（54分）</w:t>
            </w:r>
            <w:r/>
          </w:p>
        </w:tc>
      </w:tr>
      <w:tr>
        <w:trPr>
          <w:jc w:val="center"/>
          <w:trHeight w:val="895"/>
        </w:trPr>
        <w:tc>
          <w:tcPr>
            <w:tcW w:w="255" w:type="pct"/>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1</w:t>
            </w:r>
            <w:r/>
          </w:p>
        </w:tc>
        <w:tc>
          <w:tcPr>
            <w:tcW w:w="592" w:type="pct"/>
            <w:vAlign w:val="center"/>
            <w:textDirection w:val="lrTb"/>
            <w:noWrap w:val="false"/>
          </w:tcPr>
          <w:p>
            <w:pPr>
              <w:jc w:val="center"/>
              <w:spacing w:before="260" w:line="264" w:lineRule="auto"/>
              <w:rPr>
                <w:rFonts w:ascii="宋体" w:hAnsi="宋体" w:cs="宋体"/>
                <w:color w:val="000000"/>
                <w:highlight w:val="none"/>
              </w:rPr>
            </w:pPr>
            <w:r>
              <w:rPr>
                <w:rFonts w:hint="eastAsia" w:ascii="宋体" w:hAnsi="宋体" w:cs="宋体"/>
                <w:color w:val="000000"/>
                <w:highlight w:val="none"/>
              </w:rPr>
              <w:t xml:space="preserve">技术要求评价</w:t>
            </w:r>
            <w:r/>
          </w:p>
        </w:tc>
        <w:tc>
          <w:tcPr>
            <w:tcW w:w="3396" w:type="pct"/>
            <w:vAlign w:val="center"/>
            <w:textDirection w:val="lrTb"/>
            <w:noWrap w:val="false"/>
          </w:tcPr>
          <w:p>
            <w:pPr>
              <w:ind w:hanging="2"/>
              <w:rPr>
                <w:rFonts w:ascii="宋体" w:hAnsi="宋体" w:cs="宋体"/>
                <w:bCs/>
                <w:szCs w:val="21"/>
                <w:highlight w:val="none"/>
              </w:rPr>
            </w:pPr>
            <w:r>
              <w:rPr>
                <w:rFonts w:hint="eastAsia" w:ascii="宋体" w:hAnsi="宋体" w:cs="宋体"/>
                <w:bCs/>
                <w:szCs w:val="21"/>
                <w:highlight w:val="none"/>
              </w:rPr>
              <w:t xml:space="preserve">供应商提供的主要技术指标应完全满足采购需求中的“技术要求”及“终端安全防护”要求，完全满足得26分，</w:t>
            </w:r>
            <w:r>
              <w:rPr>
                <w:rFonts w:hint="eastAsia" w:ascii="宋体" w:hAnsi="宋体" w:cs="宋体"/>
                <w:bCs/>
                <w:szCs w:val="21"/>
                <w:highlight w:val="none"/>
              </w:rPr>
              <w:t xml:space="preserve">每有一项▲指标（</w:t>
            </w:r>
            <w:r>
              <w:rPr>
                <w:rFonts w:hint="eastAsia" w:ascii="宋体" w:hAnsi="宋体" w:cs="宋体"/>
                <w:bCs/>
                <w:szCs w:val="21"/>
                <w:highlight w:val="none"/>
                <w:lang w:val="en-US" w:eastAsia="zh-CN"/>
              </w:rPr>
              <w:t xml:space="preserve">13</w:t>
            </w:r>
            <w:r>
              <w:rPr>
                <w:rFonts w:hint="eastAsia" w:ascii="宋体" w:hAnsi="宋体" w:cs="宋体"/>
                <w:bCs/>
                <w:szCs w:val="21"/>
                <w:highlight w:val="none"/>
              </w:rPr>
              <w:t xml:space="preserve">项）不满足或者负偏离扣</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分，一般性指标（</w:t>
            </w:r>
            <w:r>
              <w:rPr>
                <w:rFonts w:hint="eastAsia" w:ascii="宋体" w:hAnsi="宋体" w:cs="宋体"/>
                <w:bCs/>
                <w:szCs w:val="21"/>
                <w:highlight w:val="none"/>
                <w:lang w:val="en-US" w:eastAsia="zh-CN"/>
              </w:rPr>
              <w:t xml:space="preserve">26</w:t>
            </w:r>
            <w:r>
              <w:rPr>
                <w:rFonts w:hint="eastAsia" w:ascii="宋体" w:hAnsi="宋体" w:cs="宋体"/>
                <w:bCs/>
                <w:szCs w:val="21"/>
                <w:highlight w:val="none"/>
              </w:rPr>
              <w:t xml:space="preserve">项）不满足或者负偏离扣0.</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p>
          <w:p>
            <w:pPr>
              <w:jc w:val="left"/>
              <w:rPr>
                <w:rFonts w:ascii="宋体" w:hAnsi="宋体" w:cs="宋体"/>
                <w:szCs w:val="21"/>
                <w:highlight w:val="none"/>
              </w:rPr>
            </w:pPr>
            <w:r>
              <w:rPr>
                <w:rFonts w:hint="eastAsia" w:ascii="宋体" w:hAnsi="宋体" w:cs="宋体"/>
                <w:b/>
                <w:szCs w:val="21"/>
                <w:highlight w:val="none"/>
              </w:rPr>
              <w:t xml:space="preserve">注：“</w:t>
            </w:r>
            <w:r>
              <w:rPr>
                <w:rFonts w:hint="eastAsia" w:ascii="宋体" w:hAnsi="宋体" w:cs="宋体"/>
                <w:bCs/>
                <w:szCs w:val="21"/>
                <w:highlight w:val="none"/>
              </w:rPr>
              <w:t xml:space="preserve">▲</w:t>
            </w:r>
            <w:r>
              <w:rPr>
                <w:rFonts w:hint="eastAsia" w:ascii="宋体" w:hAnsi="宋体" w:cs="宋体"/>
                <w:b/>
                <w:szCs w:val="21"/>
                <w:highlight w:val="none"/>
              </w:rPr>
              <w:t xml:space="preserve">”指标响应须提供承诺函加盖供应商公章，原件扫描上传，格式自拟。</w:t>
            </w:r>
            <w:r/>
          </w:p>
        </w:tc>
        <w:tc>
          <w:tcPr>
            <w:tcW w:w="286" w:type="pct"/>
            <w:vAlign w:val="center"/>
            <w:textDirection w:val="lrTb"/>
            <w:noWrap w:val="false"/>
          </w:tcPr>
          <w:p>
            <w:pPr>
              <w:jc w:val="center"/>
              <w:spacing w:before="68" w:line="264" w:lineRule="auto"/>
              <w:rPr>
                <w:rFonts w:hint="default" w:ascii="宋体" w:hAnsi="宋体" w:eastAsia="宋体" w:cs="宋体"/>
                <w:color w:val="000000"/>
                <w:spacing w:val="-4"/>
                <w:highlight w:val="none"/>
                <w:lang w:val="en-US" w:eastAsia="zh-CN"/>
              </w:rPr>
            </w:pPr>
            <w:r>
              <w:rPr>
                <w:rFonts w:hint="eastAsia" w:ascii="宋体" w:hAnsi="宋体" w:cs="宋体"/>
                <w:color w:val="000000"/>
                <w:spacing w:val="-4"/>
                <w:highlight w:val="none"/>
                <w:lang w:val="en-US" w:eastAsia="zh-CN"/>
              </w:rPr>
              <w:t xml:space="preserve">26</w:t>
            </w:r>
            <w:r/>
          </w:p>
        </w:tc>
        <w:tc>
          <w:tcPr>
            <w:tcW w:w="468" w:type="pct"/>
            <w:vAlign w:val="center"/>
            <w:textDirection w:val="lrTb"/>
            <w:noWrap w:val="false"/>
          </w:tcPr>
          <w:p>
            <w:pPr>
              <w:jc w:val="center"/>
              <w:spacing w:before="68" w:line="264" w:lineRule="auto"/>
              <w:rPr>
                <w:rFonts w:ascii="宋体" w:hAnsi="宋体" w:cs="宋体"/>
                <w:color w:val="000000"/>
                <w:spacing w:val="-6"/>
                <w:highlight w:val="none"/>
              </w:rPr>
            </w:pPr>
            <w:r>
              <w:rPr>
                <w:rFonts w:hint="eastAsia" w:ascii="宋体" w:hAnsi="宋体" w:cs="宋体"/>
                <w:color w:val="000000"/>
                <w:spacing w:val="-4"/>
                <w:highlight w:val="none"/>
              </w:rPr>
              <w:t xml:space="preserve">客观分</w:t>
            </w:r>
            <w:r/>
          </w:p>
        </w:tc>
      </w:tr>
      <w:tr>
        <w:trPr>
          <w:jc w:val="center"/>
          <w:trHeight w:val="378"/>
        </w:trPr>
        <w:tc>
          <w:tcPr>
            <w:tcW w:w="255" w:type="pct"/>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w:t>
            </w:r>
            <w:r/>
          </w:p>
        </w:tc>
        <w:tc>
          <w:tcPr>
            <w:tcW w:w="592" w:type="pct"/>
            <w:vAlign w:val="center"/>
            <w:textDirection w:val="lrTb"/>
            <w:noWrap w:val="false"/>
          </w:tcPr>
          <w:p>
            <w:pPr>
              <w:jc w:val="center"/>
              <w:spacing w:line="264" w:lineRule="auto"/>
              <w:rPr>
                <w:rFonts w:ascii="宋体" w:hAnsi="宋体" w:cs="宋体"/>
                <w:color w:val="000000"/>
                <w:spacing w:val="-2"/>
                <w:szCs w:val="21"/>
                <w:highlight w:val="none"/>
              </w:rPr>
            </w:pPr>
            <w:r>
              <w:rPr>
                <w:rFonts w:hint="eastAsia" w:ascii="宋体" w:hAnsi="宋体" w:cs="宋体"/>
                <w:color w:val="000000"/>
                <w:highlight w:val="none"/>
              </w:rPr>
              <w:t xml:space="preserve">网络安全方案</w:t>
            </w:r>
            <w:r/>
          </w:p>
        </w:tc>
        <w:tc>
          <w:tcPr>
            <w:tcW w:w="3396" w:type="pct"/>
            <w:vAlign w:val="center"/>
            <w:textDirection w:val="lrTb"/>
            <w:noWrap w:val="false"/>
          </w:tcPr>
          <w:p>
            <w:pPr>
              <w:jc w:val="left"/>
              <w:rPr>
                <w:rFonts w:ascii="宋体" w:hAnsi="宋体" w:cs="宋体"/>
                <w:color w:val="000000"/>
                <w:spacing w:val="-1"/>
                <w:highlight w:val="none"/>
              </w:rPr>
            </w:pPr>
            <w:r>
              <w:rPr>
                <w:rFonts w:hint="eastAsia" w:ascii="宋体" w:hAnsi="宋体" w:cs="宋体"/>
                <w:color w:val="000000"/>
                <w:spacing w:val="-1"/>
                <w:highlight w:val="none"/>
              </w:rPr>
              <w:t xml:space="preserve">根据本项目采购需求编制方案，内容包含：1.信息安全保障措施、体系；2.网络安全应急预案；3.追责机制。</w:t>
            </w:r>
            <w:r/>
          </w:p>
          <w:p>
            <w:pPr>
              <w:jc w:val="left"/>
              <w:rPr>
                <w:rFonts w:ascii="宋体" w:hAnsi="宋体" w:cs="宋体"/>
                <w:color w:val="000000"/>
                <w:spacing w:val="-1"/>
                <w:highlight w:val="none"/>
              </w:rPr>
            </w:pPr>
            <w:r>
              <w:rPr>
                <w:rFonts w:hint="eastAsia" w:ascii="宋体" w:hAnsi="宋体" w:cs="宋体"/>
                <w:bCs/>
                <w:szCs w:val="21"/>
                <w:highlight w:val="none"/>
              </w:rPr>
              <w:t xml:space="preserve">完全包含上述要点的得3分，</w:t>
            </w:r>
            <w:r>
              <w:rPr>
                <w:rFonts w:hint="eastAsia" w:ascii="宋体" w:hAnsi="宋体" w:cs="宋体"/>
                <w:bCs/>
                <w:spacing w:val="-8"/>
                <w:szCs w:val="21"/>
                <w:highlight w:val="none"/>
              </w:rPr>
              <w:t xml:space="preserve">缺一项扣1分，</w:t>
            </w:r>
            <w:r>
              <w:rPr>
                <w:rFonts w:hint="eastAsia" w:ascii="宋体" w:hAnsi="宋体"/>
                <w:szCs w:val="21"/>
                <w:highlight w:val="none"/>
              </w:rPr>
              <w:t xml:space="preserve">未提供方案的不得分；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方案专门针对本项目，完全契合采购需求加</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w:t>
            </w:r>
            <w:r/>
          </w:p>
          <w:p>
            <w:pPr>
              <w:widowControl/>
              <w:rPr>
                <w:rFonts w:ascii="宋体" w:hAnsi="宋体" w:cs="宋体"/>
                <w:szCs w:val="21"/>
                <w:highlight w:val="none"/>
              </w:rPr>
            </w:pPr>
            <w:r>
              <w:rPr>
                <w:rFonts w:hint="eastAsia" w:ascii="宋体" w:hAnsi="宋体" w:cs="宋体"/>
                <w:szCs w:val="21"/>
                <w:highlight w:val="none"/>
              </w:rPr>
              <w:t xml:space="preserve">思路</w:t>
            </w:r>
            <w:r>
              <w:rPr>
                <w:rFonts w:ascii="宋体" w:hAnsi="宋体" w:cs="宋体"/>
                <w:szCs w:val="21"/>
                <w:highlight w:val="none"/>
              </w:rPr>
              <w:t xml:space="preserve">清晰、可操作性强，明确各环节解决措施的</w:t>
            </w:r>
            <w:r>
              <w:rPr>
                <w:rFonts w:hint="eastAsia" w:ascii="宋体" w:hAnsi="宋体" w:cs="宋体"/>
                <w:szCs w:val="21"/>
                <w:highlight w:val="none"/>
              </w:rPr>
              <w:t xml:space="preserve">加</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jc w:val="left"/>
              <w:rPr>
                <w:rFonts w:ascii="宋体" w:hAnsi="宋体" w:cs="宋体"/>
                <w:color w:val="000000"/>
                <w:spacing w:val="-1"/>
                <w:highlight w:val="none"/>
              </w:rPr>
            </w:pPr>
            <w:r>
              <w:rPr>
                <w:rFonts w:hint="eastAsia" w:ascii="宋体" w:hAnsi="宋体" w:cs="宋体"/>
                <w:szCs w:val="21"/>
                <w:highlight w:val="none"/>
              </w:rPr>
              <w:t xml:space="preserve">本项最高得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286" w:type="pct"/>
            <w:vAlign w:val="center"/>
            <w:textDirection w:val="lrTb"/>
            <w:noWrap w:val="false"/>
          </w:tcPr>
          <w:p>
            <w:pPr>
              <w:jc w:val="center"/>
              <w:spacing w:before="68" w:line="264" w:lineRule="auto"/>
              <w:rPr>
                <w:rFonts w:hint="eastAsia" w:ascii="宋体" w:hAnsi="宋体" w:eastAsia="宋体" w:cs="宋体"/>
                <w:color w:val="000000"/>
                <w:spacing w:val="-4"/>
                <w:szCs w:val="21"/>
                <w:highlight w:val="none"/>
                <w:lang w:eastAsia="zh-CN"/>
              </w:rPr>
            </w:pPr>
            <w:r>
              <w:rPr>
                <w:rFonts w:hint="eastAsia" w:ascii="宋体" w:hAnsi="宋体" w:cs="宋体"/>
                <w:color w:val="000000"/>
                <w:spacing w:val="-4"/>
                <w:highlight w:val="none"/>
                <w:lang w:val="en-US" w:eastAsia="zh-CN"/>
              </w:rPr>
              <w:t xml:space="preserve">5</w:t>
            </w:r>
            <w:r/>
          </w:p>
        </w:tc>
        <w:tc>
          <w:tcPr>
            <w:tcW w:w="468" w:type="pct"/>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895"/>
        </w:trPr>
        <w:tc>
          <w:tcPr>
            <w:tcW w:w="255" w:type="pct"/>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w:t>
            </w:r>
            <w:r/>
          </w:p>
        </w:tc>
        <w:tc>
          <w:tcPr>
            <w:tcW w:w="592" w:type="pct"/>
            <w:vAlign w:val="center"/>
            <w:textDirection w:val="lrTb"/>
            <w:noWrap w:val="false"/>
          </w:tcPr>
          <w:p>
            <w:pPr>
              <w:jc w:val="center"/>
              <w:spacing w:before="69" w:line="264" w:lineRule="auto"/>
              <w:rPr>
                <w:rFonts w:ascii="宋体" w:hAnsi="宋体" w:cs="宋体"/>
                <w:color w:val="000000"/>
                <w:spacing w:val="-4"/>
                <w:szCs w:val="21"/>
                <w:highlight w:val="none"/>
              </w:rPr>
            </w:pPr>
            <w:r>
              <w:rPr>
                <w:rFonts w:hint="eastAsia" w:ascii="宋体" w:hAnsi="宋体" w:cs="宋体"/>
                <w:color w:val="000000"/>
                <w:highlight w:val="none"/>
              </w:rPr>
              <w:t xml:space="preserve">应急方案</w:t>
            </w:r>
            <w:r/>
          </w:p>
        </w:tc>
        <w:tc>
          <w:tcPr>
            <w:tcW w:w="3396" w:type="pct"/>
            <w:vAlign w:val="center"/>
            <w:textDirection w:val="lrTb"/>
            <w:noWrap w:val="false"/>
          </w:tcPr>
          <w:p>
            <w:pPr>
              <w:jc w:val="left"/>
              <w:rPr>
                <w:rFonts w:ascii="宋体" w:hAnsi="宋体" w:cs="宋体"/>
                <w:color w:val="000000"/>
                <w:spacing w:val="-1"/>
                <w:highlight w:val="none"/>
              </w:rPr>
            </w:pPr>
            <w:r>
              <w:rPr>
                <w:rFonts w:hint="eastAsia" w:ascii="宋体" w:hAnsi="宋体" w:cs="宋体"/>
                <w:color w:val="000000"/>
                <w:spacing w:val="-1"/>
                <w:highlight w:val="none"/>
              </w:rPr>
              <w:t xml:space="preserve">根据本项目采购需求编制方案，内容包含：1.网络事件分级及影响评估， 2.应急解决流程和措施；3.应急响应服务承诺。</w:t>
            </w:r>
            <w:r/>
          </w:p>
          <w:p>
            <w:pPr>
              <w:jc w:val="left"/>
              <w:rPr>
                <w:rFonts w:ascii="宋体" w:hAnsi="宋体" w:cs="宋体"/>
                <w:color w:val="000000"/>
                <w:spacing w:val="-1"/>
                <w:highlight w:val="none"/>
              </w:rPr>
            </w:pPr>
            <w:r>
              <w:rPr>
                <w:rFonts w:hint="eastAsia" w:ascii="宋体" w:hAnsi="宋体" w:cs="宋体"/>
                <w:bCs/>
                <w:szCs w:val="21"/>
                <w:highlight w:val="none"/>
              </w:rPr>
              <w:t xml:space="preserve">完全包含上述要点的得3分，</w:t>
            </w:r>
            <w:r>
              <w:rPr>
                <w:rFonts w:hint="eastAsia" w:ascii="宋体" w:hAnsi="宋体" w:cs="宋体"/>
                <w:bCs/>
                <w:spacing w:val="-8"/>
                <w:szCs w:val="21"/>
                <w:highlight w:val="none"/>
              </w:rPr>
              <w:t xml:space="preserve">缺一项扣1分，</w:t>
            </w:r>
            <w:r>
              <w:rPr>
                <w:rFonts w:hint="eastAsia" w:ascii="宋体" w:hAnsi="宋体"/>
                <w:szCs w:val="21"/>
                <w:highlight w:val="none"/>
              </w:rPr>
              <w:t xml:space="preserve">未提供方案的不得分；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方案专门针对本项目，完全契合采购需求加</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w:t>
            </w:r>
            <w:r/>
          </w:p>
          <w:p>
            <w:pPr>
              <w:widowControl/>
              <w:rPr>
                <w:rFonts w:ascii="宋体" w:hAnsi="宋体" w:cs="宋体"/>
                <w:szCs w:val="21"/>
                <w:highlight w:val="none"/>
              </w:rPr>
            </w:pPr>
            <w:r>
              <w:rPr>
                <w:rFonts w:hint="eastAsia" w:ascii="宋体" w:hAnsi="宋体" w:cs="宋体"/>
                <w:szCs w:val="21"/>
                <w:highlight w:val="none"/>
              </w:rPr>
              <w:t xml:space="preserve">思路</w:t>
            </w:r>
            <w:r>
              <w:rPr>
                <w:rFonts w:ascii="宋体" w:hAnsi="宋体" w:cs="宋体"/>
                <w:szCs w:val="21"/>
                <w:highlight w:val="none"/>
              </w:rPr>
              <w:t xml:space="preserve">清晰、可操作性强，</w:t>
            </w:r>
            <w:r>
              <w:rPr>
                <w:rFonts w:hint="eastAsia" w:ascii="宋体" w:hAnsi="宋体" w:cs="宋体"/>
                <w:szCs w:val="21"/>
                <w:highlight w:val="none"/>
              </w:rPr>
              <w:t xml:space="preserve">具有相关改进机制</w:t>
            </w:r>
            <w:r>
              <w:rPr>
                <w:rFonts w:ascii="宋体" w:hAnsi="宋体" w:cs="宋体"/>
                <w:szCs w:val="21"/>
                <w:highlight w:val="none"/>
              </w:rPr>
              <w:t xml:space="preserve">的</w:t>
            </w:r>
            <w:r>
              <w:rPr>
                <w:rFonts w:hint="eastAsia" w:ascii="宋体" w:hAnsi="宋体" w:cs="宋体"/>
                <w:szCs w:val="21"/>
                <w:highlight w:val="none"/>
              </w:rPr>
              <w:t xml:space="preserve">加</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jc w:val="left"/>
              <w:rPr>
                <w:rFonts w:ascii="宋体" w:hAnsi="宋体" w:cs="宋体"/>
                <w:color w:val="000000"/>
                <w:spacing w:val="-1"/>
                <w:highlight w:val="none"/>
              </w:rPr>
            </w:pPr>
            <w:r>
              <w:rPr>
                <w:rFonts w:hint="eastAsia" w:ascii="宋体" w:hAnsi="宋体" w:cs="宋体"/>
                <w:szCs w:val="21"/>
                <w:highlight w:val="none"/>
              </w:rPr>
              <w:t xml:space="preserve">本项最高得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286" w:type="pct"/>
            <w:vAlign w:val="center"/>
            <w:textDirection w:val="lrTb"/>
            <w:noWrap w:val="false"/>
          </w:tcPr>
          <w:p>
            <w:pPr>
              <w:jc w:val="center"/>
              <w:spacing w:before="68" w:line="264" w:lineRule="auto"/>
              <w:rPr>
                <w:rFonts w:hint="eastAsia" w:ascii="宋体" w:hAnsi="宋体" w:eastAsia="宋体" w:cs="宋体"/>
                <w:color w:val="000000"/>
                <w:spacing w:val="-4"/>
                <w:szCs w:val="21"/>
                <w:highlight w:val="none"/>
                <w:lang w:eastAsia="zh-CN"/>
              </w:rPr>
            </w:pPr>
            <w:r>
              <w:rPr>
                <w:rFonts w:hint="eastAsia" w:ascii="宋体" w:hAnsi="宋体" w:cs="宋体"/>
                <w:color w:val="000000"/>
                <w:spacing w:val="-4"/>
                <w:highlight w:val="none"/>
                <w:lang w:val="en-US" w:eastAsia="zh-CN"/>
              </w:rPr>
              <w:t xml:space="preserve">5</w:t>
            </w:r>
            <w:r/>
          </w:p>
        </w:tc>
        <w:tc>
          <w:tcPr>
            <w:tcW w:w="468" w:type="pct"/>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893"/>
        </w:trPr>
        <w:tc>
          <w:tcPr>
            <w:tcW w:w="255" w:type="pct"/>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4</w:t>
            </w:r>
            <w:r/>
          </w:p>
        </w:tc>
        <w:tc>
          <w:tcPr>
            <w:tcW w:w="592" w:type="pct"/>
            <w:vAlign w:val="center"/>
            <w:textDirection w:val="lrTb"/>
            <w:noWrap w:val="false"/>
          </w:tcPr>
          <w:p>
            <w:pPr>
              <w:jc w:val="center"/>
              <w:spacing w:before="69" w:line="264" w:lineRule="auto"/>
              <w:rPr>
                <w:rFonts w:ascii="宋体" w:hAnsi="宋体" w:cs="宋体"/>
                <w:color w:val="000000"/>
                <w:szCs w:val="21"/>
                <w:highlight w:val="none"/>
              </w:rPr>
            </w:pPr>
            <w:r>
              <w:rPr>
                <w:rFonts w:hint="eastAsia" w:ascii="宋体" w:hAnsi="宋体" w:cs="宋体"/>
                <w:color w:val="000000"/>
                <w:highlight w:val="none"/>
              </w:rPr>
              <w:t xml:space="preserve">机房管理方案</w:t>
            </w:r>
            <w:r/>
          </w:p>
        </w:tc>
        <w:tc>
          <w:tcPr>
            <w:tcW w:w="3396" w:type="pct"/>
            <w:vAlign w:val="center"/>
            <w:textDirection w:val="lrTb"/>
            <w:noWrap w:val="false"/>
          </w:tcPr>
          <w:p>
            <w:pPr>
              <w:jc w:val="left"/>
              <w:rPr>
                <w:rFonts w:ascii="宋体" w:hAnsi="宋体" w:cs="宋体"/>
                <w:color w:val="000000"/>
                <w:spacing w:val="-1"/>
                <w:highlight w:val="none"/>
              </w:rPr>
            </w:pPr>
            <w:r>
              <w:rPr>
                <w:rFonts w:hint="eastAsia" w:ascii="宋体" w:hAnsi="宋体" w:cs="宋体"/>
                <w:color w:val="000000"/>
                <w:spacing w:val="-1"/>
                <w:highlight w:val="none"/>
              </w:rPr>
              <w:t xml:space="preserve">根据本项目采购需求编制方案，内容包含：1.机房管理制度；2. 机房设施维护管理。</w:t>
            </w:r>
            <w:r/>
          </w:p>
          <w:p>
            <w:pPr>
              <w:jc w:val="left"/>
              <w:rPr>
                <w:rFonts w:ascii="宋体" w:hAnsi="宋体" w:cs="宋体"/>
                <w:color w:val="000000"/>
                <w:spacing w:val="-1"/>
                <w:highlight w:val="none"/>
              </w:rPr>
            </w:pPr>
            <w:r>
              <w:rPr>
                <w:rFonts w:hint="eastAsia" w:ascii="宋体" w:hAnsi="宋体" w:cs="宋体"/>
                <w:bCs/>
                <w:szCs w:val="21"/>
                <w:highlight w:val="none"/>
              </w:rPr>
              <w:t xml:space="preserve">完全包含上述要点的得2分，</w:t>
            </w:r>
            <w:r>
              <w:rPr>
                <w:rFonts w:hint="eastAsia" w:ascii="宋体" w:hAnsi="宋体" w:cs="宋体"/>
                <w:bCs/>
                <w:spacing w:val="-8"/>
                <w:szCs w:val="21"/>
                <w:highlight w:val="none"/>
              </w:rPr>
              <w:t xml:space="preserve">缺一项扣1分，</w:t>
            </w:r>
            <w:r>
              <w:rPr>
                <w:rFonts w:hint="eastAsia" w:ascii="宋体" w:hAnsi="宋体"/>
                <w:szCs w:val="21"/>
                <w:highlight w:val="none"/>
              </w:rPr>
              <w:t xml:space="preserve">未提供方案的不得分；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方案专门针对本项目，完全契合采购人机房管理要求加</w:t>
            </w:r>
            <w:r>
              <w:rPr>
                <w:rFonts w:hint="eastAsia" w:ascii="宋体" w:hAnsi="宋体" w:cs="宋体"/>
                <w:color w:val="000000"/>
                <w:spacing w:val="-1"/>
                <w:highlight w:val="none"/>
                <w:lang w:val="en-US" w:eastAsia="zh-CN"/>
              </w:rPr>
              <w:t xml:space="preserve">1.5</w:t>
            </w:r>
            <w:r>
              <w:rPr>
                <w:rFonts w:hint="eastAsia" w:ascii="宋体" w:hAnsi="宋体" w:cs="宋体"/>
                <w:color w:val="000000"/>
                <w:spacing w:val="-1"/>
                <w:highlight w:val="none"/>
              </w:rPr>
              <w:t xml:space="preserve">分；</w:t>
            </w:r>
            <w:r/>
          </w:p>
          <w:p>
            <w:pPr>
              <w:jc w:val="left"/>
              <w:rPr>
                <w:rFonts w:ascii="宋体" w:hAnsi="宋体" w:cs="宋体"/>
                <w:color w:val="000000"/>
                <w:spacing w:val="-1"/>
                <w:highlight w:val="none"/>
              </w:rPr>
            </w:pPr>
            <w:r>
              <w:rPr>
                <w:rFonts w:ascii="宋体" w:hAnsi="宋体" w:cs="宋体"/>
                <w:szCs w:val="21"/>
                <w:highlight w:val="none"/>
              </w:rPr>
              <w:t xml:space="preserve">可操作性强，明确各环节责任分工的加</w:t>
            </w:r>
            <w:r>
              <w:rPr>
                <w:rFonts w:hint="eastAsia" w:ascii="宋体" w:hAnsi="宋体" w:cs="宋体"/>
                <w:szCs w:val="21"/>
                <w:highlight w:val="none"/>
                <w:lang w:val="en-US" w:eastAsia="zh-CN"/>
              </w:rPr>
              <w:t xml:space="preserve">1.5</w:t>
            </w:r>
            <w:r>
              <w:rPr>
                <w:rFonts w:ascii="宋体" w:hAnsi="宋体" w:cs="宋体"/>
                <w:szCs w:val="21"/>
                <w:highlight w:val="none"/>
              </w:rPr>
              <w:t xml:space="preserve">分</w:t>
            </w:r>
            <w:r>
              <w:rPr>
                <w:rFonts w:hint="eastAsia" w:ascii="宋体" w:hAnsi="宋体" w:cs="宋体"/>
                <w:szCs w:val="21"/>
                <w:highlight w:val="none"/>
              </w:rPr>
              <w:t xml:space="preserve">。</w:t>
            </w:r>
            <w:r/>
          </w:p>
          <w:p>
            <w:pPr>
              <w:jc w:val="left"/>
              <w:rPr>
                <w:rFonts w:ascii="宋体" w:hAnsi="宋体" w:cs="宋体"/>
                <w:color w:val="000000"/>
                <w:spacing w:val="-1"/>
                <w:highlight w:val="none"/>
              </w:rPr>
            </w:pPr>
            <w:r>
              <w:rPr>
                <w:rFonts w:hint="eastAsia" w:ascii="宋体" w:hAnsi="宋体" w:cs="宋体"/>
                <w:szCs w:val="21"/>
                <w:highlight w:val="none"/>
              </w:rPr>
              <w:t xml:space="preserve">本项最高得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tc>
        <w:tc>
          <w:tcPr>
            <w:tcW w:w="286" w:type="pct"/>
            <w:vAlign w:val="center"/>
            <w:textDirection w:val="lrTb"/>
            <w:noWrap w:val="false"/>
          </w:tcPr>
          <w:p>
            <w:pPr>
              <w:jc w:val="center"/>
              <w:spacing w:before="68" w:line="264" w:lineRule="auto"/>
              <w:rPr>
                <w:rFonts w:hint="eastAsia" w:ascii="宋体" w:hAnsi="宋体" w:eastAsia="宋体" w:cs="宋体"/>
                <w:color w:val="000000"/>
                <w:spacing w:val="-4"/>
                <w:szCs w:val="21"/>
                <w:highlight w:val="none"/>
                <w:lang w:eastAsia="zh-CN"/>
              </w:rPr>
            </w:pPr>
            <w:r>
              <w:rPr>
                <w:rFonts w:hint="eastAsia" w:ascii="宋体" w:hAnsi="宋体" w:cs="宋体"/>
                <w:color w:val="000000"/>
                <w:spacing w:val="-4"/>
                <w:highlight w:val="none"/>
                <w:lang w:val="en-US" w:eastAsia="zh-CN"/>
              </w:rPr>
              <w:t xml:space="preserve">5</w:t>
            </w:r>
            <w:r/>
          </w:p>
        </w:tc>
        <w:tc>
          <w:tcPr>
            <w:tcW w:w="468" w:type="pct"/>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275"/>
        </w:trPr>
        <w:tc>
          <w:tcPr>
            <w:tcW w:w="255" w:type="pct"/>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5</w:t>
            </w:r>
            <w:r/>
          </w:p>
        </w:tc>
        <w:tc>
          <w:tcPr>
            <w:tcW w:w="592" w:type="pct"/>
            <w:vAlign w:val="center"/>
            <w:textDirection w:val="lrTb"/>
            <w:noWrap w:val="false"/>
          </w:tcPr>
          <w:p>
            <w:pPr>
              <w:jc w:val="center"/>
              <w:spacing w:before="69" w:line="264" w:lineRule="auto"/>
              <w:rPr>
                <w:rFonts w:ascii="宋体" w:hAnsi="宋体" w:cs="宋体"/>
                <w:color w:val="000000"/>
                <w:szCs w:val="21"/>
                <w:highlight w:val="none"/>
              </w:rPr>
            </w:pPr>
            <w:r>
              <w:rPr>
                <w:rFonts w:hint="eastAsia" w:ascii="宋体" w:hAnsi="宋体" w:cs="宋体"/>
                <w:color w:val="000000"/>
                <w:highlight w:val="none"/>
              </w:rPr>
              <w:t xml:space="preserve">运维方案</w:t>
            </w:r>
            <w:r/>
          </w:p>
        </w:tc>
        <w:tc>
          <w:tcPr>
            <w:tcW w:w="3396" w:type="pct"/>
            <w:vAlign w:val="center"/>
            <w:textDirection w:val="lrTb"/>
            <w:noWrap w:val="false"/>
          </w:tcPr>
          <w:p>
            <w:pPr>
              <w:jc w:val="left"/>
              <w:rPr>
                <w:rFonts w:ascii="宋体" w:hAnsi="宋体" w:cs="宋体"/>
                <w:color w:val="000000"/>
                <w:spacing w:val="-1"/>
                <w:highlight w:val="none"/>
              </w:rPr>
            </w:pPr>
            <w:r>
              <w:rPr>
                <w:rFonts w:hint="eastAsia" w:ascii="宋体" w:hAnsi="宋体" w:cs="宋体"/>
                <w:color w:val="000000"/>
                <w:spacing w:val="-1"/>
                <w:highlight w:val="none"/>
              </w:rPr>
              <w:t xml:space="preserve">根据本项目采购需求编制方案，内容包含：1.运维架构和运维管理组织职责；2.运维内容；3.服务质量管理控制。</w:t>
            </w:r>
            <w:r/>
          </w:p>
          <w:p>
            <w:pPr>
              <w:jc w:val="left"/>
              <w:rPr>
                <w:rFonts w:ascii="宋体" w:hAnsi="宋体" w:cs="宋体"/>
                <w:color w:val="000000"/>
                <w:spacing w:val="-1"/>
                <w:highlight w:val="none"/>
              </w:rPr>
            </w:pPr>
            <w:r>
              <w:rPr>
                <w:rFonts w:hint="eastAsia" w:ascii="宋体" w:hAnsi="宋体" w:cs="宋体"/>
                <w:bCs/>
                <w:szCs w:val="21"/>
                <w:highlight w:val="none"/>
              </w:rPr>
              <w:t xml:space="preserve">完全包含上述要点的得3分，</w:t>
            </w:r>
            <w:r>
              <w:rPr>
                <w:rFonts w:hint="eastAsia" w:ascii="宋体" w:hAnsi="宋体" w:cs="宋体"/>
                <w:bCs/>
                <w:spacing w:val="-8"/>
                <w:szCs w:val="21"/>
                <w:highlight w:val="none"/>
              </w:rPr>
              <w:t xml:space="preserve">缺一项扣1分，</w:t>
            </w:r>
            <w:r>
              <w:rPr>
                <w:rFonts w:hint="eastAsia" w:ascii="宋体" w:hAnsi="宋体"/>
                <w:szCs w:val="21"/>
                <w:highlight w:val="none"/>
              </w:rPr>
              <w:t xml:space="preserve">未提供方案的不得分；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方案专门针对本项目，完全契合采购需求加</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方案涵盖技术维护、质量保证的加</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w:t>
            </w:r>
            <w:r/>
          </w:p>
          <w:p>
            <w:pPr>
              <w:pStyle w:val="1481"/>
              <w:rPr>
                <w:rFonts w:ascii="宋体" w:hAnsi="宋体" w:eastAsia="宋体" w:cs="宋体"/>
                <w:color w:val="000000"/>
                <w:spacing w:val="-1"/>
                <w:highlight w:val="none"/>
                <w:lang w:eastAsia="zh-CN"/>
              </w:rPr>
            </w:pPr>
            <w:r>
              <w:rPr>
                <w:rFonts w:hint="eastAsia" w:ascii="宋体" w:hAnsi="宋体" w:cs="宋体"/>
                <w:highlight w:val="none"/>
                <w:lang w:eastAsia="zh-CN"/>
              </w:rPr>
              <w:t xml:space="preserve">本项</w:t>
            </w:r>
            <w:r>
              <w:rPr>
                <w:rFonts w:hint="eastAsia" w:ascii="宋体" w:hAnsi="宋体" w:cs="宋体"/>
                <w:highlight w:val="none"/>
              </w:rPr>
              <w:t xml:space="preserve">最高得</w:t>
            </w:r>
            <w:r>
              <w:rPr>
                <w:rFonts w:hint="eastAsia" w:ascii="宋体" w:hAnsi="宋体" w:cs="宋体"/>
                <w:highlight w:val="none"/>
                <w:lang w:val="en-US" w:eastAsia="zh-CN"/>
              </w:rPr>
              <w:t xml:space="preserve">5</w:t>
            </w:r>
            <w:r>
              <w:rPr>
                <w:rFonts w:hint="eastAsia" w:ascii="宋体" w:hAnsi="宋体" w:cs="宋体"/>
                <w:highlight w:val="none"/>
              </w:rPr>
              <w:t xml:space="preserve">分。</w:t>
            </w:r>
            <w:r/>
          </w:p>
        </w:tc>
        <w:tc>
          <w:tcPr>
            <w:tcW w:w="286" w:type="pct"/>
            <w:vAlign w:val="center"/>
            <w:textDirection w:val="lrTb"/>
            <w:noWrap w:val="false"/>
          </w:tcPr>
          <w:p>
            <w:pPr>
              <w:jc w:val="center"/>
              <w:spacing w:before="68" w:line="264" w:lineRule="auto"/>
              <w:rPr>
                <w:rFonts w:hint="eastAsia" w:ascii="宋体" w:hAnsi="宋体" w:eastAsia="宋体" w:cs="宋体"/>
                <w:color w:val="000000"/>
                <w:spacing w:val="-4"/>
                <w:szCs w:val="21"/>
                <w:highlight w:val="none"/>
                <w:lang w:eastAsia="zh-CN"/>
              </w:rPr>
            </w:pPr>
            <w:r>
              <w:rPr>
                <w:rFonts w:hint="eastAsia" w:ascii="宋体" w:hAnsi="宋体" w:cs="宋体"/>
                <w:color w:val="000000"/>
                <w:spacing w:val="-4"/>
                <w:highlight w:val="none"/>
                <w:lang w:val="en-US" w:eastAsia="zh-CN"/>
              </w:rPr>
              <w:t xml:space="preserve">5</w:t>
            </w:r>
            <w:r/>
          </w:p>
        </w:tc>
        <w:tc>
          <w:tcPr>
            <w:tcW w:w="468" w:type="pct"/>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520"/>
        </w:trPr>
        <w:tc>
          <w:tcPr>
            <w:tcW w:w="255" w:type="pct"/>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6</w:t>
            </w:r>
            <w:r/>
          </w:p>
        </w:tc>
        <w:tc>
          <w:tcPr>
            <w:tcW w:w="592" w:type="pct"/>
            <w:vAlign w:val="center"/>
            <w:textDirection w:val="lrTb"/>
            <w:noWrap w:val="false"/>
          </w:tcPr>
          <w:p>
            <w:pPr>
              <w:jc w:val="center"/>
              <w:spacing w:before="69" w:line="264" w:lineRule="auto"/>
              <w:rPr>
                <w:rFonts w:ascii="宋体" w:hAnsi="宋体" w:cs="宋体"/>
                <w:color w:val="000000"/>
                <w:szCs w:val="21"/>
                <w:highlight w:val="none"/>
              </w:rPr>
            </w:pPr>
            <w:r>
              <w:rPr>
                <w:rFonts w:hint="eastAsia" w:ascii="宋体" w:hAnsi="宋体" w:cs="宋体"/>
                <w:color w:val="000000"/>
                <w:highlight w:val="none"/>
              </w:rPr>
              <w:t xml:space="preserve">项目实施方案</w:t>
            </w:r>
            <w:r/>
          </w:p>
        </w:tc>
        <w:tc>
          <w:tcPr>
            <w:tcW w:w="3396" w:type="pct"/>
            <w:vAlign w:val="center"/>
            <w:textDirection w:val="lrTb"/>
            <w:noWrap w:val="false"/>
          </w:tcPr>
          <w:p>
            <w:pPr>
              <w:jc w:val="left"/>
              <w:rPr>
                <w:rFonts w:ascii="宋体" w:hAnsi="宋体" w:cs="宋体"/>
                <w:color w:val="000000"/>
                <w:spacing w:val="-1"/>
                <w:highlight w:val="none"/>
              </w:rPr>
            </w:pPr>
            <w:r>
              <w:rPr>
                <w:rFonts w:hint="eastAsia" w:ascii="宋体" w:hAnsi="宋体" w:cs="宋体"/>
                <w:color w:val="000000"/>
                <w:spacing w:val="-1"/>
                <w:highlight w:val="none"/>
              </w:rPr>
              <w:t xml:space="preserve">根据本项目采购需求编制方案，内容包含：1.进度安排及控制、组织架构；2.风险控制管理、质量保障措施；3.信息安全管理措施、文档管理措施；4.网络规划、部署方案；</w:t>
            </w:r>
            <w:r/>
          </w:p>
          <w:p>
            <w:pPr>
              <w:jc w:val="left"/>
              <w:rPr>
                <w:rFonts w:ascii="宋体" w:hAnsi="宋体" w:cs="宋体"/>
                <w:color w:val="000000"/>
                <w:spacing w:val="-1"/>
                <w:highlight w:val="none"/>
              </w:rPr>
            </w:pPr>
            <w:r>
              <w:rPr>
                <w:rFonts w:hint="eastAsia" w:ascii="宋体" w:hAnsi="宋体" w:cs="宋体"/>
                <w:bCs/>
                <w:szCs w:val="21"/>
                <w:highlight w:val="none"/>
              </w:rPr>
              <w:t xml:space="preserve">完全包含上述要点的得4分，</w:t>
            </w:r>
            <w:r>
              <w:rPr>
                <w:rFonts w:hint="eastAsia" w:ascii="宋体" w:hAnsi="宋体" w:cs="宋体"/>
                <w:bCs/>
                <w:spacing w:val="-8"/>
                <w:szCs w:val="21"/>
                <w:highlight w:val="none"/>
              </w:rPr>
              <w:t xml:space="preserve">缺一项扣1分，</w:t>
            </w:r>
            <w:r>
              <w:rPr>
                <w:rFonts w:hint="eastAsia" w:ascii="宋体" w:hAnsi="宋体"/>
                <w:szCs w:val="21"/>
                <w:highlight w:val="none"/>
              </w:rPr>
              <w:t xml:space="preserve">未提供方案的不得分；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方案贴合实际，完全契合采购需求加</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方案</w:t>
            </w:r>
            <w:r>
              <w:rPr>
                <w:rFonts w:ascii="宋体" w:hAnsi="宋体" w:cs="宋体"/>
                <w:szCs w:val="21"/>
                <w:highlight w:val="none"/>
              </w:rPr>
              <w:t xml:space="preserve">可操作性强，</w:t>
            </w:r>
            <w:r>
              <w:rPr>
                <w:rFonts w:hint="eastAsia" w:ascii="宋体" w:hAnsi="宋体" w:cs="宋体"/>
                <w:szCs w:val="21"/>
                <w:highlight w:val="none"/>
              </w:rPr>
              <w:t xml:space="preserve">具备很强落地性</w:t>
            </w:r>
            <w:r>
              <w:rPr>
                <w:rFonts w:hint="eastAsia" w:ascii="宋体" w:hAnsi="宋体" w:cs="宋体"/>
                <w:color w:val="000000"/>
                <w:spacing w:val="-1"/>
                <w:highlight w:val="none"/>
              </w:rPr>
              <w:t xml:space="preserve">的加</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rPr>
              <w:t xml:space="preserve">分。</w:t>
            </w:r>
            <w:r/>
          </w:p>
          <w:p>
            <w:pPr>
              <w:jc w:val="left"/>
              <w:rPr>
                <w:rFonts w:ascii="宋体" w:hAnsi="宋体" w:cs="宋体"/>
                <w:color w:val="000000"/>
                <w:spacing w:val="-1"/>
                <w:highlight w:val="none"/>
              </w:rPr>
            </w:pPr>
            <w:r>
              <w:rPr>
                <w:rFonts w:hint="eastAsia" w:ascii="宋体" w:hAnsi="宋体" w:cs="宋体"/>
                <w:szCs w:val="21"/>
                <w:highlight w:val="none"/>
              </w:rPr>
              <w:t xml:space="preserve">本项最高得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286" w:type="pct"/>
            <w:vAlign w:val="center"/>
            <w:textDirection w:val="lrTb"/>
            <w:noWrap w:val="false"/>
          </w:tcPr>
          <w:p>
            <w:pPr>
              <w:jc w:val="center"/>
              <w:spacing w:before="68" w:line="264" w:lineRule="auto"/>
              <w:rPr>
                <w:rFonts w:hint="eastAsia" w:ascii="宋体" w:hAnsi="宋体" w:eastAsia="宋体" w:cs="宋体"/>
                <w:color w:val="000000"/>
                <w:spacing w:val="-4"/>
                <w:szCs w:val="21"/>
                <w:highlight w:val="none"/>
                <w:lang w:eastAsia="zh-CN"/>
              </w:rPr>
            </w:pPr>
            <w:r>
              <w:rPr>
                <w:rFonts w:hint="eastAsia" w:ascii="宋体" w:hAnsi="宋体" w:cs="宋体"/>
                <w:color w:val="000000"/>
                <w:spacing w:val="-4"/>
                <w:highlight w:val="none"/>
                <w:lang w:val="en-US" w:eastAsia="zh-CN"/>
              </w:rPr>
              <w:t xml:space="preserve">8</w:t>
            </w:r>
            <w:r/>
          </w:p>
        </w:tc>
        <w:tc>
          <w:tcPr>
            <w:tcW w:w="468" w:type="pct"/>
            <w:vAlign w:val="center"/>
            <w:textDirection w:val="lrTb"/>
            <w:noWrap w:val="false"/>
          </w:tcPr>
          <w:p>
            <w:pPr>
              <w:jc w:val="center"/>
              <w:spacing w:before="68" w:line="264" w:lineRule="auto"/>
              <w:rPr>
                <w:rFonts w:ascii="宋体" w:hAnsi="宋体" w:cs="宋体"/>
                <w:color w:val="000000"/>
                <w:szCs w:val="21"/>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460"/>
        </w:trPr>
        <w:tc>
          <w:tcPr>
            <w:gridSpan w:val="5"/>
            <w:tcW w:w="5000" w:type="pct"/>
            <w:vAlign w:val="center"/>
            <w:textDirection w:val="lrTb"/>
            <w:noWrap w:val="false"/>
          </w:tcPr>
          <w:p>
            <w:pPr>
              <w:ind w:left="114"/>
              <w:jc w:val="center"/>
              <w:spacing w:before="123" w:line="264" w:lineRule="auto"/>
              <w:rPr>
                <w:rFonts w:ascii="宋体" w:hAnsi="宋体" w:cs="宋体"/>
                <w:b/>
                <w:bCs/>
                <w:color w:val="000000"/>
                <w:spacing w:val="-3"/>
                <w:highlight w:val="none"/>
              </w:rPr>
            </w:pPr>
            <w:r>
              <w:rPr>
                <w:rFonts w:hint="eastAsia" w:ascii="宋体" w:hAnsi="宋体" w:cs="宋体"/>
                <w:b/>
                <w:bCs/>
                <w:color w:val="000000"/>
                <w:spacing w:val="-3"/>
                <w:highlight w:val="none"/>
              </w:rPr>
              <w:t xml:space="preserve">三、商务部分（36分）</w:t>
            </w:r>
            <w:r/>
          </w:p>
        </w:tc>
      </w:tr>
      <w:tr>
        <w:trPr>
          <w:jc w:val="center"/>
          <w:trHeight w:val="90"/>
        </w:trPr>
        <w:tc>
          <w:tcPr>
            <w:tcW w:w="255" w:type="pct"/>
            <w:vAlign w:val="center"/>
            <w:textDirection w:val="lrTb"/>
            <w:noWrap w:val="false"/>
          </w:tcPr>
          <w:p>
            <w:pPr>
              <w:jc w:val="center"/>
              <w:spacing w:before="68" w:line="264" w:lineRule="auto"/>
              <w:rPr>
                <w:rFonts w:ascii="宋体" w:hAnsi="宋体" w:cs="宋体"/>
                <w:spacing w:val="-2"/>
                <w:highlight w:val="none"/>
              </w:rPr>
            </w:pPr>
            <w:r>
              <w:rPr>
                <w:rFonts w:hint="eastAsia" w:ascii="宋体" w:hAnsi="宋体" w:cs="宋体"/>
                <w:spacing w:val="-2"/>
                <w:highlight w:val="none"/>
              </w:rPr>
              <w:t xml:space="preserve">1</w:t>
            </w:r>
            <w:r/>
          </w:p>
        </w:tc>
        <w:tc>
          <w:tcPr>
            <w:tcW w:w="592" w:type="pct"/>
            <w:vAlign w:val="center"/>
            <w:textDirection w:val="lrTb"/>
            <w:noWrap w:val="false"/>
          </w:tcPr>
          <w:p>
            <w:pPr>
              <w:jc w:val="center"/>
              <w:spacing w:before="69" w:line="264" w:lineRule="auto"/>
              <w:rPr>
                <w:rFonts w:ascii="宋体" w:hAnsi="宋体" w:cs="宋体"/>
                <w:spacing w:val="-2"/>
                <w:highlight w:val="none"/>
              </w:rPr>
            </w:pPr>
            <w:r>
              <w:rPr>
                <w:rFonts w:hint="eastAsia" w:ascii="宋体" w:hAnsi="宋体" w:cs="宋体"/>
                <w:spacing w:val="-2"/>
                <w:highlight w:val="none"/>
              </w:rPr>
              <w:t xml:space="preserve">供应商业绩</w:t>
            </w:r>
            <w:r/>
          </w:p>
        </w:tc>
        <w:tc>
          <w:tcPr>
            <w:tcW w:w="3396" w:type="pct"/>
            <w:vAlign w:val="center"/>
            <w:textDirection w:val="lrTb"/>
            <w:noWrap w:val="false"/>
          </w:tcPr>
          <w:p>
            <w:pPr>
              <w:jc w:val="left"/>
              <w:tabs>
                <w:tab w:val="left" w:pos="5680" w:leader="none"/>
              </w:tabs>
              <w:rPr>
                <w:rFonts w:ascii="宋体" w:hAnsi="宋体" w:cs="宋体"/>
                <w:spacing w:val="-1"/>
                <w:highlight w:val="none"/>
              </w:rPr>
            </w:pPr>
            <w:r>
              <w:rPr>
                <w:rFonts w:hint="eastAsia" w:ascii="宋体" w:hAnsi="宋体" w:cs="宋体"/>
                <w:spacing w:val="-1"/>
                <w:highlight w:val="none"/>
              </w:rPr>
              <w:t xml:space="preserve">供应商提供自2023年1月1日以来（以合同签订时间为准）类似项目业绩，内容涵盖电子政务类每提供一个业绩得3分，最高得3分；其他相关业绩每提供一个得1分，最高得3分。</w:t>
            </w:r>
            <w:r/>
          </w:p>
          <w:p>
            <w:pPr>
              <w:pStyle w:val="1481"/>
              <w:rPr>
                <w:highlight w:val="none"/>
                <w:lang w:eastAsia="zh-CN"/>
              </w:rPr>
            </w:pPr>
            <w:r>
              <w:rPr>
                <w:rFonts w:hint="eastAsia" w:ascii="宋体" w:hAnsi="宋体" w:cs="宋体"/>
                <w:spacing w:val="-1"/>
                <w:highlight w:val="none"/>
                <w:lang w:eastAsia="zh-CN"/>
              </w:rPr>
              <w:t xml:space="preserve">本项最高得6分。</w:t>
            </w:r>
            <w:r/>
          </w:p>
          <w:p>
            <w:pPr>
              <w:jc w:val="left"/>
              <w:rPr>
                <w:rFonts w:ascii="宋体" w:hAnsi="宋体" w:cs="宋体"/>
                <w:spacing w:val="-1"/>
                <w:highlight w:val="none"/>
              </w:rPr>
            </w:pPr>
            <w:r>
              <w:rPr>
                <w:rFonts w:hint="eastAsia" w:ascii="宋体" w:hAnsi="宋体" w:cs="宋体"/>
                <w:b/>
                <w:bCs/>
                <w:spacing w:val="-1"/>
                <w:highlight w:val="none"/>
              </w:rPr>
              <w:t xml:space="preserve">注：供应商须提供合同复印件并加盖公章，合同须清晰可见相应内容。如以总公司参与可兼用分公司相关业绩进行投标，分公司参与仅可用分公司自身业绩进行投标。</w:t>
            </w:r>
            <w:r/>
          </w:p>
        </w:tc>
        <w:tc>
          <w:tcPr>
            <w:tcW w:w="286" w:type="pct"/>
            <w:vAlign w:val="center"/>
            <w:textDirection w:val="lrTb"/>
            <w:noWrap w:val="false"/>
          </w:tcPr>
          <w:p>
            <w:pPr>
              <w:jc w:val="center"/>
              <w:spacing w:before="68" w:line="264" w:lineRule="auto"/>
              <w:rPr>
                <w:rFonts w:ascii="宋体" w:hAnsi="宋体" w:cs="宋体"/>
                <w:spacing w:val="-4"/>
                <w:highlight w:val="none"/>
              </w:rPr>
            </w:pPr>
            <w:r>
              <w:rPr>
                <w:rFonts w:hint="eastAsia" w:ascii="宋体" w:hAnsi="宋体" w:cs="宋体"/>
                <w:spacing w:val="-4"/>
                <w:highlight w:val="none"/>
              </w:rPr>
              <w:t xml:space="preserve">6</w:t>
            </w:r>
            <w:r/>
          </w:p>
        </w:tc>
        <w:tc>
          <w:tcPr>
            <w:tcW w:w="468" w:type="pct"/>
            <w:vAlign w:val="center"/>
            <w:textDirection w:val="lrTb"/>
            <w:noWrap w:val="false"/>
          </w:tcPr>
          <w:p>
            <w:pPr>
              <w:jc w:val="center"/>
              <w:spacing w:before="68" w:line="264" w:lineRule="auto"/>
              <w:rPr>
                <w:rFonts w:ascii="宋体" w:hAnsi="宋体" w:cs="宋体"/>
                <w:highlight w:val="none"/>
              </w:rPr>
            </w:pPr>
            <w:r>
              <w:rPr>
                <w:rFonts w:hint="eastAsia" w:ascii="宋体" w:hAnsi="宋体" w:cs="宋体"/>
                <w:spacing w:val="-6"/>
                <w:highlight w:val="none"/>
              </w:rPr>
              <w:t xml:space="preserve">客</w:t>
            </w:r>
            <w:r>
              <w:rPr>
                <w:rFonts w:hint="eastAsia" w:ascii="宋体" w:hAnsi="宋体" w:cs="宋体"/>
                <w:spacing w:val="-4"/>
                <w:highlight w:val="none"/>
              </w:rPr>
              <w:t xml:space="preserve">观分</w:t>
            </w:r>
            <w:r/>
          </w:p>
        </w:tc>
      </w:tr>
      <w:tr>
        <w:trPr>
          <w:jc w:val="center"/>
          <w:trHeight w:val="267"/>
        </w:trPr>
        <w:tc>
          <w:tcPr>
            <w:tcW w:w="255" w:type="pct"/>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2</w:t>
            </w:r>
            <w:r/>
          </w:p>
        </w:tc>
        <w:tc>
          <w:tcPr>
            <w:tcW w:w="592" w:type="pct"/>
            <w:vAlign w:val="center"/>
            <w:textDirection w:val="lrTb"/>
            <w:noWrap w:val="false"/>
          </w:tcPr>
          <w:p>
            <w:pPr>
              <w:jc w:val="center"/>
              <w:spacing w:before="69" w:line="264" w:lineRule="auto"/>
              <w:rPr>
                <w:rFonts w:ascii="宋体" w:hAnsi="宋体" w:cs="宋体"/>
                <w:color w:val="000000"/>
                <w:spacing w:val="-2"/>
                <w:highlight w:val="none"/>
              </w:rPr>
            </w:pPr>
            <w:r>
              <w:rPr>
                <w:rFonts w:hint="eastAsia" w:ascii="宋体" w:hAnsi="宋体" w:cs="宋体"/>
                <w:color w:val="000000"/>
                <w:spacing w:val="-2"/>
                <w:highlight w:val="none"/>
              </w:rPr>
              <w:t xml:space="preserve">项目经理</w:t>
            </w:r>
            <w:r/>
          </w:p>
        </w:tc>
        <w:tc>
          <w:tcPr>
            <w:tcW w:w="3396" w:type="pct"/>
            <w:vAlign w:val="center"/>
            <w:textDirection w:val="lrTb"/>
            <w:noWrap w:val="false"/>
          </w:tcPr>
          <w:p>
            <w:pPr>
              <w:jc w:val="left"/>
              <w:rPr>
                <w:rFonts w:ascii="宋体" w:hAnsi="宋体" w:cs="宋体"/>
                <w:spacing w:val="-1"/>
                <w:highlight w:val="none"/>
              </w:rPr>
            </w:pPr>
            <w:r>
              <w:rPr>
                <w:rFonts w:hint="eastAsia" w:ascii="宋体" w:hAnsi="宋体" w:cs="宋体"/>
                <w:spacing w:val="-1"/>
                <w:highlight w:val="none"/>
              </w:rPr>
              <w:t xml:space="preserve">供应商拟投入本项目项目经理（1人）：</w:t>
            </w:r>
            <w:r/>
          </w:p>
          <w:p>
            <w:pPr>
              <w:jc w:val="left"/>
              <w:rPr>
                <w:rFonts w:ascii="宋体" w:hAnsi="宋体" w:cs="宋体"/>
                <w:spacing w:val="-1"/>
                <w:sz w:val="18"/>
                <w:szCs w:val="18"/>
                <w:highlight w:val="none"/>
              </w:rPr>
            </w:pPr>
            <w:r>
              <w:rPr>
                <w:rFonts w:hint="eastAsia" w:ascii="宋体" w:hAnsi="宋体" w:cs="宋体"/>
                <w:spacing w:val="-1"/>
                <w:highlight w:val="none"/>
              </w:rPr>
              <w:t xml:space="preserve">（1）具有①中华人民共和国人力资源和社会保障部与工业和信息化部联合颁发的“信息系统项目管理师”证书、②中华人民共和国人力资源和社会保障部与工业和信息化部联合颁发的“网络工程师”证书、③中国信息安全测评中心颁发的“注册信息安全工程师（CISE）”证书，每提供一项得2分，最多得6分。</w:t>
            </w:r>
            <w:r>
              <w:rPr>
                <w:rFonts w:hint="eastAsia" w:ascii="宋体" w:hAnsi="宋体" w:cs="宋体"/>
                <w:b/>
                <w:bCs/>
                <w:spacing w:val="-1"/>
                <w:highlight w:val="none"/>
              </w:rPr>
              <w:t xml:space="preserve">（提供证书复印件并加盖公章）。</w:t>
            </w:r>
            <w:r/>
          </w:p>
          <w:p>
            <w:pPr>
              <w:jc w:val="left"/>
              <w:rPr>
                <w:rFonts w:ascii="宋体" w:hAnsi="宋体" w:cs="宋体"/>
                <w:spacing w:val="-1"/>
                <w:highlight w:val="none"/>
              </w:rPr>
            </w:pPr>
            <w:r>
              <w:rPr>
                <w:rFonts w:hint="eastAsia" w:ascii="宋体" w:hAnsi="宋体" w:cs="宋体"/>
                <w:spacing w:val="-1"/>
                <w:highlight w:val="none"/>
              </w:rPr>
              <w:t xml:space="preserve">（2）</w:t>
            </w:r>
            <w:r>
              <w:rPr>
                <w:rFonts w:hint="eastAsia" w:ascii="宋体" w:hAnsi="宋体" w:cs="宋体"/>
                <w:spacing w:val="-1"/>
                <w:highlight w:val="none"/>
              </w:rPr>
              <w:t xml:space="preserve">具有网络线路建设（或运维）项目管理经验的</w:t>
            </w:r>
            <w:r>
              <w:rPr>
                <w:rFonts w:hint="eastAsia" w:ascii="宋体" w:hAnsi="宋体" w:cs="宋体"/>
                <w:spacing w:val="-1"/>
                <w:highlight w:val="none"/>
              </w:rPr>
              <w:t xml:space="preserve">，得3分</w:t>
            </w:r>
            <w:r>
              <w:rPr>
                <w:rFonts w:hint="eastAsia" w:ascii="宋体" w:hAnsi="宋体" w:cs="宋体"/>
                <w:b/>
                <w:bCs/>
                <w:spacing w:val="-1"/>
                <w:highlight w:val="none"/>
              </w:rPr>
              <w:t xml:space="preserve">（提供供应商出具的工作经验证明材料或承诺书，承诺书格式自拟并加盖公章）</w:t>
            </w:r>
            <w:r>
              <w:rPr>
                <w:rFonts w:hint="eastAsia" w:ascii="宋体" w:hAnsi="宋体" w:cs="宋体"/>
                <w:spacing w:val="-1"/>
                <w:highlight w:val="none"/>
              </w:rPr>
              <w:t xml:space="preserve">。</w:t>
            </w:r>
            <w:r/>
          </w:p>
          <w:p>
            <w:pPr>
              <w:jc w:val="left"/>
              <w:rPr>
                <w:rFonts w:ascii="宋体" w:hAnsi="宋体" w:cs="宋体"/>
                <w:spacing w:val="-1"/>
                <w:highlight w:val="none"/>
              </w:rPr>
            </w:pPr>
            <w:r>
              <w:rPr>
                <w:rFonts w:hint="eastAsia" w:ascii="宋体" w:hAnsi="宋体" w:cs="宋体"/>
                <w:b/>
                <w:bCs/>
                <w:spacing w:val="-1"/>
                <w:highlight w:val="none"/>
              </w:rPr>
              <w:t xml:space="preserve">注：提供上述证明材料及供应商为其缴纳近半年内任意一个月的社保证明材料，缺一不可。如总公司参与可兼用分公司相关人员资质进行投标，分公司参与仅可用分公司自身人员资质进行投标。</w:t>
            </w:r>
            <w:r/>
          </w:p>
        </w:tc>
        <w:tc>
          <w:tcPr>
            <w:tcW w:w="286" w:type="pct"/>
            <w:vAlign w:val="center"/>
            <w:textDirection w:val="lrTb"/>
            <w:noWrap w:val="false"/>
          </w:tcPr>
          <w:p>
            <w:pPr>
              <w:jc w:val="center"/>
              <w:spacing w:before="68" w:line="264" w:lineRule="auto"/>
              <w:rPr>
                <w:rFonts w:ascii="宋体" w:hAnsi="宋体" w:cs="宋体"/>
                <w:color w:val="000000"/>
                <w:spacing w:val="-4"/>
                <w:highlight w:val="none"/>
              </w:rPr>
            </w:pPr>
            <w:r>
              <w:rPr>
                <w:rFonts w:hint="eastAsia" w:ascii="宋体" w:hAnsi="宋体" w:cs="宋体"/>
                <w:color w:val="000000"/>
                <w:spacing w:val="-4"/>
                <w:highlight w:val="none"/>
              </w:rPr>
              <w:t xml:space="preserve">9</w:t>
            </w:r>
            <w:r/>
          </w:p>
        </w:tc>
        <w:tc>
          <w:tcPr>
            <w:tcW w:w="468" w:type="pct"/>
            <w:vAlign w:val="center"/>
            <w:textDirection w:val="lrTb"/>
            <w:noWrap w:val="false"/>
          </w:tcPr>
          <w:p>
            <w:pPr>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90"/>
        </w:trPr>
        <w:tc>
          <w:tcPr>
            <w:tcW w:w="255" w:type="pct"/>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3</w:t>
            </w:r>
            <w:r/>
          </w:p>
        </w:tc>
        <w:tc>
          <w:tcPr>
            <w:tcW w:w="592" w:type="pct"/>
            <w:vAlign w:val="center"/>
            <w:textDirection w:val="lrTb"/>
            <w:noWrap w:val="false"/>
          </w:tcPr>
          <w:p>
            <w:pPr>
              <w:jc w:val="center"/>
              <w:spacing w:before="69" w:line="264" w:lineRule="auto"/>
              <w:rPr>
                <w:rFonts w:ascii="宋体" w:hAnsi="宋体" w:cs="宋体"/>
                <w:color w:val="000000"/>
                <w:spacing w:val="-2"/>
                <w:highlight w:val="none"/>
              </w:rPr>
            </w:pPr>
            <w:r>
              <w:rPr>
                <w:rFonts w:hint="eastAsia" w:ascii="宋体" w:hAnsi="宋体" w:cs="宋体"/>
                <w:color w:val="000000"/>
                <w:spacing w:val="-2"/>
                <w:highlight w:val="none"/>
              </w:rPr>
              <w:t xml:space="preserve">网络技术主管</w:t>
            </w:r>
            <w:r/>
          </w:p>
        </w:tc>
        <w:tc>
          <w:tcPr>
            <w:tcW w:w="3396" w:type="pct"/>
            <w:vAlign w:val="center"/>
            <w:textDirection w:val="lrTb"/>
            <w:noWrap w:val="false"/>
          </w:tcPr>
          <w:p>
            <w:pPr>
              <w:jc w:val="left"/>
              <w:rPr>
                <w:rFonts w:ascii="宋体" w:hAnsi="宋体" w:cs="宋体"/>
                <w:spacing w:val="-1"/>
                <w:highlight w:val="none"/>
              </w:rPr>
            </w:pPr>
            <w:r>
              <w:rPr>
                <w:rFonts w:hint="eastAsia" w:ascii="宋体" w:hAnsi="宋体" w:cs="宋体"/>
                <w:spacing w:val="-1"/>
                <w:highlight w:val="none"/>
              </w:rPr>
              <w:t xml:space="preserve">供应商拟投入本项目网络技术主管（1人）：</w:t>
            </w:r>
            <w:r/>
          </w:p>
          <w:p>
            <w:pPr>
              <w:jc w:val="left"/>
              <w:rPr>
                <w:rFonts w:ascii="宋体" w:hAnsi="宋体" w:cs="宋体"/>
                <w:spacing w:val="-1"/>
                <w:highlight w:val="none"/>
              </w:rPr>
            </w:pPr>
            <w:r>
              <w:rPr>
                <w:rFonts w:hint="eastAsia" w:ascii="宋体" w:hAnsi="宋体" w:cs="宋体"/>
                <w:spacing w:val="-1"/>
                <w:highlight w:val="none"/>
              </w:rPr>
              <w:t xml:space="preserve">（1）具有①通信系列高级职称、②江苏省应急管理厅颁发的“低压电工作业”证书、③江苏省应急管理厅颁发的“高处作业”证书，每提供一项得1分，最多得3分。</w:t>
            </w:r>
            <w:r>
              <w:rPr>
                <w:rFonts w:hint="eastAsia" w:ascii="宋体" w:hAnsi="宋体" w:cs="宋体"/>
                <w:b/>
                <w:bCs/>
                <w:spacing w:val="-1"/>
                <w:highlight w:val="none"/>
              </w:rPr>
              <w:t xml:space="preserve">（提供证书复印件并加盖公章）</w:t>
            </w:r>
            <w:r>
              <w:rPr>
                <w:rFonts w:hint="eastAsia" w:ascii="宋体" w:hAnsi="宋体" w:cs="宋体"/>
                <w:spacing w:val="-1"/>
                <w:highlight w:val="none"/>
              </w:rPr>
              <w:t xml:space="preserve">。</w:t>
            </w:r>
            <w:r/>
          </w:p>
          <w:p>
            <w:pPr>
              <w:jc w:val="left"/>
              <w:rPr>
                <w:rFonts w:ascii="宋体" w:hAnsi="宋体" w:cs="宋体"/>
                <w:spacing w:val="-1"/>
                <w:highlight w:val="none"/>
              </w:rPr>
            </w:pPr>
            <w:r>
              <w:rPr>
                <w:rFonts w:hint="eastAsia" w:ascii="宋体" w:hAnsi="宋体" w:cs="宋体"/>
                <w:spacing w:val="-1"/>
                <w:highlight w:val="none"/>
              </w:rPr>
              <w:t xml:space="preserve">（2）</w:t>
            </w:r>
            <w:r>
              <w:rPr>
                <w:rFonts w:hint="eastAsia" w:ascii="宋体" w:hAnsi="宋体" w:cs="宋体"/>
                <w:spacing w:val="-1"/>
                <w:highlight w:val="none"/>
              </w:rPr>
              <w:t xml:space="preserve">具有网络线路建设（或运维）项目管理经验的</w:t>
            </w:r>
            <w:r>
              <w:rPr>
                <w:rFonts w:hint="eastAsia" w:ascii="宋体" w:hAnsi="宋体" w:cs="宋体"/>
                <w:spacing w:val="-1"/>
                <w:highlight w:val="none"/>
              </w:rPr>
              <w:t xml:space="preserve">，得2分</w:t>
            </w:r>
            <w:r>
              <w:rPr>
                <w:rFonts w:hint="eastAsia" w:ascii="宋体" w:hAnsi="宋体" w:cs="宋体"/>
                <w:b/>
                <w:bCs/>
                <w:spacing w:val="-1"/>
                <w:highlight w:val="none"/>
              </w:rPr>
              <w:t xml:space="preserve">（提供供应商出具的工作经验证明材料或承诺书，承诺书格式自拟并加盖公章）</w:t>
            </w:r>
            <w:r>
              <w:rPr>
                <w:rFonts w:hint="eastAsia" w:ascii="宋体" w:hAnsi="宋体" w:cs="宋体"/>
                <w:spacing w:val="-1"/>
                <w:highlight w:val="none"/>
              </w:rPr>
              <w:t xml:space="preserve">。</w:t>
            </w:r>
            <w:r/>
          </w:p>
          <w:p>
            <w:pPr>
              <w:jc w:val="left"/>
              <w:rPr>
                <w:rFonts w:ascii="宋体" w:hAnsi="宋体" w:cs="宋体"/>
                <w:spacing w:val="-1"/>
                <w:highlight w:val="none"/>
              </w:rPr>
            </w:pPr>
            <w:r>
              <w:rPr>
                <w:rFonts w:hint="eastAsia" w:ascii="宋体" w:hAnsi="宋体" w:cs="宋体"/>
                <w:b/>
                <w:bCs/>
                <w:spacing w:val="-1"/>
                <w:highlight w:val="none"/>
              </w:rPr>
              <w:t xml:space="preserve">注：提供上述证明材料及供应商为其缴纳的近半年内任意一个月的社保证明材料，缺一不可。如总公司参与可兼用分公司相关人员资质进行投标，分公司参与仅可用分公司自身人员资质进行投标。</w:t>
            </w:r>
            <w:r/>
          </w:p>
        </w:tc>
        <w:tc>
          <w:tcPr>
            <w:tcW w:w="286" w:type="pct"/>
            <w:vAlign w:val="center"/>
            <w:textDirection w:val="lrTb"/>
            <w:noWrap w:val="false"/>
          </w:tcPr>
          <w:p>
            <w:pPr>
              <w:jc w:val="center"/>
              <w:spacing w:before="68" w:line="264" w:lineRule="auto"/>
              <w:rPr>
                <w:rFonts w:ascii="宋体" w:hAnsi="宋体" w:cs="宋体"/>
                <w:color w:val="000000"/>
                <w:spacing w:val="-4"/>
                <w:highlight w:val="none"/>
              </w:rPr>
            </w:pPr>
            <w:r>
              <w:rPr>
                <w:rFonts w:hint="eastAsia" w:ascii="宋体" w:hAnsi="宋体" w:cs="宋体"/>
                <w:color w:val="000000"/>
                <w:spacing w:val="-4"/>
                <w:highlight w:val="none"/>
              </w:rPr>
              <w:t xml:space="preserve">5</w:t>
            </w:r>
            <w:r/>
          </w:p>
        </w:tc>
        <w:tc>
          <w:tcPr>
            <w:tcW w:w="468" w:type="pct"/>
            <w:vAlign w:val="center"/>
            <w:textDirection w:val="lrTb"/>
            <w:noWrap w:val="false"/>
          </w:tcPr>
          <w:p>
            <w:pPr>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90"/>
        </w:trPr>
        <w:tc>
          <w:tcPr>
            <w:tcW w:w="255" w:type="pct"/>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4</w:t>
            </w:r>
            <w:r/>
          </w:p>
        </w:tc>
        <w:tc>
          <w:tcPr>
            <w:tcW w:w="592" w:type="pct"/>
            <w:vAlign w:val="center"/>
            <w:textDirection w:val="lrTb"/>
            <w:noWrap w:val="false"/>
          </w:tcPr>
          <w:p>
            <w:pPr>
              <w:jc w:val="center"/>
              <w:spacing w:before="69" w:line="264" w:lineRule="auto"/>
              <w:rPr>
                <w:rFonts w:ascii="宋体" w:hAnsi="宋体" w:cs="宋体"/>
                <w:color w:val="000000"/>
                <w:spacing w:val="-2"/>
                <w:highlight w:val="none"/>
              </w:rPr>
            </w:pPr>
            <w:r>
              <w:rPr>
                <w:rFonts w:hint="eastAsia" w:ascii="宋体" w:hAnsi="宋体" w:cs="宋体"/>
                <w:color w:val="000000"/>
                <w:spacing w:val="-2"/>
                <w:highlight w:val="none"/>
              </w:rPr>
              <w:t xml:space="preserve">项目实施团队</w:t>
            </w:r>
            <w:r/>
          </w:p>
        </w:tc>
        <w:tc>
          <w:tcPr>
            <w:tcW w:w="3396" w:type="pct"/>
            <w:vAlign w:val="center"/>
            <w:textDirection w:val="lrTb"/>
            <w:noWrap w:val="false"/>
          </w:tcPr>
          <w:p>
            <w:pPr>
              <w:jc w:val="left"/>
              <w:rPr>
                <w:rFonts w:ascii="宋体" w:hAnsi="宋体" w:cs="宋体"/>
                <w:spacing w:val="-1"/>
                <w:highlight w:val="none"/>
              </w:rPr>
            </w:pPr>
            <w:r>
              <w:rPr>
                <w:rFonts w:hint="eastAsia" w:ascii="宋体" w:hAnsi="宋体" w:cs="宋体"/>
                <w:spacing w:val="-1"/>
                <w:highlight w:val="none"/>
              </w:rPr>
              <w:t xml:space="preserve">供应商拟投入本项目的项目实施团队（不含项目经理和网络技术主管）：</w:t>
            </w:r>
            <w:r/>
          </w:p>
          <w:p>
            <w:pPr>
              <w:jc w:val="left"/>
              <w:rPr>
                <w:rFonts w:ascii="宋体" w:hAnsi="宋体" w:cs="宋体"/>
                <w:spacing w:val="-1"/>
                <w:highlight w:val="none"/>
              </w:rPr>
            </w:pPr>
            <w:r>
              <w:rPr>
                <w:rFonts w:hint="eastAsia" w:ascii="宋体" w:hAnsi="宋体" w:cs="宋体"/>
                <w:spacing w:val="-1"/>
                <w:highlight w:val="none"/>
              </w:rPr>
              <w:t xml:space="preserve">（1）具有通信专业技术人员职业资格“传输与接入技术”专业证书，每提供一个得1分，最多得2分。</w:t>
            </w:r>
            <w:r>
              <w:rPr>
                <w:rFonts w:hint="eastAsia" w:ascii="宋体" w:hAnsi="宋体" w:cs="宋体"/>
                <w:b/>
                <w:bCs/>
                <w:spacing w:val="-1"/>
                <w:highlight w:val="none"/>
              </w:rPr>
              <w:t xml:space="preserve">（提供人员证书复印件并加盖公章，一人多证不重复得分）</w:t>
            </w:r>
            <w:r/>
          </w:p>
          <w:p>
            <w:pPr>
              <w:jc w:val="left"/>
              <w:rPr>
                <w:rFonts w:ascii="宋体" w:hAnsi="宋体" w:cs="宋体"/>
                <w:spacing w:val="-1"/>
                <w:highlight w:val="none"/>
              </w:rPr>
            </w:pPr>
            <w:r>
              <w:rPr>
                <w:rFonts w:hint="eastAsia" w:ascii="宋体" w:hAnsi="宋体" w:cs="宋体"/>
                <w:spacing w:val="-1"/>
                <w:highlight w:val="none"/>
              </w:rPr>
              <w:t xml:space="preserve">（2）具有中华人民共和国人力资源和社会保障部与工业和信息化部联合颁发的“网络工程师”证书，每提供一个得1分，最多得2分。</w:t>
            </w:r>
            <w:r>
              <w:rPr>
                <w:rFonts w:hint="eastAsia" w:ascii="宋体" w:hAnsi="宋体" w:cs="宋体"/>
                <w:b/>
                <w:bCs/>
                <w:spacing w:val="-1"/>
                <w:highlight w:val="none"/>
              </w:rPr>
              <w:t xml:space="preserve">（提供人员证书复印件并加盖公章，一人多证不重复得分）</w:t>
            </w:r>
            <w:r/>
          </w:p>
          <w:p>
            <w:pPr>
              <w:jc w:val="left"/>
              <w:rPr>
                <w:rFonts w:ascii="宋体" w:hAnsi="宋体" w:cs="宋体"/>
                <w:spacing w:val="-1"/>
                <w:highlight w:val="none"/>
              </w:rPr>
            </w:pPr>
            <w:r>
              <w:rPr>
                <w:rFonts w:hint="eastAsia" w:ascii="宋体" w:hAnsi="宋体" w:cs="宋体"/>
                <w:spacing w:val="-1"/>
                <w:highlight w:val="none"/>
              </w:rPr>
              <w:t xml:space="preserve">（3）具有网络线路建设（或运维）项目工作经验的，每提供一人得0.5分，最多得2分</w:t>
            </w:r>
            <w:r>
              <w:rPr>
                <w:rFonts w:hint="eastAsia" w:ascii="宋体" w:hAnsi="宋体" w:cs="宋体"/>
                <w:b/>
                <w:bCs/>
                <w:spacing w:val="-1"/>
                <w:highlight w:val="none"/>
              </w:rPr>
              <w:t xml:space="preserve">（提供供应商出具的工作经验证明材料或承诺书，承诺书格式自拟并加盖公章）</w:t>
            </w:r>
            <w:r>
              <w:rPr>
                <w:rFonts w:hint="eastAsia" w:ascii="宋体" w:hAnsi="宋体" w:cs="宋体"/>
                <w:spacing w:val="-1"/>
                <w:highlight w:val="none"/>
              </w:rPr>
              <w:t xml:space="preserve">。</w:t>
            </w:r>
            <w:r/>
          </w:p>
          <w:p>
            <w:pPr>
              <w:jc w:val="left"/>
              <w:rPr>
                <w:rFonts w:ascii="宋体" w:hAnsi="宋体" w:cs="宋体"/>
                <w:spacing w:val="-1"/>
                <w:highlight w:val="none"/>
              </w:rPr>
            </w:pPr>
            <w:r>
              <w:rPr>
                <w:rFonts w:hint="eastAsia" w:ascii="宋体" w:hAnsi="宋体" w:cs="宋体"/>
                <w:spacing w:val="-1"/>
                <w:highlight w:val="none"/>
              </w:rPr>
              <w:t xml:space="preserve">本项最多得6分。</w:t>
            </w:r>
            <w:r/>
          </w:p>
          <w:p>
            <w:pPr>
              <w:jc w:val="left"/>
              <w:rPr>
                <w:rFonts w:ascii="宋体" w:hAnsi="宋体" w:cs="宋体"/>
                <w:spacing w:val="-1"/>
                <w:highlight w:val="none"/>
              </w:rPr>
            </w:pPr>
            <w:r>
              <w:rPr>
                <w:rFonts w:hint="eastAsia" w:ascii="宋体" w:hAnsi="宋体" w:cs="宋体"/>
                <w:b/>
                <w:bCs/>
                <w:spacing w:val="-1"/>
                <w:highlight w:val="none"/>
              </w:rPr>
              <w:t xml:space="preserve">注：提供上述证明材料及供应商为其缴纳的近半年内任意一个月的社保证明材料，缺一不可。如总公司参与可兼用分公司相关人员资质进行投标，分公司参与仅可用分公司自身人员资质进行投标。</w:t>
            </w:r>
            <w:r/>
          </w:p>
        </w:tc>
        <w:tc>
          <w:tcPr>
            <w:tcW w:w="286" w:type="pct"/>
            <w:vAlign w:val="center"/>
            <w:textDirection w:val="lrTb"/>
            <w:noWrap w:val="false"/>
          </w:tcPr>
          <w:p>
            <w:pPr>
              <w:jc w:val="center"/>
              <w:spacing w:before="68" w:line="264" w:lineRule="auto"/>
              <w:rPr>
                <w:rFonts w:ascii="宋体" w:hAnsi="宋体" w:cs="宋体"/>
                <w:color w:val="000000"/>
                <w:spacing w:val="-4"/>
                <w:highlight w:val="none"/>
              </w:rPr>
            </w:pPr>
            <w:r>
              <w:rPr>
                <w:rFonts w:hint="eastAsia" w:ascii="宋体" w:hAnsi="宋体" w:cs="宋体"/>
                <w:color w:val="000000"/>
                <w:spacing w:val="-4"/>
                <w:highlight w:val="none"/>
              </w:rPr>
              <w:t xml:space="preserve">6</w:t>
            </w:r>
            <w:r/>
          </w:p>
        </w:tc>
        <w:tc>
          <w:tcPr>
            <w:tcW w:w="468" w:type="pct"/>
            <w:vAlign w:val="center"/>
            <w:textDirection w:val="lrTb"/>
            <w:noWrap w:val="false"/>
          </w:tcPr>
          <w:p>
            <w:pPr>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555"/>
        </w:trPr>
        <w:tc>
          <w:tcPr>
            <w:tcW w:w="255" w:type="pct"/>
            <w:vAlign w:val="center"/>
            <w:textDirection w:val="lrTb"/>
            <w:noWrap w:val="false"/>
          </w:tcPr>
          <w:p>
            <w:pPr>
              <w:jc w:val="center"/>
              <w:spacing w:line="264" w:lineRule="auto"/>
              <w:rPr>
                <w:rFonts w:ascii="宋体" w:hAnsi="宋体" w:cs="宋体"/>
                <w:color w:val="000000"/>
                <w:spacing w:val="-3"/>
                <w:highlight w:val="none"/>
              </w:rPr>
            </w:pPr>
            <w:r>
              <w:rPr>
                <w:rFonts w:hint="eastAsia" w:ascii="宋体" w:hAnsi="宋体" w:cs="宋体"/>
                <w:color w:val="000000"/>
                <w:spacing w:val="-3"/>
                <w:highlight w:val="none"/>
              </w:rPr>
              <w:t xml:space="preserve">5</w:t>
            </w:r>
            <w:r/>
          </w:p>
        </w:tc>
        <w:tc>
          <w:tcPr>
            <w:tcW w:w="592" w:type="pct"/>
            <w:vAlign w:val="center"/>
            <w:textDirection w:val="lrTb"/>
            <w:noWrap w:val="false"/>
          </w:tcPr>
          <w:p>
            <w:pPr>
              <w:jc w:val="center"/>
              <w:spacing w:before="69" w:line="264" w:lineRule="auto"/>
              <w:rPr>
                <w:rFonts w:ascii="宋体" w:hAnsi="宋体" w:cs="宋体"/>
                <w:color w:val="000000"/>
                <w:spacing w:val="-1"/>
                <w:highlight w:val="none"/>
              </w:rPr>
            </w:pPr>
            <w:r>
              <w:rPr>
                <w:rFonts w:hint="eastAsia" w:ascii="宋体" w:hAnsi="宋体" w:cs="宋体"/>
                <w:color w:val="000000"/>
                <w:spacing w:val="-1"/>
                <w:highlight w:val="none"/>
              </w:rPr>
              <w:t xml:space="preserve">服务承诺</w:t>
            </w:r>
            <w:r/>
          </w:p>
        </w:tc>
        <w:tc>
          <w:tcPr>
            <w:tcW w:w="3396" w:type="pct"/>
            <w:vAlign w:val="center"/>
            <w:textDirection w:val="lrTb"/>
            <w:noWrap w:val="false"/>
          </w:tcPr>
          <w:p>
            <w:pPr>
              <w:jc w:val="left"/>
              <w:rPr>
                <w:rFonts w:ascii="宋体" w:hAnsi="宋体" w:cs="宋体"/>
                <w:color w:val="000000"/>
                <w:spacing w:val="-1"/>
                <w:highlight w:val="none"/>
              </w:rPr>
            </w:pPr>
            <w:r>
              <w:rPr>
                <w:rFonts w:hint="eastAsia" w:ascii="宋体" w:hAnsi="宋体" w:cs="宋体"/>
                <w:color w:val="000000"/>
                <w:spacing w:val="-1"/>
                <w:highlight w:val="none"/>
              </w:rPr>
              <w:t xml:space="preserve">供应商承诺项目履行期间保证采购人现有政务网络服务不中断，确保由现有政务网线路向本项目所采购线路的平滑过渡，相关服务由供应商提供，由此产生的所有（线路割接、迁移、设备调试等）费用包含在项目报价</w:t>
            </w:r>
            <w:r>
              <w:rPr>
                <w:rFonts w:hint="eastAsia" w:ascii="宋体" w:hAnsi="宋体" w:cs="宋体"/>
                <w:spacing w:val="-1"/>
                <w:highlight w:val="none"/>
              </w:rPr>
              <w:t xml:space="preserve">之中，得5分。</w:t>
            </w:r>
            <w:r>
              <w:rPr>
                <w:rFonts w:hint="eastAsia" w:ascii="宋体" w:hAnsi="宋体" w:cs="宋体"/>
                <w:b/>
                <w:bCs/>
                <w:spacing w:val="-1"/>
                <w:highlight w:val="none"/>
              </w:rPr>
              <w:t xml:space="preserve">（提供承诺函并加盖公章，格式自拟）</w:t>
            </w:r>
            <w:r/>
          </w:p>
        </w:tc>
        <w:tc>
          <w:tcPr>
            <w:tcW w:w="286" w:type="pct"/>
            <w:vAlign w:val="center"/>
            <w:textDirection w:val="lrTb"/>
            <w:noWrap w:val="false"/>
          </w:tcPr>
          <w:p>
            <w:pPr>
              <w:jc w:val="center"/>
              <w:spacing w:before="68" w:line="264" w:lineRule="auto"/>
              <w:rPr>
                <w:rFonts w:ascii="宋体" w:hAnsi="宋体" w:cs="宋体"/>
                <w:color w:val="000000"/>
                <w:spacing w:val="-4"/>
                <w:highlight w:val="none"/>
              </w:rPr>
            </w:pPr>
            <w:r>
              <w:rPr>
                <w:rFonts w:hint="eastAsia" w:ascii="宋体" w:hAnsi="宋体" w:cs="宋体"/>
                <w:color w:val="000000"/>
                <w:spacing w:val="-4"/>
                <w:highlight w:val="none"/>
              </w:rPr>
              <w:t xml:space="preserve">5</w:t>
            </w:r>
            <w:r/>
          </w:p>
        </w:tc>
        <w:tc>
          <w:tcPr>
            <w:tcW w:w="468" w:type="pct"/>
            <w:vAlign w:val="center"/>
            <w:textDirection w:val="lrTb"/>
            <w:noWrap w:val="false"/>
          </w:tcPr>
          <w:p>
            <w:pPr>
              <w:ind w:right="89"/>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t xml:space="preserve"> </w:t>
            </w:r>
            <w:r/>
          </w:p>
        </w:tc>
      </w:tr>
      <w:tr>
        <w:trPr>
          <w:jc w:val="center"/>
          <w:trHeight w:val="555"/>
        </w:trPr>
        <w:tc>
          <w:tcPr>
            <w:tcW w:w="255" w:type="pct"/>
            <w:vAlign w:val="center"/>
            <w:textDirection w:val="lrTb"/>
            <w:noWrap w:val="false"/>
          </w:tcPr>
          <w:p>
            <w:pPr>
              <w:jc w:val="center"/>
              <w:spacing w:line="264" w:lineRule="auto"/>
              <w:rPr>
                <w:rFonts w:ascii="宋体" w:hAnsi="宋体" w:cs="宋体"/>
                <w:color w:val="000000"/>
                <w:spacing w:val="-3"/>
                <w:highlight w:val="none"/>
              </w:rPr>
            </w:pPr>
            <w:r>
              <w:rPr>
                <w:rFonts w:hint="eastAsia" w:ascii="宋体" w:hAnsi="宋体" w:cs="宋体"/>
                <w:color w:val="000000"/>
                <w:spacing w:val="-3"/>
                <w:highlight w:val="none"/>
              </w:rPr>
              <w:t xml:space="preserve">6</w:t>
            </w:r>
            <w:r/>
          </w:p>
        </w:tc>
        <w:tc>
          <w:tcPr>
            <w:tcW w:w="592" w:type="pct"/>
            <w:vAlign w:val="center"/>
            <w:textDirection w:val="lrTb"/>
            <w:noWrap w:val="false"/>
          </w:tcPr>
          <w:p>
            <w:pPr>
              <w:jc w:val="center"/>
              <w:spacing w:before="69" w:line="264" w:lineRule="auto"/>
              <w:rPr>
                <w:rFonts w:ascii="宋体" w:hAnsi="宋体" w:cs="宋体"/>
                <w:color w:val="000000"/>
                <w:spacing w:val="-1"/>
                <w:highlight w:val="none"/>
              </w:rPr>
            </w:pPr>
            <w:r>
              <w:rPr>
                <w:rFonts w:hint="eastAsia" w:ascii="宋体" w:hAnsi="宋体" w:cs="宋体"/>
                <w:color w:val="000000"/>
                <w:spacing w:val="-1"/>
                <w:highlight w:val="none"/>
              </w:rPr>
              <w:t xml:space="preserve">履约能力</w:t>
            </w:r>
            <w:r/>
          </w:p>
        </w:tc>
        <w:tc>
          <w:tcPr>
            <w:tcW w:w="3396" w:type="pct"/>
            <w:vAlign w:val="center"/>
            <w:textDirection w:val="lrTb"/>
            <w:noWrap w:val="false"/>
          </w:tcPr>
          <w:p>
            <w:pPr>
              <w:jc w:val="left"/>
              <w:rPr>
                <w:rFonts w:ascii="宋体" w:hAnsi="宋体" w:cs="宋体"/>
                <w:color w:val="000000"/>
                <w:spacing w:val="-1"/>
                <w:highlight w:val="none"/>
              </w:rPr>
            </w:pPr>
            <w:r>
              <w:rPr>
                <w:rFonts w:hint="eastAsia" w:ascii="宋体" w:hAnsi="宋体" w:cs="宋体"/>
                <w:color w:val="000000"/>
                <w:spacing w:val="-1"/>
                <w:highlight w:val="none"/>
              </w:rPr>
              <w:t xml:space="preserve">供应商承诺如有产生延期开通的，由供应商提供临时交付服务直到部署完成为止，期间所产生的费用及损失由供应商承担，同时承诺：</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（1）5个（含）自然日内完成部署的得5分；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（2）6～7个自然日内完成部署的得3分；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（3）8～9个自然日内完成部署的得1分。</w:t>
            </w:r>
            <w:r/>
          </w:p>
          <w:p>
            <w:pPr>
              <w:jc w:val="left"/>
              <w:rPr>
                <w:rFonts w:ascii="宋体" w:hAnsi="宋体" w:cs="宋体"/>
                <w:color w:val="000000"/>
                <w:spacing w:val="-1"/>
                <w:highlight w:val="none"/>
              </w:rPr>
            </w:pPr>
            <w:r>
              <w:rPr>
                <w:rFonts w:hint="eastAsia" w:ascii="宋体" w:hAnsi="宋体" w:cs="宋体"/>
                <w:color w:val="000000"/>
                <w:spacing w:val="-1"/>
                <w:highlight w:val="none"/>
              </w:rPr>
              <w:t xml:space="preserve">超过9（不含）个自然日完成部署或未提供承诺的不得分。</w:t>
            </w:r>
            <w:r>
              <w:rPr>
                <w:rFonts w:hint="eastAsia" w:ascii="宋体" w:hAnsi="宋体" w:cs="宋体"/>
                <w:b/>
                <w:bCs/>
                <w:color w:val="000000"/>
                <w:spacing w:val="-1"/>
                <w:highlight w:val="none"/>
              </w:rPr>
              <w:t xml:space="preserve">（供应商需根据自身情况进行预估项目部署完成时间，如违约交付，将严格按照合同条款相关条款执行；</w:t>
            </w:r>
            <w:r>
              <w:rPr>
                <w:rFonts w:hint="eastAsia" w:ascii="宋体" w:hAnsi="宋体" w:cs="宋体"/>
                <w:b/>
                <w:bCs/>
                <w:spacing w:val="-1"/>
                <w:highlight w:val="none"/>
              </w:rPr>
              <w:t xml:space="preserve">提供承诺函并加盖公章，格式自拟</w:t>
            </w:r>
            <w:r>
              <w:rPr>
                <w:rFonts w:hint="eastAsia" w:ascii="宋体" w:hAnsi="宋体" w:cs="宋体"/>
                <w:b/>
                <w:bCs/>
                <w:color w:val="000000"/>
                <w:spacing w:val="-1"/>
                <w:highlight w:val="none"/>
              </w:rPr>
              <w:t xml:space="preserve">）</w:t>
            </w:r>
            <w:r/>
          </w:p>
        </w:tc>
        <w:tc>
          <w:tcPr>
            <w:tcW w:w="286" w:type="pct"/>
            <w:vAlign w:val="center"/>
            <w:textDirection w:val="lrTb"/>
            <w:noWrap w:val="false"/>
          </w:tcPr>
          <w:p>
            <w:pPr>
              <w:jc w:val="center"/>
              <w:spacing w:before="68" w:line="264" w:lineRule="auto"/>
              <w:rPr>
                <w:rFonts w:ascii="宋体" w:hAnsi="宋体" w:cs="宋体"/>
                <w:color w:val="000000"/>
                <w:spacing w:val="-4"/>
                <w:highlight w:val="none"/>
              </w:rPr>
            </w:pPr>
            <w:r>
              <w:rPr>
                <w:rFonts w:hint="eastAsia" w:ascii="宋体" w:hAnsi="宋体" w:cs="宋体"/>
                <w:color w:val="000000"/>
                <w:spacing w:val="-4"/>
                <w:highlight w:val="none"/>
              </w:rPr>
              <w:t xml:space="preserve">5</w:t>
            </w:r>
            <w:r/>
          </w:p>
        </w:tc>
        <w:tc>
          <w:tcPr>
            <w:tcW w:w="468" w:type="pct"/>
            <w:vAlign w:val="center"/>
            <w:textDirection w:val="lrTb"/>
            <w:noWrap w:val="false"/>
          </w:tcPr>
          <w:p>
            <w:pPr>
              <w:ind w:right="89"/>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bl>
    <w:p>
      <w:pPr>
        <w:ind w:firstLine="482"/>
        <w:spacing w:before="101" w:after="240" w:line="412" w:lineRule="exact"/>
        <w:rPr>
          <w:rFonts w:ascii="宋体" w:hAnsi="宋体" w:cs="宋体"/>
          <w:b/>
          <w:bCs/>
          <w:color w:val="000000"/>
          <w:spacing w:val="10"/>
          <w:position w:val="2"/>
          <w:sz w:val="22"/>
          <w:szCs w:val="22"/>
          <w:highlight w:val="none"/>
        </w:rPr>
        <w:outlineLvl w:val="1"/>
      </w:pPr>
      <w:r>
        <w:rPr>
          <w:rFonts w:ascii="宋体" w:hAnsi="宋体" w:cs="宋体"/>
          <w:b/>
          <w:bCs/>
          <w:color w:val="000000"/>
          <w:spacing w:val="10"/>
          <w:position w:val="2"/>
          <w:sz w:val="22"/>
          <w:szCs w:val="22"/>
          <w:highlight w:val="none"/>
        </w:rPr>
        <w:t xml:space="preserve">7．推荐成交供应商</w:t>
      </w:r>
      <w:r/>
    </w:p>
    <w:p>
      <w:pPr>
        <w:ind w:firstLine="476"/>
        <w:spacing w:line="360" w:lineRule="auto"/>
        <w:rPr>
          <w:rFonts w:ascii="宋体" w:hAnsi="宋体" w:cs="宋体"/>
          <w:color w:val="000000"/>
          <w:spacing w:val="-1"/>
          <w:sz w:val="24"/>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cs="宋体"/>
          <w:color w:val="000000"/>
          <w:spacing w:val="-1"/>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67" w:name="_Toc105940862"/>
      <w:r/>
      <w:r/>
    </w:p>
    <w:p>
      <w:pPr>
        <w:ind w:firstLine="480"/>
        <w:jc w:val="center"/>
        <w:spacing w:line="360" w:lineRule="auto"/>
        <w:shd w:val="clear" w:color="auto" w:fill="ffffff"/>
        <w:rPr>
          <w:rStyle w:val="1706"/>
          <w:rFonts w:ascii="宋体" w:hAnsi="宋体" w:cs="宋体"/>
          <w:color w:val="000000"/>
          <w:sz w:val="28"/>
          <w:szCs w:val="28"/>
          <w:highlight w:val="none"/>
        </w:rPr>
        <w:outlineLvl w:val="0"/>
      </w:pPr>
      <w:r/>
      <w:bookmarkStart w:id="168" w:name="_Toc43"/>
      <w:r>
        <w:rPr>
          <w:rStyle w:val="1706"/>
          <w:rFonts w:hint="eastAsia" w:ascii="宋体" w:hAnsi="宋体" w:cs="宋体"/>
          <w:color w:val="000000"/>
          <w:sz w:val="28"/>
          <w:szCs w:val="28"/>
          <w:highlight w:val="none"/>
        </w:rPr>
        <w:t xml:space="preserve">第六部分  磋商响应文件（格式）</w:t>
      </w:r>
      <w:bookmarkEnd w:id="167"/>
      <w:r/>
      <w:bookmarkEnd w:id="168"/>
      <w:r/>
      <w:r/>
    </w:p>
    <w:p>
      <w:pPr>
        <w:jc w:val="center"/>
        <w:rPr>
          <w:rFonts w:ascii="宋体" w:hAnsi="宋体"/>
          <w:color w:val="000000"/>
          <w:sz w:val="24"/>
          <w:szCs w:val="22"/>
          <w:highlight w:val="none"/>
        </w:rPr>
      </w:pPr>
      <w:r>
        <w:rPr>
          <w:rFonts w:ascii="宋体" w:hAnsi="宋体"/>
          <w:color w:val="000000"/>
          <w:sz w:val="24"/>
          <w:szCs w:val="22"/>
          <w:highlight w:val="none"/>
        </w:rPr>
      </w:r>
      <w:r/>
    </w:p>
    <w:p>
      <w:pPr>
        <w:jc w:val="center"/>
        <w:rPr>
          <w:rFonts w:ascii="宋体" w:hAnsi="宋体"/>
          <w:color w:val="000000"/>
          <w:sz w:val="24"/>
          <w:szCs w:val="22"/>
          <w:highlight w:val="none"/>
        </w:rPr>
      </w:pPr>
      <w:r>
        <w:rPr>
          <w:rFonts w:ascii="宋体" w:hAnsi="宋体"/>
          <w:color w:val="000000"/>
          <w:sz w:val="24"/>
          <w:szCs w:val="22"/>
          <w:highlight w:val="none"/>
        </w:rPr>
      </w:r>
      <w:r/>
    </w:p>
    <w:p>
      <w:pPr>
        <w:jc w:val="center"/>
        <w:rPr>
          <w:rFonts w:ascii="宋体" w:hAnsi="宋体"/>
          <w:color w:val="000000"/>
          <w:sz w:val="24"/>
          <w:szCs w:val="22"/>
          <w:highlight w:val="none"/>
        </w:rPr>
      </w:pPr>
      <w:r>
        <w:rPr>
          <w:rFonts w:ascii="宋体" w:hAnsi="宋体"/>
          <w:color w:val="000000"/>
          <w:sz w:val="24"/>
          <w:szCs w:val="22"/>
          <w:highlight w:val="none"/>
        </w:rPr>
      </w:r>
      <w:r/>
    </w:p>
    <w:p>
      <w:pPr>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jc w:val="center"/>
        <w:spacing w:line="360" w:lineRule="auto"/>
        <w:rPr>
          <w:rFonts w:ascii="宋体" w:hAnsi="宋体"/>
          <w:color w:val="000000"/>
          <w:sz w:val="52"/>
          <w:szCs w:val="52"/>
          <w:highlight w:val="none"/>
        </w:rPr>
      </w:pPr>
      <w:r>
        <w:rPr>
          <w:rFonts w:hint="eastAsia" w:ascii="宋体" w:hAnsi="宋体"/>
          <w:b/>
          <w:color w:val="000000"/>
          <w:sz w:val="52"/>
          <w:szCs w:val="52"/>
          <w:highlight w:val="none"/>
        </w:rPr>
        <w:t xml:space="preserve">磋 商 响 应 文 件</w:t>
      </w:r>
      <w:r/>
    </w:p>
    <w:p>
      <w:pPr>
        <w:jc w:val="center"/>
        <w:rPr>
          <w:rFonts w:ascii="宋体" w:hAnsi="宋体"/>
          <w:b/>
          <w:color w:val="000000"/>
          <w:sz w:val="32"/>
          <w:szCs w:val="22"/>
          <w:highlight w:val="none"/>
        </w:rPr>
      </w:pPr>
      <w:r>
        <w:rPr>
          <w:rFonts w:ascii="宋体" w:hAnsi="宋体"/>
          <w:b/>
          <w:color w:val="000000"/>
          <w:sz w:val="32"/>
          <w:szCs w:val="22"/>
          <w:highlight w:val="none"/>
        </w:rPr>
      </w:r>
      <w:r/>
    </w:p>
    <w:p>
      <w:pPr>
        <w:ind w:firstLine="790"/>
        <w:rPr>
          <w:rFonts w:ascii="宋体" w:hAnsi="宋体"/>
          <w:b/>
          <w:color w:val="000000"/>
          <w:sz w:val="28"/>
          <w:szCs w:val="22"/>
          <w:highlight w:val="none"/>
        </w:rPr>
      </w:pPr>
      <w:r>
        <w:rPr>
          <w:rFonts w:ascii="宋体" w:hAnsi="宋体"/>
          <w:b/>
          <w:color w:val="000000"/>
          <w:sz w:val="28"/>
          <w:szCs w:val="22"/>
          <w:highlight w:val="none"/>
        </w:rPr>
      </w:r>
      <w:r/>
    </w:p>
    <w:p>
      <w:pPr>
        <w:jc w:val="center"/>
        <w:rPr>
          <w:rFonts w:ascii="宋体" w:hAnsi="宋体"/>
          <w:b/>
          <w:color w:val="000000"/>
          <w:sz w:val="28"/>
          <w:szCs w:val="22"/>
          <w:highlight w:val="none"/>
        </w:rPr>
      </w:pPr>
      <w:r>
        <w:rPr>
          <w:rFonts w:ascii="宋体" w:hAnsi="宋体"/>
          <w:b/>
          <w:color w:val="000000"/>
          <w:sz w:val="28"/>
          <w:szCs w:val="22"/>
          <w:highlight w:val="none"/>
        </w:rPr>
      </w:r>
      <w:r/>
    </w:p>
    <w:p>
      <w:pPr>
        <w:rPr>
          <w:rFonts w:ascii="宋体" w:hAnsi="宋体"/>
          <w:b/>
          <w:color w:val="000000"/>
          <w:sz w:val="28"/>
          <w:szCs w:val="22"/>
          <w:highlight w:val="none"/>
        </w:rPr>
      </w:pPr>
      <w:r>
        <w:rPr>
          <w:rFonts w:ascii="宋体" w:hAnsi="宋体"/>
          <w:b/>
          <w:color w:val="000000"/>
          <w:sz w:val="28"/>
          <w:szCs w:val="22"/>
          <w:highlight w:val="none"/>
        </w:rPr>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jc w:val="center"/>
        <w:rPr>
          <w:sz w:val="20"/>
          <w:szCs w:val="22"/>
          <w:highlight w:val="none"/>
        </w:rPr>
      </w:pPr>
      <w:r>
        <w:rPr>
          <w:rFonts w:hint="eastAsia" w:ascii="宋体" w:hAnsi="宋体"/>
          <w:b/>
          <w:color w:val="000000"/>
          <w:sz w:val="28"/>
          <w:szCs w:val="22"/>
          <w:highlight w:val="none"/>
        </w:rPr>
        <w:t xml:space="preserve">项目编号：JSZC-321112-JSWX-C2026-0034</w:t>
      </w:r>
      <w:r/>
    </w:p>
    <w:p>
      <w:pPr>
        <w:jc w:val="center"/>
        <w:rPr>
          <w:rFonts w:ascii="宋体" w:hAnsi="宋体"/>
          <w:b/>
          <w:color w:val="000000"/>
          <w:sz w:val="28"/>
          <w:szCs w:val="28"/>
          <w:highlight w:val="none"/>
        </w:rPr>
      </w:pPr>
      <w:r>
        <w:rPr>
          <w:rFonts w:hint="eastAsia" w:ascii="宋体" w:hAnsi="宋体"/>
          <w:b/>
          <w:color w:val="000000"/>
          <w:sz w:val="28"/>
          <w:szCs w:val="22"/>
          <w:highlight w:val="none"/>
        </w:rPr>
        <w:t xml:space="preserve">项目名称：镇江市丹徒区电子政务外网运营服务项目</w:t>
      </w:r>
      <w:r/>
    </w:p>
    <w:p>
      <w:pPr>
        <w:jc w:val="center"/>
        <w:rPr>
          <w:rFonts w:ascii="宋体" w:hAnsi="宋体"/>
          <w:b/>
          <w:color w:val="000000"/>
          <w:sz w:val="28"/>
          <w:szCs w:val="22"/>
          <w:highlight w:val="none"/>
        </w:rPr>
      </w:pPr>
      <w:r>
        <w:rPr>
          <w:rFonts w:ascii="宋体" w:hAnsi="宋体"/>
          <w:b/>
          <w:color w:val="000000"/>
          <w:sz w:val="28"/>
          <w:szCs w:val="22"/>
          <w:highlight w:val="none"/>
        </w:rPr>
      </w:r>
      <w:r/>
    </w:p>
    <w:p>
      <w:pPr>
        <w:jc w:val="center"/>
        <w:rPr>
          <w:rFonts w:ascii="宋体" w:hAnsi="宋体"/>
          <w:b/>
          <w:color w:val="000000"/>
          <w:sz w:val="28"/>
          <w:szCs w:val="22"/>
          <w:highlight w:val="none"/>
        </w:rPr>
      </w:pPr>
      <w:r>
        <w:rPr>
          <w:rFonts w:ascii="宋体" w:hAnsi="宋体"/>
          <w:b/>
          <w:color w:val="000000"/>
          <w:sz w:val="28"/>
          <w:szCs w:val="22"/>
          <w:highlight w:val="none"/>
        </w:rPr>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pStyle w:val="1550"/>
        <w:rPr>
          <w:rFonts w:ascii="宋体" w:hAnsi="宋体" w:eastAsia="宋体"/>
          <w:b/>
          <w:color w:val="000000"/>
          <w:sz w:val="28"/>
          <w:szCs w:val="18"/>
          <w:highlight w:val="none"/>
        </w:rPr>
      </w:pPr>
      <w:r>
        <w:rPr>
          <w:rFonts w:ascii="宋体" w:hAnsi="宋体" w:eastAsia="宋体"/>
          <w:b/>
          <w:color w:val="000000"/>
          <w:sz w:val="28"/>
          <w:szCs w:val="18"/>
          <w:highlight w:val="none"/>
        </w:rPr>
      </w:r>
      <w:r/>
    </w:p>
    <w:p>
      <w:pPr>
        <w:pStyle w:val="1550"/>
        <w:rPr>
          <w:rFonts w:ascii="宋体" w:hAnsi="宋体" w:eastAsia="宋体"/>
          <w:b/>
          <w:color w:val="000000"/>
          <w:sz w:val="28"/>
          <w:szCs w:val="18"/>
          <w:highlight w:val="none"/>
        </w:rPr>
      </w:pPr>
      <w:r>
        <w:rPr>
          <w:rFonts w:ascii="宋体" w:hAnsi="宋体" w:eastAsia="宋体"/>
          <w:b/>
          <w:color w:val="000000"/>
          <w:sz w:val="28"/>
          <w:szCs w:val="18"/>
          <w:highlight w:val="none"/>
        </w:rPr>
      </w:r>
      <w:r/>
    </w:p>
    <w:p>
      <w:pPr>
        <w:ind w:firstLine="2554"/>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供应商：（公章）</w:t>
      </w:r>
      <w:r/>
    </w:p>
    <w:p>
      <w:pPr>
        <w:ind w:firstLine="2554"/>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日期：2026年 月</w:t>
      </w:r>
      <w:r>
        <w:rPr>
          <w:rFonts w:ascii="宋体" w:hAnsi="宋体"/>
          <w:b/>
          <w:color w:val="000000"/>
          <w:sz w:val="28"/>
          <w:szCs w:val="28"/>
          <w:highlight w:val="none"/>
        </w:rPr>
        <w:t xml:space="preserve"> </w:t>
      </w:r>
      <w:r>
        <w:rPr>
          <w:rFonts w:hint="eastAsia" w:ascii="宋体" w:hAnsi="宋体"/>
          <w:b/>
          <w:color w:val="000000"/>
          <w:sz w:val="28"/>
          <w:szCs w:val="28"/>
          <w:highlight w:val="none"/>
        </w:rPr>
        <w:t xml:space="preserve">日</w:t>
      </w:r>
      <w:bookmarkEnd w:id="115"/>
      <w:r/>
      <w:bookmarkEnd w:id="116"/>
      <w:r/>
      <w:bookmarkEnd w:id="117"/>
      <w:r/>
      <w:bookmarkEnd w:id="118"/>
      <w:r/>
      <w:bookmarkEnd w:id="119"/>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jc w:val="center"/>
        <w:rPr>
          <w:rFonts w:ascii="宋体" w:hAnsi="宋体"/>
          <w:b/>
          <w:color w:val="000000"/>
          <w:sz w:val="28"/>
          <w:szCs w:val="22"/>
          <w:highlight w:val="none"/>
        </w:rPr>
      </w:pPr>
      <w:r>
        <w:rPr>
          <w:rFonts w:ascii="宋体" w:hAnsi="宋体"/>
          <w:b/>
          <w:color w:val="000000"/>
          <w:sz w:val="28"/>
          <w:szCs w:val="22"/>
          <w:highlight w:val="none"/>
        </w:rPr>
      </w:r>
      <w:r/>
    </w:p>
    <w:p>
      <w:pPr>
        <w:jc w:val="center"/>
        <w:spacing w:before="101" w:line="225" w:lineRule="auto"/>
        <w:rPr>
          <w:rFonts w:ascii="宋体" w:hAnsi="宋体" w:cs="宋体"/>
          <w:color w:val="000000"/>
          <w:sz w:val="28"/>
          <w:szCs w:val="28"/>
          <w:highlight w:val="none"/>
        </w:rPr>
        <w:outlineLvl w:val="1"/>
      </w:pPr>
      <w:r>
        <w:rPr>
          <w:rFonts w:hint="eastAsia" w:ascii="宋体" w:hAnsi="宋体" w:cs="宋体"/>
          <w:color w:val="000000"/>
          <w:sz w:val="20"/>
          <w:szCs w:val="20"/>
          <w:highlight w:val="none"/>
        </w:rPr>
        <w:br w:type="page" w:clear="all"/>
      </w:r>
      <w:r>
        <w:rPr>
          <w:rFonts w:ascii="宋体" w:hAnsi="宋体" w:cs="宋体"/>
          <w:color w:val="000000"/>
          <w:spacing w:val="9"/>
          <w:sz w:val="28"/>
          <w:szCs w:val="28"/>
          <w:highlight w:val="none"/>
        </w:rPr>
        <w:t xml:space="preserve">一</w:t>
      </w:r>
      <w:r>
        <w:rPr>
          <w:rFonts w:ascii="宋体" w:hAnsi="宋体" w:cs="宋体"/>
          <w:color w:val="000000"/>
          <w:spacing w:val="6"/>
          <w:sz w:val="28"/>
          <w:szCs w:val="28"/>
          <w:highlight w:val="none"/>
        </w:rPr>
        <w:t xml:space="preserve">、资格部分</w:t>
      </w:r>
      <w:r/>
    </w:p>
    <w:p>
      <w:pPr>
        <w:rPr>
          <w:color w:val="000000"/>
          <w:sz w:val="20"/>
          <w:szCs w:val="22"/>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23" w:lineRule="auto"/>
        <w:rPr>
          <w:rFonts w:ascii="宋体" w:hAnsi="宋体" w:cs="宋体"/>
          <w:color w:val="000000"/>
          <w:sz w:val="24"/>
          <w:highlight w:val="none"/>
        </w:rPr>
        <w:outlineLvl w:val="2"/>
      </w:pPr>
      <w:r/>
      <w:bookmarkStart w:id="169" w:name="_bookmark68"/>
      <w:r/>
      <w:bookmarkEnd w:id="169"/>
      <w:r>
        <w:rPr>
          <w:rFonts w:ascii="宋体" w:hAnsi="宋体" w:cs="宋体"/>
          <w:color w:val="000000"/>
          <w:spacing w:val="-9"/>
          <w:sz w:val="24"/>
          <w:highlight w:val="none"/>
        </w:rPr>
        <w:t xml:space="preserve">(</w:t>
      </w:r>
      <w:r>
        <w:rPr>
          <w:rFonts w:ascii="宋体" w:hAnsi="宋体" w:cs="宋体"/>
          <w:color w:val="000000"/>
          <w:spacing w:val="-7"/>
          <w:sz w:val="24"/>
          <w:highlight w:val="none"/>
        </w:rPr>
        <w:t xml:space="preserve">一)磋商承诺函</w:t>
      </w:r>
      <w:r/>
    </w:p>
    <w:p>
      <w:pPr>
        <w:spacing w:line="309" w:lineRule="auto"/>
        <w:rPr>
          <w:rFonts w:ascii="Arial"/>
          <w:color w:val="000000"/>
          <w:sz w:val="24"/>
          <w:highlight w:val="none"/>
        </w:rPr>
      </w:pPr>
      <w:r>
        <w:rPr>
          <w:rFonts w:ascii="Arial"/>
          <w:color w:val="000000"/>
          <w:sz w:val="24"/>
          <w:highlight w:val="none"/>
        </w:rPr>
      </w:r>
      <w:r/>
    </w:p>
    <w:p>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(磋商组织方)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根据贵方关于</w:t>
      </w:r>
      <w:r>
        <w:rPr>
          <w:rFonts w:hint="eastAsia" w:ascii="宋体" w:hAnsi="宋体" w:cs="宋体"/>
          <w:color w:val="000000"/>
          <w:sz w:val="24"/>
          <w:highlight w:val="none"/>
          <w:u w:val="single"/>
        </w:rPr>
        <w:t xml:space="preserve">（项目名称）（项目编号）</w:t>
      </w:r>
      <w:r>
        <w:rPr>
          <w:rFonts w:hint="eastAsia" w:ascii="宋体" w:hAnsi="宋体" w:cs="宋体"/>
          <w:color w:val="000000"/>
          <w:sz w:val="24"/>
          <w:highlight w:val="none"/>
        </w:rPr>
        <w:t xml:space="preserve">的磋商邀请，我方已完全理解磋商文件的所有内容。据此函，我方兹宣布同意如下：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1.我方承诺：我方完全具备《政府采购法》第二十二条第一款规定的条件以及本项目磋商文件规定的参加磋商供应商须满足的特定条件。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2.我方承诺：参加本次采购活动前三年内，在经营活动中没有重大违法记录。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3.我方承诺：我方信用记录中没有被列入失信被执行人、没有被列入重大税收违法案件名单、没有被列入政府采购违法失信行为记录名单。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4.我方承诺按磋商文件要求提供的服务及货物的磋商报价见报价一览表。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5．我方承诺根据磋商文件的规定，完成合同义务，并承担责任(如有偏离，在响应文件中另作说明)。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6．我方已详读全部磋商文件，包括磋商文件书面修改通知(如有)，我方完全理解并同意放弃对这方面不明及误解的权利。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8．我方同意从规定的磋商日期起遵循本磋商文件，并在规定的磋商有效期期满之前均具有约束力。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9．我方同意向贵方提供贵方可能要求的与本磋商有关的任何证据或资料。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11．本次响应文件内容与磋商文件内容偏离见磋商偏离表(如果有)。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12．遵守磋商文件中要求的收费项目和标准。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13．我方将严格遵守《中华人民共和国政府采购法》，若存在违法违规行为，自愿承担相应的法律后果。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14．与本磋商有关的一切正式往来通讯请寄：</w:t>
      </w:r>
      <w:r/>
    </w:p>
    <w:p>
      <w:pPr>
        <w:pStyle w:val="1747"/>
        <w:ind w:firstLine="480"/>
        <w:jc w:val="both"/>
        <w:spacing w:line="360" w:lineRule="auto"/>
        <w:rPr>
          <w:rFonts w:ascii="宋体" w:hAnsi="宋体" w:cs="宋体"/>
          <w:sz w:val="24"/>
          <w:szCs w:val="24"/>
          <w:highlight w:val="none"/>
        </w:rPr>
      </w:pPr>
      <w:r>
        <w:rPr>
          <w:rFonts w:hint="eastAsia" w:ascii="宋体" w:hAnsi="宋体" w:cs="宋体"/>
          <w:sz w:val="24"/>
          <w:szCs w:val="24"/>
          <w:highlight w:val="none"/>
        </w:rPr>
        <w:t xml:space="preserve">地址：                             电话：</w:t>
      </w:r>
      <w:r/>
    </w:p>
    <w:p>
      <w:pPr>
        <w:pStyle w:val="1747"/>
        <w:ind w:firstLine="480"/>
        <w:jc w:val="both"/>
        <w:spacing w:line="360" w:lineRule="auto"/>
        <w:rPr>
          <w:rFonts w:ascii="宋体" w:hAnsi="宋体" w:cs="宋体"/>
          <w:sz w:val="24"/>
          <w:szCs w:val="24"/>
          <w:highlight w:val="none"/>
        </w:rPr>
      </w:pPr>
      <w:r>
        <w:rPr>
          <w:rFonts w:hint="eastAsia" w:ascii="宋体" w:hAnsi="宋体" w:cs="宋体"/>
          <w:sz w:val="24"/>
          <w:szCs w:val="24"/>
          <w:highlight w:val="none"/>
        </w:rPr>
        <w:t xml:space="preserve">传真：                             邮政编码：</w:t>
      </w:r>
      <w:r/>
    </w:p>
    <w:p>
      <w:pPr>
        <w:pStyle w:val="1747"/>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供应商（公章）：</w:t>
      </w:r>
      <w:r/>
    </w:p>
    <w:p>
      <w:pPr>
        <w:pStyle w:val="1747"/>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法定代表人签章：</w:t>
      </w:r>
      <w:r/>
    </w:p>
    <w:p>
      <w:pPr>
        <w:pStyle w:val="1747"/>
        <w:ind w:firstLine="480"/>
        <w:jc w:val="center"/>
        <w:spacing w:line="360" w:lineRule="auto"/>
        <w:rPr>
          <w:rFonts w:ascii="宋体" w:hAnsi="宋体" w:cs="宋体"/>
          <w:sz w:val="24"/>
          <w:szCs w:val="24"/>
          <w:highlight w:val="none"/>
        </w:rPr>
        <w:sectPr>
          <w:footerReference w:type="default" r:id="rId22"/>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sz w:val="24"/>
          <w:szCs w:val="24"/>
          <w:highlight w:val="none"/>
        </w:rPr>
        <w:t xml:space="preserve">日期：</w:t>
      </w:r>
      <w:r/>
    </w:p>
    <w:p>
      <w:pPr>
        <w:jc w:val="center"/>
        <w:spacing w:before="91" w:line="220" w:lineRule="auto"/>
        <w:rPr>
          <w:rFonts w:ascii="宋体" w:hAnsi="宋体" w:cs="宋体"/>
          <w:color w:val="000000"/>
          <w:sz w:val="24"/>
          <w:highlight w:val="none"/>
        </w:rPr>
        <w:outlineLvl w:val="2"/>
      </w:pPr>
      <w:r/>
      <w:bookmarkStart w:id="170" w:name="_bookmark69"/>
      <w:r/>
      <w:bookmarkEnd w:id="170"/>
      <w:r>
        <w:rPr>
          <w:rFonts w:ascii="宋体" w:hAnsi="宋体" w:cs="宋体"/>
          <w:color w:val="000000"/>
          <w:spacing w:val="-7"/>
          <w:sz w:val="24"/>
          <w:highlight w:val="none"/>
        </w:rPr>
        <w:t xml:space="preserve">(</w:t>
      </w:r>
      <w:r>
        <w:rPr>
          <w:rFonts w:ascii="宋体" w:hAnsi="宋体" w:cs="宋体"/>
          <w:color w:val="000000"/>
          <w:spacing w:val="-4"/>
          <w:sz w:val="24"/>
          <w:highlight w:val="none"/>
        </w:rPr>
        <w:t xml:space="preserve">二)独立承担民事责任的能力</w:t>
      </w:r>
      <w:r/>
    </w:p>
    <w:p>
      <w:pPr>
        <w:jc w:val="center"/>
        <w:rPr>
          <w:color w:val="000000"/>
          <w:sz w:val="24"/>
          <w:highlight w:val="none"/>
        </w:rPr>
        <w:sectPr>
          <w:footerReference w:type="default" r:id="rId23"/>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1" w:name="_bookmark70"/>
      <w:r/>
      <w:bookmarkEnd w:id="171"/>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三)良好的商业信誉和健全的财务会计制度</w:t>
      </w:r>
      <w:r/>
    </w:p>
    <w:p>
      <w:pPr>
        <w:rPr>
          <w:color w:val="000000"/>
          <w:sz w:val="24"/>
          <w:highlight w:val="none"/>
        </w:rPr>
        <w:sectPr>
          <w:footerReference w:type="default" r:id="rId24"/>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ind w:left="2196"/>
        <w:spacing w:before="91" w:line="220" w:lineRule="auto"/>
        <w:rPr>
          <w:rFonts w:ascii="宋体" w:hAnsi="宋体" w:cs="宋体"/>
          <w:color w:val="000000"/>
          <w:sz w:val="24"/>
          <w:highlight w:val="none"/>
        </w:rPr>
        <w:outlineLvl w:val="2"/>
      </w:pPr>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四)履行合同所必需的设备和专业技术能力</w:t>
      </w:r>
      <w:r/>
    </w:p>
    <w:tbl>
      <w:tblPr>
        <w:tblStyle w:val="1476"/>
        <w:tblpPr w:horzAnchor="page" w:tblpXSpec="center" w:vertAnchor="text" w:tblpY="98" w:leftFromText="180" w:topFromText="0" w:rightFromText="180" w:bottomFromText="0"/>
        <w:tblW w:w="95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一</w:t>
            </w:r>
            <w:r/>
          </w:p>
        </w:tc>
        <w:tc>
          <w:tcPr>
            <w:gridSpan w:val="5"/>
            <w:shd w:val="clear" w:color="auto" w:fill="d9d9d9"/>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公司基本信息</w:t>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公司名称</w:t>
            </w:r>
            <w:r/>
          </w:p>
        </w:tc>
        <w:tc>
          <w:tcPr>
            <w:gridSpan w:val="4"/>
            <w:tcW w:w="67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公司地址</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从业人数</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法定代表人</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开户银行</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账号</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项目联系人</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二</w:t>
            </w:r>
            <w:r/>
          </w:p>
        </w:tc>
        <w:tc>
          <w:tcPr>
            <w:gridSpan w:val="5"/>
            <w:shd w:val="clear" w:color="auto" w:fill="d9d9d9"/>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公司财务状况</w:t>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(一)</w:t>
            </w:r>
            <w:r/>
          </w:p>
        </w:tc>
        <w:tc>
          <w:tcPr>
            <w:gridSpan w:val="5"/>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2025年度财务状况</w:t>
            </w:r>
            <w:r/>
          </w:p>
        </w:tc>
      </w:tr>
      <w:tr>
        <w:trPr>
          <w:jc w:val="center"/>
          <w:trHeight w:val="723"/>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营业收入</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利润总额(万)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08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年末“固定资产合计”</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年末“流动资产”余额(万)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08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年末“短期</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负债”余额</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年末“长期负债”余额(万)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08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年末“资产</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总计”余额</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年末“货币资金”余额(万)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三</w:t>
            </w:r>
            <w:r/>
          </w:p>
        </w:tc>
        <w:tc>
          <w:tcPr>
            <w:gridSpan w:val="5"/>
            <w:shd w:val="clear" w:color="auto" w:fill="d9d9d9"/>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供应商其他信息</w:t>
            </w:r>
            <w:r/>
          </w:p>
        </w:tc>
      </w:tr>
      <w:tr>
        <w:trPr>
          <w:jc w:val="center"/>
          <w:trHeight w:val="747"/>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(一)</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公司取得</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的相关资</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质及等级：</w:t>
            </w:r>
            <w:r/>
          </w:p>
        </w:tc>
        <w:tc>
          <w:tcPr>
            <w:gridSpan w:val="4"/>
            <w:tcW w:w="67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21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(二)</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公司2023年度</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后获得的荣誉及表彰情况</w:t>
            </w:r>
            <w:r/>
          </w:p>
        </w:tc>
        <w:tc>
          <w:tcPr>
            <w:gridSpan w:val="4"/>
            <w:tcW w:w="67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19"/>
        </w:trPr>
        <w:tc>
          <w:tcPr>
            <w:shd w:val="clear" w:color="auto" w:fill="bfbfbf"/>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四</w:t>
            </w:r>
            <w:r/>
          </w:p>
        </w:tc>
        <w:tc>
          <w:tcPr>
            <w:gridSpan w:val="5"/>
            <w:shd w:val="clear" w:color="auto" w:fill="bfbfbf"/>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提供本项目服务所必须的专业技术能力</w:t>
            </w:r>
            <w:r/>
          </w:p>
        </w:tc>
      </w:tr>
      <w:tr>
        <w:trPr>
          <w:jc w:val="center"/>
          <w:trHeight w:val="649"/>
        </w:trPr>
        <w:tc>
          <w:tcPr>
            <w:gridSpan w:val="6"/>
            <w:tcW w:w="957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118" w:lineRule="exact"/>
        <w:rPr>
          <w:color w:val="000000"/>
          <w:sz w:val="24"/>
          <w:highlight w:val="none"/>
        </w:rPr>
      </w:pPr>
      <w:r>
        <w:rPr>
          <w:color w:val="000000"/>
          <w:sz w:val="24"/>
          <w:highlight w:val="none"/>
        </w:rPr>
      </w:r>
      <w:r/>
    </w:p>
    <w:p>
      <w:pPr>
        <w:ind w:left="122"/>
        <w:spacing w:before="78" w:line="220" w:lineRule="auto"/>
        <w:rPr>
          <w:rFonts w:ascii="宋体" w:hAnsi="宋体" w:cs="宋体"/>
          <w:color w:val="000000"/>
          <w:sz w:val="24"/>
          <w:highlight w:val="none"/>
        </w:rPr>
      </w:pPr>
      <w:r/>
      <w:bookmarkStart w:id="172" w:name="_bookmark71"/>
      <w:r/>
      <w:bookmarkEnd w:id="172"/>
      <w:r>
        <w:rPr>
          <w:rFonts w:ascii="宋体" w:hAnsi="宋体" w:cs="宋体"/>
          <w:color w:val="000000"/>
          <w:spacing w:val="-29"/>
          <w:sz w:val="24"/>
          <w:highlight w:val="none"/>
        </w:rPr>
        <w:t xml:space="preserve">注</w:t>
      </w:r>
      <w:r>
        <w:rPr>
          <w:rFonts w:ascii="宋体" w:hAnsi="宋体" w:cs="宋体"/>
          <w:color w:val="000000"/>
          <w:spacing w:val="-17"/>
          <w:sz w:val="24"/>
          <w:highlight w:val="none"/>
        </w:rPr>
        <w:t xml:space="preserve">：1、</w:t>
      </w:r>
      <w:r>
        <w:rPr>
          <w:rFonts w:ascii="宋体" w:hAnsi="宋体" w:cs="宋体"/>
          <w:color w:val="000000"/>
          <w:spacing w:val="-17"/>
          <w:sz w:val="24"/>
          <w:highlight w:val="none"/>
          <w:u w:val="single"/>
        </w:rPr>
        <w:t xml:space="preserve">如行数不够请自行添加。</w:t>
      </w:r>
      <w:r/>
    </w:p>
    <w:p>
      <w:pPr>
        <w:rPr>
          <w:color w:val="000000"/>
          <w:sz w:val="24"/>
          <w:highlight w:val="none"/>
        </w:rPr>
        <w:sectPr>
          <w:headerReference w:type="default" r:id="rId13"/>
          <w:footerReference w:type="default" r:id="rId25"/>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3" w:name="_bookmark72"/>
      <w:r/>
      <w:bookmarkEnd w:id="173"/>
      <w:r>
        <w:rPr>
          <w:rFonts w:ascii="宋体" w:hAnsi="宋体" w:cs="宋体"/>
          <w:color w:val="000000"/>
          <w:spacing w:val="-3"/>
          <w:sz w:val="24"/>
          <w:highlight w:val="none"/>
        </w:rPr>
        <w:t xml:space="preserve">(五)依法缴纳税收和社会保障资金的良好记</w:t>
      </w:r>
      <w:r>
        <w:rPr>
          <w:rFonts w:ascii="宋体" w:hAnsi="宋体" w:cs="宋体"/>
          <w:color w:val="000000"/>
          <w:sz w:val="24"/>
          <w:highlight w:val="none"/>
        </w:rPr>
        <w:t xml:space="preserve">录</w:t>
      </w:r>
      <w:r/>
    </w:p>
    <w:p>
      <w:pPr>
        <w:rPr>
          <w:color w:val="000000"/>
          <w:sz w:val="24"/>
          <w:highlight w:val="none"/>
        </w:rPr>
        <w:sectPr>
          <w:headerReference w:type="default" r:id="rId14"/>
          <w:footerReference w:type="default" r:id="rId26"/>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0" w:lineRule="auto"/>
        <w:rPr>
          <w:rFonts w:ascii="宋体" w:hAnsi="宋体" w:cs="宋体"/>
          <w:color w:val="000000"/>
          <w:sz w:val="24"/>
          <w:highlight w:val="none"/>
        </w:rPr>
        <w:outlineLvl w:val="2"/>
      </w:pPr>
      <w:r/>
      <w:bookmarkStart w:id="174" w:name="_bookmark73"/>
      <w:r/>
      <w:bookmarkEnd w:id="174"/>
      <w:r>
        <w:rPr>
          <w:rFonts w:ascii="宋体" w:hAnsi="宋体" w:cs="宋体"/>
          <w:color w:val="000000"/>
          <w:spacing w:val="-6"/>
          <w:sz w:val="24"/>
          <w:highlight w:val="none"/>
        </w:rPr>
        <w:t xml:space="preserve">(六</w:t>
      </w:r>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法律、行政法规规定的其他条件</w:t>
      </w:r>
      <w:r/>
    </w:p>
    <w:p>
      <w:pPr>
        <w:rPr>
          <w:color w:val="000000"/>
          <w:sz w:val="24"/>
          <w:highlight w:val="none"/>
        </w:rPr>
        <w:sectPr>
          <w:footerReference w:type="default" r:id="rId27"/>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5" w:name="_bookmark74"/>
      <w:r/>
      <w:bookmarkEnd w:id="175"/>
      <w:r>
        <w:rPr>
          <w:rFonts w:ascii="宋体" w:hAnsi="宋体" w:cs="宋体"/>
          <w:color w:val="000000"/>
          <w:spacing w:val="-6"/>
          <w:sz w:val="24"/>
          <w:highlight w:val="none"/>
        </w:rPr>
        <w:t xml:space="preserve">(</w:t>
      </w:r>
      <w:r>
        <w:rPr>
          <w:rFonts w:ascii="宋体" w:hAnsi="宋体" w:cs="宋体"/>
          <w:color w:val="000000"/>
          <w:spacing w:val="-4"/>
          <w:sz w:val="24"/>
          <w:highlight w:val="none"/>
        </w:rPr>
        <w:t xml:space="preserve">七</w:t>
      </w:r>
      <w:r>
        <w:rPr>
          <w:rFonts w:ascii="宋体" w:hAnsi="宋体" w:cs="宋体"/>
          <w:color w:val="000000"/>
          <w:spacing w:val="-3"/>
          <w:sz w:val="24"/>
          <w:highlight w:val="none"/>
        </w:rPr>
        <w:t xml:space="preserve">)落实政府采购政策需满足的资格要求</w:t>
      </w:r>
      <w:r/>
    </w:p>
    <w:p>
      <w:pPr>
        <w:rPr>
          <w:color w:val="000000"/>
          <w:sz w:val="24"/>
          <w:highlight w:val="none"/>
        </w:rPr>
        <w:sectPr>
          <w:footerReference w:type="default" r:id="rId28"/>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6" w:name="_bookmark75"/>
      <w:r/>
      <w:bookmarkEnd w:id="176"/>
      <w:r>
        <w:rPr>
          <w:rFonts w:ascii="宋体" w:hAnsi="宋体" w:cs="宋体"/>
          <w:color w:val="000000"/>
          <w:spacing w:val="-8"/>
          <w:sz w:val="24"/>
          <w:highlight w:val="none"/>
        </w:rPr>
        <w:t xml:space="preserve">(</w:t>
      </w:r>
      <w:r>
        <w:rPr>
          <w:rFonts w:ascii="宋体" w:hAnsi="宋体" w:cs="宋体"/>
          <w:color w:val="000000"/>
          <w:spacing w:val="-7"/>
          <w:sz w:val="24"/>
          <w:highlight w:val="none"/>
        </w:rPr>
        <w:t xml:space="preserve">八</w:t>
      </w:r>
      <w:r>
        <w:rPr>
          <w:rFonts w:ascii="宋体" w:hAnsi="宋体" w:cs="宋体"/>
          <w:color w:val="000000"/>
          <w:spacing w:val="-4"/>
          <w:sz w:val="24"/>
          <w:highlight w:val="none"/>
        </w:rPr>
        <w:t xml:space="preserve">)本项目的特定资格要求</w:t>
      </w:r>
      <w:r/>
    </w:p>
    <w:p>
      <w:pPr>
        <w:rPr>
          <w:color w:val="000000"/>
          <w:sz w:val="24"/>
          <w:highlight w:val="none"/>
        </w:rPr>
        <w:sectPr>
          <w:footerReference w:type="default" r:id="rId29"/>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7" w:name="_bookmark76"/>
      <w:r/>
      <w:bookmarkEnd w:id="177"/>
      <w:r>
        <w:rPr>
          <w:rFonts w:ascii="宋体" w:hAnsi="宋体" w:cs="宋体"/>
          <w:color w:val="000000"/>
          <w:spacing w:val="8"/>
          <w:sz w:val="24"/>
          <w:highlight w:val="none"/>
        </w:rPr>
        <w:t xml:space="preserve">(</w:t>
      </w:r>
      <w:r>
        <w:rPr>
          <w:rFonts w:ascii="宋体" w:hAnsi="宋体" w:cs="宋体"/>
          <w:color w:val="000000"/>
          <w:spacing w:val="4"/>
          <w:sz w:val="24"/>
          <w:highlight w:val="none"/>
        </w:rPr>
        <w:t xml:space="preserve">九)</w:t>
      </w:r>
      <w:r>
        <w:rPr>
          <w:rFonts w:hint="eastAsia" w:ascii="宋体" w:hAnsi="宋体" w:cs="宋体"/>
          <w:color w:val="000000"/>
          <w:spacing w:val="4"/>
          <w:sz w:val="24"/>
          <w:highlight w:val="none"/>
        </w:rPr>
        <w:t xml:space="preserve">法定代表人</w:t>
      </w:r>
      <w:r>
        <w:rPr>
          <w:rFonts w:ascii="宋体" w:hAnsi="宋体" w:cs="宋体"/>
          <w:color w:val="000000"/>
          <w:spacing w:val="4"/>
          <w:sz w:val="24"/>
          <w:highlight w:val="none"/>
        </w:rPr>
        <w:t xml:space="preserve">身份证明书</w:t>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w:t>
      </w:r>
      <w:r>
        <w:rPr>
          <w:rFonts w:hint="eastAsia" w:ascii="宋体" w:hAnsi="宋体" w:cs="宋体"/>
          <w:color w:val="000000"/>
          <w:spacing w:val="-8"/>
          <w:sz w:val="24"/>
          <w:highlight w:val="none"/>
        </w:rPr>
        <w:t xml:space="preserve">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ascii="宋体" w:hAnsi="宋体" w:cs="宋体"/>
          <w:color w:val="000000"/>
          <w:sz w:val="24"/>
          <w:highlight w:val="none"/>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ascii="宋体" w:hAnsi="宋体" w:cs="宋体"/>
          <w:color w:val="000000"/>
          <w:sz w:val="24"/>
          <w:highlight w:val="none"/>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ascii="宋体" w:hAnsi="宋体" w:cs="宋体"/>
          <w:color w:val="000000"/>
          <w:sz w:val="24"/>
          <w:highlight w:val="none"/>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ascii="Arial"/>
          <w:color w:val="000000"/>
          <w:sz w:val="24"/>
          <w:highlight w:val="none"/>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rPr>
          <w:rFonts w:hint="eastAsia" w:ascii="宋体" w:hAnsi="宋体" w:cs="宋体"/>
          <w:color w:val="000000"/>
          <w:sz w:val="24"/>
          <w:highlight w:val="none"/>
        </w:rPr>
        <w:t xml:space="preserve">     </w:t>
      </w:r>
      <w:r/>
    </w:p>
    <w:p>
      <w:pPr>
        <w:spacing w:line="288" w:lineRule="auto"/>
        <w:rPr>
          <w:rFonts w:ascii="Arial"/>
          <w:color w:val="000000"/>
          <w:sz w:val="24"/>
          <w:highlight w:val="none"/>
        </w:rPr>
      </w:pPr>
      <w:r>
        <w:rPr>
          <w:rFonts w:hint="eastAsia" w:ascii="Arial"/>
          <w:color w:val="000000"/>
          <w:sz w:val="24"/>
          <w:highlight w:val="none"/>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left="5221"/>
        <w:spacing w:before="91" w:line="220" w:lineRule="auto"/>
        <w:rPr>
          <w:rFonts w:ascii="宋体" w:hAnsi="宋体" w:cs="宋体"/>
          <w:color w:val="000000"/>
          <w:sz w:val="24"/>
          <w:highlight w:val="none"/>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spacing w:line="262"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ind w:left="709"/>
        <w:spacing w:before="101" w:line="224" w:lineRule="auto"/>
        <w:rPr>
          <w:rFonts w:ascii="宋体" w:hAnsi="宋体" w:cs="宋体"/>
          <w:color w:val="000000"/>
          <w:sz w:val="24"/>
          <w:highlight w:val="none"/>
        </w:rPr>
      </w:pPr>
      <w:r>
        <w:rPr>
          <w:rFonts w:ascii="宋体" w:hAnsi="宋体" w:cs="宋体"/>
          <w:color w:val="000000"/>
          <w:spacing w:val="16"/>
          <w:sz w:val="24"/>
          <w:highlight w:val="none"/>
        </w:rPr>
        <w:t xml:space="preserve">附</w:t>
      </w:r>
      <w:r>
        <w:rPr>
          <w:rFonts w:ascii="宋体" w:hAnsi="宋体" w:cs="宋体"/>
          <w:color w:val="000000"/>
          <w:spacing w:val="9"/>
          <w:sz w:val="24"/>
          <w:highlight w:val="none"/>
        </w:rPr>
        <w:t xml:space="preserve">：</w:t>
      </w:r>
      <w:r>
        <w:rPr>
          <w:rFonts w:hint="eastAsia" w:ascii="宋体" w:hAnsi="宋体" w:cs="宋体"/>
          <w:color w:val="000000"/>
          <w:spacing w:val="8"/>
          <w:sz w:val="24"/>
          <w:highlight w:val="none"/>
        </w:rPr>
        <w:t xml:space="preserve">法定代表人</w:t>
      </w:r>
      <w:r>
        <w:rPr>
          <w:rFonts w:ascii="宋体" w:hAnsi="宋体" w:cs="宋体"/>
          <w:color w:val="000000"/>
          <w:spacing w:val="8"/>
          <w:sz w:val="24"/>
          <w:highlight w:val="none"/>
        </w:rPr>
        <w:t xml:space="preserve">居民身份证扫描件</w:t>
      </w:r>
      <w:r/>
    </w:p>
    <w:p>
      <w:pPr>
        <w:ind w:left="40" w:right="89" w:firstLine="559"/>
        <w:spacing w:before="267" w:line="412" w:lineRule="auto"/>
        <w:rPr>
          <w:rFonts w:ascii="宋体" w:hAnsi="宋体" w:cs="宋体"/>
          <w:color w:val="000000"/>
          <w:sz w:val="24"/>
          <w:highlight w:val="none"/>
        </w:rPr>
      </w:pPr>
      <w:r>
        <w:rPr>
          <w:rFonts w:ascii="宋体" w:hAnsi="宋体" w:cs="宋体"/>
          <w:color w:val="000000"/>
          <w:spacing w:val="-4"/>
          <w:sz w:val="24"/>
          <w:highlight w:val="none"/>
          <w:u w:val="single"/>
        </w:rPr>
        <w:t xml:space="preserve">注： 1.“</w:t>
      </w:r>
      <w:r>
        <w:rPr>
          <w:rFonts w:hint="eastAsia" w:ascii="宋体" w:hAnsi="宋体" w:cs="宋体"/>
          <w:color w:val="000000"/>
          <w:spacing w:val="-4"/>
          <w:sz w:val="24"/>
          <w:highlight w:val="none"/>
          <w:u w:val="single"/>
        </w:rPr>
        <w:t xml:space="preserve">法定代表人</w:t>
      </w:r>
      <w:r>
        <w:rPr>
          <w:rFonts w:ascii="宋体" w:hAnsi="宋体" w:cs="宋体"/>
          <w:color w:val="000000"/>
          <w:spacing w:val="-2"/>
          <w:sz w:val="24"/>
          <w:highlight w:val="none"/>
          <w:u w:val="single"/>
        </w:rPr>
        <w:t xml:space="preserve">”直接参加磋商响应活动的仅需填写本身份证明</w:t>
      </w:r>
      <w:r>
        <w:rPr>
          <w:rFonts w:ascii="宋体" w:hAnsi="宋体" w:cs="宋体"/>
          <w:color w:val="000000"/>
          <w:sz w:val="24"/>
          <w:highlight w:val="none"/>
        </w:rPr>
        <w:t xml:space="preserve">。</w:t>
      </w:r>
      <w:r/>
    </w:p>
    <w:p>
      <w:pPr>
        <w:ind w:left="41" w:right="38" w:firstLine="563"/>
        <w:spacing w:before="3" w:line="415" w:lineRule="auto"/>
        <w:rPr>
          <w:rFonts w:ascii="宋体" w:hAnsi="宋体" w:cs="宋体"/>
          <w:color w:val="000000"/>
          <w:sz w:val="24"/>
          <w:highlight w:val="none"/>
        </w:rPr>
      </w:pPr>
      <w:r>
        <w:rPr>
          <w:rFonts w:ascii="宋体" w:hAnsi="宋体" w:cs="宋体"/>
          <w:color w:val="000000"/>
          <w:spacing w:val="6"/>
          <w:sz w:val="24"/>
          <w:highlight w:val="none"/>
          <w:u w:val="single"/>
        </w:rPr>
        <w:t xml:space="preserve">2.</w:t>
      </w:r>
      <w:r>
        <w:rPr>
          <w:rFonts w:ascii="宋体" w:hAnsi="宋体" w:cs="宋体"/>
          <w:color w:val="000000"/>
          <w:spacing w:val="4"/>
          <w:sz w:val="24"/>
          <w:highlight w:val="none"/>
          <w:u w:val="single"/>
        </w:rPr>
        <w:t xml:space="preserve">供</w:t>
      </w:r>
      <w:r>
        <w:rPr>
          <w:rFonts w:ascii="宋体" w:hAnsi="宋体" w:cs="宋体"/>
          <w:color w:val="000000"/>
          <w:spacing w:val="3"/>
          <w:sz w:val="24"/>
          <w:highlight w:val="none"/>
          <w:u w:val="single"/>
        </w:rPr>
        <w:t xml:space="preserve">应商属于非法人组织的，按照法律、行政法规规定能够对外代表其</w:t>
      </w:r>
      <w:r>
        <w:rPr>
          <w:rFonts w:ascii="宋体" w:hAnsi="宋体" w:cs="宋体"/>
          <w:color w:val="000000"/>
          <w:spacing w:val="6"/>
          <w:sz w:val="24"/>
          <w:highlight w:val="none"/>
          <w:u w:val="single"/>
        </w:rPr>
        <w:t xml:space="preserve">从事</w:t>
      </w:r>
      <w:r>
        <w:rPr>
          <w:rFonts w:ascii="宋体" w:hAnsi="宋体" w:cs="宋体"/>
          <w:color w:val="000000"/>
          <w:spacing w:val="4"/>
          <w:sz w:val="24"/>
          <w:highlight w:val="none"/>
          <w:u w:val="single"/>
        </w:rPr>
        <w:t xml:space="preserve">民</w:t>
      </w:r>
      <w:r>
        <w:rPr>
          <w:rFonts w:ascii="宋体" w:hAnsi="宋体" w:cs="宋体"/>
          <w:color w:val="000000"/>
          <w:spacing w:val="3"/>
          <w:sz w:val="24"/>
          <w:highlight w:val="none"/>
          <w:u w:val="single"/>
        </w:rPr>
        <w:t xml:space="preserve">事活动的主要负责人，如个人独资企业的投资人，代表合伙企业执行</w:t>
      </w:r>
      <w:r>
        <w:rPr>
          <w:rFonts w:ascii="宋体" w:hAnsi="宋体" w:cs="宋体"/>
          <w:color w:val="000000"/>
          <w:spacing w:val="1"/>
          <w:sz w:val="24"/>
          <w:highlight w:val="none"/>
          <w:u w:val="single"/>
        </w:rPr>
        <w:t xml:space="preserve">合伙企业事务的合伙人等，</w:t>
      </w:r>
      <w:r>
        <w:rPr>
          <w:rFonts w:ascii="宋体" w:hAnsi="宋体" w:cs="宋体"/>
          <w:color w:val="000000"/>
          <w:sz w:val="24"/>
          <w:highlight w:val="none"/>
          <w:u w:val="single"/>
        </w:rPr>
        <w:t xml:space="preserve">视同</w:t>
      </w:r>
      <w:r>
        <w:rPr>
          <w:rFonts w:hint="eastAsia" w:ascii="宋体" w:hAnsi="宋体" w:cs="宋体"/>
          <w:color w:val="000000"/>
          <w:sz w:val="24"/>
          <w:highlight w:val="none"/>
          <w:u w:val="single"/>
        </w:rPr>
        <w:t xml:space="preserve">法定代表人</w:t>
      </w:r>
      <w:r>
        <w:rPr>
          <w:rFonts w:ascii="宋体" w:hAnsi="宋体" w:cs="宋体"/>
          <w:color w:val="000000"/>
          <w:sz w:val="24"/>
          <w:highlight w:val="none"/>
          <w:u w:val="single"/>
        </w:rPr>
        <w:t xml:space="preserve">。</w:t>
      </w:r>
      <w:r/>
    </w:p>
    <w:p>
      <w:pPr>
        <w:rPr>
          <w:color w:val="000000"/>
          <w:sz w:val="24"/>
          <w:highlight w:val="none"/>
        </w:rPr>
        <w:sectPr>
          <w:footerReference w:type="default" r:id="rId30"/>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ind w:left="2393"/>
        <w:spacing w:before="91" w:line="219" w:lineRule="auto"/>
        <w:rPr>
          <w:rFonts w:ascii="宋体" w:hAnsi="宋体" w:cs="宋体"/>
          <w:color w:val="000000"/>
          <w:sz w:val="24"/>
          <w:highlight w:val="none"/>
        </w:rPr>
        <w:outlineLvl w:val="2"/>
      </w:pPr>
      <w:r/>
      <w:bookmarkStart w:id="178" w:name="_bookmark77"/>
      <w:r/>
      <w:bookmarkEnd w:id="178"/>
      <w:r>
        <w:rPr>
          <w:rFonts w:ascii="宋体" w:hAnsi="宋体" w:cs="宋体"/>
          <w:color w:val="000000"/>
          <w:spacing w:val="8"/>
          <w:sz w:val="24"/>
          <w:highlight w:val="none"/>
        </w:rPr>
        <w:t xml:space="preserve">(</w:t>
      </w:r>
      <w:r>
        <w:rPr>
          <w:rFonts w:ascii="宋体" w:hAnsi="宋体" w:cs="宋体"/>
          <w:color w:val="000000"/>
          <w:spacing w:val="4"/>
          <w:sz w:val="24"/>
          <w:highlight w:val="none"/>
        </w:rPr>
        <w:t xml:space="preserve">十)</w:t>
      </w:r>
      <w:r>
        <w:rPr>
          <w:rFonts w:hint="eastAsia" w:ascii="宋体" w:hAnsi="宋体" w:cs="宋体"/>
          <w:color w:val="000000"/>
          <w:spacing w:val="4"/>
          <w:sz w:val="24"/>
          <w:highlight w:val="none"/>
        </w:rPr>
        <w:t xml:space="preserve">法定代表人</w:t>
      </w:r>
      <w:r>
        <w:rPr>
          <w:rFonts w:ascii="宋体" w:hAnsi="宋体" w:cs="宋体"/>
          <w:color w:val="000000"/>
          <w:spacing w:val="4"/>
          <w:sz w:val="24"/>
          <w:highlight w:val="none"/>
        </w:rPr>
        <w:t xml:space="preserve">授权委托书</w:t>
      </w:r>
      <w:r/>
    </w:p>
    <w:p>
      <w:pPr>
        <w:ind w:left="39" w:right="107" w:firstLine="561"/>
        <w:spacing w:before="294" w:line="414" w:lineRule="auto"/>
        <w:tabs>
          <w:tab w:val="left" w:pos="8400" w:leader="none"/>
        </w:tabs>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w:t>
      </w:r>
      <w:r>
        <w:rPr>
          <w:rFonts w:hint="eastAsia" w:ascii="宋体" w:hAnsi="宋体" w:cs="宋体"/>
          <w:color w:val="000000"/>
          <w:spacing w:val="-1"/>
          <w:sz w:val="24"/>
          <w:highlight w:val="none"/>
        </w:rPr>
        <w:t xml:space="preserve">法定代表人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(代理机构) 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rPr>
        <w:t xml:space="preserve">磋商</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w:t>
      </w:r>
      <w:r>
        <w:rPr>
          <w:rFonts w:hint="eastAsia" w:ascii="宋体" w:hAnsi="宋体" w:cs="宋体"/>
          <w:color w:val="000000"/>
          <w:spacing w:val="4"/>
          <w:sz w:val="24"/>
          <w:highlight w:val="none"/>
        </w:rPr>
        <w:t xml:space="preserve">磋商</w:t>
      </w:r>
      <w:r>
        <w:rPr>
          <w:rFonts w:ascii="宋体" w:hAnsi="宋体" w:cs="宋体"/>
          <w:color w:val="000000"/>
          <w:spacing w:val="4"/>
          <w:sz w:val="24"/>
          <w:highlight w:val="none"/>
        </w:rPr>
        <w:t xml:space="preserve">有关的事务(含合同签订)。</w:t>
      </w:r>
      <w:bookmarkStart w:id="192" w:name="_GoBack"/>
      <w:r/>
      <w:bookmarkEnd w:id="192"/>
      <w:r/>
      <w:r/>
    </w:p>
    <w:p>
      <w:pPr>
        <w:ind w:left="41" w:firstLine="43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hint="eastAsia" w:ascii="宋体" w:hAnsi="宋体" w:cs="宋体"/>
          <w:color w:val="000000"/>
          <w:spacing w:val="-3"/>
          <w:sz w:val="24"/>
          <w:highlight w:val="none"/>
        </w:rPr>
        <w:t xml:space="preserve">法定代表人</w:t>
      </w:r>
      <w:r>
        <w:rPr>
          <w:rFonts w:ascii="宋体" w:hAnsi="宋体" w:cs="宋体"/>
          <w:color w:val="000000"/>
          <w:spacing w:val="-3"/>
          <w:sz w:val="24"/>
          <w:highlight w:val="none"/>
        </w:rPr>
        <w:t xml:space="preserve">签章：</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49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49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49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附：委托代理人居民身份证扫描件</w:t>
      </w:r>
      <w:r/>
    </w:p>
    <w:p>
      <w:pPr>
        <w:ind w:left="40"/>
        <w:spacing w:before="269" w:line="360" w:lineRule="auto"/>
        <w:rPr>
          <w:rFonts w:ascii="宋体" w:hAnsi="宋体" w:cs="宋体"/>
          <w:color w:val="000000"/>
          <w:sz w:val="24"/>
          <w:highlight w:val="none"/>
        </w:rPr>
      </w:pPr>
      <w:r>
        <w:rPr>
          <w:rFonts w:ascii="宋体" w:hAnsi="宋体" w:cs="宋体"/>
          <w:b/>
          <w:bCs/>
          <w:color w:val="000000"/>
          <w:spacing w:val="-4"/>
          <w:sz w:val="24"/>
          <w:highlight w:val="none"/>
          <w:u w:val="single"/>
        </w:rPr>
        <w:t xml:space="preserve">注：“</w:t>
      </w:r>
      <w:r>
        <w:rPr>
          <w:rFonts w:hint="eastAsia" w:ascii="宋体" w:hAnsi="宋体" w:cs="宋体"/>
          <w:b/>
          <w:bCs/>
          <w:color w:val="000000"/>
          <w:spacing w:val="-4"/>
          <w:sz w:val="24"/>
          <w:highlight w:val="none"/>
          <w:u w:val="single"/>
        </w:rPr>
        <w:t xml:space="preserve">法定代表人</w:t>
      </w:r>
      <w:r>
        <w:rPr>
          <w:rFonts w:ascii="宋体" w:hAnsi="宋体" w:cs="宋体"/>
          <w:b/>
          <w:bCs/>
          <w:color w:val="000000"/>
          <w:spacing w:val="-4"/>
          <w:sz w:val="24"/>
          <w:highlight w:val="none"/>
          <w:u w:val="single"/>
        </w:rPr>
        <w:t xml:space="preserve"> ”授权委托其他人</w:t>
      </w:r>
      <w:r>
        <w:rPr>
          <w:rFonts w:ascii="宋体" w:hAnsi="宋体" w:cs="宋体"/>
          <w:b/>
          <w:bCs/>
          <w:color w:val="000000"/>
          <w:spacing w:val="-5"/>
          <w:sz w:val="24"/>
          <w:highlight w:val="none"/>
          <w:u w:val="single"/>
        </w:rPr>
        <w:t xml:space="preserve">磋商的，须填写</w:t>
      </w:r>
      <w:r>
        <w:rPr>
          <w:rFonts w:hint="eastAsia" w:ascii="宋体" w:hAnsi="宋体" w:cs="宋体"/>
          <w:b/>
          <w:bCs/>
          <w:color w:val="000000"/>
          <w:spacing w:val="-5"/>
          <w:sz w:val="24"/>
          <w:highlight w:val="none"/>
          <w:u w:val="single"/>
        </w:rPr>
        <w:t xml:space="preserve">法定代表人</w:t>
      </w:r>
      <w:r>
        <w:rPr>
          <w:rFonts w:ascii="宋体" w:hAnsi="宋体" w:cs="宋体"/>
          <w:b/>
          <w:bCs/>
          <w:color w:val="000000"/>
          <w:spacing w:val="-5"/>
          <w:sz w:val="24"/>
          <w:highlight w:val="none"/>
          <w:u w:val="single"/>
        </w:rPr>
        <w:t xml:space="preserve">身份证</w:t>
      </w:r>
      <w:r>
        <w:rPr>
          <w:rFonts w:ascii="宋体" w:hAnsi="宋体" w:cs="宋体"/>
          <w:b/>
          <w:bCs/>
          <w:color w:val="000000"/>
          <w:spacing w:val="-6"/>
          <w:sz w:val="24"/>
          <w:highlight w:val="none"/>
          <w:u w:val="single"/>
        </w:rPr>
        <w:t xml:space="preserve">明书</w:t>
      </w:r>
      <w:r>
        <w:rPr>
          <w:rFonts w:ascii="宋体" w:hAnsi="宋体" w:cs="宋体"/>
          <w:b/>
          <w:bCs/>
          <w:color w:val="000000"/>
          <w:spacing w:val="-5"/>
          <w:sz w:val="24"/>
          <w:highlight w:val="none"/>
          <w:u w:val="single"/>
        </w:rPr>
        <w:t xml:space="preserve">和</w:t>
      </w:r>
      <w:r>
        <w:rPr>
          <w:rFonts w:ascii="宋体" w:hAnsi="宋体" w:cs="宋体"/>
          <w:b/>
          <w:bCs/>
          <w:color w:val="000000"/>
          <w:spacing w:val="-3"/>
          <w:sz w:val="24"/>
          <w:highlight w:val="none"/>
          <w:u w:val="single"/>
        </w:rPr>
        <w:t xml:space="preserve">本授权委托书</w:t>
      </w:r>
      <w:r>
        <w:rPr>
          <w:rFonts w:hint="eastAsia" w:ascii="宋体" w:hAnsi="宋体" w:cs="宋体"/>
          <w:b/>
          <w:bCs/>
          <w:color w:val="000000"/>
          <w:spacing w:val="-3"/>
          <w:sz w:val="24"/>
          <w:highlight w:val="none"/>
          <w:u w:val="single"/>
        </w:rPr>
        <w:t xml:space="preserve">，否则投标无效</w:t>
      </w:r>
      <w:r>
        <w:rPr>
          <w:rFonts w:ascii="宋体" w:hAnsi="宋体" w:cs="宋体"/>
          <w:color w:val="000000"/>
          <w:spacing w:val="-3"/>
          <w:sz w:val="24"/>
          <w:highlight w:val="none"/>
        </w:rPr>
        <w:t xml:space="preserve">。</w:t>
      </w:r>
      <w:r/>
    </w:p>
    <w:p>
      <w:pPr>
        <w:rPr>
          <w:color w:val="000000"/>
          <w:sz w:val="24"/>
          <w:highlight w:val="none"/>
        </w:rPr>
        <w:sectPr>
          <w:footerReference w:type="default" r:id="rId31"/>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pacing w:val="8"/>
          <w:sz w:val="24"/>
          <w:highlight w:val="none"/>
        </w:rPr>
        <w:outlineLvl w:val="1"/>
      </w:pPr>
      <w:r>
        <w:rPr>
          <w:rFonts w:hint="eastAsia" w:ascii="宋体" w:hAnsi="宋体" w:cs="宋体"/>
          <w:color w:val="000000"/>
          <w:spacing w:val="8"/>
          <w:sz w:val="24"/>
          <w:highlight w:val="none"/>
        </w:rPr>
        <w:t xml:space="preserve">（十一）</w:t>
      </w:r>
      <w:r>
        <w:rPr>
          <w:rFonts w:ascii="宋体" w:hAnsi="宋体" w:cs="宋体"/>
          <w:color w:val="000000"/>
          <w:spacing w:val="8"/>
          <w:sz w:val="24"/>
          <w:highlight w:val="none"/>
        </w:rPr>
        <w:t xml:space="preserve">资格承诺函</w:t>
      </w:r>
      <w:r/>
    </w:p>
    <w:p>
      <w:pPr>
        <w:pStyle w:val="1770"/>
        <w:jc w:val="center"/>
        <w:spacing w:line="560" w:lineRule="atLeas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致：</w:t>
      </w:r>
      <w:r>
        <w:rPr>
          <w:rFonts w:ascii="宋体" w:hAnsi="宋体" w:cs="宋体"/>
          <w:sz w:val="24"/>
          <w:szCs w:val="24"/>
          <w:highlight w:val="none"/>
          <w:u w:val="single"/>
        </w:rPr>
        <w:t xml:space="preserve">_</w:t>
      </w:r>
      <w:r>
        <w:rPr>
          <w:rFonts w:hint="eastAsia" w:ascii="宋体" w:hAnsi="宋体" w:cs="宋体"/>
          <w:sz w:val="24"/>
          <w:szCs w:val="24"/>
          <w:highlight w:val="none"/>
          <w:u w:val="single"/>
        </w:rPr>
        <w:t xml:space="preserve">（采购人、采购代理机构） </w:t>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我单位参与</w:t>
      </w:r>
      <w:r>
        <w:rPr>
          <w:rFonts w:hint="eastAsia" w:ascii="宋体" w:hAnsi="宋体" w:cs="宋体"/>
          <w:sz w:val="24"/>
          <w:szCs w:val="24"/>
          <w:highlight w:val="none"/>
          <w:u w:val="single"/>
        </w:rPr>
        <w:t xml:space="preserve">_（项目名称）、（项目编号）</w:t>
      </w:r>
      <w:r>
        <w:rPr>
          <w:rFonts w:hint="eastAsia" w:ascii="宋体" w:hAnsi="宋体" w:cs="宋体"/>
          <w:sz w:val="24"/>
          <w:szCs w:val="24"/>
          <w:highlight w:val="none"/>
        </w:rPr>
        <w:t xml:space="preserve">项目的政府采购活动，现承诺如下：</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.我方具有良好的商业信誉和健全的财务会计制度。</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.我方具有履行合同所必需的设备和专业技术能力。</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.我方具有依法缴纳税收和社会保障资金的良好记录。</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sz w:val="24"/>
          <w:szCs w:val="24"/>
          <w:highlight w:val="none"/>
        </w:rPr>
        <w:t xml:space="preserve">我方参加本项目采购活动前三年内，在经营活动中没有重大违法记录。</w:t>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若我单位承诺不实，自愿承担提供虚假材料谋取中标、成交的法律责任。</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投标（响应）供应商（全称并盖章）：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供应商法定代表人或授权代表（签字或签章）：</w:t>
      </w:r>
      <w:r>
        <w:rPr>
          <w:rFonts w:hint="eastAsia" w:ascii="宋体" w:hAnsi="宋体" w:cs="宋体"/>
          <w:sz w:val="24"/>
          <w:szCs w:val="24"/>
          <w:highlight w:val="none"/>
          <w:u w:val="single"/>
        </w:rPr>
        <w:t xml:space="preserve">            </w:t>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7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7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说明：1.供应商可自行选择是否提供本承诺函，若不提供本承诺函的，应按磋商文件要求提供相应的证明材料。</w:t>
      </w:r>
      <w:r/>
    </w:p>
    <w:p>
      <w:pPr>
        <w:pStyle w:val="1770"/>
        <w:ind w:firstLine="60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2.供应商可删减承诺事项，删减的承诺事项须按磋商文件要求提供相应的证明材料。比如删去本承诺函第</w:t>
      </w:r>
      <w:r>
        <w:rPr>
          <w:rFonts w:ascii="宋体" w:hAnsi="宋体" w:cs="宋体"/>
          <w:sz w:val="24"/>
          <w:szCs w:val="24"/>
          <w:highlight w:val="none"/>
        </w:rPr>
        <w:t xml:space="preserve">3</w:t>
      </w:r>
      <w:r>
        <w:rPr>
          <w:rFonts w:hint="eastAsia" w:ascii="宋体" w:hAnsi="宋体" w:cs="宋体"/>
          <w:sz w:val="24"/>
          <w:szCs w:val="24"/>
          <w:highlight w:val="none"/>
        </w:rPr>
        <w:t xml:space="preserve">项的，则应按磋商文件要求提供依法缴纳税收和社会保障资金的良好记录。</w:t>
      </w:r>
      <w:r/>
    </w:p>
    <w:p>
      <w:pPr>
        <w:rPr>
          <w:color w:val="000000"/>
          <w:sz w:val="24"/>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101" w:line="225" w:lineRule="auto"/>
        <w:rPr>
          <w:rFonts w:ascii="宋体" w:hAnsi="宋体" w:cs="宋体"/>
          <w:color w:val="000000"/>
          <w:spacing w:val="6"/>
          <w:sz w:val="24"/>
          <w:highlight w:val="none"/>
        </w:rPr>
        <w:outlineLvl w:val="1"/>
      </w:pPr>
      <w:r/>
      <w:bookmarkStart w:id="179" w:name="_bookmark78"/>
      <w:r/>
      <w:bookmarkEnd w:id="179"/>
      <w:r>
        <w:rPr>
          <w:rFonts w:hint="eastAsia" w:ascii="宋体" w:hAnsi="宋体" w:cs="宋体"/>
          <w:color w:val="000000"/>
          <w:spacing w:val="6"/>
          <w:sz w:val="24"/>
          <w:highlight w:val="none"/>
        </w:rPr>
        <w:t xml:space="preserve">二、</w:t>
      </w:r>
      <w:r>
        <w:rPr>
          <w:rFonts w:ascii="宋体" w:hAnsi="宋体" w:cs="宋体"/>
          <w:color w:val="000000"/>
          <w:spacing w:val="6"/>
          <w:sz w:val="24"/>
          <w:highlight w:val="none"/>
        </w:rPr>
        <w:t xml:space="preserve">技术部分</w:t>
      </w:r>
      <w:r/>
    </w:p>
    <w:p>
      <w:pPr>
        <w:rPr>
          <w:color w:val="000000"/>
          <w:sz w:val="24"/>
          <w:highlight w:val="none"/>
        </w:rPr>
      </w:pPr>
      <w:r/>
      <w:bookmarkStart w:id="180" w:name="_bookmark79"/>
      <w:r/>
      <w:bookmarkEnd w:id="180"/>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（一）技术方案</w:t>
      </w:r>
      <w:r/>
    </w:p>
    <w:p>
      <w:pPr>
        <w:jc w:val="center"/>
        <w:rPr>
          <w:rFonts w:ascii="宋体" w:hAnsi="宋体" w:cs="宋体"/>
          <w:color w:val="000000"/>
          <w:sz w:val="24"/>
          <w:highlight w:val="none"/>
        </w:rPr>
      </w:pPr>
      <w:r>
        <w:rPr>
          <w:rFonts w:ascii="宋体" w:hAnsi="宋体" w:cs="宋体"/>
          <w:color w:val="000000"/>
          <w:sz w:val="24"/>
          <w:highlight w:val="none"/>
        </w:rPr>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技术部分对应评分标准“技术部分”，依次详述，格式自拟</w:t>
      </w:r>
      <w:r/>
    </w:p>
    <w:p>
      <w:pPr>
        <w:jc w:val="cente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br w:type="page" w:clear="all"/>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(二)技术响应及偏离表</w:t>
      </w:r>
      <w:r/>
    </w:p>
    <w:p>
      <w:pPr>
        <w:jc w:val="center"/>
        <w:spacing w:line="360" w:lineRule="auto"/>
        <w:rPr>
          <w:rFonts w:ascii="宋体" w:hAnsi="宋体" w:cs="宋体"/>
          <w:color w:val="000000"/>
          <w:sz w:val="24"/>
          <w:highlight w:val="none"/>
        </w:rPr>
      </w:pPr>
      <w:r/>
      <w:bookmarkStart w:id="181" w:name="_bookmark80"/>
      <w:r/>
      <w:bookmarkEnd w:id="181"/>
      <w:r/>
      <w:r/>
    </w:p>
    <w:tbl>
      <w:tblPr>
        <w:tblStyle w:val="1476"/>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color w:val="000000"/>
                <w:highlight w:val="none"/>
              </w:rPr>
            </w:pPr>
            <w:r>
              <w:rPr>
                <w:rFonts w:hint="eastAsia"/>
                <w:color w:val="000000"/>
                <w:highlight w:val="none"/>
              </w:rPr>
              <w:t xml:space="preserve">序号</w:t>
            </w:r>
            <w:r/>
          </w:p>
        </w:tc>
        <w:tc>
          <w:tcPr>
            <w:tcW w:w="848" w:type="dxa"/>
            <w:vAlign w:val="center"/>
            <w:textDirection w:val="lrTb"/>
            <w:noWrap w:val="false"/>
          </w:tcPr>
          <w:p>
            <w:pPr>
              <w:jc w:val="center"/>
              <w:rPr>
                <w:color w:val="000000"/>
                <w:highlight w:val="none"/>
              </w:rPr>
            </w:pPr>
            <w:r>
              <w:rPr>
                <w:rFonts w:hint="eastAsia"/>
                <w:color w:val="000000"/>
                <w:highlight w:val="none"/>
              </w:rPr>
              <w:t xml:space="preserve">名称</w:t>
            </w:r>
            <w:r/>
          </w:p>
        </w:tc>
        <w:tc>
          <w:tcPr>
            <w:tcW w:w="1004" w:type="dxa"/>
            <w:vAlign w:val="center"/>
            <w:textDirection w:val="lrTb"/>
            <w:noWrap w:val="false"/>
          </w:tcPr>
          <w:p>
            <w:pPr>
              <w:jc w:val="center"/>
              <w:rPr>
                <w:color w:val="000000"/>
                <w:highlight w:val="none"/>
              </w:rPr>
            </w:pPr>
            <w:r>
              <w:rPr>
                <w:rFonts w:hint="eastAsia"/>
                <w:color w:val="000000"/>
                <w:highlight w:val="none"/>
              </w:rPr>
              <w:t xml:space="preserve">磋商文件要求</w:t>
            </w:r>
            <w:r/>
          </w:p>
        </w:tc>
        <w:tc>
          <w:tcPr>
            <w:tcW w:w="1439" w:type="dxa"/>
            <w:vAlign w:val="center"/>
            <w:textDirection w:val="lrTb"/>
            <w:noWrap w:val="false"/>
          </w:tcPr>
          <w:p>
            <w:pPr>
              <w:jc w:val="center"/>
              <w:rPr>
                <w:color w:val="000000"/>
                <w:highlight w:val="none"/>
              </w:rPr>
            </w:pPr>
            <w:r>
              <w:rPr>
                <w:rFonts w:hint="eastAsia"/>
                <w:color w:val="000000"/>
                <w:highlight w:val="none"/>
              </w:rPr>
              <w:t xml:space="preserve">响应参数</w:t>
            </w:r>
            <w:r/>
          </w:p>
        </w:tc>
        <w:tc>
          <w:tcPr>
            <w:tcW w:w="1558" w:type="dxa"/>
            <w:vAlign w:val="center"/>
            <w:textDirection w:val="lrTb"/>
            <w:noWrap w:val="false"/>
          </w:tcPr>
          <w:p>
            <w:pPr>
              <w:jc w:val="center"/>
              <w:rPr>
                <w:color w:val="000000"/>
                <w:highlight w:val="none"/>
              </w:rPr>
            </w:pPr>
            <w:r>
              <w:rPr>
                <w:rFonts w:hint="eastAsia"/>
                <w:color w:val="000000"/>
                <w:highlight w:val="none"/>
              </w:rPr>
              <w:t xml:space="preserve">偏离情况(正偏离/无偏离/负偏离)</w:t>
            </w:r>
            <w:r/>
          </w:p>
        </w:tc>
        <w:tc>
          <w:tcPr>
            <w:tcW w:w="2206" w:type="dxa"/>
            <w:vAlign w:val="center"/>
            <w:textDirection w:val="lrTb"/>
            <w:noWrap w:val="false"/>
          </w:tcPr>
          <w:p>
            <w:pPr>
              <w:jc w:val="center"/>
              <w:rPr>
                <w:color w:val="000000"/>
                <w:highlight w:val="none"/>
              </w:rPr>
            </w:pPr>
            <w:r>
              <w:rPr>
                <w:rFonts w:hint="eastAsia"/>
                <w:color w:val="000000"/>
                <w:highlight w:val="none"/>
              </w:rPr>
              <w:t xml:space="preserve">备注(证明材料位置)</w:t>
            </w:r>
            <w:r/>
          </w:p>
        </w:tc>
      </w:tr>
      <w:tr>
        <w:trPr>
          <w:jc w:val="center"/>
          <w:trHeight w:val="416"/>
        </w:trPr>
        <w:tc>
          <w:tcPr>
            <w:tcW w:w="765" w:type="dxa"/>
            <w:vAlign w:val="center"/>
            <w:vMerge w:val="restart"/>
            <w:textDirection w:val="lrTb"/>
            <w:noWrap w:val="false"/>
          </w:tcPr>
          <w:p>
            <w:pPr>
              <w:jc w:val="center"/>
              <w:rPr>
                <w:color w:val="000000"/>
                <w:highlight w:val="none"/>
              </w:rPr>
            </w:pPr>
            <w:r>
              <w:rPr>
                <w:rFonts w:hint="eastAsia"/>
                <w:color w:val="000000"/>
                <w:highlight w:val="none"/>
              </w:rPr>
              <w:t xml:space="preserve">1</w:t>
            </w:r>
            <w:r/>
          </w:p>
        </w:tc>
        <w:tc>
          <w:tcPr>
            <w:tcW w:w="848" w:type="dxa"/>
            <w:vAlign w:val="center"/>
            <w:vMerge w:val="restart"/>
            <w:textDirection w:val="lrTb"/>
            <w:noWrap w:val="false"/>
          </w:tcPr>
          <w:p>
            <w:pPr>
              <w:jc w:val="center"/>
              <w:rPr>
                <w:color w:val="000000"/>
                <w:highlight w:val="none"/>
              </w:rPr>
            </w:pPr>
            <w:r>
              <w:rPr>
                <w:color w:val="000000"/>
                <w:highlight w:val="none"/>
              </w:rPr>
            </w:r>
            <w:r/>
          </w:p>
        </w:tc>
        <w:tc>
          <w:tcPr>
            <w:tcW w:w="1004" w:type="dxa"/>
            <w:vAlign w:val="center"/>
            <w:textDirection w:val="lrTb"/>
            <w:noWrap w:val="false"/>
          </w:tcPr>
          <w:p>
            <w:pPr>
              <w:jc w:val="center"/>
              <w:rPr>
                <w:color w:val="000000"/>
                <w:highlight w:val="none"/>
              </w:rPr>
            </w:pPr>
            <w:r>
              <w:rPr>
                <w:color w:val="000000"/>
                <w:highlight w:val="none"/>
              </w:rPr>
            </w:r>
            <w:r/>
          </w:p>
        </w:tc>
        <w:tc>
          <w:tcPr>
            <w:tcW w:w="1439" w:type="dxa"/>
            <w:vAlign w:val="center"/>
            <w:textDirection w:val="lrTb"/>
            <w:noWrap w:val="false"/>
          </w:tcPr>
          <w:p>
            <w:pPr>
              <w:jc w:val="center"/>
              <w:rPr>
                <w:color w:val="000000"/>
                <w:highlight w:val="none"/>
              </w:rPr>
            </w:pPr>
            <w:r>
              <w:rPr>
                <w:color w:val="000000"/>
                <w:highlight w:val="none"/>
              </w:rPr>
            </w:r>
            <w:r/>
          </w:p>
        </w:tc>
        <w:tc>
          <w:tcPr>
            <w:tcW w:w="1558" w:type="dxa"/>
            <w:vAlign w:val="center"/>
            <w:textDirection w:val="lrTb"/>
            <w:noWrap w:val="false"/>
          </w:tcPr>
          <w:p>
            <w:pPr>
              <w:jc w:val="center"/>
              <w:rPr>
                <w:color w:val="000000"/>
                <w:highlight w:val="none"/>
              </w:rPr>
            </w:pPr>
            <w:r>
              <w:rPr>
                <w:color w:val="000000"/>
                <w:highlight w:val="none"/>
              </w:rPr>
            </w:r>
            <w:r/>
          </w:p>
        </w:tc>
        <w:tc>
          <w:tcPr>
            <w:tcW w:w="2206" w:type="dxa"/>
            <w:vAlign w:val="center"/>
            <w:textDirection w:val="lrTb"/>
            <w:noWrap w:val="false"/>
          </w:tcPr>
          <w:p>
            <w:pPr>
              <w:jc w:val="center"/>
              <w:rPr>
                <w:color w:val="000000"/>
                <w:highlight w:val="none"/>
              </w:rPr>
            </w:pPr>
            <w:r>
              <w:rPr>
                <w:color w:val="000000"/>
                <w:highlight w:val="none"/>
              </w:rPr>
            </w:r>
            <w:r/>
          </w:p>
        </w:tc>
      </w:tr>
      <w:tr>
        <w:trPr>
          <w:jc w:val="center"/>
          <w:trHeight w:val="418"/>
        </w:trPr>
        <w:tc>
          <w:tcPr>
            <w:tcW w:w="765" w:type="dxa"/>
            <w:vAlign w:val="center"/>
            <w:vMerge w:val="continue"/>
            <w:textDirection w:val="lrTb"/>
            <w:noWrap w:val="false"/>
          </w:tcPr>
          <w:p>
            <w:pPr>
              <w:jc w:val="center"/>
              <w:rPr>
                <w:color w:val="000000"/>
                <w:highlight w:val="none"/>
              </w:rPr>
            </w:pPr>
            <w:r>
              <w:rPr>
                <w:color w:val="000000"/>
                <w:highlight w:val="none"/>
              </w:rPr>
            </w:r>
            <w:r/>
          </w:p>
        </w:tc>
        <w:tc>
          <w:tcPr>
            <w:tcW w:w="848" w:type="dxa"/>
            <w:vAlign w:val="center"/>
            <w:vMerge w:val="continue"/>
            <w:textDirection w:val="lrTb"/>
            <w:noWrap w:val="false"/>
          </w:tcPr>
          <w:p>
            <w:pPr>
              <w:jc w:val="center"/>
              <w:rPr>
                <w:color w:val="000000"/>
                <w:highlight w:val="none"/>
              </w:rPr>
            </w:pPr>
            <w:r>
              <w:rPr>
                <w:color w:val="000000"/>
                <w:highlight w:val="none"/>
              </w:rPr>
            </w:r>
            <w:r/>
          </w:p>
        </w:tc>
        <w:tc>
          <w:tcPr>
            <w:tcW w:w="1004" w:type="dxa"/>
            <w:vAlign w:val="center"/>
            <w:textDirection w:val="lrTb"/>
            <w:noWrap w:val="false"/>
          </w:tcPr>
          <w:p>
            <w:pPr>
              <w:jc w:val="center"/>
              <w:rPr>
                <w:color w:val="000000"/>
                <w:highlight w:val="none"/>
              </w:rPr>
            </w:pPr>
            <w:r>
              <w:rPr>
                <w:color w:val="000000"/>
                <w:highlight w:val="none"/>
              </w:rPr>
            </w:r>
            <w:r/>
          </w:p>
        </w:tc>
        <w:tc>
          <w:tcPr>
            <w:tcW w:w="1439" w:type="dxa"/>
            <w:vAlign w:val="center"/>
            <w:textDirection w:val="lrTb"/>
            <w:noWrap w:val="false"/>
          </w:tcPr>
          <w:p>
            <w:pPr>
              <w:jc w:val="center"/>
              <w:rPr>
                <w:color w:val="000000"/>
                <w:highlight w:val="none"/>
              </w:rPr>
            </w:pPr>
            <w:r>
              <w:rPr>
                <w:color w:val="000000"/>
                <w:highlight w:val="none"/>
              </w:rPr>
            </w:r>
            <w:r/>
          </w:p>
        </w:tc>
        <w:tc>
          <w:tcPr>
            <w:tcW w:w="1558" w:type="dxa"/>
            <w:vAlign w:val="center"/>
            <w:textDirection w:val="lrTb"/>
            <w:noWrap w:val="false"/>
          </w:tcPr>
          <w:p>
            <w:pPr>
              <w:jc w:val="center"/>
              <w:rPr>
                <w:color w:val="000000"/>
                <w:highlight w:val="none"/>
              </w:rPr>
            </w:pPr>
            <w:r>
              <w:rPr>
                <w:color w:val="000000"/>
                <w:highlight w:val="none"/>
              </w:rPr>
            </w:r>
            <w:r/>
          </w:p>
        </w:tc>
        <w:tc>
          <w:tcPr>
            <w:tcW w:w="2206" w:type="dxa"/>
            <w:vAlign w:val="center"/>
            <w:textDirection w:val="lrTb"/>
            <w:noWrap w:val="false"/>
          </w:tcPr>
          <w:p>
            <w:pPr>
              <w:jc w:val="center"/>
              <w:rPr>
                <w:color w:val="000000"/>
                <w:highlight w:val="none"/>
              </w:rPr>
            </w:pPr>
            <w:r>
              <w:rPr>
                <w:color w:val="000000"/>
                <w:highlight w:val="none"/>
              </w:rPr>
            </w:r>
            <w:r/>
          </w:p>
        </w:tc>
      </w:tr>
      <w:tr>
        <w:trPr>
          <w:jc w:val="center"/>
          <w:trHeight w:val="420"/>
        </w:trPr>
        <w:tc>
          <w:tcPr>
            <w:tcW w:w="765" w:type="dxa"/>
            <w:vAlign w:val="center"/>
            <w:vMerge w:val="continue"/>
            <w:textDirection w:val="lrTb"/>
            <w:noWrap w:val="false"/>
          </w:tcPr>
          <w:p>
            <w:pPr>
              <w:jc w:val="center"/>
              <w:rPr>
                <w:color w:val="000000"/>
                <w:highlight w:val="none"/>
              </w:rPr>
            </w:pPr>
            <w:r>
              <w:rPr>
                <w:color w:val="000000"/>
                <w:highlight w:val="none"/>
              </w:rPr>
            </w:r>
            <w:r/>
          </w:p>
        </w:tc>
        <w:tc>
          <w:tcPr>
            <w:tcW w:w="848" w:type="dxa"/>
            <w:vAlign w:val="center"/>
            <w:vMerge w:val="continue"/>
            <w:textDirection w:val="lrTb"/>
            <w:noWrap w:val="false"/>
          </w:tcPr>
          <w:p>
            <w:pPr>
              <w:jc w:val="center"/>
              <w:rPr>
                <w:color w:val="000000"/>
                <w:highlight w:val="none"/>
              </w:rPr>
            </w:pPr>
            <w:r>
              <w:rPr>
                <w:color w:val="000000"/>
                <w:highlight w:val="none"/>
              </w:rPr>
            </w:r>
            <w:r/>
          </w:p>
        </w:tc>
        <w:tc>
          <w:tcPr>
            <w:tcW w:w="1004" w:type="dxa"/>
            <w:vAlign w:val="center"/>
            <w:textDirection w:val="lrTb"/>
            <w:noWrap w:val="false"/>
          </w:tcPr>
          <w:p>
            <w:pPr>
              <w:jc w:val="center"/>
              <w:rPr>
                <w:color w:val="000000"/>
                <w:highlight w:val="none"/>
              </w:rPr>
            </w:pPr>
            <w:r>
              <w:rPr>
                <w:color w:val="000000"/>
                <w:highlight w:val="none"/>
              </w:rPr>
            </w:r>
            <w:r/>
          </w:p>
        </w:tc>
        <w:tc>
          <w:tcPr>
            <w:tcW w:w="1439" w:type="dxa"/>
            <w:vAlign w:val="center"/>
            <w:textDirection w:val="lrTb"/>
            <w:noWrap w:val="false"/>
          </w:tcPr>
          <w:p>
            <w:pPr>
              <w:jc w:val="center"/>
              <w:rPr>
                <w:color w:val="000000"/>
                <w:highlight w:val="none"/>
              </w:rPr>
            </w:pPr>
            <w:r>
              <w:rPr>
                <w:color w:val="000000"/>
                <w:highlight w:val="none"/>
              </w:rPr>
            </w:r>
            <w:r/>
          </w:p>
        </w:tc>
        <w:tc>
          <w:tcPr>
            <w:tcW w:w="1558" w:type="dxa"/>
            <w:vAlign w:val="center"/>
            <w:textDirection w:val="lrTb"/>
            <w:noWrap w:val="false"/>
          </w:tcPr>
          <w:p>
            <w:pPr>
              <w:jc w:val="center"/>
              <w:rPr>
                <w:color w:val="000000"/>
                <w:highlight w:val="none"/>
              </w:rPr>
            </w:pPr>
            <w:r>
              <w:rPr>
                <w:color w:val="000000"/>
                <w:highlight w:val="none"/>
              </w:rPr>
            </w:r>
            <w:r/>
          </w:p>
        </w:tc>
        <w:tc>
          <w:tcPr>
            <w:tcW w:w="2206" w:type="dxa"/>
            <w:vAlign w:val="center"/>
            <w:textDirection w:val="lrTb"/>
            <w:noWrap w:val="false"/>
          </w:tcPr>
          <w:p>
            <w:pPr>
              <w:jc w:val="center"/>
              <w:rPr>
                <w:color w:val="000000"/>
                <w:highlight w:val="none"/>
              </w:rPr>
            </w:pPr>
            <w:r>
              <w:rPr>
                <w:color w:val="000000"/>
                <w:highlight w:val="none"/>
              </w:rPr>
            </w:r>
            <w:r/>
          </w:p>
        </w:tc>
      </w:tr>
      <w:tr>
        <w:trPr>
          <w:jc w:val="center"/>
          <w:trHeight w:val="416"/>
        </w:trPr>
        <w:tc>
          <w:tcPr>
            <w:tcW w:w="765" w:type="dxa"/>
            <w:vAlign w:val="center"/>
            <w:vMerge w:val="restart"/>
            <w:textDirection w:val="lrTb"/>
            <w:noWrap w:val="false"/>
          </w:tcPr>
          <w:p>
            <w:pPr>
              <w:jc w:val="center"/>
              <w:rPr>
                <w:color w:val="000000"/>
                <w:highlight w:val="none"/>
              </w:rPr>
            </w:pPr>
            <w:r>
              <w:rPr>
                <w:rFonts w:hint="eastAsia"/>
                <w:color w:val="000000"/>
                <w:highlight w:val="none"/>
              </w:rPr>
              <w:t xml:space="preserve">2</w:t>
            </w:r>
            <w:r/>
          </w:p>
        </w:tc>
        <w:tc>
          <w:tcPr>
            <w:tcW w:w="848" w:type="dxa"/>
            <w:vAlign w:val="center"/>
            <w:vMerge w:val="restart"/>
            <w:textDirection w:val="lrTb"/>
            <w:noWrap w:val="false"/>
          </w:tcPr>
          <w:p>
            <w:pPr>
              <w:jc w:val="center"/>
              <w:rPr>
                <w:color w:val="000000"/>
                <w:highlight w:val="none"/>
              </w:rPr>
            </w:pPr>
            <w:r>
              <w:rPr>
                <w:color w:val="000000"/>
                <w:highlight w:val="none"/>
              </w:rPr>
            </w:r>
            <w:r/>
          </w:p>
        </w:tc>
        <w:tc>
          <w:tcPr>
            <w:tcW w:w="1004" w:type="dxa"/>
            <w:vAlign w:val="center"/>
            <w:textDirection w:val="lrTb"/>
            <w:noWrap w:val="false"/>
          </w:tcPr>
          <w:p>
            <w:pPr>
              <w:jc w:val="center"/>
              <w:rPr>
                <w:color w:val="000000"/>
                <w:highlight w:val="none"/>
              </w:rPr>
            </w:pPr>
            <w:r>
              <w:rPr>
                <w:color w:val="000000"/>
                <w:highlight w:val="none"/>
              </w:rPr>
            </w:r>
            <w:r/>
          </w:p>
        </w:tc>
        <w:tc>
          <w:tcPr>
            <w:tcW w:w="1439" w:type="dxa"/>
            <w:vAlign w:val="center"/>
            <w:textDirection w:val="lrTb"/>
            <w:noWrap w:val="false"/>
          </w:tcPr>
          <w:p>
            <w:pPr>
              <w:jc w:val="center"/>
              <w:rPr>
                <w:color w:val="000000"/>
                <w:highlight w:val="none"/>
              </w:rPr>
            </w:pPr>
            <w:r>
              <w:rPr>
                <w:color w:val="000000"/>
                <w:highlight w:val="none"/>
              </w:rPr>
            </w:r>
            <w:r/>
          </w:p>
        </w:tc>
        <w:tc>
          <w:tcPr>
            <w:tcW w:w="1558" w:type="dxa"/>
            <w:vAlign w:val="center"/>
            <w:textDirection w:val="lrTb"/>
            <w:noWrap w:val="false"/>
          </w:tcPr>
          <w:p>
            <w:pPr>
              <w:jc w:val="center"/>
              <w:rPr>
                <w:color w:val="000000"/>
                <w:highlight w:val="none"/>
              </w:rPr>
            </w:pPr>
            <w:r>
              <w:rPr>
                <w:color w:val="000000"/>
                <w:highlight w:val="none"/>
              </w:rPr>
            </w:r>
            <w:r/>
          </w:p>
        </w:tc>
        <w:tc>
          <w:tcPr>
            <w:tcW w:w="2206" w:type="dxa"/>
            <w:vAlign w:val="center"/>
            <w:textDirection w:val="lrTb"/>
            <w:noWrap w:val="false"/>
          </w:tcPr>
          <w:p>
            <w:pPr>
              <w:jc w:val="center"/>
              <w:rPr>
                <w:color w:val="000000"/>
                <w:highlight w:val="none"/>
              </w:rPr>
            </w:pPr>
            <w:r>
              <w:rPr>
                <w:color w:val="000000"/>
                <w:highlight w:val="none"/>
              </w:rPr>
            </w:r>
            <w:r/>
          </w:p>
        </w:tc>
      </w:tr>
      <w:tr>
        <w:trPr>
          <w:jc w:val="center"/>
          <w:trHeight w:val="419"/>
        </w:trPr>
        <w:tc>
          <w:tcPr>
            <w:tcW w:w="765" w:type="dxa"/>
            <w:vAlign w:val="center"/>
            <w:vMerge w:val="continue"/>
            <w:textDirection w:val="lrTb"/>
            <w:noWrap w:val="false"/>
          </w:tcPr>
          <w:p>
            <w:pPr>
              <w:jc w:val="center"/>
              <w:rPr>
                <w:color w:val="000000"/>
                <w:highlight w:val="none"/>
              </w:rPr>
            </w:pPr>
            <w:r>
              <w:rPr>
                <w:color w:val="000000"/>
                <w:highlight w:val="none"/>
              </w:rPr>
            </w:r>
            <w:r/>
          </w:p>
        </w:tc>
        <w:tc>
          <w:tcPr>
            <w:tcW w:w="848" w:type="dxa"/>
            <w:vAlign w:val="center"/>
            <w:vMerge w:val="continue"/>
            <w:textDirection w:val="lrTb"/>
            <w:noWrap w:val="false"/>
          </w:tcPr>
          <w:p>
            <w:pPr>
              <w:jc w:val="center"/>
              <w:rPr>
                <w:color w:val="000000"/>
                <w:highlight w:val="none"/>
              </w:rPr>
            </w:pPr>
            <w:r>
              <w:rPr>
                <w:color w:val="000000"/>
                <w:highlight w:val="none"/>
              </w:rPr>
            </w:r>
            <w:r/>
          </w:p>
        </w:tc>
        <w:tc>
          <w:tcPr>
            <w:tcW w:w="1004" w:type="dxa"/>
            <w:vAlign w:val="center"/>
            <w:textDirection w:val="lrTb"/>
            <w:noWrap w:val="false"/>
          </w:tcPr>
          <w:p>
            <w:pPr>
              <w:jc w:val="center"/>
              <w:rPr>
                <w:color w:val="000000"/>
                <w:highlight w:val="none"/>
              </w:rPr>
            </w:pPr>
            <w:r>
              <w:rPr>
                <w:color w:val="000000"/>
                <w:highlight w:val="none"/>
              </w:rPr>
            </w:r>
            <w:r/>
          </w:p>
        </w:tc>
        <w:tc>
          <w:tcPr>
            <w:tcW w:w="1439" w:type="dxa"/>
            <w:vAlign w:val="center"/>
            <w:textDirection w:val="lrTb"/>
            <w:noWrap w:val="false"/>
          </w:tcPr>
          <w:p>
            <w:pPr>
              <w:jc w:val="center"/>
              <w:rPr>
                <w:color w:val="000000"/>
                <w:highlight w:val="none"/>
              </w:rPr>
            </w:pPr>
            <w:r>
              <w:rPr>
                <w:color w:val="000000"/>
                <w:highlight w:val="none"/>
              </w:rPr>
            </w:r>
            <w:r/>
          </w:p>
        </w:tc>
        <w:tc>
          <w:tcPr>
            <w:tcW w:w="1558" w:type="dxa"/>
            <w:vAlign w:val="center"/>
            <w:textDirection w:val="lrTb"/>
            <w:noWrap w:val="false"/>
          </w:tcPr>
          <w:p>
            <w:pPr>
              <w:jc w:val="center"/>
              <w:rPr>
                <w:color w:val="000000"/>
                <w:highlight w:val="none"/>
              </w:rPr>
            </w:pPr>
            <w:r>
              <w:rPr>
                <w:color w:val="000000"/>
                <w:highlight w:val="none"/>
              </w:rPr>
            </w:r>
            <w:r/>
          </w:p>
        </w:tc>
        <w:tc>
          <w:tcPr>
            <w:tcW w:w="2206" w:type="dxa"/>
            <w:vAlign w:val="center"/>
            <w:textDirection w:val="lrTb"/>
            <w:noWrap w:val="false"/>
          </w:tcPr>
          <w:p>
            <w:pPr>
              <w:jc w:val="center"/>
              <w:rPr>
                <w:color w:val="000000"/>
                <w:highlight w:val="none"/>
              </w:rPr>
            </w:pPr>
            <w:r>
              <w:rPr>
                <w:color w:val="000000"/>
                <w:highlight w:val="none"/>
              </w:rPr>
            </w:r>
            <w:r/>
          </w:p>
        </w:tc>
      </w:tr>
      <w:tr>
        <w:trPr>
          <w:jc w:val="center"/>
          <w:trHeight w:val="418"/>
        </w:trPr>
        <w:tc>
          <w:tcPr>
            <w:tcW w:w="765" w:type="dxa"/>
            <w:vAlign w:val="center"/>
            <w:vMerge w:val="continue"/>
            <w:textDirection w:val="lrTb"/>
            <w:noWrap w:val="false"/>
          </w:tcPr>
          <w:p>
            <w:pPr>
              <w:jc w:val="center"/>
              <w:rPr>
                <w:color w:val="000000"/>
                <w:highlight w:val="none"/>
              </w:rPr>
            </w:pPr>
            <w:r>
              <w:rPr>
                <w:color w:val="000000"/>
                <w:highlight w:val="none"/>
              </w:rPr>
            </w:r>
            <w:r/>
          </w:p>
        </w:tc>
        <w:tc>
          <w:tcPr>
            <w:tcW w:w="848" w:type="dxa"/>
            <w:vAlign w:val="center"/>
            <w:vMerge w:val="continue"/>
            <w:textDirection w:val="lrTb"/>
            <w:noWrap w:val="false"/>
          </w:tcPr>
          <w:p>
            <w:pPr>
              <w:jc w:val="center"/>
              <w:rPr>
                <w:color w:val="000000"/>
                <w:highlight w:val="none"/>
              </w:rPr>
            </w:pPr>
            <w:r>
              <w:rPr>
                <w:color w:val="000000"/>
                <w:highlight w:val="none"/>
              </w:rPr>
            </w:r>
            <w:r/>
          </w:p>
        </w:tc>
        <w:tc>
          <w:tcPr>
            <w:tcW w:w="1004" w:type="dxa"/>
            <w:vAlign w:val="center"/>
            <w:textDirection w:val="lrTb"/>
            <w:noWrap w:val="false"/>
          </w:tcPr>
          <w:p>
            <w:pPr>
              <w:jc w:val="center"/>
              <w:rPr>
                <w:color w:val="000000"/>
                <w:highlight w:val="none"/>
              </w:rPr>
            </w:pPr>
            <w:r>
              <w:rPr>
                <w:color w:val="000000"/>
                <w:highlight w:val="none"/>
              </w:rPr>
            </w:r>
            <w:r/>
          </w:p>
        </w:tc>
        <w:tc>
          <w:tcPr>
            <w:tcW w:w="1439" w:type="dxa"/>
            <w:vAlign w:val="center"/>
            <w:textDirection w:val="lrTb"/>
            <w:noWrap w:val="false"/>
          </w:tcPr>
          <w:p>
            <w:pPr>
              <w:jc w:val="center"/>
              <w:rPr>
                <w:color w:val="000000"/>
                <w:highlight w:val="none"/>
              </w:rPr>
            </w:pPr>
            <w:r>
              <w:rPr>
                <w:color w:val="000000"/>
                <w:highlight w:val="none"/>
              </w:rPr>
            </w:r>
            <w:r/>
          </w:p>
        </w:tc>
        <w:tc>
          <w:tcPr>
            <w:tcW w:w="1558" w:type="dxa"/>
            <w:vAlign w:val="center"/>
            <w:textDirection w:val="lrTb"/>
            <w:noWrap w:val="false"/>
          </w:tcPr>
          <w:p>
            <w:pPr>
              <w:jc w:val="center"/>
              <w:rPr>
                <w:color w:val="000000"/>
                <w:highlight w:val="none"/>
              </w:rPr>
            </w:pPr>
            <w:r>
              <w:rPr>
                <w:color w:val="000000"/>
                <w:highlight w:val="none"/>
              </w:rPr>
            </w:r>
            <w:r/>
          </w:p>
        </w:tc>
        <w:tc>
          <w:tcPr>
            <w:tcW w:w="2206" w:type="dxa"/>
            <w:vAlign w:val="center"/>
            <w:textDirection w:val="lrTb"/>
            <w:noWrap w:val="false"/>
          </w:tcPr>
          <w:p>
            <w:pPr>
              <w:jc w:val="center"/>
              <w:rPr>
                <w:color w:val="000000"/>
                <w:highlight w:val="none"/>
              </w:rPr>
            </w:pPr>
            <w:r>
              <w:rPr>
                <w:color w:val="000000"/>
                <w:highlight w:val="none"/>
              </w:rPr>
            </w:r>
            <w:r/>
          </w:p>
        </w:tc>
      </w:tr>
      <w:tr>
        <w:trPr>
          <w:jc w:val="center"/>
          <w:trHeight w:val="449"/>
        </w:trPr>
        <w:tc>
          <w:tcPr>
            <w:tcW w:w="765" w:type="dxa"/>
            <w:vAlign w:val="center"/>
            <w:vMerge w:val="restart"/>
            <w:textDirection w:val="lrTb"/>
            <w:noWrap w:val="false"/>
          </w:tcPr>
          <w:p>
            <w:pPr>
              <w:jc w:val="center"/>
              <w:rPr>
                <w:color w:val="000000"/>
                <w:highlight w:val="none"/>
              </w:rPr>
            </w:pPr>
            <w:r>
              <w:rPr>
                <w:rFonts w:hint="eastAsia"/>
                <w:color w:val="000000"/>
                <w:highlight w:val="none"/>
              </w:rPr>
              <w:t xml:space="preserve">……</w:t>
            </w:r>
            <w:r/>
          </w:p>
        </w:tc>
        <w:tc>
          <w:tcPr>
            <w:tcW w:w="848" w:type="dxa"/>
            <w:vAlign w:val="center"/>
            <w:vMerge w:val="restart"/>
            <w:textDirection w:val="lrTb"/>
            <w:noWrap w:val="false"/>
          </w:tcPr>
          <w:p>
            <w:pPr>
              <w:jc w:val="center"/>
              <w:rPr>
                <w:color w:val="000000"/>
                <w:highlight w:val="none"/>
              </w:rPr>
            </w:pPr>
            <w:r>
              <w:rPr>
                <w:color w:val="000000"/>
                <w:highlight w:val="none"/>
              </w:rPr>
            </w:r>
            <w:r/>
          </w:p>
        </w:tc>
        <w:tc>
          <w:tcPr>
            <w:tcW w:w="1004" w:type="dxa"/>
            <w:vAlign w:val="center"/>
            <w:textDirection w:val="lrTb"/>
            <w:noWrap w:val="false"/>
          </w:tcPr>
          <w:p>
            <w:pPr>
              <w:jc w:val="center"/>
              <w:rPr>
                <w:color w:val="000000"/>
                <w:highlight w:val="none"/>
              </w:rPr>
            </w:pPr>
            <w:r>
              <w:rPr>
                <w:color w:val="000000"/>
                <w:highlight w:val="none"/>
              </w:rPr>
            </w:r>
            <w:r/>
          </w:p>
        </w:tc>
        <w:tc>
          <w:tcPr>
            <w:tcW w:w="1439" w:type="dxa"/>
            <w:vAlign w:val="center"/>
            <w:textDirection w:val="lrTb"/>
            <w:noWrap w:val="false"/>
          </w:tcPr>
          <w:p>
            <w:pPr>
              <w:jc w:val="center"/>
              <w:rPr>
                <w:color w:val="000000"/>
                <w:highlight w:val="none"/>
              </w:rPr>
            </w:pPr>
            <w:r>
              <w:rPr>
                <w:color w:val="000000"/>
                <w:highlight w:val="none"/>
              </w:rPr>
            </w:r>
            <w:r/>
          </w:p>
        </w:tc>
        <w:tc>
          <w:tcPr>
            <w:tcW w:w="1558" w:type="dxa"/>
            <w:vAlign w:val="center"/>
            <w:textDirection w:val="lrTb"/>
            <w:noWrap w:val="false"/>
          </w:tcPr>
          <w:p>
            <w:pPr>
              <w:jc w:val="center"/>
              <w:rPr>
                <w:color w:val="000000"/>
                <w:highlight w:val="none"/>
              </w:rPr>
            </w:pPr>
            <w:r>
              <w:rPr>
                <w:color w:val="000000"/>
                <w:highlight w:val="none"/>
              </w:rPr>
            </w:r>
            <w:r/>
          </w:p>
        </w:tc>
        <w:tc>
          <w:tcPr>
            <w:tcW w:w="2206" w:type="dxa"/>
            <w:vAlign w:val="center"/>
            <w:textDirection w:val="lrTb"/>
            <w:noWrap w:val="false"/>
          </w:tcPr>
          <w:p>
            <w:pPr>
              <w:jc w:val="center"/>
              <w:rPr>
                <w:color w:val="000000"/>
                <w:highlight w:val="none"/>
              </w:rPr>
            </w:pPr>
            <w:r>
              <w:rPr>
                <w:color w:val="000000"/>
                <w:highlight w:val="none"/>
              </w:rPr>
            </w:r>
            <w:r/>
          </w:p>
        </w:tc>
      </w:tr>
      <w:tr>
        <w:trPr>
          <w:jc w:val="center"/>
          <w:trHeight w:val="417"/>
        </w:trPr>
        <w:tc>
          <w:tcPr>
            <w:tcW w:w="765" w:type="dxa"/>
            <w:vAlign w:val="center"/>
            <w:vMerge w:val="continue"/>
            <w:textDirection w:val="lrTb"/>
            <w:noWrap w:val="false"/>
          </w:tcPr>
          <w:p>
            <w:pPr>
              <w:jc w:val="center"/>
              <w:rPr>
                <w:color w:val="000000"/>
                <w:highlight w:val="none"/>
              </w:rPr>
            </w:pPr>
            <w:r>
              <w:rPr>
                <w:color w:val="000000"/>
                <w:highlight w:val="none"/>
              </w:rPr>
            </w:r>
            <w:r/>
          </w:p>
        </w:tc>
        <w:tc>
          <w:tcPr>
            <w:tcW w:w="848" w:type="dxa"/>
            <w:vAlign w:val="center"/>
            <w:vMerge w:val="continue"/>
            <w:textDirection w:val="lrTb"/>
            <w:noWrap w:val="false"/>
          </w:tcPr>
          <w:p>
            <w:pPr>
              <w:jc w:val="center"/>
              <w:rPr>
                <w:color w:val="000000"/>
                <w:highlight w:val="none"/>
              </w:rPr>
            </w:pPr>
            <w:r>
              <w:rPr>
                <w:color w:val="000000"/>
                <w:highlight w:val="none"/>
              </w:rPr>
            </w:r>
            <w:r/>
          </w:p>
        </w:tc>
        <w:tc>
          <w:tcPr>
            <w:tcW w:w="1004" w:type="dxa"/>
            <w:vAlign w:val="center"/>
            <w:textDirection w:val="lrTb"/>
            <w:noWrap w:val="false"/>
          </w:tcPr>
          <w:p>
            <w:pPr>
              <w:jc w:val="center"/>
              <w:rPr>
                <w:color w:val="000000"/>
                <w:highlight w:val="none"/>
              </w:rPr>
            </w:pPr>
            <w:r>
              <w:rPr>
                <w:color w:val="000000"/>
                <w:highlight w:val="none"/>
              </w:rPr>
            </w:r>
            <w:r/>
          </w:p>
        </w:tc>
        <w:tc>
          <w:tcPr>
            <w:tcW w:w="1439" w:type="dxa"/>
            <w:vAlign w:val="center"/>
            <w:textDirection w:val="lrTb"/>
            <w:noWrap w:val="false"/>
          </w:tcPr>
          <w:p>
            <w:pPr>
              <w:jc w:val="center"/>
              <w:rPr>
                <w:color w:val="000000"/>
                <w:highlight w:val="none"/>
              </w:rPr>
            </w:pPr>
            <w:r>
              <w:rPr>
                <w:color w:val="000000"/>
                <w:highlight w:val="none"/>
              </w:rPr>
            </w:r>
            <w:r/>
          </w:p>
        </w:tc>
        <w:tc>
          <w:tcPr>
            <w:tcW w:w="1558" w:type="dxa"/>
            <w:vAlign w:val="center"/>
            <w:textDirection w:val="lrTb"/>
            <w:noWrap w:val="false"/>
          </w:tcPr>
          <w:p>
            <w:pPr>
              <w:jc w:val="center"/>
              <w:rPr>
                <w:color w:val="000000"/>
                <w:highlight w:val="none"/>
              </w:rPr>
            </w:pPr>
            <w:r>
              <w:rPr>
                <w:color w:val="000000"/>
                <w:highlight w:val="none"/>
              </w:rPr>
            </w:r>
            <w:r/>
          </w:p>
        </w:tc>
        <w:tc>
          <w:tcPr>
            <w:tcW w:w="2206" w:type="dxa"/>
            <w:vAlign w:val="center"/>
            <w:textDirection w:val="lrTb"/>
            <w:noWrap w:val="false"/>
          </w:tcPr>
          <w:p>
            <w:pPr>
              <w:jc w:val="center"/>
              <w:rPr>
                <w:color w:val="000000"/>
                <w:highlight w:val="none"/>
              </w:rPr>
            </w:pPr>
            <w:r>
              <w:rPr>
                <w:color w:val="000000"/>
                <w:highlight w:val="none"/>
              </w:rPr>
            </w:r>
            <w:r/>
          </w:p>
        </w:tc>
      </w:tr>
      <w:tr>
        <w:trPr>
          <w:jc w:val="center"/>
          <w:trHeight w:val="428"/>
        </w:trPr>
        <w:tc>
          <w:tcPr>
            <w:tcW w:w="765" w:type="dxa"/>
            <w:vAlign w:val="center"/>
            <w:vMerge w:val="continue"/>
            <w:textDirection w:val="lrTb"/>
            <w:noWrap w:val="false"/>
          </w:tcPr>
          <w:p>
            <w:pPr>
              <w:jc w:val="center"/>
              <w:rPr>
                <w:color w:val="000000"/>
                <w:highlight w:val="none"/>
              </w:rPr>
            </w:pPr>
            <w:r>
              <w:rPr>
                <w:color w:val="000000"/>
                <w:highlight w:val="none"/>
              </w:rPr>
            </w:r>
            <w:r/>
          </w:p>
        </w:tc>
        <w:tc>
          <w:tcPr>
            <w:tcW w:w="848" w:type="dxa"/>
            <w:vAlign w:val="center"/>
            <w:vMerge w:val="continue"/>
            <w:textDirection w:val="lrTb"/>
            <w:noWrap w:val="false"/>
          </w:tcPr>
          <w:p>
            <w:pPr>
              <w:jc w:val="center"/>
              <w:rPr>
                <w:color w:val="000000"/>
                <w:highlight w:val="none"/>
              </w:rPr>
            </w:pPr>
            <w:r>
              <w:rPr>
                <w:color w:val="000000"/>
                <w:highlight w:val="none"/>
              </w:rPr>
            </w:r>
            <w:r/>
          </w:p>
        </w:tc>
        <w:tc>
          <w:tcPr>
            <w:tcW w:w="1004" w:type="dxa"/>
            <w:vAlign w:val="center"/>
            <w:textDirection w:val="lrTb"/>
            <w:noWrap w:val="false"/>
          </w:tcPr>
          <w:p>
            <w:pPr>
              <w:jc w:val="center"/>
              <w:rPr>
                <w:color w:val="000000"/>
                <w:highlight w:val="none"/>
              </w:rPr>
            </w:pPr>
            <w:r>
              <w:rPr>
                <w:color w:val="000000"/>
                <w:highlight w:val="none"/>
              </w:rPr>
            </w:r>
            <w:r/>
          </w:p>
        </w:tc>
        <w:tc>
          <w:tcPr>
            <w:tcW w:w="1439" w:type="dxa"/>
            <w:vAlign w:val="center"/>
            <w:textDirection w:val="lrTb"/>
            <w:noWrap w:val="false"/>
          </w:tcPr>
          <w:p>
            <w:pPr>
              <w:jc w:val="center"/>
              <w:rPr>
                <w:color w:val="000000"/>
                <w:highlight w:val="none"/>
              </w:rPr>
            </w:pPr>
            <w:r>
              <w:rPr>
                <w:color w:val="000000"/>
                <w:highlight w:val="none"/>
              </w:rPr>
            </w:r>
            <w:r/>
          </w:p>
        </w:tc>
        <w:tc>
          <w:tcPr>
            <w:tcW w:w="1558" w:type="dxa"/>
            <w:vAlign w:val="center"/>
            <w:textDirection w:val="lrTb"/>
            <w:noWrap w:val="false"/>
          </w:tcPr>
          <w:p>
            <w:pPr>
              <w:jc w:val="center"/>
              <w:rPr>
                <w:color w:val="000000"/>
                <w:highlight w:val="none"/>
              </w:rPr>
            </w:pPr>
            <w:r>
              <w:rPr>
                <w:color w:val="000000"/>
                <w:highlight w:val="none"/>
              </w:rPr>
            </w:r>
            <w:r/>
          </w:p>
        </w:tc>
        <w:tc>
          <w:tcPr>
            <w:tcW w:w="2206" w:type="dxa"/>
            <w:vAlign w:val="center"/>
            <w:textDirection w:val="lrTb"/>
            <w:noWrap w:val="false"/>
          </w:tcPr>
          <w:p>
            <w:pPr>
              <w:jc w:val="center"/>
              <w:rPr>
                <w:color w:val="000000"/>
                <w:highlight w:val="none"/>
              </w:rPr>
            </w:pPr>
            <w:r>
              <w:rPr>
                <w:color w:val="000000"/>
                <w:highlight w:val="none"/>
              </w:rPr>
            </w:r>
            <w:r/>
          </w:p>
        </w:tc>
      </w:tr>
    </w:tbl>
    <w:p>
      <w:pPr>
        <w:ind w:left="36" w:right="28" w:firstLine="481"/>
        <w:spacing w:before="113" w:line="360" w:lineRule="auto"/>
        <w:rPr>
          <w:rFonts w:ascii="宋体" w:hAnsi="宋体" w:cs="宋体"/>
          <w:color w:val="000000"/>
          <w:sz w:val="24"/>
          <w:highlight w:val="none"/>
        </w:rPr>
      </w:pPr>
      <w:r>
        <w:rPr>
          <w:rFonts w:ascii="宋体" w:hAnsi="宋体" w:cs="宋体"/>
          <w:color w:val="000000"/>
          <w:spacing w:val="-7"/>
          <w:sz w:val="24"/>
          <w:highlight w:val="none"/>
          <w:u w:val="single"/>
        </w:rPr>
        <w:t xml:space="preserve">注</w:t>
      </w:r>
      <w:r>
        <w:rPr>
          <w:rFonts w:ascii="宋体" w:hAnsi="宋体" w:cs="宋体"/>
          <w:color w:val="000000"/>
          <w:spacing w:val="-6"/>
          <w:sz w:val="24"/>
          <w:highlight w:val="none"/>
          <w:u w:val="single"/>
        </w:rPr>
        <w:t xml:space="preserve">：1.按实际如实填写偏离表，如果虚假响应或简单复制招标文件提供的技术要求，</w:t>
      </w:r>
      <w:r>
        <w:rPr>
          <w:rFonts w:ascii="宋体" w:hAnsi="宋体" w:cs="宋体"/>
          <w:color w:val="000000"/>
          <w:spacing w:val="-19"/>
          <w:sz w:val="24"/>
          <w:highlight w:val="none"/>
          <w:u w:val="single"/>
        </w:rPr>
        <w:t xml:space="preserve">将</w:t>
      </w:r>
      <w:r>
        <w:rPr>
          <w:rFonts w:ascii="宋体" w:hAnsi="宋体" w:cs="宋体"/>
          <w:color w:val="000000"/>
          <w:spacing w:val="-13"/>
          <w:sz w:val="24"/>
          <w:highlight w:val="none"/>
          <w:u w:val="single"/>
        </w:rPr>
        <w:t xml:space="preserve">可能被视为无效的响应。</w:t>
      </w:r>
      <w:r/>
    </w:p>
    <w:p>
      <w:pPr>
        <w:rPr>
          <w:rFonts w:ascii="宋体" w:hAnsi="宋体" w:cs="宋体"/>
          <w:color w:val="000000"/>
          <w:spacing w:val="9"/>
          <w:sz w:val="31"/>
          <w:szCs w:val="31"/>
          <w:highlight w:val="none"/>
        </w:rPr>
      </w:pPr>
      <w:r>
        <w:rPr>
          <w:rFonts w:ascii="宋体" w:hAnsi="宋体" w:cs="宋体"/>
          <w:color w:val="000000"/>
          <w:spacing w:val="9"/>
          <w:sz w:val="31"/>
          <w:szCs w:val="31"/>
          <w:highlight w:val="none"/>
        </w:rPr>
        <w:br w:type="page" w:clear="all"/>
      </w:r>
      <w:r/>
    </w:p>
    <w:p>
      <w:pPr>
        <w:pStyle w:val="1481"/>
        <w:rPr>
          <w:highlight w:val="none"/>
        </w:rPr>
        <w:sectPr>
          <w:footerReference w:type="default" r:id="rId32"/>
          <w:footnotePr/>
          <w:endnotePr/>
          <w:type w:val="nextPage"/>
          <w:pgSz w:w="11907" w:h="16839" w:orient="portrait"/>
          <w:pgMar w:top="1440" w:right="1800" w:bottom="1440" w:left="1800" w:header="1111" w:footer="1229" w:gutter="0"/>
          <w:cols w:num="1" w:sep="0" w:space="1701" w:equalWidth="1"/>
          <w:docGrid w:linePitch="360"/>
        </w:sectPr>
      </w:pPr>
      <w:r>
        <w:rPr>
          <w:highlight w:val="none"/>
        </w:rPr>
      </w:r>
      <w:r/>
    </w:p>
    <w:p>
      <w:pPr>
        <w:jc w:val="center"/>
        <w:spacing w:before="101" w:line="225" w:lineRule="auto"/>
        <w:rPr>
          <w:rFonts w:ascii="宋体" w:hAnsi="宋体" w:cs="宋体"/>
          <w:color w:val="000000"/>
          <w:sz w:val="24"/>
          <w:highlight w:val="none"/>
        </w:rPr>
        <w:outlineLvl w:val="1"/>
      </w:pPr>
      <w:r/>
      <w:bookmarkStart w:id="182" w:name="_bookmark81"/>
      <w:r/>
      <w:bookmarkEnd w:id="182"/>
      <w:r>
        <w:rPr>
          <w:rFonts w:ascii="宋体" w:hAnsi="宋体" w:cs="宋体"/>
          <w:color w:val="000000"/>
          <w:spacing w:val="9"/>
          <w:sz w:val="24"/>
          <w:highlight w:val="none"/>
        </w:rPr>
        <w:t xml:space="preserve">三</w:t>
      </w:r>
      <w:r>
        <w:rPr>
          <w:rFonts w:ascii="宋体" w:hAnsi="宋体" w:cs="宋体"/>
          <w:color w:val="000000"/>
          <w:spacing w:val="7"/>
          <w:sz w:val="24"/>
          <w:highlight w:val="none"/>
        </w:rPr>
        <w:t xml:space="preserve">、商务部分</w:t>
      </w:r>
      <w:r/>
    </w:p>
    <w:p>
      <w:pPr>
        <w:rPr>
          <w:color w:val="000000"/>
          <w:sz w:val="24"/>
          <w:highlight w:val="none"/>
        </w:rPr>
      </w:pPr>
      <w:r>
        <w:rPr>
          <w:color w:val="000000"/>
          <w:sz w:val="24"/>
          <w:highlight w:val="none"/>
        </w:rPr>
      </w:r>
      <w:r/>
    </w:p>
    <w:p>
      <w:pPr>
        <w:jc w:val="center"/>
        <w:spacing w:line="360" w:lineRule="auto"/>
        <w:rPr>
          <w:rFonts w:ascii="宋体" w:hAnsi="宋体" w:cs="宋体"/>
          <w:sz w:val="24"/>
          <w:highlight w:val="none"/>
          <w:u w:val="single"/>
        </w:rPr>
      </w:pPr>
      <w:r>
        <w:rPr>
          <w:rFonts w:hint="eastAsia" w:ascii="宋体" w:hAnsi="宋体" w:cs="宋体"/>
          <w:color w:val="000000"/>
          <w:sz w:val="24"/>
          <w:highlight w:val="none"/>
        </w:rPr>
        <w:t xml:space="preserve">商务部分对应评分标准“商务部分”，依次详述，格式自拟。</w:t>
      </w:r>
      <w:r/>
    </w:p>
    <w:p>
      <w:pPr>
        <w:rPr>
          <w:color w:val="000000"/>
          <w:sz w:val="24"/>
          <w:highlight w:val="none"/>
        </w:rPr>
        <w:sectPr>
          <w:footerReference w:type="default" r:id="rId33"/>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3" w:lineRule="auto"/>
        <w:rPr>
          <w:rFonts w:ascii="宋体" w:hAnsi="宋体" w:cs="宋体"/>
          <w:color w:val="000000"/>
          <w:sz w:val="24"/>
          <w:highlight w:val="none"/>
        </w:rPr>
        <w:outlineLvl w:val="2"/>
      </w:pPr>
      <w:r>
        <w:rPr>
          <w:rFonts w:ascii="宋体" w:hAnsi="宋体" w:cs="宋体"/>
          <w:color w:val="000000"/>
          <w:spacing w:val="-9"/>
          <w:sz w:val="24"/>
          <w:highlight w:val="none"/>
        </w:rPr>
        <w:t xml:space="preserve">(</w:t>
      </w:r>
      <w:r>
        <w:rPr>
          <w:rFonts w:ascii="宋体" w:hAnsi="宋体" w:cs="宋体"/>
          <w:color w:val="000000"/>
          <w:spacing w:val="-7"/>
          <w:sz w:val="24"/>
          <w:highlight w:val="none"/>
        </w:rPr>
        <w:t xml:space="preserve">一)</w:t>
      </w:r>
      <w:r>
        <w:rPr>
          <w:rFonts w:hint="eastAsia" w:ascii="宋体" w:hAnsi="宋体" w:cs="宋体"/>
          <w:color w:val="000000"/>
          <w:spacing w:val="-7"/>
          <w:sz w:val="24"/>
          <w:highlight w:val="none"/>
        </w:rPr>
        <w:t xml:space="preserve">企业业绩</w:t>
      </w:r>
      <w:r/>
    </w:p>
    <w:p>
      <w:pPr>
        <w:spacing w:before="227" w:line="219" w:lineRule="auto"/>
        <w:rPr>
          <w:rFonts w:ascii="宋体" w:hAnsi="宋体" w:cs="宋体"/>
          <w:color w:val="000000"/>
          <w:sz w:val="24"/>
          <w:highlight w:val="none"/>
        </w:rPr>
      </w:pPr>
      <w:r/>
      <w:bookmarkStart w:id="183" w:name="_bookmark82"/>
      <w:r/>
      <w:bookmarkEnd w:id="183"/>
      <w:r/>
      <w:r/>
    </w:p>
    <w:p>
      <w:pPr>
        <w:rPr>
          <w:color w:val="000000"/>
          <w:sz w:val="24"/>
          <w:highlight w:val="none"/>
        </w:rPr>
        <w:sectPr>
          <w:footerReference w:type="default" r:id="rId34"/>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3" w:lineRule="auto"/>
        <w:rPr>
          <w:rFonts w:ascii="宋体" w:hAnsi="宋体" w:cs="宋体"/>
          <w:color w:val="000000"/>
          <w:sz w:val="24"/>
          <w:highlight w:val="none"/>
        </w:rPr>
        <w:outlineLvl w:val="2"/>
      </w:pPr>
      <w:r>
        <w:rPr>
          <w:rFonts w:ascii="宋体" w:hAnsi="宋体" w:cs="宋体"/>
          <w:color w:val="000000"/>
          <w:spacing w:val="-14"/>
          <w:sz w:val="24"/>
          <w:highlight w:val="none"/>
        </w:rPr>
        <w:t xml:space="preserve">(</w:t>
      </w:r>
      <w:r>
        <w:rPr>
          <w:rFonts w:ascii="宋体" w:hAnsi="宋体" w:cs="宋体"/>
          <w:color w:val="000000"/>
          <w:spacing w:val="-11"/>
          <w:sz w:val="24"/>
          <w:highlight w:val="none"/>
        </w:rPr>
        <w:t xml:space="preserve">二)</w:t>
      </w:r>
      <w:r>
        <w:rPr>
          <w:rFonts w:hint="eastAsia" w:ascii="宋体" w:hAnsi="宋体" w:cs="宋体"/>
          <w:color w:val="000000"/>
          <w:spacing w:val="-11"/>
          <w:sz w:val="24"/>
          <w:highlight w:val="none"/>
        </w:rPr>
        <w:t xml:space="preserve">服务承诺</w:t>
      </w:r>
      <w:r/>
    </w:p>
    <w:p>
      <w:pPr>
        <w:spacing w:before="226" w:line="225" w:lineRule="auto"/>
        <w:rPr>
          <w:rFonts w:ascii="宋体" w:hAnsi="宋体" w:cs="宋体"/>
          <w:color w:val="000000"/>
          <w:sz w:val="24"/>
          <w:highlight w:val="none"/>
        </w:rPr>
      </w:pPr>
      <w:r/>
      <w:bookmarkStart w:id="184" w:name="_bookmark83"/>
      <w:r/>
      <w:bookmarkEnd w:id="184"/>
      <w:r/>
      <w:r/>
    </w:p>
    <w:p>
      <w:pPr>
        <w:rPr>
          <w:color w:val="000000"/>
          <w:sz w:val="24"/>
          <w:highlight w:val="none"/>
        </w:rPr>
        <w:sectPr>
          <w:footerReference w:type="default" r:id="rId35"/>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0" w:lineRule="auto"/>
        <w:rPr>
          <w:rFonts w:ascii="宋体" w:hAnsi="宋体" w:cs="宋体"/>
          <w:color w:val="000000"/>
          <w:sz w:val="24"/>
          <w:highlight w:val="none"/>
        </w:rPr>
        <w:outlineLvl w:val="2"/>
      </w:pPr>
      <w:r>
        <w:rPr>
          <w:rFonts w:ascii="宋体" w:hAnsi="宋体" w:cs="宋体"/>
          <w:color w:val="000000"/>
          <w:spacing w:val="-10"/>
          <w:sz w:val="24"/>
          <w:highlight w:val="none"/>
        </w:rPr>
        <w:t xml:space="preserve">(</w:t>
      </w:r>
      <w:r>
        <w:rPr>
          <w:rFonts w:ascii="宋体" w:hAnsi="宋体" w:cs="宋体"/>
          <w:color w:val="000000"/>
          <w:spacing w:val="-6"/>
          <w:sz w:val="24"/>
          <w:highlight w:val="none"/>
        </w:rPr>
        <w:t xml:space="preserve">三)</w:t>
      </w:r>
      <w:r>
        <w:rPr>
          <w:rFonts w:hint="eastAsia" w:ascii="宋体" w:hAnsi="宋体" w:cs="宋体"/>
          <w:color w:val="000000"/>
          <w:spacing w:val="-6"/>
          <w:sz w:val="24"/>
          <w:highlight w:val="none"/>
        </w:rPr>
        <w:t xml:space="preserve">项目负责人</w:t>
      </w:r>
      <w:r/>
    </w:p>
    <w:p>
      <w:pPr>
        <w:spacing w:line="69" w:lineRule="exact"/>
        <w:rPr>
          <w:color w:val="000000"/>
          <w:sz w:val="24"/>
          <w:highlight w:val="none"/>
        </w:rPr>
      </w:pPr>
      <w:r/>
      <w:bookmarkStart w:id="185" w:name="_bookmark84"/>
      <w:r/>
      <w:bookmarkEnd w:id="185"/>
      <w:r/>
      <w:r/>
    </w:p>
    <w:tbl>
      <w:tblPr>
        <w:tblStyle w:val="1476"/>
        <w:tblW w:w="95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jc w:val="center"/>
          <w:trHeight w:val="659"/>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近3年工作业绩及承担的主要工作</w:t>
            </w:r>
            <w:r/>
          </w:p>
        </w:tc>
      </w:tr>
      <w:tr>
        <w:trPr>
          <w:jc w:val="center"/>
          <w:trHeight w:val="635"/>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restart"/>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3"/>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5"/>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6"/>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毕业时间</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3"/>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所学专业</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5"/>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学历</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6"/>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证书名称</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3"/>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专业资格</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6"/>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444"/>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曾担任项目主要负责人的项目</w:t>
            </w:r>
            <w:r/>
          </w:p>
        </w:tc>
        <w:tc>
          <w:tcPr>
            <w:gridSpan w:val="2"/>
            <w:tcW w:w="711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432" w:lineRule="auto"/>
        <w:rPr>
          <w:rFonts w:ascii="Arial"/>
          <w:color w:val="000000"/>
          <w:sz w:val="24"/>
          <w:highlight w:val="none"/>
        </w:rPr>
      </w:pPr>
      <w:r>
        <w:rPr>
          <w:rFonts w:ascii="Arial"/>
          <w:color w:val="000000"/>
          <w:sz w:val="24"/>
          <w:highlight w:val="none"/>
        </w:rPr>
      </w:r>
      <w:r/>
    </w:p>
    <w:p>
      <w:pPr>
        <w:spacing w:before="78" w:line="219" w:lineRule="auto"/>
        <w:rPr>
          <w:rFonts w:ascii="宋体" w:hAnsi="宋体" w:cs="宋体"/>
          <w:color w:val="000000"/>
          <w:sz w:val="24"/>
          <w:highlight w:val="none"/>
        </w:rPr>
      </w:pPr>
      <w:r>
        <w:rPr>
          <w:rFonts w:ascii="宋体" w:hAnsi="宋体" w:cs="宋体"/>
          <w:color w:val="000000"/>
          <w:spacing w:val="-16"/>
          <w:sz w:val="24"/>
          <w:highlight w:val="none"/>
        </w:rPr>
        <w:t xml:space="preserve">注：</w:t>
      </w:r>
      <w:r>
        <w:rPr>
          <w:rFonts w:ascii="宋体" w:hAnsi="宋体" w:cs="宋体"/>
          <w:color w:val="000000"/>
          <w:spacing w:val="-8"/>
          <w:sz w:val="24"/>
          <w:highlight w:val="none"/>
        </w:rPr>
        <w:t xml:space="preserve">1、</w:t>
      </w:r>
      <w:r>
        <w:rPr>
          <w:rFonts w:ascii="宋体" w:hAnsi="宋体" w:cs="宋体"/>
          <w:color w:val="000000"/>
          <w:spacing w:val="-8"/>
          <w:sz w:val="24"/>
          <w:highlight w:val="none"/>
          <w:u w:val="single"/>
        </w:rPr>
        <w:t xml:space="preserve">项目</w:t>
      </w:r>
      <w:r>
        <w:rPr>
          <w:rFonts w:hint="eastAsia" w:ascii="宋体" w:hAnsi="宋体" w:cs="宋体"/>
          <w:color w:val="000000"/>
          <w:spacing w:val="-8"/>
          <w:sz w:val="24"/>
          <w:highlight w:val="none"/>
          <w:u w:val="single"/>
        </w:rPr>
        <w:t xml:space="preserve">负责人</w:t>
      </w:r>
      <w:r>
        <w:rPr>
          <w:rFonts w:ascii="宋体" w:hAnsi="宋体" w:cs="宋体"/>
          <w:color w:val="000000"/>
          <w:spacing w:val="-8"/>
          <w:sz w:val="24"/>
          <w:highlight w:val="none"/>
          <w:u w:val="single"/>
        </w:rPr>
        <w:t xml:space="preserve">具有资格证书的，应在本栏目提交相关证书扫描件。</w:t>
      </w:r>
      <w:r/>
    </w:p>
    <w:p>
      <w:pPr>
        <w:spacing w:before="183" w:line="219" w:lineRule="auto"/>
        <w:rPr>
          <w:rFonts w:ascii="宋体" w:hAnsi="宋体" w:cs="宋体"/>
          <w:color w:val="000000"/>
          <w:sz w:val="24"/>
          <w:highlight w:val="none"/>
        </w:rPr>
      </w:pPr>
      <w:r>
        <w:rPr>
          <w:rFonts w:ascii="宋体" w:hAnsi="宋体" w:cs="宋体"/>
          <w:color w:val="000000"/>
          <w:spacing w:val="-10"/>
          <w:sz w:val="24"/>
          <w:highlight w:val="none"/>
        </w:rPr>
        <w:t xml:space="preserve">2、</w:t>
      </w:r>
      <w:r>
        <w:rPr>
          <w:rFonts w:ascii="宋体" w:hAnsi="宋体" w:cs="宋体"/>
          <w:color w:val="000000"/>
          <w:spacing w:val="-7"/>
          <w:sz w:val="24"/>
          <w:highlight w:val="none"/>
          <w:u w:val="single"/>
        </w:rPr>
        <w:t xml:space="preserve">列</w:t>
      </w:r>
      <w:r>
        <w:rPr>
          <w:rFonts w:ascii="宋体" w:hAnsi="宋体" w:cs="宋体"/>
          <w:color w:val="000000"/>
          <w:spacing w:val="-5"/>
          <w:sz w:val="24"/>
          <w:highlight w:val="none"/>
          <w:u w:val="single"/>
        </w:rPr>
        <w:t xml:space="preserve">入本表人员如要更换，需经采购人同意。擅自更换属违约行为。</w:t>
      </w:r>
      <w:r/>
    </w:p>
    <w:p>
      <w:pPr>
        <w:spacing w:before="183" w:line="220" w:lineRule="auto"/>
        <w:rPr>
          <w:rFonts w:ascii="宋体" w:hAnsi="宋体" w:cs="宋体"/>
          <w:color w:val="000000"/>
          <w:sz w:val="24"/>
          <w:highlight w:val="none"/>
        </w:rPr>
      </w:pPr>
      <w:r>
        <w:rPr>
          <w:rFonts w:ascii="宋体" w:hAnsi="宋体" w:cs="宋体"/>
          <w:color w:val="000000"/>
          <w:spacing w:val="6"/>
          <w:sz w:val="24"/>
          <w:highlight w:val="none"/>
        </w:rPr>
        <w:t xml:space="preserve">3、</w:t>
      </w:r>
      <w:r>
        <w:rPr>
          <w:rFonts w:ascii="宋体" w:hAnsi="宋体" w:cs="宋体"/>
          <w:color w:val="000000"/>
          <w:spacing w:val="6"/>
          <w:sz w:val="24"/>
          <w:highlight w:val="none"/>
          <w:u w:val="single"/>
        </w:rPr>
        <w:t xml:space="preserve">项目</w:t>
      </w:r>
      <w:r>
        <w:rPr>
          <w:rFonts w:hint="eastAsia" w:ascii="宋体" w:hAnsi="宋体" w:cs="宋体"/>
          <w:color w:val="000000"/>
          <w:spacing w:val="6"/>
          <w:sz w:val="24"/>
          <w:highlight w:val="none"/>
          <w:u w:val="single"/>
        </w:rPr>
        <w:t xml:space="preserve">负责人</w:t>
      </w:r>
      <w:r>
        <w:rPr>
          <w:rFonts w:ascii="宋体" w:hAnsi="宋体" w:cs="宋体"/>
          <w:color w:val="000000"/>
          <w:spacing w:val="6"/>
          <w:sz w:val="24"/>
          <w:highlight w:val="none"/>
          <w:u w:val="single"/>
        </w:rPr>
        <w:t xml:space="preserve">须提供近半年(至少一个月)供应商为其缴纳社会保险的证明材料。</w:t>
      </w:r>
      <w:r/>
    </w:p>
    <w:p>
      <w:pPr>
        <w:rPr>
          <w:color w:val="000000"/>
          <w:sz w:val="24"/>
          <w:highlight w:val="none"/>
        </w:rPr>
        <w:sectPr>
          <w:headerReference w:type="default" r:id="rId15"/>
          <w:footerReference w:type="default" r:id="rId36"/>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0" w:lineRule="auto"/>
        <w:rPr>
          <w:rFonts w:ascii="宋体" w:hAnsi="宋体" w:cs="宋体"/>
          <w:color w:val="000000"/>
          <w:sz w:val="24"/>
          <w:highlight w:val="none"/>
        </w:rPr>
        <w:outlineLvl w:val="2"/>
      </w:pPr>
      <w:r>
        <w:rPr>
          <w:rFonts w:ascii="宋体" w:hAnsi="宋体" w:cs="宋体"/>
          <w:color w:val="000000"/>
          <w:spacing w:val="-10"/>
          <w:sz w:val="24"/>
          <w:highlight w:val="none"/>
        </w:rPr>
        <w:t xml:space="preserve">(</w:t>
      </w:r>
      <w:r>
        <w:rPr>
          <w:rFonts w:ascii="宋体" w:hAnsi="宋体" w:cs="宋体"/>
          <w:color w:val="000000"/>
          <w:spacing w:val="-5"/>
          <w:sz w:val="24"/>
          <w:highlight w:val="none"/>
        </w:rPr>
        <w:t xml:space="preserve">四)</w:t>
      </w:r>
      <w:r>
        <w:rPr>
          <w:rFonts w:hint="eastAsia" w:ascii="宋体" w:hAnsi="宋体" w:cs="宋体"/>
          <w:color w:val="000000"/>
          <w:spacing w:val="-5"/>
          <w:sz w:val="24"/>
          <w:highlight w:val="none"/>
        </w:rPr>
        <w:t xml:space="preserve">项目团队</w:t>
      </w:r>
      <w:r/>
    </w:p>
    <w:p>
      <w:pPr>
        <w:spacing w:line="69" w:lineRule="exact"/>
        <w:rPr>
          <w:color w:val="000000"/>
          <w:sz w:val="24"/>
          <w:highlight w:val="none"/>
        </w:rPr>
      </w:pPr>
      <w:r/>
      <w:bookmarkStart w:id="186" w:name="_bookmark85"/>
      <w:r/>
      <w:bookmarkEnd w:id="186"/>
      <w:r/>
      <w:r/>
    </w:p>
    <w:tbl>
      <w:tblPr>
        <w:tblStyle w:val="1476"/>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textDirection w:val="lrTb"/>
            <w:noWrap w:val="false"/>
          </w:tcPr>
          <w:p>
            <w:pPr>
              <w:ind w:left="162"/>
              <w:spacing w:before="117" w:line="221" w:lineRule="auto"/>
              <w:rPr>
                <w:rFonts w:ascii="宋体" w:hAnsi="宋体" w:cs="宋体"/>
                <w:color w:val="000000"/>
                <w:sz w:val="24"/>
                <w:highlight w:val="none"/>
              </w:rPr>
            </w:pPr>
            <w:r>
              <w:rPr>
                <w:rFonts w:ascii="宋体" w:hAnsi="宋体" w:cs="宋体"/>
                <w:color w:val="000000"/>
                <w:spacing w:val="-2"/>
                <w:sz w:val="24"/>
                <w:highlight w:val="none"/>
              </w:rPr>
              <w:t xml:space="preserve">序</w:t>
            </w:r>
            <w:r>
              <w:rPr>
                <w:rFonts w:ascii="宋体" w:hAnsi="宋体" w:cs="宋体"/>
                <w:color w:val="000000"/>
                <w:spacing w:val="-1"/>
                <w:sz w:val="24"/>
                <w:highlight w:val="none"/>
              </w:rPr>
              <w:t xml:space="preserve">号</w:t>
            </w:r>
            <w:r/>
          </w:p>
        </w:tc>
        <w:tc>
          <w:tcPr>
            <w:tcW w:w="815" w:type="dxa"/>
            <w:textDirection w:val="lrTb"/>
            <w:noWrap w:val="false"/>
          </w:tcPr>
          <w:p>
            <w:pPr>
              <w:ind w:left="223"/>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姓名</w:t>
            </w:r>
            <w:r/>
          </w:p>
        </w:tc>
        <w:tc>
          <w:tcPr>
            <w:tcW w:w="1396" w:type="dxa"/>
            <w:textDirection w:val="lrTb"/>
            <w:noWrap w:val="false"/>
          </w:tcPr>
          <w:p>
            <w:pPr>
              <w:ind w:left="316"/>
              <w:spacing w:before="117" w:line="220" w:lineRule="auto"/>
              <w:rPr>
                <w:rFonts w:ascii="宋体" w:hAnsi="宋体" w:cs="宋体"/>
                <w:color w:val="000000"/>
                <w:sz w:val="24"/>
                <w:highlight w:val="none"/>
              </w:rPr>
            </w:pPr>
            <w:r>
              <w:rPr>
                <w:rFonts w:ascii="宋体" w:hAnsi="宋体" w:cs="宋体"/>
                <w:color w:val="000000"/>
                <w:spacing w:val="-3"/>
                <w:sz w:val="24"/>
                <w:highlight w:val="none"/>
              </w:rPr>
              <w:t xml:space="preserve">身份证号</w:t>
            </w:r>
            <w:r/>
          </w:p>
        </w:tc>
        <w:tc>
          <w:tcPr>
            <w:tcW w:w="1279" w:type="dxa"/>
            <w:textDirection w:val="lrTb"/>
            <w:noWrap w:val="false"/>
          </w:tcPr>
          <w:p>
            <w:pPr>
              <w:ind w:left="245"/>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人员类</w:t>
            </w:r>
            <w:r>
              <w:rPr>
                <w:rFonts w:ascii="宋体" w:hAnsi="宋体" w:cs="宋体"/>
                <w:color w:val="000000"/>
                <w:spacing w:val="-1"/>
                <w:sz w:val="24"/>
                <w:highlight w:val="none"/>
              </w:rPr>
              <w:t xml:space="preserve">别</w:t>
            </w:r>
            <w:r/>
          </w:p>
        </w:tc>
        <w:tc>
          <w:tcPr>
            <w:tcW w:w="1746" w:type="dxa"/>
            <w:textDirection w:val="lrTb"/>
            <w:noWrap w:val="false"/>
          </w:tcPr>
          <w:p>
            <w:pPr>
              <w:ind w:left="149"/>
              <w:spacing w:before="117" w:line="219" w:lineRule="auto"/>
              <w:rPr>
                <w:rFonts w:ascii="宋体" w:hAnsi="宋体" w:cs="宋体"/>
                <w:color w:val="000000"/>
                <w:sz w:val="24"/>
                <w:highlight w:val="none"/>
              </w:rPr>
            </w:pPr>
            <w:r>
              <w:rPr>
                <w:rFonts w:ascii="宋体" w:hAnsi="宋体" w:cs="宋体"/>
                <w:color w:val="000000"/>
                <w:spacing w:val="-1"/>
                <w:sz w:val="24"/>
                <w:highlight w:val="none"/>
              </w:rPr>
              <w:t xml:space="preserve">技术证书</w:t>
            </w:r>
            <w:r>
              <w:rPr>
                <w:rFonts w:ascii="宋体" w:hAnsi="宋体" w:cs="宋体"/>
                <w:color w:val="000000"/>
                <w:sz w:val="24"/>
                <w:highlight w:val="none"/>
              </w:rPr>
              <w:t xml:space="preserve">、级别</w:t>
            </w:r>
            <w:r/>
          </w:p>
        </w:tc>
        <w:tc>
          <w:tcPr>
            <w:tcW w:w="1744" w:type="dxa"/>
            <w:textDirection w:val="lrTb"/>
            <w:noWrap w:val="false"/>
          </w:tcPr>
          <w:p>
            <w:pPr>
              <w:ind w:left="269"/>
              <w:spacing w:before="117" w:line="220" w:lineRule="auto"/>
              <w:rPr>
                <w:rFonts w:ascii="宋体" w:hAnsi="宋体" w:cs="宋体"/>
                <w:color w:val="000000"/>
                <w:sz w:val="24"/>
                <w:highlight w:val="none"/>
              </w:rPr>
            </w:pPr>
            <w:r>
              <w:rPr>
                <w:rFonts w:ascii="宋体" w:hAnsi="宋体" w:cs="宋体"/>
                <w:color w:val="000000"/>
                <w:spacing w:val="-1"/>
                <w:sz w:val="24"/>
                <w:highlight w:val="none"/>
              </w:rPr>
              <w:t xml:space="preserve">相关工作经验</w:t>
            </w:r>
            <w:r/>
          </w:p>
        </w:tc>
        <w:tc>
          <w:tcPr>
            <w:tcW w:w="819" w:type="dxa"/>
            <w:textDirection w:val="lrTb"/>
            <w:noWrap w:val="false"/>
          </w:tcPr>
          <w:p>
            <w:pPr>
              <w:ind w:left="230"/>
              <w:spacing w:before="117" w:line="221" w:lineRule="auto"/>
              <w:rPr>
                <w:rFonts w:ascii="宋体" w:hAnsi="宋体" w:cs="宋体"/>
                <w:color w:val="000000"/>
                <w:sz w:val="24"/>
                <w:highlight w:val="none"/>
              </w:rPr>
            </w:pPr>
            <w:r>
              <w:rPr>
                <w:rFonts w:ascii="宋体" w:hAnsi="宋体" w:cs="宋体"/>
                <w:color w:val="000000"/>
                <w:spacing w:val="-3"/>
                <w:sz w:val="24"/>
                <w:highlight w:val="none"/>
              </w:rPr>
              <w:t xml:space="preserve">备</w:t>
            </w:r>
            <w:r>
              <w:rPr>
                <w:rFonts w:ascii="宋体" w:hAnsi="宋体" w:cs="宋体"/>
                <w:color w:val="000000"/>
                <w:spacing w:val="-2"/>
                <w:sz w:val="24"/>
                <w:highlight w:val="none"/>
              </w:rPr>
              <w:t xml:space="preserve">注</w:t>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4"/>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7"/>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bl>
    <w:p>
      <w:pPr>
        <w:ind w:right="28"/>
        <w:spacing w:before="269" w:line="360" w:lineRule="auto"/>
        <w:rPr>
          <w:rFonts w:ascii="宋体" w:hAnsi="宋体" w:cs="宋体"/>
          <w:color w:val="000000"/>
          <w:spacing w:val="-14"/>
          <w:sz w:val="24"/>
          <w:highlight w:val="none"/>
          <w:u w:val="single"/>
        </w:rPr>
      </w:pPr>
      <w:r>
        <w:rPr>
          <w:rFonts w:ascii="宋体" w:hAnsi="宋体" w:cs="宋体"/>
          <w:color w:val="000000"/>
          <w:spacing w:val="-25"/>
          <w:sz w:val="24"/>
          <w:highlight w:val="none"/>
        </w:rPr>
        <w:t xml:space="preserve">注</w:t>
      </w:r>
      <w:r>
        <w:rPr>
          <w:rFonts w:ascii="宋体" w:hAnsi="宋体" w:cs="宋体"/>
          <w:color w:val="000000"/>
          <w:spacing w:val="-14"/>
          <w:sz w:val="24"/>
          <w:highlight w:val="none"/>
        </w:rPr>
        <w:t xml:space="preserve">：1、</w:t>
      </w:r>
      <w:r>
        <w:rPr>
          <w:rFonts w:ascii="宋体" w:hAnsi="宋体" w:cs="宋体"/>
          <w:color w:val="000000"/>
          <w:spacing w:val="-14"/>
          <w:sz w:val="24"/>
          <w:highlight w:val="none"/>
          <w:u w:val="single"/>
        </w:rPr>
        <w:t xml:space="preserve">行数不够，请自行添加。</w:t>
      </w:r>
      <w:r/>
    </w:p>
    <w:p>
      <w:pPr>
        <w:ind w:left="420" w:right="28"/>
        <w:spacing w:before="269" w:line="360" w:lineRule="auto"/>
        <w:rPr>
          <w:rFonts w:ascii="宋体" w:hAnsi="宋体" w:cs="宋体"/>
          <w:color w:val="000000"/>
          <w:spacing w:val="-4"/>
          <w:sz w:val="24"/>
          <w:highlight w:val="none"/>
          <w:u w:val="single"/>
        </w:rPr>
      </w:pPr>
      <w:r>
        <w:rPr>
          <w:rFonts w:hint="eastAsia" w:ascii="宋体" w:hAnsi="宋体" w:cs="宋体"/>
          <w:color w:val="000000"/>
          <w:spacing w:val="-4"/>
          <w:sz w:val="24"/>
          <w:highlight w:val="none"/>
        </w:rPr>
        <w:t xml:space="preserve">2、</w:t>
      </w:r>
      <w:r>
        <w:rPr>
          <w:rFonts w:ascii="宋体" w:hAnsi="宋体" w:cs="宋体"/>
          <w:color w:val="000000"/>
          <w:spacing w:val="-4"/>
          <w:sz w:val="24"/>
          <w:highlight w:val="none"/>
          <w:u w:val="single"/>
        </w:rPr>
        <w:t xml:space="preserve">列入本表人员如要更换，须经采购人同意，擅自更换属违约行为。</w:t>
      </w:r>
      <w:r/>
    </w:p>
    <w:p>
      <w:pPr>
        <w:ind w:left="420" w:right="28"/>
        <w:spacing w:before="269" w:line="360" w:lineRule="auto"/>
        <w:rPr>
          <w:rFonts w:ascii="宋体" w:hAnsi="宋体" w:cs="宋体"/>
          <w:color w:val="000000"/>
          <w:spacing w:val="5"/>
          <w:sz w:val="24"/>
          <w:highlight w:val="none"/>
          <w:u w:val="single"/>
        </w:rPr>
      </w:pPr>
      <w:r>
        <w:rPr>
          <w:rFonts w:ascii="宋体" w:hAnsi="宋体" w:cs="宋体"/>
          <w:color w:val="000000"/>
          <w:spacing w:val="10"/>
          <w:sz w:val="24"/>
          <w:highlight w:val="none"/>
        </w:rPr>
        <w:t xml:space="preserve">3、</w:t>
      </w:r>
      <w:r>
        <w:rPr>
          <w:rFonts w:ascii="宋体" w:hAnsi="宋体" w:cs="宋体"/>
          <w:color w:val="000000"/>
          <w:spacing w:val="6"/>
          <w:sz w:val="24"/>
          <w:highlight w:val="none"/>
          <w:u w:val="single"/>
        </w:rPr>
        <w:t xml:space="preserve">列</w:t>
      </w:r>
      <w:r>
        <w:rPr>
          <w:rFonts w:ascii="宋体" w:hAnsi="宋体" w:cs="宋体"/>
          <w:color w:val="000000"/>
          <w:spacing w:val="5"/>
          <w:sz w:val="24"/>
          <w:highlight w:val="none"/>
          <w:u w:val="single"/>
        </w:rPr>
        <w:t xml:space="preserve">入上表人员需提供近半年(至少一个月)供应商为其缴纳社会保险的证明材料。</w:t>
      </w:r>
      <w:r/>
    </w:p>
    <w:p>
      <w:pPr>
        <w:ind w:left="420" w:right="28"/>
        <w:spacing w:before="269" w:line="360" w:lineRule="auto"/>
        <w:rPr>
          <w:rFonts w:ascii="宋体" w:hAnsi="宋体" w:cs="宋体"/>
          <w:color w:val="000000"/>
          <w:sz w:val="24"/>
          <w:highlight w:val="none"/>
        </w:rPr>
      </w:pPr>
      <w:r>
        <w:rPr>
          <w:rFonts w:ascii="宋体" w:hAnsi="宋体" w:cs="宋体"/>
          <w:color w:val="000000"/>
          <w:spacing w:val="-2"/>
          <w:sz w:val="24"/>
          <w:highlight w:val="none"/>
        </w:rPr>
        <w:t xml:space="preserve">4、</w:t>
      </w:r>
      <w:r>
        <w:rPr>
          <w:rFonts w:ascii="宋体" w:hAnsi="宋体" w:cs="宋体"/>
          <w:color w:val="000000"/>
          <w:spacing w:val="-2"/>
          <w:sz w:val="24"/>
          <w:highlight w:val="none"/>
          <w:u w:val="single"/>
        </w:rPr>
        <w:t xml:space="preserve">列</w:t>
      </w:r>
      <w:r>
        <w:rPr>
          <w:rFonts w:ascii="宋体" w:hAnsi="宋体" w:cs="宋体"/>
          <w:color w:val="000000"/>
          <w:spacing w:val="-1"/>
          <w:sz w:val="24"/>
          <w:highlight w:val="none"/>
          <w:u w:val="single"/>
        </w:rPr>
        <w:t xml:space="preserve">入上表人员具有相关证书、工作经验的，应在本栏目提交相关证明材料扫描件。</w:t>
      </w:r>
      <w:r/>
    </w:p>
    <w:p>
      <w:pPr>
        <w:rPr>
          <w:color w:val="000000"/>
          <w:sz w:val="24"/>
          <w:highlight w:val="none"/>
        </w:rPr>
        <w:sectPr>
          <w:headerReference w:type="default" r:id="rId16"/>
          <w:footerReference w:type="default" r:id="rId37"/>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rPr>
          <w:rFonts w:ascii="宋体" w:hAnsi="宋体" w:cs="宋体"/>
          <w:color w:val="000000"/>
          <w:spacing w:val="-6"/>
          <w:sz w:val="24"/>
          <w:highlight w:val="none"/>
        </w:rPr>
        <w:t xml:space="preserve">(</w:t>
      </w:r>
      <w:r>
        <w:rPr>
          <w:rFonts w:hint="eastAsia" w:ascii="宋体" w:hAnsi="宋体" w:cs="宋体"/>
          <w:color w:val="000000"/>
          <w:spacing w:val="-6"/>
          <w:sz w:val="24"/>
          <w:highlight w:val="none"/>
        </w:rPr>
        <w:t xml:space="preserve">五</w:t>
      </w:r>
      <w:r>
        <w:rPr>
          <w:rFonts w:ascii="宋体" w:hAnsi="宋体" w:cs="宋体"/>
          <w:color w:val="000000"/>
          <w:spacing w:val="-6"/>
          <w:sz w:val="24"/>
          <w:highlight w:val="none"/>
        </w:rPr>
        <w:t xml:space="preserve">)首次报价一览表</w:t>
      </w:r>
      <w:r/>
    </w:p>
    <w:p>
      <w:pPr>
        <w:spacing w:line="266" w:lineRule="auto"/>
        <w:rPr>
          <w:rFonts w:ascii="Arial"/>
          <w:color w:val="000000"/>
          <w:sz w:val="24"/>
          <w:highlight w:val="none"/>
        </w:rPr>
      </w:pPr>
      <w:r>
        <w:rPr>
          <w:rFonts w:ascii="Arial"/>
          <w:color w:val="000000"/>
          <w:sz w:val="24"/>
          <w:highlight w:val="none"/>
        </w:rPr>
      </w:r>
      <w:r/>
    </w:p>
    <w:p>
      <w:pPr>
        <w:jc w:val="center"/>
        <w:spacing w:before="101" w:line="224" w:lineRule="auto"/>
        <w:rPr>
          <w:rFonts w:ascii="宋体" w:hAnsi="宋体" w:cs="宋体"/>
          <w:color w:val="000000"/>
          <w:sz w:val="24"/>
          <w:highlight w:val="none"/>
        </w:rPr>
      </w:pPr>
      <w:r/>
      <w:bookmarkStart w:id="187" w:name="_bookmark87"/>
      <w:r/>
      <w:bookmarkEnd w:id="187"/>
      <w:r>
        <w:rPr>
          <w:rFonts w:ascii="宋体" w:hAnsi="宋体" w:cs="宋体"/>
          <w:color w:val="000000"/>
          <w:spacing w:val="13"/>
          <w:sz w:val="24"/>
          <w:highlight w:val="none"/>
        </w:rPr>
        <w:t xml:space="preserve">首</w:t>
      </w:r>
      <w:r>
        <w:rPr>
          <w:rFonts w:ascii="宋体" w:hAnsi="宋体" w:cs="宋体"/>
          <w:color w:val="000000"/>
          <w:spacing w:val="8"/>
          <w:sz w:val="24"/>
          <w:highlight w:val="none"/>
        </w:rPr>
        <w:t xml:space="preserve">次报价一览表</w:t>
      </w:r>
      <w:r/>
    </w:p>
    <w:p>
      <w:pPr>
        <w:spacing w:line="370" w:lineRule="auto"/>
        <w:rPr>
          <w:rFonts w:ascii="Arial"/>
          <w:color w:val="000000"/>
          <w:sz w:val="24"/>
          <w:highlight w:val="none"/>
        </w:rPr>
      </w:pPr>
      <w:r>
        <w:rPr>
          <w:rFonts w:ascii="Arial"/>
          <w:color w:val="000000"/>
          <w:sz w:val="24"/>
          <w:highlight w:val="none"/>
        </w:rPr>
      </w:r>
      <w:r/>
    </w:p>
    <w:p>
      <w:pPr>
        <w:spacing w:before="78" w:line="219" w:lineRule="auto"/>
        <w:rPr>
          <w:rFonts w:ascii="宋体" w:hAnsi="宋体" w:cs="宋体"/>
          <w:color w:val="000000"/>
          <w:sz w:val="24"/>
          <w:highlight w:val="none"/>
        </w:rPr>
      </w:pPr>
      <w:r>
        <w:rPr>
          <w:rFonts w:ascii="宋体" w:hAnsi="宋体" w:cs="宋体"/>
          <w:color w:val="000000"/>
          <w:spacing w:val="23"/>
          <w:sz w:val="24"/>
          <w:highlight w:val="none"/>
        </w:rPr>
        <w:t xml:space="preserve">单</w:t>
      </w:r>
      <w:r>
        <w:rPr>
          <w:rFonts w:ascii="宋体" w:hAnsi="宋体" w:cs="宋体"/>
          <w:color w:val="000000"/>
          <w:spacing w:val="15"/>
          <w:sz w:val="24"/>
          <w:highlight w:val="none"/>
        </w:rPr>
        <w:t xml:space="preserve">位名称(加盖公章)：</w:t>
      </w:r>
      <w:r/>
    </w:p>
    <w:p>
      <w:pPr>
        <w:spacing w:line="233" w:lineRule="exact"/>
        <w:rPr>
          <w:color w:val="000000"/>
          <w:sz w:val="24"/>
          <w:highlight w:val="none"/>
        </w:rPr>
      </w:pPr>
      <w:r>
        <w:rPr>
          <w:color w:val="000000"/>
          <w:sz w:val="24"/>
          <w:highlight w:val="none"/>
        </w:rPr>
      </w:r>
      <w:r/>
    </w:p>
    <w:tbl>
      <w:tblPr>
        <w:tblStyle w:val="1476"/>
        <w:tblW w:w="899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jc w:val="center"/>
          <w:trHeight w:val="915"/>
        </w:trPr>
        <w:tc>
          <w:tcPr>
            <w:tcW w:w="4737" w:type="dxa"/>
            <w:textDirection w:val="lrTb"/>
            <w:noWrap w:val="false"/>
          </w:tcPr>
          <w:p>
            <w:pPr>
              <w:spacing w:line="256" w:lineRule="auto"/>
              <w:rPr>
                <w:rFonts w:ascii="Arial"/>
                <w:color w:val="000000"/>
                <w:sz w:val="24"/>
                <w:highlight w:val="none"/>
              </w:rPr>
            </w:pPr>
            <w:r>
              <w:rPr>
                <w:rFonts w:ascii="Arial"/>
                <w:color w:val="000000"/>
                <w:sz w:val="24"/>
                <w:highlight w:val="none"/>
              </w:rPr>
            </w:r>
            <w:r/>
          </w:p>
          <w:p>
            <w:pPr>
              <w:ind w:firstLine="1908"/>
              <w:spacing w:before="78" w:line="220" w:lineRule="auto"/>
              <w:rPr>
                <w:rFonts w:ascii="宋体" w:hAnsi="宋体" w:cs="宋体"/>
                <w:color w:val="000000"/>
                <w:sz w:val="24"/>
                <w:highlight w:val="none"/>
              </w:rPr>
            </w:pPr>
            <w:r>
              <w:rPr>
                <w:rFonts w:ascii="宋体" w:hAnsi="宋体" w:cs="宋体"/>
                <w:color w:val="000000"/>
                <w:spacing w:val="-4"/>
                <w:sz w:val="24"/>
                <w:highlight w:val="none"/>
              </w:rPr>
              <w:t xml:space="preserve">标</w:t>
            </w:r>
            <w:r>
              <w:rPr>
                <w:rFonts w:ascii="宋体" w:hAnsi="宋体" w:cs="宋体"/>
                <w:color w:val="000000"/>
                <w:spacing w:val="-2"/>
                <w:sz w:val="24"/>
                <w:highlight w:val="none"/>
              </w:rPr>
              <w:t xml:space="preserve">题</w:t>
            </w:r>
            <w:r/>
          </w:p>
        </w:tc>
        <w:tc>
          <w:tcPr>
            <w:tcW w:w="4254" w:type="dxa"/>
            <w:textDirection w:val="lrTb"/>
            <w:noWrap w:val="false"/>
          </w:tcPr>
          <w:p>
            <w:pPr>
              <w:spacing w:line="255" w:lineRule="auto"/>
              <w:rPr>
                <w:rFonts w:ascii="Arial"/>
                <w:color w:val="000000"/>
                <w:sz w:val="24"/>
                <w:highlight w:val="none"/>
              </w:rPr>
            </w:pPr>
            <w:r>
              <w:rPr>
                <w:rFonts w:ascii="Arial"/>
                <w:color w:val="000000"/>
                <w:sz w:val="24"/>
                <w:highlight w:val="none"/>
              </w:rPr>
            </w:r>
            <w:r/>
          </w:p>
          <w:p>
            <w:pPr>
              <w:ind w:left="1918"/>
              <w:spacing w:before="78" w:line="220" w:lineRule="auto"/>
              <w:rPr>
                <w:rFonts w:ascii="宋体" w:hAnsi="宋体" w:cs="宋体"/>
                <w:color w:val="000000"/>
                <w:sz w:val="24"/>
                <w:highlight w:val="none"/>
              </w:rPr>
            </w:pPr>
            <w:r>
              <w:rPr>
                <w:rFonts w:ascii="宋体" w:hAnsi="宋体" w:cs="宋体"/>
                <w:color w:val="000000"/>
                <w:spacing w:val="-11"/>
                <w:sz w:val="24"/>
                <w:highlight w:val="none"/>
              </w:rPr>
              <w:t xml:space="preserve">内</w:t>
            </w:r>
            <w:r>
              <w:rPr>
                <w:rFonts w:ascii="宋体" w:hAnsi="宋体" w:cs="宋体"/>
                <w:color w:val="000000"/>
                <w:spacing w:val="-9"/>
                <w:sz w:val="24"/>
                <w:highlight w:val="none"/>
              </w:rPr>
              <w:t xml:space="preserve">容</w:t>
            </w:r>
            <w:r/>
          </w:p>
        </w:tc>
      </w:tr>
      <w:tr>
        <w:trPr>
          <w:jc w:val="center"/>
          <w:trHeight w:val="909"/>
        </w:trPr>
        <w:tc>
          <w:tcPr>
            <w:tcW w:w="4737" w:type="dxa"/>
            <w:textDirection w:val="lrTb"/>
            <w:noWrap w:val="false"/>
          </w:tcPr>
          <w:p>
            <w:pPr>
              <w:spacing w:line="254" w:lineRule="auto"/>
              <w:rPr>
                <w:rFonts w:ascii="Arial"/>
                <w:color w:val="000000"/>
                <w:sz w:val="24"/>
                <w:highlight w:val="none"/>
              </w:rPr>
            </w:pPr>
            <w:r>
              <w:rPr>
                <w:rFonts w:ascii="Arial"/>
                <w:color w:val="000000"/>
                <w:sz w:val="24"/>
                <w:highlight w:val="none"/>
              </w:rPr>
            </w:r>
            <w:r/>
          </w:p>
          <w:p>
            <w:pPr>
              <w:ind w:left="1894"/>
              <w:spacing w:before="78" w:line="220" w:lineRule="auto"/>
              <w:rPr>
                <w:rFonts w:ascii="宋体" w:hAnsi="宋体" w:cs="宋体"/>
                <w:color w:val="000000"/>
                <w:sz w:val="24"/>
                <w:highlight w:val="none"/>
              </w:rPr>
            </w:pPr>
            <w:r>
              <w:rPr>
                <w:rFonts w:hint="eastAsia" w:ascii="宋体" w:hAnsi="宋体" w:cs="宋体"/>
                <w:color w:val="000000"/>
                <w:spacing w:val="-2"/>
                <w:sz w:val="24"/>
                <w:highlight w:val="none"/>
              </w:rPr>
              <w:t xml:space="preserve">项目</w:t>
            </w:r>
            <w:r>
              <w:rPr>
                <w:rFonts w:ascii="宋体" w:hAnsi="宋体" w:cs="宋体"/>
                <w:color w:val="000000"/>
                <w:spacing w:val="-2"/>
                <w:sz w:val="24"/>
                <w:highlight w:val="none"/>
              </w:rPr>
              <w:t xml:space="preserve">名称</w:t>
            </w:r>
            <w:r/>
          </w:p>
        </w:tc>
        <w:tc>
          <w:tcPr>
            <w:tcW w:w="4254"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908"/>
        </w:trPr>
        <w:tc>
          <w:tcPr>
            <w:tcW w:w="4737" w:type="dxa"/>
            <w:textDirection w:val="lrTb"/>
            <w:noWrap w:val="false"/>
          </w:tcPr>
          <w:p>
            <w:pPr>
              <w:spacing w:line="255" w:lineRule="auto"/>
              <w:rPr>
                <w:rFonts w:ascii="Arial"/>
                <w:color w:val="000000"/>
                <w:sz w:val="24"/>
                <w:highlight w:val="none"/>
              </w:rPr>
            </w:pPr>
            <w:r>
              <w:rPr>
                <w:rFonts w:ascii="Arial"/>
                <w:color w:val="000000"/>
                <w:sz w:val="24"/>
                <w:highlight w:val="none"/>
              </w:rPr>
            </w:r>
            <w:r/>
          </w:p>
          <w:p>
            <w:pPr>
              <w:ind w:left="1536"/>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w:t>
            </w:r>
            <w:r>
              <w:rPr>
                <w:rFonts w:hint="eastAsia" w:ascii="宋体" w:hAnsi="宋体" w:cs="宋体"/>
                <w:color w:val="000000"/>
                <w:spacing w:val="-2"/>
                <w:sz w:val="24"/>
                <w:highlight w:val="none"/>
              </w:rPr>
              <w:t xml:space="preserve">总报价</w:t>
            </w:r>
            <w:r>
              <w:rPr>
                <w:rFonts w:ascii="宋体" w:hAnsi="宋体" w:cs="宋体"/>
                <w:color w:val="000000"/>
                <w:spacing w:val="-1"/>
                <w:sz w:val="24"/>
                <w:highlight w:val="none"/>
              </w:rPr>
              <w:t xml:space="preserve">大写</w:t>
            </w:r>
            <w:r/>
          </w:p>
        </w:tc>
        <w:tc>
          <w:tcPr>
            <w:tcW w:w="4254"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911"/>
        </w:trPr>
        <w:tc>
          <w:tcPr>
            <w:tcW w:w="4737" w:type="dxa"/>
            <w:textDirection w:val="lrTb"/>
            <w:noWrap w:val="false"/>
          </w:tcPr>
          <w:p>
            <w:pPr>
              <w:spacing w:line="254" w:lineRule="auto"/>
              <w:rPr>
                <w:rFonts w:ascii="Arial"/>
                <w:color w:val="000000"/>
                <w:sz w:val="24"/>
                <w:highlight w:val="none"/>
              </w:rPr>
            </w:pPr>
            <w:r>
              <w:rPr>
                <w:rFonts w:ascii="Arial"/>
                <w:color w:val="000000"/>
                <w:sz w:val="24"/>
                <w:highlight w:val="none"/>
              </w:rPr>
            </w:r>
            <w:r/>
          </w:p>
          <w:p>
            <w:pPr>
              <w:ind w:left="1536"/>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w:t>
            </w:r>
            <w:r>
              <w:rPr>
                <w:rFonts w:hint="eastAsia" w:ascii="宋体" w:hAnsi="宋体" w:cs="宋体"/>
                <w:color w:val="000000"/>
                <w:spacing w:val="-2"/>
                <w:sz w:val="24"/>
                <w:highlight w:val="none"/>
              </w:rPr>
              <w:t xml:space="preserve">总报价</w:t>
            </w:r>
            <w:r>
              <w:rPr>
                <w:rFonts w:ascii="宋体" w:hAnsi="宋体" w:cs="宋体"/>
                <w:color w:val="000000"/>
                <w:spacing w:val="-1"/>
                <w:sz w:val="24"/>
                <w:highlight w:val="none"/>
              </w:rPr>
              <w:t xml:space="preserve">小写</w:t>
            </w:r>
            <w:r/>
          </w:p>
        </w:tc>
        <w:tc>
          <w:tcPr>
            <w:tcW w:w="4254" w:type="dxa"/>
            <w:textDirection w:val="lrTb"/>
            <w:noWrap w:val="false"/>
          </w:tcPr>
          <w:p>
            <w:pPr>
              <w:spacing w:line="254" w:lineRule="auto"/>
              <w:rPr>
                <w:rFonts w:ascii="Arial"/>
                <w:color w:val="000000"/>
                <w:sz w:val="24"/>
                <w:highlight w:val="none"/>
              </w:rPr>
            </w:pPr>
            <w:r>
              <w:rPr>
                <w:rFonts w:ascii="Arial"/>
                <w:color w:val="000000"/>
                <w:sz w:val="24"/>
                <w:highlight w:val="none"/>
              </w:rPr>
            </w:r>
            <w:r/>
          </w:p>
          <w:p>
            <w:pPr>
              <w:jc w:val="center"/>
              <w:spacing w:before="78" w:line="22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18"/>
        </w:trPr>
        <w:tc>
          <w:tcPr>
            <w:tcW w:w="4737" w:type="dxa"/>
            <w:vAlign w:val="center"/>
            <w:textDirection w:val="lrTb"/>
            <w:noWrap w:val="false"/>
          </w:tcPr>
          <w:p>
            <w:pPr>
              <w:jc w:val="center"/>
              <w:spacing w:before="78" w:line="218" w:lineRule="auto"/>
              <w:rPr>
                <w:rFonts w:ascii="宋体" w:hAnsi="宋体" w:cs="宋体"/>
                <w:color w:val="000000"/>
                <w:sz w:val="24"/>
                <w:highlight w:val="none"/>
              </w:rPr>
            </w:pPr>
            <w:r>
              <w:rPr>
                <w:rFonts w:hint="eastAsia" w:ascii="宋体" w:hAnsi="宋体" w:cs="宋体"/>
                <w:color w:val="000000"/>
                <w:sz w:val="24"/>
                <w:highlight w:val="none"/>
              </w:rPr>
              <w:t xml:space="preserve">服务期</w:t>
            </w:r>
            <w:r/>
          </w:p>
        </w:tc>
        <w:tc>
          <w:tcPr>
            <w:tcW w:w="4254" w:type="dxa"/>
            <w:vAlign w:val="center"/>
            <w:textDirection w:val="lrTb"/>
            <w:noWrap w:val="false"/>
          </w:tcPr>
          <w:p>
            <w:pPr>
              <w:jc w:val="center"/>
              <w:spacing w:before="78" w:line="220" w:lineRule="auto"/>
              <w:rPr>
                <w:rFonts w:ascii="宋体" w:hAnsi="宋体" w:cs="宋体"/>
                <w:color w:val="000000"/>
                <w:sz w:val="24"/>
                <w:highlight w:val="none"/>
              </w:rPr>
            </w:pPr>
            <w:r>
              <w:rPr>
                <w:rFonts w:ascii="宋体" w:hAnsi="宋体" w:cs="宋体"/>
                <w:color w:val="000000"/>
                <w:sz w:val="24"/>
                <w:highlight w:val="none"/>
              </w:rPr>
            </w:r>
            <w:r/>
          </w:p>
        </w:tc>
      </w:tr>
    </w:tbl>
    <w:p>
      <w:pPr>
        <w:spacing w:line="262"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ind w:left="6040"/>
        <w:spacing w:before="78" w:line="219" w:lineRule="auto"/>
        <w:rPr>
          <w:rFonts w:ascii="宋体" w:hAnsi="宋体" w:cs="宋体"/>
          <w:color w:val="000000"/>
          <w:sz w:val="24"/>
          <w:highlight w:val="none"/>
        </w:rPr>
      </w:pPr>
      <w:r>
        <w:rPr>
          <w:rFonts w:ascii="宋体" w:hAnsi="宋体" w:cs="宋体"/>
          <w:color w:val="000000"/>
          <w:sz w:val="24"/>
          <w:highlight w:val="none"/>
        </w:rPr>
        <w:t xml:space="preserve">法定代表人签章：</w:t>
      </w:r>
      <w:r/>
    </w:p>
    <w:p>
      <w:pPr>
        <w:ind w:left="6080"/>
        <w:spacing w:before="268" w:line="220" w:lineRule="auto"/>
        <w:rPr>
          <w:rFonts w:ascii="宋体" w:hAnsi="宋体" w:cs="宋体"/>
          <w:color w:val="000000"/>
          <w:sz w:val="24"/>
          <w:highlight w:val="none"/>
        </w:rPr>
      </w:pPr>
      <w:r>
        <w:rPr>
          <w:rFonts w:ascii="宋体" w:hAnsi="宋体" w:cs="宋体"/>
          <w:color w:val="000000"/>
          <w:sz w:val="24"/>
          <w:highlight w:val="none"/>
        </w:rPr>
        <w:t xml:space="preserve">日期：</w:t>
      </w:r>
      <w:r/>
    </w:p>
    <w:p>
      <w:pPr>
        <w:rPr>
          <w:rFonts w:ascii="宋体" w:hAnsi="宋体" w:cs="楷体"/>
          <w:sz w:val="24"/>
          <w:highlight w:val="none"/>
          <w:u w:val="single"/>
        </w:rPr>
      </w:pPr>
      <w:r>
        <w:rPr>
          <w:rFonts w:ascii="宋体" w:hAnsi="宋体" w:cs="楷体"/>
          <w:sz w:val="24"/>
          <w:highlight w:val="none"/>
          <w:u w:val="single"/>
        </w:rPr>
        <w:br w:type="page" w:clear="all"/>
      </w:r>
      <w:r/>
    </w:p>
    <w:p>
      <w:pPr>
        <w:jc w:val="center"/>
        <w:spacing w:before="91" w:line="219" w:lineRule="auto"/>
        <w:rPr>
          <w:rFonts w:ascii="宋体" w:hAnsi="宋体" w:cs="宋体"/>
          <w:color w:val="000000"/>
          <w:spacing w:val="-6"/>
          <w:sz w:val="24"/>
          <w:highlight w:val="none"/>
        </w:rPr>
        <w:outlineLvl w:val="2"/>
      </w:pPr>
      <w:r>
        <w:rPr>
          <w:rFonts w:ascii="宋体" w:hAnsi="宋体" w:cs="宋体"/>
          <w:color w:val="000000"/>
          <w:spacing w:val="-6"/>
          <w:sz w:val="24"/>
          <w:highlight w:val="none"/>
        </w:rPr>
        <w:t xml:space="preserve">(</w:t>
      </w:r>
      <w:r>
        <w:rPr>
          <w:rFonts w:hint="eastAsia" w:ascii="宋体" w:hAnsi="宋体" w:cs="宋体"/>
          <w:color w:val="000000"/>
          <w:spacing w:val="-6"/>
          <w:sz w:val="24"/>
          <w:highlight w:val="none"/>
        </w:rPr>
        <w:t xml:space="preserve">六）</w:t>
      </w:r>
      <w:r>
        <w:rPr>
          <w:rFonts w:ascii="宋体" w:hAnsi="宋体" w:cs="宋体"/>
          <w:color w:val="000000"/>
          <w:spacing w:val="-6"/>
          <w:sz w:val="24"/>
          <w:highlight w:val="none"/>
        </w:rPr>
        <w:t xml:space="preserve">首次明细报价表</w:t>
      </w:r>
      <w:r/>
    </w:p>
    <w:p>
      <w:pPr>
        <w:spacing w:line="120" w:lineRule="exact"/>
        <w:rPr>
          <w:color w:val="000000"/>
          <w:highlight w:val="none"/>
        </w:rPr>
      </w:pPr>
      <w:r>
        <w:rPr>
          <w:color w:val="000000"/>
          <w:highlight w:val="none"/>
        </w:rPr>
      </w:r>
      <w:r/>
    </w:p>
    <w:tbl>
      <w:tblPr>
        <w:tblStyle w:val="1476"/>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296"/>
        <w:gridCol w:w="568"/>
        <w:gridCol w:w="902"/>
        <w:gridCol w:w="1521"/>
        <w:gridCol w:w="1353"/>
        <w:gridCol w:w="59"/>
        <w:gridCol w:w="930"/>
      </w:tblGrid>
      <w:tr>
        <w:trPr>
          <w:jc w:val="center"/>
          <w:trHeight w:val="604"/>
        </w:trPr>
        <w:tc>
          <w:tcPr>
            <w:gridSpan w:val="9"/>
            <w:tcW w:w="8504" w:type="dxa"/>
            <w:vAlign w:val="center"/>
            <w:textDirection w:val="lrTb"/>
            <w:noWrap w:val="false"/>
          </w:tcPr>
          <w:p>
            <w:pPr>
              <w:jc w:val="center"/>
              <w:rPr>
                <w:rFonts w:ascii="宋体" w:hAnsi="宋体" w:cs="宋体"/>
                <w:color w:val="000000"/>
                <w:sz w:val="24"/>
                <w:highlight w:val="none"/>
              </w:rPr>
            </w:pPr>
            <w:r/>
            <w:bookmarkStart w:id="188" w:name="_bookmark88"/>
            <w:r/>
            <w:bookmarkEnd w:id="188"/>
            <w:r>
              <w:rPr>
                <w:rFonts w:hint="eastAsia" w:ascii="宋体" w:hAnsi="宋体" w:cs="宋体"/>
                <w:color w:val="000000"/>
                <w:sz w:val="24"/>
                <w:highlight w:val="none"/>
              </w:rPr>
              <w:t xml:space="preserve">一、服务部分</w:t>
            </w:r>
            <w:r/>
          </w:p>
        </w:tc>
      </w:tr>
      <w:tr>
        <w:trPr>
          <w:jc w:val="center"/>
          <w:trHeight w:val="940"/>
        </w:trPr>
        <w:tc>
          <w:tcPr>
            <w:tcW w:w="479" w:type="dxa"/>
            <w:vAlign w:val="center"/>
            <w:textDirection w:val="tbRlV"/>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39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名称</w:t>
            </w:r>
            <w:r/>
          </w:p>
        </w:tc>
        <w:tc>
          <w:tcPr>
            <w:gridSpan w:val="3"/>
            <w:tcW w:w="276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服务内容</w:t>
            </w:r>
            <w:r/>
          </w:p>
        </w:tc>
        <w:tc>
          <w:tcPr>
            <w:tcW w:w="152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服务期</w:t>
            </w:r>
            <w:r/>
          </w:p>
        </w:tc>
        <w:tc>
          <w:tcPr>
            <w:tcW w:w="135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价格(元)</w:t>
            </w:r>
            <w:r/>
          </w:p>
        </w:tc>
        <w:tc>
          <w:tcPr>
            <w:gridSpan w:val="2"/>
            <w:tcW w:w="98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3"/>
            <w:tcW w:w="276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98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99"/>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3"/>
            <w:tcW w:w="276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98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00"/>
        </w:trPr>
        <w:tc>
          <w:tcPr>
            <w:gridSpan w:val="9"/>
            <w:tcW w:w="850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服务部分小计：   元</w:t>
            </w:r>
            <w:r/>
          </w:p>
        </w:tc>
      </w:tr>
      <w:tr>
        <w:trPr>
          <w:jc w:val="center"/>
          <w:trHeight w:val="598"/>
        </w:trPr>
        <w:tc>
          <w:tcPr>
            <w:gridSpan w:val="9"/>
            <w:tcW w:w="850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二、货物部分</w:t>
            </w:r>
            <w:r/>
          </w:p>
        </w:tc>
      </w:tr>
      <w:tr>
        <w:trPr>
          <w:jc w:val="center"/>
          <w:trHeight w:val="942"/>
        </w:trPr>
        <w:tc>
          <w:tcPr>
            <w:tcW w:w="479" w:type="dxa"/>
            <w:vAlign w:val="center"/>
            <w:textDirection w:val="tbRlV"/>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39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名称</w:t>
            </w:r>
            <w:r/>
          </w:p>
        </w:tc>
        <w:tc>
          <w:tcPr>
            <w:tcW w:w="129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品牌型号</w:t>
            </w:r>
            <w:r/>
          </w:p>
        </w:tc>
        <w:tc>
          <w:tcPr>
            <w:gridSpan w:val="2"/>
            <w:tcW w:w="147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152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单价(元)</w:t>
            </w:r>
            <w:r/>
          </w:p>
        </w:tc>
        <w:tc>
          <w:tcPr>
            <w:gridSpan w:val="2"/>
            <w:tcW w:w="141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合计(元)</w:t>
            </w:r>
            <w:r/>
          </w:p>
        </w:tc>
        <w:tc>
          <w:tcPr>
            <w:tcW w:w="93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7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1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93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00"/>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7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1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93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99"/>
        </w:trPr>
        <w:tc>
          <w:tcPr>
            <w:gridSpan w:val="9"/>
            <w:tcW w:w="850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货物部分小计：   元</w:t>
            </w:r>
            <w:r/>
          </w:p>
        </w:tc>
      </w:tr>
      <w:tr>
        <w:trPr>
          <w:jc w:val="center"/>
          <w:trHeight w:val="940"/>
        </w:trPr>
        <w:tc>
          <w:tcPr>
            <w:gridSpan w:val="4"/>
            <w:tcW w:w="373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其它相关费用(培训、税费等与项目相关的一切费用)</w:t>
            </w:r>
            <w:r/>
          </w:p>
        </w:tc>
        <w:tc>
          <w:tcPr>
            <w:gridSpan w:val="5"/>
            <w:tcW w:w="476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元</w:t>
            </w:r>
            <w:r/>
          </w:p>
        </w:tc>
      </w:tr>
      <w:tr>
        <w:trPr>
          <w:jc w:val="center"/>
          <w:trHeight w:val="477"/>
        </w:trPr>
        <w:tc>
          <w:tcPr>
            <w:gridSpan w:val="4"/>
            <w:tcW w:w="373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项目总报价</w:t>
            </w:r>
            <w:r/>
          </w:p>
        </w:tc>
        <w:tc>
          <w:tcPr>
            <w:gridSpan w:val="5"/>
            <w:tcW w:w="476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元</w:t>
            </w:r>
            <w:r/>
          </w:p>
        </w:tc>
      </w:tr>
    </w:tbl>
    <w:p>
      <w:pPr>
        <w:ind w:left="285"/>
        <w:spacing w:before="113" w:line="218" w:lineRule="auto"/>
        <w:rPr>
          <w:rFonts w:ascii="宋体" w:hAnsi="宋体" w:cs="宋体"/>
          <w:color w:val="000000"/>
          <w:sz w:val="24"/>
          <w:highlight w:val="none"/>
        </w:rPr>
      </w:pPr>
      <w:r>
        <w:rPr>
          <w:rFonts w:ascii="宋体" w:hAnsi="宋体" w:cs="宋体"/>
          <w:color w:val="000000"/>
          <w:sz w:val="24"/>
          <w:highlight w:val="none"/>
        </w:rPr>
        <w:t xml:space="preserve">注：1、</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应当按照招标文件采购需求及相关报价要求填写。</w:t>
      </w:r>
      <w:r/>
    </w:p>
    <w:p>
      <w:pPr>
        <w:ind w:right="116" w:firstLine="726"/>
        <w:spacing w:before="184" w:line="360" w:lineRule="auto"/>
        <w:rPr>
          <w:rFonts w:ascii="宋体" w:hAnsi="宋体" w:cs="宋体"/>
          <w:color w:val="000000"/>
          <w:sz w:val="24"/>
          <w:highlight w:val="none"/>
        </w:rPr>
      </w:pPr>
      <w:r>
        <w:rPr>
          <w:rFonts w:ascii="宋体" w:hAnsi="宋体" w:cs="宋体"/>
          <w:color w:val="000000"/>
          <w:spacing w:val="-10"/>
          <w:sz w:val="24"/>
          <w:highlight w:val="none"/>
        </w:rPr>
        <w:t xml:space="preserve">2</w:t>
      </w:r>
      <w:r>
        <w:rPr>
          <w:rFonts w:ascii="宋体" w:hAnsi="宋体" w:cs="宋体"/>
          <w:color w:val="000000"/>
          <w:spacing w:val="-5"/>
          <w:sz w:val="24"/>
          <w:highlight w:val="none"/>
        </w:rPr>
        <w:t xml:space="preserve">、</w:t>
      </w:r>
      <w:r>
        <w:rPr>
          <w:rFonts w:ascii="宋体" w:hAnsi="宋体" w:cs="宋体"/>
          <w:color w:val="000000"/>
          <w:spacing w:val="-5"/>
          <w:sz w:val="24"/>
          <w:highlight w:val="none"/>
          <w:u w:val="single"/>
        </w:rPr>
        <w:t xml:space="preserve">本表中“其它”由</w:t>
      </w:r>
      <w:r>
        <w:rPr>
          <w:rFonts w:hint="eastAsia" w:ascii="宋体" w:hAnsi="宋体" w:cs="宋体"/>
          <w:color w:val="000000"/>
          <w:spacing w:val="-5"/>
          <w:sz w:val="24"/>
          <w:highlight w:val="none"/>
          <w:u w:val="single"/>
        </w:rPr>
        <w:t xml:space="preserve">供应商</w:t>
      </w:r>
      <w:r>
        <w:rPr>
          <w:rFonts w:ascii="宋体" w:hAnsi="宋体" w:cs="宋体"/>
          <w:color w:val="000000"/>
          <w:spacing w:val="-5"/>
          <w:sz w:val="24"/>
          <w:highlight w:val="none"/>
          <w:u w:val="single"/>
        </w:rPr>
        <w:t xml:space="preserve">根据采购需求及自身经验进行补充填写。项目实施时，除采</w:t>
      </w:r>
      <w:r>
        <w:rPr>
          <w:rFonts w:ascii="宋体" w:hAnsi="宋体" w:cs="宋体"/>
          <w:color w:val="000000"/>
          <w:spacing w:val="-2"/>
          <w:sz w:val="24"/>
          <w:highlight w:val="none"/>
          <w:u w:val="single"/>
        </w:rPr>
        <w:t xml:space="preserve">购人明确提出需要变更增加外，不再增加任何费用，</w:t>
      </w:r>
      <w:r>
        <w:rPr>
          <w:rFonts w:hint="eastAsia" w:ascii="宋体" w:hAnsi="宋体" w:cs="宋体"/>
          <w:color w:val="000000"/>
          <w:spacing w:val="-2"/>
          <w:sz w:val="24"/>
          <w:highlight w:val="none"/>
          <w:u w:val="single"/>
        </w:rPr>
        <w:t xml:space="preserve">供应商</w:t>
      </w:r>
      <w:r>
        <w:rPr>
          <w:rFonts w:ascii="宋体" w:hAnsi="宋体" w:cs="宋体"/>
          <w:color w:val="000000"/>
          <w:spacing w:val="-2"/>
          <w:sz w:val="24"/>
          <w:highlight w:val="none"/>
          <w:u w:val="single"/>
        </w:rPr>
        <w:t xml:space="preserve">应确保本项目能安全、正常</w:t>
      </w:r>
      <w:r>
        <w:rPr>
          <w:rFonts w:ascii="宋体" w:hAnsi="宋体" w:cs="宋体"/>
          <w:color w:val="000000"/>
          <w:spacing w:val="-1"/>
          <w:sz w:val="24"/>
          <w:highlight w:val="none"/>
          <w:u w:val="single"/>
        </w:rPr>
        <w:t xml:space="preserve">运</w:t>
      </w:r>
      <w:r>
        <w:rPr>
          <w:rFonts w:ascii="宋体" w:hAnsi="宋体" w:cs="宋体"/>
          <w:color w:val="000000"/>
          <w:sz w:val="24"/>
          <w:highlight w:val="none"/>
          <w:u w:val="single"/>
        </w:rPr>
        <w:t xml:space="preserve">行</w:t>
      </w:r>
      <w:r>
        <w:rPr>
          <w:rFonts w:ascii="宋体" w:hAnsi="宋体" w:cs="宋体"/>
          <w:color w:val="000000"/>
          <w:spacing w:val="-22"/>
          <w:sz w:val="24"/>
          <w:highlight w:val="none"/>
          <w:u w:val="single"/>
        </w:rPr>
        <w:t xml:space="preserve">并</w:t>
      </w:r>
      <w:r>
        <w:rPr>
          <w:rFonts w:ascii="宋体" w:hAnsi="宋体" w:cs="宋体"/>
          <w:color w:val="000000"/>
          <w:spacing w:val="-20"/>
          <w:sz w:val="24"/>
          <w:highlight w:val="none"/>
          <w:u w:val="single"/>
        </w:rPr>
        <w:t xml:space="preserve">达到采购要求。</w:t>
      </w:r>
      <w:r/>
    </w:p>
    <w:p>
      <w:pPr>
        <w:ind w:left="487" w:firstLine="226"/>
        <w:spacing w:line="218" w:lineRule="auto"/>
        <w:rPr>
          <w:rFonts w:ascii="宋体" w:hAnsi="宋体" w:cs="宋体"/>
          <w:color w:val="000000"/>
          <w:sz w:val="24"/>
          <w:highlight w:val="none"/>
        </w:rPr>
      </w:pPr>
      <w:r>
        <w:rPr>
          <w:rFonts w:ascii="宋体" w:hAnsi="宋体" w:cs="宋体"/>
          <w:color w:val="000000"/>
          <w:spacing w:val="-7"/>
          <w:sz w:val="24"/>
          <w:highlight w:val="none"/>
        </w:rPr>
        <w:t xml:space="preserve">3</w:t>
      </w:r>
      <w:r>
        <w:rPr>
          <w:rFonts w:ascii="宋体" w:hAnsi="宋体" w:cs="宋体"/>
          <w:color w:val="000000"/>
          <w:spacing w:val="-6"/>
          <w:sz w:val="24"/>
          <w:highlight w:val="none"/>
        </w:rPr>
        <w:t xml:space="preserve">、</w:t>
      </w:r>
      <w:r>
        <w:rPr>
          <w:rFonts w:ascii="宋体" w:hAnsi="宋体" w:cs="宋体"/>
          <w:color w:val="000000"/>
          <w:spacing w:val="-6"/>
          <w:sz w:val="24"/>
          <w:highlight w:val="none"/>
          <w:u w:val="single"/>
        </w:rPr>
        <w:t xml:space="preserve">本表中项目总报价应与开标一览表中项目总报价保持一致。</w:t>
      </w:r>
      <w:r/>
    </w:p>
    <w:p>
      <w:pPr>
        <w:ind w:left="481" w:firstLine="208"/>
        <w:spacing w:before="184" w:line="218" w:lineRule="auto"/>
        <w:rPr>
          <w:color w:val="000000"/>
          <w:highlight w:val="none"/>
        </w:rPr>
        <w:sectPr>
          <w:headerReference w:type="default" r:id="rId17"/>
          <w:footerReference w:type="default" r:id="rId38"/>
          <w:footnotePr/>
          <w:endnotePr/>
          <w:type w:val="nextPage"/>
          <w:pgSz w:w="11907" w:h="16839" w:orient="portrait"/>
          <w:pgMar w:top="1125" w:right="1154" w:bottom="1392" w:left="993" w:header="1111" w:footer="1229" w:gutter="0"/>
          <w:cols w:num="1" w:sep="0" w:space="1701" w:equalWidth="1"/>
          <w:docGrid w:linePitch="360"/>
        </w:sectPr>
      </w:pPr>
      <w:r>
        <w:rPr>
          <w:rFonts w:ascii="宋体" w:hAnsi="宋体" w:cs="宋体"/>
          <w:color w:val="000000"/>
          <w:spacing w:val="-16"/>
          <w:sz w:val="24"/>
          <w:highlight w:val="none"/>
        </w:rPr>
        <w:t xml:space="preserve">4</w:t>
      </w:r>
      <w:r>
        <w:rPr>
          <w:rFonts w:ascii="宋体" w:hAnsi="宋体" w:cs="宋体"/>
          <w:color w:val="000000"/>
          <w:spacing w:val="-11"/>
          <w:sz w:val="24"/>
          <w:highlight w:val="none"/>
        </w:rPr>
        <w:t xml:space="preserve">、</w:t>
      </w:r>
      <w:r>
        <w:rPr>
          <w:rFonts w:ascii="宋体" w:hAnsi="宋体" w:cs="宋体"/>
          <w:color w:val="000000"/>
          <w:spacing w:val="-8"/>
          <w:sz w:val="24"/>
          <w:highlight w:val="none"/>
          <w:u w:val="single"/>
        </w:rPr>
        <w:t xml:space="preserve">报价保留至小数点后两位，四舍五入。</w:t>
      </w:r>
      <w:r/>
    </w:p>
    <w:p>
      <w:pPr>
        <w:jc w:val="center"/>
        <w:spacing w:before="101" w:line="225" w:lineRule="auto"/>
        <w:rPr>
          <w:rFonts w:ascii="宋体" w:hAnsi="宋体" w:cs="宋体"/>
          <w:color w:val="000000"/>
          <w:sz w:val="24"/>
          <w:highlight w:val="none"/>
        </w:rPr>
        <w:outlineLvl w:val="1"/>
      </w:pPr>
      <w:r/>
      <w:bookmarkStart w:id="189" w:name="_bookmark89"/>
      <w:r/>
      <w:bookmarkEnd w:id="189"/>
      <w:r>
        <w:rPr>
          <w:rFonts w:ascii="宋体" w:hAnsi="宋体" w:cs="宋体"/>
          <w:color w:val="000000"/>
          <w:spacing w:val="4"/>
          <w:sz w:val="24"/>
          <w:highlight w:val="none"/>
        </w:rPr>
        <w:t xml:space="preserve">四</w:t>
      </w:r>
      <w:r>
        <w:rPr>
          <w:rFonts w:ascii="宋体" w:hAnsi="宋体" w:cs="宋体"/>
          <w:color w:val="000000"/>
          <w:spacing w:val="2"/>
          <w:sz w:val="24"/>
          <w:highlight w:val="none"/>
        </w:rPr>
        <w:t xml:space="preserve">、其他部分</w:t>
      </w:r>
      <w:r/>
    </w:p>
    <w:p>
      <w:pPr>
        <w:rPr>
          <w:color w:val="000000"/>
          <w:sz w:val="24"/>
          <w:highlight w:val="none"/>
        </w:rPr>
        <w:sectPr>
          <w:headerReference w:type="default" r:id="rId18"/>
          <w:footerReference w:type="default" r:id="rId39"/>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360" w:lineRule="auto"/>
        <w:rPr>
          <w:rFonts w:ascii="宋体" w:hAnsi="宋体" w:cs="宋体"/>
          <w:color w:val="000000"/>
          <w:sz w:val="24"/>
          <w:highlight w:val="none"/>
        </w:rPr>
        <w:outlineLvl w:val="2"/>
      </w:pPr>
      <w:r>
        <w:rPr>
          <w:rFonts w:ascii="宋体" w:hAnsi="宋体" w:cs="宋体"/>
          <w:color w:val="000000"/>
          <w:spacing w:val="-6"/>
          <w:sz w:val="24"/>
          <w:highlight w:val="none"/>
        </w:rPr>
        <w:t xml:space="preserve">(一)中小企业声明函</w:t>
      </w:r>
      <w:r/>
    </w:p>
    <w:p>
      <w:pPr>
        <w:pStyle w:val="1501"/>
        <w:jc w:val="center"/>
        <w:spacing w:before="30" w:beforeAutospacing="0" w:after="30" w:afterAutospacing="0"/>
        <w:shd w:val="clear" w:color="auto" w:fill="ffffff"/>
        <w:rPr>
          <w:rStyle w:val="1506"/>
          <w:rFonts w:ascii="Times New Roman" w:hAnsi="Times New Roman" w:eastAsia="宋体" w:cs="Times New Roman"/>
          <w:color w:val="333333"/>
          <w:highlight w:val="none"/>
          <w:shd w:val="clear" w:color="auto" w:fill="ffffff"/>
        </w:rPr>
      </w:pPr>
      <w:r/>
      <w:bookmarkStart w:id="190" w:name="_bookmark90"/>
      <w:r/>
      <w:bookmarkEnd w:id="190"/>
      <w:r>
        <w:rPr>
          <w:rStyle w:val="1506"/>
          <w:rFonts w:hint="eastAsia" w:ascii="Times New Roman" w:hAnsi="Times New Roman" w:eastAsia="宋体" w:cs="Times New Roman"/>
          <w:color w:val="333333"/>
          <w:highlight w:val="none"/>
          <w:shd w:val="clear" w:color="auto" w:fill="ffffff"/>
        </w:rPr>
        <w:t xml:space="preserve">中小微企业声明函（服务类项目）</w:t>
      </w:r>
      <w:r/>
    </w:p>
    <w:p>
      <w:pPr>
        <w:pStyle w:val="1501"/>
        <w:ind w:firstLine="480"/>
        <w:jc w:val="both"/>
        <w:spacing w:before="0" w:beforeAutospacing="0" w:after="0" w:afterAutospacing="0" w:line="360" w:lineRule="auto"/>
        <w:widowControl w:val="off"/>
        <w:rPr>
          <w:highlight w:val="none"/>
        </w:rPr>
      </w:pPr>
      <w:r>
        <w:rPr>
          <w:rFonts w:hint="eastAsia" w:eastAsia="宋体"/>
          <w:highlight w:val="none"/>
        </w:rPr>
        <w:t xml:space="preserve">本公司（联合体）郑重声明，根据《政府采购促进中小企业发展管理办法》(财库〔2020〕46号)的规定，本公司（联合体）参加</w:t>
      </w:r>
      <w:r>
        <w:rPr>
          <w:rFonts w:hint="eastAsia" w:eastAsia="宋体"/>
          <w:highlight w:val="none"/>
          <w:u w:val="single"/>
        </w:rPr>
        <w:t xml:space="preserve">（单位名称）</w:t>
      </w:r>
      <w:r>
        <w:rPr>
          <w:rFonts w:hint="eastAsia" w:eastAsia="宋体"/>
          <w:highlight w:val="none"/>
        </w:rPr>
        <w:t xml:space="preserve">采购编号为</w:t>
      </w:r>
      <w:r>
        <w:rPr>
          <w:rFonts w:hint="eastAsia" w:eastAsia="宋体"/>
          <w:highlight w:val="none"/>
          <w:u w:val="single"/>
        </w:rPr>
        <w:t xml:space="preserve">（采购编号）</w:t>
      </w:r>
      <w:r>
        <w:rPr>
          <w:rFonts w:hint="eastAsia" w:eastAsia="宋体"/>
          <w:highlight w:val="none"/>
        </w:rPr>
        <w:t xml:space="preserve">，</w:t>
      </w:r>
      <w:r>
        <w:rPr>
          <w:rFonts w:hint="eastAsia" w:eastAsia="宋体"/>
          <w:highlight w:val="none"/>
          <w:u w:val="single"/>
        </w:rPr>
        <w:t xml:space="preserve">      </w:t>
      </w:r>
      <w:r>
        <w:rPr>
          <w:rFonts w:hint="eastAsia" w:eastAsia="宋体"/>
          <w:highlight w:val="none"/>
        </w:rPr>
        <w:t xml:space="preserve">项目（项目名称）的采购活动，服务全部由符合政策的中小微企业承接。相关企业（含联合体中的中小微企业、签订采购包意向协议的中小微企业）的具体情况如下：</w:t>
      </w:r>
      <w:r/>
    </w:p>
    <w:p>
      <w:pPr>
        <w:pStyle w:val="1501"/>
        <w:ind w:firstLine="480"/>
        <w:jc w:val="both"/>
        <w:spacing w:before="0" w:beforeAutospacing="0" w:after="0" w:afterAutospacing="0" w:line="360" w:lineRule="auto"/>
        <w:widowControl w:val="off"/>
        <w:rPr>
          <w:highlight w:val="none"/>
        </w:rPr>
      </w:pPr>
      <w:r>
        <w:rPr>
          <w:rFonts w:hint="eastAsia" w:eastAsia="宋体"/>
          <w:highlight w:val="none"/>
        </w:rPr>
        <w:t xml:space="preserve">1.</w:t>
      </w:r>
      <w:r>
        <w:rPr>
          <w:rFonts w:hint="eastAsia" w:eastAsia="宋体"/>
          <w:highlight w:val="none"/>
          <w:u w:val="single"/>
        </w:rPr>
        <w:t xml:space="preserve">（标的名称）</w:t>
      </w:r>
      <w:r>
        <w:rPr>
          <w:rFonts w:hint="eastAsia" w:eastAsia="宋体"/>
          <w:i/>
          <w:iCs/>
          <w:highlight w:val="none"/>
        </w:rPr>
        <w:t xml:space="preserve">，</w:t>
      </w:r>
      <w:r>
        <w:rPr>
          <w:rFonts w:hint="eastAsia" w:eastAsia="宋体"/>
          <w:highlight w:val="none"/>
        </w:rPr>
        <w:t xml:space="preserve">属于</w:t>
      </w:r>
      <w:r>
        <w:rPr>
          <w:rFonts w:hint="eastAsia" w:eastAsia="宋体"/>
          <w:highlight w:val="none"/>
          <w:u w:val="single"/>
        </w:rPr>
        <w:t xml:space="preserve">（供应商填写招标文件中明确的所属行业）</w:t>
      </w:r>
      <w:r>
        <w:rPr>
          <w:rFonts w:hint="eastAsia" w:eastAsia="宋体"/>
          <w:highlight w:val="none"/>
        </w:rPr>
        <w:t xml:space="preserve">行业；承接企业为</w:t>
      </w:r>
      <w:r>
        <w:rPr>
          <w:rFonts w:hint="eastAsia" w:eastAsia="宋体"/>
          <w:highlight w:val="none"/>
          <w:u w:val="single"/>
        </w:rPr>
        <w:t xml:space="preserve">（企业名称）</w:t>
      </w:r>
      <w:r>
        <w:rPr>
          <w:rFonts w:hint="eastAsia" w:eastAsia="宋体"/>
          <w:highlight w:val="none"/>
        </w:rPr>
        <w:t xml:space="preserve">，从业人员</w:t>
      </w:r>
      <w:r>
        <w:rPr>
          <w:rFonts w:hint="eastAsia" w:eastAsia="宋体"/>
          <w:highlight w:val="none"/>
          <w:u w:val="single"/>
        </w:rPr>
        <w:t xml:space="preserve">      </w:t>
      </w:r>
      <w:r>
        <w:rPr>
          <w:rFonts w:hint="eastAsia" w:eastAsia="宋体"/>
          <w:highlight w:val="none"/>
        </w:rPr>
        <w:t xml:space="preserve">人，营业收入为</w:t>
      </w:r>
      <w:r>
        <w:rPr>
          <w:rFonts w:hint="eastAsia" w:eastAsia="宋体"/>
          <w:highlight w:val="none"/>
          <w:u w:val="single"/>
        </w:rPr>
        <w:t xml:space="preserve">     </w:t>
      </w:r>
      <w:r>
        <w:rPr>
          <w:rFonts w:hint="eastAsia" w:eastAsia="宋体"/>
          <w:highlight w:val="none"/>
        </w:rPr>
        <w:t xml:space="preserve">万元，资产总额为</w:t>
      </w:r>
      <w:r>
        <w:rPr>
          <w:rFonts w:hint="eastAsia" w:eastAsia="宋体"/>
          <w:highlight w:val="none"/>
          <w:u w:val="single"/>
        </w:rPr>
        <w:t xml:space="preserve">      </w:t>
      </w:r>
      <w:r>
        <w:rPr>
          <w:rFonts w:hint="eastAsia" w:eastAsia="宋体"/>
          <w:highlight w:val="none"/>
        </w:rPr>
        <w:t xml:space="preserve">万元</w:t>
      </w:r>
      <w:r>
        <w:rPr>
          <w:rFonts w:hint="eastAsia" w:eastAsia="宋体"/>
          <w:highlight w:val="none"/>
          <w:vertAlign w:val="superscript"/>
        </w:rPr>
        <w:t xml:space="preserve">1</w:t>
      </w:r>
      <w:r>
        <w:rPr>
          <w:rFonts w:hint="eastAsia" w:eastAsia="宋体"/>
          <w:highlight w:val="none"/>
        </w:rPr>
        <w:t xml:space="preserve">，属于</w:t>
      </w:r>
      <w:r>
        <w:rPr>
          <w:rFonts w:hint="eastAsia" w:eastAsia="宋体"/>
          <w:highlight w:val="none"/>
          <w:u w:val="single"/>
        </w:rPr>
        <w:t xml:space="preserve">（□中型企业 □小型企业 □微型企业）；</w:t>
      </w:r>
      <w:r/>
    </w:p>
    <w:p>
      <w:pPr>
        <w:pStyle w:val="1501"/>
        <w:ind w:firstLine="480"/>
        <w:jc w:val="both"/>
        <w:spacing w:before="0" w:beforeAutospacing="0" w:after="0" w:afterAutospacing="0" w:line="360" w:lineRule="auto"/>
        <w:widowControl w:val="off"/>
        <w:rPr>
          <w:highlight w:val="none"/>
        </w:rPr>
      </w:pPr>
      <w:r>
        <w:rPr>
          <w:rFonts w:hint="eastAsia" w:eastAsia="宋体"/>
          <w:highlight w:val="none"/>
        </w:rPr>
        <w:t xml:space="preserve">2.</w:t>
      </w:r>
      <w:r>
        <w:rPr>
          <w:rFonts w:hint="eastAsia" w:eastAsia="宋体"/>
          <w:highlight w:val="none"/>
          <w:u w:val="single"/>
        </w:rPr>
        <w:t xml:space="preserve">（标的名称）</w:t>
      </w:r>
      <w:r>
        <w:rPr>
          <w:rFonts w:hint="eastAsia" w:eastAsia="宋体"/>
          <w:i/>
          <w:iCs/>
          <w:highlight w:val="none"/>
        </w:rPr>
        <w:t xml:space="preserve">，</w:t>
      </w:r>
      <w:r>
        <w:rPr>
          <w:rFonts w:hint="eastAsia" w:eastAsia="宋体"/>
          <w:highlight w:val="none"/>
        </w:rPr>
        <w:t xml:space="preserve">属于</w:t>
      </w:r>
      <w:r>
        <w:rPr>
          <w:rFonts w:hint="eastAsia" w:eastAsia="宋体"/>
          <w:highlight w:val="none"/>
          <w:u w:val="single"/>
        </w:rPr>
        <w:t xml:space="preserve">（供应商填写招标文件中明确的所属行业）</w:t>
      </w:r>
      <w:r>
        <w:rPr>
          <w:rFonts w:hint="eastAsia" w:eastAsia="宋体"/>
          <w:highlight w:val="none"/>
        </w:rPr>
        <w:t xml:space="preserve">行业；承接企业为</w:t>
      </w:r>
      <w:r>
        <w:rPr>
          <w:rFonts w:hint="eastAsia" w:eastAsia="宋体"/>
          <w:highlight w:val="none"/>
          <w:u w:val="single"/>
        </w:rPr>
        <w:t xml:space="preserve">（企业名称）</w:t>
      </w:r>
      <w:r>
        <w:rPr>
          <w:rFonts w:hint="eastAsia" w:eastAsia="宋体"/>
          <w:highlight w:val="none"/>
        </w:rPr>
        <w:t xml:space="preserve">，从业人员</w:t>
      </w:r>
      <w:r>
        <w:rPr>
          <w:rFonts w:hint="eastAsia" w:eastAsia="宋体"/>
          <w:highlight w:val="none"/>
          <w:u w:val="single"/>
        </w:rPr>
        <w:t xml:space="preserve">      </w:t>
      </w:r>
      <w:r>
        <w:rPr>
          <w:rFonts w:hint="eastAsia" w:eastAsia="宋体"/>
          <w:highlight w:val="none"/>
        </w:rPr>
        <w:t xml:space="preserve">人，营业收入为</w:t>
      </w:r>
      <w:r>
        <w:rPr>
          <w:rFonts w:hint="eastAsia" w:eastAsia="宋体"/>
          <w:highlight w:val="none"/>
          <w:u w:val="single"/>
        </w:rPr>
        <w:t xml:space="preserve">     </w:t>
      </w:r>
      <w:r>
        <w:rPr>
          <w:rFonts w:hint="eastAsia" w:eastAsia="宋体"/>
          <w:highlight w:val="none"/>
        </w:rPr>
        <w:t xml:space="preserve">万元，资产总额为</w:t>
      </w:r>
      <w:r>
        <w:rPr>
          <w:rFonts w:hint="eastAsia" w:eastAsia="宋体"/>
          <w:highlight w:val="none"/>
          <w:u w:val="single"/>
        </w:rPr>
        <w:t xml:space="preserve">      </w:t>
      </w:r>
      <w:r>
        <w:rPr>
          <w:rFonts w:hint="eastAsia" w:eastAsia="宋体"/>
          <w:highlight w:val="none"/>
        </w:rPr>
        <w:t xml:space="preserve">万元</w:t>
      </w:r>
      <w:r>
        <w:rPr>
          <w:rFonts w:hint="eastAsia" w:eastAsia="宋体"/>
          <w:highlight w:val="none"/>
          <w:vertAlign w:val="superscript"/>
        </w:rPr>
        <w:t xml:space="preserve">1</w:t>
      </w:r>
      <w:r>
        <w:rPr>
          <w:rFonts w:hint="eastAsia" w:eastAsia="宋体"/>
          <w:highlight w:val="none"/>
        </w:rPr>
        <w:t xml:space="preserve">，属于</w:t>
      </w:r>
      <w:r>
        <w:rPr>
          <w:rFonts w:hint="eastAsia" w:eastAsia="宋体"/>
          <w:highlight w:val="none"/>
          <w:u w:val="single"/>
        </w:rPr>
        <w:t xml:space="preserve">（□中型企业 □小型企业 □微型企业）；</w:t>
      </w:r>
      <w:r/>
    </w:p>
    <w:p>
      <w:pPr>
        <w:pStyle w:val="1501"/>
        <w:ind w:firstLine="480"/>
        <w:jc w:val="both"/>
        <w:spacing w:before="0" w:beforeAutospacing="0" w:after="0" w:afterAutospacing="0" w:line="360" w:lineRule="auto"/>
        <w:widowControl w:val="off"/>
        <w:rPr>
          <w:highlight w:val="none"/>
        </w:rPr>
      </w:pPr>
      <w:r>
        <w:rPr>
          <w:rFonts w:hint="eastAsia" w:eastAsia="宋体"/>
          <w:highlight w:val="none"/>
        </w:rPr>
        <w:t xml:space="preserve">……</w:t>
      </w:r>
      <w:r/>
    </w:p>
    <w:p>
      <w:pPr>
        <w:pStyle w:val="1501"/>
        <w:ind w:firstLine="480"/>
        <w:jc w:val="both"/>
        <w:spacing w:before="0" w:beforeAutospacing="0" w:after="0" w:afterAutospacing="0" w:line="360" w:lineRule="auto"/>
        <w:widowControl w:val="off"/>
        <w:rPr>
          <w:highlight w:val="none"/>
        </w:rPr>
      </w:pPr>
      <w:r>
        <w:rPr>
          <w:rFonts w:hint="eastAsia" w:eastAsia="宋体"/>
          <w:highlight w:val="none"/>
        </w:rPr>
        <w:t xml:space="preserve">以上企业，不属于大企业的分支机构，不存在控股股东为大企业的情形，也不存在与大企业的负责人为同一人的情形。</w:t>
      </w:r>
      <w:r/>
    </w:p>
    <w:p>
      <w:pPr>
        <w:pStyle w:val="1501"/>
        <w:ind w:firstLine="480"/>
        <w:jc w:val="both"/>
        <w:spacing w:before="0" w:beforeAutospacing="0" w:after="0" w:afterAutospacing="0" w:line="360" w:lineRule="auto"/>
        <w:widowControl w:val="off"/>
        <w:rPr>
          <w:highlight w:val="none"/>
        </w:rPr>
      </w:pPr>
      <w:r>
        <w:rPr>
          <w:rFonts w:hint="eastAsia" w:eastAsia="宋体"/>
          <w:highlight w:val="none"/>
        </w:rPr>
        <w:t xml:space="preserve">本企业对上述声明内容的真实性负责。如有虚假，将依法承担相应责任</w:t>
      </w:r>
      <w:r/>
    </w:p>
    <w:p>
      <w:pPr>
        <w:pStyle w:val="1501"/>
        <w:ind w:right="720"/>
        <w:jc w:val="both"/>
        <w:spacing w:before="0" w:beforeAutospacing="0" w:after="0" w:afterAutospacing="0" w:line="360" w:lineRule="auto"/>
        <w:widowControl w:val="off"/>
        <w:rPr>
          <w:highlight w:val="none"/>
        </w:rPr>
      </w:pPr>
      <w:r>
        <w:rPr>
          <w:highlight w:val="none"/>
        </w:rPr>
        <w:t xml:space="preserve"> </w:t>
      </w:r>
      <w:r/>
    </w:p>
    <w:p>
      <w:pPr>
        <w:pStyle w:val="1501"/>
        <w:ind w:right="180" w:firstLine="360"/>
        <w:jc w:val="right"/>
        <w:spacing w:before="0" w:beforeAutospacing="0" w:after="0" w:afterAutospacing="0" w:line="360" w:lineRule="auto"/>
        <w:widowControl w:val="off"/>
        <w:rPr>
          <w:highlight w:val="none"/>
        </w:rPr>
      </w:pPr>
      <w:r>
        <w:rPr>
          <w:rFonts w:hint="eastAsia" w:eastAsia="宋体"/>
          <w:highlight w:val="none"/>
        </w:rPr>
        <w:t xml:space="preserve">                                   企业名称（加盖CA电子公章）：</w:t>
      </w:r>
      <w:r/>
    </w:p>
    <w:p>
      <w:pPr>
        <w:pStyle w:val="1501"/>
        <w:ind w:right="180" w:firstLine="360"/>
        <w:jc w:val="right"/>
        <w:spacing w:before="0" w:beforeAutospacing="0" w:after="0" w:afterAutospacing="0" w:line="360" w:lineRule="auto"/>
        <w:widowControl w:val="off"/>
        <w:rPr>
          <w:highlight w:val="none"/>
        </w:rPr>
      </w:pPr>
      <w:r>
        <w:rPr>
          <w:rFonts w:hint="eastAsia" w:eastAsia="宋体"/>
          <w:highlight w:val="none"/>
          <w:shd w:val="clear" w:color="auto" w:fill="ffffff"/>
        </w:rPr>
        <w:t xml:space="preserve">日期：___年____月____日 </w:t>
      </w:r>
      <w:r/>
    </w:p>
    <w:p>
      <w:pPr>
        <w:pStyle w:val="1501"/>
        <w:ind w:firstLine="480"/>
        <w:jc w:val="both"/>
        <w:spacing w:before="0" w:beforeAutospacing="0" w:after="0" w:afterAutospacing="0" w:line="0" w:lineRule="atLeast"/>
        <w:widowControl w:val="off"/>
        <w:rPr>
          <w:highlight w:val="none"/>
        </w:rPr>
      </w:pPr>
      <w:r>
        <w:rPr>
          <w:highlight w:val="none"/>
        </w:rPr>
        <w:t xml:space="preserve"> </w:t>
      </w:r>
      <w:r/>
    </w:p>
    <w:p>
      <w:pPr>
        <w:pStyle w:val="1501"/>
        <w:ind w:firstLine="480"/>
        <w:jc w:val="both"/>
        <w:spacing w:before="0" w:beforeAutospacing="0" w:after="0" w:afterAutospacing="0" w:line="360" w:lineRule="auto"/>
        <w:widowControl w:val="off"/>
        <w:rPr>
          <w:rFonts w:eastAsia="宋体"/>
          <w:highlight w:val="none"/>
        </w:rPr>
      </w:pPr>
      <w:r>
        <w:rPr>
          <w:rFonts w:hint="eastAsia" w:eastAsia="宋体"/>
          <w:highlight w:val="none"/>
        </w:rPr>
        <w:t xml:space="preserve">备注：</w:t>
      </w:r>
      <w:r/>
    </w:p>
    <w:p>
      <w:pPr>
        <w:pStyle w:val="1501"/>
        <w:ind w:firstLine="480"/>
        <w:jc w:val="both"/>
        <w:spacing w:before="0" w:beforeAutospacing="0" w:after="0" w:afterAutospacing="0" w:line="360" w:lineRule="auto"/>
        <w:widowControl w:val="off"/>
        <w:rPr>
          <w:rFonts w:eastAsia="宋体"/>
          <w:highlight w:val="none"/>
        </w:rPr>
      </w:pPr>
      <w:r>
        <w:rPr>
          <w:rFonts w:hint="eastAsia" w:eastAsia="宋体"/>
          <w:highlight w:val="none"/>
        </w:rPr>
        <w:t xml:space="preserve">1.从业人员、营业收入、资产总额填报上一年度数据，无上一年度数据的新成立企业可不填报。</w:t>
      </w:r>
      <w:r/>
    </w:p>
    <w:p>
      <w:pPr>
        <w:pStyle w:val="1501"/>
        <w:ind w:firstLine="480"/>
        <w:jc w:val="both"/>
        <w:spacing w:before="0" w:beforeAutospacing="0" w:after="0" w:afterAutospacing="0" w:line="360" w:lineRule="auto"/>
        <w:widowControl w:val="off"/>
        <w:rPr>
          <w:rFonts w:eastAsia="宋体"/>
          <w:highlight w:val="none"/>
        </w:rPr>
      </w:pPr>
      <w:r>
        <w:rPr>
          <w:rFonts w:hint="eastAsia" w:eastAsia="宋体"/>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1501"/>
        <w:ind w:firstLine="480"/>
        <w:jc w:val="both"/>
        <w:spacing w:before="0" w:beforeAutospacing="0" w:after="0" w:afterAutospacing="0" w:line="360" w:lineRule="auto"/>
        <w:widowControl w:val="off"/>
        <w:rPr>
          <w:rFonts w:eastAsia="宋体"/>
          <w:highlight w:val="none"/>
        </w:rPr>
      </w:pPr>
      <w:r>
        <w:rPr>
          <w:rFonts w:hint="eastAsia" w:eastAsia="宋体"/>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color w:val="000000"/>
          <w:sz w:val="24"/>
          <w:highlight w:val="none"/>
        </w:rPr>
      </w:pPr>
      <w:r>
        <w:rPr>
          <w:color w:val="000000"/>
          <w:sz w:val="24"/>
          <w:highlight w:val="none"/>
        </w:rPr>
        <w:br w:type="page" w:clear="all"/>
      </w:r>
      <w:r/>
    </w:p>
    <w:p>
      <w:pPr>
        <w:jc w:val="center"/>
        <w:spacing w:before="91" w:line="360" w:lineRule="auto"/>
        <w:rPr>
          <w:rFonts w:ascii="宋体" w:hAnsi="宋体" w:cs="宋体"/>
          <w:spacing w:val="-6"/>
          <w:sz w:val="24"/>
          <w:highlight w:val="none"/>
        </w:rPr>
        <w:outlineLvl w:val="2"/>
      </w:pPr>
      <w:r>
        <w:rPr>
          <w:rFonts w:hint="eastAsia" w:ascii="宋体" w:hAnsi="宋体" w:cs="宋体"/>
          <w:spacing w:val="-6"/>
          <w:sz w:val="24"/>
          <w:highlight w:val="none"/>
        </w:rPr>
        <w:t xml:space="preserve">(二)关于符合本国产品标准的声明函</w:t>
      </w:r>
      <w:r/>
    </w:p>
    <w:p>
      <w:pPr>
        <w:pStyle w:val="1501"/>
        <w:jc w:val="center"/>
        <w:spacing w:before="30" w:beforeAutospacing="0" w:after="30" w:afterAutospacing="0"/>
        <w:shd w:val="clear" w:color="auto" w:fill="ffffff"/>
        <w:rPr>
          <w:rFonts w:eastAsia="宋体"/>
          <w:color w:val="auto"/>
          <w:highlight w:val="none"/>
          <w:shd w:val="clear" w:color="auto" w:fill="ffffff"/>
        </w:rPr>
      </w:pPr>
      <w:r>
        <w:rPr>
          <w:rStyle w:val="1506"/>
          <w:rFonts w:hint="eastAsia" w:eastAsia="宋体"/>
          <w:color w:val="auto"/>
          <w:highlight w:val="none"/>
          <w:shd w:val="clear" w:color="auto" w:fill="ffffff"/>
        </w:rPr>
        <w:t xml:space="preserve">关于符合本国产品标准的声明函（本项目不涉及）</w:t>
      </w:r>
      <w:r/>
    </w:p>
    <w:p>
      <w:pPr>
        <w:pStyle w:val="1501"/>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提供的以下产品属于本国产品。具体情况如下：</w:t>
      </w:r>
      <w:r/>
    </w:p>
    <w:p>
      <w:pPr>
        <w:pStyle w:val="1501"/>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1.</w:t>
      </w:r>
      <w:r>
        <w:rPr>
          <w:rStyle w:val="1509"/>
          <w:rFonts w:hint="eastAsia" w:eastAsia="宋体"/>
          <w:color w:val="auto"/>
          <w:highlight w:val="none"/>
          <w:shd w:val="clear" w:color="auto" w:fill="ffffff"/>
        </w:rPr>
        <w:t xml:space="preserve">（产品名称1）</w:t>
      </w:r>
      <w:r>
        <w:rPr>
          <w:rStyle w:val="1509"/>
          <w:rFonts w:hint="eastAsia" w:eastAsia="宋体"/>
          <w:color w:val="auto"/>
          <w:highlight w:val="none"/>
          <w:shd w:val="clear" w:color="auto" w:fill="ffffff"/>
          <w:vertAlign w:val="superscript"/>
        </w:rPr>
        <w:t xml:space="preserve">1</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，生产厂为</w:t>
      </w:r>
      <w:r>
        <w:rPr>
          <w:rStyle w:val="1509"/>
          <w:rFonts w:hint="eastAsia" w:eastAsia="宋体"/>
          <w:color w:val="auto"/>
          <w:highlight w:val="none"/>
          <w:shd w:val="clear" w:color="auto" w:fill="ffffff"/>
        </w:rPr>
        <w:t xml:space="preserve">（厂名）</w:t>
      </w:r>
      <w:r>
        <w:rPr>
          <w:rStyle w:val="1509"/>
          <w:rFonts w:hint="eastAsia" w:eastAsia="宋体"/>
          <w:color w:val="auto"/>
          <w:highlight w:val="none"/>
          <w:shd w:val="clear" w:color="auto" w:fill="ffffff"/>
          <w:vertAlign w:val="superscript"/>
        </w:rPr>
        <w:t xml:space="preserve">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，厂址为</w:t>
      </w:r>
      <w:r>
        <w:rPr>
          <w:rStyle w:val="1509"/>
          <w:rFonts w:hint="eastAsia" w:eastAsia="宋体"/>
          <w:color w:val="auto"/>
          <w:highlight w:val="none"/>
          <w:shd w:val="clear" w:color="auto" w:fill="ffffff"/>
        </w:rPr>
        <w:t xml:space="preserve">（生产厂址）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509"/>
          <w:rFonts w:hint="eastAsia" w:eastAsia="宋体"/>
          <w:color w:val="auto"/>
          <w:highlight w:val="none"/>
          <w:shd w:val="clear" w:color="auto" w:fill="ffffff"/>
        </w:rPr>
        <w:t xml:space="preserve">（产品名称1）</w:t>
      </w:r>
      <w:r>
        <w:rPr>
          <w:rFonts w:hint="eastAsia" w:eastAsia="宋体"/>
          <w:color w:val="auto"/>
          <w:highlight w:val="none"/>
          <w:shd w:val="clear" w:color="auto" w:fill="ffffff"/>
        </w:rPr>
        <w:t xml:space="preserve">的中国境内生产的组件成本占比≥</w:t>
      </w:r>
      <w:r>
        <w:rPr>
          <w:rStyle w:val="1509"/>
          <w:rFonts w:hint="eastAsia" w:eastAsia="宋体"/>
          <w:color w:val="auto"/>
          <w:highlight w:val="none"/>
          <w:shd w:val="clear" w:color="auto" w:fill="ffffff"/>
        </w:rPr>
        <w:t xml:space="preserve">（规定比例）</w:t>
      </w:r>
      <w:r>
        <w:rPr>
          <w:rStyle w:val="1509"/>
          <w:rFonts w:hint="eastAsia" w:eastAsia="宋体"/>
          <w:color w:val="auto"/>
          <w:highlight w:val="none"/>
          <w:shd w:val="clear" w:color="auto" w:fill="ffffff"/>
          <w:vertAlign w:val="superscript"/>
        </w:rPr>
        <w:t xml:space="preserve">3</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509"/>
          <w:rFonts w:hint="eastAsia" w:eastAsia="宋体"/>
          <w:color w:val="auto"/>
          <w:highlight w:val="none"/>
          <w:shd w:val="clear" w:color="auto" w:fill="ffffff"/>
        </w:rPr>
        <w:t xml:space="preserve">（产品名称1）</w:t>
      </w:r>
      <w:r>
        <w:rPr>
          <w:rFonts w:hint="eastAsia" w:eastAsia="宋体"/>
          <w:color w:val="auto"/>
          <w:highlight w:val="none"/>
          <w:shd w:val="clear" w:color="auto" w:fill="ffffff"/>
        </w:rPr>
        <w:t xml:space="preserve">的</w:t>
      </w:r>
      <w:r>
        <w:rPr>
          <w:rStyle w:val="1509"/>
          <w:rFonts w:hint="eastAsia" w:eastAsia="宋体"/>
          <w:color w:val="auto"/>
          <w:highlight w:val="none"/>
          <w:shd w:val="clear" w:color="auto" w:fill="ffffff"/>
        </w:rPr>
        <w:t xml:space="preserve">（关键组件）</w:t>
      </w:r>
      <w:r>
        <w:rPr>
          <w:rStyle w:val="1509"/>
          <w:rFonts w:hint="eastAsia" w:eastAsia="宋体"/>
          <w:color w:val="auto"/>
          <w:highlight w:val="none"/>
          <w:shd w:val="clear" w:color="auto" w:fill="ffffff"/>
          <w:vertAlign w:val="superscript"/>
        </w:rPr>
        <w:t xml:space="preserve">4</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在中国境内生产。</w:t>
      </w:r>
      <w:r>
        <w:rPr>
          <w:rStyle w:val="1509"/>
          <w:rFonts w:hint="eastAsia" w:eastAsia="宋体"/>
          <w:color w:val="auto"/>
          <w:highlight w:val="none"/>
          <w:shd w:val="clear" w:color="auto" w:fill="ffffff"/>
        </w:rPr>
        <w:t xml:space="preserve">（产品名称1）</w:t>
      </w:r>
      <w:r>
        <w:rPr>
          <w:rFonts w:hint="eastAsia" w:eastAsia="宋体"/>
          <w:color w:val="auto"/>
          <w:highlight w:val="none"/>
          <w:shd w:val="clear" w:color="auto" w:fill="ffffff"/>
        </w:rPr>
        <w:t xml:space="preserve">的</w:t>
      </w:r>
      <w:r>
        <w:rPr>
          <w:rStyle w:val="1509"/>
          <w:rFonts w:hint="eastAsia" w:eastAsia="宋体"/>
          <w:color w:val="auto"/>
          <w:highlight w:val="none"/>
          <w:shd w:val="clear" w:color="auto" w:fill="ffffff"/>
        </w:rPr>
        <w:t xml:space="preserve">（关键工序）</w:t>
      </w:r>
      <w:r>
        <w:rPr>
          <w:rStyle w:val="1509"/>
          <w:rFonts w:hint="eastAsia" w:eastAsia="宋体"/>
          <w:color w:val="auto"/>
          <w:highlight w:val="none"/>
          <w:shd w:val="clear" w:color="auto" w:fill="ffffff"/>
          <w:vertAlign w:val="superscript"/>
        </w:rPr>
        <w:t xml:space="preserve">5</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在中国境内完成。</w:t>
      </w:r>
      <w:r/>
    </w:p>
    <w:p>
      <w:pPr>
        <w:pStyle w:val="1501"/>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2.</w:t>
      </w:r>
      <w:r>
        <w:rPr>
          <w:rStyle w:val="1509"/>
          <w:rFonts w:hint="eastAsia" w:eastAsia="宋体"/>
          <w:color w:val="auto"/>
          <w:highlight w:val="none"/>
          <w:shd w:val="clear" w:color="auto" w:fill="ffffff"/>
        </w:rPr>
        <w:t xml:space="preserve">（产品名称2）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，生产厂为</w:t>
      </w:r>
      <w:r>
        <w:rPr>
          <w:rStyle w:val="1509"/>
          <w:rFonts w:hint="eastAsia" w:eastAsia="宋体"/>
          <w:color w:val="auto"/>
          <w:highlight w:val="none"/>
          <w:shd w:val="clear" w:color="auto" w:fill="ffffff"/>
        </w:rPr>
        <w:t xml:space="preserve">（厂名）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，厂址为</w:t>
      </w:r>
      <w:r>
        <w:rPr>
          <w:rStyle w:val="1509"/>
          <w:rFonts w:hint="eastAsia" w:eastAsia="宋体"/>
          <w:color w:val="auto"/>
          <w:highlight w:val="none"/>
          <w:shd w:val="clear" w:color="auto" w:fill="ffffff"/>
        </w:rPr>
        <w:t xml:space="preserve">（生产厂址）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509"/>
          <w:rFonts w:hint="eastAsia" w:eastAsia="宋体"/>
          <w:color w:val="auto"/>
          <w:highlight w:val="none"/>
          <w:shd w:val="clear" w:color="auto" w:fill="ffffff"/>
        </w:rPr>
        <w:t xml:space="preserve">（产品名称2）</w:t>
      </w:r>
      <w:r>
        <w:rPr>
          <w:rFonts w:hint="eastAsia" w:eastAsia="宋体"/>
          <w:color w:val="auto"/>
          <w:highlight w:val="none"/>
          <w:shd w:val="clear" w:color="auto" w:fill="ffffff"/>
        </w:rPr>
        <w:t xml:space="preserve">的中国境内生产的组件成本占比≥</w:t>
      </w:r>
      <w:r>
        <w:rPr>
          <w:rStyle w:val="1509"/>
          <w:rFonts w:hint="eastAsia" w:eastAsia="宋体"/>
          <w:color w:val="auto"/>
          <w:highlight w:val="none"/>
          <w:shd w:val="clear" w:color="auto" w:fill="ffffff"/>
        </w:rPr>
        <w:t xml:space="preserve">（规定比例）</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509"/>
          <w:rFonts w:hint="eastAsia" w:eastAsia="宋体"/>
          <w:color w:val="auto"/>
          <w:highlight w:val="none"/>
          <w:shd w:val="clear" w:color="auto" w:fill="ffffff"/>
        </w:rPr>
        <w:t xml:space="preserve">（产品名称2）</w:t>
      </w:r>
      <w:r>
        <w:rPr>
          <w:rFonts w:hint="eastAsia" w:eastAsia="宋体"/>
          <w:color w:val="auto"/>
          <w:highlight w:val="none"/>
          <w:shd w:val="clear" w:color="auto" w:fill="ffffff"/>
        </w:rPr>
        <w:t xml:space="preserve">的</w:t>
      </w:r>
      <w:r>
        <w:rPr>
          <w:rStyle w:val="1509"/>
          <w:rFonts w:hint="eastAsia" w:eastAsia="宋体"/>
          <w:color w:val="auto"/>
          <w:highlight w:val="none"/>
          <w:shd w:val="clear" w:color="auto" w:fill="ffffff"/>
        </w:rPr>
        <w:t xml:space="preserve">（关键组件）</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在中国境内生产。</w:t>
      </w:r>
      <w:r>
        <w:rPr>
          <w:rStyle w:val="1509"/>
          <w:rFonts w:hint="eastAsia" w:eastAsia="宋体"/>
          <w:color w:val="auto"/>
          <w:highlight w:val="none"/>
          <w:shd w:val="clear" w:color="auto" w:fill="ffffff"/>
        </w:rPr>
        <w:t xml:space="preserve">（产品名称2）</w:t>
      </w:r>
      <w:r>
        <w:rPr>
          <w:rFonts w:hint="eastAsia" w:eastAsia="宋体"/>
          <w:color w:val="auto"/>
          <w:highlight w:val="none"/>
          <w:shd w:val="clear" w:color="auto" w:fill="ffffff"/>
        </w:rPr>
        <w:t xml:space="preserve">的</w:t>
      </w:r>
      <w:r>
        <w:rPr>
          <w:rStyle w:val="1509"/>
          <w:rFonts w:hint="eastAsia" w:eastAsia="宋体"/>
          <w:color w:val="auto"/>
          <w:highlight w:val="none"/>
          <w:shd w:val="clear" w:color="auto" w:fill="ffffff"/>
        </w:rPr>
        <w:t xml:space="preserve">（关键工序）</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在中国境内完成。</w:t>
      </w:r>
      <w:r/>
    </w:p>
    <w:p>
      <w:pPr>
        <w:pStyle w:val="1501"/>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w:t>
      </w:r>
      <w:r/>
    </w:p>
    <w:p>
      <w:pPr>
        <w:pStyle w:val="1501"/>
        <w:ind w:firstLine="420"/>
        <w:spacing w:before="30" w:beforeAutospacing="0" w:after="30" w:afterAutospacing="0" w:line="360" w:lineRule="auto"/>
        <w:shd w:val="clear" w:color="auto" w:fill="ffffff"/>
        <w:rPr>
          <w:rFonts w:eastAsia="宋体"/>
          <w:color w:val="auto"/>
          <w:highlight w:val="none"/>
          <w:shd w:val="clear" w:color="auto" w:fill="ffffff"/>
        </w:rPr>
      </w:pPr>
      <w:r>
        <w:rPr>
          <w:rFonts w:hint="eastAsia" w:eastAsia="宋体"/>
          <w:color w:val="auto"/>
          <w:highlight w:val="none"/>
          <w:shd w:val="clear" w:color="auto" w:fill="ffffff"/>
        </w:rPr>
        <w:t xml:space="preserve">本公司（单位）对上述声明内容的真实性负责。如有虚假，愿承担相应法律责任。</w:t>
      </w:r>
      <w:r/>
    </w:p>
    <w:p>
      <w:pPr>
        <w:pStyle w:val="1501"/>
        <w:ind w:firstLine="420"/>
        <w:jc w:val="right"/>
        <w:spacing w:before="30" w:beforeAutospacing="0" w:after="30" w:afterAutospacing="0" w:line="360" w:lineRule="auto"/>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ind w:firstLine="420"/>
        <w:jc w:val="right"/>
        <w:spacing w:before="30" w:beforeAutospacing="0" w:after="30" w:afterAutospacing="0" w:line="360" w:lineRule="auto"/>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ind w:firstLine="420"/>
        <w:jc w:val="right"/>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公司（单位）名称（盖章）：      </w:t>
      </w:r>
      <w:r/>
    </w:p>
    <w:p>
      <w:pPr>
        <w:pStyle w:val="1501"/>
        <w:ind w:firstLine="420"/>
        <w:jc w:val="right"/>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日期：　　　　　年　　月　日    </w:t>
      </w:r>
      <w:r/>
    </w:p>
    <w:p>
      <w:pPr>
        <w:pStyle w:val="1501"/>
        <w:spacing w:before="30" w:beforeAutospacing="0" w:after="30" w:afterAutospacing="0"/>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spacing w:before="30" w:beforeAutospacing="0" w:after="30" w:afterAutospacing="0"/>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spacing w:before="30" w:beforeAutospacing="0" w:after="30" w:afterAutospacing="0"/>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spacing w:before="30" w:beforeAutospacing="0" w:after="30" w:afterAutospacing="0"/>
        <w:shd w:val="clear" w:color="auto" w:fill="ffffff"/>
        <w:rPr>
          <w:rFonts w:eastAsia="宋体"/>
          <w:color w:val="auto"/>
          <w:highlight w:val="none"/>
        </w:rPr>
      </w:pPr>
      <w:r>
        <w:rPr>
          <w:rFonts w:hint="eastAsia" w:eastAsia="宋体"/>
          <w:color w:val="auto"/>
          <w:highlight w:val="none"/>
          <w:shd w:val="clear" w:color="auto" w:fill="ffffff"/>
        </w:rPr>
        <w:t xml:space="preserve">_____________________________</w:t>
      </w:r>
      <w:r/>
    </w:p>
    <w:p>
      <w:pPr>
        <w:pStyle w:val="1501"/>
        <w:ind w:firstLine="420"/>
        <w:spacing w:before="30" w:beforeAutospacing="0" w:after="30" w:afterAutospacing="0"/>
        <w:shd w:val="clear" w:color="auto" w:fill="ffffff"/>
        <w:rPr>
          <w:rFonts w:eastAsia="宋体"/>
          <w:color w:val="auto"/>
          <w:highlight w:val="none"/>
        </w:rPr>
      </w:pPr>
      <w:r>
        <w:rPr>
          <w:rFonts w:ascii="楷体" w:hAnsi="楷体" w:eastAsia="楷体" w:cs="楷体"/>
          <w:color w:val="auto"/>
          <w:highlight w:val="none"/>
          <w:shd w:val="clear" w:color="auto" w:fill="ffffff"/>
        </w:rPr>
        <w:t xml:space="preserve">1.产品如有型号，请在“产品名称”栏一并填写。</w:t>
      </w:r>
      <w:r/>
    </w:p>
    <w:p>
      <w:pPr>
        <w:pStyle w:val="1501"/>
        <w:ind w:firstLine="420"/>
        <w:spacing w:before="30" w:beforeAutospacing="0" w:after="30" w:afterAutospacing="0"/>
        <w:shd w:val="clear" w:color="auto" w:fill="ffffff"/>
        <w:rPr>
          <w:rFonts w:eastAsia="宋体"/>
          <w:color w:val="auto"/>
          <w:highlight w:val="none"/>
        </w:rPr>
      </w:pPr>
      <w:r>
        <w:rPr>
          <w:rFonts w:hint="eastAsia" w:ascii="楷体" w:hAnsi="楷体" w:eastAsia="楷体" w:cs="楷体"/>
          <w:color w:val="auto"/>
          <w:highlight w:val="none"/>
          <w:shd w:val="clear" w:color="auto" w:fill="ffffff"/>
        </w:rPr>
        <w:t xml:space="preserve">2.生产厂名与厂址应与生产厂营业执照载明的相关信息保持一致。</w:t>
      </w:r>
      <w:r/>
    </w:p>
    <w:p>
      <w:pPr>
        <w:pStyle w:val="1501"/>
        <w:ind w:firstLine="420"/>
        <w:spacing w:before="30" w:beforeAutospacing="0" w:after="30" w:afterAutospacing="0"/>
        <w:shd w:val="clear" w:color="auto" w:fill="ffffff"/>
        <w:rPr>
          <w:rFonts w:eastAsia="宋体"/>
          <w:color w:val="auto"/>
          <w:highlight w:val="none"/>
        </w:rPr>
      </w:pPr>
      <w:r>
        <w:rPr>
          <w:rFonts w:hint="eastAsia" w:ascii="楷体" w:hAnsi="楷体" w:eastAsia="楷体" w:cs="楷体"/>
          <w:color w:val="auto"/>
          <w:highlight w:val="none"/>
          <w:shd w:val="clear" w:color="auto" w:fill="ffffff"/>
        </w:rPr>
        <w:t xml:space="preserve">3.该产品的中国境内生产的组件成本占比相关要求实施前，“规定比例”栏可不填，下同。</w:t>
      </w:r>
      <w:r/>
    </w:p>
    <w:p>
      <w:pPr>
        <w:pStyle w:val="1501"/>
        <w:ind w:firstLine="420"/>
        <w:spacing w:before="30" w:beforeAutospacing="0" w:after="30" w:afterAutospacing="0"/>
        <w:shd w:val="clear" w:color="auto" w:fill="ffffff"/>
        <w:rPr>
          <w:rFonts w:eastAsia="宋体"/>
          <w:color w:val="auto"/>
          <w:highlight w:val="none"/>
        </w:rPr>
      </w:pPr>
      <w:r>
        <w:rPr>
          <w:rFonts w:hint="eastAsia" w:ascii="楷体" w:hAnsi="楷体" w:eastAsia="楷体" w:cs="楷体"/>
          <w:color w:val="auto"/>
          <w:highlight w:val="none"/>
          <w:shd w:val="clear" w:color="auto" w:fill="ffffff"/>
        </w:rPr>
        <w:t xml:space="preserve">4.该产品的关键组件要求实施前，“关键组件”栏可不填，下同。</w:t>
      </w:r>
      <w:r/>
    </w:p>
    <w:p>
      <w:pPr>
        <w:rPr>
          <w:sz w:val="24"/>
          <w:highlight w:val="none"/>
        </w:rPr>
        <w:sectPr>
          <w:headerReference w:type="default" r:id="rId19"/>
          <w:footerReference w:type="default" r:id="rId40"/>
          <w:footnotePr/>
          <w:endnotePr/>
          <w:type w:val="nextPage"/>
          <w:pgSz w:w="11907" w:h="16839" w:orient="portrait"/>
          <w:pgMar w:top="1440" w:right="1800" w:bottom="1440" w:left="1800" w:header="1111" w:footer="1229" w:gutter="0"/>
          <w:cols w:num="1" w:sep="0" w:space="1701" w:equalWidth="1"/>
          <w:docGrid w:linePitch="360"/>
        </w:sectPr>
      </w:pPr>
      <w:r>
        <w:rPr>
          <w:rFonts w:hint="eastAsia" w:ascii="楷体" w:hAnsi="楷体" w:eastAsia="楷体" w:cs="楷体"/>
          <w:sz w:val="24"/>
          <w:highlight w:val="none"/>
          <w:shd w:val="clear" w:color="auto" w:fill="ffffff"/>
        </w:rPr>
        <w:t xml:space="preserve">5.该产品的关键工序要求实施前，“关键工序”栏可不填，下同。</w:t>
      </w:r>
      <w:r/>
    </w:p>
    <w:p>
      <w:pPr>
        <w:pStyle w:val="1781"/>
        <w:jc w:val="center"/>
        <w:rPr>
          <w:rFonts w:ascii="宋体" w:hAnsi="宋体" w:cs="宋体"/>
          <w:color w:val="000000"/>
          <w:spacing w:val="-4"/>
          <w:highlight w:val="none"/>
        </w:rPr>
        <w:sectPr>
          <w:footerReference w:type="default" r:id="rId41"/>
          <w:footnotePr/>
          <w:endnotePr/>
          <w:type w:val="nextPage"/>
          <w:pgSz w:w="11907" w:h="16840" w:orient="portrait"/>
          <w:pgMar w:top="1440" w:right="1800" w:bottom="1440" w:left="1800" w:header="851" w:footer="992" w:gutter="0"/>
          <w:cols w:num="1" w:sep="0" w:space="1701" w:equalWidth="1"/>
          <w:docGrid w:linePitch="360"/>
        </w:sectPr>
        <w:outlineLvl w:val="2"/>
      </w:pPr>
      <w:r/>
      <w:bookmarkStart w:id="191" w:name="_bookmark91"/>
      <w:r/>
      <w:bookmarkEnd w:id="191"/>
      <w:r>
        <w:rPr>
          <w:rFonts w:hint="eastAsia" w:ascii="宋体" w:hAnsi="宋体" w:cs="宋体"/>
          <w:color w:val="000000"/>
          <w:spacing w:val="-4"/>
          <w:highlight w:val="none"/>
          <w:lang w:val="en-US"/>
        </w:rPr>
        <w:t xml:space="preserve">(三)</w:t>
      </w:r>
      <w:r>
        <w:rPr>
          <w:rFonts w:hint="eastAsia" w:ascii="宋体" w:hAnsi="宋体" w:cs="宋体"/>
          <w:color w:val="000000"/>
          <w:spacing w:val="-4"/>
          <w:highlight w:val="none"/>
        </w:rPr>
        <w:t xml:space="preserve">按磋商文件要求供应商所能提供的其他文件</w:t>
      </w:r>
      <w:r/>
    </w:p>
    <w:p>
      <w:pPr>
        <w:jc w:val="center"/>
        <w:rPr>
          <w:rFonts w:ascii="宋体" w:hAnsi="宋体" w:cs="宋体"/>
          <w:sz w:val="24"/>
          <w:highlight w:val="none"/>
        </w:rPr>
      </w:pPr>
      <w:r>
        <w:rPr>
          <w:rFonts w:hint="eastAsia" w:ascii="宋体" w:hAnsi="宋体" w:cs="宋体"/>
          <w:sz w:val="24"/>
          <w:highlight w:val="none"/>
        </w:rPr>
        <w:t xml:space="preserve">告供应商书</w:t>
      </w:r>
      <w:r/>
    </w:p>
    <w:p>
      <w:pPr>
        <w:jc w:val="center"/>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中标（成交）供应商：</w:t>
      </w:r>
      <w:r/>
    </w:p>
    <w:p>
      <w:pPr>
        <w:ind w:firstLine="640"/>
        <w:spacing w:line="360" w:lineRule="auto"/>
        <w:rPr>
          <w:rFonts w:ascii="宋体" w:hAnsi="宋体" w:cs="宋体"/>
          <w:sz w:val="24"/>
          <w:highlight w:val="none"/>
        </w:rPr>
      </w:pPr>
      <w:r>
        <w:rPr>
          <w:rFonts w:hint="eastAsia" w:ascii="宋体" w:hAnsi="宋体" w:cs="宋体"/>
          <w:sz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1"/>
        <w:spacing w:line="360" w:lineRule="auto"/>
        <w:widowControl/>
        <w:rPr>
          <w:rFonts w:ascii="宋体" w:hAnsi="宋体" w:cs="宋体"/>
          <w:sz w:val="24"/>
          <w:highlight w:val="none"/>
        </w:rPr>
      </w:pPr>
      <w:r>
        <w:rPr>
          <w:rFonts w:hint="eastAsia" w:ascii="宋体" w:hAnsi="宋体" w:cs="宋体"/>
          <w:sz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4"/>
          <w:highlight w:val="none"/>
        </w:rPr>
      </w:pPr>
      <w:r>
        <w:rPr>
          <w:rFonts w:hint="eastAsia" w:ascii="宋体" w:hAnsi="宋体" w:cs="宋体"/>
          <w:sz w:val="24"/>
          <w:highlight w:val="none"/>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color w:val="000000"/>
          <w:spacing w:val="-2"/>
          <w:sz w:val="24"/>
          <w:highlight w:val="none"/>
        </w:rPr>
      </w:pPr>
      <w:r>
        <w:rPr>
          <w:rFonts w:hint="eastAsia" w:ascii="宋体" w:hAnsi="宋体" w:cs="宋体"/>
          <w:sz w:val="24"/>
          <w:highlight w:val="none"/>
        </w:rPr>
        <w:t xml:space="preserve">镇江市财政局</w:t>
      </w:r>
      <w:r/>
    </w:p>
    <w:sectPr>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Wingdings 2">
    <w:panose1 w:val="05020102010507070707"/>
  </w:font>
  <w:font w:name="Wingdings">
    <w:panose1 w:val="05000000000000000000"/>
  </w:font>
  <w:font w:name="微软雅黑">
    <w:panose1 w:val="020B0503020204020204"/>
  </w:font>
  <w:font w:name="Calibri">
    <w:panose1 w:val="020F0502020204030204"/>
  </w:font>
  <w:font w:name="Helvetica Neue">
    <w:panose1 w:val="020B0503020202020204"/>
  </w:font>
  <w:font w:name="Courier New">
    <w:panose1 w:val="02070309020205020404"/>
  </w:font>
  <w:font w:name="等线">
    <w:panose1 w:val="02010600030101010101"/>
  </w:font>
  <w:font w:name="等线 Light">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1183416"/>
      <w:rPr/>
    </w:sdtPr>
    <w:sdtContent>
      <w:p>
        <w:pPr>
          <w:pStyle w:val="1490"/>
          <w:jc w:val="center"/>
        </w:pPr>
        <w:r>
          <w:fldChar w:fldCharType="begin"/>
        </w:r>
        <w:r>
          <w:instrText xml:space="preserve">PAGE   \* MERGEFORMAT</w:instrText>
        </w:r>
        <w:r>
          <w:fldChar w:fldCharType="separate"/>
        </w:r>
        <w:r>
          <w:rPr>
            <w:lang w:val="zh-CN"/>
          </w:rPr>
          <w:t xml:space="preserve">38</w:t>
        </w:r>
        <w:r>
          <w:rPr>
            <w:lang w:val="zh-CN"/>
          </w:rPr>
          <w:fldChar w:fldCharType="end"/>
        </w:r>
        <w:r/>
      </w:p>
    </w:sdtContent>
  </w:sdt>
  <w:p>
    <w:pPr>
      <w:pStyle w:val="17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55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56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58</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65</w:t>
                          </w:r>
                          <w:r>
                            <w:fldChar w:fldCharType="end"/>
                          </w:r>
                          <w:r/>
                        </w:p>
                      </w:txbxContent>
                    </wps:txbx>
                    <wps:bodyPr wrap="none" lIns="0" tIns="0" rIns="0" bIns="0" upright="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66</w:t>
                          </w:r>
                          <w:r>
                            <w:fldChar w:fldCharType="end"/>
                          </w:r>
                          <w:r/>
                        </w:p>
                      </w:txbxContent>
                    </wps:txbx>
                    <wps:bodyPr wrap="none" lIns="0" tIns="0" rIns="0" bIns="0" upright="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67</w:t>
                          </w:r>
                          <w:r>
                            <w:fldChar w:fldCharType="end"/>
                          </w:r>
                          <w:r/>
                        </w:p>
                      </w:txbxContent>
                    </wps:txbx>
                    <wps:bodyPr wrap="none" lIns="0" tIns="0" rIns="0" bIns="0" upright="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70</w:t>
                          </w:r>
                          <w:r>
                            <w:fldChar w:fldCharType="end"/>
                          </w:r>
                          <w:r/>
                        </w:p>
                      </w:txbxContent>
                    </wps:txbx>
                    <wps:bodyPr wrap="none" lIns="0" tIns="0" rIns="0" bIns="0" upright="1">
                      <a:spAutoFit/>
                    </wps:bodyPr>
                  </wps:wsp>
                </a:graphicData>
              </a:graphic>
            </wp:anchor>
          </w:drawing>
        </mc:Choice>
        <mc:Fallback>
          <w:pict>
            <v:shape id="shape 17" o:spid="_x0000_s17"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9"/>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73</w:t>
                          </w:r>
                          <w:r>
                            <w:fldChar w:fldCharType="end"/>
                          </w:r>
                          <w:r/>
                        </w:p>
                      </w:txbxContent>
                    </wps:txbx>
                    <wps:bodyPr wrap="none" lIns="0" tIns="0" rIns="0" bIns="0" upright="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1"/>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90"/>
                          </w:pPr>
                          <w:r>
                            <w:fldChar w:fldCharType="begin"/>
                          </w:r>
                          <w:r>
                            <w:instrText xml:space="preserve"> PAGE  \* MERGEFORMAT </w:instrText>
                          </w:r>
                          <w:r>
                            <w:fldChar w:fldCharType="separate"/>
                          </w:r>
                          <w:r>
                            <w:t xml:space="preserve">75</w:t>
                          </w:r>
                          <w:r>
                            <w:fldChar w:fldCharType="end"/>
                          </w:r>
                          <w:r/>
                        </w:p>
                      </w:txbxContent>
                    </wps:txbx>
                    <wps:bodyPr wrap="none" lIns="0" tIns="0" rIns="0" bIns="0" upright="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21"/>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21"/>
    </w:pPr>
    <w:r/>
    <w:r/>
  </w:p>
  <w:p>
    <w:pPr>
      <w:pStyle w:val="1721"/>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0" w:firstLine="0"/>
      </w:pPr>
      <w:rPr>
        <w:rFonts w:hint="eastAsia"/>
        <w:b/>
        <w:bCs/>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sz w:val="28"/>
        <w:szCs w:val="28"/>
      </w:rPr>
    </w:lvl>
    <w:lvl w:ilvl="3">
      <w:start w:val="1"/>
      <w:numFmt w:val="decimal"/>
      <w:isLgl/>
      <w:suff w:val="space"/>
      <w:lvlText w:val="%1.%2.%3.%4"/>
      <w:lvlJc w:val="left"/>
      <w:pPr>
        <w:ind w:left="0" w:firstLine="0"/>
      </w:pPr>
      <w:rPr>
        <w:rFonts w:hint="default"/>
        <w:sz w:val="24"/>
        <w:szCs w:val="24"/>
      </w:rPr>
    </w:lvl>
    <w:lvl w:ilvl="4">
      <w:start w:val="1"/>
      <w:numFmt w:val="decimal"/>
      <w:isLgl/>
      <w:suff w:val="space"/>
      <w:lvlText w:val="%1.%2.%3.%4.%5"/>
      <w:lvlJc w:val="left"/>
      <w:pPr>
        <w:ind w:left="0" w:firstLine="0"/>
      </w:pPr>
      <w:rPr>
        <w:rFonts w:hint="default"/>
        <w:sz w:val="24"/>
        <w:szCs w:val="24"/>
      </w:rPr>
    </w:lvl>
    <w:lvl w:ilvl="5">
      <w:start w:val="1"/>
      <w:numFmt w:val="decimal"/>
      <w:isLgl/>
      <w:suff w:val="space"/>
      <w:lvlText w:val="%1.%2.%3.%4.%5.%6"/>
      <w:lvlJc w:val="left"/>
      <w:pPr>
        <w:ind w:left="0" w:firstLine="0"/>
      </w:pPr>
      <w:rPr>
        <w:rFonts w:hint="eastAsia"/>
      </w:rPr>
    </w:lvl>
    <w:lvl w:ilvl="6">
      <w:start w:val="1"/>
      <w:numFmt w:val="decimal"/>
      <w:isLgl w:val="false"/>
      <w:suff w:val="tab"/>
      <w:lvlText w:val="%1.%2.%3.%4.%5.%6.%7"/>
      <w:lvlJc w:val="left"/>
      <w:pPr>
        <w:ind w:left="3827" w:hanging="1276"/>
      </w:pPr>
      <w:rPr>
        <w:rFonts w:hint="eastAsia"/>
      </w:rPr>
    </w:lvl>
    <w:lvl w:ilvl="7">
      <w:start w:val="1"/>
      <w:numFmt w:val="decimal"/>
      <w:lvlRestart w:val="1"/>
      <w:pStyle w:val="1773"/>
      <w:isLgl/>
      <w:suff w:val="space"/>
      <w:lvlText w:val="图%1-%8"/>
      <w:lvlJc w:val="left"/>
      <w:pPr>
        <w:ind w:left="0" w:firstLine="0"/>
      </w:pPr>
      <w:rPr>
        <w:rFonts w:hint="default" w:ascii="Times New Roman" w:hAnsi="Times New Roman" w:eastAsia="宋体"/>
        <w:sz w:val="21"/>
        <w:szCs w:val="16"/>
      </w:rPr>
    </w:lvl>
    <w:lvl w:ilvl="8">
      <w:start w:val="1"/>
      <w:numFmt w:val="decimal"/>
      <w:lvlRestart w:val="1"/>
      <w:isLgl/>
      <w:suff w:val="space"/>
      <w:lvlText w:val="表%1.%9"/>
      <w:lvlJc w:val="left"/>
      <w:pPr>
        <w:ind w:left="0" w:firstLine="0"/>
      </w:pPr>
      <w:rPr>
        <w:rFonts w:hint="default" w:ascii="Times New Roman" w:hAnsi="Times New Roman" w:eastAsia="宋体"/>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64">
    <w:name w:val="TOC Heading"/>
    <w:uiPriority w:val="39"/>
    <w:unhideWhenUsed/>
  </w:style>
  <w:style w:type="paragraph" w:styleId="14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466">
    <w:name w:val="Heading 1"/>
    <w:basedOn w:val="1465"/>
    <w:next w:val="1465"/>
    <w:link w:val="1551"/>
    <w:uiPriority w:val="9"/>
    <w:qFormat/>
    <w:pPr>
      <w:keepLines/>
      <w:keepNext/>
      <w:spacing w:before="480" w:after="200"/>
      <w:outlineLvl w:val="0"/>
    </w:pPr>
    <w:rPr>
      <w:rFonts w:ascii="Arial" w:hAnsi="Arial" w:eastAsia="Arial" w:cs="Arial"/>
      <w:sz w:val="40"/>
      <w:szCs w:val="40"/>
    </w:rPr>
  </w:style>
  <w:style w:type="paragraph" w:styleId="1467">
    <w:name w:val="Heading 2"/>
    <w:basedOn w:val="1465"/>
    <w:next w:val="1465"/>
    <w:link w:val="1552"/>
    <w:uiPriority w:val="9"/>
    <w:unhideWhenUsed/>
    <w:qFormat/>
    <w:pPr>
      <w:keepLines/>
      <w:keepNext/>
      <w:spacing w:before="360" w:after="200"/>
      <w:outlineLvl w:val="1"/>
    </w:pPr>
    <w:rPr>
      <w:rFonts w:ascii="Arial" w:hAnsi="Arial" w:eastAsia="Arial" w:cs="Arial"/>
      <w:sz w:val="34"/>
    </w:rPr>
  </w:style>
  <w:style w:type="paragraph" w:styleId="1468">
    <w:name w:val="Heading 3"/>
    <w:basedOn w:val="1465"/>
    <w:next w:val="1465"/>
    <w:link w:val="1553"/>
    <w:uiPriority w:val="9"/>
    <w:unhideWhenUsed/>
    <w:qFormat/>
    <w:pPr>
      <w:keepLines/>
      <w:keepNext/>
      <w:spacing w:before="320" w:after="200"/>
      <w:outlineLvl w:val="2"/>
    </w:pPr>
    <w:rPr>
      <w:rFonts w:ascii="Arial" w:hAnsi="Arial" w:eastAsia="Arial" w:cs="Arial"/>
      <w:sz w:val="30"/>
      <w:szCs w:val="30"/>
    </w:rPr>
  </w:style>
  <w:style w:type="paragraph" w:styleId="1469">
    <w:name w:val="Heading 4"/>
    <w:basedOn w:val="1465"/>
    <w:next w:val="1465"/>
    <w:link w:val="1554"/>
    <w:uiPriority w:val="9"/>
    <w:unhideWhenUsed/>
    <w:qFormat/>
    <w:pPr>
      <w:keepLines/>
      <w:keepNext/>
      <w:spacing w:before="320" w:after="200"/>
      <w:outlineLvl w:val="3"/>
    </w:pPr>
    <w:rPr>
      <w:rFonts w:ascii="Arial" w:hAnsi="Arial" w:eastAsia="Arial" w:cs="Arial"/>
      <w:b/>
      <w:bCs/>
      <w:sz w:val="26"/>
      <w:szCs w:val="26"/>
    </w:rPr>
  </w:style>
  <w:style w:type="paragraph" w:styleId="1470">
    <w:name w:val="Heading 5"/>
    <w:basedOn w:val="1465"/>
    <w:next w:val="1465"/>
    <w:link w:val="1555"/>
    <w:uiPriority w:val="9"/>
    <w:unhideWhenUsed/>
    <w:qFormat/>
    <w:pPr>
      <w:keepLines/>
      <w:keepNext/>
      <w:spacing w:before="320" w:after="200"/>
      <w:outlineLvl w:val="4"/>
    </w:pPr>
    <w:rPr>
      <w:rFonts w:ascii="Arial" w:hAnsi="Arial" w:eastAsia="Arial" w:cs="Arial"/>
      <w:b/>
      <w:bCs/>
      <w:sz w:val="24"/>
    </w:rPr>
  </w:style>
  <w:style w:type="paragraph" w:styleId="1471">
    <w:name w:val="Heading 6"/>
    <w:basedOn w:val="1465"/>
    <w:next w:val="1465"/>
    <w:link w:val="1556"/>
    <w:uiPriority w:val="9"/>
    <w:unhideWhenUsed/>
    <w:qFormat/>
    <w:pPr>
      <w:keepLines/>
      <w:keepNext/>
      <w:spacing w:before="320" w:after="200"/>
      <w:outlineLvl w:val="5"/>
    </w:pPr>
    <w:rPr>
      <w:rFonts w:ascii="Arial" w:hAnsi="Arial" w:eastAsia="Arial" w:cs="Arial"/>
      <w:b/>
      <w:bCs/>
      <w:sz w:val="22"/>
      <w:szCs w:val="22"/>
    </w:rPr>
  </w:style>
  <w:style w:type="paragraph" w:styleId="1472">
    <w:name w:val="Heading 7"/>
    <w:basedOn w:val="1465"/>
    <w:next w:val="1465"/>
    <w:link w:val="1557"/>
    <w:uiPriority w:val="9"/>
    <w:unhideWhenUsed/>
    <w:qFormat/>
    <w:pPr>
      <w:keepLines/>
      <w:keepNext/>
      <w:spacing w:before="320" w:after="200"/>
      <w:outlineLvl w:val="6"/>
    </w:pPr>
    <w:rPr>
      <w:rFonts w:ascii="Arial" w:hAnsi="Arial" w:eastAsia="Arial" w:cs="Arial"/>
      <w:b/>
      <w:bCs/>
      <w:i/>
      <w:iCs/>
      <w:sz w:val="22"/>
      <w:szCs w:val="22"/>
    </w:rPr>
  </w:style>
  <w:style w:type="paragraph" w:styleId="1473">
    <w:name w:val="Heading 8"/>
    <w:basedOn w:val="1465"/>
    <w:next w:val="1465"/>
    <w:link w:val="1558"/>
    <w:uiPriority w:val="9"/>
    <w:unhideWhenUsed/>
    <w:qFormat/>
    <w:pPr>
      <w:keepLines/>
      <w:keepNext/>
      <w:spacing w:before="320" w:after="200"/>
      <w:outlineLvl w:val="7"/>
    </w:pPr>
    <w:rPr>
      <w:rFonts w:ascii="Arial" w:hAnsi="Arial" w:eastAsia="Arial" w:cs="Arial"/>
      <w:i/>
      <w:iCs/>
      <w:sz w:val="22"/>
      <w:szCs w:val="22"/>
    </w:rPr>
  </w:style>
  <w:style w:type="paragraph" w:styleId="1474">
    <w:name w:val="Heading 9"/>
    <w:basedOn w:val="1465"/>
    <w:next w:val="1465"/>
    <w:link w:val="1559"/>
    <w:uiPriority w:val="9"/>
    <w:unhideWhenUsed/>
    <w:qFormat/>
    <w:pPr>
      <w:keepLines/>
      <w:keepNext/>
      <w:spacing w:before="320" w:after="200"/>
      <w:outlineLvl w:val="8"/>
    </w:pPr>
    <w:rPr>
      <w:rFonts w:ascii="Arial" w:hAnsi="Arial" w:eastAsia="Arial" w:cs="Arial"/>
      <w:i/>
      <w:iCs/>
      <w:szCs w:val="21"/>
    </w:rPr>
  </w:style>
  <w:style w:type="character" w:styleId="1475" w:default="1">
    <w:name w:val="Default Paragraph Font"/>
    <w:uiPriority w:val="1"/>
    <w:semiHidden/>
    <w:unhideWhenUsed/>
    <w:qFormat/>
  </w:style>
  <w:style w:type="table" w:styleId="1476" w:default="1">
    <w:name w:val="Normal Table"/>
    <w:uiPriority w:val="99"/>
    <w:semiHidden/>
    <w:unhideWhenUsed/>
    <w:qFormat/>
    <w:tblPr>
      <w:tblCellMar>
        <w:left w:w="108" w:type="dxa"/>
        <w:top w:w="0" w:type="dxa"/>
        <w:right w:w="108" w:type="dxa"/>
        <w:bottom w:w="0" w:type="dxa"/>
      </w:tblCellMar>
    </w:tblPr>
  </w:style>
  <w:style w:type="paragraph" w:styleId="1477">
    <w:name w:val="toc 7"/>
    <w:basedOn w:val="1465"/>
    <w:next w:val="1465"/>
    <w:uiPriority w:val="39"/>
    <w:unhideWhenUsed/>
    <w:qFormat/>
    <w:pPr>
      <w:ind w:left="1701"/>
      <w:spacing w:after="57"/>
    </w:pPr>
  </w:style>
  <w:style w:type="paragraph" w:styleId="1478">
    <w:name w:val="Normal Indent"/>
    <w:basedOn w:val="1465"/>
    <w:uiPriority w:val="0"/>
    <w:unhideWhenUsed/>
    <w:qFormat/>
    <w:pPr>
      <w:ind w:firstLine="420"/>
    </w:pPr>
  </w:style>
  <w:style w:type="paragraph" w:styleId="1479">
    <w:name w:val="Caption"/>
    <w:basedOn w:val="1465"/>
    <w:next w:val="1465"/>
    <w:uiPriority w:val="35"/>
    <w:semiHidden/>
    <w:unhideWhenUsed/>
    <w:qFormat/>
    <w:pPr>
      <w:spacing w:line="276" w:lineRule="auto"/>
    </w:pPr>
    <w:rPr>
      <w:b/>
      <w:bCs/>
      <w:color w:val="4f81bd" w:themeColor="accent1"/>
      <w:sz w:val="18"/>
      <w:szCs w:val="18"/>
    </w:rPr>
  </w:style>
  <w:style w:type="paragraph" w:styleId="1480">
    <w:name w:val="annotation text"/>
    <w:basedOn w:val="1465"/>
    <w:uiPriority w:val="99"/>
    <w:semiHidden/>
    <w:unhideWhenUsed/>
    <w:qFormat/>
    <w:pPr>
      <w:jc w:val="left"/>
    </w:pPr>
  </w:style>
  <w:style w:type="paragraph" w:styleId="1481">
    <w:name w:val="Body Text"/>
    <w:basedOn w:val="1465"/>
    <w:next w:val="1465"/>
    <w:uiPriority w:val="0"/>
    <w:semiHidden/>
    <w:qFormat/>
    <w:rPr>
      <w:rFonts w:ascii="Arial" w:hAnsi="Arial" w:eastAsia="Arial" w:cs="Arial"/>
      <w:szCs w:val="21"/>
      <w:lang w:eastAsia="en-US"/>
    </w:rPr>
  </w:style>
  <w:style w:type="paragraph" w:styleId="1482">
    <w:name w:val="Body Text Indent"/>
    <w:basedOn w:val="1465"/>
    <w:next w:val="1483"/>
    <w:uiPriority w:val="99"/>
    <w:qFormat/>
    <w:pPr>
      <w:ind w:firstLine="574"/>
      <w:spacing w:line="312" w:lineRule="atLeast"/>
    </w:pPr>
    <w:rPr>
      <w:rFonts w:ascii="宋体"/>
      <w:sz w:val="28"/>
    </w:rPr>
  </w:style>
  <w:style w:type="paragraph" w:styleId="1483">
    <w:name w:val="envelope return"/>
    <w:basedOn w:val="1465"/>
    <w:uiPriority w:val="0"/>
    <w:qFormat/>
    <w:pPr>
      <w:ind w:left="1701"/>
      <w:jc w:val="left"/>
      <w:spacing w:before="160" w:after="160" w:line="240" w:lineRule="atLeast"/>
      <w:widowControl/>
    </w:pPr>
    <w:rPr>
      <w:rFonts w:ascii="Arial" w:hAnsi="Arial" w:cs="Arial"/>
      <w:szCs w:val="21"/>
    </w:rPr>
  </w:style>
  <w:style w:type="paragraph" w:styleId="1484">
    <w:name w:val="Block Text"/>
    <w:basedOn w:val="1465"/>
    <w:uiPriority w:val="99"/>
    <w:unhideWhenUsed/>
    <w:qFormat/>
    <w:pPr>
      <w:ind w:left="1440" w:right="1440"/>
      <w:spacing w:after="120"/>
    </w:pPr>
  </w:style>
  <w:style w:type="paragraph" w:styleId="1485">
    <w:name w:val="toc 5"/>
    <w:basedOn w:val="1465"/>
    <w:next w:val="1465"/>
    <w:uiPriority w:val="39"/>
    <w:unhideWhenUsed/>
    <w:qFormat/>
    <w:pPr>
      <w:ind w:left="1134"/>
      <w:spacing w:after="57"/>
    </w:pPr>
  </w:style>
  <w:style w:type="paragraph" w:styleId="1486">
    <w:name w:val="toc 3"/>
    <w:basedOn w:val="1465"/>
    <w:next w:val="1465"/>
    <w:uiPriority w:val="39"/>
    <w:unhideWhenUsed/>
    <w:qFormat/>
    <w:pPr>
      <w:ind w:left="567"/>
      <w:spacing w:after="57"/>
    </w:pPr>
  </w:style>
  <w:style w:type="paragraph" w:styleId="1487">
    <w:name w:val="toc 8"/>
    <w:basedOn w:val="1465"/>
    <w:next w:val="1465"/>
    <w:uiPriority w:val="39"/>
    <w:unhideWhenUsed/>
    <w:qFormat/>
    <w:pPr>
      <w:ind w:left="1984"/>
      <w:spacing w:after="57"/>
    </w:pPr>
  </w:style>
  <w:style w:type="paragraph" w:styleId="1488">
    <w:name w:val="endnote text"/>
    <w:basedOn w:val="1465"/>
    <w:link w:val="1696"/>
    <w:uiPriority w:val="99"/>
    <w:semiHidden/>
    <w:unhideWhenUsed/>
    <w:qFormat/>
    <w:rPr>
      <w:sz w:val="20"/>
    </w:rPr>
  </w:style>
  <w:style w:type="paragraph" w:styleId="1489">
    <w:name w:val="Balloon Text"/>
    <w:basedOn w:val="1465"/>
    <w:link w:val="1780"/>
    <w:uiPriority w:val="99"/>
    <w:semiHidden/>
    <w:unhideWhenUsed/>
    <w:qFormat/>
    <w:rPr>
      <w:sz w:val="18"/>
      <w:szCs w:val="18"/>
    </w:rPr>
  </w:style>
  <w:style w:type="paragraph" w:styleId="1490">
    <w:name w:val="Footer"/>
    <w:basedOn w:val="1465"/>
    <w:link w:val="1569"/>
    <w:uiPriority w:val="99"/>
    <w:unhideWhenUsed/>
    <w:qFormat/>
    <w:pPr>
      <w:tabs>
        <w:tab w:val="center" w:pos="7143" w:leader="none"/>
        <w:tab w:val="right" w:pos="14287" w:leader="none"/>
      </w:tabs>
    </w:pPr>
  </w:style>
  <w:style w:type="paragraph" w:styleId="1491">
    <w:name w:val="Header"/>
    <w:basedOn w:val="1465"/>
    <w:link w:val="1567"/>
    <w:uiPriority w:val="99"/>
    <w:unhideWhenUsed/>
    <w:qFormat/>
    <w:pPr>
      <w:tabs>
        <w:tab w:val="center" w:pos="7143" w:leader="none"/>
        <w:tab w:val="right" w:pos="14287" w:leader="none"/>
      </w:tabs>
    </w:pPr>
  </w:style>
  <w:style w:type="paragraph" w:styleId="1492">
    <w:name w:val="toc 1"/>
    <w:basedOn w:val="1465"/>
    <w:next w:val="1465"/>
    <w:uiPriority w:val="39"/>
    <w:unhideWhenUsed/>
    <w:qFormat/>
    <w:pPr>
      <w:spacing w:after="57"/>
    </w:pPr>
  </w:style>
  <w:style w:type="paragraph" w:styleId="1493">
    <w:name w:val="toc 4"/>
    <w:basedOn w:val="1465"/>
    <w:next w:val="1465"/>
    <w:uiPriority w:val="39"/>
    <w:unhideWhenUsed/>
    <w:qFormat/>
    <w:pPr>
      <w:ind w:left="850"/>
      <w:spacing w:after="57"/>
    </w:pPr>
  </w:style>
  <w:style w:type="paragraph" w:styleId="1494">
    <w:name w:val="Subtitle"/>
    <w:basedOn w:val="1465"/>
    <w:next w:val="1465"/>
    <w:link w:val="1562"/>
    <w:uiPriority w:val="11"/>
    <w:qFormat/>
    <w:pPr>
      <w:spacing w:before="200" w:after="200"/>
    </w:pPr>
    <w:rPr>
      <w:sz w:val="24"/>
    </w:rPr>
  </w:style>
  <w:style w:type="paragraph" w:styleId="1495">
    <w:name w:val="footnote text"/>
    <w:basedOn w:val="1465"/>
    <w:link w:val="1695"/>
    <w:uiPriority w:val="99"/>
    <w:semiHidden/>
    <w:unhideWhenUsed/>
    <w:qFormat/>
    <w:pPr>
      <w:spacing w:after="40"/>
    </w:pPr>
    <w:rPr>
      <w:sz w:val="18"/>
    </w:rPr>
  </w:style>
  <w:style w:type="paragraph" w:styleId="1496">
    <w:name w:val="toc 6"/>
    <w:basedOn w:val="1465"/>
    <w:next w:val="1465"/>
    <w:uiPriority w:val="39"/>
    <w:unhideWhenUsed/>
    <w:qFormat/>
    <w:pPr>
      <w:ind w:left="1417"/>
      <w:spacing w:after="57"/>
    </w:pPr>
  </w:style>
  <w:style w:type="paragraph" w:styleId="1497">
    <w:name w:val="table of figures"/>
    <w:basedOn w:val="1465"/>
    <w:next w:val="1465"/>
    <w:uiPriority w:val="99"/>
    <w:unhideWhenUsed/>
    <w:qFormat/>
  </w:style>
  <w:style w:type="paragraph" w:styleId="1498">
    <w:name w:val="toc 2"/>
    <w:basedOn w:val="1465"/>
    <w:next w:val="1465"/>
    <w:uiPriority w:val="39"/>
    <w:unhideWhenUsed/>
    <w:qFormat/>
    <w:pPr>
      <w:ind w:left="283"/>
      <w:spacing w:after="57"/>
    </w:pPr>
  </w:style>
  <w:style w:type="paragraph" w:styleId="1499">
    <w:name w:val="toc 9"/>
    <w:basedOn w:val="1465"/>
    <w:next w:val="1465"/>
    <w:uiPriority w:val="39"/>
    <w:unhideWhenUsed/>
    <w:qFormat/>
    <w:pPr>
      <w:ind w:left="2268"/>
      <w:spacing w:after="57"/>
    </w:pPr>
  </w:style>
  <w:style w:type="paragraph" w:styleId="1500">
    <w:name w:val="Body Text 2"/>
    <w:basedOn w:val="1465"/>
    <w:uiPriority w:val="0"/>
    <w:qFormat/>
    <w:pPr>
      <w:spacing w:after="120" w:line="480" w:lineRule="auto"/>
    </w:pPr>
  </w:style>
  <w:style w:type="paragraph" w:styleId="1501">
    <w:name w:val="Normal (Web)"/>
    <w:basedOn w:val="146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502">
    <w:name w:val="Title"/>
    <w:basedOn w:val="1465"/>
    <w:next w:val="1465"/>
    <w:link w:val="1561"/>
    <w:uiPriority w:val="10"/>
    <w:qFormat/>
    <w:pPr>
      <w:contextualSpacing/>
      <w:spacing w:before="300" w:after="200"/>
    </w:pPr>
    <w:rPr>
      <w:sz w:val="48"/>
      <w:szCs w:val="48"/>
    </w:rPr>
  </w:style>
  <w:style w:type="paragraph" w:styleId="1503">
    <w:name w:val="Body Text First Indent"/>
    <w:basedOn w:val="1481"/>
    <w:uiPriority w:val="0"/>
    <w:qFormat/>
    <w:pPr>
      <w:ind w:firstLine="420"/>
      <w:spacing w:line="360" w:lineRule="auto"/>
    </w:pPr>
    <w:rPr>
      <w:sz w:val="20"/>
    </w:rPr>
  </w:style>
  <w:style w:type="paragraph" w:styleId="1504">
    <w:name w:val="Body Text First Indent 2"/>
    <w:basedOn w:val="1482"/>
    <w:uiPriority w:val="99"/>
    <w:unhideWhenUsed/>
    <w:qFormat/>
    <w:pPr>
      <w:ind w:left="420" w:firstLine="420"/>
      <w:spacing w:after="120"/>
    </w:pPr>
    <w:rPr>
      <w:rFonts w:ascii="Times New Roman"/>
      <w:sz w:val="20"/>
    </w:rPr>
  </w:style>
  <w:style w:type="table" w:styleId="15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06">
    <w:name w:val="Strong"/>
    <w:basedOn w:val="1475"/>
    <w:uiPriority w:val="0"/>
    <w:qFormat/>
    <w:rPr>
      <w:b/>
      <w:bCs/>
    </w:rPr>
  </w:style>
  <w:style w:type="character" w:styleId="1507">
    <w:name w:val="endnote reference"/>
    <w:uiPriority w:val="99"/>
    <w:semiHidden/>
    <w:unhideWhenUsed/>
    <w:qFormat/>
    <w:rPr>
      <w:vertAlign w:val="superscript"/>
    </w:rPr>
  </w:style>
  <w:style w:type="character" w:styleId="1508">
    <w:name w:val="page number"/>
    <w:basedOn w:val="1475"/>
    <w:uiPriority w:val="0"/>
    <w:qFormat/>
  </w:style>
  <w:style w:type="character" w:styleId="1509">
    <w:name w:val="Emphasis"/>
    <w:basedOn w:val="1475"/>
    <w:uiPriority w:val="20"/>
    <w:qFormat/>
    <w:rPr>
      <w:color w:val="cc0000"/>
    </w:rPr>
  </w:style>
  <w:style w:type="character" w:styleId="1510">
    <w:name w:val="Hyperlink"/>
    <w:uiPriority w:val="99"/>
    <w:unhideWhenUsed/>
    <w:qFormat/>
    <w:rPr>
      <w:color w:val="0000ff" w:themeColor="hyperlink"/>
      <w:u w:val="single"/>
    </w:rPr>
  </w:style>
  <w:style w:type="character" w:styleId="1511">
    <w:name w:val="footnote reference"/>
    <w:uiPriority w:val="99"/>
    <w:unhideWhenUsed/>
    <w:qFormat/>
    <w:rPr>
      <w:vertAlign w:val="superscript"/>
    </w:rPr>
  </w:style>
  <w:style w:type="paragraph" w:styleId="1512" w:customStyle="1">
    <w:name w:val="正文缩进1"/>
    <w:basedOn w:val="1465"/>
    <w:link w:val="1705"/>
    <w:uiPriority w:val="0"/>
    <w:qFormat/>
    <w:pPr>
      <w:ind w:firstLine="420"/>
    </w:pPr>
    <w:rPr>
      <w:rFonts w:ascii="Arial" w:hAnsi="Arial" w:eastAsia="楷体_GB2312"/>
      <w:sz w:val="20"/>
      <w:szCs w:val="20"/>
    </w:rPr>
  </w:style>
  <w:style w:type="character" w:styleId="1513" w:customStyle="1">
    <w:name w:val="Heading 1 Char"/>
    <w:basedOn w:val="1475"/>
    <w:uiPriority w:val="9"/>
    <w:qFormat/>
    <w:rPr>
      <w:rFonts w:ascii="Arial" w:hAnsi="Arial" w:eastAsia="Arial" w:cs="Arial"/>
      <w:sz w:val="40"/>
      <w:szCs w:val="40"/>
    </w:rPr>
  </w:style>
  <w:style w:type="character" w:styleId="1514" w:customStyle="1">
    <w:name w:val="Heading 2 Char"/>
    <w:basedOn w:val="1475"/>
    <w:uiPriority w:val="9"/>
    <w:qFormat/>
    <w:rPr>
      <w:rFonts w:ascii="Arial" w:hAnsi="Arial" w:eastAsia="Arial" w:cs="Arial"/>
      <w:sz w:val="34"/>
    </w:rPr>
  </w:style>
  <w:style w:type="character" w:styleId="1515" w:customStyle="1">
    <w:name w:val="Heading 3 Char"/>
    <w:basedOn w:val="1475"/>
    <w:uiPriority w:val="9"/>
    <w:qFormat/>
    <w:rPr>
      <w:rFonts w:ascii="Arial" w:hAnsi="Arial" w:eastAsia="Arial" w:cs="Arial"/>
      <w:sz w:val="30"/>
      <w:szCs w:val="30"/>
    </w:rPr>
  </w:style>
  <w:style w:type="character" w:styleId="1516" w:customStyle="1">
    <w:name w:val="Heading 4 Char"/>
    <w:basedOn w:val="1475"/>
    <w:uiPriority w:val="9"/>
    <w:qFormat/>
    <w:rPr>
      <w:rFonts w:ascii="Arial" w:hAnsi="Arial" w:eastAsia="Arial" w:cs="Arial"/>
      <w:b/>
      <w:bCs/>
      <w:sz w:val="26"/>
      <w:szCs w:val="26"/>
    </w:rPr>
  </w:style>
  <w:style w:type="character" w:styleId="1517" w:customStyle="1">
    <w:name w:val="Heading 5 Char"/>
    <w:basedOn w:val="1475"/>
    <w:uiPriority w:val="9"/>
    <w:qFormat/>
    <w:rPr>
      <w:rFonts w:ascii="Arial" w:hAnsi="Arial" w:eastAsia="Arial" w:cs="Arial"/>
      <w:b/>
      <w:bCs/>
      <w:sz w:val="24"/>
      <w:szCs w:val="24"/>
    </w:rPr>
  </w:style>
  <w:style w:type="character" w:styleId="1518" w:customStyle="1">
    <w:name w:val="Heading 6 Char"/>
    <w:basedOn w:val="1475"/>
    <w:uiPriority w:val="9"/>
    <w:qFormat/>
    <w:rPr>
      <w:rFonts w:ascii="Arial" w:hAnsi="Arial" w:eastAsia="Arial" w:cs="Arial"/>
      <w:b/>
      <w:bCs/>
      <w:sz w:val="22"/>
      <w:szCs w:val="22"/>
    </w:rPr>
  </w:style>
  <w:style w:type="character" w:styleId="1519" w:customStyle="1">
    <w:name w:val="Heading 7 Char"/>
    <w:basedOn w:val="1475"/>
    <w:uiPriority w:val="9"/>
    <w:qFormat/>
    <w:rPr>
      <w:rFonts w:ascii="Arial" w:hAnsi="Arial" w:eastAsia="Arial" w:cs="Arial"/>
      <w:b/>
      <w:bCs/>
      <w:i/>
      <w:iCs/>
      <w:sz w:val="22"/>
      <w:szCs w:val="22"/>
    </w:rPr>
  </w:style>
  <w:style w:type="character" w:styleId="1520" w:customStyle="1">
    <w:name w:val="Heading 8 Char"/>
    <w:basedOn w:val="1475"/>
    <w:uiPriority w:val="9"/>
    <w:qFormat/>
    <w:rPr>
      <w:rFonts w:ascii="Arial" w:hAnsi="Arial" w:eastAsia="Arial" w:cs="Arial"/>
      <w:i/>
      <w:iCs/>
      <w:sz w:val="22"/>
      <w:szCs w:val="22"/>
    </w:rPr>
  </w:style>
  <w:style w:type="character" w:styleId="1521" w:customStyle="1">
    <w:name w:val="Heading 9 Char"/>
    <w:basedOn w:val="1475"/>
    <w:uiPriority w:val="9"/>
    <w:qFormat/>
    <w:rPr>
      <w:rFonts w:ascii="Arial" w:hAnsi="Arial" w:eastAsia="Arial" w:cs="Arial"/>
      <w:i/>
      <w:iCs/>
      <w:sz w:val="21"/>
      <w:szCs w:val="21"/>
    </w:rPr>
  </w:style>
  <w:style w:type="character" w:styleId="1522" w:customStyle="1">
    <w:name w:val="Title Char"/>
    <w:basedOn w:val="1475"/>
    <w:uiPriority w:val="10"/>
    <w:qFormat/>
    <w:rPr>
      <w:sz w:val="48"/>
      <w:szCs w:val="48"/>
    </w:rPr>
  </w:style>
  <w:style w:type="character" w:styleId="1523" w:customStyle="1">
    <w:name w:val="Subtitle Char"/>
    <w:basedOn w:val="1475"/>
    <w:uiPriority w:val="11"/>
    <w:qFormat/>
    <w:rPr>
      <w:sz w:val="24"/>
      <w:szCs w:val="24"/>
    </w:rPr>
  </w:style>
  <w:style w:type="character" w:styleId="1524" w:customStyle="1">
    <w:name w:val="Quote Char"/>
    <w:uiPriority w:val="29"/>
    <w:qFormat/>
    <w:rPr>
      <w:i/>
    </w:rPr>
  </w:style>
  <w:style w:type="character" w:styleId="1525" w:customStyle="1">
    <w:name w:val="Intense Quote Char"/>
    <w:uiPriority w:val="30"/>
    <w:qFormat/>
    <w:rPr>
      <w:i/>
    </w:rPr>
  </w:style>
  <w:style w:type="character" w:styleId="1526" w:customStyle="1">
    <w:name w:val="Header Char"/>
    <w:basedOn w:val="1475"/>
    <w:uiPriority w:val="99"/>
    <w:qFormat/>
  </w:style>
  <w:style w:type="character" w:styleId="1527" w:customStyle="1">
    <w:name w:val="Caption Char"/>
    <w:uiPriority w:val="99"/>
    <w:qFormat/>
  </w:style>
  <w:style w:type="table" w:styleId="1528" w:customStyle="1">
    <w:name w:val="Plain Table 1"/>
    <w:basedOn w:val="14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29" w:customStyle="1">
    <w:name w:val="Plain Table 2"/>
    <w:basedOn w:val="14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0" w:customStyle="1">
    <w:name w:val="Plain Table 3"/>
    <w:basedOn w:val="14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31" w:customStyle="1">
    <w:name w:val="Plain Table 4"/>
    <w:basedOn w:val="14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2" w:customStyle="1">
    <w:name w:val="Plain Table 5"/>
    <w:basedOn w:val="14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3" w:customStyle="1">
    <w:name w:val="Grid Table 1 Light"/>
    <w:basedOn w:val="14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34" w:customStyle="1">
    <w:name w:val="Grid Table 2"/>
    <w:basedOn w:val="14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35" w:customStyle="1">
    <w:name w:val="Grid Table 3"/>
    <w:basedOn w:val="14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6" w:customStyle="1">
    <w:name w:val="Grid Table 4"/>
    <w:basedOn w:val="14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7" w:customStyle="1">
    <w:name w:val="Grid Table 5 Dark"/>
    <w:basedOn w:val="14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38" w:customStyle="1">
    <w:name w:val="Grid Table 6 Colorful"/>
    <w:basedOn w:val="14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539" w:customStyle="1">
    <w:name w:val="Grid Table 7 Colorful"/>
    <w:basedOn w:val="14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40" w:customStyle="1">
    <w:name w:val="List Table 1 Light"/>
    <w:basedOn w:val="147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41" w:customStyle="1">
    <w:name w:val="List Table 2"/>
    <w:basedOn w:val="14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42" w:customStyle="1">
    <w:name w:val="List Table 3"/>
    <w:basedOn w:val="14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3" w:customStyle="1">
    <w:name w:val="List Table 4"/>
    <w:basedOn w:val="14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4" w:customStyle="1">
    <w:name w:val="List Table 5 Dark"/>
    <w:basedOn w:val="14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545" w:customStyle="1">
    <w:name w:val="List Table 6 Colorful"/>
    <w:basedOn w:val="147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546" w:customStyle="1">
    <w:name w:val="List Table 7 Colorful"/>
    <w:basedOn w:val="147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47" w:customStyle="1">
    <w:name w:val="Footnote Text Char"/>
    <w:uiPriority w:val="99"/>
    <w:qFormat/>
    <w:rPr>
      <w:sz w:val="18"/>
    </w:rPr>
  </w:style>
  <w:style w:type="character" w:styleId="1548" w:customStyle="1">
    <w:name w:val="Endnote Text Char"/>
    <w:uiPriority w:val="99"/>
    <w:qFormat/>
    <w:rPr>
      <w:sz w:val="20"/>
    </w:rPr>
  </w:style>
  <w:style w:type="paragraph" w:styleId="1549" w:customStyle="1">
    <w:name w:val="TOC 标题1"/>
    <w:uiPriority w:val="39"/>
    <w:unhideWhenUsed/>
    <w:qFormat/>
    <w:rPr>
      <w:rFonts w:ascii="Times New Roman" w:hAnsi="Times New Roman" w:eastAsia="宋体" w:cs="Times New Roman"/>
      <w:lang w:val="en-US" w:eastAsia="zh-CN" w:bidi="ar-SA"/>
    </w:rPr>
  </w:style>
  <w:style w:type="paragraph" w:styleId="1550" w:customStyle="1">
    <w:name w:val="正文文本缩进1"/>
    <w:basedOn w:val="1465"/>
    <w:next w:val="1465"/>
    <w:uiPriority w:val="99"/>
    <w:qFormat/>
    <w:pPr>
      <w:ind w:firstLine="645"/>
    </w:pPr>
    <w:rPr>
      <w:rFonts w:ascii="楷体_GB2312" w:eastAsia="楷体_GB2312"/>
      <w:sz w:val="32"/>
      <w:szCs w:val="20"/>
    </w:rPr>
  </w:style>
  <w:style w:type="character" w:styleId="1551" w:customStyle="1">
    <w:name w:val="标题 1 Char"/>
    <w:link w:val="1466"/>
    <w:uiPriority w:val="9"/>
    <w:qFormat/>
    <w:rPr>
      <w:rFonts w:ascii="Arial" w:hAnsi="Arial" w:eastAsia="Arial" w:cs="Arial"/>
      <w:sz w:val="40"/>
      <w:szCs w:val="40"/>
    </w:rPr>
  </w:style>
  <w:style w:type="character" w:styleId="1552" w:customStyle="1">
    <w:name w:val="标题 2 Char"/>
    <w:link w:val="1467"/>
    <w:uiPriority w:val="9"/>
    <w:qFormat/>
    <w:rPr>
      <w:rFonts w:ascii="Arial" w:hAnsi="Arial" w:eastAsia="Arial" w:cs="Arial"/>
      <w:sz w:val="34"/>
    </w:rPr>
  </w:style>
  <w:style w:type="character" w:styleId="1553" w:customStyle="1">
    <w:name w:val="标题 3 Char"/>
    <w:link w:val="1468"/>
    <w:uiPriority w:val="9"/>
    <w:qFormat/>
    <w:rPr>
      <w:rFonts w:ascii="Arial" w:hAnsi="Arial" w:eastAsia="Arial" w:cs="Arial"/>
      <w:sz w:val="30"/>
      <w:szCs w:val="30"/>
    </w:rPr>
  </w:style>
  <w:style w:type="character" w:styleId="1554" w:customStyle="1">
    <w:name w:val="标题 4 Char"/>
    <w:link w:val="1469"/>
    <w:uiPriority w:val="9"/>
    <w:qFormat/>
    <w:rPr>
      <w:rFonts w:ascii="Arial" w:hAnsi="Arial" w:eastAsia="Arial" w:cs="Arial"/>
      <w:b/>
      <w:bCs/>
      <w:sz w:val="26"/>
      <w:szCs w:val="26"/>
    </w:rPr>
  </w:style>
  <w:style w:type="character" w:styleId="1555" w:customStyle="1">
    <w:name w:val="标题 5 Char"/>
    <w:link w:val="1470"/>
    <w:uiPriority w:val="9"/>
    <w:qFormat/>
    <w:rPr>
      <w:rFonts w:ascii="Arial" w:hAnsi="Arial" w:eastAsia="Arial" w:cs="Arial"/>
      <w:b/>
      <w:bCs/>
      <w:sz w:val="24"/>
      <w:szCs w:val="24"/>
    </w:rPr>
  </w:style>
  <w:style w:type="character" w:styleId="1556" w:customStyle="1">
    <w:name w:val="标题 6 Char"/>
    <w:link w:val="1471"/>
    <w:uiPriority w:val="9"/>
    <w:qFormat/>
    <w:rPr>
      <w:rFonts w:ascii="Arial" w:hAnsi="Arial" w:eastAsia="Arial" w:cs="Arial"/>
      <w:b/>
      <w:bCs/>
      <w:sz w:val="22"/>
      <w:szCs w:val="22"/>
    </w:rPr>
  </w:style>
  <w:style w:type="character" w:styleId="1557" w:customStyle="1">
    <w:name w:val="标题 7 Char"/>
    <w:link w:val="1472"/>
    <w:uiPriority w:val="9"/>
    <w:qFormat/>
    <w:rPr>
      <w:rFonts w:ascii="Arial" w:hAnsi="Arial" w:eastAsia="Arial" w:cs="Arial"/>
      <w:b/>
      <w:bCs/>
      <w:i/>
      <w:iCs/>
      <w:sz w:val="22"/>
      <w:szCs w:val="22"/>
    </w:rPr>
  </w:style>
  <w:style w:type="character" w:styleId="1558" w:customStyle="1">
    <w:name w:val="标题 8 Char"/>
    <w:link w:val="1473"/>
    <w:uiPriority w:val="9"/>
    <w:qFormat/>
    <w:rPr>
      <w:rFonts w:ascii="Arial" w:hAnsi="Arial" w:eastAsia="Arial" w:cs="Arial"/>
      <w:i/>
      <w:iCs/>
      <w:sz w:val="22"/>
      <w:szCs w:val="22"/>
    </w:rPr>
  </w:style>
  <w:style w:type="character" w:styleId="1559" w:customStyle="1">
    <w:name w:val="标题 9 Char"/>
    <w:link w:val="1474"/>
    <w:uiPriority w:val="9"/>
    <w:qFormat/>
    <w:rPr>
      <w:rFonts w:ascii="Arial" w:hAnsi="Arial" w:eastAsia="Arial" w:cs="Arial"/>
      <w:i/>
      <w:iCs/>
      <w:sz w:val="21"/>
      <w:szCs w:val="21"/>
    </w:rPr>
  </w:style>
  <w:style w:type="paragraph" w:styleId="1560">
    <w:name w:val="No Spacing"/>
    <w:uiPriority w:val="1"/>
    <w:qFormat/>
    <w:rPr>
      <w:rFonts w:ascii="Times New Roman" w:hAnsi="Times New Roman" w:eastAsia="宋体" w:cs="Times New Roman"/>
      <w:lang w:val="en-US" w:eastAsia="zh-CN" w:bidi="ar-SA"/>
    </w:rPr>
  </w:style>
  <w:style w:type="character" w:styleId="1561" w:customStyle="1">
    <w:name w:val="标题 Char"/>
    <w:link w:val="1502"/>
    <w:uiPriority w:val="10"/>
    <w:qFormat/>
    <w:rPr>
      <w:sz w:val="48"/>
      <w:szCs w:val="48"/>
    </w:rPr>
  </w:style>
  <w:style w:type="character" w:styleId="1562" w:customStyle="1">
    <w:name w:val="副标题 Char"/>
    <w:link w:val="1494"/>
    <w:uiPriority w:val="11"/>
    <w:qFormat/>
    <w:rPr>
      <w:sz w:val="24"/>
      <w:szCs w:val="24"/>
    </w:rPr>
  </w:style>
  <w:style w:type="paragraph" w:styleId="1563">
    <w:name w:val="Quote"/>
    <w:basedOn w:val="1465"/>
    <w:next w:val="1465"/>
    <w:link w:val="1564"/>
    <w:uiPriority w:val="29"/>
    <w:qFormat/>
    <w:pPr>
      <w:ind w:left="720" w:right="720"/>
    </w:pPr>
    <w:rPr>
      <w:i/>
    </w:rPr>
  </w:style>
  <w:style w:type="character" w:styleId="1564" w:customStyle="1">
    <w:name w:val="引用 Char"/>
    <w:link w:val="1563"/>
    <w:uiPriority w:val="29"/>
    <w:qFormat/>
    <w:rPr>
      <w:i/>
    </w:rPr>
  </w:style>
  <w:style w:type="paragraph" w:styleId="1565">
    <w:name w:val="Intense Quote"/>
    <w:basedOn w:val="1465"/>
    <w:next w:val="1465"/>
    <w:link w:val="15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66" w:customStyle="1">
    <w:name w:val="明显引用 Char"/>
    <w:link w:val="1565"/>
    <w:uiPriority w:val="30"/>
    <w:qFormat/>
    <w:rPr>
      <w:i/>
    </w:rPr>
  </w:style>
  <w:style w:type="character" w:styleId="1567" w:customStyle="1">
    <w:name w:val="页眉 Char"/>
    <w:link w:val="1491"/>
    <w:uiPriority w:val="99"/>
    <w:qFormat/>
  </w:style>
  <w:style w:type="character" w:styleId="1568" w:customStyle="1">
    <w:name w:val="Footer Char"/>
    <w:uiPriority w:val="99"/>
    <w:qFormat/>
  </w:style>
  <w:style w:type="character" w:styleId="1569" w:customStyle="1">
    <w:name w:val="页脚 Char"/>
    <w:link w:val="1490"/>
    <w:uiPriority w:val="99"/>
    <w:qFormat/>
  </w:style>
  <w:style w:type="table" w:styleId="15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6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6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6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6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6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6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6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6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6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6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6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6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6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6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6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6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6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6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6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6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6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6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6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6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6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6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6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95" w:customStyle="1">
    <w:name w:val="脚注文本 Char"/>
    <w:link w:val="1495"/>
    <w:uiPriority w:val="99"/>
    <w:qFormat/>
    <w:rPr>
      <w:sz w:val="18"/>
    </w:rPr>
  </w:style>
  <w:style w:type="character" w:styleId="1696" w:customStyle="1">
    <w:name w:val="尾注文本 Char"/>
    <w:link w:val="1488"/>
    <w:uiPriority w:val="99"/>
    <w:qFormat/>
    <w:rPr>
      <w:sz w:val="20"/>
    </w:rPr>
  </w:style>
  <w:style w:type="paragraph" w:styleId="1697" w:customStyle="1">
    <w:name w:val="TOC 标题11"/>
    <w:uiPriority w:val="39"/>
    <w:unhideWhenUsed/>
    <w:qFormat/>
    <w:rPr>
      <w:rFonts w:ascii="Times New Roman" w:hAnsi="Times New Roman" w:eastAsia="宋体" w:cs="Times New Roman"/>
      <w:lang w:val="en-US" w:eastAsia="zh-CN" w:bidi="ar-SA"/>
    </w:rPr>
  </w:style>
  <w:style w:type="paragraph" w:styleId="1698" w:customStyle="1">
    <w:name w:val="标题 11"/>
    <w:basedOn w:val="1465"/>
    <w:next w:val="1465"/>
    <w:uiPriority w:val="9"/>
    <w:qFormat/>
    <w:pPr>
      <w:jc w:val="left"/>
      <w:keepNext/>
      <w:spacing w:before="120" w:after="120"/>
      <w:outlineLvl w:val="0"/>
    </w:pPr>
    <w:rPr>
      <w:rFonts w:ascii="楷体_GB2312" w:hAnsi="楷体_GB2312"/>
      <w:sz w:val="28"/>
    </w:rPr>
  </w:style>
  <w:style w:type="paragraph" w:styleId="1699" w:customStyle="1">
    <w:name w:val="标题 21"/>
    <w:basedOn w:val="1465"/>
    <w:next w:val="1512"/>
    <w:link w:val="1704"/>
    <w:uiPriority w:val="9"/>
    <w:qFormat/>
    <w:pPr>
      <w:jc w:val="center"/>
      <w:keepLines/>
      <w:keepNext/>
      <w:spacing w:before="260" w:after="260" w:line="416" w:lineRule="auto"/>
      <w:outlineLvl w:val="1"/>
    </w:pPr>
    <w:rPr>
      <w:rFonts w:ascii="幼圆" w:hAnsi="Arial" w:eastAsia="楷体_GB2312"/>
      <w:b/>
      <w:sz w:val="44"/>
      <w:szCs w:val="20"/>
    </w:rPr>
  </w:style>
  <w:style w:type="paragraph" w:styleId="1700" w:customStyle="1">
    <w:name w:val="标题 31"/>
    <w:basedOn w:val="1465"/>
    <w:next w:val="1512"/>
    <w:link w:val="1706"/>
    <w:uiPriority w:val="9"/>
    <w:qFormat/>
    <w:pPr>
      <w:keepLines/>
      <w:keepNext/>
      <w:spacing w:before="260" w:after="260" w:line="416" w:lineRule="auto"/>
      <w:outlineLvl w:val="2"/>
    </w:pPr>
    <w:rPr>
      <w:b/>
      <w:sz w:val="32"/>
      <w:szCs w:val="20"/>
    </w:rPr>
  </w:style>
  <w:style w:type="paragraph" w:styleId="1701" w:customStyle="1">
    <w:name w:val="标题 41"/>
    <w:basedOn w:val="1465"/>
    <w:next w:val="1465"/>
    <w:uiPriority w:val="1"/>
    <w:qFormat/>
    <w:pPr>
      <w:jc w:val="center"/>
      <w:outlineLvl w:val="3"/>
    </w:pPr>
    <w:rPr>
      <w:rFonts w:ascii="宋体" w:hAnsi="宋体" w:cs="宋体"/>
      <w:b/>
      <w:bCs/>
      <w:sz w:val="31"/>
      <w:szCs w:val="31"/>
      <w:lang w:val="zh-CN" w:bidi="zh-CN"/>
    </w:rPr>
  </w:style>
  <w:style w:type="character" w:styleId="1702" w:customStyle="1">
    <w:name w:val="默认段落字体1"/>
    <w:uiPriority w:val="0"/>
    <w:semiHidden/>
    <w:qFormat/>
  </w:style>
  <w:style w:type="table" w:styleId="1703" w:customStyle="1">
    <w:name w:val="普通表格1"/>
    <w:uiPriority w:val="0"/>
    <w:semiHidden/>
    <w:qFormat/>
    <w:tblPr>
      <w:tblCellMar>
        <w:left w:w="0" w:type="dxa"/>
        <w:top w:w="0" w:type="dxa"/>
        <w:right w:w="0" w:type="dxa"/>
        <w:bottom w:w="0" w:type="dxa"/>
      </w:tblCellMar>
    </w:tblPr>
  </w:style>
  <w:style w:type="character" w:styleId="1704" w:customStyle="1">
    <w:name w:val="标题 2 字符"/>
    <w:link w:val="1699"/>
    <w:uiPriority w:val="9"/>
    <w:qFormat/>
    <w:rPr>
      <w:rFonts w:ascii="幼圆" w:hAnsi="Arial" w:eastAsia="楷体_GB2312"/>
      <w:b/>
      <w:sz w:val="44"/>
      <w:szCs w:val="20"/>
    </w:rPr>
  </w:style>
  <w:style w:type="character" w:styleId="1705" w:customStyle="1">
    <w:name w:val="正文缩进 字符"/>
    <w:link w:val="1512"/>
    <w:uiPriority w:val="0"/>
    <w:qFormat/>
    <w:rPr>
      <w:rFonts w:ascii="Arial" w:hAnsi="Arial" w:eastAsia="楷体_GB2312"/>
    </w:rPr>
  </w:style>
  <w:style w:type="character" w:styleId="1706" w:customStyle="1">
    <w:name w:val="标题 3 字符"/>
    <w:link w:val="1700"/>
    <w:uiPriority w:val="9"/>
    <w:qFormat/>
    <w:rPr>
      <w:b/>
      <w:sz w:val="32"/>
      <w:szCs w:val="20"/>
    </w:rPr>
  </w:style>
  <w:style w:type="paragraph" w:styleId="1707" w:customStyle="1">
    <w:name w:val="目录 71"/>
    <w:basedOn w:val="1465"/>
    <w:next w:val="1465"/>
    <w:uiPriority w:val="39"/>
    <w:unhideWhenUsed/>
    <w:qFormat/>
    <w:pPr>
      <w:ind w:left="2520"/>
    </w:pPr>
    <w:rPr>
      <w:rFonts w:ascii="等线" w:hAnsi="等线" w:eastAsia="等线"/>
      <w:szCs w:val="22"/>
    </w:rPr>
  </w:style>
  <w:style w:type="paragraph" w:styleId="1708" w:customStyle="1">
    <w:name w:val="文档结构图1"/>
    <w:basedOn w:val="1465"/>
    <w:link w:val="1709"/>
    <w:uiPriority w:val="0"/>
    <w:qFormat/>
    <w:rPr>
      <w:rFonts w:ascii="宋体"/>
      <w:sz w:val="18"/>
      <w:szCs w:val="18"/>
    </w:rPr>
  </w:style>
  <w:style w:type="character" w:styleId="1709" w:customStyle="1">
    <w:name w:val="文档结构图 字符"/>
    <w:link w:val="1708"/>
    <w:uiPriority w:val="0"/>
    <w:qFormat/>
    <w:rPr>
      <w:rFonts w:ascii="宋体"/>
      <w:sz w:val="18"/>
      <w:szCs w:val="18"/>
    </w:rPr>
  </w:style>
  <w:style w:type="paragraph" w:styleId="1710" w:customStyle="1">
    <w:name w:val="正文文本 31"/>
    <w:basedOn w:val="1465"/>
    <w:uiPriority w:val="0"/>
    <w:qFormat/>
    <w:rPr>
      <w:rFonts w:ascii="仿宋_GB2312" w:hAnsi="Arial" w:eastAsia="仿宋_GB2312"/>
      <w:sz w:val="32"/>
      <w:szCs w:val="32"/>
    </w:rPr>
  </w:style>
  <w:style w:type="paragraph" w:styleId="1711" w:customStyle="1">
    <w:name w:val="正文文本1"/>
    <w:basedOn w:val="1465"/>
    <w:next w:val="1465"/>
    <w:uiPriority w:val="0"/>
    <w:qFormat/>
    <w:rPr>
      <w:rFonts w:ascii="楷体_GB2312" w:hAnsi="Arial" w:eastAsia="楷体_GB2312"/>
      <w:sz w:val="28"/>
      <w:szCs w:val="20"/>
    </w:rPr>
  </w:style>
  <w:style w:type="paragraph" w:styleId="1712" w:customStyle="1">
    <w:name w:val="目录 51"/>
    <w:basedOn w:val="1465"/>
    <w:next w:val="1465"/>
    <w:uiPriority w:val="39"/>
    <w:unhideWhenUsed/>
    <w:qFormat/>
    <w:pPr>
      <w:ind w:left="1680"/>
    </w:pPr>
    <w:rPr>
      <w:rFonts w:ascii="等线" w:hAnsi="等线" w:eastAsia="等线"/>
      <w:szCs w:val="22"/>
    </w:rPr>
  </w:style>
  <w:style w:type="paragraph" w:styleId="1713" w:customStyle="1">
    <w:name w:val="目录 31"/>
    <w:basedOn w:val="1465"/>
    <w:next w:val="1465"/>
    <w:uiPriority w:val="39"/>
    <w:qFormat/>
    <w:pPr>
      <w:ind w:left="840"/>
    </w:pPr>
  </w:style>
  <w:style w:type="paragraph" w:styleId="1714" w:customStyle="1">
    <w:name w:val="纯文本1"/>
    <w:basedOn w:val="1465"/>
    <w:uiPriority w:val="99"/>
    <w:qFormat/>
    <w:rPr>
      <w:rFonts w:ascii="宋体" w:hAnsi="Courier New" w:cs="Courier New"/>
      <w:szCs w:val="21"/>
    </w:rPr>
  </w:style>
  <w:style w:type="paragraph" w:styleId="1715" w:customStyle="1">
    <w:name w:val="目录 81"/>
    <w:basedOn w:val="1465"/>
    <w:next w:val="1465"/>
    <w:uiPriority w:val="39"/>
    <w:unhideWhenUsed/>
    <w:qFormat/>
    <w:pPr>
      <w:ind w:left="2940"/>
    </w:pPr>
    <w:rPr>
      <w:rFonts w:ascii="等线" w:hAnsi="等线" w:eastAsia="等线"/>
      <w:szCs w:val="22"/>
    </w:rPr>
  </w:style>
  <w:style w:type="paragraph" w:styleId="1716" w:customStyle="1">
    <w:name w:val="日期1"/>
    <w:basedOn w:val="1465"/>
    <w:next w:val="1465"/>
    <w:link w:val="1717"/>
    <w:uiPriority w:val="0"/>
    <w:qFormat/>
    <w:pPr>
      <w:ind w:left="100"/>
    </w:pPr>
  </w:style>
  <w:style w:type="character" w:styleId="1717" w:customStyle="1">
    <w:name w:val="日期 字符"/>
    <w:link w:val="1716"/>
    <w:uiPriority w:val="0"/>
    <w:qFormat/>
    <w:rPr>
      <w:sz w:val="21"/>
      <w:szCs w:val="24"/>
    </w:rPr>
  </w:style>
  <w:style w:type="paragraph" w:styleId="1718" w:customStyle="1">
    <w:name w:val="正文文本缩进 21"/>
    <w:basedOn w:val="1465"/>
    <w:uiPriority w:val="0"/>
    <w:qFormat/>
    <w:pPr>
      <w:ind w:firstLine="480"/>
      <w:spacing w:line="400" w:lineRule="exact"/>
    </w:pPr>
    <w:rPr>
      <w:rFonts w:eastAsia="仿宋_GB2312"/>
      <w:sz w:val="24"/>
    </w:rPr>
  </w:style>
  <w:style w:type="paragraph" w:styleId="1719" w:customStyle="1">
    <w:name w:val="页脚1"/>
    <w:basedOn w:val="1465"/>
    <w:link w:val="1720"/>
    <w:uiPriority w:val="99"/>
    <w:qFormat/>
    <w:pPr>
      <w:jc w:val="left"/>
      <w:tabs>
        <w:tab w:val="center" w:pos="4153" w:leader="none"/>
        <w:tab w:val="right" w:pos="8306" w:leader="none"/>
      </w:tabs>
    </w:pPr>
    <w:rPr>
      <w:sz w:val="18"/>
      <w:szCs w:val="20"/>
    </w:rPr>
  </w:style>
  <w:style w:type="character" w:styleId="1720" w:customStyle="1">
    <w:name w:val="页脚 字符"/>
    <w:link w:val="1719"/>
    <w:uiPriority w:val="99"/>
    <w:qFormat/>
    <w:rPr>
      <w:sz w:val="18"/>
    </w:rPr>
  </w:style>
  <w:style w:type="paragraph" w:styleId="1721" w:customStyle="1">
    <w:name w:val="页眉1"/>
    <w:basedOn w:val="1465"/>
    <w:uiPriority w:val="0"/>
    <w:qFormat/>
    <w:pPr>
      <w:jc w:val="center"/>
      <w:tabs>
        <w:tab w:val="center" w:pos="4153" w:leader="none"/>
        <w:tab w:val="right" w:pos="8306" w:leader="none"/>
      </w:tabs>
      <w:pBdr>
        <w:bottom w:val="single" w:color="000000" w:sz="6" w:space="1"/>
      </w:pBdr>
    </w:pPr>
    <w:rPr>
      <w:sz w:val="18"/>
      <w:szCs w:val="18"/>
    </w:rPr>
  </w:style>
  <w:style w:type="paragraph" w:styleId="1722" w:customStyle="1">
    <w:name w:val="目录 11"/>
    <w:basedOn w:val="1465"/>
    <w:next w:val="1465"/>
    <w:uiPriority w:val="39"/>
    <w:qFormat/>
  </w:style>
  <w:style w:type="paragraph" w:styleId="1723" w:customStyle="1">
    <w:name w:val="目录 41"/>
    <w:basedOn w:val="1465"/>
    <w:next w:val="1465"/>
    <w:uiPriority w:val="39"/>
    <w:unhideWhenUsed/>
    <w:qFormat/>
    <w:pPr>
      <w:ind w:left="1260"/>
    </w:pPr>
    <w:rPr>
      <w:rFonts w:ascii="等线" w:hAnsi="等线" w:eastAsia="等线"/>
      <w:szCs w:val="22"/>
    </w:rPr>
  </w:style>
  <w:style w:type="paragraph" w:styleId="1724" w:customStyle="1">
    <w:name w:val="副标题1"/>
    <w:basedOn w:val="1465"/>
    <w:next w:val="1465"/>
    <w:link w:val="1725"/>
    <w:uiPriority w:val="0"/>
    <w:qFormat/>
    <w:pPr>
      <w:jc w:val="center"/>
      <w:spacing w:before="240" w:after="60" w:line="312" w:lineRule="auto"/>
      <w:outlineLvl w:val="1"/>
    </w:pPr>
    <w:rPr>
      <w:rFonts w:ascii="等线 Light" w:hAnsi="等线 Light"/>
      <w:b/>
      <w:bCs/>
      <w:sz w:val="32"/>
      <w:szCs w:val="32"/>
    </w:rPr>
  </w:style>
  <w:style w:type="character" w:styleId="1725" w:customStyle="1">
    <w:name w:val="副标题 字符"/>
    <w:link w:val="1724"/>
    <w:uiPriority w:val="0"/>
    <w:qFormat/>
    <w:rPr>
      <w:rFonts w:ascii="等线 Light" w:hAnsi="等线 Light" w:cs="Times New Roman"/>
      <w:b/>
      <w:bCs/>
      <w:sz w:val="32"/>
      <w:szCs w:val="32"/>
    </w:rPr>
  </w:style>
  <w:style w:type="paragraph" w:styleId="1726" w:customStyle="1">
    <w:name w:val="目录 61"/>
    <w:basedOn w:val="1465"/>
    <w:next w:val="1465"/>
    <w:uiPriority w:val="39"/>
    <w:unhideWhenUsed/>
    <w:qFormat/>
    <w:pPr>
      <w:ind w:left="2100"/>
    </w:pPr>
    <w:rPr>
      <w:rFonts w:ascii="等线" w:hAnsi="等线" w:eastAsia="等线"/>
      <w:szCs w:val="22"/>
    </w:rPr>
  </w:style>
  <w:style w:type="paragraph" w:styleId="1727" w:customStyle="1">
    <w:name w:val="正文文本缩进 31"/>
    <w:basedOn w:val="1465"/>
    <w:link w:val="1728"/>
    <w:uiPriority w:val="0"/>
    <w:qFormat/>
    <w:pPr>
      <w:ind w:left="520" w:firstLine="425"/>
      <w:jc w:val="center"/>
    </w:pPr>
    <w:rPr>
      <w:rFonts w:ascii="微软雅黑" w:hAnsi="Arial" w:eastAsia="微软雅黑"/>
      <w:sz w:val="36"/>
      <w:szCs w:val="20"/>
    </w:rPr>
  </w:style>
  <w:style w:type="character" w:styleId="1728" w:customStyle="1">
    <w:name w:val="正文文本缩进 3 字符"/>
    <w:link w:val="1727"/>
    <w:uiPriority w:val="0"/>
    <w:qFormat/>
    <w:rPr>
      <w:rFonts w:ascii="微软雅黑" w:hAnsi="Arial" w:eastAsia="微软雅黑"/>
      <w:sz w:val="36"/>
    </w:rPr>
  </w:style>
  <w:style w:type="paragraph" w:styleId="1729" w:customStyle="1">
    <w:name w:val="目录 21"/>
    <w:basedOn w:val="1465"/>
    <w:next w:val="1465"/>
    <w:uiPriority w:val="39"/>
    <w:qFormat/>
    <w:pPr>
      <w:ind w:left="420"/>
    </w:pPr>
  </w:style>
  <w:style w:type="paragraph" w:styleId="1730" w:customStyle="1">
    <w:name w:val="目录 91"/>
    <w:basedOn w:val="1465"/>
    <w:next w:val="1465"/>
    <w:uiPriority w:val="39"/>
    <w:unhideWhenUsed/>
    <w:qFormat/>
    <w:pPr>
      <w:ind w:left="3360"/>
    </w:pPr>
    <w:rPr>
      <w:rFonts w:ascii="等线" w:hAnsi="等线" w:eastAsia="等线"/>
      <w:szCs w:val="22"/>
    </w:rPr>
  </w:style>
  <w:style w:type="paragraph" w:styleId="1731" w:customStyle="1">
    <w:name w:val="正文文本 21"/>
    <w:basedOn w:val="1465"/>
    <w:uiPriority w:val="0"/>
    <w:qFormat/>
    <w:pPr>
      <w:spacing w:after="120" w:line="480" w:lineRule="auto"/>
    </w:pPr>
  </w:style>
  <w:style w:type="paragraph" w:styleId="1732" w:customStyle="1">
    <w:name w:val="普通(网站)11"/>
    <w:basedOn w:val="1465"/>
    <w:uiPriority w:val="99"/>
    <w:qFormat/>
    <w:pPr>
      <w:jc w:val="left"/>
      <w:spacing w:before="100" w:beforeAutospacing="1" w:after="100" w:afterAutospacing="1"/>
      <w:widowControl/>
    </w:pPr>
    <w:rPr>
      <w:rFonts w:ascii="宋体" w:hAnsi="宋体"/>
      <w:color w:val="000000"/>
      <w:sz w:val="24"/>
    </w:rPr>
  </w:style>
  <w:style w:type="paragraph" w:styleId="1733" w:customStyle="1">
    <w:name w:val="正文首行缩进1"/>
    <w:basedOn w:val="1711"/>
    <w:next w:val="1465"/>
    <w:uiPriority w:val="0"/>
    <w:qFormat/>
    <w:pPr>
      <w:ind w:firstLine="420"/>
      <w:spacing w:line="360" w:lineRule="auto"/>
    </w:pPr>
    <w:rPr>
      <w:rFonts w:ascii="Arial"/>
      <w:sz w:val="20"/>
      <w:szCs w:val="21"/>
    </w:rPr>
  </w:style>
  <w:style w:type="table" w:styleId="1734" w:customStyle="1">
    <w:name w:val="网格型1"/>
    <w:basedOn w:val="1703"/>
    <w:uiPriority w:val="39"/>
    <w:unhideWhenUsed/>
    <w:qFormat/>
    <w:tblPr>
      <w:tblCellMar>
        <w:left w:w="0" w:type="dxa"/>
        <w:top w:w="0" w:type="dxa"/>
        <w:right w:w="0" w:type="dxa"/>
        <w:bottom w:w="0" w:type="dxa"/>
      </w:tblCellMar>
    </w:tblPr>
  </w:style>
  <w:style w:type="character" w:styleId="1735" w:customStyle="1">
    <w:name w:val="页码1"/>
    <w:uiPriority w:val="99"/>
    <w:qFormat/>
  </w:style>
  <w:style w:type="character" w:styleId="1736" w:customStyle="1">
    <w:name w:val="已访问的超链接1"/>
    <w:uiPriority w:val="0"/>
    <w:qFormat/>
    <w:rPr>
      <w:color w:val="333333"/>
      <w:u w:val="none"/>
    </w:rPr>
  </w:style>
  <w:style w:type="character" w:styleId="1737" w:customStyle="1">
    <w:name w:val="超链接1"/>
    <w:uiPriority w:val="99"/>
    <w:qFormat/>
    <w:rPr>
      <w:color w:val="0000ff"/>
      <w:u w:val="single"/>
    </w:rPr>
  </w:style>
  <w:style w:type="paragraph" w:styleId="1738" w:customStyle="1">
    <w:name w:val="段"/>
    <w:next w:val="1465"/>
    <w:uiPriority w:val="0"/>
    <w:qFormat/>
    <w:pPr>
      <w:ind w:firstLine="200"/>
      <w:jc w:val="both"/>
    </w:pPr>
    <w:rPr>
      <w:rFonts w:ascii="宋体" w:hAnsi="Times New Roman" w:eastAsia="宋体" w:cs="Times New Roman"/>
      <w:sz w:val="21"/>
      <w:lang w:val="en-US" w:eastAsia="zh-CN" w:bidi="ar-SA"/>
    </w:rPr>
  </w:style>
  <w:style w:type="character" w:styleId="1739" w:customStyle="1">
    <w:name w:val="htd0"/>
    <w:basedOn w:val="1475"/>
    <w:uiPriority w:val="0"/>
    <w:qFormat/>
  </w:style>
  <w:style w:type="paragraph" w:styleId="1740" w:customStyle="1">
    <w:name w:val="技术正文（深信服）"/>
    <w:basedOn w:val="1465"/>
    <w:uiPriority w:val="0"/>
    <w:qFormat/>
    <w:pPr>
      <w:ind w:firstLine="480"/>
      <w:spacing w:line="360" w:lineRule="auto"/>
    </w:pPr>
    <w:rPr>
      <w:sz w:val="24"/>
      <w:szCs w:val="20"/>
    </w:rPr>
  </w:style>
  <w:style w:type="paragraph" w:styleId="1741" w:customStyle="1">
    <w:name w:val="普通(网站)1"/>
    <w:basedOn w:val="1465"/>
    <w:uiPriority w:val="0"/>
    <w:qFormat/>
    <w:pPr>
      <w:jc w:val="left"/>
      <w:spacing w:before="100" w:beforeAutospacing="1" w:after="100" w:afterAutospacing="1"/>
      <w:widowControl/>
    </w:pPr>
    <w:rPr>
      <w:rFonts w:ascii="宋体" w:hAnsi="宋体" w:cs="宋体"/>
      <w:color w:val="000000"/>
      <w:sz w:val="24"/>
    </w:rPr>
  </w:style>
  <w:style w:type="paragraph" w:styleId="1742" w:customStyle="1">
    <w:name w:val="列出段落11"/>
    <w:basedOn w:val="1465"/>
    <w:uiPriority w:val="34"/>
    <w:qFormat/>
    <w:pPr>
      <w:ind w:firstLine="420"/>
    </w:pPr>
  </w:style>
  <w:style w:type="paragraph" w:styleId="1743" w:customStyle="1">
    <w:name w:val="样式 首行缩进:  2 字符"/>
    <w:basedOn w:val="1465"/>
    <w:uiPriority w:val="0"/>
    <w:qFormat/>
    <w:pPr>
      <w:ind w:firstLine="480"/>
    </w:pPr>
    <w:rPr>
      <w:rFonts w:cs="宋体"/>
      <w:szCs w:val="20"/>
    </w:rPr>
  </w:style>
  <w:style w:type="paragraph" w:styleId="1744" w:customStyle="1">
    <w:name w:val="列表段落1"/>
    <w:basedOn w:val="1465"/>
    <w:uiPriority w:val="34"/>
    <w:qFormat/>
    <w:pPr>
      <w:ind w:firstLine="420"/>
    </w:pPr>
    <w:rPr>
      <w:rFonts w:ascii="Calibri" w:hAnsi="Calibri"/>
      <w:szCs w:val="22"/>
    </w:rPr>
  </w:style>
  <w:style w:type="character" w:styleId="1745" w:customStyle="1">
    <w:name w:val="NormalCharacter1"/>
    <w:uiPriority w:val="0"/>
    <w:semiHidden/>
    <w:qFormat/>
  </w:style>
  <w:style w:type="paragraph" w:styleId="1746" w:customStyle="1">
    <w:name w:val="Normal_0"/>
    <w:uiPriority w:val="0"/>
    <w:qFormat/>
    <w:rPr>
      <w:rFonts w:ascii="Times New Roman" w:hAnsi="Times New Roman" w:eastAsia="Times New Roman" w:cs="Times New Roman"/>
      <w:sz w:val="24"/>
      <w:szCs w:val="24"/>
      <w:lang w:val="en-US" w:eastAsia="zh-CN" w:bidi="ar-SA"/>
    </w:rPr>
  </w:style>
  <w:style w:type="paragraph" w:styleId="1747"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1748" w:customStyle="1">
    <w:name w:val="TOC 标题2"/>
    <w:basedOn w:val="1698"/>
    <w:next w:val="1465"/>
    <w:uiPriority w:val="39"/>
    <w:qFormat/>
    <w:pPr>
      <w:keepLines/>
      <w:spacing w:before="240" w:line="259" w:lineRule="auto"/>
      <w:widowControl/>
      <w:outlineLvl w:val="9"/>
    </w:pPr>
    <w:rPr>
      <w:rFonts w:ascii="等线 Light" w:hAnsi="等线 Light" w:eastAsia="等线 Light"/>
      <w:color w:val="2f5496"/>
      <w:sz w:val="32"/>
      <w:szCs w:val="32"/>
    </w:rPr>
  </w:style>
  <w:style w:type="paragraph" w:styleId="1749" w:customStyle="1">
    <w:name w:val="正文格式"/>
    <w:uiPriority w:val="99"/>
    <w:qFormat/>
    <w:pPr>
      <w:ind w:firstLine="200"/>
      <w:spacing w:line="360" w:lineRule="auto"/>
    </w:pPr>
    <w:rPr>
      <w:rFonts w:ascii="宋体" w:hAnsi="宋体" w:eastAsia="宋体" w:cs="Times New Roman"/>
      <w:sz w:val="28"/>
      <w:szCs w:val="22"/>
      <w:lang w:val="en-US" w:eastAsia="zh-CN" w:bidi="ar-SA"/>
    </w:rPr>
  </w:style>
  <w:style w:type="paragraph" w:styleId="1750"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751" w:customStyle="1">
    <w:name w:val="Table Paragraph"/>
    <w:basedOn w:val="1465"/>
    <w:uiPriority w:val="1"/>
    <w:qFormat/>
    <w:rPr>
      <w:rFonts w:ascii="宋体" w:hAnsi="宋体" w:cs="宋体"/>
      <w:lang w:val="zh-CN" w:bidi="zh-CN"/>
    </w:rPr>
  </w:style>
  <w:style w:type="character" w:styleId="1752" w:customStyle="1">
    <w:name w:val="未处理的提及1"/>
    <w:uiPriority w:val="99"/>
    <w:unhideWhenUsed/>
    <w:qFormat/>
    <w:rPr>
      <w:color w:val="605e5c"/>
      <w:shd w:val="clear" w:color="auto" w:fill="e1dfdd"/>
    </w:rPr>
  </w:style>
  <w:style w:type="paragraph" w:styleId="1753" w:customStyle="1">
    <w:name w:val="Normal_1"/>
    <w:uiPriority w:val="0"/>
    <w:qFormat/>
    <w:rPr>
      <w:rFonts w:ascii="Times New Roman" w:hAnsi="Times New Roman" w:eastAsia="Times New Roman" w:cs="Times New Roman"/>
      <w:sz w:val="24"/>
      <w:szCs w:val="24"/>
      <w:lang w:val="en-US" w:eastAsia="zh-CN" w:bidi="ar-SA"/>
    </w:rPr>
  </w:style>
  <w:style w:type="paragraph" w:styleId="1754" w:customStyle="1">
    <w:name w:val="正文-奇安信"/>
    <w:basedOn w:val="1465"/>
    <w:uiPriority w:val="0"/>
    <w:qFormat/>
    <w:pPr>
      <w:ind w:firstLine="420"/>
      <w:spacing w:line="360" w:lineRule="auto"/>
    </w:pPr>
    <w:rPr>
      <w:rFonts w:eastAsia="仿宋"/>
      <w:sz w:val="24"/>
      <w:szCs w:val="20"/>
    </w:rPr>
  </w:style>
  <w:style w:type="paragraph" w:styleId="1755" w:customStyle="1">
    <w:name w:val="Normal_3"/>
    <w:uiPriority w:val="0"/>
    <w:qFormat/>
    <w:rPr>
      <w:rFonts w:ascii="Times New Roman" w:hAnsi="Times New Roman" w:eastAsia="Times New Roman" w:cs="Times New Roman"/>
      <w:sz w:val="24"/>
      <w:szCs w:val="24"/>
      <w:lang w:val="en-US" w:eastAsia="zh-CN" w:bidi="ar-SA"/>
    </w:rPr>
  </w:style>
  <w:style w:type="paragraph" w:styleId="1756" w:customStyle="1">
    <w:name w:val="表格正文2"/>
    <w:basedOn w:val="1465"/>
    <w:uiPriority w:val="0"/>
    <w:qFormat/>
    <w:pPr>
      <w:keepNext/>
      <w:widowControl/>
    </w:pPr>
    <w:rPr>
      <w:rFonts w:cs="宋体"/>
      <w:color w:val="000000"/>
      <w:szCs w:val="21"/>
    </w:rPr>
  </w:style>
  <w:style w:type="paragraph" w:styleId="1757" w:customStyle="1">
    <w:name w:val="首行缩进"/>
    <w:basedOn w:val="1465"/>
    <w:uiPriority w:val="0"/>
    <w:qFormat/>
    <w:pPr>
      <w:ind w:firstLine="480"/>
      <w:jc w:val="left"/>
      <w:spacing w:line="360" w:lineRule="auto"/>
    </w:pPr>
    <w:rPr>
      <w:rFonts w:ascii="宋体" w:hAnsi="宋体" w:cs="宋体"/>
      <w:sz w:val="24"/>
    </w:rPr>
  </w:style>
  <w:style w:type="character" w:styleId="1758" w:customStyle="1">
    <w:name w:val="font51"/>
    <w:uiPriority w:val="0"/>
    <w:qFormat/>
    <w:rPr>
      <w:rFonts w:hint="eastAsia" w:ascii="宋体" w:hAnsi="宋体" w:eastAsia="宋体" w:cs="宋体"/>
      <w:color w:val="000000"/>
      <w:sz w:val="20"/>
      <w:szCs w:val="20"/>
      <w:u w:val="none"/>
      <w:vertAlign w:val="superscript"/>
    </w:rPr>
  </w:style>
  <w:style w:type="paragraph" w:styleId="1759" w:customStyle="1">
    <w:name w:val="样式 首行缩进:  0 字符"/>
    <w:basedOn w:val="1465"/>
    <w:uiPriority w:val="0"/>
    <w:qFormat/>
    <w:pPr>
      <w:ind w:firstLine="200"/>
      <w:spacing w:line="360" w:lineRule="auto"/>
    </w:pPr>
    <w:rPr>
      <w:rFonts w:cs="宋体"/>
      <w:sz w:val="24"/>
      <w:szCs w:val="20"/>
    </w:rPr>
  </w:style>
  <w:style w:type="paragraph" w:styleId="1760" w:customStyle="1">
    <w:name w:val="列出段落3"/>
    <w:basedOn w:val="1465"/>
    <w:uiPriority w:val="99"/>
    <w:qFormat/>
    <w:pPr>
      <w:ind w:firstLine="420"/>
    </w:pPr>
    <w:rPr>
      <w:rFonts w:ascii="Calibri" w:hAnsi="Calibri"/>
      <w:szCs w:val="22"/>
    </w:rPr>
  </w:style>
  <w:style w:type="table" w:styleId="1761" w:customStyle="1">
    <w:name w:val="Table Normal"/>
    <w:uiPriority w:val="0"/>
    <w:unhideWhenUsed/>
    <w:qFormat/>
    <w:tblPr>
      <w:tblCellMar>
        <w:left w:w="0" w:type="dxa"/>
        <w:top w:w="0" w:type="dxa"/>
        <w:right w:w="0" w:type="dxa"/>
        <w:bottom w:w="0" w:type="dxa"/>
      </w:tblCellMar>
    </w:tblPr>
  </w:style>
  <w:style w:type="paragraph" w:styleId="1762" w:customStyle="1">
    <w:name w:val="WPSOffice手动目录 1"/>
    <w:uiPriority w:val="0"/>
    <w:qFormat/>
    <w:rPr>
      <w:rFonts w:ascii="Times New Roman" w:hAnsi="Times New Roman" w:eastAsia="宋体" w:cs="Times New Roman"/>
      <w:lang w:val="en-US" w:eastAsia="zh-CN" w:bidi="ar-SA"/>
    </w:rPr>
  </w:style>
  <w:style w:type="paragraph" w:styleId="1763">
    <w:name w:val="List Paragraph"/>
    <w:basedOn w:val="1465"/>
    <w:uiPriority w:val="0"/>
    <w:qFormat/>
    <w:pPr>
      <w:ind w:firstLine="420"/>
    </w:pPr>
  </w:style>
  <w:style w:type="paragraph" w:styleId="1764" w:customStyle="1">
    <w:name w:val="Normal_6"/>
    <w:uiPriority w:val="0"/>
    <w:qFormat/>
    <w:rPr>
      <w:rFonts w:ascii="Times New Roman" w:hAnsi="Times New Roman" w:eastAsia="Times New Roman" w:cs="Times New Roman"/>
      <w:sz w:val="24"/>
      <w:szCs w:val="24"/>
      <w:lang w:val="en-US" w:eastAsia="zh-CN" w:bidi="ar-SA"/>
    </w:rPr>
  </w:style>
  <w:style w:type="paragraph" w:styleId="1765" w:customStyle="1">
    <w:name w:val="Normal_2"/>
    <w:uiPriority w:val="0"/>
    <w:qFormat/>
    <w:rPr>
      <w:rFonts w:ascii="Times New Roman" w:hAnsi="Times New Roman" w:eastAsia="Times New Roman" w:cs="Times New Roman"/>
      <w:sz w:val="24"/>
      <w:szCs w:val="24"/>
      <w:lang w:val="en-US" w:eastAsia="zh-CN" w:bidi="ar-SA"/>
    </w:rPr>
  </w:style>
  <w:style w:type="paragraph" w:styleId="1766" w:customStyle="1">
    <w:name w:val="Table Text"/>
    <w:basedOn w:val="1465"/>
    <w:uiPriority w:val="0"/>
    <w:semiHidden/>
    <w:qFormat/>
    <w:rPr>
      <w:rFonts w:ascii="宋体" w:hAnsi="宋体" w:cs="宋体"/>
      <w:sz w:val="24"/>
      <w:lang w:eastAsia="en-US"/>
    </w:rPr>
  </w:style>
  <w:style w:type="character" w:styleId="1767" w:customStyle="1">
    <w:name w:val="font21"/>
    <w:basedOn w:val="1475"/>
    <w:uiPriority w:val="0"/>
    <w:qFormat/>
    <w:rPr>
      <w:rFonts w:ascii="宋体" w:hAnsi="宋体" w:eastAsia="宋体" w:cs="宋体"/>
      <w:b/>
      <w:bCs/>
      <w:color w:val="000000"/>
      <w:sz w:val="18"/>
      <w:szCs w:val="18"/>
      <w:u w:val="none"/>
    </w:rPr>
  </w:style>
  <w:style w:type="character" w:styleId="1768" w:customStyle="1">
    <w:name w:val="font31"/>
    <w:basedOn w:val="1475"/>
    <w:uiPriority w:val="0"/>
    <w:qFormat/>
    <w:rPr>
      <w:rFonts w:ascii="宋体" w:hAnsi="宋体" w:eastAsia="宋体" w:cs="宋体"/>
      <w:color w:val="000000"/>
      <w:sz w:val="18"/>
      <w:szCs w:val="18"/>
      <w:u w:val="none"/>
    </w:rPr>
  </w:style>
  <w:style w:type="paragraph" w:styleId="1769" w:customStyle="1">
    <w:name w:val="Normal_8"/>
    <w:uiPriority w:val="0"/>
    <w:qFormat/>
    <w:rPr>
      <w:rFonts w:ascii="Times New Roman" w:hAnsi="Times New Roman" w:eastAsia="Times New Roman" w:cs="Times New Roman"/>
      <w:sz w:val="24"/>
      <w:szCs w:val="24"/>
      <w:lang w:val="en-US" w:eastAsia="zh-CN" w:bidi="ar-SA"/>
    </w:rPr>
  </w:style>
  <w:style w:type="paragraph" w:styleId="1770"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1771" w:customStyle="1">
    <w:name w:val="Normal_29"/>
    <w:uiPriority w:val="0"/>
    <w:qFormat/>
    <w:rPr>
      <w:rFonts w:ascii="Times New Roman" w:hAnsi="Times New Roman" w:eastAsia="Times New Roman" w:cs="Times New Roman"/>
      <w:sz w:val="24"/>
      <w:szCs w:val="24"/>
      <w:lang w:val="en-US" w:eastAsia="zh-CN" w:bidi="ar-SA"/>
    </w:rPr>
  </w:style>
  <w:style w:type="paragraph" w:styleId="1772" w:customStyle="1">
    <w:name w:val="0正文"/>
    <w:basedOn w:val="1465"/>
    <w:uiPriority w:val="0"/>
    <w:qFormat/>
    <w:rPr>
      <w:rFonts w:cs="Wingdings"/>
      <w:szCs w:val="20"/>
    </w:rPr>
  </w:style>
  <w:style w:type="paragraph" w:styleId="1773" w:customStyle="1">
    <w:name w:val="图编号"/>
    <w:next w:val="1465"/>
    <w:uiPriority w:val="0"/>
    <w:qFormat/>
    <w:pPr>
      <w:numPr>
        <w:ilvl w:val="7"/>
        <w:numId w:val="1"/>
      </w:numPr>
      <w:jc w:val="center"/>
    </w:pPr>
    <w:rPr>
      <w:rFonts w:ascii="Times New Roman" w:hAnsi="Times New Roman" w:eastAsia="宋体" w:cstheme="majorBidi"/>
      <w:bCs/>
      <w:sz w:val="24"/>
      <w:szCs w:val="32"/>
      <w:lang w:val="en-US" w:eastAsia="zh-CN" w:bidi="ar-SA"/>
    </w:rPr>
  </w:style>
  <w:style w:type="paragraph" w:styleId="1774" w:customStyle="1">
    <w:name w:val="01-标书-标题1"/>
    <w:next w:val="1465"/>
    <w:uiPriority w:val="0"/>
    <w:qFormat/>
    <w:pPr>
      <w:ind w:left="425" w:hanging="425"/>
      <w:spacing w:after="160" w:line="360" w:lineRule="auto"/>
      <w:tabs>
        <w:tab w:val="left" w:pos="425" w:leader="none"/>
      </w:tabs>
      <w:outlineLvl w:val="0"/>
    </w:pPr>
    <w:rPr>
      <w:rFonts w:ascii="黑体" w:hAnsi="宋体" w:eastAsia="黑体" w:cs="Times New Roman"/>
      <w:sz w:val="44"/>
      <w:szCs w:val="32"/>
      <w:lang w:val="en-US" w:eastAsia="zh-CN" w:bidi="ar-SA"/>
    </w:rPr>
  </w:style>
  <w:style w:type="paragraph" w:styleId="1775"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776" w:customStyle="1">
    <w:name w:val="页码11"/>
    <w:uiPriority w:val="0"/>
    <w:qFormat/>
  </w:style>
  <w:style w:type="table" w:styleId="1777" w:customStyle="1">
    <w:name w:val="网格型1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77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779" w:customStyle="1">
    <w:name w:val="a0"/>
    <w:basedOn w:val="1465"/>
    <w:uiPriority w:val="0"/>
    <w:qFormat/>
    <w:pPr>
      <w:jc w:val="left"/>
      <w:spacing w:before="100" w:beforeAutospacing="1" w:after="100" w:afterAutospacing="1"/>
      <w:widowControl/>
    </w:pPr>
    <w:rPr>
      <w:rFonts w:ascii="宋体" w:hAnsi="宋体" w:cs="宋体"/>
      <w:sz w:val="24"/>
    </w:rPr>
  </w:style>
  <w:style w:type="character" w:styleId="1780" w:customStyle="1">
    <w:name w:val="批注框文本 Char"/>
    <w:basedOn w:val="1475"/>
    <w:link w:val="1489"/>
    <w:uiPriority w:val="99"/>
    <w:semiHidden/>
    <w:qFormat/>
    <w:rPr>
      <w:sz w:val="18"/>
      <w:szCs w:val="18"/>
    </w:rPr>
  </w:style>
  <w:style w:type="paragraph" w:styleId="1781" w:customStyle="1">
    <w:name w:val="Normal_28"/>
    <w:uiPriority w:val="0"/>
    <w:qFormat/>
    <w:rPr>
      <w:rFonts w:ascii="Times New Roman" w:hAnsi="Times New Roman" w:eastAsia="Times New Roman" w:cs="Times New Roman"/>
      <w:sz w:val="24"/>
      <w:szCs w:val="24"/>
      <w:lang w:val="zh-CN" w:eastAsia="zh-CN" w:bidi="ar-SA"/>
    </w:rPr>
  </w:style>
  <w:style w:type="paragraph" w:styleId="1782" w:customStyle="1">
    <w:name w:val="Normal_31"/>
    <w:uiPriority w:val="0"/>
    <w:qFormat/>
    <w:pPr>
      <w:jc w:val="both"/>
      <w:widowControl w:val="off"/>
    </w:pPr>
    <w:rPr>
      <w:rFonts w:ascii="Calibri" w:hAnsi="Calibri" w:eastAsia="宋体" w:cs="Times New Roman"/>
      <w:sz w:val="21"/>
      <w:szCs w:val="22"/>
      <w:lang w:val="en-US" w:eastAsia="zh-CN" w:bidi="ar-SA"/>
    </w:rPr>
  </w:style>
  <w:style w:type="numbering" w:styleId="17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footer" Target="footer19.xml" /><Relationship Id="rId39" Type="http://schemas.openxmlformats.org/officeDocument/2006/relationships/footer" Target="footer20.xml" /><Relationship Id="rId40" Type="http://schemas.openxmlformats.org/officeDocument/2006/relationships/footer" Target="footer21.xml" /><Relationship Id="rId41" Type="http://schemas.openxmlformats.org/officeDocument/2006/relationships/footer" Target="footer22.xml" /><Relationship Id="rId4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刘歆雨</cp:lastModifiedBy>
  <cp:revision>49</cp:revision>
  <dcterms:created xsi:type="dcterms:W3CDTF">2023-09-28T01:46:00Z</dcterms:created>
  <dcterms:modified xsi:type="dcterms:W3CDTF">2026-10-10T01:16:28Z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D656764AF471413B8B9DFF30B27E7B9C_13</vt:lpwstr>
  </property>
  <property fmtid="{D5CDD505-2E9C-101B-9397-08002B2CF9AE}" pid="4" name="KSOTemplateDocerSaveRecord">
    <vt:lpwstr>eyJoZGlkIjoiOWIwODEwNWEwZjFlZjg2NGYyNDY4NGJjN2QzODQxYTIiLCJ1c2VySWQiOiIxMTYxMjU4NjkyIn0=</vt:lpwstr>
  </property>
</Properties>
</file>