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C59BC9">
      <w:pPr>
        <w:pStyle w:val="217"/>
        <w:spacing w:line="920" w:lineRule="exact"/>
        <w:jc w:val="both"/>
        <w:rPr>
          <w:rFonts w:hint="eastAsia" w:ascii="仿宋" w:hAnsi="仿宋" w:eastAsia="仿宋" w:cs="仿宋"/>
          <w:b/>
          <w:bCs/>
          <w:color w:val="auto"/>
          <w:sz w:val="48"/>
          <w:highlight w:val="none"/>
        </w:rPr>
      </w:pPr>
    </w:p>
    <w:p w14:paraId="08171F6D">
      <w:pPr>
        <w:spacing w:line="1040" w:lineRule="exact"/>
        <w:ind w:left="241" w:firstLine="1785"/>
        <w:rPr>
          <w:rFonts w:hint="eastAsia" w:ascii="仿宋" w:hAnsi="仿宋" w:eastAsia="仿宋" w:cs="仿宋"/>
          <w:b/>
          <w:color w:val="auto"/>
          <w:sz w:val="72"/>
          <w:szCs w:val="72"/>
          <w:highlight w:val="none"/>
        </w:rPr>
      </w:pPr>
    </w:p>
    <w:p w14:paraId="2D637F8C">
      <w:pPr>
        <w:spacing w:line="1040" w:lineRule="exact"/>
        <w:ind w:left="241" w:firstLine="1785"/>
        <w:rPr>
          <w:rFonts w:hint="eastAsia" w:ascii="仿宋" w:hAnsi="仿宋" w:eastAsia="仿宋" w:cs="仿宋"/>
          <w:b/>
          <w:color w:val="auto"/>
          <w:sz w:val="72"/>
          <w:szCs w:val="72"/>
          <w:highlight w:val="none"/>
        </w:rPr>
      </w:pPr>
    </w:p>
    <w:p w14:paraId="0C07400F">
      <w:pPr>
        <w:spacing w:line="1040" w:lineRule="exact"/>
        <w:ind w:left="241" w:firstLine="1785"/>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竞争性磋商文件</w:t>
      </w:r>
    </w:p>
    <w:p w14:paraId="3776F137">
      <w:pPr>
        <w:ind w:firstLine="2862"/>
        <w:rPr>
          <w:rFonts w:hint="eastAsia" w:ascii="仿宋" w:hAnsi="仿宋" w:eastAsia="仿宋" w:cs="仿宋"/>
          <w:bCs/>
          <w:color w:val="auto"/>
          <w:sz w:val="36"/>
          <w:highlight w:val="none"/>
        </w:rPr>
      </w:pPr>
    </w:p>
    <w:p w14:paraId="47BA6513">
      <w:pPr>
        <w:ind w:firstLine="2862"/>
        <w:rPr>
          <w:rFonts w:hint="eastAsia" w:ascii="仿宋" w:hAnsi="仿宋" w:eastAsia="仿宋" w:cs="仿宋"/>
          <w:bCs/>
          <w:color w:val="auto"/>
          <w:sz w:val="36"/>
          <w:highlight w:val="none"/>
        </w:rPr>
      </w:pPr>
    </w:p>
    <w:p w14:paraId="6C476E8D">
      <w:pPr>
        <w:ind w:firstLine="2862"/>
        <w:rPr>
          <w:rFonts w:hint="eastAsia" w:ascii="仿宋" w:hAnsi="仿宋" w:eastAsia="仿宋" w:cs="仿宋"/>
          <w:bCs/>
          <w:color w:val="auto"/>
          <w:sz w:val="36"/>
          <w:highlight w:val="none"/>
        </w:rPr>
      </w:pPr>
    </w:p>
    <w:p w14:paraId="4AD637D7">
      <w:pPr>
        <w:spacing w:line="760" w:lineRule="exact"/>
        <w:ind w:firstLine="716"/>
        <w:rPr>
          <w:rFonts w:hint="default"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项目名称:</w:t>
      </w:r>
      <w:r>
        <w:rPr>
          <w:rFonts w:hint="eastAsia" w:ascii="仿宋" w:hAnsi="仿宋" w:eastAsia="仿宋" w:cs="仿宋"/>
          <w:b/>
          <w:color w:val="auto"/>
          <w:sz w:val="36"/>
          <w:szCs w:val="36"/>
          <w:highlight w:val="none"/>
          <w:lang w:eastAsia="zh-CN"/>
        </w:rPr>
        <w:t>淮安市清江浦区人民法院司法辅助综合事务性工作采购项目（</w:t>
      </w:r>
      <w:r>
        <w:rPr>
          <w:rFonts w:hint="eastAsia" w:ascii="仿宋" w:hAnsi="仿宋" w:eastAsia="仿宋" w:cs="仿宋"/>
          <w:b/>
          <w:color w:val="auto"/>
          <w:sz w:val="36"/>
          <w:szCs w:val="36"/>
          <w:highlight w:val="none"/>
          <w:lang w:val="en-US" w:eastAsia="zh-CN"/>
        </w:rPr>
        <w:t>二次）</w:t>
      </w:r>
    </w:p>
    <w:p w14:paraId="2211F70B">
      <w:pPr>
        <w:spacing w:line="760" w:lineRule="exact"/>
        <w:rPr>
          <w:rFonts w:hint="eastAsia" w:ascii="仿宋" w:hAnsi="仿宋" w:eastAsia="仿宋" w:cs="仿宋"/>
          <w:b/>
          <w:color w:val="auto"/>
          <w:sz w:val="36"/>
          <w:highlight w:val="none"/>
        </w:rPr>
      </w:pPr>
      <w:bookmarkStart w:id="34" w:name="_GoBack"/>
      <w:bookmarkEnd w:id="34"/>
    </w:p>
    <w:p w14:paraId="3FDC080D">
      <w:pPr>
        <w:spacing w:line="760" w:lineRule="exact"/>
        <w:rPr>
          <w:rFonts w:hint="eastAsia" w:ascii="仿宋" w:hAnsi="仿宋" w:eastAsia="仿宋" w:cs="仿宋"/>
          <w:b/>
          <w:color w:val="auto"/>
          <w:sz w:val="36"/>
          <w:highlight w:val="none"/>
        </w:rPr>
      </w:pPr>
    </w:p>
    <w:p w14:paraId="5A521B15">
      <w:pPr>
        <w:spacing w:line="760" w:lineRule="exact"/>
        <w:ind w:firstLine="716"/>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rPr>
        <w:t xml:space="preserve">项目编号: </w:t>
      </w:r>
      <w:r>
        <w:rPr>
          <w:rFonts w:hint="eastAsia" w:ascii="仿宋" w:hAnsi="仿宋" w:eastAsia="仿宋" w:cs="仿宋"/>
          <w:b/>
          <w:color w:val="auto"/>
          <w:sz w:val="36"/>
          <w:highlight w:val="none"/>
          <w:lang w:eastAsia="zh-CN"/>
        </w:rPr>
        <w:t>JSZC-320812-TDGW-C2026-0033</w:t>
      </w:r>
    </w:p>
    <w:p w14:paraId="306866C1">
      <w:pPr>
        <w:ind w:left="-359" w:firstLine="360"/>
        <w:rPr>
          <w:rFonts w:hint="eastAsia" w:ascii="仿宋" w:hAnsi="仿宋" w:eastAsia="仿宋" w:cs="仿宋"/>
          <w:b/>
          <w:color w:val="auto"/>
          <w:sz w:val="32"/>
          <w:highlight w:val="none"/>
        </w:rPr>
      </w:pPr>
    </w:p>
    <w:p w14:paraId="42A4005A">
      <w:pPr>
        <w:rPr>
          <w:rFonts w:hint="eastAsia" w:ascii="仿宋" w:hAnsi="仿宋" w:eastAsia="仿宋" w:cs="仿宋"/>
          <w:b/>
          <w:color w:val="auto"/>
          <w:sz w:val="32"/>
          <w:highlight w:val="none"/>
        </w:rPr>
      </w:pPr>
    </w:p>
    <w:p w14:paraId="551F8D2C">
      <w:pPr>
        <w:pStyle w:val="14"/>
        <w:rPr>
          <w:rFonts w:hint="eastAsia" w:ascii="仿宋" w:hAnsi="仿宋" w:eastAsia="仿宋" w:cs="仿宋"/>
          <w:color w:val="auto"/>
          <w:highlight w:val="none"/>
        </w:rPr>
      </w:pPr>
    </w:p>
    <w:p w14:paraId="1ABBAAB9">
      <w:pPr>
        <w:rPr>
          <w:rFonts w:hint="eastAsia" w:ascii="仿宋" w:hAnsi="仿宋" w:eastAsia="仿宋" w:cs="仿宋"/>
          <w:b/>
          <w:color w:val="auto"/>
          <w:sz w:val="32"/>
          <w:highlight w:val="none"/>
        </w:rPr>
      </w:pPr>
    </w:p>
    <w:p w14:paraId="753684F1">
      <w:pPr>
        <w:tabs>
          <w:tab w:val="center" w:pos="5215"/>
        </w:tabs>
        <w:ind w:firstLine="2530"/>
        <w:rPr>
          <w:rFonts w:hint="eastAsia" w:ascii="仿宋" w:hAnsi="仿宋" w:eastAsia="仿宋" w:cs="仿宋"/>
          <w:b/>
          <w:color w:val="auto"/>
          <w:sz w:val="36"/>
          <w:szCs w:val="36"/>
          <w:highlight w:val="none"/>
          <w:lang w:eastAsia="zh-CN"/>
        </w:rPr>
      </w:pPr>
      <w:r>
        <w:rPr>
          <w:rFonts w:hint="eastAsia" w:ascii="仿宋" w:hAnsi="仿宋" w:eastAsia="仿宋" w:cs="仿宋"/>
          <w:b/>
          <w:color w:val="auto"/>
          <w:sz w:val="36"/>
          <w:szCs w:val="36"/>
          <w:highlight w:val="none"/>
          <w:lang w:eastAsia="zh-CN"/>
        </w:rPr>
        <w:t>淮安市清江浦区人民法院</w:t>
      </w:r>
    </w:p>
    <w:p w14:paraId="76F74DEB">
      <w:pPr>
        <w:tabs>
          <w:tab w:val="center" w:pos="5215"/>
        </w:tabs>
        <w:ind w:firstLine="2692"/>
        <w:rPr>
          <w:rFonts w:hint="eastAsia" w:ascii="仿宋" w:hAnsi="仿宋" w:eastAsia="仿宋" w:cs="仿宋"/>
          <w:b/>
          <w:color w:val="auto"/>
          <w:sz w:val="36"/>
          <w:szCs w:val="36"/>
          <w:highlight w:val="none"/>
        </w:rPr>
      </w:pPr>
    </w:p>
    <w:p w14:paraId="63B76873">
      <w:pPr>
        <w:tabs>
          <w:tab w:val="center" w:pos="5215"/>
        </w:tabs>
        <w:ind w:firstLine="2692"/>
        <w:rPr>
          <w:rFonts w:hint="eastAsia" w:ascii="仿宋" w:hAnsi="仿宋" w:eastAsia="仿宋" w:cs="仿宋"/>
          <w:b/>
          <w:bCs/>
          <w:color w:val="auto"/>
          <w:sz w:val="36"/>
          <w:szCs w:val="36"/>
          <w:highlight w:val="none"/>
        </w:rPr>
      </w:pPr>
      <w:r>
        <w:rPr>
          <w:rFonts w:hint="eastAsia" w:ascii="仿宋" w:hAnsi="仿宋" w:eastAsia="仿宋" w:cs="仿宋"/>
          <w:b/>
          <w:color w:val="auto"/>
          <w:sz w:val="36"/>
          <w:szCs w:val="36"/>
          <w:highlight w:val="none"/>
        </w:rPr>
        <w:t>二〇二六</w:t>
      </w:r>
      <w:r>
        <w:rPr>
          <w:rFonts w:hint="eastAsia" w:ascii="仿宋" w:hAnsi="仿宋" w:eastAsia="仿宋" w:cs="仿宋"/>
          <w:b/>
          <w:color w:val="auto"/>
          <w:sz w:val="36"/>
          <w:szCs w:val="36"/>
          <w:highlight w:val="none"/>
          <w:lang w:val="en-US" w:eastAsia="zh-CN"/>
        </w:rPr>
        <w:t xml:space="preserve"> </w:t>
      </w:r>
      <w:r>
        <w:rPr>
          <w:rFonts w:hint="eastAsia" w:ascii="仿宋" w:hAnsi="仿宋" w:eastAsia="仿宋" w:cs="仿宋"/>
          <w:b/>
          <w:color w:val="auto"/>
          <w:sz w:val="36"/>
          <w:szCs w:val="36"/>
          <w:highlight w:val="none"/>
        </w:rPr>
        <w:t>年</w:t>
      </w:r>
      <w:r>
        <w:rPr>
          <w:rFonts w:hint="eastAsia" w:ascii="仿宋" w:hAnsi="仿宋" w:eastAsia="仿宋" w:cs="仿宋"/>
          <w:b/>
          <w:color w:val="auto"/>
          <w:sz w:val="36"/>
          <w:szCs w:val="36"/>
          <w:highlight w:val="none"/>
          <w:lang w:val="en-US" w:eastAsia="zh-CN"/>
        </w:rPr>
        <w:t xml:space="preserve"> 九</w:t>
      </w:r>
      <w:r>
        <w:rPr>
          <w:rFonts w:hint="eastAsia" w:ascii="仿宋" w:hAnsi="仿宋" w:eastAsia="仿宋" w:cs="仿宋"/>
          <w:b/>
          <w:color w:val="auto"/>
          <w:sz w:val="36"/>
          <w:szCs w:val="36"/>
          <w:highlight w:val="none"/>
        </w:rPr>
        <w:t xml:space="preserve"> 月</w:t>
      </w:r>
      <w:r>
        <w:rPr>
          <w:rFonts w:hint="eastAsia" w:ascii="仿宋" w:hAnsi="仿宋" w:eastAsia="仿宋" w:cs="仿宋"/>
          <w:b/>
          <w:color w:val="auto"/>
          <w:sz w:val="36"/>
          <w:szCs w:val="36"/>
          <w:highlight w:val="none"/>
          <w:lang w:val="en-US" w:eastAsia="zh-CN"/>
        </w:rPr>
        <w:t>二十二</w:t>
      </w:r>
      <w:r>
        <w:rPr>
          <w:rFonts w:hint="eastAsia" w:ascii="仿宋" w:hAnsi="仿宋" w:eastAsia="仿宋" w:cs="仿宋"/>
          <w:b/>
          <w:color w:val="auto"/>
          <w:sz w:val="36"/>
          <w:szCs w:val="36"/>
          <w:highlight w:val="none"/>
        </w:rPr>
        <w:t>日</w:t>
      </w:r>
      <w:r>
        <w:rPr>
          <w:rFonts w:hint="eastAsia" w:ascii="仿宋" w:hAnsi="仿宋" w:eastAsia="仿宋" w:cs="仿宋"/>
          <w:b/>
          <w:color w:val="auto"/>
          <w:sz w:val="36"/>
          <w:szCs w:val="36"/>
          <w:highlight w:val="none"/>
        </w:rPr>
        <w:tab/>
      </w:r>
    </w:p>
    <w:p w14:paraId="3529472B">
      <w:pPr>
        <w:tabs>
          <w:tab w:val="center" w:pos="5215"/>
        </w:tabs>
        <w:ind w:firstLine="2692"/>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 </w:t>
      </w:r>
    </w:p>
    <w:p w14:paraId="0EB9D51D">
      <w:pPr>
        <w:tabs>
          <w:tab w:val="center" w:pos="5215"/>
        </w:tabs>
        <w:rPr>
          <w:rFonts w:hint="eastAsia" w:ascii="仿宋" w:hAnsi="仿宋" w:eastAsia="仿宋" w:cs="仿宋"/>
          <w:b/>
          <w:bCs/>
          <w:color w:val="auto"/>
          <w:sz w:val="36"/>
          <w:szCs w:val="36"/>
          <w:highlight w:val="none"/>
        </w:rPr>
      </w:pPr>
    </w:p>
    <w:p w14:paraId="47B1C740">
      <w:pP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p>
    <w:p w14:paraId="5792D8F6">
      <w:pPr>
        <w:spacing w:line="520" w:lineRule="exact"/>
        <w:ind w:firstLine="3054"/>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第一章   磋商邀请</w:t>
      </w:r>
    </w:p>
    <w:p w14:paraId="726BF906">
      <w:pPr>
        <w:spacing w:line="520" w:lineRule="exact"/>
        <w:ind w:firstLine="548"/>
        <w:rPr>
          <w:rFonts w:hint="eastAsia" w:ascii="仿宋" w:hAnsi="仿宋" w:eastAsia="仿宋" w:cs="仿宋"/>
          <w:color w:val="auto"/>
          <w:sz w:val="28"/>
          <w:highlight w:val="none"/>
        </w:rPr>
      </w:pPr>
      <w:r>
        <w:rPr>
          <w:rFonts w:hint="eastAsia" w:ascii="仿宋" w:hAnsi="仿宋" w:eastAsia="仿宋" w:cs="仿宋"/>
          <w:color w:val="auto"/>
          <w:sz w:val="28"/>
          <w:highlight w:val="none"/>
        </w:rPr>
        <w:t>受</w:t>
      </w:r>
      <w:r>
        <w:rPr>
          <w:rFonts w:hint="eastAsia" w:ascii="仿宋" w:hAnsi="仿宋" w:eastAsia="仿宋" w:cs="仿宋"/>
          <w:color w:val="auto"/>
          <w:sz w:val="28"/>
          <w:highlight w:val="none"/>
          <w:lang w:eastAsia="zh-CN"/>
        </w:rPr>
        <w:t>淮安市清江浦区人民法院</w:t>
      </w:r>
      <w:r>
        <w:rPr>
          <w:rFonts w:hint="eastAsia" w:ascii="仿宋" w:hAnsi="仿宋" w:eastAsia="仿宋" w:cs="仿宋"/>
          <w:color w:val="auto"/>
          <w:sz w:val="28"/>
          <w:highlight w:val="none"/>
        </w:rPr>
        <w:t>的委托，</w:t>
      </w:r>
      <w:r>
        <w:rPr>
          <w:rFonts w:hint="eastAsia" w:ascii="仿宋" w:hAnsi="仿宋" w:eastAsia="仿宋" w:cs="仿宋"/>
          <w:color w:val="auto"/>
          <w:sz w:val="28"/>
          <w:highlight w:val="none"/>
          <w:lang w:eastAsia="zh-CN"/>
        </w:rPr>
        <w:t>宏信天德工程顾问有限公司</w:t>
      </w:r>
      <w:r>
        <w:rPr>
          <w:rFonts w:hint="eastAsia" w:ascii="仿宋" w:hAnsi="仿宋" w:eastAsia="仿宋" w:cs="仿宋"/>
          <w:color w:val="auto"/>
          <w:sz w:val="28"/>
          <w:highlight w:val="none"/>
        </w:rPr>
        <w:t>就</w:t>
      </w:r>
      <w:r>
        <w:rPr>
          <w:rFonts w:hint="eastAsia" w:ascii="仿宋" w:hAnsi="仿宋" w:eastAsia="仿宋" w:cs="仿宋"/>
          <w:color w:val="auto"/>
          <w:sz w:val="28"/>
          <w:highlight w:val="none"/>
          <w:lang w:eastAsia="zh-CN"/>
        </w:rPr>
        <w:t>淮安市清江浦区人民法院司法辅助综合事务性工作采购项目</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二次）</w:t>
      </w:r>
      <w:r>
        <w:rPr>
          <w:rFonts w:hint="eastAsia" w:ascii="仿宋" w:hAnsi="仿宋" w:eastAsia="仿宋" w:cs="仿宋"/>
          <w:color w:val="auto"/>
          <w:sz w:val="28"/>
          <w:highlight w:val="none"/>
        </w:rPr>
        <w:t>进行竞争性磋商采购，现邀请符合条件的供应商参加竞争性磋商。</w:t>
      </w:r>
    </w:p>
    <w:p w14:paraId="416786CF">
      <w:pPr>
        <w:spacing w:line="520" w:lineRule="exact"/>
        <w:ind w:left="1" w:firstLine="537"/>
        <w:rPr>
          <w:rFonts w:hint="eastAsia" w:ascii="仿宋" w:hAnsi="仿宋" w:eastAsia="仿宋" w:cs="仿宋"/>
          <w:color w:val="auto"/>
          <w:sz w:val="28"/>
          <w:szCs w:val="28"/>
          <w:highlight w:val="none"/>
        </w:rPr>
      </w:pPr>
      <w:r>
        <w:rPr>
          <w:rFonts w:hint="eastAsia" w:ascii="仿宋" w:hAnsi="仿宋" w:eastAsia="仿宋" w:cs="仿宋"/>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-19050</wp:posOffset>
                </wp:positionH>
                <wp:positionV relativeFrom="paragraph">
                  <wp:posOffset>88900</wp:posOffset>
                </wp:positionV>
                <wp:extent cx="6124575" cy="1442720"/>
                <wp:effectExtent l="4445" t="4445" r="12700" b="15875"/>
                <wp:wrapNone/>
                <wp:docPr id="1" name="矩形 1"/>
                <wp:cNvGraphicFramePr/>
                <a:graphic xmlns:a="http://schemas.openxmlformats.org/drawingml/2006/main">
                  <a:graphicData uri="http://schemas.microsoft.com/office/word/2010/wordprocessingShape">
                    <wps:wsp>
                      <wps:cNvSpPr/>
                      <wps:spPr bwMode="auto">
                        <a:xfrm>
                          <a:off x="0" y="0"/>
                          <a:ext cx="6124575" cy="1442720"/>
                        </a:xfrm>
                        <a:prstGeom prst="rect">
                          <a:avLst/>
                        </a:prstGeom>
                        <a:solidFill>
                          <a:srgbClr val="FFFFFF"/>
                        </a:solidFill>
                        <a:ln>
                          <a:solidFill>
                            <a:srgbClr val="000000"/>
                          </a:solidFill>
                        </a:ln>
                        <a:effectLst/>
                      </wps:spPr>
                      <wps:txbx>
                        <w:txbxContent>
                          <w:p w14:paraId="50A38919">
                            <w:pPr>
                              <w:spacing w:line="520" w:lineRule="exact"/>
                              <w:ind w:firstLine="537"/>
                              <w:rPr>
                                <w:rFonts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淮安市清江浦区人民法院司法辅助综合事务性工作</w:t>
                            </w:r>
                            <w:r>
                              <w:rPr>
                                <w:rFonts w:hint="eastAsia" w:ascii="仿宋" w:hAnsi="仿宋" w:eastAsia="仿宋"/>
                                <w:sz w:val="28"/>
                                <w:szCs w:val="28"/>
                                <w:u w:val="single"/>
                                <w:lang w:eastAsia="zh-CN"/>
                              </w:rPr>
                              <w:t>（</w:t>
                            </w:r>
                            <w:r>
                              <w:rPr>
                                <w:rFonts w:hint="eastAsia" w:ascii="仿宋" w:hAnsi="仿宋" w:eastAsia="仿宋"/>
                                <w:sz w:val="28"/>
                                <w:szCs w:val="28"/>
                                <w:u w:val="single"/>
                                <w:lang w:val="en-US" w:eastAsia="zh-CN"/>
                              </w:rPr>
                              <w:t>二次）</w:t>
                            </w:r>
                            <w:r>
                              <w:rPr>
                                <w:rFonts w:hint="eastAsia" w:ascii="仿宋" w:hAnsi="仿宋" w:eastAsia="仿宋"/>
                                <w:sz w:val="28"/>
                                <w:szCs w:val="28"/>
                              </w:rPr>
                              <w:t>采购项目的潜在供应商应在淮安市政府采购网（</w:t>
                            </w:r>
                            <w:r>
                              <w:fldChar w:fldCharType="begin"/>
                            </w:r>
                            <w:r>
                              <w:instrText xml:space="preserve"> HYPERLINK "http://czj.huaian.gov.cn/col/13924_326175/index.html" </w:instrText>
                            </w:r>
                            <w:r>
                              <w:fldChar w:fldCharType="separate"/>
                            </w:r>
                            <w:r>
                              <w:rPr>
                                <w:rFonts w:hint="eastAsia" w:ascii="仿宋" w:hAnsi="仿宋" w:eastAsia="仿宋"/>
                                <w:sz w:val="28"/>
                                <w:szCs w:val="28"/>
                              </w:rPr>
                              <w:t>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）自行免费下载磋商文件。</w:t>
                            </w:r>
                          </w:p>
                          <w:p w14:paraId="0465F1BB"/>
                          <w:p w14:paraId="32DB7CA4"/>
                        </w:txbxContent>
                      </wps:txbx>
                      <wps:bodyPr wrap="square" upright="1">
                        <a:noAutofit/>
                      </wps:bodyPr>
                    </wps:wsp>
                  </a:graphicData>
                </a:graphic>
              </wp:anchor>
            </w:drawing>
          </mc:Choice>
          <mc:Fallback>
            <w:pict>
              <v:rect id="_x0000_s1026" o:spid="_x0000_s1026" o:spt="1" style="position:absolute;left:0pt;margin-left:-1.5pt;margin-top:7pt;height:113.6pt;width:482.25pt;z-index:251659264;mso-width-relative:page;mso-height-relative:page;" fillcolor="#FFFFFF" filled="t" stroked="t" coordsize="21600,21600" o:gfxdata="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9uXhE2AAAAAkB&#10;AAAPAAAAAAAAAAEAIAAAACIAAABkcnMvZG93bnJldi54bWxQSwECFAAUAAAACACHTuJAVXdVmOIB&#10;AADYAwAADgAAAAAAAAABACAAAAAnAQAAZHJzL2Uyb0RvYy54bWxQSwUGAAAAAAYABgBZAQAAewUA&#10;AAAA&#10;">
                <v:fill on="t" focussize="0,0"/>
                <v:stroke color="#000000" joinstyle="round"/>
                <v:imagedata o:title=""/>
                <o:lock v:ext="edit" aspectratio="f"/>
                <v:textbox>
                  <w:txbxContent>
                    <w:p w14:paraId="50A38919">
                      <w:pPr>
                        <w:spacing w:line="520" w:lineRule="exact"/>
                        <w:ind w:firstLine="537"/>
                        <w:rPr>
                          <w:rFonts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淮安市清江浦区人民法院司法辅助综合事务性工作</w:t>
                      </w:r>
                      <w:r>
                        <w:rPr>
                          <w:rFonts w:hint="eastAsia" w:ascii="仿宋" w:hAnsi="仿宋" w:eastAsia="仿宋"/>
                          <w:sz w:val="28"/>
                          <w:szCs w:val="28"/>
                          <w:u w:val="single"/>
                          <w:lang w:eastAsia="zh-CN"/>
                        </w:rPr>
                        <w:t>（</w:t>
                      </w:r>
                      <w:r>
                        <w:rPr>
                          <w:rFonts w:hint="eastAsia" w:ascii="仿宋" w:hAnsi="仿宋" w:eastAsia="仿宋"/>
                          <w:sz w:val="28"/>
                          <w:szCs w:val="28"/>
                          <w:u w:val="single"/>
                          <w:lang w:val="en-US" w:eastAsia="zh-CN"/>
                        </w:rPr>
                        <w:t>二次）</w:t>
                      </w:r>
                      <w:r>
                        <w:rPr>
                          <w:rFonts w:hint="eastAsia" w:ascii="仿宋" w:hAnsi="仿宋" w:eastAsia="仿宋"/>
                          <w:sz w:val="28"/>
                          <w:szCs w:val="28"/>
                        </w:rPr>
                        <w:t>采购项目的潜在供应商应在淮安市政府采购网（</w:t>
                      </w:r>
                      <w:r>
                        <w:fldChar w:fldCharType="begin"/>
                      </w:r>
                      <w:r>
                        <w:instrText xml:space="preserve"> HYPERLINK "http://czj.huaian.gov.cn/col/13924_326175/index.html" </w:instrText>
                      </w:r>
                      <w:r>
                        <w:fldChar w:fldCharType="separate"/>
                      </w:r>
                      <w:r>
                        <w:rPr>
                          <w:rFonts w:hint="eastAsia" w:ascii="仿宋" w:hAnsi="仿宋" w:eastAsia="仿宋"/>
                          <w:sz w:val="28"/>
                          <w:szCs w:val="28"/>
                        </w:rPr>
                        <w:t>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）自行免费下载磋商文件。</w:t>
                      </w:r>
                    </w:p>
                    <w:p w14:paraId="0465F1BB"/>
                    <w:p w14:paraId="32DB7CA4"/>
                  </w:txbxContent>
                </v:textbox>
              </v:rect>
            </w:pict>
          </mc:Fallback>
        </mc:AlternateContent>
      </w:r>
    </w:p>
    <w:p w14:paraId="70B878F0">
      <w:pPr>
        <w:spacing w:line="520" w:lineRule="exact"/>
        <w:ind w:firstLine="565"/>
        <w:rPr>
          <w:rFonts w:hint="eastAsia" w:ascii="仿宋" w:hAnsi="仿宋" w:eastAsia="仿宋" w:cs="仿宋"/>
          <w:color w:val="auto"/>
          <w:sz w:val="28"/>
          <w:szCs w:val="28"/>
          <w:highlight w:val="none"/>
        </w:rPr>
      </w:pPr>
    </w:p>
    <w:p w14:paraId="6ED7317D">
      <w:pPr>
        <w:spacing w:line="520" w:lineRule="exact"/>
        <w:ind w:firstLine="565"/>
        <w:rPr>
          <w:rFonts w:hint="eastAsia" w:ascii="仿宋" w:hAnsi="仿宋" w:eastAsia="仿宋" w:cs="仿宋"/>
          <w:color w:val="auto"/>
          <w:sz w:val="28"/>
          <w:szCs w:val="28"/>
          <w:highlight w:val="none"/>
        </w:rPr>
      </w:pPr>
    </w:p>
    <w:p w14:paraId="51AEA054">
      <w:pPr>
        <w:spacing w:line="520" w:lineRule="exact"/>
        <w:rPr>
          <w:rFonts w:hint="eastAsia" w:ascii="仿宋" w:hAnsi="仿宋" w:eastAsia="仿宋" w:cs="仿宋"/>
          <w:color w:val="auto"/>
          <w:sz w:val="28"/>
          <w:szCs w:val="28"/>
          <w:highlight w:val="none"/>
        </w:rPr>
      </w:pPr>
    </w:p>
    <w:p w14:paraId="2D11E901">
      <w:pPr>
        <w:spacing w:line="520" w:lineRule="exact"/>
        <w:ind w:firstLine="565"/>
        <w:rPr>
          <w:rFonts w:hint="eastAsia" w:ascii="仿宋" w:hAnsi="仿宋" w:eastAsia="仿宋" w:cs="仿宋"/>
          <w:color w:val="auto"/>
          <w:sz w:val="28"/>
          <w:szCs w:val="28"/>
          <w:highlight w:val="none"/>
        </w:rPr>
      </w:pPr>
    </w:p>
    <w:p w14:paraId="4BAB8223">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一、项目基本情况</w:t>
      </w:r>
    </w:p>
    <w:p w14:paraId="2F864D47">
      <w:pPr>
        <w:spacing w:line="520" w:lineRule="exact"/>
        <w:ind w:firstLine="565"/>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（一）项目编号:</w:t>
      </w:r>
      <w:r>
        <w:rPr>
          <w:rFonts w:hint="eastAsia" w:ascii="仿宋" w:hAnsi="仿宋" w:eastAsia="仿宋" w:cs="仿宋"/>
          <w:color w:val="auto"/>
          <w:sz w:val="28"/>
          <w:szCs w:val="28"/>
          <w:highlight w:val="none"/>
          <w:lang w:eastAsia="zh-CN"/>
        </w:rPr>
        <w:t>JSZC-320812-TDGW-C2026-0033</w:t>
      </w:r>
    </w:p>
    <w:p w14:paraId="1E18A916">
      <w:pPr>
        <w:spacing w:line="520" w:lineRule="exact"/>
        <w:ind w:firstLine="565"/>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（二）项目名称: </w:t>
      </w:r>
      <w:r>
        <w:rPr>
          <w:rFonts w:hint="eastAsia" w:ascii="仿宋" w:hAnsi="仿宋" w:eastAsia="仿宋" w:cs="仿宋"/>
          <w:color w:val="auto"/>
          <w:sz w:val="28"/>
          <w:szCs w:val="28"/>
          <w:highlight w:val="none"/>
          <w:lang w:eastAsia="zh-CN"/>
        </w:rPr>
        <w:t>淮安市清江浦区人民法院司法辅助综合事务性工作采购项目（</w:t>
      </w:r>
      <w:r>
        <w:rPr>
          <w:rFonts w:hint="eastAsia" w:ascii="仿宋" w:hAnsi="仿宋" w:eastAsia="仿宋" w:cs="仿宋"/>
          <w:color w:val="auto"/>
          <w:sz w:val="28"/>
          <w:szCs w:val="28"/>
          <w:highlight w:val="none"/>
          <w:lang w:val="en-US" w:eastAsia="zh-CN"/>
        </w:rPr>
        <w:t>二次）</w:t>
      </w:r>
      <w:r>
        <w:rPr>
          <w:rFonts w:hint="eastAsia" w:ascii="仿宋" w:hAnsi="仿宋" w:eastAsia="仿宋" w:cs="仿宋"/>
          <w:bCs/>
          <w:color w:val="auto"/>
          <w:sz w:val="28"/>
          <w:szCs w:val="28"/>
          <w:highlight w:val="none"/>
        </w:rPr>
        <w:t xml:space="preserve"> </w:t>
      </w:r>
    </w:p>
    <w:p w14:paraId="6FA832CE">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（三）采购方式:竞争性磋商</w:t>
      </w:r>
    </w:p>
    <w:p w14:paraId="710EA149">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（四）预算金</w:t>
      </w:r>
      <w:r>
        <w:rPr>
          <w:rFonts w:hint="eastAsia" w:ascii="仿宋" w:hAnsi="仿宋" w:eastAsia="仿宋" w:cs="仿宋"/>
          <w:bCs/>
          <w:color w:val="auto"/>
          <w:sz w:val="28"/>
          <w:szCs w:val="28"/>
          <w:highlight w:val="none"/>
        </w:rPr>
        <w:t>额:</w:t>
      </w:r>
      <w:r>
        <w:rPr>
          <w:rFonts w:hint="eastAsia" w:ascii="仿宋" w:hAnsi="仿宋" w:eastAsia="仿宋" w:cs="仿宋"/>
          <w:bCs/>
          <w:color w:val="auto"/>
          <w:sz w:val="28"/>
          <w:szCs w:val="28"/>
          <w:highlight w:val="none"/>
          <w:lang w:val="en-US" w:eastAsia="zh-CN"/>
        </w:rPr>
        <w:t>1</w:t>
      </w:r>
      <w:r>
        <w:rPr>
          <w:rFonts w:hint="eastAsia" w:ascii="仿宋" w:hAnsi="仿宋" w:eastAsia="仿宋" w:cs="仿宋"/>
          <w:bCs/>
          <w:color w:val="auto"/>
          <w:sz w:val="28"/>
          <w:szCs w:val="28"/>
          <w:highlight w:val="none"/>
        </w:rPr>
        <w:t>25万元</w:t>
      </w:r>
    </w:p>
    <w:p w14:paraId="2B8AC05F">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（五）最高</w:t>
      </w:r>
      <w:r>
        <w:rPr>
          <w:rFonts w:hint="eastAsia" w:ascii="仿宋" w:hAnsi="仿宋" w:eastAsia="仿宋" w:cs="仿宋"/>
          <w:bCs/>
          <w:color w:val="auto"/>
          <w:sz w:val="28"/>
          <w:szCs w:val="28"/>
          <w:highlight w:val="none"/>
        </w:rPr>
        <w:t>限价:</w:t>
      </w:r>
      <w:r>
        <w:rPr>
          <w:rFonts w:hint="eastAsia" w:ascii="仿宋" w:hAnsi="仿宋" w:eastAsia="仿宋" w:cs="仿宋"/>
          <w:bCs/>
          <w:color w:val="auto"/>
          <w:sz w:val="28"/>
          <w:szCs w:val="28"/>
          <w:highlight w:val="none"/>
          <w:lang w:val="en-US" w:eastAsia="zh-CN"/>
        </w:rPr>
        <w:t>1</w:t>
      </w:r>
      <w:r>
        <w:rPr>
          <w:rFonts w:hint="eastAsia" w:ascii="仿宋" w:hAnsi="仿宋" w:eastAsia="仿宋" w:cs="仿宋"/>
          <w:bCs/>
          <w:color w:val="auto"/>
          <w:sz w:val="28"/>
          <w:szCs w:val="28"/>
          <w:highlight w:val="none"/>
        </w:rPr>
        <w:t>25万元</w:t>
      </w:r>
    </w:p>
    <w:p w14:paraId="7D6780D3">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（六）采购需求:</w:t>
      </w:r>
      <w:r>
        <w:rPr>
          <w:rFonts w:hint="eastAsia" w:ascii="仿宋" w:hAnsi="仿宋" w:eastAsia="仿宋" w:cs="仿宋"/>
          <w:color w:val="auto"/>
          <w:sz w:val="28"/>
          <w:szCs w:val="28"/>
          <w:highlight w:val="none"/>
          <w:lang w:eastAsia="zh-CN"/>
        </w:rPr>
        <w:t>淮安市清江浦区人民法院司法辅助综合事务性工作采购项目（</w:t>
      </w:r>
      <w:r>
        <w:rPr>
          <w:rFonts w:hint="eastAsia" w:ascii="仿宋" w:hAnsi="仿宋" w:eastAsia="仿宋" w:cs="仿宋"/>
          <w:color w:val="auto"/>
          <w:sz w:val="28"/>
          <w:szCs w:val="28"/>
          <w:highlight w:val="none"/>
          <w:lang w:val="en-US" w:eastAsia="zh-CN"/>
        </w:rPr>
        <w:t>二次）</w:t>
      </w:r>
      <w:r>
        <w:rPr>
          <w:rFonts w:hint="eastAsia" w:ascii="仿宋" w:hAnsi="仿宋" w:eastAsia="仿宋" w:cs="仿宋"/>
          <w:color w:val="auto"/>
          <w:sz w:val="28"/>
          <w:szCs w:val="28"/>
          <w:highlight w:val="none"/>
        </w:rPr>
        <w:t>，详见磋商文件第五章项目采购需求。</w:t>
      </w:r>
    </w:p>
    <w:p w14:paraId="7E6EF8EA">
      <w:pPr>
        <w:spacing w:line="50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（七）合同履行期限:</w:t>
      </w:r>
      <w:r>
        <w:rPr>
          <w:rFonts w:hint="eastAsia" w:ascii="仿宋" w:hAnsi="仿宋" w:eastAsia="仿宋" w:cs="仿宋"/>
          <w:color w:val="auto"/>
          <w:highlight w:val="none"/>
        </w:rPr>
        <w:t xml:space="preserve"> </w:t>
      </w:r>
      <w:r>
        <w:rPr>
          <w:rFonts w:hint="eastAsia" w:ascii="仿宋" w:hAnsi="仿宋" w:eastAsia="仿宋" w:cs="仿宋"/>
          <w:color w:val="auto"/>
          <w:sz w:val="28"/>
          <w:szCs w:val="28"/>
          <w:highlight w:val="none"/>
        </w:rPr>
        <w:t>一年。</w:t>
      </w:r>
    </w:p>
    <w:p w14:paraId="1F4A7F4A">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（八）本项目（□是</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否）接受联合体竞争性磋商。</w:t>
      </w:r>
    </w:p>
    <w:p w14:paraId="6E075A2C">
      <w:pPr>
        <w:spacing w:line="520" w:lineRule="exact"/>
        <w:ind w:firstLine="565"/>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（九）本项目采购标的对应的中小企业划分标准所属行业为</w:t>
      </w:r>
      <w:r>
        <w:rPr>
          <w:rFonts w:hint="eastAsia" w:ascii="仿宋" w:hAnsi="仿宋" w:eastAsia="仿宋" w:cs="仿宋"/>
          <w:color w:val="auto"/>
          <w:sz w:val="28"/>
          <w:szCs w:val="28"/>
          <w:highlight w:val="none"/>
          <w:u w:val="single"/>
        </w:rPr>
        <w:t>其他未列明行业</w:t>
      </w:r>
      <w:r>
        <w:rPr>
          <w:rFonts w:hint="eastAsia" w:ascii="仿宋" w:hAnsi="仿宋" w:eastAsia="仿宋" w:cs="仿宋"/>
          <w:color w:val="auto"/>
          <w:sz w:val="28"/>
          <w:szCs w:val="28"/>
          <w:highlight w:val="none"/>
        </w:rPr>
        <w:t>。</w:t>
      </w:r>
    </w:p>
    <w:p w14:paraId="111702B1">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二、申请人的资格要求:</w:t>
      </w:r>
    </w:p>
    <w:p w14:paraId="5778077F">
      <w:pPr>
        <w:spacing w:line="520" w:lineRule="exact"/>
        <w:ind w:firstLine="560"/>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（一）符合《中华人民共和国政府采购法》第二十二条规定；</w:t>
      </w:r>
    </w:p>
    <w:p w14:paraId="2F94982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（二）落实政府采购政策需满足的资格要求:</w:t>
      </w:r>
    </w:p>
    <w:p w14:paraId="13E1BBE0">
      <w:pPr>
        <w:spacing w:line="52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本项目</w:t>
      </w:r>
      <w:r>
        <w:rPr>
          <w:rFonts w:hint="eastAsia" w:ascii="仿宋" w:hAnsi="仿宋" w:eastAsia="仿宋" w:cs="仿宋"/>
          <w:color w:val="auto"/>
          <w:sz w:val="28"/>
          <w:szCs w:val="28"/>
          <w:highlight w:val="none"/>
        </w:rPr>
        <w:t>按照</w:t>
      </w:r>
      <w:r>
        <w:rPr>
          <w:rFonts w:hint="eastAsia" w:ascii="仿宋" w:hAnsi="仿宋" w:eastAsia="仿宋" w:cs="仿宋"/>
          <w:color w:val="auto"/>
          <w:sz w:val="28"/>
          <w:szCs w:val="28"/>
          <w:highlight w:val="none"/>
          <w:lang w:val="zh-CN"/>
        </w:rPr>
        <w:t>以下第</w:t>
      </w:r>
      <w:r>
        <w:rPr>
          <w:rFonts w:hint="eastAsia" w:ascii="仿宋" w:hAnsi="仿宋" w:eastAsia="仿宋" w:cs="仿宋"/>
          <w:color w:val="auto"/>
          <w:sz w:val="28"/>
          <w:szCs w:val="28"/>
          <w:highlight w:val="none"/>
          <w:u w:val="single"/>
        </w:rPr>
        <w:t xml:space="preserve"> 1 </w:t>
      </w:r>
      <w:r>
        <w:rPr>
          <w:rFonts w:hint="eastAsia" w:ascii="仿宋" w:hAnsi="仿宋" w:eastAsia="仿宋" w:cs="仿宋"/>
          <w:color w:val="auto"/>
          <w:sz w:val="28"/>
          <w:szCs w:val="28"/>
          <w:highlight w:val="none"/>
          <w:lang w:val="zh-CN"/>
        </w:rPr>
        <w:t>种方式落实政府采购促进中小企业发展的要求：</w:t>
      </w:r>
    </w:p>
    <w:p w14:paraId="6F66129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1、</w:t>
      </w:r>
      <w:r>
        <w:rPr>
          <w:rFonts w:hint="eastAsia" w:ascii="仿宋" w:hAnsi="仿宋" w:eastAsia="仿宋" w:cs="仿宋"/>
          <w:color w:val="auto"/>
          <w:sz w:val="28"/>
          <w:szCs w:val="28"/>
          <w:highlight w:val="none"/>
        </w:rPr>
        <w:t>本项目为专门面向中小企业采购的项目。</w:t>
      </w:r>
    </w:p>
    <w:p w14:paraId="0DBB73B2">
      <w:pPr>
        <w:spacing w:line="52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zh-CN"/>
        </w:rPr>
        <w:t>本项目通过以下第（）种方式预留部分采购份额</w:t>
      </w:r>
      <w:r>
        <w:rPr>
          <w:rFonts w:hint="eastAsia" w:ascii="仿宋" w:hAnsi="仿宋" w:eastAsia="仿宋" w:cs="仿宋"/>
          <w:color w:val="auto"/>
          <w:sz w:val="28"/>
          <w:szCs w:val="28"/>
          <w:highlight w:val="none"/>
        </w:rPr>
        <w:t>采购</w:t>
      </w:r>
      <w:r>
        <w:rPr>
          <w:rFonts w:hint="eastAsia" w:ascii="仿宋" w:hAnsi="仿宋" w:eastAsia="仿宋" w:cs="仿宋"/>
          <w:color w:val="auto"/>
          <w:sz w:val="28"/>
          <w:szCs w:val="28"/>
          <w:highlight w:val="none"/>
          <w:lang w:val="zh-CN"/>
        </w:rPr>
        <w:t>中小企业</w:t>
      </w:r>
      <w:r>
        <w:rPr>
          <w:rFonts w:hint="eastAsia" w:ascii="仿宋" w:hAnsi="仿宋" w:eastAsia="仿宋" w:cs="仿宋"/>
          <w:color w:val="auto"/>
          <w:sz w:val="28"/>
          <w:szCs w:val="28"/>
          <w:highlight w:val="none"/>
        </w:rPr>
        <w:t>服务</w:t>
      </w:r>
      <w:r>
        <w:rPr>
          <w:rFonts w:hint="eastAsia" w:ascii="仿宋" w:hAnsi="仿宋" w:eastAsia="仿宋" w:cs="仿宋"/>
          <w:color w:val="auto"/>
          <w:sz w:val="28"/>
          <w:szCs w:val="28"/>
          <w:highlight w:val="none"/>
          <w:lang w:val="zh-CN"/>
        </w:rPr>
        <w:t>：</w:t>
      </w:r>
    </w:p>
    <w:p w14:paraId="3003C3BA">
      <w:pPr>
        <w:spacing w:line="52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（1）本项目要求供应商以联合体形式参加，中小企业合同金额应当达到的比例为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zh-CN"/>
        </w:rPr>
        <w:t>，其中小微企业所占比例应为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zh-CN"/>
        </w:rPr>
        <w:t>（两项比例均应符合《政府采购促进中小企业发展管理办法》第八条规定）。</w:t>
      </w:r>
    </w:p>
    <w:p w14:paraId="507CDA88">
      <w:pPr>
        <w:spacing w:line="52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（2）本项目要求供应商进行合同分包，中小企业合同金额应当达到的比例为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zh-CN"/>
        </w:rPr>
        <w:t>，其中小微企业所占比例应为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zh-CN"/>
        </w:rPr>
        <w:t>（两项比例均应符合《政府采购促进中小企业发展管理办法》第八条规定）。</w:t>
      </w:r>
    </w:p>
    <w:p w14:paraId="7A5B90D3">
      <w:pPr>
        <w:spacing w:line="52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3、本项目为非预留份额的采购项目，</w:t>
      </w:r>
      <w:r>
        <w:rPr>
          <w:rFonts w:hint="eastAsia" w:ascii="仿宋" w:hAnsi="仿宋" w:eastAsia="仿宋" w:cs="仿宋"/>
          <w:color w:val="auto"/>
          <w:sz w:val="28"/>
          <w:szCs w:val="28"/>
          <w:highlight w:val="none"/>
        </w:rPr>
        <w:t>对小微企业报价给予扣除，用扣除后的价格参加评审，具体详见第二章“供应商须知”第35.1项</w:t>
      </w:r>
      <w:r>
        <w:rPr>
          <w:rFonts w:hint="eastAsia" w:ascii="仿宋" w:hAnsi="仿宋" w:eastAsia="仿宋" w:cs="仿宋"/>
          <w:color w:val="auto"/>
          <w:sz w:val="28"/>
          <w:szCs w:val="28"/>
          <w:highlight w:val="none"/>
          <w:lang w:val="zh-CN"/>
        </w:rPr>
        <w:t>。</w:t>
      </w:r>
    </w:p>
    <w:p w14:paraId="677FB42A">
      <w:pPr>
        <w:spacing w:line="52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注:</w:t>
      </w:r>
      <w:r>
        <w:rPr>
          <w:rFonts w:hint="eastAsia" w:ascii="仿宋" w:hAnsi="仿宋" w:eastAsia="仿宋" w:cs="仿宋"/>
          <w:color w:val="auto"/>
          <w:sz w:val="28"/>
          <w:szCs w:val="28"/>
          <w:highlight w:val="none"/>
          <w:lang w:val="zh-CN"/>
        </w:rPr>
        <w:t>监狱企业、残疾人福利性单位视同小微企业；符合中小企业划分标准的个体工商户，在政府采购活动中视同中小企业，享受政府采购支持中小企业发展政策。</w:t>
      </w:r>
    </w:p>
    <w:p w14:paraId="103487D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（三）法人或者其他组织的营业执照、税务登记证或三证合一证等证明文件（扫描件加盖CA电子签章）。</w:t>
      </w:r>
    </w:p>
    <w:p w14:paraId="5DAAEBC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（四）本项目的特定资格要求:</w:t>
      </w:r>
    </w:p>
    <w:p w14:paraId="7573669E">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r>
        <w:rPr>
          <w:rFonts w:hint="eastAsia" w:ascii="仿宋" w:hAnsi="仿宋" w:eastAsia="仿宋" w:cs="仿宋"/>
          <w:b w:val="0"/>
          <w:bCs w:val="0"/>
          <w:color w:val="auto"/>
          <w:sz w:val="28"/>
          <w:szCs w:val="28"/>
          <w:highlight w:val="none"/>
        </w:rPr>
        <w:t>供应商具有有效期内国家秘密载体印制资质(涉密档案数字化加工)甲级或乙级（</w:t>
      </w:r>
      <w:r>
        <w:rPr>
          <w:rFonts w:hint="eastAsia" w:ascii="仿宋" w:hAnsi="仿宋" w:eastAsia="仿宋" w:cs="仿宋"/>
          <w:b w:val="0"/>
          <w:bCs w:val="0"/>
          <w:color w:val="auto"/>
          <w:sz w:val="28"/>
          <w:szCs w:val="28"/>
          <w:highlight w:val="none"/>
          <w:lang w:val="en-US" w:eastAsia="zh-CN"/>
        </w:rPr>
        <w:t>非江苏省的乙级资质单位须出具已取得江苏省</w:t>
      </w:r>
      <w:r>
        <w:rPr>
          <w:rFonts w:hint="eastAsia" w:ascii="仿宋" w:hAnsi="仿宋" w:eastAsia="仿宋" w:cs="仿宋"/>
          <w:b w:val="0"/>
          <w:bCs w:val="0"/>
          <w:color w:val="auto"/>
          <w:sz w:val="28"/>
          <w:szCs w:val="28"/>
          <w:highlight w:val="none"/>
        </w:rPr>
        <w:t>保密局</w:t>
      </w:r>
      <w:r>
        <w:rPr>
          <w:rFonts w:hint="eastAsia" w:ascii="仿宋" w:hAnsi="仿宋" w:eastAsia="仿宋" w:cs="仿宋"/>
          <w:b w:val="0"/>
          <w:bCs w:val="0"/>
          <w:color w:val="auto"/>
          <w:sz w:val="28"/>
          <w:szCs w:val="28"/>
          <w:highlight w:val="none"/>
          <w:lang w:val="en-US" w:eastAsia="zh-CN"/>
        </w:rPr>
        <w:t>备案的证明材料</w:t>
      </w:r>
      <w:r>
        <w:rPr>
          <w:rFonts w:hint="eastAsia" w:ascii="仿宋" w:hAnsi="仿宋" w:eastAsia="仿宋" w:cs="仿宋"/>
          <w:b w:val="0"/>
          <w:bCs w:val="0"/>
          <w:color w:val="auto"/>
          <w:sz w:val="28"/>
          <w:szCs w:val="28"/>
          <w:highlight w:val="none"/>
        </w:rPr>
        <w:t>）</w:t>
      </w:r>
      <w:r>
        <w:rPr>
          <w:rFonts w:hint="eastAsia" w:ascii="仿宋" w:hAnsi="仿宋" w:eastAsia="仿宋" w:cs="仿宋"/>
          <w:b w:val="0"/>
          <w:bCs w:val="0"/>
          <w:color w:val="auto"/>
          <w:sz w:val="28"/>
          <w:szCs w:val="28"/>
          <w:highlight w:val="none"/>
          <w:lang w:eastAsia="zh-CN"/>
        </w:rPr>
        <w:t>。</w:t>
      </w:r>
    </w:p>
    <w:p w14:paraId="4A190DE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五</w:t>
      </w:r>
      <w:r>
        <w:rPr>
          <w:rFonts w:hint="eastAsia" w:ascii="仿宋" w:hAnsi="仿宋" w:eastAsia="仿宋" w:cs="仿宋"/>
          <w:color w:val="auto"/>
          <w:sz w:val="28"/>
          <w:szCs w:val="28"/>
          <w:highlight w:val="none"/>
        </w:rPr>
        <w:t>）拒绝下述条件的供应商参加本次采购活动:</w:t>
      </w:r>
    </w:p>
    <w:p w14:paraId="5E64F84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1.供应商单位负责人为同一人或者存在直接控股、管理关系的不同供应商，同时参加同一合同项下的政府采购活动。（提供承诺书加盖CA电子签章）</w:t>
      </w:r>
    </w:p>
    <w:p w14:paraId="1EB0ECB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2.凡为采购项目提供整体设计、规范编制或者项目管理、监理、检测等服务的供应商，再参加本项目的采购活动。（提供承诺书加盖CA电子签章）</w:t>
      </w:r>
    </w:p>
    <w:p w14:paraId="5A3101F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3.供应商被“信用中国”网站、“中国政府采购网”列入失信被执行人、重大税收违法失信主体名单、政府采购严重违法失信行为记录名单。（提供查询截图加盖CA电子签章）</w:t>
      </w:r>
    </w:p>
    <w:p w14:paraId="27C6E7A3">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三、获取磋商文件</w:t>
      </w:r>
    </w:p>
    <w:p w14:paraId="1A8A85B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1、时间:自磋商公告发布之日起五个工作日。</w:t>
      </w:r>
    </w:p>
    <w:p w14:paraId="12A2D32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2、方式：在“淮安市政府采购网”自行免费下载磋商文件。</w:t>
      </w:r>
    </w:p>
    <w:p w14:paraId="6E1ECEE1">
      <w:pPr>
        <w:spacing w:line="50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四、提交响应文件截止时间、磋商时间和地点</w:t>
      </w:r>
    </w:p>
    <w:p w14:paraId="30D511A5">
      <w:pPr>
        <w:spacing w:line="520" w:lineRule="exact"/>
        <w:ind w:firstLine="565"/>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（一）电子响应文件提交截止时间及磋商时间:</w:t>
      </w:r>
      <w:r>
        <w:rPr>
          <w:rFonts w:hint="eastAsia" w:ascii="仿宋" w:hAnsi="仿宋" w:eastAsia="仿宋" w:cs="仿宋"/>
          <w:b/>
          <w:bCs/>
          <w:color w:val="auto"/>
          <w:sz w:val="28"/>
          <w:szCs w:val="28"/>
          <w:highlight w:val="none"/>
        </w:rPr>
        <w:t>2026年</w:t>
      </w:r>
      <w:r>
        <w:rPr>
          <w:rFonts w:hint="eastAsia" w:ascii="仿宋" w:hAnsi="仿宋" w:eastAsia="仿宋" w:cs="仿宋"/>
          <w:b/>
          <w:bCs/>
          <w:color w:val="auto"/>
          <w:sz w:val="28"/>
          <w:szCs w:val="28"/>
          <w:highlight w:val="none"/>
          <w:lang w:val="en-US" w:eastAsia="zh-CN"/>
        </w:rPr>
        <w:t>10</w:t>
      </w:r>
      <w:r>
        <w:rPr>
          <w:rFonts w:hint="eastAsia" w:ascii="仿宋" w:hAnsi="仿宋" w:eastAsia="仿宋" w:cs="仿宋"/>
          <w:b/>
          <w:bCs/>
          <w:color w:val="auto"/>
          <w:sz w:val="28"/>
          <w:szCs w:val="28"/>
          <w:highlight w:val="none"/>
        </w:rPr>
        <w:t>月</w:t>
      </w:r>
      <w:r>
        <w:rPr>
          <w:rFonts w:hint="eastAsia" w:ascii="仿宋" w:hAnsi="仿宋" w:eastAsia="仿宋" w:cs="仿宋"/>
          <w:b/>
          <w:bCs/>
          <w:color w:val="auto"/>
          <w:sz w:val="28"/>
          <w:szCs w:val="28"/>
          <w:highlight w:val="none"/>
          <w:lang w:val="en-US" w:eastAsia="zh-CN"/>
        </w:rPr>
        <w:t>10</w:t>
      </w:r>
      <w:r>
        <w:rPr>
          <w:rFonts w:hint="eastAsia" w:ascii="仿宋" w:hAnsi="仿宋" w:eastAsia="仿宋" w:cs="仿宋"/>
          <w:b/>
          <w:bCs/>
          <w:color w:val="auto"/>
          <w:sz w:val="28"/>
          <w:szCs w:val="28"/>
          <w:highlight w:val="none"/>
        </w:rPr>
        <w:t>日14点30分</w:t>
      </w:r>
    </w:p>
    <w:p w14:paraId="6AA8992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（二）电子响应文件上传地址：“苏采云”政府采购交易系统网上开标大厅。</w:t>
      </w:r>
    </w:p>
    <w:p w14:paraId="4CFBE526">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五、公告期限</w:t>
      </w:r>
    </w:p>
    <w:p w14:paraId="08AEEAE1">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自本公告发布之日起五个工作日。</w:t>
      </w:r>
    </w:p>
    <w:p w14:paraId="354773EE">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六、其他补充事宜</w:t>
      </w:r>
    </w:p>
    <w:p w14:paraId="36C90B9A">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本项目仅采购非进口产品（注:本文件所称进口产品是指通过中国海关报关验放进入中国境内且产自关境外的产品）。</w:t>
      </w:r>
    </w:p>
    <w:p w14:paraId="5C8D7E79">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七、对本次采购提出询问，请按以下方式联系。</w:t>
      </w:r>
    </w:p>
    <w:p w14:paraId="38F724B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1、采购人信息</w:t>
      </w:r>
    </w:p>
    <w:p w14:paraId="1C14438A">
      <w:pPr>
        <w:spacing w:line="490" w:lineRule="exact"/>
        <w:ind w:firstLine="565"/>
        <w:outlineLvl w:val="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（1）采购人:淮安市清江浦区人民法院      </w:t>
      </w:r>
      <w:r>
        <w:rPr>
          <w:rFonts w:hint="eastAsia" w:ascii="仿宋" w:hAnsi="仿宋" w:eastAsia="仿宋" w:cs="仿宋"/>
          <w:color w:val="auto"/>
          <w:sz w:val="28"/>
          <w:szCs w:val="28"/>
          <w:highlight w:val="none"/>
        </w:rPr>
        <w:tab/>
      </w:r>
    </w:p>
    <w:p w14:paraId="41356F46">
      <w:pPr>
        <w:spacing w:line="490" w:lineRule="exact"/>
        <w:ind w:firstLine="565"/>
        <w:outlineLvl w:val="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（2）联系方式: 居先生  </w:t>
      </w:r>
      <w:r>
        <w:rPr>
          <w:rFonts w:hint="eastAsia" w:ascii="仿宋" w:hAnsi="仿宋" w:eastAsia="仿宋" w:cs="仿宋"/>
          <w:color w:val="auto"/>
          <w:sz w:val="28"/>
          <w:szCs w:val="28"/>
          <w:highlight w:val="none"/>
          <w:lang w:bidi="ar"/>
        </w:rPr>
        <w:t>18852342229</w:t>
      </w:r>
    </w:p>
    <w:p w14:paraId="715C6B19">
      <w:pPr>
        <w:spacing w:line="490" w:lineRule="exact"/>
        <w:ind w:firstLine="565"/>
        <w:outlineLvl w:val="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（3）联系地址: 淮安市清江浦区健康西路180号</w:t>
      </w:r>
    </w:p>
    <w:p w14:paraId="5B538019">
      <w:pPr>
        <w:spacing w:line="49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2、采购代理机构信息</w:t>
      </w:r>
    </w:p>
    <w:p w14:paraId="00CAB991">
      <w:pPr>
        <w:spacing w:line="49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（1）名    称：宏信天德工程顾问有限公司　</w:t>
      </w:r>
    </w:p>
    <w:p w14:paraId="3324C6CA">
      <w:pPr>
        <w:spacing w:line="49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　  址：淮安经济技术开发区宏恒胜路11号　 </w:t>
      </w:r>
    </w:p>
    <w:p w14:paraId="249453F2">
      <w:pPr>
        <w:spacing w:line="49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（3）联系方式： 沈靖  18762085577  0517-89087508</w:t>
      </w:r>
    </w:p>
    <w:p w14:paraId="65F1BF0D">
      <w:pPr>
        <w:spacing w:line="49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3、项目联系方式（组织本项目采购活动的具体工作人员姓名）</w:t>
      </w:r>
    </w:p>
    <w:p w14:paraId="68B93D4E">
      <w:pPr>
        <w:spacing w:line="49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 xml:space="preserve">联 系 人:  居先生       </w:t>
      </w:r>
      <w:r>
        <w:rPr>
          <w:rFonts w:hint="eastAsia" w:ascii="仿宋" w:hAnsi="仿宋" w:eastAsia="仿宋" w:cs="仿宋"/>
          <w:color w:val="auto"/>
          <w:sz w:val="28"/>
          <w:szCs w:val="28"/>
          <w:highlight w:val="none"/>
        </w:rPr>
        <w:tab/>
      </w:r>
    </w:p>
    <w:p w14:paraId="3DF13E82">
      <w:pPr>
        <w:spacing w:line="49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联系电话:18852342229</w:t>
      </w:r>
    </w:p>
    <w:p w14:paraId="2B487AF7">
      <w:pPr>
        <w:spacing w:line="49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（3）监督人：王燕  83589082</w:t>
      </w:r>
    </w:p>
    <w:p w14:paraId="4E568C1B">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八、其他</w:t>
      </w:r>
    </w:p>
    <w:p w14:paraId="43630578">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p>
    <w:p w14:paraId="2BF95DE2">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28F80A53">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有关本次磋商活动的事项若存在变动或修改，敬请及时关注</w:t>
      </w:r>
      <w:r>
        <w:rPr>
          <w:rFonts w:hint="eastAsia" w:ascii="仿宋" w:hAnsi="仿宋" w:eastAsia="仿宋" w:cs="仿宋"/>
          <w:color w:val="auto"/>
          <w:sz w:val="28"/>
          <w:szCs w:val="28"/>
          <w:highlight w:val="none"/>
          <w:lang w:eastAsia="zh-CN"/>
        </w:rPr>
        <w:t>宏信天德工程顾问有限公司</w:t>
      </w:r>
      <w:r>
        <w:rPr>
          <w:rFonts w:hint="eastAsia" w:ascii="仿宋" w:hAnsi="仿宋" w:eastAsia="仿宋" w:cs="仿宋"/>
          <w:color w:val="auto"/>
          <w:sz w:val="28"/>
          <w:szCs w:val="28"/>
          <w:highlight w:val="none"/>
        </w:rPr>
        <w:t xml:space="preserve"> 在“淮安市政府采购网”发布的更正公告。</w:t>
      </w:r>
    </w:p>
    <w:p w14:paraId="2EBA7A41">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 本次采购不收取磋商保证金。</w:t>
      </w:r>
    </w:p>
    <w:p w14:paraId="289E2114">
      <w:pPr>
        <w:spacing w:line="520" w:lineRule="exact"/>
        <w:ind w:firstLine="560"/>
        <w:rPr>
          <w:rFonts w:hint="eastAsia" w:ascii="仿宋" w:hAnsi="仿宋" w:eastAsia="仿宋" w:cs="仿宋"/>
          <w:color w:val="auto"/>
          <w:sz w:val="28"/>
          <w:szCs w:val="28"/>
          <w:highlight w:val="none"/>
        </w:rPr>
      </w:pPr>
    </w:p>
    <w:p w14:paraId="78B3D464">
      <w:pPr>
        <w:jc w:val="center"/>
        <w:rPr>
          <w:rFonts w:hint="eastAsia" w:ascii="仿宋" w:hAnsi="仿宋" w:eastAsia="仿宋" w:cs="仿宋"/>
          <w:bCs/>
          <w:color w:val="auto"/>
          <w:sz w:val="32"/>
          <w:highlight w:val="none"/>
        </w:rPr>
      </w:pPr>
    </w:p>
    <w:p w14:paraId="6B661270">
      <w:pPr>
        <w:spacing w:line="44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               </w:t>
      </w:r>
    </w:p>
    <w:p w14:paraId="3525EA2C">
      <w:pPr>
        <w:spacing w:line="440" w:lineRule="exact"/>
        <w:rPr>
          <w:rFonts w:hint="eastAsia" w:ascii="仿宋" w:hAnsi="仿宋" w:eastAsia="仿宋" w:cs="仿宋"/>
          <w:bCs/>
          <w:color w:val="auto"/>
          <w:sz w:val="32"/>
          <w:szCs w:val="32"/>
          <w:highlight w:val="none"/>
        </w:rPr>
      </w:pPr>
    </w:p>
    <w:p w14:paraId="30B9C783">
      <w:pPr>
        <w:spacing w:line="440" w:lineRule="exact"/>
        <w:rPr>
          <w:rFonts w:hint="eastAsia" w:ascii="仿宋" w:hAnsi="仿宋" w:eastAsia="仿宋" w:cs="仿宋"/>
          <w:bCs/>
          <w:color w:val="auto"/>
          <w:sz w:val="32"/>
          <w:szCs w:val="32"/>
          <w:highlight w:val="none"/>
        </w:rPr>
      </w:pPr>
    </w:p>
    <w:p w14:paraId="1758D7C2">
      <w:pPr>
        <w:spacing w:line="440" w:lineRule="exact"/>
        <w:rPr>
          <w:rFonts w:hint="eastAsia" w:ascii="仿宋" w:hAnsi="仿宋" w:eastAsia="仿宋" w:cs="仿宋"/>
          <w:bCs/>
          <w:color w:val="auto"/>
          <w:sz w:val="32"/>
          <w:szCs w:val="32"/>
          <w:highlight w:val="none"/>
        </w:rPr>
      </w:pPr>
    </w:p>
    <w:p w14:paraId="6B5B38A5">
      <w:pPr>
        <w:spacing w:line="440" w:lineRule="exact"/>
        <w:rPr>
          <w:rFonts w:hint="eastAsia" w:ascii="仿宋" w:hAnsi="仿宋" w:eastAsia="仿宋" w:cs="仿宋"/>
          <w:bCs/>
          <w:color w:val="auto"/>
          <w:sz w:val="32"/>
          <w:szCs w:val="32"/>
          <w:highlight w:val="none"/>
        </w:rPr>
      </w:pPr>
    </w:p>
    <w:p w14:paraId="7DBF0E6D">
      <w:pPr>
        <w:spacing w:line="440" w:lineRule="exact"/>
        <w:rPr>
          <w:rFonts w:hint="eastAsia" w:ascii="仿宋" w:hAnsi="仿宋" w:eastAsia="仿宋" w:cs="仿宋"/>
          <w:bCs/>
          <w:color w:val="auto"/>
          <w:sz w:val="32"/>
          <w:szCs w:val="32"/>
          <w:highlight w:val="none"/>
        </w:rPr>
      </w:pPr>
    </w:p>
    <w:p w14:paraId="147248A6">
      <w:pPr>
        <w:spacing w:line="440" w:lineRule="exact"/>
        <w:rPr>
          <w:rFonts w:hint="eastAsia" w:ascii="仿宋" w:hAnsi="仿宋" w:eastAsia="仿宋" w:cs="仿宋"/>
          <w:bCs/>
          <w:color w:val="auto"/>
          <w:sz w:val="32"/>
          <w:szCs w:val="32"/>
          <w:highlight w:val="none"/>
        </w:rPr>
      </w:pPr>
    </w:p>
    <w:p w14:paraId="1935201B">
      <w:pPr>
        <w:spacing w:line="440" w:lineRule="exact"/>
        <w:rPr>
          <w:rFonts w:hint="eastAsia" w:ascii="仿宋" w:hAnsi="仿宋" w:eastAsia="仿宋" w:cs="仿宋"/>
          <w:bCs/>
          <w:color w:val="auto"/>
          <w:sz w:val="32"/>
          <w:szCs w:val="32"/>
          <w:highlight w:val="none"/>
        </w:rPr>
      </w:pPr>
    </w:p>
    <w:p w14:paraId="0A0B94D2">
      <w:pPr>
        <w:spacing w:line="440" w:lineRule="exact"/>
        <w:rPr>
          <w:rFonts w:hint="eastAsia" w:ascii="仿宋" w:hAnsi="仿宋" w:eastAsia="仿宋" w:cs="仿宋"/>
          <w:bCs/>
          <w:color w:val="auto"/>
          <w:sz w:val="32"/>
          <w:szCs w:val="32"/>
          <w:highlight w:val="none"/>
        </w:rPr>
      </w:pPr>
    </w:p>
    <w:p w14:paraId="12F7BAF5">
      <w:pPr>
        <w:spacing w:line="440" w:lineRule="exact"/>
        <w:rPr>
          <w:rFonts w:hint="eastAsia" w:ascii="仿宋" w:hAnsi="仿宋" w:eastAsia="仿宋" w:cs="仿宋"/>
          <w:bCs/>
          <w:color w:val="auto"/>
          <w:sz w:val="32"/>
          <w:szCs w:val="32"/>
          <w:highlight w:val="none"/>
        </w:rPr>
      </w:pPr>
    </w:p>
    <w:p w14:paraId="7B71C6CC">
      <w:pPr>
        <w:spacing w:line="440" w:lineRule="exact"/>
        <w:rPr>
          <w:rFonts w:hint="eastAsia" w:ascii="仿宋" w:hAnsi="仿宋" w:eastAsia="仿宋" w:cs="仿宋"/>
          <w:bCs/>
          <w:color w:val="auto"/>
          <w:sz w:val="32"/>
          <w:szCs w:val="32"/>
          <w:highlight w:val="none"/>
        </w:rPr>
      </w:pPr>
    </w:p>
    <w:p w14:paraId="0F562516">
      <w:pPr>
        <w:spacing w:line="440" w:lineRule="exact"/>
        <w:rPr>
          <w:rFonts w:hint="eastAsia" w:ascii="仿宋" w:hAnsi="仿宋" w:eastAsia="仿宋" w:cs="仿宋"/>
          <w:bCs/>
          <w:color w:val="auto"/>
          <w:sz w:val="32"/>
          <w:szCs w:val="32"/>
          <w:highlight w:val="none"/>
        </w:rPr>
      </w:pPr>
    </w:p>
    <w:p w14:paraId="5A84E807">
      <w:pPr>
        <w:spacing w:line="520" w:lineRule="exact"/>
        <w:ind w:firstLine="2692"/>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第二章   供应商须知</w:t>
      </w:r>
    </w:p>
    <w:p w14:paraId="04426E57">
      <w:pPr>
        <w:spacing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一、总则</w:t>
      </w:r>
    </w:p>
    <w:p w14:paraId="73E55395">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1.适用范围</w:t>
      </w:r>
    </w:p>
    <w:p w14:paraId="74107A5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本竞争性磋商文件仅适用于本次采购邀请中所述项目的采购。</w:t>
      </w:r>
    </w:p>
    <w:p w14:paraId="6679F0D1">
      <w:pPr>
        <w:spacing w:line="520" w:lineRule="exact"/>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2.合格的供应商</w:t>
      </w:r>
    </w:p>
    <w:p w14:paraId="2D2B0883">
      <w:pPr>
        <w:spacing w:line="520" w:lineRule="exact"/>
        <w:ind w:left="-359" w:firstLine="915"/>
        <w:rPr>
          <w:rFonts w:hint="eastAsia" w:ascii="仿宋" w:hAnsi="仿宋" w:eastAsia="仿宋" w:cs="仿宋"/>
          <w:color w:val="auto"/>
          <w:sz w:val="28"/>
          <w:szCs w:val="28"/>
          <w:highlight w:val="none"/>
        </w:rPr>
      </w:pPr>
      <w:r>
        <w:rPr>
          <w:rFonts w:hint="eastAsia" w:ascii="仿宋" w:hAnsi="仿宋" w:eastAsia="仿宋" w:cs="仿宋"/>
          <w:color w:val="auto"/>
          <w:sz w:val="28"/>
          <w:szCs w:val="21"/>
          <w:highlight w:val="none"/>
        </w:rPr>
        <w:t>2.1</w:t>
      </w:r>
      <w:r>
        <w:rPr>
          <w:rFonts w:hint="eastAsia" w:ascii="仿宋" w:hAnsi="仿宋" w:eastAsia="仿宋" w:cs="仿宋"/>
          <w:color w:val="auto"/>
          <w:sz w:val="28"/>
          <w:szCs w:val="28"/>
          <w:highlight w:val="none"/>
        </w:rPr>
        <w:t xml:space="preserve">满足第一章磋商邀请中供应商资格要求的规定。 </w:t>
      </w:r>
    </w:p>
    <w:p w14:paraId="444C045C">
      <w:pPr>
        <w:spacing w:line="520" w:lineRule="exact"/>
        <w:ind w:firstLine="566"/>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2.2</w:t>
      </w:r>
      <w:r>
        <w:rPr>
          <w:rFonts w:hint="eastAsia" w:ascii="仿宋" w:hAnsi="仿宋" w:eastAsia="仿宋" w:cs="仿宋"/>
          <w:color w:val="auto"/>
          <w:sz w:val="28"/>
          <w:szCs w:val="28"/>
          <w:highlight w:val="none"/>
        </w:rPr>
        <w:t>满足磋商文件中实质性条款的规定。</w:t>
      </w:r>
    </w:p>
    <w:p w14:paraId="3BB3B50D">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3.适用法律</w:t>
      </w:r>
    </w:p>
    <w:p w14:paraId="78FCFCD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3.1《中华人民共和国政府采购法》、《中华人民共和国政府采购法实施条例》、《政府采购竞争性磋商采购方式管理暂行办法》等有关法律、规章和规定等。</w:t>
      </w:r>
    </w:p>
    <w:p w14:paraId="6461588E">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auto"/>
          <w:sz w:val="28"/>
          <w:szCs w:val="28"/>
          <w:highlight w:val="none"/>
          <w:lang w:val="zh-CN" w:bidi="ar"/>
        </w:rPr>
      </w:pPr>
      <w:r>
        <w:rPr>
          <w:rFonts w:hint="eastAsia" w:ascii="仿宋" w:hAnsi="仿宋" w:eastAsia="仿宋" w:cs="仿宋"/>
          <w:color w:val="auto"/>
          <w:sz w:val="28"/>
          <w:szCs w:val="28"/>
          <w:highlight w:val="none"/>
        </w:rPr>
        <w:t>4.磋商</w:t>
      </w:r>
      <w:r>
        <w:rPr>
          <w:rFonts w:hint="eastAsia" w:ascii="仿宋" w:hAnsi="仿宋" w:eastAsia="仿宋" w:cs="仿宋"/>
          <w:color w:val="auto"/>
          <w:sz w:val="28"/>
          <w:szCs w:val="28"/>
          <w:highlight w:val="none"/>
          <w:lang w:val="zh-CN" w:bidi="ar"/>
        </w:rPr>
        <w:t>费用</w:t>
      </w:r>
    </w:p>
    <w:p w14:paraId="0DC19C7F">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auto"/>
          <w:sz w:val="28"/>
          <w:szCs w:val="28"/>
          <w:highlight w:val="none"/>
          <w:lang w:val="zh-CN" w:bidi="ar"/>
        </w:rPr>
      </w:pPr>
      <w:r>
        <w:rPr>
          <w:rFonts w:hint="eastAsia" w:ascii="仿宋" w:hAnsi="仿宋" w:eastAsia="仿宋" w:cs="仿宋"/>
          <w:color w:val="auto"/>
          <w:sz w:val="28"/>
          <w:szCs w:val="28"/>
          <w:highlight w:val="none"/>
          <w:lang w:val="zh-CN" w:bidi="ar"/>
        </w:rPr>
        <w:t>4.1供应商应自行承担所有与参加磋商有关的费用。不论磋商的结果如何，</w:t>
      </w:r>
      <w:r>
        <w:rPr>
          <w:rFonts w:hint="eastAsia" w:ascii="仿宋" w:hAnsi="仿宋" w:eastAsia="仿宋" w:cs="仿宋"/>
          <w:color w:val="auto"/>
          <w:sz w:val="28"/>
          <w:szCs w:val="28"/>
          <w:highlight w:val="none"/>
          <w:lang w:val="zh-CN" w:eastAsia="zh-CN" w:bidi="ar"/>
        </w:rPr>
        <w:t>宏信天德工程顾问有限公司</w:t>
      </w:r>
      <w:r>
        <w:rPr>
          <w:rFonts w:hint="eastAsia" w:ascii="仿宋" w:hAnsi="仿宋" w:eastAsia="仿宋" w:cs="仿宋"/>
          <w:color w:val="auto"/>
          <w:sz w:val="28"/>
          <w:szCs w:val="28"/>
          <w:highlight w:val="none"/>
          <w:lang w:val="zh-CN" w:bidi="ar"/>
        </w:rPr>
        <w:t>（以下简称代理公司）及</w:t>
      </w:r>
      <w:r>
        <w:rPr>
          <w:rFonts w:hint="eastAsia" w:ascii="仿宋" w:hAnsi="仿宋" w:eastAsia="仿宋" w:cs="仿宋"/>
          <w:color w:val="auto"/>
          <w:sz w:val="28"/>
          <w:szCs w:val="28"/>
          <w:highlight w:val="none"/>
          <w:lang w:val="zh-CN" w:eastAsia="zh-CN" w:bidi="ar"/>
        </w:rPr>
        <w:t>淮安市清江浦区人民法院</w:t>
      </w:r>
      <w:r>
        <w:rPr>
          <w:rFonts w:hint="eastAsia" w:ascii="仿宋" w:hAnsi="仿宋" w:eastAsia="仿宋" w:cs="仿宋"/>
          <w:color w:val="auto"/>
          <w:sz w:val="28"/>
          <w:szCs w:val="28"/>
          <w:highlight w:val="none"/>
          <w:lang w:val="zh-CN" w:bidi="ar"/>
        </w:rPr>
        <w:t>（以下简称采购人）在任何情况下均无义务和责任承担这些费用。</w:t>
      </w:r>
    </w:p>
    <w:p w14:paraId="69BB1C3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bidi="ar"/>
        </w:rPr>
        <w:t xml:space="preserve">   4.2本项目</w:t>
      </w:r>
      <w:r>
        <w:rPr>
          <w:rFonts w:hint="eastAsia" w:ascii="仿宋" w:hAnsi="仿宋" w:eastAsia="仿宋" w:cs="仿宋"/>
          <w:color w:val="auto"/>
          <w:sz w:val="28"/>
          <w:szCs w:val="28"/>
          <w:highlight w:val="none"/>
          <w:lang w:val="en-US" w:eastAsia="zh-CN" w:bidi="ar"/>
        </w:rPr>
        <w:t>磋商</w:t>
      </w:r>
      <w:r>
        <w:rPr>
          <w:rFonts w:hint="eastAsia" w:ascii="仿宋" w:hAnsi="仿宋" w:eastAsia="仿宋" w:cs="仿宋"/>
          <w:color w:val="auto"/>
          <w:sz w:val="28"/>
          <w:szCs w:val="28"/>
          <w:highlight w:val="none"/>
          <w:lang w:val="zh-CN" w:bidi="ar"/>
        </w:rPr>
        <w:t>代理费为苏招协【2022】002号文35%，成交供应商必须在成交通知书发出前向宏信天德工程顾问有限公司交纳</w:t>
      </w:r>
      <w:r>
        <w:rPr>
          <w:rFonts w:hint="eastAsia" w:ascii="仿宋" w:hAnsi="仿宋" w:eastAsia="仿宋" w:cs="仿宋"/>
          <w:color w:val="auto"/>
          <w:sz w:val="28"/>
          <w:szCs w:val="28"/>
          <w:highlight w:val="none"/>
          <w:lang w:val="en-US" w:eastAsia="zh-CN" w:bidi="ar"/>
        </w:rPr>
        <w:t>磋商</w:t>
      </w:r>
      <w:r>
        <w:rPr>
          <w:rFonts w:hint="eastAsia" w:ascii="仿宋" w:hAnsi="仿宋" w:eastAsia="仿宋" w:cs="仿宋"/>
          <w:color w:val="auto"/>
          <w:sz w:val="28"/>
          <w:szCs w:val="28"/>
          <w:highlight w:val="none"/>
          <w:lang w:val="zh-CN" w:bidi="ar"/>
        </w:rPr>
        <w:t>代理费，此费用须包含在磋商报价中，但无须单独列项计取</w:t>
      </w:r>
      <w:r>
        <w:rPr>
          <w:rFonts w:hint="eastAsia" w:ascii="仿宋" w:hAnsi="仿宋" w:eastAsia="仿宋" w:cs="仿宋"/>
          <w:color w:val="auto"/>
          <w:sz w:val="28"/>
          <w:highlight w:val="none"/>
        </w:rPr>
        <w:t>。</w:t>
      </w:r>
    </w:p>
    <w:p w14:paraId="12CB1F1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注：依据：淮财购〔2026〕5号（苏财规〔2026〕1号）第一条第（三）（六）项。</w:t>
      </w:r>
    </w:p>
    <w:p w14:paraId="670F6BD3">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5、磋商文件的约束力</w:t>
      </w:r>
    </w:p>
    <w:p w14:paraId="74A0EFD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5.1供应商一旦参加本项目采购活动，即被认为接受了本磋商文件的规定和约束。</w:t>
      </w:r>
    </w:p>
    <w:p w14:paraId="36D554BB">
      <w:pPr>
        <w:spacing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二、磋商文件</w:t>
      </w:r>
    </w:p>
    <w:p w14:paraId="072BFEF1">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6.磋商文件构成</w:t>
      </w:r>
    </w:p>
    <w:p w14:paraId="4D33598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bCs/>
          <w:color w:val="auto"/>
          <w:sz w:val="28"/>
          <w:highlight w:val="none"/>
        </w:rPr>
        <w:t>6.1磋商文件</w:t>
      </w:r>
      <w:r>
        <w:rPr>
          <w:rFonts w:hint="eastAsia" w:ascii="仿宋" w:hAnsi="仿宋" w:eastAsia="仿宋" w:cs="仿宋"/>
          <w:color w:val="auto"/>
          <w:sz w:val="28"/>
          <w:szCs w:val="28"/>
          <w:highlight w:val="none"/>
        </w:rPr>
        <w:t>由以下部分组成:</w:t>
      </w:r>
    </w:p>
    <w:p w14:paraId="1BA83DA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（1）磋商邀请</w:t>
      </w:r>
    </w:p>
    <w:p w14:paraId="1BE0589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（2）供应商须知</w:t>
      </w:r>
    </w:p>
    <w:p w14:paraId="7556D9D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（3）评审方法与评审标准</w:t>
      </w:r>
    </w:p>
    <w:p w14:paraId="1F237B8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（4）合同格式及条款</w:t>
      </w:r>
    </w:p>
    <w:p w14:paraId="18AE491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（5）采购需求</w:t>
      </w:r>
    </w:p>
    <w:p w14:paraId="6E7BF7D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（6）响应文件格式</w:t>
      </w:r>
    </w:p>
    <w:p w14:paraId="2E38782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0BD9E9D">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7.磋商文件的澄清和修改</w:t>
      </w:r>
    </w:p>
    <w:p w14:paraId="307384E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7.1 在响应文件提交截止时间前，采购人可以对磋商文件进行澄清和修改, 澄清或者修改的内容作为磋商文件的组成部分。澄清或者修改的内容可能影响响应文件编制的，采购人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更正公告内容将作为磋商文件的组成部分，并对供应商具有约束力。不足5日的，采购人将顺延提交首次响应文件截止时间。</w:t>
      </w:r>
    </w:p>
    <w:p w14:paraId="655E293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7.2采购人可以视采购项目的具体情况，组织供应商进行现场考察或召开磋商前答疑会，但不单独或分别组织只有一个供应商参加的现场考察和答疑会。</w:t>
      </w:r>
    </w:p>
    <w:p w14:paraId="0AD76A5A">
      <w:pPr>
        <w:spacing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三、响应文件的编制</w:t>
      </w:r>
    </w:p>
    <w:p w14:paraId="4DAD3F0E">
      <w:pPr>
        <w:spacing w:line="520" w:lineRule="exact"/>
        <w:rPr>
          <w:rFonts w:hint="eastAsia" w:ascii="仿宋" w:hAnsi="仿宋" w:eastAsia="仿宋" w:cs="仿宋"/>
          <w:color w:val="auto"/>
          <w:sz w:val="28"/>
          <w:szCs w:val="28"/>
          <w:highlight w:val="none"/>
        </w:rPr>
      </w:pPr>
      <w:bookmarkStart w:id="0" w:name="_Toc16938530"/>
      <w:bookmarkStart w:id="1" w:name="_Toc462564073"/>
      <w:bookmarkStart w:id="2" w:name="_Toc20823286"/>
      <w:bookmarkStart w:id="3" w:name="_Toc513029214"/>
      <w:r>
        <w:rPr>
          <w:rFonts w:hint="eastAsia" w:ascii="仿宋" w:hAnsi="仿宋" w:eastAsia="仿宋" w:cs="仿宋"/>
          <w:color w:val="auto"/>
          <w:sz w:val="28"/>
          <w:szCs w:val="28"/>
          <w:highlight w:val="none"/>
        </w:rPr>
        <w:t>8．响应文件的语言及度量衡单位</w:t>
      </w:r>
      <w:bookmarkEnd w:id="0"/>
      <w:bookmarkEnd w:id="1"/>
      <w:bookmarkEnd w:id="2"/>
      <w:bookmarkEnd w:id="3"/>
    </w:p>
    <w:p w14:paraId="20C8377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8.1供应商提交的响应文件以及供应商与采购人就有关磋商的所有来往通知、函件和文件均应使用简体中文。</w:t>
      </w:r>
    </w:p>
    <w:p w14:paraId="543886E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8.2 除技术性能另有规定外，响应文件所使用的度量衡单位，均须采用国家法定计量单位。</w:t>
      </w:r>
    </w:p>
    <w:p w14:paraId="115B5C84">
      <w:pPr>
        <w:spacing w:line="520" w:lineRule="exact"/>
        <w:rPr>
          <w:rFonts w:hint="eastAsia" w:ascii="仿宋" w:hAnsi="仿宋" w:eastAsia="仿宋" w:cs="仿宋"/>
          <w:color w:val="auto"/>
          <w:sz w:val="28"/>
          <w:szCs w:val="28"/>
          <w:highlight w:val="none"/>
        </w:rPr>
      </w:pPr>
      <w:bookmarkStart w:id="4" w:name="_Toc462564074"/>
      <w:bookmarkStart w:id="5" w:name="_Toc513029215"/>
      <w:bookmarkStart w:id="6" w:name="_Toc20823287"/>
      <w:bookmarkStart w:id="7" w:name="_Toc16938531"/>
      <w:r>
        <w:rPr>
          <w:rFonts w:hint="eastAsia" w:ascii="仿宋" w:hAnsi="仿宋" w:eastAsia="仿宋" w:cs="仿宋"/>
          <w:color w:val="auto"/>
          <w:sz w:val="28"/>
          <w:szCs w:val="28"/>
          <w:highlight w:val="none"/>
        </w:rPr>
        <w:t>9．响应文件构成</w:t>
      </w:r>
      <w:bookmarkEnd w:id="4"/>
      <w:bookmarkEnd w:id="5"/>
      <w:bookmarkEnd w:id="6"/>
      <w:bookmarkEnd w:id="7"/>
    </w:p>
    <w:p w14:paraId="73DC451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p>
    <w:p w14:paraId="1AF55A1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9.2 如响应文件制作工具中格式和内容与“江苏政府采购网”、“淮安市政府采购网”发布的磋商文件不一致，请以“江苏政府采购网”、“淮安市政府采购网”发布的磋商文件为准。</w:t>
      </w:r>
    </w:p>
    <w:p w14:paraId="491D8265">
      <w:pPr>
        <w:spacing w:line="520" w:lineRule="exact"/>
        <w:rPr>
          <w:rFonts w:hint="eastAsia" w:ascii="仿宋" w:hAnsi="仿宋" w:eastAsia="仿宋" w:cs="仿宋"/>
          <w:color w:val="auto"/>
          <w:sz w:val="28"/>
          <w:szCs w:val="28"/>
          <w:highlight w:val="none"/>
        </w:rPr>
      </w:pPr>
      <w:bookmarkStart w:id="8" w:name="_Toc49090509"/>
      <w:bookmarkStart w:id="9" w:name="_Toc14577357"/>
      <w:bookmarkStart w:id="10" w:name="_Toc513029219"/>
      <w:bookmarkStart w:id="11" w:name="_Toc14577354"/>
      <w:bookmarkStart w:id="12" w:name="_Toc49090507"/>
      <w:bookmarkStart w:id="13" w:name="_Toc513029216"/>
      <w:bookmarkStart w:id="14" w:name="_Toc49090508"/>
      <w:bookmarkStart w:id="15" w:name="_Toc14577355"/>
      <w:r>
        <w:rPr>
          <w:rFonts w:hint="eastAsia" w:ascii="仿宋" w:hAnsi="仿宋" w:eastAsia="仿宋" w:cs="仿宋"/>
          <w:color w:val="auto"/>
          <w:sz w:val="28"/>
          <w:szCs w:val="28"/>
          <w:highlight w:val="none"/>
        </w:rPr>
        <w:t>10．证明磋商响应标的符合磋商文件规定的文件</w:t>
      </w:r>
      <w:bookmarkEnd w:id="8"/>
      <w:bookmarkEnd w:id="9"/>
      <w:bookmarkEnd w:id="10"/>
      <w:bookmarkEnd w:id="11"/>
      <w:bookmarkEnd w:id="12"/>
      <w:bookmarkEnd w:id="13"/>
    </w:p>
    <w:p w14:paraId="2D17576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10.1供应商应按照磋商文件要求提交证明文件，证明其及磋商响应标的符合磋商文件规定。</w:t>
      </w:r>
    </w:p>
    <w:p w14:paraId="14EAF65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10.2磋商文件对证明文件无明确形式要求的，证明文件可以以文字资料、图纸和数据等形式提交。</w:t>
      </w:r>
      <w:bookmarkEnd w:id="14"/>
      <w:bookmarkEnd w:id="15"/>
    </w:p>
    <w:p w14:paraId="7518C991">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11．分项报价表</w:t>
      </w:r>
    </w:p>
    <w:p w14:paraId="39E1A95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11.1供应商应按照磋商文件规定格式填报分项报价表。</w:t>
      </w:r>
    </w:p>
    <w:p w14:paraId="4D0874C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11.2磋商货币。响应文件中的单价和总价无特殊规定的采用人民币报价，以元为单位标注。磋商文件中另有规定的按规定执行。</w:t>
      </w:r>
    </w:p>
    <w:p w14:paraId="7C751CC5">
      <w:pPr>
        <w:spacing w:line="520" w:lineRule="exact"/>
        <w:rPr>
          <w:rFonts w:hint="eastAsia" w:ascii="仿宋" w:hAnsi="仿宋" w:eastAsia="仿宋" w:cs="仿宋"/>
          <w:color w:val="auto"/>
          <w:sz w:val="28"/>
          <w:szCs w:val="28"/>
          <w:highlight w:val="none"/>
        </w:rPr>
      </w:pPr>
      <w:bookmarkStart w:id="16" w:name="_Hlt26954848"/>
      <w:bookmarkEnd w:id="16"/>
      <w:bookmarkStart w:id="17" w:name="_Hlt26670486"/>
      <w:bookmarkEnd w:id="17"/>
      <w:bookmarkStart w:id="18" w:name="_Hlt26954846"/>
      <w:bookmarkEnd w:id="18"/>
      <w:bookmarkStart w:id="19" w:name="_Hlt26670482"/>
      <w:bookmarkEnd w:id="19"/>
      <w:bookmarkStart w:id="20" w:name="_Hlt26954731"/>
      <w:bookmarkEnd w:id="20"/>
      <w:r>
        <w:rPr>
          <w:rFonts w:hint="eastAsia" w:ascii="仿宋" w:hAnsi="仿宋" w:eastAsia="仿宋" w:cs="仿宋"/>
          <w:color w:val="auto"/>
          <w:sz w:val="28"/>
          <w:szCs w:val="28"/>
          <w:highlight w:val="none"/>
        </w:rPr>
        <w:t>12.技术要求响应及偏离表、商务要求响应及偏离表（如有）</w:t>
      </w:r>
    </w:p>
    <w:p w14:paraId="590D44B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12.1供应商需对磋商文件中的技术要求与商务要求逐项作出响应或偏离，并说明原因。</w:t>
      </w:r>
    </w:p>
    <w:p w14:paraId="2A0C907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12.2供应商可在响应文件中提供认为需要的其他技术文件或说明。</w:t>
      </w:r>
    </w:p>
    <w:p w14:paraId="1876A2AA">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13.服务承诺、培训计划、人员安排及其他（如有）</w:t>
      </w:r>
    </w:p>
    <w:p w14:paraId="598481F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13.1供应商需根据磋商文件要求提供有关售后服务的管理制度，售后服务机构的分布情况，售后服务人员的数量、素质、技术水平及售后服务的反应能力等。</w:t>
      </w:r>
    </w:p>
    <w:p w14:paraId="5FAF06F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13.2供应商需根据磋商文件要求提供培训计划。</w:t>
      </w:r>
    </w:p>
    <w:p w14:paraId="660886C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13.3供应商需根据磋商文件要求提供磋商响应标的的主要组成部分、功能设计、实现思路及关键技术等。</w:t>
      </w:r>
    </w:p>
    <w:p w14:paraId="3D145243">
      <w:pPr>
        <w:spacing w:line="520" w:lineRule="exact"/>
        <w:rPr>
          <w:rFonts w:hint="eastAsia" w:ascii="仿宋" w:hAnsi="仿宋" w:eastAsia="仿宋" w:cs="仿宋"/>
          <w:color w:val="auto"/>
          <w:sz w:val="28"/>
          <w:szCs w:val="28"/>
          <w:highlight w:val="none"/>
        </w:rPr>
      </w:pPr>
      <w:bookmarkStart w:id="21" w:name="_Toc14577359"/>
      <w:bookmarkStart w:id="22" w:name="_Toc49090510"/>
      <w:r>
        <w:rPr>
          <w:rFonts w:hint="eastAsia" w:ascii="仿宋" w:hAnsi="仿宋" w:eastAsia="仿宋" w:cs="仿宋"/>
          <w:color w:val="auto"/>
          <w:sz w:val="28"/>
          <w:szCs w:val="28"/>
          <w:highlight w:val="none"/>
        </w:rPr>
        <w:t>14.磋商响应函</w:t>
      </w:r>
    </w:p>
    <w:p w14:paraId="75FAA45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14.1供应商应按照磋商文件中提供的格式完整、正确填写磋商响应函。</w:t>
      </w:r>
      <w:bookmarkEnd w:id="21"/>
      <w:bookmarkEnd w:id="22"/>
    </w:p>
    <w:p w14:paraId="33A3EF71">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15.方案部分（如本项目涉及的话）</w:t>
      </w:r>
    </w:p>
    <w:p w14:paraId="51D964C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15.1本项目评标标准中的方案部分不采用暗标方式进行评审。</w:t>
      </w:r>
    </w:p>
    <w:p w14:paraId="67107C8E">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16.磋商有效期</w:t>
      </w:r>
    </w:p>
    <w:p w14:paraId="50B5DCD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16.1磋商有效期为从磋商之日起计算的九十天。磋商有效期比规定短的将被视为</w:t>
      </w:r>
      <w:r>
        <w:rPr>
          <w:rFonts w:hint="eastAsia" w:ascii="仿宋" w:hAnsi="仿宋" w:eastAsia="仿宋" w:cs="仿宋"/>
          <w:color w:val="auto"/>
          <w:sz w:val="28"/>
          <w:szCs w:val="28"/>
          <w:highlight w:val="none"/>
          <w:lang w:val="zh-CN"/>
        </w:rPr>
        <w:t>非响应磋商而予以拒绝。</w:t>
      </w:r>
    </w:p>
    <w:p w14:paraId="5FBB184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16.2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23A16EF4">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17.响应文件的签署</w:t>
      </w:r>
    </w:p>
    <w:p w14:paraId="0212B48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17.1响应文件仅需要在供应商进行签章的位置应进行电子签章。电子响应文件不得涂改、行间插字或删除，如果出现上述情况应重新编制。</w:t>
      </w:r>
    </w:p>
    <w:p w14:paraId="526A7577">
      <w:pPr>
        <w:spacing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四、响应文件上传</w:t>
      </w:r>
    </w:p>
    <w:p w14:paraId="088CC77C">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18.响应文件的上传</w:t>
      </w:r>
    </w:p>
    <w:p w14:paraId="134FA70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18.1供应商应当按照《操作手册》规定，在提交响应文件截止时间前制作并上传电子响应文件。 </w:t>
      </w:r>
    </w:p>
    <w:p w14:paraId="17231E75">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19.提交响应文件截止时间</w:t>
      </w:r>
    </w:p>
    <w:p w14:paraId="5EE377B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19.1供应商上传电子响应文件的时间不得迟于磋商公告中规定的提交响应文件截止时间。</w:t>
      </w:r>
    </w:p>
    <w:p w14:paraId="358C5AE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19.2供应商应充分考虑网络环境、网络带宽等风险因素，如因供应商自身原因造成的电子响应文件上传不成功的按照本磋商文件第二章第26.3.2条规定做无效响应处理。</w:t>
      </w:r>
    </w:p>
    <w:p w14:paraId="2680701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19.3 采购人可以按照规定，通过修改磋商文件酌情延长提交响应文件截止日期，在此情况下，供应商的所有权利和义务以及供应商受制的截止日期均应以延长后新的截止日期为准。</w:t>
      </w:r>
    </w:p>
    <w:p w14:paraId="6D591945">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20.响应文件被拒绝接收的情形</w:t>
      </w:r>
    </w:p>
    <w:p w14:paraId="5DAB8A8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20.1在磋商文件规定的提交响应文件截止时间后上传的任何电子响应文件。</w:t>
      </w:r>
    </w:p>
    <w:p w14:paraId="0AF04266">
      <w:pPr>
        <w:spacing w:line="52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highlight w:val="none"/>
        </w:rPr>
        <w:t>21.响应文件的撤回和修改</w:t>
      </w:r>
    </w:p>
    <w:p w14:paraId="426FDFF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21.1响应文件的撤回</w:t>
      </w:r>
    </w:p>
    <w:p w14:paraId="755A369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21.1.1供应商可在提交响应文件截止时间前，登录“苏采云”撤回电子响应文件。</w:t>
      </w:r>
    </w:p>
    <w:p w14:paraId="079F5C6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21.1.2供应商在提交响应文件截止时间前撤回电子响应文件，且未重新上传的，则认为其不再参与本项目磋商活动。</w:t>
      </w:r>
    </w:p>
    <w:p w14:paraId="51B73F9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21.2响应文件的修改</w:t>
      </w:r>
    </w:p>
    <w:p w14:paraId="3410A4D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21.2.1供应商可在提交响应文件截止时间前，登录“苏采云”修改电子响应文件，电子响应文件以最终完成上传的为准。</w:t>
      </w:r>
    </w:p>
    <w:p w14:paraId="50D535C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21.2.2供应商不得在提交响应文件截止时间之后修改电子响应文件。</w:t>
      </w:r>
    </w:p>
    <w:p w14:paraId="0132CF8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21.3</w:t>
      </w:r>
      <w:r>
        <w:rPr>
          <w:rFonts w:hint="eastAsia" w:ascii="仿宋" w:hAnsi="仿宋" w:eastAsia="仿宋" w:cs="仿宋"/>
          <w:color w:val="auto"/>
          <w:sz w:val="28"/>
          <w:highlight w:val="none"/>
        </w:rPr>
        <w:t>供应商不</w:t>
      </w:r>
      <w:r>
        <w:rPr>
          <w:rFonts w:hint="eastAsia" w:ascii="仿宋" w:hAnsi="仿宋" w:eastAsia="仿宋" w:cs="仿宋"/>
          <w:color w:val="auto"/>
          <w:sz w:val="28"/>
          <w:szCs w:val="28"/>
          <w:highlight w:val="none"/>
        </w:rPr>
        <w:t>得在提交电子响应文件截止时间起至磋商有效期满前撤回、修改电子响应文件。</w:t>
      </w:r>
    </w:p>
    <w:p w14:paraId="1D63D28A">
      <w:pPr>
        <w:spacing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五、响应文件的解密与评审</w:t>
      </w:r>
    </w:p>
    <w:p w14:paraId="22EDA508">
      <w:pPr>
        <w:spacing w:line="520" w:lineRule="exact"/>
        <w:rPr>
          <w:rFonts w:hint="eastAsia" w:ascii="仿宋" w:hAnsi="仿宋" w:eastAsia="仿宋" w:cs="仿宋"/>
          <w:color w:val="auto"/>
          <w:sz w:val="28"/>
          <w:szCs w:val="28"/>
          <w:highlight w:val="none"/>
        </w:rPr>
      </w:pPr>
      <w:bookmarkStart w:id="23" w:name="_Toc16938546"/>
      <w:bookmarkStart w:id="24" w:name="_Toc20823302"/>
      <w:bookmarkStart w:id="25" w:name="_Toc513029230"/>
      <w:r>
        <w:rPr>
          <w:rFonts w:hint="eastAsia" w:ascii="仿宋" w:hAnsi="仿宋" w:eastAsia="仿宋" w:cs="仿宋"/>
          <w:color w:val="auto"/>
          <w:sz w:val="28"/>
          <w:szCs w:val="28"/>
          <w:highlight w:val="none"/>
        </w:rPr>
        <w:t>2</w:t>
      </w:r>
      <w:bookmarkEnd w:id="23"/>
      <w:bookmarkEnd w:id="24"/>
      <w:bookmarkEnd w:id="25"/>
      <w:r>
        <w:rPr>
          <w:rFonts w:hint="eastAsia" w:ascii="仿宋" w:hAnsi="仿宋" w:eastAsia="仿宋" w:cs="仿宋"/>
          <w:color w:val="auto"/>
          <w:sz w:val="28"/>
          <w:szCs w:val="28"/>
          <w:highlight w:val="none"/>
        </w:rPr>
        <w:t>2.响应文件解密</w:t>
      </w:r>
    </w:p>
    <w:p w14:paraId="338F3A3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22.1供应商应当按照《操作手册》规定，在苏采云系统规定的时间内对磋商响应文件进行解密。</w:t>
      </w:r>
    </w:p>
    <w:p w14:paraId="2DF1AC67">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23.磋商小组</w:t>
      </w:r>
    </w:p>
    <w:p w14:paraId="2131E1E0">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23.1采购人将组织磋商小组对响应文件进行评审。磋商小组由采购人代表（如有）和有关技术、经济等方面的专家组成，且人员构成符合政府采购有关规定。</w:t>
      </w:r>
    </w:p>
    <w:p w14:paraId="783FF699">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23.2磋商小组独立工作，负责评审所有响应文件并确定成交候选人。</w:t>
      </w:r>
    </w:p>
    <w:p w14:paraId="187AD560">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24.评审过程的保密与公正</w:t>
      </w:r>
    </w:p>
    <w:p w14:paraId="20EA7E9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24.1磋商小组、采购人和代理公司工作人员、相关监督人员等与评审工作有关的人员，对评审情况以及在评审过程中获悉的国家秘密、商业秘密负有保密责任。</w:t>
      </w:r>
    </w:p>
    <w:p w14:paraId="5F88A80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24.2在评审过程中，供应商不得以任何行为影响磋商评审过程，否则其响应文件将被作为无效响应文件。</w:t>
      </w:r>
    </w:p>
    <w:p w14:paraId="26751B5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24.3在项目评审期间，采购人或代理公司将设专门人员与供应商联系。</w:t>
      </w:r>
    </w:p>
    <w:p w14:paraId="03A0B7E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24.4 采购人和磋商小组不向未成交的供应商解释未成交原因，也不公布评审过程中的相关细节。</w:t>
      </w:r>
    </w:p>
    <w:p w14:paraId="05FEB372">
      <w:pPr>
        <w:spacing w:line="520" w:lineRule="exact"/>
        <w:rPr>
          <w:rFonts w:hint="eastAsia" w:ascii="仿宋" w:hAnsi="仿宋" w:eastAsia="仿宋" w:cs="仿宋"/>
          <w:color w:val="auto"/>
          <w:sz w:val="28"/>
          <w:szCs w:val="28"/>
          <w:highlight w:val="none"/>
        </w:rPr>
      </w:pPr>
      <w:bookmarkStart w:id="26" w:name="_Toc20823304"/>
      <w:bookmarkStart w:id="27" w:name="_Toc16938548"/>
      <w:bookmarkStart w:id="28" w:name="_Toc513029232"/>
      <w:r>
        <w:rPr>
          <w:rFonts w:hint="eastAsia" w:ascii="仿宋" w:hAnsi="仿宋" w:eastAsia="仿宋" w:cs="仿宋"/>
          <w:color w:val="auto"/>
          <w:sz w:val="28"/>
          <w:szCs w:val="28"/>
          <w:highlight w:val="none"/>
        </w:rPr>
        <w:t>25.评审过程中的澄清</w:t>
      </w:r>
      <w:bookmarkEnd w:id="26"/>
      <w:bookmarkEnd w:id="27"/>
      <w:bookmarkEnd w:id="28"/>
    </w:p>
    <w:p w14:paraId="127C158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20DA34C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F42254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25.3 接到磋商小组澄清、说明和更正要求的供应商如未按规定作出澄清、说明和更正，其风险由供应商自行承担。</w:t>
      </w:r>
    </w:p>
    <w:p w14:paraId="04D64782">
      <w:pPr>
        <w:spacing w:line="520" w:lineRule="exact"/>
        <w:rPr>
          <w:rFonts w:hint="eastAsia" w:ascii="仿宋" w:hAnsi="仿宋" w:eastAsia="仿宋" w:cs="仿宋"/>
          <w:color w:val="auto"/>
          <w:sz w:val="28"/>
          <w:szCs w:val="28"/>
          <w:highlight w:val="none"/>
        </w:rPr>
      </w:pPr>
      <w:bookmarkStart w:id="29" w:name="_Toc20823305"/>
      <w:bookmarkStart w:id="30" w:name="_Toc513029233"/>
      <w:bookmarkStart w:id="31" w:name="_Toc16938549"/>
      <w:r>
        <w:rPr>
          <w:rFonts w:hint="eastAsia" w:ascii="仿宋" w:hAnsi="仿宋" w:eastAsia="仿宋" w:cs="仿宋"/>
          <w:color w:val="auto"/>
          <w:sz w:val="28"/>
          <w:szCs w:val="28"/>
          <w:highlight w:val="none"/>
        </w:rPr>
        <w:t>26.对响应文件的审</w:t>
      </w:r>
      <w:bookmarkEnd w:id="29"/>
      <w:bookmarkEnd w:id="30"/>
      <w:bookmarkEnd w:id="31"/>
      <w:r>
        <w:rPr>
          <w:rFonts w:hint="eastAsia" w:ascii="仿宋" w:hAnsi="仿宋" w:eastAsia="仿宋" w:cs="仿宋"/>
          <w:color w:val="auto"/>
          <w:sz w:val="28"/>
          <w:szCs w:val="28"/>
          <w:highlight w:val="none"/>
        </w:rPr>
        <w:t>查</w:t>
      </w:r>
    </w:p>
    <w:p w14:paraId="3B2DAC5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26.1响应文件审查分为资格审查和符合性审查。</w:t>
      </w:r>
    </w:p>
    <w:p w14:paraId="04F53C5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26.1.1 资格审查：由磋商小组依据法律法规和磋商文件的规定，对响应文件中的资格证明文件进行审查，以确定供应商是否具备参加磋商的资格。</w:t>
      </w:r>
    </w:p>
    <w:p w14:paraId="319AD17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2FBE234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26.1.2 符合性审查：依据磋商文件的规定，由磋商小组从响应文件的有效性、完整性和对磋商文件的响应程度进行审查，以确定是否对磋商文件的实质性要求作出响应。</w:t>
      </w:r>
    </w:p>
    <w:p w14:paraId="433BAB3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6C4C113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26.2在详细评审之前，磋商小组将首先审查每份响应文件是否实质性响应了磋商文件的要求。实质性响应的响应文件应该与磋商文件要求的条款、条件和规格相符，没有重大偏离或保留。</w:t>
      </w:r>
    </w:p>
    <w:p w14:paraId="0E49F73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021A9F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26.3未实质性响应磋商文件的情形</w:t>
      </w:r>
    </w:p>
    <w:p w14:paraId="7D7624F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26.3.1供应商在苏采云系统规定的时间内未成功解密电子响应文件的。</w:t>
      </w:r>
    </w:p>
    <w:p w14:paraId="1DBE623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26.3.2供应商未按照磋商文件要求上传电子响应文件的。</w:t>
      </w:r>
    </w:p>
    <w:p w14:paraId="338CE82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26.3.3同一供应商提交两个（含两个）以上不同的响应文件或者最后报价的。</w:t>
      </w:r>
    </w:p>
    <w:p w14:paraId="0DD336E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26.3.4供应商不具备磋商文件中规定资格要求的。</w:t>
      </w:r>
    </w:p>
    <w:p w14:paraId="3505C23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26.3.5供应商的最后报价超过了最高限价。</w:t>
      </w:r>
    </w:p>
    <w:p w14:paraId="22C821C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26.3.6磋商小组认为供应商的报价属于《财政部关于推动解决政府采购异常低价问题的通知》（财库〔2026〕2号）异常低价情形的，将通过苏采云系统，按照《财政部关于推动解决政府采购异常低价问题的通知》（财库〔2026〕2号）文件要求启动异常低价响应审查程序，要求其在合理的时间内提供说明，必要时提交相关证明材料；供应商不能证明其报价合理性的，磋商小组应当将其作为无效响应文件处理。</w:t>
      </w:r>
    </w:p>
    <w:p w14:paraId="718493E1">
      <w:pPr>
        <w:spacing w:line="520" w:lineRule="exact"/>
        <w:ind w:firstLine="56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26.3.7评审过程中出现下列情形之一的，</w:t>
      </w:r>
      <w:r>
        <w:rPr>
          <w:rFonts w:hint="eastAsia" w:ascii="仿宋" w:hAnsi="仿宋" w:eastAsia="仿宋" w:cs="仿宋"/>
          <w:b/>
          <w:bCs/>
          <w:color w:val="auto"/>
          <w:sz w:val="28"/>
          <w:szCs w:val="28"/>
          <w:highlight w:val="none"/>
          <w:lang w:eastAsia="zh-CN"/>
        </w:rPr>
        <w:t>磋商小组</w:t>
      </w:r>
      <w:r>
        <w:rPr>
          <w:rFonts w:hint="eastAsia" w:ascii="仿宋" w:hAnsi="仿宋" w:eastAsia="仿宋" w:cs="仿宋"/>
          <w:b/>
          <w:bCs/>
          <w:color w:val="auto"/>
          <w:sz w:val="28"/>
          <w:szCs w:val="28"/>
          <w:highlight w:val="none"/>
        </w:rPr>
        <w:t>应当启动异常低价响应审查程序：</w:t>
      </w:r>
    </w:p>
    <w:p w14:paraId="48ACA8BF">
      <w:pPr>
        <w:spacing w:line="520" w:lineRule="exact"/>
        <w:ind w:firstLine="56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w:t>
      </w:r>
      <w:r>
        <w:rPr>
          <w:rFonts w:hint="eastAsia" w:ascii="仿宋" w:hAnsi="仿宋" w:eastAsia="仿宋" w:cs="仿宋"/>
          <w:b/>
          <w:bCs/>
          <w:color w:val="auto"/>
          <w:sz w:val="28"/>
          <w:szCs w:val="28"/>
          <w:highlight w:val="none"/>
          <w:lang w:val="en-US" w:eastAsia="zh-CN"/>
        </w:rPr>
        <w:t>响应报价</w:t>
      </w:r>
      <w:r>
        <w:rPr>
          <w:rFonts w:hint="eastAsia" w:ascii="仿宋" w:hAnsi="仿宋" w:eastAsia="仿宋" w:cs="仿宋"/>
          <w:b/>
          <w:bCs/>
          <w:color w:val="auto"/>
          <w:sz w:val="28"/>
          <w:szCs w:val="28"/>
          <w:highlight w:val="none"/>
        </w:rPr>
        <w:t>低于全部通过符合性审查</w:t>
      </w:r>
      <w:r>
        <w:rPr>
          <w:rFonts w:hint="eastAsia" w:ascii="仿宋" w:hAnsi="仿宋" w:eastAsia="仿宋" w:cs="仿宋"/>
          <w:b/>
          <w:bCs/>
          <w:color w:val="auto"/>
          <w:sz w:val="28"/>
          <w:szCs w:val="28"/>
          <w:highlight w:val="none"/>
          <w:lang w:eastAsia="zh-CN"/>
        </w:rPr>
        <w:t>供应商响应报价</w:t>
      </w:r>
      <w:r>
        <w:rPr>
          <w:rFonts w:hint="eastAsia" w:ascii="仿宋" w:hAnsi="仿宋" w:eastAsia="仿宋" w:cs="仿宋"/>
          <w:b/>
          <w:bCs/>
          <w:color w:val="auto"/>
          <w:sz w:val="28"/>
          <w:szCs w:val="28"/>
          <w:highlight w:val="none"/>
        </w:rPr>
        <w:t>平均值50%的，即</w:t>
      </w:r>
      <w:r>
        <w:rPr>
          <w:rFonts w:hint="eastAsia" w:ascii="仿宋" w:hAnsi="仿宋" w:eastAsia="仿宋" w:cs="仿宋"/>
          <w:b/>
          <w:bCs/>
          <w:color w:val="auto"/>
          <w:sz w:val="28"/>
          <w:szCs w:val="28"/>
          <w:highlight w:val="none"/>
          <w:lang w:val="en-US" w:eastAsia="zh-CN"/>
        </w:rPr>
        <w:t>响应报价</w:t>
      </w:r>
      <w:r>
        <w:rPr>
          <w:rFonts w:hint="eastAsia" w:ascii="仿宋" w:hAnsi="仿宋" w:eastAsia="仿宋" w:cs="仿宋"/>
          <w:b/>
          <w:bCs/>
          <w:color w:val="auto"/>
          <w:sz w:val="28"/>
          <w:szCs w:val="28"/>
          <w:highlight w:val="none"/>
        </w:rPr>
        <w:t>＜全部通过符合性审查</w:t>
      </w:r>
      <w:r>
        <w:rPr>
          <w:rFonts w:hint="eastAsia" w:ascii="仿宋" w:hAnsi="仿宋" w:eastAsia="仿宋" w:cs="仿宋"/>
          <w:b/>
          <w:bCs/>
          <w:color w:val="auto"/>
          <w:sz w:val="28"/>
          <w:szCs w:val="28"/>
          <w:highlight w:val="none"/>
          <w:lang w:eastAsia="zh-CN"/>
        </w:rPr>
        <w:t>供应商响应报价</w:t>
      </w:r>
      <w:r>
        <w:rPr>
          <w:rFonts w:hint="eastAsia" w:ascii="仿宋" w:hAnsi="仿宋" w:eastAsia="仿宋" w:cs="仿宋"/>
          <w:b/>
          <w:bCs/>
          <w:color w:val="auto"/>
          <w:sz w:val="28"/>
          <w:szCs w:val="28"/>
          <w:highlight w:val="none"/>
        </w:rPr>
        <w:t>平均值×50%；</w:t>
      </w:r>
    </w:p>
    <w:p w14:paraId="2E4463BB">
      <w:pPr>
        <w:spacing w:line="520" w:lineRule="exact"/>
        <w:ind w:firstLine="56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w:t>
      </w:r>
      <w:r>
        <w:rPr>
          <w:rFonts w:hint="eastAsia" w:ascii="仿宋" w:hAnsi="仿宋" w:eastAsia="仿宋" w:cs="仿宋"/>
          <w:b/>
          <w:bCs/>
          <w:color w:val="auto"/>
          <w:sz w:val="28"/>
          <w:szCs w:val="28"/>
          <w:highlight w:val="none"/>
          <w:lang w:val="en-US" w:eastAsia="zh-CN"/>
        </w:rPr>
        <w:t>响应报价</w:t>
      </w:r>
      <w:r>
        <w:rPr>
          <w:rFonts w:hint="eastAsia" w:ascii="仿宋" w:hAnsi="仿宋" w:eastAsia="仿宋" w:cs="仿宋"/>
          <w:b/>
          <w:bCs/>
          <w:color w:val="auto"/>
          <w:sz w:val="28"/>
          <w:szCs w:val="28"/>
          <w:highlight w:val="none"/>
        </w:rPr>
        <w:t>低于通过符合性审查的次低报价</w:t>
      </w:r>
      <w:r>
        <w:rPr>
          <w:rFonts w:hint="eastAsia" w:ascii="仿宋" w:hAnsi="仿宋" w:eastAsia="仿宋" w:cs="仿宋"/>
          <w:b/>
          <w:bCs/>
          <w:color w:val="auto"/>
          <w:sz w:val="28"/>
          <w:szCs w:val="28"/>
          <w:highlight w:val="none"/>
          <w:lang w:eastAsia="zh-CN"/>
        </w:rPr>
        <w:t>供应商响应报价</w:t>
      </w:r>
      <w:r>
        <w:rPr>
          <w:rFonts w:hint="eastAsia" w:ascii="仿宋" w:hAnsi="仿宋" w:eastAsia="仿宋" w:cs="仿宋"/>
          <w:b/>
          <w:bCs/>
          <w:color w:val="auto"/>
          <w:sz w:val="28"/>
          <w:szCs w:val="28"/>
          <w:highlight w:val="none"/>
        </w:rPr>
        <w:t>50%的，即</w:t>
      </w:r>
      <w:r>
        <w:rPr>
          <w:rFonts w:hint="eastAsia" w:ascii="仿宋" w:hAnsi="仿宋" w:eastAsia="仿宋" w:cs="仿宋"/>
          <w:b/>
          <w:bCs/>
          <w:color w:val="auto"/>
          <w:sz w:val="28"/>
          <w:szCs w:val="28"/>
          <w:highlight w:val="none"/>
          <w:lang w:eastAsia="zh-CN"/>
        </w:rPr>
        <w:t>响应报价</w:t>
      </w:r>
      <w:r>
        <w:rPr>
          <w:rFonts w:hint="eastAsia" w:ascii="仿宋" w:hAnsi="仿宋" w:eastAsia="仿宋" w:cs="仿宋"/>
          <w:b/>
          <w:bCs/>
          <w:color w:val="auto"/>
          <w:sz w:val="28"/>
          <w:szCs w:val="28"/>
          <w:highlight w:val="none"/>
        </w:rPr>
        <w:t>＜通过符合性审查的次低报价</w:t>
      </w:r>
      <w:r>
        <w:rPr>
          <w:rFonts w:hint="eastAsia" w:ascii="仿宋" w:hAnsi="仿宋" w:eastAsia="仿宋" w:cs="仿宋"/>
          <w:b/>
          <w:bCs/>
          <w:color w:val="auto"/>
          <w:sz w:val="28"/>
          <w:szCs w:val="28"/>
          <w:highlight w:val="none"/>
          <w:lang w:eastAsia="zh-CN"/>
        </w:rPr>
        <w:t>供应商响应报价</w:t>
      </w:r>
      <w:r>
        <w:rPr>
          <w:rFonts w:hint="eastAsia" w:ascii="仿宋" w:hAnsi="仿宋" w:eastAsia="仿宋" w:cs="仿宋"/>
          <w:b/>
          <w:bCs/>
          <w:color w:val="auto"/>
          <w:sz w:val="28"/>
          <w:szCs w:val="28"/>
          <w:highlight w:val="none"/>
        </w:rPr>
        <w:t>×50%；</w:t>
      </w:r>
    </w:p>
    <w:p w14:paraId="0B0EE338">
      <w:pPr>
        <w:spacing w:line="520" w:lineRule="exact"/>
        <w:ind w:firstLine="56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w:t>
      </w:r>
      <w:r>
        <w:rPr>
          <w:rFonts w:hint="eastAsia" w:ascii="仿宋" w:hAnsi="仿宋" w:eastAsia="仿宋" w:cs="仿宋"/>
          <w:b/>
          <w:bCs/>
          <w:color w:val="auto"/>
          <w:sz w:val="28"/>
          <w:szCs w:val="28"/>
          <w:highlight w:val="none"/>
          <w:lang w:val="en-US" w:eastAsia="zh-CN"/>
        </w:rPr>
        <w:t>响应报价</w:t>
      </w:r>
      <w:r>
        <w:rPr>
          <w:rFonts w:hint="eastAsia" w:ascii="仿宋" w:hAnsi="仿宋" w:eastAsia="仿宋" w:cs="仿宋"/>
          <w:b/>
          <w:bCs/>
          <w:color w:val="auto"/>
          <w:sz w:val="28"/>
          <w:szCs w:val="28"/>
          <w:highlight w:val="none"/>
        </w:rPr>
        <w:t>低于采购项目最高限价45%的，即</w:t>
      </w:r>
      <w:r>
        <w:rPr>
          <w:rFonts w:hint="eastAsia" w:ascii="仿宋" w:hAnsi="仿宋" w:eastAsia="仿宋" w:cs="仿宋"/>
          <w:b/>
          <w:bCs/>
          <w:color w:val="auto"/>
          <w:sz w:val="28"/>
          <w:szCs w:val="28"/>
          <w:highlight w:val="none"/>
          <w:lang w:eastAsia="zh-CN"/>
        </w:rPr>
        <w:t>响应报价</w:t>
      </w:r>
      <w:r>
        <w:rPr>
          <w:rFonts w:hint="eastAsia" w:ascii="仿宋" w:hAnsi="仿宋" w:eastAsia="仿宋" w:cs="仿宋"/>
          <w:b/>
          <w:bCs/>
          <w:color w:val="auto"/>
          <w:sz w:val="28"/>
          <w:szCs w:val="28"/>
          <w:highlight w:val="none"/>
        </w:rPr>
        <w:t>＜采购项目最高限价×45%；</w:t>
      </w:r>
    </w:p>
    <w:p w14:paraId="4AE565FC">
      <w:pPr>
        <w:spacing w:line="520" w:lineRule="exact"/>
        <w:ind w:firstLine="56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（4）</w:t>
      </w:r>
      <w:r>
        <w:rPr>
          <w:rFonts w:hint="eastAsia" w:ascii="仿宋" w:hAnsi="仿宋" w:eastAsia="仿宋" w:cs="仿宋"/>
          <w:b/>
          <w:bCs/>
          <w:color w:val="auto"/>
          <w:sz w:val="28"/>
          <w:szCs w:val="28"/>
          <w:highlight w:val="none"/>
          <w:lang w:val="en-US" w:eastAsia="zh-CN"/>
        </w:rPr>
        <w:t>磋商小组</w:t>
      </w:r>
      <w:r>
        <w:rPr>
          <w:rFonts w:hint="eastAsia" w:ascii="仿宋" w:hAnsi="仿宋" w:eastAsia="仿宋" w:cs="仿宋"/>
          <w:b/>
          <w:bCs/>
          <w:color w:val="auto"/>
          <w:sz w:val="28"/>
          <w:szCs w:val="28"/>
          <w:highlight w:val="none"/>
        </w:rPr>
        <w:t>基于专业判断，认为</w:t>
      </w:r>
      <w:r>
        <w:rPr>
          <w:rFonts w:hint="eastAsia" w:ascii="仿宋" w:hAnsi="仿宋" w:eastAsia="仿宋" w:cs="仿宋"/>
          <w:b/>
          <w:bCs/>
          <w:color w:val="auto"/>
          <w:sz w:val="28"/>
          <w:szCs w:val="28"/>
          <w:highlight w:val="none"/>
          <w:lang w:eastAsia="zh-CN"/>
        </w:rPr>
        <w:t>供应商</w:t>
      </w:r>
      <w:r>
        <w:rPr>
          <w:rFonts w:hint="eastAsia" w:ascii="仿宋" w:hAnsi="仿宋" w:eastAsia="仿宋" w:cs="仿宋"/>
          <w:b/>
          <w:bCs/>
          <w:color w:val="auto"/>
          <w:sz w:val="28"/>
          <w:szCs w:val="28"/>
          <w:highlight w:val="none"/>
        </w:rPr>
        <w:t>报价过低、有可能影响产品质量或者不能诚信履约的其他情形。</w:t>
      </w:r>
    </w:p>
    <w:p w14:paraId="724A7957">
      <w:pPr>
        <w:spacing w:line="520" w:lineRule="exact"/>
        <w:ind w:firstLine="56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w:t>
      </w:r>
      <w:r>
        <w:rPr>
          <w:rFonts w:hint="eastAsia" w:ascii="仿宋" w:hAnsi="仿宋" w:eastAsia="仿宋" w:cs="仿宋"/>
          <w:b/>
          <w:bCs/>
          <w:color w:val="auto"/>
          <w:sz w:val="28"/>
          <w:szCs w:val="28"/>
          <w:highlight w:val="none"/>
          <w:lang w:val="en-US" w:eastAsia="zh-CN"/>
        </w:rPr>
        <w:t>6</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eastAsia="zh-CN"/>
        </w:rPr>
        <w:t>3.8</w:t>
      </w:r>
      <w:r>
        <w:rPr>
          <w:rFonts w:hint="eastAsia" w:ascii="仿宋" w:hAnsi="仿宋" w:eastAsia="仿宋" w:cs="仿宋"/>
          <w:b/>
          <w:bCs/>
          <w:color w:val="auto"/>
          <w:sz w:val="28"/>
          <w:szCs w:val="28"/>
          <w:highlight w:val="none"/>
          <w:lang w:eastAsia="zh-CN"/>
        </w:rPr>
        <w:t>磋商小组</w:t>
      </w:r>
      <w:r>
        <w:rPr>
          <w:rFonts w:hint="eastAsia" w:ascii="仿宋" w:hAnsi="仿宋" w:eastAsia="仿宋" w:cs="仿宋"/>
          <w:b/>
          <w:bCs/>
          <w:color w:val="auto"/>
          <w:sz w:val="28"/>
          <w:szCs w:val="28"/>
          <w:highlight w:val="none"/>
        </w:rPr>
        <w:t>启动异常低价响应审查后，属于前述第1项至第4项情形的，应当要求相关</w:t>
      </w:r>
      <w:r>
        <w:rPr>
          <w:rFonts w:hint="eastAsia" w:ascii="仿宋" w:hAnsi="仿宋" w:eastAsia="仿宋" w:cs="仿宋"/>
          <w:b/>
          <w:bCs/>
          <w:color w:val="auto"/>
          <w:sz w:val="28"/>
          <w:szCs w:val="28"/>
          <w:highlight w:val="none"/>
          <w:lang w:eastAsia="zh-CN"/>
        </w:rPr>
        <w:t>供应商</w:t>
      </w:r>
      <w:r>
        <w:rPr>
          <w:rFonts w:hint="eastAsia" w:ascii="仿宋" w:hAnsi="仿宋" w:eastAsia="仿宋" w:cs="仿宋"/>
          <w:b/>
          <w:bCs/>
          <w:color w:val="auto"/>
          <w:sz w:val="28"/>
          <w:szCs w:val="28"/>
          <w:highlight w:val="none"/>
        </w:rPr>
        <w:t>在评审现场</w:t>
      </w:r>
      <w:r>
        <w:rPr>
          <w:rFonts w:hint="eastAsia" w:ascii="仿宋" w:hAnsi="仿宋" w:eastAsia="仿宋" w:cs="仿宋"/>
          <w:b/>
          <w:bCs/>
          <w:color w:val="auto"/>
          <w:sz w:val="28"/>
          <w:szCs w:val="28"/>
          <w:highlight w:val="none"/>
          <w:lang w:val="en-US" w:eastAsia="zh-CN"/>
        </w:rPr>
        <w:t>不少于</w:t>
      </w:r>
      <w:r>
        <w:rPr>
          <w:rFonts w:hint="eastAsia" w:ascii="仿宋" w:hAnsi="仿宋" w:eastAsia="仿宋" w:cs="仿宋"/>
          <w:b/>
          <w:bCs/>
          <w:color w:val="auto"/>
          <w:sz w:val="28"/>
          <w:szCs w:val="28"/>
          <w:highlight w:val="none"/>
        </w:rPr>
        <w:t>30分钟对响应价格作出解释，提供项目具体成本测算等与报价合理性相关的书面说明及必要的证明材料，包括但不限于原材料成本、人工成本、制造费用等，其中，属于第3项情形，</w:t>
      </w:r>
      <w:r>
        <w:rPr>
          <w:rFonts w:hint="eastAsia" w:ascii="仿宋" w:hAnsi="仿宋" w:eastAsia="仿宋" w:cs="仿宋"/>
          <w:b/>
          <w:bCs/>
          <w:color w:val="auto"/>
          <w:sz w:val="28"/>
          <w:szCs w:val="28"/>
          <w:highlight w:val="none"/>
          <w:lang w:eastAsia="zh-CN"/>
        </w:rPr>
        <w:t>供应商</w:t>
      </w:r>
      <w:r>
        <w:rPr>
          <w:rFonts w:hint="eastAsia" w:ascii="仿宋" w:hAnsi="仿宋" w:eastAsia="仿宋" w:cs="仿宋"/>
          <w:b/>
          <w:bCs/>
          <w:color w:val="auto"/>
          <w:sz w:val="28"/>
          <w:szCs w:val="28"/>
          <w:highlight w:val="none"/>
        </w:rPr>
        <w:t>已随</w:t>
      </w:r>
      <w:r>
        <w:rPr>
          <w:rFonts w:hint="eastAsia" w:ascii="仿宋" w:hAnsi="仿宋" w:eastAsia="仿宋" w:cs="仿宋"/>
          <w:b/>
          <w:bCs/>
          <w:color w:val="auto"/>
          <w:sz w:val="28"/>
          <w:szCs w:val="28"/>
          <w:highlight w:val="none"/>
          <w:lang w:val="en-US" w:eastAsia="zh-CN"/>
        </w:rPr>
        <w:t>响应</w:t>
      </w:r>
      <w:r>
        <w:rPr>
          <w:rFonts w:hint="eastAsia" w:ascii="仿宋" w:hAnsi="仿宋" w:eastAsia="仿宋" w:cs="仿宋"/>
          <w:b/>
          <w:bCs/>
          <w:color w:val="auto"/>
          <w:sz w:val="28"/>
          <w:szCs w:val="28"/>
          <w:highlight w:val="none"/>
          <w:lang w:eastAsia="zh-CN"/>
        </w:rPr>
        <w:t>文件</w:t>
      </w:r>
      <w:r>
        <w:rPr>
          <w:rFonts w:hint="eastAsia" w:ascii="仿宋" w:hAnsi="仿宋" w:eastAsia="仿宋" w:cs="仿宋"/>
          <w:b/>
          <w:bCs/>
          <w:color w:val="auto"/>
          <w:sz w:val="28"/>
          <w:szCs w:val="28"/>
          <w:highlight w:val="none"/>
        </w:rPr>
        <w:t>一并提交相关书面说明及必要的证明材料的，在评审现场可不再重复提交。</w:t>
      </w:r>
    </w:p>
    <w:p w14:paraId="3A06229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eastAsia="zh-CN"/>
        </w:rPr>
        <w:t>磋商小组</w:t>
      </w:r>
      <w:r>
        <w:rPr>
          <w:rFonts w:hint="eastAsia" w:ascii="仿宋" w:hAnsi="仿宋" w:eastAsia="仿宋" w:cs="仿宋"/>
          <w:b/>
          <w:bCs/>
          <w:color w:val="auto"/>
          <w:sz w:val="28"/>
          <w:szCs w:val="28"/>
          <w:highlight w:val="none"/>
        </w:rPr>
        <w:t>依据专业经验，参考同类项目中标（成交）价格、类似产品市场价格水平、行业人工费用标准、国家有关部门指导行业协会发布的行业平均成本等情况，对报价合理性进行判断。响应</w:t>
      </w:r>
      <w:r>
        <w:rPr>
          <w:rFonts w:hint="eastAsia" w:ascii="仿宋" w:hAnsi="仿宋" w:eastAsia="仿宋" w:cs="仿宋"/>
          <w:b/>
          <w:bCs/>
          <w:color w:val="auto"/>
          <w:sz w:val="28"/>
          <w:szCs w:val="28"/>
          <w:highlight w:val="none"/>
          <w:lang w:eastAsia="zh-CN"/>
        </w:rPr>
        <w:t>供应商</w:t>
      </w:r>
      <w:r>
        <w:rPr>
          <w:rFonts w:hint="eastAsia" w:ascii="仿宋" w:hAnsi="仿宋" w:eastAsia="仿宋" w:cs="仿宋"/>
          <w:b/>
          <w:bCs/>
          <w:color w:val="auto"/>
          <w:sz w:val="28"/>
          <w:szCs w:val="28"/>
          <w:highlight w:val="none"/>
        </w:rPr>
        <w:t>不能提供书面说明、证明材料，或者提供的书面说明、证明材料不能证明其报价合理性的，</w:t>
      </w:r>
      <w:r>
        <w:rPr>
          <w:rFonts w:hint="eastAsia" w:ascii="仿宋" w:hAnsi="仿宋" w:eastAsia="仿宋" w:cs="仿宋"/>
          <w:b/>
          <w:bCs/>
          <w:color w:val="auto"/>
          <w:sz w:val="28"/>
          <w:szCs w:val="28"/>
          <w:highlight w:val="none"/>
          <w:lang w:eastAsia="zh-CN"/>
        </w:rPr>
        <w:t>磋商小组</w:t>
      </w:r>
      <w:r>
        <w:rPr>
          <w:rFonts w:hint="eastAsia" w:ascii="仿宋" w:hAnsi="仿宋" w:eastAsia="仿宋" w:cs="仿宋"/>
          <w:b/>
          <w:bCs/>
          <w:color w:val="auto"/>
          <w:sz w:val="28"/>
          <w:szCs w:val="28"/>
          <w:highlight w:val="none"/>
        </w:rPr>
        <w:t>应当将其作为无效响应处理。异常低价响应审查的启动原因、审查意见和审查结果应当在评审报告中记录，并随</w:t>
      </w:r>
      <w:r>
        <w:rPr>
          <w:rFonts w:hint="eastAsia" w:ascii="仿宋" w:hAnsi="仿宋" w:eastAsia="仿宋" w:cs="仿宋"/>
          <w:b/>
          <w:bCs/>
          <w:color w:val="auto"/>
          <w:sz w:val="28"/>
          <w:szCs w:val="28"/>
          <w:highlight w:val="none"/>
          <w:lang w:eastAsia="zh-CN"/>
        </w:rPr>
        <w:t>供应商</w:t>
      </w:r>
      <w:r>
        <w:rPr>
          <w:rFonts w:hint="eastAsia" w:ascii="仿宋" w:hAnsi="仿宋" w:eastAsia="仿宋" w:cs="仿宋"/>
          <w:b/>
          <w:bCs/>
          <w:color w:val="auto"/>
          <w:sz w:val="28"/>
          <w:szCs w:val="28"/>
          <w:highlight w:val="none"/>
        </w:rPr>
        <w:t>提供的相关书面说明及证明材料，以及评审委员会有关互联网浏览、查询历史一并归档。</w:t>
      </w:r>
    </w:p>
    <w:p w14:paraId="5E39FE1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26.3.9</w:t>
      </w:r>
      <w:r>
        <w:rPr>
          <w:rFonts w:hint="eastAsia" w:ascii="仿宋" w:hAnsi="仿宋" w:eastAsia="仿宋" w:cs="仿宋"/>
          <w:color w:val="auto"/>
          <w:sz w:val="28"/>
          <w:szCs w:val="28"/>
          <w:highlight w:val="none"/>
        </w:rPr>
        <w:t>不符合磋商文件中规定的实质性要求和条件的。</w:t>
      </w:r>
    </w:p>
    <w:p w14:paraId="0D21E41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供应商被“信用中国”网站、“中国政府采购网”列入失信被执行人、重大税收违法失信主体名单、政府采购严重违法失信行为记录名单，或查询“信用中国”网站后发现供应商存在其他不符合《中华人民共和国政府采购法》第二十二条规定条件的信用记录。</w:t>
      </w:r>
    </w:p>
    <w:p w14:paraId="297A740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w:t>
      </w: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 xml:space="preserve"> 响应文件含有采购人不能接受的附加条件的。</w:t>
      </w:r>
    </w:p>
    <w:p w14:paraId="59BD5B4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26.3.1</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响应文件未按照磋商文件要求加盖CA电子公章的。</w:t>
      </w:r>
    </w:p>
    <w:p w14:paraId="2832E3A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26.3.1</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 xml:space="preserve"> 其他法律法规及本磋商文件规定的属无效响应的情形。</w:t>
      </w:r>
    </w:p>
    <w:p w14:paraId="6D54914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26.4未实质性响应磋商文件的响应文件按无效响应处理。</w:t>
      </w:r>
    </w:p>
    <w:p w14:paraId="1FAAAB6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26.5如果响应文件实质上没有响应磋商文件的要求，磋商小组将予以拒绝，供应商不得通过修改或撤销不合要求的偏离或保留而使其成为实质性响应的文件。</w:t>
      </w:r>
    </w:p>
    <w:p w14:paraId="3720D6A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26.6供应商在项目评审全过程中应保持通讯畅通，并安排专人与采购人或代理公司及磋商小组联系。</w:t>
      </w:r>
    </w:p>
    <w:p w14:paraId="0D0DEF66">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27.磋商程序及评审方法和评审标准</w:t>
      </w:r>
    </w:p>
    <w:p w14:paraId="7AD08E5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27.1磋商程序</w:t>
      </w:r>
    </w:p>
    <w:p w14:paraId="778E086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9E54B4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B15113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27.1.2磋商文件能够详细列明采购标的的技术、服务要求的，磋商结束后，磋商小组将在苏采云系统向所有实质性响应的供应商发布“最后</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报价函”及最后报价格式表，要求所有实质性响应的供应商在规定时间内提交最后报价。</w:t>
      </w:r>
    </w:p>
    <w:p w14:paraId="51D2733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报价函”及最后报价格式表，要求其在规定时间内提交最后报价。</w:t>
      </w:r>
    </w:p>
    <w:p w14:paraId="2A48600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最后报价是供应商响应文件的有效组成部分。符合《政府采购竞争性磋商采购方式管理暂行办法》第三条及《财政部关于竞争性磋商采购方式管理暂行办法有关问题的补充通知》（财库〔2015〕124号）规定情形的，提交最后报价的供应商可以为2家。</w:t>
      </w:r>
    </w:p>
    <w:p w14:paraId="5DAD377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7AFED95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27.2 评审方法和评审标准</w:t>
      </w:r>
    </w:p>
    <w:p w14:paraId="7A1F9C5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27.2.1评审方法。经磋商确定最终采购需求和提交最后报价的供应商后，由磋商小组采用综合评分法对提交最后报价的供应商的响应文件和最后报价进行综合评分。</w:t>
      </w:r>
    </w:p>
    <w:p w14:paraId="43089D2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6DCDE4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27.2.2评审标准</w:t>
      </w:r>
    </w:p>
    <w:p w14:paraId="0FB9E6B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见本磋商文件第三章规定。</w:t>
      </w:r>
    </w:p>
    <w:p w14:paraId="06C5B4F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27.3采购活动终止的情况</w:t>
      </w:r>
    </w:p>
    <w:p w14:paraId="7E12141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出现下列情形之一的，本次竞争性磋商采购活动将被终止：</w:t>
      </w:r>
    </w:p>
    <w:p w14:paraId="7925908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27.3.1因情况变化，不再符合规定的竞争性磋商采购方式适用情形的。</w:t>
      </w:r>
    </w:p>
    <w:p w14:paraId="0D739C5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27.3.2出现影响采购公正的违法、违规行为的。</w:t>
      </w:r>
    </w:p>
    <w:p w14:paraId="54F8B15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27.3.3除本磋商文件第二章第27.1.2条第三款规定的情形外，在采购过程中符合要求的供应商或者最后报价未超过最高限价的供应商不足3家的。</w:t>
      </w:r>
    </w:p>
    <w:p w14:paraId="67299C4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27.3.4在苏采云系统规定时间内成功解密电子响应文件的供应商不足3家的。</w:t>
      </w:r>
    </w:p>
    <w:p w14:paraId="6C672B9C">
      <w:pPr>
        <w:spacing w:line="520" w:lineRule="exact"/>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28.推荐成交候选供应商</w:t>
      </w:r>
    </w:p>
    <w:p w14:paraId="1774DC5D">
      <w:pPr>
        <w:spacing w:line="520" w:lineRule="exact"/>
        <w:ind w:firstLine="539"/>
        <w:rPr>
          <w:rFonts w:hint="eastAsia" w:ascii="仿宋" w:hAnsi="仿宋" w:eastAsia="仿宋" w:cs="仿宋"/>
          <w:color w:val="auto"/>
          <w:sz w:val="28"/>
          <w:highlight w:val="none"/>
        </w:rPr>
      </w:pPr>
      <w:r>
        <w:rPr>
          <w:rFonts w:hint="eastAsia" w:ascii="仿宋" w:hAnsi="仿宋" w:eastAsia="仿宋" w:cs="仿宋"/>
          <w:color w:val="auto"/>
          <w:sz w:val="28"/>
          <w:highlight w:val="none"/>
        </w:rPr>
        <w:t>28.1磋商小组将对通过资格性审查和符合性审查的响应文件进行评价和比较。</w:t>
      </w:r>
    </w:p>
    <w:p w14:paraId="11128C1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28.2磋商小组</w:t>
      </w:r>
      <w:r>
        <w:rPr>
          <w:rFonts w:hint="eastAsia" w:ascii="仿宋" w:hAnsi="仿宋" w:eastAsia="仿宋" w:cs="仿宋"/>
          <w:color w:val="auto"/>
          <w:sz w:val="28"/>
          <w:szCs w:val="28"/>
          <w:highlight w:val="none"/>
        </w:rPr>
        <w:t xml:space="preserve">按磋商文件第三章中公布的评标标准对每份合格响应文件进行评审，推荐3名成交候选供应商。 </w:t>
      </w:r>
    </w:p>
    <w:p w14:paraId="3F1C19F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28.3 磋商小组发现磋商文件存在歧义、重大缺陷导致评审工作无法进行，或者磋商文件内容存在违反国家有关规定的，评审工作停止，采购人修改磋商文件后重新组织采购活动。</w:t>
      </w:r>
    </w:p>
    <w:p w14:paraId="741CF342">
      <w:pPr>
        <w:spacing w:line="520" w:lineRule="exact"/>
        <w:ind w:right="-634"/>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29.磋商过程保密</w:t>
      </w:r>
    </w:p>
    <w:p w14:paraId="0C42E73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29.1在宣布成交结果前，凡属于审查、澄清、磋商、评审响应文件和确定成交等相关信息，</w:t>
      </w:r>
      <w:r>
        <w:rPr>
          <w:rFonts w:hint="eastAsia" w:ascii="仿宋" w:hAnsi="仿宋" w:eastAsia="仿宋" w:cs="仿宋"/>
          <w:color w:val="auto"/>
          <w:sz w:val="28"/>
          <w:szCs w:val="28"/>
          <w:highlight w:val="none"/>
        </w:rPr>
        <w:t>均不得泄露给任何供应商或与评审工作无关的人员。</w:t>
      </w:r>
    </w:p>
    <w:p w14:paraId="05547BBE">
      <w:pPr>
        <w:spacing w:line="520" w:lineRule="exact"/>
        <w:ind w:firstLine="540"/>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rPr>
        <w:t>29.2</w:t>
      </w:r>
      <w:r>
        <w:rPr>
          <w:rFonts w:hint="eastAsia" w:ascii="仿宋" w:hAnsi="仿宋" w:eastAsia="仿宋" w:cs="仿宋"/>
          <w:color w:val="auto"/>
          <w:sz w:val="28"/>
          <w:highlight w:val="none"/>
        </w:rPr>
        <w:t>供应商不得探听上述信息，不得以任何行为影响磋商过程，否则将被取消成交资格。</w:t>
      </w:r>
    </w:p>
    <w:p w14:paraId="2A5E387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29.3 磋商小组名单在磋商前确定，并在磋商结果确定前保密。</w:t>
      </w:r>
    </w:p>
    <w:p w14:paraId="46951463">
      <w:pPr>
        <w:spacing w:line="520" w:lineRule="exact"/>
        <w:ind w:right="-634"/>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六、确定成交及签订合同</w:t>
      </w:r>
    </w:p>
    <w:p w14:paraId="5DF372A7">
      <w:pPr>
        <w:spacing w:line="520" w:lineRule="exact"/>
        <w:ind w:right="-634"/>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30.确定成交供应商</w:t>
      </w:r>
    </w:p>
    <w:p w14:paraId="4370426D">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30.1采购人将从磋商小组推荐的符合采购需求的成交候选</w:t>
      </w:r>
      <w:r>
        <w:rPr>
          <w:rFonts w:hint="eastAsia" w:ascii="仿宋" w:hAnsi="仿宋" w:eastAsia="仿宋" w:cs="仿宋"/>
          <w:color w:val="auto"/>
          <w:sz w:val="28"/>
          <w:szCs w:val="28"/>
          <w:highlight w:val="none"/>
        </w:rPr>
        <w:t>供应商</w:t>
      </w:r>
      <w:r>
        <w:rPr>
          <w:rFonts w:hint="eastAsia" w:ascii="仿宋" w:hAnsi="仿宋" w:eastAsia="仿宋" w:cs="仿宋"/>
          <w:color w:val="auto"/>
          <w:sz w:val="28"/>
          <w:highlight w:val="none"/>
        </w:rPr>
        <w:t>中按排名先后确定成交供应商。</w:t>
      </w:r>
    </w:p>
    <w:p w14:paraId="27077AA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30.2采购人将在淮安市政府采购网发布成交结果公告。</w:t>
      </w:r>
    </w:p>
    <w:p w14:paraId="44C14FD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30.3成交候选人在合同签订前，如经查实从参加该成交项目之日起计算所参加的政府采购活动前三年内，在经营活动中有行贿犯罪记录的，采购人将取消其成交候选人资格。</w:t>
      </w:r>
    </w:p>
    <w:p w14:paraId="58DF29A1">
      <w:pPr>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31.成交通知书</w:t>
      </w:r>
    </w:p>
    <w:p w14:paraId="4D7B616F">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31.1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462F117">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31.2成交通知书将是合同的一个组成部分。对采购人和成交供应商均具有法律效力。成交通知书发出后，采购人改变成交结果的，或者成交供应商放弃成交项目的，应当依法承担法律责任。</w:t>
      </w:r>
    </w:p>
    <w:p w14:paraId="38527724">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32.签订合同</w:t>
      </w:r>
    </w:p>
    <w:p w14:paraId="22A6495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32.1采购人与成交供应商应在成交通知书发出之日起三十日内签订政府采购合同。磋商文件、成交供应商的响应文件及澄清文件等均为签订合同依据。</w:t>
      </w:r>
    </w:p>
    <w:p w14:paraId="250CA9C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32.2成交供应商自成交通知书发出之日起三十日内无正当理由不与采购人签订合同的，将按规定进行处理。</w:t>
      </w:r>
    </w:p>
    <w:p w14:paraId="760FD64E">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33.货物和服务的减少</w:t>
      </w:r>
    </w:p>
    <w:p w14:paraId="755D002A">
      <w:pPr>
        <w:spacing w:line="520" w:lineRule="exact"/>
        <w:ind w:firstLine="53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33.1采购结束后，采购人若由于各种客观原因，必须对采购项目所牵涉的货物和服务进行适当的减少时，在双方协商一致的前提下，可以按照磋商时的价格水平做相应的调减，并据此签订补充合同。</w:t>
      </w:r>
    </w:p>
    <w:p w14:paraId="33BB727C">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七、质疑处理</w:t>
      </w:r>
    </w:p>
    <w:p w14:paraId="57E01D8D">
      <w:pPr>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34.质疑处理</w:t>
      </w:r>
    </w:p>
    <w:p w14:paraId="1AEA3203">
      <w:pPr>
        <w:pBdr>
          <w:top w:val="none" w:color="000000" w:sz="0" w:space="0"/>
          <w:left w:val="none" w:color="000000" w:sz="0" w:space="0"/>
          <w:bottom w:val="none" w:color="000000" w:sz="0" w:space="0"/>
          <w:right w:val="none" w:color="000000" w:sz="0" w:space="0"/>
        </w:pBdr>
        <w:spacing w:line="519" w:lineRule="atLeast"/>
        <w:ind w:firstLine="560"/>
        <w:rPr>
          <w:rFonts w:hint="eastAsia" w:ascii="仿宋" w:hAnsi="仿宋" w:eastAsia="仿宋" w:cs="仿宋"/>
          <w:color w:val="auto"/>
          <w:highlight w:val="none"/>
        </w:rPr>
      </w:pPr>
      <w:r>
        <w:rPr>
          <w:rFonts w:hint="eastAsia" w:ascii="仿宋" w:hAnsi="仿宋" w:eastAsia="仿宋" w:cs="仿宋"/>
          <w:color w:val="auto"/>
          <w:sz w:val="28"/>
          <w:highlight w:val="none"/>
        </w:rPr>
        <w:t>34.1供应商认为采购文件、采购过程和成交结果使自己的权益受到损害的，可以在知道或者应知其权益受到损害之日起七个工作日内，以电子文件形式通过“苏采云平台”-&gt;“供应商”登录，从“项目质疑申请”模块提出质疑或递交书面纸质质疑文件。未通过交易平台提交、未递交书面纸质质疑文件的、七个工作日之外以及未按34.5条的要求提供质疑的均不予受理。</w:t>
      </w:r>
    </w:p>
    <w:p w14:paraId="1FD78E10">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34.2上述应知其权益受到损害之日是指:</w:t>
      </w:r>
    </w:p>
    <w:p w14:paraId="2B716D9D">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（1）对磋商文件提出质疑的，为采购文件公告期限届满之日起计算；</w:t>
      </w:r>
    </w:p>
    <w:p w14:paraId="265E2C2E">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（2）对采购过程提出质疑的，为各采购程序环节结束之日起计算；</w:t>
      </w:r>
    </w:p>
    <w:p w14:paraId="21D79BEA">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（3）对成交结果提出质疑的，为成交结果公告期限届满之日起计算。</w:t>
      </w:r>
    </w:p>
    <w:p w14:paraId="2FFCBD64">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34.3质疑供应商是指直接参加本次磋商活动的供应商，未参加磋商活动的供应商或在磋商活动中自身权益未受到损害的供应商所提出的质疑不予受理。</w:t>
      </w:r>
    </w:p>
    <w:p w14:paraId="46A905B8">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34.4质疑供应商在法定质疑期内应当一次性针对同一采购环节提出质疑,若质疑供应商针对同一环节提出两次及两次以上质疑，仅受理第一次提出的质疑。</w:t>
      </w:r>
    </w:p>
    <w:p w14:paraId="156F2BE5">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34.5质疑函应当包括以下主要内容，附上相关证明材料。否则，采购人或代理公司不予受理。</w:t>
      </w:r>
    </w:p>
    <w:p w14:paraId="3FC68157">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（1）质疑供应商的名称、地址、邮编、联系人及联系电话；</w:t>
      </w:r>
    </w:p>
    <w:p w14:paraId="1F99B406">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（2）质疑项目的名称、编号；</w:t>
      </w:r>
    </w:p>
    <w:p w14:paraId="3664AB83">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（3）具体、明确的质疑事项和与质疑事实相关的请求；</w:t>
      </w:r>
    </w:p>
    <w:p w14:paraId="359D99A1">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（4）事实依据；</w:t>
      </w:r>
    </w:p>
    <w:p w14:paraId="221C5E6D">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（5）必要的法律依据；</w:t>
      </w:r>
    </w:p>
    <w:p w14:paraId="7093923E">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（6）提起质疑的日期；</w:t>
      </w:r>
    </w:p>
    <w:p w14:paraId="581B6DBE">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【质疑函必须署名，由法定代表人或者其授权代表签字，并加盖单位电子公章。授权代表签字的，还需提供法定代表人出具的办理质疑事项授权书（授权中必须载明具体权限、期限和事项）】</w:t>
      </w:r>
    </w:p>
    <w:p w14:paraId="687FE815">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34.6供应商（含潜在供应商）对采购方式、采购需求、供应商资格条件、评审方法与评审标准、合同文本的询问、质疑请向采购人或代理公司提出，由采购人或代理公司负责答复。供应商对其他事项的询问、质疑请向采购人提出，由采购人负责答复。</w:t>
      </w:r>
    </w:p>
    <w:p w14:paraId="530514D5">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34.7采购人或代理公司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采购人或代理公司有权不予受理。</w:t>
      </w:r>
    </w:p>
    <w:p w14:paraId="53DE02CC">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对于内容、格式符合规定的质疑函，采购人将在七个工作日内以电子文件的形式作出答复，但质疑答复的内容不涉及商业秘密。如果质疑供应商还需要纸质形式回复函的，需主动与采购人或代理公司联系索取，或者在质疑函中明确提出该要求。</w:t>
      </w:r>
    </w:p>
    <w:p w14:paraId="428AE1A3">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34.8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p>
    <w:p w14:paraId="1744486E">
      <w:pPr>
        <w:spacing w:line="520" w:lineRule="exact"/>
        <w:rPr>
          <w:rFonts w:hint="eastAsia" w:ascii="仿宋" w:hAnsi="仿宋" w:eastAsia="仿宋" w:cs="仿宋"/>
          <w:b/>
          <w:bCs/>
          <w:color w:val="auto"/>
          <w:sz w:val="32"/>
          <w:szCs w:val="28"/>
          <w:highlight w:val="none"/>
        </w:rPr>
      </w:pPr>
      <w:r>
        <w:rPr>
          <w:rFonts w:hint="eastAsia" w:ascii="仿宋" w:hAnsi="仿宋" w:eastAsia="仿宋" w:cs="仿宋"/>
          <w:b/>
          <w:bCs/>
          <w:color w:val="auto"/>
          <w:sz w:val="32"/>
          <w:szCs w:val="28"/>
          <w:highlight w:val="none"/>
        </w:rPr>
        <w:t>八、政府采购政策功能落实</w:t>
      </w:r>
    </w:p>
    <w:p w14:paraId="67C22E48">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35.政策功能落实</w:t>
      </w:r>
    </w:p>
    <w:p w14:paraId="3C26606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35.1小微型企业价格扣除</w:t>
      </w:r>
    </w:p>
    <w:p w14:paraId="6849A5E2">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35.1.1</w:t>
      </w:r>
      <w:r>
        <w:rPr>
          <w:rFonts w:hint="eastAsia" w:ascii="仿宋" w:hAnsi="仿宋" w:eastAsia="仿宋" w:cs="仿宋"/>
          <w:color w:val="auto"/>
          <w:sz w:val="28"/>
          <w:szCs w:val="28"/>
          <w:highlight w:val="none"/>
          <w:lang w:val="zh-CN"/>
        </w:rPr>
        <w:t>对于未预留份额专门面向中小企业采购的采购项目，供应商提供的货物或者服务</w:t>
      </w:r>
      <w:r>
        <w:rPr>
          <w:rFonts w:hint="eastAsia" w:ascii="仿宋" w:hAnsi="仿宋" w:eastAsia="仿宋" w:cs="仿宋"/>
          <w:color w:val="auto"/>
          <w:sz w:val="28"/>
          <w:szCs w:val="28"/>
          <w:highlight w:val="none"/>
        </w:rPr>
        <w:t>符合下列情形的，享受本办法规定的中小企业扶持政策给予小微企业报价20%的扣除，用扣除后的价格参与评审：</w:t>
      </w:r>
    </w:p>
    <w:p w14:paraId="05AD75C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（1）在货物采购项目中，货物由中小企业制造，即货物由中小企业生产且使用该中小企业商号或者注册商标；</w:t>
      </w:r>
    </w:p>
    <w:p w14:paraId="7E35E02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（2）在服务采购项目中，服务由中小企业承接，即提供服务的人员为中小企业依照《中华人民共和国劳动合同法》订立劳动合同的从业人员。</w:t>
      </w:r>
    </w:p>
    <w:p w14:paraId="17F2995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35.1.2在货物采购项目中，供应商提供的货物既有中小企业制造货物，也有大型企业制造货物的，不享受本办法规定的中小企业扶持政策。</w:t>
      </w:r>
    </w:p>
    <w:p w14:paraId="2587E6E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35.2联合体（本项目不涉及）及分包</w:t>
      </w:r>
    </w:p>
    <w:p w14:paraId="4084BF6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35.2.1以联合体形式参加政府采购活动，联合体各方均为中小企业的，联合体视同中小企业。其中，联合体各方均为小微企业的，联合体视同小微企业。</w:t>
      </w:r>
    </w:p>
    <w:p w14:paraId="71B4565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35.2.2享受扶持政策获得政府采购合同的，小微企业不得将合同分包给大中型企业，中型企业不得将合同分包给大型企业。</w:t>
      </w:r>
    </w:p>
    <w:p w14:paraId="51B38DD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0052DD2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41DF4E4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35.3小微型企业</w:t>
      </w:r>
    </w:p>
    <w:p w14:paraId="29B6AA8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（1）供应商须按照磋商文件的要求提供相应的《企业声明函》，详见磋商文件第六章示范格式。</w:t>
      </w:r>
    </w:p>
    <w:p w14:paraId="52E1E80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（2）企业标准请参照《政府采购促进中小企业发展管理办法》（财库〔2020〕46号）文件规定自行填写。</w:t>
      </w:r>
    </w:p>
    <w:p w14:paraId="798D20F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35.4残疾人福利单位</w:t>
      </w:r>
    </w:p>
    <w:p w14:paraId="56D76BB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（1）残疾人福利单位需按照</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文件的要求提供《残疾人福利性单位声明函》，详见</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文件第六章示范格式。</w:t>
      </w:r>
    </w:p>
    <w:p w14:paraId="4BFE0204">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（2）残疾人福利单位标准请参照《关于促进残疾人就业政府采购政策的通知》（财库〔2017〕141号）。</w:t>
      </w:r>
    </w:p>
    <w:p w14:paraId="1C43D44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35.5监狱和戒毒企业</w:t>
      </w:r>
    </w:p>
    <w:p w14:paraId="5B9F3CD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（1）监狱企业参加政府采购活动时，需提供由省级以上监狱管理局、戒毒管理局（含新疆生产建设兵团）出具的属于监狱企业的证明文件）（磋商文件中上传加盖出具单位公章的电子件）。</w:t>
      </w:r>
    </w:p>
    <w:p w14:paraId="735DCE0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（2）监狱企业标准请参照《关于政府采购支持监狱企业发展有关问题的通知》（财库〔2014〕68号）。</w:t>
      </w:r>
    </w:p>
    <w:p w14:paraId="2A634D92">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36. 节能、环保政策（本项目不涉及）</w:t>
      </w:r>
    </w:p>
    <w:p w14:paraId="7D9DD04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36.1根据《财政部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6D6A9FF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36.2节能产品</w:t>
      </w:r>
    </w:p>
    <w:p w14:paraId="6A8A99A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w:t>
      </w:r>
      <w:r>
        <w:rPr>
          <w:rFonts w:hint="eastAsia" w:ascii="仿宋" w:hAnsi="仿宋" w:eastAsia="仿宋" w:cs="仿宋"/>
          <w:color w:val="auto"/>
          <w:sz w:val="28"/>
          <w:szCs w:val="28"/>
          <w:highlight w:val="none"/>
          <w:u w:val="single"/>
        </w:rPr>
        <w:t>/</w:t>
      </w:r>
      <w:r>
        <w:rPr>
          <w:rFonts w:hint="eastAsia" w:ascii="仿宋" w:hAnsi="仿宋" w:eastAsia="仿宋" w:cs="仿宋"/>
          <w:color w:val="auto"/>
          <w:sz w:val="28"/>
          <w:szCs w:val="28"/>
          <w:highlight w:val="none"/>
        </w:rPr>
        <w:t>被列入“节能产品品目清单”的，实行</w:t>
      </w:r>
      <w:r>
        <w:rPr>
          <w:rFonts w:hint="eastAsia" w:ascii="仿宋" w:hAnsi="仿宋" w:eastAsia="仿宋" w:cs="仿宋"/>
          <w:color w:val="auto"/>
          <w:sz w:val="28"/>
          <w:szCs w:val="28"/>
          <w:highlight w:val="none"/>
          <w:u w:val="single"/>
        </w:rPr>
        <w:t>（优先采购/强制采购）</w:t>
      </w:r>
      <w:r>
        <w:rPr>
          <w:rFonts w:hint="eastAsia" w:ascii="仿宋" w:hAnsi="仿宋" w:eastAsia="仿宋" w:cs="仿宋"/>
          <w:color w:val="auto"/>
          <w:sz w:val="28"/>
          <w:szCs w:val="28"/>
          <w:highlight w:val="none"/>
        </w:rPr>
        <w:t>。</w:t>
      </w:r>
    </w:p>
    <w:p w14:paraId="697DA73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36.3环保产品</w:t>
      </w:r>
    </w:p>
    <w:p w14:paraId="52CE7DBE">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本项目中</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被列入“环境标志产品品目清单”的，实行优先采购。</w:t>
      </w:r>
    </w:p>
    <w:p w14:paraId="1978ADC2">
      <w:pPr>
        <w:spacing w:line="52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rPr>
        <w:t>36.4本项目中实行“强制采购”的，需</w:t>
      </w:r>
      <w:r>
        <w:rPr>
          <w:rFonts w:hint="eastAsia" w:ascii="仿宋" w:hAnsi="仿宋" w:eastAsia="仿宋" w:cs="仿宋"/>
          <w:color w:val="auto"/>
          <w:sz w:val="28"/>
          <w:highlight w:val="none"/>
        </w:rPr>
        <w:t>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p>
    <w:p w14:paraId="1B779118">
      <w:pPr>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36.5节能、环保产品的品目清单按照《关于印发环境标志产品政府采购品目清单的通知》（财库〔2019〕18号）、《关于印发节能产品政府采购品目清单的</w:t>
      </w:r>
      <w:r>
        <w:rPr>
          <w:rFonts w:hint="eastAsia" w:ascii="仿宋" w:hAnsi="仿宋" w:eastAsia="仿宋" w:cs="仿宋"/>
          <w:bCs/>
          <w:color w:val="auto"/>
          <w:sz w:val="28"/>
          <w:szCs w:val="28"/>
          <w:highlight w:val="none"/>
        </w:rPr>
        <w:t>通知》（财库〔2019〕19号）执行。国家对品目清单进行调整的，按照最新调整的品目清单执行。</w:t>
      </w:r>
    </w:p>
    <w:p w14:paraId="61471D69">
      <w:pPr>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37．政府绿色采购</w:t>
      </w:r>
    </w:p>
    <w:p w14:paraId="4D11014A">
      <w:pPr>
        <w:spacing w:line="520" w:lineRule="exact"/>
        <w:ind w:firstLine="280"/>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根据《江苏省财政厅关于加强政府绿色采购有关事项的通知》（苏财购〔2023〕65号）的要求，落实政府绿色采购相关政策，具体如下：</w:t>
      </w:r>
    </w:p>
    <w:p w14:paraId="1EE38EC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37.1本项目为货物类采购项目的，所提供的产品需综合考虑节能环保、节水、循环再生、低碳、有机等因素；本项目为物业、合同能源管理等服务类采购项目的，应在服务中加强绿色低碳管理。</w:t>
      </w:r>
    </w:p>
    <w:p w14:paraId="01FBE6F6">
      <w:pPr>
        <w:pStyle w:val="232"/>
        <w:spacing w:after="0" w:line="520" w:lineRule="exact"/>
        <w:ind w:lef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37.2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p>
    <w:p w14:paraId="73DC5E0D">
      <w:pPr>
        <w:pStyle w:val="232"/>
        <w:spacing w:line="520" w:lineRule="exact"/>
        <w:ind w:lef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37.3本项目中涉及涂料、胶黏剂、油墨、清洗剂等挥发性有机物产品的，要执行国家和江苏省VOCs含量限制标准，优先使用低挥发性原辅材料，使用低VOCs含量的涂料、胶黏剂等。</w:t>
      </w:r>
    </w:p>
    <w:p w14:paraId="4E83D7EF">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38. 履约资金扶持政策</w:t>
      </w:r>
    </w:p>
    <w:p w14:paraId="50A23AF8">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38.1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496DBB35">
      <w:pPr>
        <w:spacing w:line="52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38.2有融资贷款需求的成交人，与采购人在苏采云【合同在线签订】模块中进行合同在线签订时，【账户信息完善】的“是否融资”一栏中需选择“是”，同时完善收款账号信息和合同补充协议（融资账号）。</w:t>
      </w:r>
    </w:p>
    <w:p w14:paraId="3A6F4E54">
      <w:pPr>
        <w:spacing w:line="52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39.采购本国产品的支持政策（本项目不涉及）</w:t>
      </w:r>
    </w:p>
    <w:p w14:paraId="3384F8BF">
      <w:pPr>
        <w:spacing w:line="52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39.1 本项目政府采购活动中既有本国产品又有非本国产品参与竞争的，依法对本国产品给予价格评审优惠，对本国产品的报价给予20%的价格扣除，用扣除后的价格参与评审。</w:t>
      </w:r>
    </w:p>
    <w:p w14:paraId="612D101C">
      <w:pPr>
        <w:spacing w:line="52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39.2 当采购项目或者采购包中含有多种产品，供应商为该采购项目或者采购包提供的符合本国产品标准的产品成本之和占该供应商提供的全部产品成本之和的比例达到80%以上时（供应商需在“第六章 投标文件格式”的“三、</w:t>
      </w:r>
      <w:r>
        <w:rPr>
          <w:rFonts w:hint="eastAsia" w:ascii="仿宋" w:hAnsi="仿宋" w:eastAsia="仿宋" w:cs="仿宋"/>
          <w:color w:val="auto"/>
          <w:sz w:val="28"/>
          <w:szCs w:val="28"/>
          <w:highlight w:val="none"/>
          <w:lang w:eastAsia="zh-CN"/>
        </w:rPr>
        <w:t>响应报价</w:t>
      </w:r>
      <w:r>
        <w:rPr>
          <w:rFonts w:hint="eastAsia" w:ascii="仿宋" w:hAnsi="仿宋" w:eastAsia="仿宋" w:cs="仿宋"/>
          <w:color w:val="auto"/>
          <w:sz w:val="28"/>
          <w:szCs w:val="28"/>
          <w:highlight w:val="none"/>
        </w:rPr>
        <w:t>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05D5BE8">
      <w:pPr>
        <w:spacing w:line="52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39.3 供应商需按照</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文件的要求提供《关于符合本国产品标准的声明函》（以下简称《声明函》，详见第六章“示范格式六”），如不提供将不享受本国产品价格评审优惠。</w:t>
      </w:r>
    </w:p>
    <w:p w14:paraId="29B29E95">
      <w:pPr>
        <w:spacing w:line="52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39.4 供应商需在《声明函》中逐一、准确填写产品名称、厂名、生产厂址三项信息，三项信息中任意一项未填写的视为该项产品不符合本国产品标准，不享受本国产品价格评审优惠。</w:t>
      </w:r>
    </w:p>
    <w:p w14:paraId="55B35718">
      <w:pPr>
        <w:spacing w:line="52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auto"/>
          <w:sz w:val="28"/>
          <w:szCs w:val="28"/>
          <w:highlight w:val="none"/>
          <w:lang w:eastAsia="zh-CN"/>
        </w:rPr>
        <w:t>磋商文件</w:t>
      </w:r>
      <w:r>
        <w:rPr>
          <w:rFonts w:hint="eastAsia" w:ascii="仿宋" w:hAnsi="仿宋" w:eastAsia="仿宋" w:cs="仿宋"/>
          <w:color w:val="auto"/>
          <w:sz w:val="28"/>
          <w:szCs w:val="28"/>
          <w:highlight w:val="none"/>
        </w:rPr>
        <w:t>规定的，供应商提供的相关产品视为不符合本国产品标准。</w:t>
      </w:r>
    </w:p>
    <w:p w14:paraId="53F27D74">
      <w:pPr>
        <w:spacing w:line="520" w:lineRule="exact"/>
        <w:ind w:firstLine="560"/>
        <w:jc w:val="left"/>
        <w:rPr>
          <w:rFonts w:hint="eastAsia" w:ascii="仿宋" w:hAnsi="仿宋" w:eastAsia="仿宋" w:cs="仿宋"/>
          <w:color w:val="auto"/>
          <w:sz w:val="28"/>
          <w:szCs w:val="28"/>
          <w:highlight w:val="none"/>
        </w:rPr>
        <w:sectPr>
          <w:headerReference r:id="rId3" w:type="default"/>
          <w:footerReference r:id="rId4" w:type="default"/>
          <w:footerReference r:id="rId5" w:type="even"/>
          <w:pgSz w:w="11906" w:h="16838"/>
          <w:pgMar w:top="1560" w:right="1106" w:bottom="1440" w:left="1260" w:header="851" w:footer="992" w:gutter="0"/>
          <w:cols w:space="1701" w:num="1"/>
          <w:docGrid w:linePitch="360" w:charSpace="0"/>
        </w:sectPr>
      </w:pPr>
      <w:r>
        <w:rPr>
          <w:rFonts w:hint="eastAsia" w:ascii="仿宋" w:hAnsi="仿宋" w:eastAsia="仿宋" w:cs="仿宋"/>
          <w:color w:val="auto"/>
          <w:sz w:val="28"/>
          <w:szCs w:val="28"/>
          <w:highlight w:val="none"/>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1687FDA">
      <w:pPr>
        <w:numPr>
          <w:ilvl w:val="0"/>
          <w:numId w:val="2"/>
        </w:numPr>
        <w:spacing w:line="520" w:lineRule="exact"/>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 评审方法与评审标准</w:t>
      </w:r>
    </w:p>
    <w:p w14:paraId="05827241">
      <w:pPr>
        <w:spacing w:line="520" w:lineRule="exact"/>
        <w:rPr>
          <w:rFonts w:hint="eastAsia" w:ascii="仿宋" w:hAnsi="仿宋" w:eastAsia="仿宋" w:cs="仿宋"/>
          <w:b/>
          <w:color w:val="auto"/>
          <w:sz w:val="36"/>
          <w:szCs w:val="36"/>
          <w:highlight w:val="none"/>
        </w:rPr>
      </w:pPr>
    </w:p>
    <w:p w14:paraId="73DDDCF3">
      <w:pPr>
        <w:numPr>
          <w:ilvl w:val="0"/>
          <w:numId w:val="3"/>
        </w:numPr>
        <w:spacing w:line="520" w:lineRule="exact"/>
        <w:ind w:firstLine="539"/>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本项目采用综合评分法进行评审。</w:t>
      </w:r>
      <w:r>
        <w:rPr>
          <w:rFonts w:hint="eastAsia" w:ascii="仿宋" w:hAnsi="仿宋" w:eastAsia="仿宋" w:cs="仿宋"/>
          <w:color w:val="auto"/>
          <w:sz w:val="28"/>
          <w:highlight w:val="none"/>
        </w:rPr>
        <w:t>磋商小组仅对确定为实质上响应磋商文件要求的响应文件进行评价和比较。综合评分法，是指响应文件满足磋商文件全部要求且按照评审因素的量化指标评审得分最高的供应商为成交候选供应商的评标方法。</w:t>
      </w:r>
    </w:p>
    <w:p w14:paraId="78705A1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二、磋商小组将依据下列评审标准进行评审，本评标标准的总分为</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0分。</w:t>
      </w:r>
    </w:p>
    <w:p w14:paraId="636A341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三、具体标准:</w:t>
      </w:r>
    </w:p>
    <w:tbl>
      <w:tblPr>
        <w:tblStyle w:val="37"/>
        <w:tblW w:w="97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460"/>
        <w:gridCol w:w="1111"/>
        <w:gridCol w:w="6226"/>
      </w:tblGrid>
      <w:tr w14:paraId="7F1EF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noWrap w:val="0"/>
            <w:vAlign w:val="top"/>
          </w:tcPr>
          <w:p w14:paraId="6CCA0837">
            <w:pPr>
              <w:spacing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2571" w:type="dxa"/>
            <w:gridSpan w:val="2"/>
            <w:noWrap w:val="0"/>
            <w:vAlign w:val="top"/>
          </w:tcPr>
          <w:p w14:paraId="02FE1F54">
            <w:pPr>
              <w:spacing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评审因素分值</w:t>
            </w:r>
          </w:p>
        </w:tc>
        <w:tc>
          <w:tcPr>
            <w:tcW w:w="6226" w:type="dxa"/>
            <w:noWrap w:val="0"/>
            <w:vAlign w:val="top"/>
          </w:tcPr>
          <w:p w14:paraId="0D7D7A69">
            <w:pPr>
              <w:spacing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评分标准</w:t>
            </w:r>
          </w:p>
        </w:tc>
      </w:tr>
      <w:tr w14:paraId="7DEB5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noWrap w:val="0"/>
            <w:vAlign w:val="center"/>
          </w:tcPr>
          <w:p w14:paraId="069491AE">
            <w:pPr>
              <w:spacing w:line="48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w:t>
            </w:r>
          </w:p>
        </w:tc>
        <w:tc>
          <w:tcPr>
            <w:tcW w:w="1460" w:type="dxa"/>
            <w:noWrap w:val="0"/>
            <w:vAlign w:val="center"/>
          </w:tcPr>
          <w:p w14:paraId="60A5A472">
            <w:pPr>
              <w:spacing w:line="48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价格分</w:t>
            </w:r>
          </w:p>
        </w:tc>
        <w:tc>
          <w:tcPr>
            <w:tcW w:w="1111" w:type="dxa"/>
            <w:noWrap w:val="0"/>
            <w:vAlign w:val="center"/>
          </w:tcPr>
          <w:p w14:paraId="5127086D">
            <w:pPr>
              <w:spacing w:line="48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27</w:t>
            </w:r>
            <w:r>
              <w:rPr>
                <w:rFonts w:hint="eastAsia" w:ascii="仿宋" w:hAnsi="仿宋" w:eastAsia="仿宋" w:cs="仿宋"/>
                <w:b/>
                <w:bCs/>
                <w:color w:val="auto"/>
                <w:sz w:val="28"/>
                <w:szCs w:val="28"/>
                <w:highlight w:val="none"/>
              </w:rPr>
              <w:t>分</w:t>
            </w:r>
          </w:p>
        </w:tc>
        <w:tc>
          <w:tcPr>
            <w:tcW w:w="6226" w:type="dxa"/>
            <w:noWrap w:val="0"/>
            <w:vAlign w:val="top"/>
          </w:tcPr>
          <w:p w14:paraId="3EE481E1">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以满足磋商文件要求且最终报价最低的为评标基准价，其价格分为满分。其他供应商的价格分按照下列公式计算（小数点保留两位）:</w:t>
            </w:r>
          </w:p>
          <w:p w14:paraId="23CD371E">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磋商报价得分＝（评标基准价/磋商报价）×</w:t>
            </w:r>
            <w:r>
              <w:rPr>
                <w:rFonts w:hint="eastAsia" w:ascii="仿宋" w:hAnsi="仿宋" w:eastAsia="仿宋" w:cs="仿宋"/>
                <w:color w:val="auto"/>
                <w:sz w:val="28"/>
                <w:szCs w:val="28"/>
                <w:highlight w:val="none"/>
                <w:lang w:val="en-US" w:eastAsia="zh-CN"/>
              </w:rPr>
              <w:t>27</w:t>
            </w:r>
            <w:r>
              <w:rPr>
                <w:rFonts w:hint="eastAsia" w:ascii="仿宋" w:hAnsi="仿宋" w:eastAsia="仿宋" w:cs="仿宋"/>
                <w:color w:val="auto"/>
                <w:sz w:val="28"/>
                <w:szCs w:val="28"/>
                <w:highlight w:val="none"/>
              </w:rPr>
              <w:t>分。</w:t>
            </w:r>
          </w:p>
        </w:tc>
      </w:tr>
      <w:tr w14:paraId="45AE2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trPr>
        <w:tc>
          <w:tcPr>
            <w:tcW w:w="959" w:type="dxa"/>
            <w:noWrap w:val="0"/>
            <w:vAlign w:val="center"/>
          </w:tcPr>
          <w:p w14:paraId="53F6FF7D">
            <w:pPr>
              <w:spacing w:line="48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w:t>
            </w:r>
          </w:p>
        </w:tc>
        <w:tc>
          <w:tcPr>
            <w:tcW w:w="1460" w:type="dxa"/>
            <w:shd w:val="clear" w:color="auto" w:fill="auto"/>
            <w:noWrap w:val="0"/>
            <w:vAlign w:val="center"/>
          </w:tcPr>
          <w:p w14:paraId="7854B1F4">
            <w:pPr>
              <w:spacing w:line="480" w:lineRule="exact"/>
              <w:jc w:val="center"/>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rPr>
              <w:t>方案部分</w:t>
            </w:r>
          </w:p>
        </w:tc>
        <w:tc>
          <w:tcPr>
            <w:tcW w:w="1111" w:type="dxa"/>
            <w:shd w:val="clear" w:color="auto" w:fill="auto"/>
            <w:noWrap w:val="0"/>
            <w:vAlign w:val="center"/>
          </w:tcPr>
          <w:p w14:paraId="7A0485D8">
            <w:pPr>
              <w:spacing w:line="480" w:lineRule="exact"/>
              <w:jc w:val="center"/>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rPr>
              <w:t>36</w:t>
            </w:r>
            <w:r>
              <w:rPr>
                <w:rFonts w:hint="eastAsia" w:ascii="仿宋" w:hAnsi="仿宋" w:eastAsia="仿宋" w:cs="仿宋"/>
                <w:b/>
                <w:bCs/>
                <w:color w:val="auto"/>
                <w:sz w:val="28"/>
                <w:szCs w:val="28"/>
                <w:highlight w:val="none"/>
              </w:rPr>
              <w:t>分</w:t>
            </w:r>
          </w:p>
        </w:tc>
        <w:tc>
          <w:tcPr>
            <w:tcW w:w="6226" w:type="dxa"/>
            <w:shd w:val="clear" w:color="auto" w:fill="auto"/>
            <w:noWrap w:val="0"/>
            <w:vAlign w:val="top"/>
          </w:tcPr>
          <w:p w14:paraId="2927C28A">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供应商按照下列要求提供方案，磋商小组根据供应商提供的方案进行评分，不提供分项方案或者经三分之二磋商小组认定分项方案存在重大偏离的，该分项不得分。</w:t>
            </w:r>
          </w:p>
          <w:p w14:paraId="062E2980">
            <w:pPr>
              <w:pStyle w:val="33"/>
              <w:shd w:val="clear" w:color="auto" w:fill="FFFFFF"/>
              <w:spacing w:before="0" w:beforeAutospacing="0" w:after="0" w:afterAutospacing="0" w:line="480" w:lineRule="exact"/>
              <w:jc w:val="both"/>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t>1、管理服务方案（</w:t>
            </w:r>
            <w:r>
              <w:rPr>
                <w:rFonts w:hint="eastAsia" w:ascii="仿宋" w:hAnsi="仿宋" w:eastAsia="仿宋" w:cs="仿宋"/>
                <w:b/>
                <w:color w:val="auto"/>
                <w:sz w:val="28"/>
                <w:szCs w:val="28"/>
                <w:highlight w:val="none"/>
                <w:lang w:val="en-US" w:eastAsia="zh-CN"/>
              </w:rPr>
              <w:t>5</w:t>
            </w:r>
            <w:r>
              <w:rPr>
                <w:rFonts w:hint="eastAsia" w:ascii="仿宋" w:hAnsi="仿宋" w:eastAsia="仿宋" w:cs="仿宋"/>
                <w:b/>
                <w:color w:val="auto"/>
                <w:sz w:val="28"/>
                <w:szCs w:val="28"/>
                <w:highlight w:val="none"/>
                <w:lang w:val="zh-CN"/>
              </w:rPr>
              <w:t>分）</w:t>
            </w:r>
          </w:p>
          <w:p w14:paraId="2F062DA5">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方案完整详细、全面、科学、针对性强、完全满足的得</w:t>
            </w:r>
            <w:r>
              <w:rPr>
                <w:rFonts w:hint="eastAsia" w:ascii="仿宋" w:hAnsi="仿宋" w:eastAsia="仿宋" w:cs="仿宋"/>
                <w:bCs/>
                <w:color w:val="auto"/>
                <w:sz w:val="28"/>
                <w:szCs w:val="28"/>
                <w:highlight w:val="none"/>
                <w:lang w:val="en-US" w:eastAsia="zh-CN"/>
              </w:rPr>
              <w:t>5</w:t>
            </w:r>
            <w:r>
              <w:rPr>
                <w:rFonts w:hint="eastAsia" w:ascii="仿宋" w:hAnsi="仿宋" w:eastAsia="仿宋" w:cs="仿宋"/>
                <w:bCs/>
                <w:color w:val="auto"/>
                <w:sz w:val="28"/>
                <w:szCs w:val="28"/>
                <w:highlight w:val="none"/>
                <w:lang w:val="zh-CN"/>
              </w:rPr>
              <w:t>分，方案较为合理可行、基本满足采购需求</w:t>
            </w:r>
            <w:r>
              <w:rPr>
                <w:rFonts w:hint="eastAsia" w:ascii="仿宋" w:hAnsi="仿宋" w:eastAsia="仿宋" w:cs="仿宋"/>
                <w:bCs/>
                <w:color w:val="auto"/>
                <w:sz w:val="28"/>
                <w:szCs w:val="28"/>
                <w:highlight w:val="none"/>
                <w:lang w:val="en-US" w:eastAsia="zh-CN"/>
              </w:rPr>
              <w:t>的</w:t>
            </w:r>
            <w:r>
              <w:rPr>
                <w:rFonts w:hint="eastAsia" w:ascii="仿宋" w:hAnsi="仿宋" w:eastAsia="仿宋" w:cs="仿宋"/>
                <w:bCs/>
                <w:color w:val="auto"/>
                <w:sz w:val="28"/>
                <w:szCs w:val="28"/>
                <w:highlight w:val="none"/>
                <w:lang w:val="zh-CN"/>
              </w:rPr>
              <w:t>得</w:t>
            </w: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lang w:val="zh-CN"/>
              </w:rPr>
              <w:t>分，方案不完整、有缺陷的得1分，其余不得分。</w:t>
            </w:r>
          </w:p>
          <w:p w14:paraId="73C64D36">
            <w:pPr>
              <w:pStyle w:val="33"/>
              <w:shd w:val="clear" w:color="auto" w:fill="FFFFFF"/>
              <w:spacing w:before="0" w:beforeAutospacing="0" w:after="0" w:afterAutospacing="0" w:line="480" w:lineRule="exact"/>
              <w:jc w:val="both"/>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t>2、技术</w:t>
            </w:r>
            <w:r>
              <w:rPr>
                <w:rFonts w:hint="eastAsia" w:ascii="仿宋" w:hAnsi="仿宋" w:eastAsia="仿宋" w:cs="仿宋"/>
                <w:b/>
                <w:color w:val="auto"/>
                <w:sz w:val="28"/>
                <w:szCs w:val="28"/>
                <w:highlight w:val="none"/>
                <w:lang w:val="en-US" w:eastAsia="zh-CN"/>
              </w:rPr>
              <w:t>保障</w:t>
            </w:r>
            <w:r>
              <w:rPr>
                <w:rFonts w:hint="eastAsia" w:ascii="仿宋" w:hAnsi="仿宋" w:eastAsia="仿宋" w:cs="仿宋"/>
                <w:b/>
                <w:color w:val="auto"/>
                <w:sz w:val="28"/>
                <w:szCs w:val="28"/>
                <w:highlight w:val="none"/>
                <w:lang w:val="zh-CN"/>
              </w:rPr>
              <w:t>程度，保密性承诺、服务承诺等（</w:t>
            </w:r>
            <w:r>
              <w:rPr>
                <w:rFonts w:hint="eastAsia" w:ascii="仿宋" w:hAnsi="仿宋" w:eastAsia="仿宋" w:cs="仿宋"/>
                <w:b/>
                <w:color w:val="auto"/>
                <w:sz w:val="28"/>
                <w:szCs w:val="28"/>
                <w:highlight w:val="none"/>
                <w:lang w:val="en-US" w:eastAsia="zh-CN"/>
              </w:rPr>
              <w:t>5</w:t>
            </w:r>
            <w:r>
              <w:rPr>
                <w:rFonts w:hint="eastAsia" w:ascii="仿宋" w:hAnsi="仿宋" w:eastAsia="仿宋" w:cs="仿宋"/>
                <w:b/>
                <w:color w:val="auto"/>
                <w:sz w:val="28"/>
                <w:szCs w:val="28"/>
                <w:highlight w:val="none"/>
                <w:lang w:val="zh-CN"/>
              </w:rPr>
              <w:t>分）</w:t>
            </w:r>
          </w:p>
          <w:p w14:paraId="78C4CA84">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技术</w:t>
            </w:r>
            <w:r>
              <w:rPr>
                <w:rFonts w:hint="eastAsia" w:ascii="仿宋" w:hAnsi="仿宋" w:eastAsia="仿宋" w:cs="仿宋"/>
                <w:bCs/>
                <w:color w:val="auto"/>
                <w:sz w:val="28"/>
                <w:szCs w:val="28"/>
                <w:highlight w:val="none"/>
                <w:lang w:val="en-US" w:eastAsia="zh-CN"/>
              </w:rPr>
              <w:t>保障</w:t>
            </w:r>
            <w:r>
              <w:rPr>
                <w:rFonts w:hint="eastAsia" w:ascii="仿宋" w:hAnsi="仿宋" w:eastAsia="仿宋" w:cs="仿宋"/>
                <w:bCs/>
                <w:color w:val="auto"/>
                <w:sz w:val="28"/>
                <w:szCs w:val="28"/>
                <w:highlight w:val="none"/>
                <w:lang w:val="zh-CN"/>
              </w:rPr>
              <w:t>程度高，保密性承诺、服务承诺等完整详细、全面、科学、针对性强、完全满足</w:t>
            </w:r>
            <w:r>
              <w:rPr>
                <w:rFonts w:hint="eastAsia" w:ascii="仿宋" w:hAnsi="仿宋" w:eastAsia="仿宋" w:cs="仿宋"/>
                <w:bCs/>
                <w:color w:val="auto"/>
                <w:sz w:val="28"/>
                <w:szCs w:val="28"/>
                <w:highlight w:val="none"/>
                <w:lang w:val="en-US" w:eastAsia="zh-CN"/>
              </w:rPr>
              <w:t>的</w:t>
            </w:r>
            <w:r>
              <w:rPr>
                <w:rFonts w:hint="eastAsia" w:ascii="仿宋" w:hAnsi="仿宋" w:eastAsia="仿宋" w:cs="仿宋"/>
                <w:bCs/>
                <w:color w:val="auto"/>
                <w:sz w:val="28"/>
                <w:szCs w:val="28"/>
                <w:highlight w:val="none"/>
                <w:lang w:val="zh-CN"/>
              </w:rPr>
              <w:t>得</w:t>
            </w:r>
            <w:r>
              <w:rPr>
                <w:rFonts w:hint="eastAsia" w:ascii="仿宋" w:hAnsi="仿宋" w:eastAsia="仿宋" w:cs="仿宋"/>
                <w:bCs/>
                <w:color w:val="auto"/>
                <w:sz w:val="28"/>
                <w:szCs w:val="28"/>
                <w:highlight w:val="none"/>
                <w:lang w:val="en-US" w:eastAsia="zh-CN"/>
              </w:rPr>
              <w:t>5</w:t>
            </w:r>
            <w:r>
              <w:rPr>
                <w:rFonts w:hint="eastAsia" w:ascii="仿宋" w:hAnsi="仿宋" w:eastAsia="仿宋" w:cs="仿宋"/>
                <w:bCs/>
                <w:color w:val="auto"/>
                <w:sz w:val="28"/>
                <w:szCs w:val="28"/>
                <w:highlight w:val="none"/>
                <w:lang w:val="zh-CN"/>
              </w:rPr>
              <w:t>分，技术保障程度较为合理可行、基本满足采购需求</w:t>
            </w:r>
            <w:r>
              <w:rPr>
                <w:rFonts w:hint="eastAsia" w:ascii="仿宋" w:hAnsi="仿宋" w:eastAsia="仿宋" w:cs="仿宋"/>
                <w:bCs/>
                <w:color w:val="auto"/>
                <w:sz w:val="28"/>
                <w:szCs w:val="28"/>
                <w:highlight w:val="none"/>
                <w:lang w:val="en-US" w:eastAsia="zh-CN"/>
              </w:rPr>
              <w:t>的</w:t>
            </w:r>
            <w:r>
              <w:rPr>
                <w:rFonts w:hint="eastAsia" w:ascii="仿宋" w:hAnsi="仿宋" w:eastAsia="仿宋" w:cs="仿宋"/>
                <w:bCs/>
                <w:color w:val="auto"/>
                <w:sz w:val="28"/>
                <w:szCs w:val="28"/>
                <w:highlight w:val="none"/>
                <w:lang w:val="zh-CN"/>
              </w:rPr>
              <w:t>得</w:t>
            </w: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lang w:val="zh-CN"/>
              </w:rPr>
              <w:t>分，技术保障程度不完整、有缺陷</w:t>
            </w:r>
            <w:r>
              <w:rPr>
                <w:rFonts w:hint="eastAsia" w:ascii="仿宋" w:hAnsi="仿宋" w:eastAsia="仿宋" w:cs="仿宋"/>
                <w:bCs/>
                <w:color w:val="auto"/>
                <w:sz w:val="28"/>
                <w:szCs w:val="28"/>
                <w:highlight w:val="none"/>
                <w:lang w:val="en-US" w:eastAsia="zh-CN"/>
              </w:rPr>
              <w:t>的</w:t>
            </w:r>
            <w:r>
              <w:rPr>
                <w:rFonts w:hint="eastAsia" w:ascii="仿宋" w:hAnsi="仿宋" w:eastAsia="仿宋" w:cs="仿宋"/>
                <w:bCs/>
                <w:color w:val="auto"/>
                <w:sz w:val="28"/>
                <w:szCs w:val="28"/>
                <w:highlight w:val="none"/>
                <w:lang w:val="zh-CN"/>
              </w:rPr>
              <w:t>得1分，其余不得分。</w:t>
            </w:r>
          </w:p>
          <w:p w14:paraId="2F4C04FF">
            <w:pPr>
              <w:pStyle w:val="33"/>
              <w:shd w:val="clear" w:color="auto" w:fill="FFFFFF"/>
              <w:spacing w:before="0" w:beforeAutospacing="0" w:after="0" w:afterAutospacing="0" w:line="480" w:lineRule="exact"/>
              <w:jc w:val="both"/>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t>3、人力资源保障措施：人员储备计划、人员培训计划、人员稳定保障措施、薪酬福利水平等（</w:t>
            </w:r>
            <w:r>
              <w:rPr>
                <w:rFonts w:hint="eastAsia" w:ascii="仿宋" w:hAnsi="仿宋" w:eastAsia="仿宋" w:cs="仿宋"/>
                <w:b/>
                <w:color w:val="auto"/>
                <w:sz w:val="28"/>
                <w:szCs w:val="28"/>
                <w:highlight w:val="none"/>
                <w:lang w:val="en-US" w:eastAsia="zh-CN"/>
              </w:rPr>
              <w:t>5</w:t>
            </w:r>
            <w:r>
              <w:rPr>
                <w:rFonts w:hint="eastAsia" w:ascii="仿宋" w:hAnsi="仿宋" w:eastAsia="仿宋" w:cs="仿宋"/>
                <w:b/>
                <w:color w:val="auto"/>
                <w:sz w:val="28"/>
                <w:szCs w:val="28"/>
                <w:highlight w:val="none"/>
                <w:lang w:val="zh-CN"/>
              </w:rPr>
              <w:t>分）</w:t>
            </w:r>
          </w:p>
          <w:p w14:paraId="54382C1F">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上述项内容完整详细、全面、科学、针对性强、完全满足</w:t>
            </w:r>
            <w:r>
              <w:rPr>
                <w:rFonts w:hint="eastAsia" w:ascii="仿宋" w:hAnsi="仿宋" w:eastAsia="仿宋" w:cs="仿宋"/>
                <w:bCs/>
                <w:color w:val="auto"/>
                <w:sz w:val="28"/>
                <w:szCs w:val="28"/>
                <w:highlight w:val="none"/>
                <w:lang w:val="en-US" w:eastAsia="zh-CN"/>
              </w:rPr>
              <w:t>的</w:t>
            </w:r>
            <w:r>
              <w:rPr>
                <w:rFonts w:hint="eastAsia" w:ascii="仿宋" w:hAnsi="仿宋" w:eastAsia="仿宋" w:cs="仿宋"/>
                <w:bCs/>
                <w:color w:val="auto"/>
                <w:sz w:val="28"/>
                <w:szCs w:val="28"/>
                <w:highlight w:val="none"/>
                <w:lang w:val="zh-CN"/>
              </w:rPr>
              <w:t>得</w:t>
            </w:r>
            <w:r>
              <w:rPr>
                <w:rFonts w:hint="eastAsia" w:ascii="仿宋" w:hAnsi="仿宋" w:eastAsia="仿宋" w:cs="仿宋"/>
                <w:bCs/>
                <w:color w:val="auto"/>
                <w:sz w:val="28"/>
                <w:szCs w:val="28"/>
                <w:highlight w:val="none"/>
                <w:lang w:val="en-US" w:eastAsia="zh-CN"/>
              </w:rPr>
              <w:t>5</w:t>
            </w:r>
            <w:r>
              <w:rPr>
                <w:rFonts w:hint="eastAsia" w:ascii="仿宋" w:hAnsi="仿宋" w:eastAsia="仿宋" w:cs="仿宋"/>
                <w:bCs/>
                <w:color w:val="auto"/>
                <w:sz w:val="28"/>
                <w:szCs w:val="28"/>
                <w:highlight w:val="none"/>
                <w:lang w:val="zh-CN"/>
              </w:rPr>
              <w:t>分，上述项内容较为合理可行、基本满足采购需求的得</w:t>
            </w: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lang w:val="zh-CN"/>
              </w:rPr>
              <w:t>分，上述项内容不完整、有缺陷的得1分，其余不得分。</w:t>
            </w:r>
          </w:p>
          <w:p w14:paraId="04F45334">
            <w:pPr>
              <w:pStyle w:val="33"/>
              <w:shd w:val="clear" w:color="auto" w:fill="FFFFFF"/>
              <w:spacing w:before="0" w:beforeAutospacing="0" w:after="0" w:afterAutospacing="0" w:line="480" w:lineRule="exact"/>
              <w:jc w:val="both"/>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t>4、管理制度：财务管理制度、人员管理制度等（</w:t>
            </w:r>
            <w:r>
              <w:rPr>
                <w:rFonts w:hint="eastAsia" w:ascii="仿宋" w:hAnsi="仿宋" w:eastAsia="仿宋" w:cs="仿宋"/>
                <w:b/>
                <w:color w:val="auto"/>
                <w:sz w:val="28"/>
                <w:szCs w:val="28"/>
                <w:highlight w:val="none"/>
                <w:lang w:val="en-US" w:eastAsia="zh-CN"/>
              </w:rPr>
              <w:t>3</w:t>
            </w:r>
            <w:r>
              <w:rPr>
                <w:rFonts w:hint="eastAsia" w:ascii="仿宋" w:hAnsi="仿宋" w:eastAsia="仿宋" w:cs="仿宋"/>
                <w:b/>
                <w:color w:val="auto"/>
                <w:sz w:val="28"/>
                <w:szCs w:val="28"/>
                <w:highlight w:val="none"/>
                <w:lang w:val="zh-CN"/>
              </w:rPr>
              <w:t>分）</w:t>
            </w:r>
          </w:p>
          <w:p w14:paraId="7E7F6E2D">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上述项内容完整详细、全面、科学、针对性强、完全满足</w:t>
            </w:r>
            <w:r>
              <w:rPr>
                <w:rFonts w:hint="eastAsia" w:ascii="仿宋" w:hAnsi="仿宋" w:eastAsia="仿宋" w:cs="仿宋"/>
                <w:bCs/>
                <w:color w:val="auto"/>
                <w:sz w:val="28"/>
                <w:szCs w:val="28"/>
                <w:highlight w:val="none"/>
                <w:lang w:val="en-US" w:eastAsia="zh-CN"/>
              </w:rPr>
              <w:t>的</w:t>
            </w:r>
            <w:r>
              <w:rPr>
                <w:rFonts w:hint="eastAsia" w:ascii="仿宋" w:hAnsi="仿宋" w:eastAsia="仿宋" w:cs="仿宋"/>
                <w:bCs/>
                <w:color w:val="auto"/>
                <w:sz w:val="28"/>
                <w:szCs w:val="28"/>
                <w:highlight w:val="none"/>
                <w:lang w:val="zh-CN"/>
              </w:rPr>
              <w:t>得</w:t>
            </w: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lang w:val="zh-CN"/>
              </w:rPr>
              <w:t>分，上述项内容较为合理可行、基本满足采购需求的得1分，上述项内容不完整、有缺陷的不得分。</w:t>
            </w:r>
          </w:p>
          <w:p w14:paraId="20156A31">
            <w:pPr>
              <w:pStyle w:val="33"/>
              <w:shd w:val="clear" w:color="auto" w:fill="FFFFFF"/>
              <w:spacing w:before="0" w:beforeAutospacing="0" w:after="0" w:afterAutospacing="0" w:line="480" w:lineRule="exact"/>
              <w:jc w:val="both"/>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t>5、文件档案管理制度（</w:t>
            </w:r>
            <w:r>
              <w:rPr>
                <w:rFonts w:hint="eastAsia" w:ascii="仿宋" w:hAnsi="仿宋" w:eastAsia="仿宋" w:cs="仿宋"/>
                <w:b/>
                <w:color w:val="auto"/>
                <w:sz w:val="28"/>
                <w:szCs w:val="28"/>
                <w:highlight w:val="none"/>
                <w:lang w:val="en-US" w:eastAsia="zh-CN"/>
              </w:rPr>
              <w:t>3</w:t>
            </w:r>
            <w:r>
              <w:rPr>
                <w:rFonts w:hint="eastAsia" w:ascii="仿宋" w:hAnsi="仿宋" w:eastAsia="仿宋" w:cs="仿宋"/>
                <w:b/>
                <w:color w:val="auto"/>
                <w:sz w:val="28"/>
                <w:szCs w:val="28"/>
                <w:highlight w:val="none"/>
                <w:lang w:val="zh-CN"/>
              </w:rPr>
              <w:t>分）</w:t>
            </w:r>
          </w:p>
          <w:p w14:paraId="5F05AFF0">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文件档案管理制度完整详细、全面、科学、针对性强、完全满足的得</w:t>
            </w: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lang w:val="zh-CN"/>
              </w:rPr>
              <w:t>分，文件档案管理制度较为合理可行、基本满足采购需求的得1分，文件档案管理制度不完整、有缺陷的不得分。</w:t>
            </w:r>
          </w:p>
          <w:p w14:paraId="06825484">
            <w:pPr>
              <w:pStyle w:val="33"/>
              <w:shd w:val="clear" w:color="auto" w:fill="FFFFFF"/>
              <w:spacing w:before="0" w:beforeAutospacing="0" w:after="0" w:afterAutospacing="0" w:line="480" w:lineRule="exact"/>
              <w:jc w:val="both"/>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t>6、服务保障时间及保障措施（</w:t>
            </w:r>
            <w:r>
              <w:rPr>
                <w:rFonts w:hint="eastAsia" w:ascii="仿宋" w:hAnsi="仿宋" w:eastAsia="仿宋" w:cs="仿宋"/>
                <w:b/>
                <w:color w:val="auto"/>
                <w:sz w:val="28"/>
                <w:szCs w:val="28"/>
                <w:highlight w:val="none"/>
                <w:lang w:val="en-US" w:eastAsia="zh-CN"/>
              </w:rPr>
              <w:t>5</w:t>
            </w:r>
            <w:r>
              <w:rPr>
                <w:rFonts w:hint="eastAsia" w:ascii="仿宋" w:hAnsi="仿宋" w:eastAsia="仿宋" w:cs="仿宋"/>
                <w:b/>
                <w:color w:val="auto"/>
                <w:sz w:val="28"/>
                <w:szCs w:val="28"/>
                <w:highlight w:val="none"/>
                <w:lang w:val="zh-CN"/>
              </w:rPr>
              <w:t>分）</w:t>
            </w:r>
          </w:p>
          <w:p w14:paraId="2D342C3E">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服务保障时间及保障措施完整详细、全面、科学、针对性强、完全满足的得</w:t>
            </w:r>
            <w:r>
              <w:rPr>
                <w:rFonts w:hint="eastAsia" w:ascii="仿宋" w:hAnsi="仿宋" w:eastAsia="仿宋" w:cs="仿宋"/>
                <w:bCs/>
                <w:color w:val="auto"/>
                <w:sz w:val="28"/>
                <w:szCs w:val="28"/>
                <w:highlight w:val="none"/>
                <w:lang w:val="en-US" w:eastAsia="zh-CN"/>
              </w:rPr>
              <w:t>5</w:t>
            </w:r>
            <w:r>
              <w:rPr>
                <w:rFonts w:hint="eastAsia" w:ascii="仿宋" w:hAnsi="仿宋" w:eastAsia="仿宋" w:cs="仿宋"/>
                <w:bCs/>
                <w:color w:val="auto"/>
                <w:sz w:val="28"/>
                <w:szCs w:val="28"/>
                <w:highlight w:val="none"/>
                <w:lang w:val="zh-CN"/>
              </w:rPr>
              <w:t>分，服务保障时间及保障措施较为合理可行、基本满足采购需求的得</w:t>
            </w: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lang w:val="zh-CN"/>
              </w:rPr>
              <w:t>分，服务保障时间及保障措施不完整、有缺陷的得1分，其余不得分。</w:t>
            </w:r>
          </w:p>
          <w:p w14:paraId="62311023">
            <w:pPr>
              <w:pStyle w:val="33"/>
              <w:shd w:val="clear" w:color="auto" w:fill="FFFFFF"/>
              <w:spacing w:before="0" w:beforeAutospacing="0" w:after="0" w:afterAutospacing="0" w:line="480" w:lineRule="exact"/>
              <w:jc w:val="both"/>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t>7、应急预案（</w:t>
            </w:r>
            <w:r>
              <w:rPr>
                <w:rFonts w:hint="eastAsia" w:ascii="仿宋" w:hAnsi="仿宋" w:eastAsia="仿宋" w:cs="仿宋"/>
                <w:b/>
                <w:color w:val="auto"/>
                <w:sz w:val="28"/>
                <w:szCs w:val="28"/>
                <w:highlight w:val="none"/>
                <w:lang w:val="en-US" w:eastAsia="zh-CN"/>
              </w:rPr>
              <w:t>5</w:t>
            </w:r>
            <w:r>
              <w:rPr>
                <w:rFonts w:hint="eastAsia" w:ascii="仿宋" w:hAnsi="仿宋" w:eastAsia="仿宋" w:cs="仿宋"/>
                <w:b/>
                <w:color w:val="auto"/>
                <w:sz w:val="28"/>
                <w:szCs w:val="28"/>
                <w:highlight w:val="none"/>
                <w:lang w:val="zh-CN"/>
              </w:rPr>
              <w:t>分）</w:t>
            </w:r>
          </w:p>
          <w:p w14:paraId="04AE3EA1">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应急预案完整详细、全面、科学、针对性强、完全满足的得</w:t>
            </w:r>
            <w:r>
              <w:rPr>
                <w:rFonts w:hint="eastAsia" w:ascii="仿宋" w:hAnsi="仿宋" w:eastAsia="仿宋" w:cs="仿宋"/>
                <w:bCs/>
                <w:color w:val="auto"/>
                <w:sz w:val="28"/>
                <w:szCs w:val="28"/>
                <w:highlight w:val="none"/>
                <w:lang w:val="en-US" w:eastAsia="zh-CN"/>
              </w:rPr>
              <w:t>5</w:t>
            </w:r>
            <w:r>
              <w:rPr>
                <w:rFonts w:hint="eastAsia" w:ascii="仿宋" w:hAnsi="仿宋" w:eastAsia="仿宋" w:cs="仿宋"/>
                <w:bCs/>
                <w:color w:val="auto"/>
                <w:sz w:val="28"/>
                <w:szCs w:val="28"/>
                <w:highlight w:val="none"/>
                <w:lang w:val="zh-CN"/>
              </w:rPr>
              <w:t>分，应急预案较为合理可行、基本满足采购需求的得</w:t>
            </w: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lang w:val="zh-CN"/>
              </w:rPr>
              <w:t>分，应急预案不完整、有缺陷的得1分，其余不得分。</w:t>
            </w:r>
          </w:p>
          <w:p w14:paraId="71C6AEF3">
            <w:pPr>
              <w:pStyle w:val="33"/>
              <w:shd w:val="clear" w:color="auto" w:fill="FFFFFF"/>
              <w:spacing w:before="0" w:beforeAutospacing="0" w:after="0" w:afterAutospacing="0" w:line="480" w:lineRule="exact"/>
              <w:jc w:val="both"/>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t>8、针对本项目特点、难点采取的其他针对性措施（</w:t>
            </w:r>
            <w:r>
              <w:rPr>
                <w:rFonts w:hint="eastAsia" w:ascii="仿宋" w:hAnsi="仿宋" w:eastAsia="仿宋" w:cs="仿宋"/>
                <w:b/>
                <w:color w:val="auto"/>
                <w:sz w:val="28"/>
                <w:szCs w:val="28"/>
                <w:highlight w:val="none"/>
                <w:lang w:val="en-US" w:eastAsia="zh-CN"/>
              </w:rPr>
              <w:t>5</w:t>
            </w:r>
            <w:r>
              <w:rPr>
                <w:rFonts w:hint="eastAsia" w:ascii="仿宋" w:hAnsi="仿宋" w:eastAsia="仿宋" w:cs="仿宋"/>
                <w:b/>
                <w:color w:val="auto"/>
                <w:sz w:val="28"/>
                <w:szCs w:val="28"/>
                <w:highlight w:val="none"/>
                <w:lang w:val="zh-CN"/>
              </w:rPr>
              <w:t>分）</w:t>
            </w:r>
          </w:p>
          <w:p w14:paraId="28E4B39F">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上述项措施完整详细、全面、科学、针对性强、完全满足的得</w:t>
            </w:r>
            <w:r>
              <w:rPr>
                <w:rFonts w:hint="eastAsia" w:ascii="仿宋" w:hAnsi="仿宋" w:eastAsia="仿宋" w:cs="仿宋"/>
                <w:bCs/>
                <w:color w:val="auto"/>
                <w:sz w:val="28"/>
                <w:szCs w:val="28"/>
                <w:highlight w:val="none"/>
                <w:lang w:val="en-US" w:eastAsia="zh-CN"/>
              </w:rPr>
              <w:t>5</w:t>
            </w:r>
            <w:r>
              <w:rPr>
                <w:rFonts w:hint="eastAsia" w:ascii="仿宋" w:hAnsi="仿宋" w:eastAsia="仿宋" w:cs="仿宋"/>
                <w:bCs/>
                <w:color w:val="auto"/>
                <w:sz w:val="28"/>
                <w:szCs w:val="28"/>
                <w:highlight w:val="none"/>
                <w:lang w:val="zh-CN"/>
              </w:rPr>
              <w:t>分，上述项措施较为合理可行、基本满足采购需求的得</w:t>
            </w: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lang w:val="zh-CN"/>
              </w:rPr>
              <w:t>分，上述项措施不完整、有缺陷的得1分，其余不得分。</w:t>
            </w:r>
          </w:p>
          <w:p w14:paraId="453ED4A8">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注：1、完整详细、全面、科学、针对性强、完全满足采购人要求指：</w:t>
            </w:r>
          </w:p>
          <w:p w14:paraId="59BC2554">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(1)提供的响应方案基于采购需求的全口径，提出了具有可行性的现状情况预判；</w:t>
            </w:r>
          </w:p>
          <w:p w14:paraId="38C7ED00">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(2)准确把握项目重难点，分析各类情况可能发生的不可预见性，并尽可能列明多种详细预案；</w:t>
            </w:r>
          </w:p>
          <w:p w14:paraId="531A8E65">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(3)针对项目内容的不同特点及性能提供个性化的服务解决方案，也可以举例论证；</w:t>
            </w:r>
          </w:p>
          <w:p w14:paraId="208DA473">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(4)对于资料、数据等响应方案的支撑材料提供细致，具体，具有一定的论证支撑性及可追溯性。</w:t>
            </w:r>
          </w:p>
          <w:p w14:paraId="4E223C1B">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2、较为合理可行、基本满足采购需求指：</w:t>
            </w:r>
          </w:p>
          <w:p w14:paraId="2B75F03A">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(1)响应方案基本完整，和采购需求存在部分的响应缺项；</w:t>
            </w:r>
          </w:p>
          <w:p w14:paraId="462B2B52">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(2)只对方案作出标题式的简单论证，并未展开分析或列明可行的具体解决方案；</w:t>
            </w:r>
          </w:p>
          <w:p w14:paraId="6D68C8D9">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(3)对服务响应进行泛化一般描述；</w:t>
            </w:r>
          </w:p>
          <w:p w14:paraId="64D3B3E5">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(4)部分资料、数据等响应方案的支撑材料提供过于简单或未提供，难于采信。</w:t>
            </w:r>
          </w:p>
          <w:p w14:paraId="768B9848">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3、不完整、有缺陷指：</w:t>
            </w:r>
          </w:p>
          <w:p w14:paraId="235D5C54">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(1)响应方案不完整，和采购需求存在明显的响应缺漏；</w:t>
            </w:r>
          </w:p>
          <w:p w14:paraId="586B98CD">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(2)只对方案作出标题式的简单论证；</w:t>
            </w:r>
          </w:p>
          <w:p w14:paraId="4321D8BC">
            <w:pPr>
              <w:pStyle w:val="33"/>
              <w:shd w:val="clear" w:color="auto" w:fill="FFFFFF"/>
              <w:spacing w:before="0" w:beforeAutospacing="0" w:after="0" w:afterAutospacing="0" w:line="480" w:lineRule="exact"/>
              <w:jc w:val="both"/>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(3)无服务响应描述；</w:t>
            </w:r>
          </w:p>
          <w:p w14:paraId="6CB85FAA">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(4)无资料、数据等响应方案的支撑材料。</w:t>
            </w:r>
          </w:p>
        </w:tc>
      </w:tr>
      <w:tr w14:paraId="0A9CE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trPr>
        <w:tc>
          <w:tcPr>
            <w:tcW w:w="959" w:type="dxa"/>
            <w:noWrap w:val="0"/>
            <w:vAlign w:val="center"/>
          </w:tcPr>
          <w:p w14:paraId="16A09AED">
            <w:pPr>
              <w:spacing w:line="48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三</w:t>
            </w:r>
          </w:p>
        </w:tc>
        <w:tc>
          <w:tcPr>
            <w:tcW w:w="1460" w:type="dxa"/>
            <w:shd w:val="clear" w:color="auto" w:fill="auto"/>
            <w:noWrap w:val="0"/>
            <w:vAlign w:val="center"/>
          </w:tcPr>
          <w:p w14:paraId="355D84FB">
            <w:pPr>
              <w:spacing w:line="480" w:lineRule="exact"/>
              <w:jc w:val="center"/>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rPr>
              <w:t>商务部分</w:t>
            </w:r>
          </w:p>
        </w:tc>
        <w:tc>
          <w:tcPr>
            <w:tcW w:w="1111" w:type="dxa"/>
            <w:shd w:val="clear" w:color="auto" w:fill="auto"/>
            <w:noWrap w:val="0"/>
            <w:vAlign w:val="center"/>
          </w:tcPr>
          <w:p w14:paraId="687F1B83">
            <w:pPr>
              <w:spacing w:line="480" w:lineRule="exact"/>
              <w:jc w:val="center"/>
              <w:rPr>
                <w:rFonts w:hint="default" w:ascii="仿宋" w:hAnsi="仿宋" w:eastAsia="仿宋" w:cs="仿宋"/>
                <w:b/>
                <w:bCs/>
                <w:color w:val="auto"/>
                <w:sz w:val="28"/>
                <w:szCs w:val="24"/>
                <w:highlight w:val="none"/>
                <w:lang w:val="en-US" w:eastAsia="zh-CN" w:bidi="ar-SA"/>
              </w:rPr>
            </w:pPr>
            <w:r>
              <w:rPr>
                <w:rFonts w:hint="eastAsia" w:ascii="仿宋" w:hAnsi="仿宋" w:eastAsia="仿宋" w:cs="仿宋"/>
                <w:b/>
                <w:bCs/>
                <w:color w:val="auto"/>
                <w:sz w:val="28"/>
                <w:highlight w:val="none"/>
                <w:lang w:val="en-US" w:eastAsia="zh-CN"/>
              </w:rPr>
              <w:t>37</w:t>
            </w:r>
            <w:r>
              <w:rPr>
                <w:rFonts w:hint="eastAsia" w:ascii="仿宋" w:hAnsi="仿宋" w:eastAsia="仿宋" w:cs="仿宋"/>
                <w:b/>
                <w:bCs/>
                <w:color w:val="auto"/>
                <w:sz w:val="28"/>
                <w:highlight w:val="none"/>
              </w:rPr>
              <w:t>分</w:t>
            </w:r>
          </w:p>
        </w:tc>
        <w:tc>
          <w:tcPr>
            <w:tcW w:w="6226" w:type="dxa"/>
            <w:shd w:val="clear" w:color="auto" w:fill="auto"/>
            <w:noWrap w:val="0"/>
            <w:vAlign w:val="top"/>
          </w:tcPr>
          <w:p w14:paraId="33648C4D">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（1）供应商具有</w:t>
            </w:r>
            <w:r>
              <w:rPr>
                <w:rFonts w:hint="eastAsia" w:ascii="仿宋" w:hAnsi="仿宋" w:eastAsia="仿宋" w:cs="仿宋"/>
                <w:bCs/>
                <w:color w:val="auto"/>
                <w:sz w:val="28"/>
                <w:szCs w:val="28"/>
                <w:highlight w:val="none"/>
                <w:lang w:val="en-US" w:eastAsia="zh-CN"/>
              </w:rPr>
              <w:t>有效的</w:t>
            </w:r>
            <w:r>
              <w:rPr>
                <w:rFonts w:hint="eastAsia" w:ascii="仿宋" w:hAnsi="仿宋" w:eastAsia="仿宋" w:cs="仿宋"/>
                <w:bCs/>
                <w:color w:val="auto"/>
                <w:sz w:val="28"/>
                <w:szCs w:val="28"/>
                <w:highlight w:val="none"/>
              </w:rPr>
              <w:t>质量体系认证、信息安全管理体系认证的，有一项得</w:t>
            </w: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rPr>
              <w:t>分，本项最多得</w:t>
            </w:r>
            <w:r>
              <w:rPr>
                <w:rFonts w:hint="eastAsia" w:ascii="仿宋" w:hAnsi="仿宋" w:eastAsia="仿宋" w:cs="仿宋"/>
                <w:bCs/>
                <w:color w:val="auto"/>
                <w:sz w:val="28"/>
                <w:szCs w:val="28"/>
                <w:highlight w:val="none"/>
                <w:lang w:val="en-US" w:eastAsia="zh-CN"/>
              </w:rPr>
              <w:t>6</w:t>
            </w:r>
            <w:r>
              <w:rPr>
                <w:rFonts w:hint="eastAsia" w:ascii="仿宋" w:hAnsi="仿宋" w:eastAsia="仿宋" w:cs="仿宋"/>
                <w:bCs/>
                <w:color w:val="auto"/>
                <w:sz w:val="28"/>
                <w:szCs w:val="28"/>
                <w:highlight w:val="none"/>
              </w:rPr>
              <w:t>分，没有不得分。</w:t>
            </w:r>
            <w:r>
              <w:rPr>
                <w:rFonts w:hint="eastAsia" w:ascii="仿宋" w:hAnsi="仿宋" w:eastAsia="仿宋" w:cs="仿宋"/>
                <w:bCs/>
                <w:color w:val="auto"/>
                <w:sz w:val="28"/>
                <w:szCs w:val="28"/>
                <w:highlight w:val="none"/>
                <w:lang w:val="zh-CN"/>
              </w:rPr>
              <w:t>（扫描件加盖供应商电子签章，原件备查）</w:t>
            </w:r>
          </w:p>
          <w:p w14:paraId="392D96AE">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rPr>
              <w:t>（2）供应商自202</w:t>
            </w: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rPr>
              <w:t>年1月1日以来承担过</w:t>
            </w:r>
            <w:r>
              <w:rPr>
                <w:rFonts w:hint="eastAsia" w:ascii="仿宋" w:hAnsi="仿宋" w:eastAsia="仿宋" w:cs="仿宋"/>
                <w:color w:val="auto"/>
                <w:sz w:val="28"/>
                <w:szCs w:val="28"/>
                <w:highlight w:val="none"/>
                <w:lang w:val="zh-TW"/>
              </w:rPr>
              <w:t>司法辅助综合事务性工作社会化</w:t>
            </w:r>
            <w:r>
              <w:rPr>
                <w:rFonts w:hint="eastAsia" w:ascii="仿宋" w:hAnsi="仿宋" w:eastAsia="仿宋" w:cs="仿宋"/>
                <w:bCs/>
                <w:color w:val="auto"/>
                <w:sz w:val="28"/>
                <w:szCs w:val="28"/>
                <w:highlight w:val="none"/>
              </w:rPr>
              <w:t>服务案例的，每提供1个得</w:t>
            </w: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rPr>
              <w:t>分,本项最多得</w:t>
            </w:r>
            <w:r>
              <w:rPr>
                <w:rFonts w:hint="eastAsia" w:ascii="仿宋" w:hAnsi="仿宋" w:eastAsia="仿宋" w:cs="仿宋"/>
                <w:bCs/>
                <w:color w:val="auto"/>
                <w:sz w:val="28"/>
                <w:szCs w:val="28"/>
                <w:highlight w:val="none"/>
                <w:lang w:val="en-US" w:eastAsia="zh-CN"/>
              </w:rPr>
              <w:t>9</w:t>
            </w:r>
            <w:r>
              <w:rPr>
                <w:rFonts w:hint="eastAsia" w:ascii="仿宋" w:hAnsi="仿宋" w:eastAsia="仿宋" w:cs="仿宋"/>
                <w:bCs/>
                <w:color w:val="auto"/>
                <w:sz w:val="28"/>
                <w:szCs w:val="28"/>
                <w:highlight w:val="none"/>
              </w:rPr>
              <w:t>分。</w:t>
            </w:r>
            <w:r>
              <w:rPr>
                <w:rFonts w:hint="eastAsia" w:ascii="仿宋" w:hAnsi="仿宋" w:eastAsia="仿宋" w:cs="仿宋"/>
                <w:bCs/>
                <w:color w:val="auto"/>
                <w:sz w:val="28"/>
                <w:szCs w:val="28"/>
                <w:highlight w:val="none"/>
                <w:lang w:val="zh-CN"/>
              </w:rPr>
              <w:t>（提供中标（成交）通知书及合同扫描件并加盖供应商电子签章，二者缺一不可，原件备查）。</w:t>
            </w:r>
          </w:p>
          <w:p w14:paraId="22E1798F">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（3）供应商拟派至本项目的项目组人员中，具有</w:t>
            </w:r>
            <w:r>
              <w:rPr>
                <w:rFonts w:hint="eastAsia" w:ascii="仿宋" w:hAnsi="仿宋" w:eastAsia="仿宋" w:cs="仿宋"/>
                <w:bCs/>
                <w:color w:val="auto"/>
                <w:sz w:val="28"/>
                <w:szCs w:val="28"/>
                <w:highlight w:val="none"/>
                <w:lang w:val="en-US" w:eastAsia="zh-CN"/>
              </w:rPr>
              <w:t>人力资源相关职业技能等级证书（中级及以上）</w:t>
            </w:r>
            <w:r>
              <w:rPr>
                <w:rFonts w:hint="eastAsia" w:ascii="仿宋" w:hAnsi="仿宋" w:eastAsia="仿宋" w:cs="仿宋"/>
                <w:bCs/>
                <w:color w:val="auto"/>
                <w:sz w:val="28"/>
                <w:szCs w:val="28"/>
                <w:highlight w:val="none"/>
              </w:rPr>
              <w:t>，每</w:t>
            </w:r>
            <w:r>
              <w:rPr>
                <w:rFonts w:hint="eastAsia" w:ascii="仿宋" w:hAnsi="仿宋" w:eastAsia="仿宋" w:cs="仿宋"/>
                <w:bCs/>
                <w:color w:val="auto"/>
                <w:sz w:val="28"/>
                <w:szCs w:val="28"/>
                <w:highlight w:val="none"/>
                <w:lang w:val="en-US" w:eastAsia="zh-CN"/>
              </w:rPr>
              <w:t>提供</w:t>
            </w:r>
            <w:r>
              <w:rPr>
                <w:rFonts w:hint="eastAsia" w:ascii="仿宋" w:hAnsi="仿宋" w:eastAsia="仿宋" w:cs="仿宋"/>
                <w:bCs/>
                <w:color w:val="auto"/>
                <w:sz w:val="28"/>
                <w:szCs w:val="28"/>
                <w:highlight w:val="none"/>
              </w:rPr>
              <w:t>一个得</w:t>
            </w:r>
            <w:r>
              <w:rPr>
                <w:rFonts w:hint="eastAsia" w:ascii="仿宋" w:hAnsi="仿宋" w:eastAsia="仿宋" w:cs="仿宋"/>
                <w:bCs/>
                <w:color w:val="auto"/>
                <w:sz w:val="28"/>
                <w:szCs w:val="28"/>
                <w:highlight w:val="none"/>
                <w:lang w:val="en-US" w:eastAsia="zh-CN"/>
              </w:rPr>
              <w:t>2</w:t>
            </w:r>
            <w:r>
              <w:rPr>
                <w:rFonts w:hint="eastAsia" w:ascii="仿宋" w:hAnsi="仿宋" w:eastAsia="仿宋" w:cs="仿宋"/>
                <w:bCs/>
                <w:color w:val="auto"/>
                <w:sz w:val="28"/>
                <w:szCs w:val="28"/>
                <w:highlight w:val="none"/>
              </w:rPr>
              <w:t>分，</w:t>
            </w:r>
            <w:r>
              <w:rPr>
                <w:rFonts w:hint="eastAsia" w:ascii="仿宋" w:hAnsi="仿宋" w:eastAsia="仿宋" w:cs="仿宋"/>
                <w:bCs/>
                <w:color w:val="auto"/>
                <w:sz w:val="28"/>
                <w:szCs w:val="28"/>
                <w:highlight w:val="none"/>
                <w:lang w:val="en-US" w:eastAsia="zh-CN"/>
              </w:rPr>
              <w:t>最多得4分；具有信息技术服务标准的(ITSS)服务工程师证书的，每提供一个得2分，最多得4分；具有人力资源和社会保障部门颁发的档案专业职称证书，每提供一个得2分，最多得4分；具有国家信息安全水平（NISP）证书，每提供一个得2分，最多得4分，；本项最高得16分。</w:t>
            </w:r>
          </w:p>
          <w:p w14:paraId="1127E459">
            <w:pPr>
              <w:pStyle w:val="33"/>
              <w:shd w:val="clear" w:color="auto" w:fill="FFFFFF"/>
              <w:spacing w:before="0" w:beforeAutospacing="0" w:after="0" w:afterAutospacing="0" w:line="480" w:lineRule="exact"/>
              <w:jc w:val="both"/>
              <w:rPr>
                <w:rFonts w:hint="eastAsia" w:ascii="仿宋" w:hAnsi="仿宋" w:eastAsia="仿宋" w:cs="仿宋"/>
                <w:color w:val="auto"/>
                <w:sz w:val="24"/>
                <w:szCs w:val="24"/>
                <w:highlight w:val="none"/>
                <w:lang w:val="zh-CN" w:eastAsia="zh-CN" w:bidi="ar-SA"/>
              </w:rPr>
            </w:pPr>
            <w:r>
              <w:rPr>
                <w:rFonts w:hint="eastAsia" w:ascii="仿宋" w:hAnsi="仿宋" w:eastAsia="仿宋" w:cs="仿宋"/>
                <w:b/>
                <w:color w:val="auto"/>
                <w:sz w:val="28"/>
                <w:szCs w:val="28"/>
                <w:highlight w:val="none"/>
              </w:rPr>
              <w:t>注：须提供相关证书（扫描件并加盖供应商电子签章，原件备查）以及供应商为其缴纳的自202</w:t>
            </w:r>
            <w:r>
              <w:rPr>
                <w:rFonts w:hint="eastAsia" w:ascii="仿宋" w:hAnsi="仿宋" w:eastAsia="仿宋" w:cs="仿宋"/>
                <w:b/>
                <w:color w:val="auto"/>
                <w:sz w:val="28"/>
                <w:szCs w:val="28"/>
                <w:highlight w:val="none"/>
                <w:lang w:val="en-US" w:eastAsia="zh-CN"/>
              </w:rPr>
              <w:t>6</w:t>
            </w:r>
            <w:r>
              <w:rPr>
                <w:rFonts w:hint="eastAsia" w:ascii="仿宋" w:hAnsi="仿宋" w:eastAsia="仿宋" w:cs="仿宋"/>
                <w:b/>
                <w:color w:val="auto"/>
                <w:sz w:val="28"/>
                <w:szCs w:val="28"/>
                <w:highlight w:val="none"/>
              </w:rPr>
              <w:t>年以来任意一个月的社保证明（扫描件加盖供应商电子签章，原件备查）。</w:t>
            </w:r>
          </w:p>
        </w:tc>
      </w:tr>
      <w:tr w14:paraId="21090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trPr>
        <w:tc>
          <w:tcPr>
            <w:tcW w:w="959" w:type="dxa"/>
            <w:noWrap w:val="0"/>
            <w:vAlign w:val="center"/>
          </w:tcPr>
          <w:p w14:paraId="2914B2CC">
            <w:pPr>
              <w:spacing w:line="480" w:lineRule="exact"/>
              <w:jc w:val="center"/>
              <w:rPr>
                <w:rFonts w:hint="eastAsia" w:ascii="仿宋" w:hAnsi="仿宋" w:eastAsia="仿宋" w:cs="仿宋"/>
                <w:b/>
                <w:bCs/>
                <w:color w:val="auto"/>
                <w:sz w:val="28"/>
                <w:szCs w:val="28"/>
                <w:highlight w:val="none"/>
              </w:rPr>
            </w:pPr>
          </w:p>
        </w:tc>
        <w:tc>
          <w:tcPr>
            <w:tcW w:w="1460" w:type="dxa"/>
            <w:shd w:val="clear" w:color="auto" w:fill="auto"/>
            <w:noWrap w:val="0"/>
            <w:vAlign w:val="center"/>
          </w:tcPr>
          <w:p w14:paraId="5729E8AA">
            <w:pPr>
              <w:spacing w:line="480" w:lineRule="exact"/>
              <w:jc w:val="center"/>
              <w:rPr>
                <w:rFonts w:hint="eastAsia" w:ascii="仿宋" w:hAnsi="仿宋" w:eastAsia="仿宋" w:cs="仿宋"/>
                <w:b/>
                <w:bCs/>
                <w:color w:val="auto"/>
                <w:sz w:val="28"/>
                <w:szCs w:val="28"/>
                <w:highlight w:val="none"/>
              </w:rPr>
            </w:pPr>
          </w:p>
        </w:tc>
        <w:tc>
          <w:tcPr>
            <w:tcW w:w="1111" w:type="dxa"/>
            <w:shd w:val="clear" w:color="auto" w:fill="auto"/>
            <w:noWrap w:val="0"/>
            <w:vAlign w:val="center"/>
          </w:tcPr>
          <w:p w14:paraId="34BC5BDE">
            <w:pPr>
              <w:spacing w:line="480" w:lineRule="exact"/>
              <w:jc w:val="center"/>
              <w:rPr>
                <w:rFonts w:hint="eastAsia" w:ascii="仿宋" w:hAnsi="仿宋" w:eastAsia="仿宋" w:cs="仿宋"/>
                <w:b/>
                <w:bCs/>
                <w:color w:val="auto"/>
                <w:sz w:val="28"/>
                <w:highlight w:val="none"/>
                <w:lang w:val="en-US" w:eastAsia="zh-CN"/>
              </w:rPr>
            </w:pPr>
          </w:p>
        </w:tc>
        <w:tc>
          <w:tcPr>
            <w:tcW w:w="6226" w:type="dxa"/>
            <w:shd w:val="clear" w:color="auto" w:fill="auto"/>
            <w:noWrap w:val="0"/>
            <w:vAlign w:val="top"/>
          </w:tcPr>
          <w:p w14:paraId="1C8C7DF6">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4）供应商提供针对本项目应用提供档案数字化加工软件系统、电子卷宗质检软件系统、中间库软件系统。上述软件属于供应商自有的每提供1个得2分；（需提供：①计算机软件著作权登记证书扫描件，证书著作权人名称须与投标供应商名称一致）属于供应商购买的，每提供1个得1分。（需提供：①计算机软件著作权登记证书扫描件；②购买合同扫描件）。本项同一类型软件重复提供不额外得分，没有不得分，最高得6分。</w:t>
            </w:r>
          </w:p>
          <w:p w14:paraId="10E33238">
            <w:pPr>
              <w:pStyle w:val="33"/>
              <w:shd w:val="clear" w:color="auto" w:fill="FFFFFF"/>
              <w:spacing w:before="0" w:beforeAutospacing="0" w:after="0" w:afterAutospacing="0" w:line="480" w:lineRule="exact"/>
              <w:ind w:firstLine="560" w:firstLineChars="200"/>
              <w:jc w:val="both"/>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以上系统软件均需提供相关证书及功能截图作为证明材料，并加盖供应商公章。</w:t>
            </w:r>
          </w:p>
          <w:p w14:paraId="197D2297">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highlight w:val="none"/>
                <w:lang w:val="en-US" w:eastAsia="zh-CN"/>
              </w:rPr>
            </w:pPr>
          </w:p>
          <w:p w14:paraId="57E65201">
            <w:pPr>
              <w:pStyle w:val="33"/>
              <w:shd w:val="clear" w:color="auto" w:fill="FFFFFF"/>
              <w:spacing w:before="0" w:beforeAutospacing="0" w:after="0" w:afterAutospacing="0" w:line="480" w:lineRule="exact"/>
              <w:jc w:val="both"/>
              <w:rPr>
                <w:rFonts w:hint="eastAsia" w:ascii="仿宋" w:hAnsi="仿宋" w:eastAsia="仿宋" w:cs="仿宋"/>
                <w:bCs/>
                <w:color w:val="auto"/>
                <w:sz w:val="28"/>
                <w:szCs w:val="28"/>
                <w:highlight w:val="none"/>
                <w:lang w:val="en-US" w:eastAsia="zh-CN"/>
              </w:rPr>
            </w:pPr>
          </w:p>
        </w:tc>
      </w:tr>
    </w:tbl>
    <w:p w14:paraId="5FB1DA28">
      <w:pPr>
        <w:ind w:firstLine="723"/>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rPr>
          <w:rFonts w:hint="eastAsia" w:ascii="仿宋" w:hAnsi="仿宋" w:eastAsia="仿宋" w:cs="仿宋"/>
          <w:b/>
          <w:bCs/>
          <w:color w:val="auto"/>
          <w:sz w:val="36"/>
          <w:szCs w:val="36"/>
          <w:highlight w:val="none"/>
        </w:rPr>
        <w:t>第四</w:t>
      </w:r>
      <w:r>
        <w:rPr>
          <w:rFonts w:hint="eastAsia" w:ascii="仿宋" w:hAnsi="仿宋" w:eastAsia="仿宋" w:cs="仿宋"/>
          <w:b/>
          <w:bCs/>
          <w:color w:val="auto"/>
          <w:sz w:val="36"/>
          <w:szCs w:val="36"/>
          <w:highlight w:val="none"/>
          <w:lang w:val="en-US" w:eastAsia="zh-CN"/>
        </w:rPr>
        <w:t>章</w:t>
      </w:r>
      <w:r>
        <w:rPr>
          <w:rFonts w:hint="eastAsia" w:ascii="仿宋" w:hAnsi="仿宋" w:eastAsia="仿宋" w:cs="仿宋"/>
          <w:b/>
          <w:bCs/>
          <w:color w:val="auto"/>
          <w:sz w:val="36"/>
          <w:szCs w:val="36"/>
          <w:highlight w:val="none"/>
        </w:rPr>
        <w:t xml:space="preserve">  合同主要条款</w:t>
      </w:r>
    </w:p>
    <w:p w14:paraId="199C57B6">
      <w:pPr>
        <w:spacing w:line="640" w:lineRule="exact"/>
        <w:ind w:firstLine="551"/>
        <w:rPr>
          <w:rFonts w:hint="eastAsia" w:ascii="仿宋" w:hAnsi="仿宋" w:eastAsia="仿宋" w:cs="仿宋"/>
          <w:bCs/>
          <w:color w:val="auto"/>
          <w:sz w:val="24"/>
          <w:highlight w:val="none"/>
        </w:rPr>
      </w:pPr>
      <w:r>
        <w:rPr>
          <w:rFonts w:hint="eastAsia" w:ascii="仿宋" w:hAnsi="仿宋" w:eastAsia="仿宋" w:cs="仿宋"/>
          <w:bCs/>
          <w:color w:val="auto"/>
          <w:sz w:val="28"/>
          <w:szCs w:val="28"/>
          <w:highlight w:val="none"/>
        </w:rPr>
        <w:t>注:以下为采购人提出成交后签订本项目合同的主要条款，磋商供应商必须实质性响应，成交供应商不得提出实质性的修改，关于专用条款将由采购人与成交供应商结合本项目具体情况协商后签订。</w:t>
      </w:r>
    </w:p>
    <w:p w14:paraId="21BE5839">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一、合同主要条款</w:t>
      </w:r>
    </w:p>
    <w:p w14:paraId="78074DAD">
      <w:pPr>
        <w:widowControl/>
        <w:spacing w:line="360" w:lineRule="auto"/>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（一）服务时间:一年。</w:t>
      </w:r>
    </w:p>
    <w:p w14:paraId="60940219">
      <w:pPr>
        <w:widowControl/>
        <w:spacing w:line="360" w:lineRule="auto"/>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（二）付款方式：采购人按</w:t>
      </w:r>
      <w:r>
        <w:rPr>
          <w:rFonts w:hint="eastAsia" w:ascii="仿宋" w:hAnsi="仿宋" w:eastAsia="仿宋" w:cs="仿宋"/>
          <w:color w:val="auto"/>
          <w:sz w:val="28"/>
          <w:szCs w:val="28"/>
          <w:highlight w:val="none"/>
          <w:lang w:val="en-US" w:eastAsia="zh-CN"/>
        </w:rPr>
        <w:t>季度</w:t>
      </w:r>
      <w:r>
        <w:rPr>
          <w:rFonts w:hint="eastAsia" w:ascii="仿宋" w:hAnsi="仿宋" w:eastAsia="仿宋" w:cs="仿宋"/>
          <w:color w:val="auto"/>
          <w:sz w:val="28"/>
          <w:szCs w:val="28"/>
          <w:highlight w:val="none"/>
        </w:rPr>
        <w:t>支付费用，每</w:t>
      </w:r>
      <w:r>
        <w:rPr>
          <w:rFonts w:hint="eastAsia" w:ascii="仿宋" w:hAnsi="仿宋" w:eastAsia="仿宋" w:cs="仿宋"/>
          <w:color w:val="auto"/>
          <w:sz w:val="28"/>
          <w:szCs w:val="28"/>
          <w:highlight w:val="none"/>
          <w:lang w:val="en-US" w:eastAsia="zh-CN"/>
        </w:rPr>
        <w:t>季度</w:t>
      </w:r>
      <w:r>
        <w:rPr>
          <w:rFonts w:hint="eastAsia" w:ascii="仿宋" w:hAnsi="仿宋" w:eastAsia="仿宋" w:cs="仿宋"/>
          <w:color w:val="auto"/>
          <w:sz w:val="28"/>
          <w:szCs w:val="28"/>
          <w:highlight w:val="none"/>
        </w:rPr>
        <w:t>的费用结算金额以最终考核金额为准且在</w:t>
      </w:r>
      <w:r>
        <w:rPr>
          <w:rFonts w:hint="eastAsia" w:ascii="仿宋" w:hAnsi="仿宋" w:eastAsia="仿宋" w:cs="仿宋"/>
          <w:color w:val="auto"/>
          <w:sz w:val="28"/>
          <w:szCs w:val="28"/>
          <w:highlight w:val="none"/>
          <w:lang w:val="en-US" w:eastAsia="zh-CN"/>
        </w:rPr>
        <w:t>每季度</w:t>
      </w:r>
      <w:r>
        <w:rPr>
          <w:rFonts w:hint="eastAsia" w:ascii="仿宋" w:hAnsi="仿宋" w:eastAsia="仿宋" w:cs="仿宋"/>
          <w:color w:val="auto"/>
          <w:sz w:val="28"/>
          <w:szCs w:val="28"/>
          <w:highlight w:val="none"/>
        </w:rPr>
        <w:t>25日前通过银行转账方式支付上一个</w:t>
      </w:r>
      <w:r>
        <w:rPr>
          <w:rFonts w:hint="eastAsia" w:ascii="仿宋" w:hAnsi="仿宋" w:eastAsia="仿宋" w:cs="仿宋"/>
          <w:color w:val="auto"/>
          <w:sz w:val="28"/>
          <w:szCs w:val="28"/>
          <w:highlight w:val="none"/>
          <w:lang w:val="en-US" w:eastAsia="zh-CN"/>
        </w:rPr>
        <w:t>季度</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lang w:val="en-US" w:eastAsia="zh-CN"/>
        </w:rPr>
        <w:t>服务</w:t>
      </w:r>
      <w:r>
        <w:rPr>
          <w:rFonts w:hint="eastAsia" w:ascii="仿宋" w:hAnsi="仿宋" w:eastAsia="仿宋" w:cs="仿宋"/>
          <w:color w:val="auto"/>
          <w:sz w:val="28"/>
          <w:szCs w:val="28"/>
          <w:highlight w:val="none"/>
        </w:rPr>
        <w:t>费用（不计利息）。</w:t>
      </w:r>
    </w:p>
    <w:p w14:paraId="45FAD61F">
      <w:pPr>
        <w:spacing w:line="640" w:lineRule="exact"/>
        <w:ind w:left="-359" w:firstLine="638"/>
        <w:jc w:val="lef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注：付款时</w:t>
      </w:r>
      <w:r>
        <w:rPr>
          <w:rFonts w:hint="eastAsia" w:ascii="仿宋" w:hAnsi="仿宋" w:eastAsia="仿宋" w:cs="仿宋"/>
          <w:b/>
          <w:bCs/>
          <w:color w:val="auto"/>
          <w:sz w:val="28"/>
          <w:szCs w:val="28"/>
          <w:highlight w:val="none"/>
          <w:lang w:eastAsia="zh-CN"/>
        </w:rPr>
        <w:t>成交供应商</w:t>
      </w:r>
      <w:r>
        <w:rPr>
          <w:rFonts w:hint="eastAsia" w:ascii="仿宋" w:hAnsi="仿宋" w:eastAsia="仿宋" w:cs="仿宋"/>
          <w:b/>
          <w:bCs/>
          <w:color w:val="auto"/>
          <w:sz w:val="28"/>
          <w:szCs w:val="28"/>
          <w:highlight w:val="none"/>
        </w:rPr>
        <w:t>须提供正规发票（因发票问题而导致无法正常付款的，责任由</w:t>
      </w:r>
      <w:r>
        <w:rPr>
          <w:rFonts w:hint="eastAsia" w:ascii="仿宋" w:hAnsi="仿宋" w:eastAsia="仿宋" w:cs="仿宋"/>
          <w:b/>
          <w:bCs/>
          <w:color w:val="auto"/>
          <w:sz w:val="28"/>
          <w:szCs w:val="28"/>
          <w:highlight w:val="none"/>
          <w:lang w:eastAsia="zh-CN"/>
        </w:rPr>
        <w:t>供应商</w:t>
      </w:r>
      <w:r>
        <w:rPr>
          <w:rFonts w:hint="eastAsia" w:ascii="仿宋" w:hAnsi="仿宋" w:eastAsia="仿宋" w:cs="仿宋"/>
          <w:b/>
          <w:bCs/>
          <w:color w:val="auto"/>
          <w:sz w:val="28"/>
          <w:szCs w:val="28"/>
          <w:highlight w:val="none"/>
        </w:rPr>
        <w:t>自己承担）。</w:t>
      </w:r>
    </w:p>
    <w:p w14:paraId="3E5A9DCF">
      <w:pP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36"/>
          <w:szCs w:val="36"/>
          <w:highlight w:val="none"/>
        </w:rPr>
        <w:t xml:space="preserve">                  </w:t>
      </w:r>
      <w:r>
        <w:rPr>
          <w:rFonts w:hint="eastAsia" w:ascii="仿宋" w:hAnsi="仿宋" w:eastAsia="仿宋" w:cs="仿宋"/>
          <w:b/>
          <w:color w:val="auto"/>
          <w:sz w:val="36"/>
          <w:szCs w:val="36"/>
          <w:highlight w:val="none"/>
          <w:lang w:val="en-US" w:eastAsia="zh-CN"/>
        </w:rPr>
        <w:t xml:space="preserve">    </w:t>
      </w:r>
      <w:r>
        <w:rPr>
          <w:rFonts w:hint="eastAsia" w:ascii="仿宋" w:hAnsi="仿宋" w:eastAsia="仿宋" w:cs="仿宋"/>
          <w:b/>
          <w:color w:val="auto"/>
          <w:sz w:val="36"/>
          <w:szCs w:val="36"/>
          <w:highlight w:val="none"/>
        </w:rPr>
        <w:t>合同格式</w:t>
      </w:r>
    </w:p>
    <w:p w14:paraId="10018F81">
      <w:pPr>
        <w:tabs>
          <w:tab w:val="left" w:pos="180"/>
        </w:tabs>
        <w:spacing w:line="520" w:lineRule="exact"/>
        <w:ind w:firstLine="560"/>
        <w:rPr>
          <w:rFonts w:hint="eastAsia" w:ascii="仿宋" w:hAnsi="仿宋" w:eastAsia="仿宋"/>
          <w:color w:val="auto"/>
          <w:sz w:val="32"/>
          <w:highlight w:val="none"/>
        </w:rPr>
      </w:pPr>
      <w:r>
        <w:rPr>
          <w:rFonts w:hint="eastAsia" w:ascii="仿宋" w:hAnsi="仿宋" w:eastAsia="仿宋"/>
          <w:bCs/>
          <w:color w:val="auto"/>
          <w:sz w:val="28"/>
          <w:szCs w:val="28"/>
          <w:highlight w:val="none"/>
        </w:rPr>
        <w:t>注:以下为采购人提出中标后签订本项目合同的条款，</w:t>
      </w:r>
      <w:r>
        <w:rPr>
          <w:rFonts w:hint="eastAsia" w:ascii="仿宋" w:hAnsi="仿宋" w:eastAsia="仿宋"/>
          <w:bCs/>
          <w:color w:val="auto"/>
          <w:sz w:val="28"/>
          <w:szCs w:val="28"/>
          <w:highlight w:val="none"/>
          <w:lang w:eastAsia="zh-CN"/>
        </w:rPr>
        <w:t>供应商</w:t>
      </w:r>
      <w:r>
        <w:rPr>
          <w:rFonts w:hint="eastAsia" w:ascii="仿宋" w:hAnsi="仿宋" w:eastAsia="仿宋"/>
          <w:bCs/>
          <w:color w:val="auto"/>
          <w:sz w:val="28"/>
          <w:szCs w:val="28"/>
          <w:highlight w:val="none"/>
        </w:rPr>
        <w:t>必须实质性响应，</w:t>
      </w:r>
      <w:r>
        <w:rPr>
          <w:rFonts w:hint="eastAsia" w:ascii="仿宋" w:hAnsi="仿宋" w:eastAsia="仿宋"/>
          <w:bCs/>
          <w:color w:val="auto"/>
          <w:sz w:val="28"/>
          <w:szCs w:val="28"/>
          <w:highlight w:val="none"/>
          <w:lang w:val="en-US" w:eastAsia="zh-CN"/>
        </w:rPr>
        <w:t>成交</w:t>
      </w:r>
      <w:r>
        <w:rPr>
          <w:rFonts w:hint="eastAsia" w:ascii="仿宋" w:hAnsi="仿宋" w:eastAsia="仿宋"/>
          <w:bCs/>
          <w:color w:val="auto"/>
          <w:sz w:val="28"/>
          <w:szCs w:val="28"/>
          <w:highlight w:val="none"/>
          <w:lang w:eastAsia="zh-CN"/>
        </w:rPr>
        <w:t>供应商</w:t>
      </w:r>
      <w:r>
        <w:rPr>
          <w:rFonts w:hint="eastAsia" w:ascii="仿宋" w:hAnsi="仿宋" w:eastAsia="仿宋"/>
          <w:bCs/>
          <w:color w:val="auto"/>
          <w:sz w:val="28"/>
          <w:szCs w:val="28"/>
          <w:highlight w:val="none"/>
        </w:rPr>
        <w:t>不得提出实质性的修改，关于专用条款将由采购人与中标</w:t>
      </w:r>
      <w:r>
        <w:rPr>
          <w:rFonts w:hint="eastAsia" w:ascii="仿宋" w:hAnsi="仿宋" w:eastAsia="仿宋"/>
          <w:bCs/>
          <w:color w:val="auto"/>
          <w:sz w:val="28"/>
          <w:szCs w:val="28"/>
          <w:highlight w:val="none"/>
          <w:lang w:eastAsia="zh-CN"/>
        </w:rPr>
        <w:t>供应商</w:t>
      </w:r>
      <w:r>
        <w:rPr>
          <w:rFonts w:hint="eastAsia" w:ascii="仿宋" w:hAnsi="仿宋" w:eastAsia="仿宋"/>
          <w:bCs/>
          <w:color w:val="auto"/>
          <w:sz w:val="28"/>
          <w:szCs w:val="28"/>
          <w:highlight w:val="none"/>
        </w:rPr>
        <w:t>结合本项目具体情况协商后签订。</w:t>
      </w:r>
    </w:p>
    <w:p w14:paraId="1BC33159">
      <w:pPr>
        <w:pStyle w:val="18"/>
        <w:spacing w:line="520" w:lineRule="exact"/>
        <w:ind w:firstLine="3066"/>
        <w:rPr>
          <w:rFonts w:hint="eastAsia" w:ascii="仿宋" w:hAnsi="仿宋" w:eastAsia="仿宋"/>
          <w:color w:val="auto"/>
          <w:sz w:val="28"/>
          <w:szCs w:val="28"/>
          <w:highlight w:val="none"/>
        </w:rPr>
      </w:pPr>
    </w:p>
    <w:p w14:paraId="4C35EE82">
      <w:pPr>
        <w:pStyle w:val="18"/>
        <w:spacing w:line="520" w:lineRule="exact"/>
        <w:ind w:firstLine="3066"/>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一、合同格式</w:t>
      </w:r>
    </w:p>
    <w:p w14:paraId="1778B29E">
      <w:pPr>
        <w:spacing w:line="520" w:lineRule="exact"/>
        <w:jc w:val="left"/>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甲方</w:t>
      </w:r>
      <w:r>
        <w:rPr>
          <w:rFonts w:ascii="仿宋" w:hAnsi="仿宋" w:eastAsia="仿宋" w:cs="Arial Unicode MS"/>
          <w:color w:val="auto"/>
          <w:sz w:val="28"/>
          <w:szCs w:val="28"/>
          <w:highlight w:val="none"/>
        </w:rPr>
        <w:t xml:space="preserve">: </w:t>
      </w:r>
    </w:p>
    <w:p w14:paraId="126F5375">
      <w:pPr>
        <w:pStyle w:val="18"/>
        <w:spacing w:line="520" w:lineRule="exact"/>
        <w:rPr>
          <w:rFonts w:hint="eastAsia" w:ascii="仿宋" w:hAnsi="仿宋" w:eastAsia="仿宋"/>
          <w:color w:val="auto"/>
          <w:sz w:val="28"/>
          <w:szCs w:val="28"/>
          <w:highlight w:val="none"/>
        </w:rPr>
      </w:pPr>
      <w:r>
        <w:rPr>
          <w:rFonts w:hint="eastAsia" w:ascii="仿宋" w:hAnsi="仿宋" w:eastAsia="仿宋" w:cs="Arial Unicode MS"/>
          <w:color w:val="auto"/>
          <w:sz w:val="28"/>
          <w:szCs w:val="28"/>
          <w:highlight w:val="none"/>
        </w:rPr>
        <w:t>乙方</w:t>
      </w:r>
      <w:r>
        <w:rPr>
          <w:rFonts w:ascii="仿宋" w:hAnsi="仿宋" w:eastAsia="仿宋" w:cs="Arial Unicode MS"/>
          <w:color w:val="auto"/>
          <w:sz w:val="28"/>
          <w:szCs w:val="28"/>
          <w:highlight w:val="none"/>
        </w:rPr>
        <w:t>:</w:t>
      </w:r>
    </w:p>
    <w:p w14:paraId="7F4CC0C0">
      <w:pPr>
        <w:pStyle w:val="18"/>
        <w:numPr>
          <w:ilvl w:val="0"/>
          <w:numId w:val="4"/>
        </w:numPr>
        <w:spacing w:line="520" w:lineRule="exact"/>
        <w:ind w:firstLine="635"/>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乙双方根据项目编号</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 xml:space="preserve"> JSZC-320812-TDGW-C2026-0033</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u w:val="single"/>
        </w:rPr>
        <w:t xml:space="preserve"> 淮安市清江浦区人民法院司法辅助综合事务性工作采购项目</w:t>
      </w:r>
      <w:r>
        <w:rPr>
          <w:rFonts w:hint="eastAsia" w:ascii="仿宋" w:hAnsi="仿宋" w:eastAsia="仿宋" w:cs="仿宋"/>
          <w:color w:val="auto"/>
          <w:sz w:val="28"/>
          <w:szCs w:val="28"/>
          <w:highlight w:val="none"/>
        </w:rPr>
        <w:t>采购结果及磋商文件的要求,经协商一致,达成如下采购合同</w:t>
      </w:r>
      <w:r>
        <w:rPr>
          <w:rFonts w:ascii="仿宋" w:hAnsi="仿宋" w:eastAsia="仿宋"/>
          <w:color w:val="auto"/>
          <w:sz w:val="28"/>
          <w:szCs w:val="28"/>
          <w:highlight w:val="none"/>
        </w:rPr>
        <w:t>:</w:t>
      </w:r>
    </w:p>
    <w:p w14:paraId="41E734E9">
      <w:pPr>
        <w:pStyle w:val="18"/>
        <w:spacing w:line="520" w:lineRule="exact"/>
        <w:ind w:left="-359" w:firstLine="963"/>
        <w:rPr>
          <w:rFonts w:hint="eastAsia" w:ascii="仿宋" w:hAnsi="仿宋" w:eastAsia="仿宋"/>
          <w:color w:val="auto"/>
          <w:sz w:val="28"/>
          <w:highlight w:val="none"/>
        </w:rPr>
      </w:pPr>
      <w:r>
        <w:rPr>
          <w:rFonts w:hint="eastAsia" w:ascii="仿宋" w:hAnsi="仿宋" w:eastAsia="仿宋"/>
          <w:color w:val="auto"/>
          <w:sz w:val="28"/>
          <w:szCs w:val="28"/>
          <w:highlight w:val="none"/>
        </w:rPr>
        <w:t>一</w:t>
      </w:r>
      <w:r>
        <w:rPr>
          <w:rFonts w:hint="eastAsia" w:ascii="仿宋" w:hAnsi="仿宋" w:eastAsia="仿宋"/>
          <w:color w:val="auto"/>
          <w:sz w:val="28"/>
          <w:highlight w:val="none"/>
        </w:rPr>
        <w:t>、</w:t>
      </w:r>
      <w:r>
        <w:rPr>
          <w:rFonts w:hint="eastAsia" w:ascii="仿宋" w:hAnsi="仿宋" w:eastAsia="仿宋"/>
          <w:color w:val="auto"/>
          <w:sz w:val="28"/>
          <w:highlight w:val="none"/>
          <w:lang w:val="en-US" w:eastAsia="zh-CN"/>
        </w:rPr>
        <w:t>服务</w:t>
      </w:r>
      <w:r>
        <w:rPr>
          <w:rFonts w:hint="eastAsia" w:ascii="仿宋" w:hAnsi="仿宋" w:eastAsia="仿宋"/>
          <w:color w:val="auto"/>
          <w:sz w:val="28"/>
          <w:highlight w:val="none"/>
        </w:rPr>
        <w:t>及数量</w:t>
      </w:r>
    </w:p>
    <w:p w14:paraId="0A24CE38">
      <w:pPr>
        <w:pStyle w:val="18"/>
        <w:spacing w:line="520" w:lineRule="exact"/>
        <w:ind w:firstLine="560"/>
        <w:rPr>
          <w:rFonts w:hint="eastAsia" w:ascii="仿宋" w:hAnsi="仿宋" w:eastAsia="仿宋"/>
          <w:color w:val="auto"/>
          <w:sz w:val="28"/>
          <w:szCs w:val="24"/>
          <w:highlight w:val="none"/>
        </w:rPr>
      </w:pPr>
      <w:r>
        <w:rPr>
          <w:rFonts w:hint="eastAsia" w:ascii="仿宋" w:hAnsi="仿宋" w:eastAsia="仿宋"/>
          <w:color w:val="auto"/>
          <w:sz w:val="28"/>
          <w:szCs w:val="24"/>
          <w:highlight w:val="none"/>
        </w:rPr>
        <w:t>本合同所提供的</w:t>
      </w:r>
      <w:r>
        <w:rPr>
          <w:rFonts w:hint="eastAsia" w:ascii="仿宋" w:hAnsi="仿宋" w:eastAsia="仿宋"/>
          <w:color w:val="auto"/>
          <w:sz w:val="28"/>
          <w:highlight w:val="none"/>
          <w:lang w:val="en-US" w:eastAsia="zh-CN"/>
        </w:rPr>
        <w:t>服务</w:t>
      </w:r>
      <w:r>
        <w:rPr>
          <w:rFonts w:hint="eastAsia" w:ascii="仿宋" w:hAnsi="仿宋" w:eastAsia="仿宋"/>
          <w:color w:val="auto"/>
          <w:sz w:val="28"/>
          <w:szCs w:val="24"/>
          <w:highlight w:val="none"/>
        </w:rPr>
        <w:t>及数量详见“项目</w:t>
      </w:r>
      <w:r>
        <w:rPr>
          <w:rFonts w:hint="eastAsia" w:ascii="仿宋" w:hAnsi="仿宋" w:eastAsia="仿宋"/>
          <w:color w:val="auto"/>
          <w:sz w:val="28"/>
          <w:highlight w:val="none"/>
        </w:rPr>
        <w:t>采购需求</w:t>
      </w:r>
      <w:r>
        <w:rPr>
          <w:rFonts w:hint="eastAsia" w:ascii="仿宋" w:hAnsi="仿宋" w:eastAsia="仿宋"/>
          <w:color w:val="auto"/>
          <w:sz w:val="28"/>
          <w:szCs w:val="24"/>
          <w:highlight w:val="none"/>
        </w:rPr>
        <w:t>”。</w:t>
      </w:r>
    </w:p>
    <w:p w14:paraId="62700183">
      <w:pPr>
        <w:pStyle w:val="18"/>
        <w:spacing w:line="520" w:lineRule="exact"/>
        <w:ind w:left="-359" w:firstLine="963"/>
        <w:rPr>
          <w:rFonts w:hint="eastAsia" w:ascii="仿宋" w:hAnsi="仿宋" w:eastAsia="仿宋"/>
          <w:color w:val="auto"/>
          <w:sz w:val="28"/>
          <w:highlight w:val="none"/>
        </w:rPr>
      </w:pPr>
      <w:r>
        <w:rPr>
          <w:rFonts w:hint="eastAsia" w:ascii="仿宋" w:hAnsi="仿宋" w:eastAsia="仿宋"/>
          <w:color w:val="auto"/>
          <w:sz w:val="28"/>
          <w:highlight w:val="none"/>
        </w:rPr>
        <w:t>二、合同金额</w:t>
      </w:r>
    </w:p>
    <w:p w14:paraId="7E317341">
      <w:pPr>
        <w:pStyle w:val="18"/>
        <w:spacing w:line="520" w:lineRule="exact"/>
        <w:ind w:firstLine="495"/>
        <w:rPr>
          <w:rFonts w:hint="eastAsia" w:ascii="仿宋" w:hAnsi="仿宋" w:eastAsia="仿宋"/>
          <w:color w:val="auto"/>
          <w:sz w:val="28"/>
          <w:szCs w:val="24"/>
          <w:highlight w:val="none"/>
        </w:rPr>
      </w:pPr>
      <w:r>
        <w:rPr>
          <w:rFonts w:hint="eastAsia" w:ascii="仿宋" w:hAnsi="仿宋" w:eastAsia="仿宋"/>
          <w:color w:val="auto"/>
          <w:sz w:val="28"/>
          <w:szCs w:val="24"/>
          <w:highlight w:val="none"/>
        </w:rPr>
        <w:t>本合同的总金额(大写)为___________元人民币，分项价格详见乙方提交的</w:t>
      </w:r>
      <w:r>
        <w:rPr>
          <w:rFonts w:hint="eastAsia" w:ascii="仿宋" w:hAnsi="仿宋" w:eastAsia="仿宋" w:cs="仿宋"/>
          <w:color w:val="auto"/>
          <w:sz w:val="28"/>
          <w:szCs w:val="24"/>
          <w:highlight w:val="none"/>
        </w:rPr>
        <w:t>磋商报价表</w:t>
      </w:r>
      <w:r>
        <w:rPr>
          <w:rFonts w:hint="eastAsia" w:ascii="仿宋" w:hAnsi="仿宋" w:eastAsia="仿宋"/>
          <w:color w:val="auto"/>
          <w:sz w:val="28"/>
          <w:szCs w:val="24"/>
          <w:highlight w:val="none"/>
        </w:rPr>
        <w:t>。</w:t>
      </w:r>
    </w:p>
    <w:p w14:paraId="48A6C16D">
      <w:pPr>
        <w:pStyle w:val="18"/>
        <w:spacing w:line="520" w:lineRule="exact"/>
        <w:ind w:left="-359" w:firstLine="963"/>
        <w:rPr>
          <w:rFonts w:hint="eastAsia" w:ascii="仿宋" w:hAnsi="仿宋" w:eastAsia="仿宋"/>
          <w:bCs/>
          <w:color w:val="auto"/>
          <w:sz w:val="28"/>
          <w:szCs w:val="32"/>
          <w:highlight w:val="none"/>
        </w:rPr>
      </w:pPr>
      <w:r>
        <w:rPr>
          <w:rFonts w:hint="eastAsia" w:ascii="仿宋" w:hAnsi="仿宋" w:eastAsia="仿宋"/>
          <w:bCs/>
          <w:color w:val="auto"/>
          <w:sz w:val="28"/>
          <w:szCs w:val="32"/>
          <w:highlight w:val="none"/>
        </w:rPr>
        <w:t>三、</w:t>
      </w:r>
      <w:r>
        <w:rPr>
          <w:rFonts w:hint="eastAsia" w:ascii="仿宋" w:hAnsi="仿宋" w:eastAsia="仿宋"/>
          <w:color w:val="auto"/>
          <w:sz w:val="28"/>
          <w:highlight w:val="none"/>
          <w:lang w:val="en-US" w:eastAsia="zh-CN"/>
        </w:rPr>
        <w:t>服务</w:t>
      </w:r>
      <w:r>
        <w:rPr>
          <w:rFonts w:hint="eastAsia" w:ascii="仿宋" w:hAnsi="仿宋" w:eastAsia="仿宋"/>
          <w:color w:val="auto"/>
          <w:sz w:val="28"/>
          <w:highlight w:val="none"/>
        </w:rPr>
        <w:t>时间和地点</w:t>
      </w:r>
    </w:p>
    <w:p w14:paraId="3C5DECAA">
      <w:pPr>
        <w:pStyle w:val="18"/>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本合同</w:t>
      </w:r>
      <w:r>
        <w:rPr>
          <w:rFonts w:hint="eastAsia" w:ascii="仿宋" w:hAnsi="仿宋" w:eastAsia="仿宋"/>
          <w:color w:val="auto"/>
          <w:sz w:val="28"/>
          <w:highlight w:val="none"/>
          <w:lang w:val="en-US" w:eastAsia="zh-CN"/>
        </w:rPr>
        <w:t>服务</w:t>
      </w:r>
      <w:r>
        <w:rPr>
          <w:rFonts w:hint="eastAsia" w:ascii="仿宋" w:hAnsi="仿宋" w:eastAsia="仿宋"/>
          <w:color w:val="auto"/>
          <w:sz w:val="28"/>
          <w:szCs w:val="28"/>
          <w:highlight w:val="none"/>
        </w:rPr>
        <w:t>时间和地点在</w:t>
      </w:r>
      <w:r>
        <w:rPr>
          <w:rFonts w:hint="eastAsia" w:ascii="仿宋" w:hAnsi="仿宋" w:eastAsia="仿宋"/>
          <w:color w:val="auto"/>
          <w:sz w:val="28"/>
          <w:szCs w:val="28"/>
          <w:highlight w:val="none"/>
          <w:lang w:val="en-US" w:eastAsia="zh-CN"/>
        </w:rPr>
        <w:t>磋商</w:t>
      </w:r>
      <w:r>
        <w:rPr>
          <w:rFonts w:hint="eastAsia" w:ascii="仿宋" w:hAnsi="仿宋" w:eastAsia="仿宋"/>
          <w:color w:val="auto"/>
          <w:sz w:val="28"/>
          <w:szCs w:val="28"/>
          <w:highlight w:val="none"/>
        </w:rPr>
        <w:t>文件中有明确规定。</w:t>
      </w:r>
    </w:p>
    <w:p w14:paraId="2EDCF8CE">
      <w:pPr>
        <w:pStyle w:val="18"/>
        <w:spacing w:line="520" w:lineRule="exact"/>
        <w:ind w:left="-357" w:firstLine="963"/>
        <w:rPr>
          <w:rFonts w:hint="eastAsia" w:ascii="仿宋" w:hAnsi="仿宋" w:eastAsia="仿宋"/>
          <w:color w:val="auto"/>
          <w:sz w:val="28"/>
          <w:highlight w:val="none"/>
        </w:rPr>
      </w:pPr>
      <w:r>
        <w:rPr>
          <w:rFonts w:hint="eastAsia" w:ascii="仿宋" w:hAnsi="仿宋" w:eastAsia="仿宋"/>
          <w:color w:val="auto"/>
          <w:sz w:val="28"/>
          <w:highlight w:val="none"/>
        </w:rPr>
        <w:t>四、付款</w:t>
      </w:r>
    </w:p>
    <w:p w14:paraId="54DC3B56">
      <w:pPr>
        <w:pStyle w:val="18"/>
        <w:spacing w:line="520" w:lineRule="exact"/>
        <w:ind w:firstLine="560"/>
        <w:rPr>
          <w:rFonts w:hint="eastAsia" w:ascii="仿宋" w:hAnsi="仿宋" w:eastAsia="仿宋"/>
          <w:color w:val="auto"/>
          <w:sz w:val="28"/>
          <w:szCs w:val="24"/>
          <w:highlight w:val="none"/>
        </w:rPr>
      </w:pPr>
      <w:r>
        <w:rPr>
          <w:rFonts w:hint="eastAsia" w:ascii="仿宋" w:hAnsi="仿宋" w:eastAsia="仿宋"/>
          <w:color w:val="auto"/>
          <w:sz w:val="28"/>
          <w:szCs w:val="24"/>
          <w:highlight w:val="none"/>
        </w:rPr>
        <w:t>本合同的付款条件在</w:t>
      </w:r>
      <w:r>
        <w:rPr>
          <w:rFonts w:hint="eastAsia" w:ascii="仿宋" w:hAnsi="仿宋" w:eastAsia="仿宋"/>
          <w:color w:val="auto"/>
          <w:sz w:val="28"/>
          <w:szCs w:val="28"/>
          <w:highlight w:val="none"/>
          <w:lang w:val="en-US" w:eastAsia="zh-CN"/>
        </w:rPr>
        <w:t>磋商</w:t>
      </w:r>
      <w:r>
        <w:rPr>
          <w:rFonts w:hint="eastAsia" w:ascii="仿宋" w:hAnsi="仿宋" w:eastAsia="仿宋"/>
          <w:color w:val="auto"/>
          <w:sz w:val="28"/>
          <w:szCs w:val="28"/>
          <w:highlight w:val="none"/>
        </w:rPr>
        <w:t>文件</w:t>
      </w:r>
      <w:r>
        <w:rPr>
          <w:rFonts w:hint="eastAsia" w:ascii="仿宋" w:hAnsi="仿宋" w:eastAsia="仿宋"/>
          <w:color w:val="auto"/>
          <w:sz w:val="28"/>
          <w:szCs w:val="24"/>
          <w:highlight w:val="none"/>
        </w:rPr>
        <w:t>中有明确规定。</w:t>
      </w:r>
    </w:p>
    <w:p w14:paraId="1A00E252">
      <w:pPr>
        <w:pStyle w:val="316"/>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五、验收</w:t>
      </w:r>
    </w:p>
    <w:p w14:paraId="60DB6A03">
      <w:pPr>
        <w:spacing w:line="520" w:lineRule="exact"/>
        <w:ind w:firstLine="56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甲方按</w:t>
      </w:r>
      <w:r>
        <w:rPr>
          <w:rFonts w:hint="eastAsia" w:ascii="仿宋" w:hAnsi="仿宋" w:eastAsia="仿宋"/>
          <w:color w:val="auto"/>
          <w:sz w:val="28"/>
          <w:szCs w:val="28"/>
          <w:highlight w:val="none"/>
          <w:lang w:val="en-US" w:eastAsia="zh-CN"/>
        </w:rPr>
        <w:t>磋商</w:t>
      </w:r>
      <w:r>
        <w:rPr>
          <w:rFonts w:hint="eastAsia" w:ascii="仿宋" w:hAnsi="仿宋" w:eastAsia="仿宋"/>
          <w:color w:val="auto"/>
          <w:sz w:val="28"/>
          <w:szCs w:val="28"/>
          <w:highlight w:val="none"/>
        </w:rPr>
        <w:t>文件相关要求进行。如需委托第三方验收，第三方是指:</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，验收费用由</w:t>
      </w:r>
      <w:r>
        <w:rPr>
          <w:rFonts w:hint="eastAsia" w:ascii="仿宋" w:hAnsi="仿宋" w:eastAsia="仿宋"/>
          <w:color w:val="auto"/>
          <w:sz w:val="28"/>
          <w:szCs w:val="28"/>
          <w:highlight w:val="none"/>
          <w:lang w:val="en-US" w:eastAsia="zh-CN"/>
        </w:rPr>
        <w:t>乙</w:t>
      </w:r>
      <w:r>
        <w:rPr>
          <w:rFonts w:hint="eastAsia" w:ascii="仿宋" w:hAnsi="仿宋" w:eastAsia="仿宋"/>
          <w:color w:val="auto"/>
          <w:sz w:val="28"/>
          <w:szCs w:val="28"/>
          <w:highlight w:val="none"/>
        </w:rPr>
        <w:t>方承担。因乙方交付的</w:t>
      </w:r>
      <w:r>
        <w:rPr>
          <w:rFonts w:hint="eastAsia" w:ascii="仿宋" w:hAnsi="仿宋" w:eastAsia="仿宋"/>
          <w:color w:val="auto"/>
          <w:sz w:val="28"/>
          <w:szCs w:val="28"/>
          <w:highlight w:val="none"/>
          <w:lang w:val="en-US" w:eastAsia="zh-CN"/>
        </w:rPr>
        <w:t>服务</w:t>
      </w:r>
      <w:r>
        <w:rPr>
          <w:rFonts w:hint="eastAsia" w:ascii="仿宋" w:hAnsi="仿宋" w:eastAsia="仿宋"/>
          <w:color w:val="auto"/>
          <w:sz w:val="28"/>
          <w:szCs w:val="28"/>
          <w:highlight w:val="none"/>
        </w:rPr>
        <w:t>不符合标准导致甲方重复支出的验收费用，由乙方承担</w:t>
      </w:r>
      <w:r>
        <w:rPr>
          <w:rFonts w:hint="eastAsia" w:ascii="仿宋" w:hAnsi="仿宋" w:eastAsia="仿宋"/>
          <w:color w:val="auto"/>
          <w:sz w:val="28"/>
          <w:szCs w:val="28"/>
          <w:highlight w:val="none"/>
          <w:lang w:eastAsia="zh-CN"/>
        </w:rPr>
        <w:t>。</w:t>
      </w:r>
    </w:p>
    <w:p w14:paraId="18B058D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lang w:val="en-US" w:eastAsia="zh-CN"/>
        </w:rPr>
        <w:t>六、</w:t>
      </w:r>
      <w:r>
        <w:rPr>
          <w:rFonts w:hint="eastAsia" w:ascii="仿宋" w:hAnsi="仿宋" w:eastAsia="仿宋" w:cs="仿宋"/>
          <w:color w:val="auto"/>
          <w:sz w:val="28"/>
          <w:szCs w:val="28"/>
          <w:highlight w:val="none"/>
        </w:rPr>
        <w:t>履约保证金（本项目无须缴纳履约保证金）</w:t>
      </w:r>
    </w:p>
    <w:p w14:paraId="57C6C1E2">
      <w:pPr>
        <w:spacing w:line="52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1、乙方应在成交通知书发出之后与采购人签订合同之前，无须向采购人提供履约保证金。</w:t>
      </w:r>
    </w:p>
    <w:p w14:paraId="5A23EBD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七</w:t>
      </w:r>
      <w:r>
        <w:rPr>
          <w:rFonts w:hint="eastAsia" w:ascii="仿宋" w:hAnsi="仿宋" w:eastAsia="仿宋"/>
          <w:color w:val="auto"/>
          <w:sz w:val="28"/>
          <w:szCs w:val="28"/>
          <w:highlight w:val="none"/>
        </w:rPr>
        <w:t>、合同纠纷处理</w:t>
      </w:r>
    </w:p>
    <w:p w14:paraId="4E09193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本合同执行过程中发生纠纷，由甲乙双方协商解决，若协商不成，作如下</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2</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处理:</w:t>
      </w:r>
      <w:r>
        <w:rPr>
          <w:rFonts w:ascii="仿宋" w:hAnsi="仿宋" w:eastAsia="仿宋"/>
          <w:color w:val="auto"/>
          <w:sz w:val="28"/>
          <w:szCs w:val="28"/>
          <w:highlight w:val="none"/>
        </w:rPr>
        <w:t xml:space="preserve"> </w:t>
      </w:r>
    </w:p>
    <w:p w14:paraId="0C653E89">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、申请仲裁。选定仲裁机构为淮安市仲裁委员会。</w:t>
      </w:r>
      <w:r>
        <w:rPr>
          <w:rFonts w:ascii="仿宋" w:hAnsi="仿宋" w:eastAsia="仿宋"/>
          <w:color w:val="auto"/>
          <w:sz w:val="28"/>
          <w:szCs w:val="28"/>
          <w:highlight w:val="none"/>
        </w:rPr>
        <w:t xml:space="preserve"> </w:t>
      </w:r>
    </w:p>
    <w:p w14:paraId="7229BDEA">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、提起诉讼。约定由采购人所在地法院管辖。</w:t>
      </w:r>
      <w:r>
        <w:rPr>
          <w:rFonts w:ascii="仿宋" w:hAnsi="仿宋" w:eastAsia="仿宋"/>
          <w:color w:val="auto"/>
          <w:sz w:val="28"/>
          <w:szCs w:val="28"/>
          <w:highlight w:val="none"/>
        </w:rPr>
        <w:t xml:space="preserve"> </w:t>
      </w:r>
    </w:p>
    <w:p w14:paraId="63CF8552">
      <w:pPr>
        <w:spacing w:line="520" w:lineRule="exact"/>
        <w:ind w:firstLine="548"/>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八</w:t>
      </w:r>
      <w:r>
        <w:rPr>
          <w:rFonts w:hint="eastAsia" w:ascii="仿宋" w:hAnsi="仿宋" w:eastAsia="仿宋"/>
          <w:color w:val="auto"/>
          <w:sz w:val="28"/>
          <w:szCs w:val="28"/>
          <w:highlight w:val="none"/>
        </w:rPr>
        <w:t>、合同生效及其它</w:t>
      </w:r>
    </w:p>
    <w:p w14:paraId="096B085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本合同经甲、乙双方加盖电子签章后生效。如有变动，必须经甲方、乙方协商一致后，方可更改。</w:t>
      </w:r>
    </w:p>
    <w:p w14:paraId="1283E3C3">
      <w:pPr>
        <w:spacing w:line="520" w:lineRule="exact"/>
        <w:ind w:firstLine="548"/>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九</w:t>
      </w:r>
      <w:r>
        <w:rPr>
          <w:rFonts w:hint="eastAsia" w:ascii="仿宋" w:hAnsi="仿宋" w:eastAsia="仿宋"/>
          <w:color w:val="auto"/>
          <w:sz w:val="28"/>
          <w:szCs w:val="28"/>
          <w:highlight w:val="none"/>
        </w:rPr>
        <w:t>、组成本合同的文件包括</w:t>
      </w:r>
    </w:p>
    <w:p w14:paraId="37435A76">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1、合同格式及条款；</w:t>
      </w:r>
    </w:p>
    <w:p w14:paraId="2E5AE6D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磋商</w:t>
      </w:r>
      <w:r>
        <w:rPr>
          <w:rFonts w:hint="eastAsia" w:ascii="仿宋" w:hAnsi="仿宋" w:eastAsia="仿宋"/>
          <w:color w:val="auto"/>
          <w:sz w:val="28"/>
          <w:szCs w:val="28"/>
          <w:highlight w:val="none"/>
        </w:rPr>
        <w:t>文件和乙方的</w:t>
      </w:r>
      <w:r>
        <w:rPr>
          <w:rFonts w:hint="eastAsia" w:ascii="仿宋" w:hAnsi="仿宋" w:eastAsia="仿宋"/>
          <w:color w:val="auto"/>
          <w:sz w:val="28"/>
          <w:szCs w:val="28"/>
          <w:highlight w:val="none"/>
          <w:lang w:val="en-US" w:eastAsia="zh-CN"/>
        </w:rPr>
        <w:t>响应</w:t>
      </w:r>
      <w:r>
        <w:rPr>
          <w:rFonts w:hint="eastAsia" w:ascii="仿宋" w:hAnsi="仿宋" w:eastAsia="仿宋"/>
          <w:color w:val="auto"/>
          <w:sz w:val="28"/>
          <w:szCs w:val="28"/>
          <w:highlight w:val="none"/>
        </w:rPr>
        <w:t>文件；</w:t>
      </w:r>
      <w:r>
        <w:rPr>
          <w:rFonts w:ascii="仿宋" w:hAnsi="仿宋" w:eastAsia="仿宋"/>
          <w:color w:val="auto"/>
          <w:sz w:val="28"/>
          <w:szCs w:val="28"/>
          <w:highlight w:val="none"/>
        </w:rPr>
        <w:t xml:space="preserve"> </w:t>
      </w:r>
    </w:p>
    <w:p w14:paraId="274B33F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成交</w:t>
      </w:r>
      <w:r>
        <w:rPr>
          <w:rFonts w:hint="eastAsia" w:ascii="仿宋" w:hAnsi="仿宋" w:eastAsia="仿宋"/>
          <w:color w:val="auto"/>
          <w:sz w:val="28"/>
          <w:szCs w:val="28"/>
          <w:highlight w:val="none"/>
        </w:rPr>
        <w:t>通知书；</w:t>
      </w:r>
      <w:r>
        <w:rPr>
          <w:rFonts w:ascii="仿宋" w:hAnsi="仿宋" w:eastAsia="仿宋"/>
          <w:color w:val="auto"/>
          <w:sz w:val="28"/>
          <w:szCs w:val="28"/>
          <w:highlight w:val="none"/>
        </w:rPr>
        <w:t xml:space="preserve"> </w:t>
      </w:r>
    </w:p>
    <w:p w14:paraId="17CEF74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4、甲乙双方商定的其他必要文件。</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上述合同文件内容互为补充，如有不明确，由甲方负责解释。</w:t>
      </w:r>
    </w:p>
    <w:p w14:paraId="316F777D">
      <w:pPr>
        <w:pStyle w:val="316"/>
        <w:spacing w:line="520" w:lineRule="exact"/>
        <w:rPr>
          <w:rFonts w:hint="eastAsia" w:ascii="仿宋" w:hAnsi="仿宋" w:eastAsia="仿宋"/>
          <w:color w:val="auto"/>
          <w:sz w:val="28"/>
          <w:szCs w:val="28"/>
          <w:highlight w:val="none"/>
        </w:rPr>
      </w:pPr>
    </w:p>
    <w:p w14:paraId="58166EC7">
      <w:pPr>
        <w:pStyle w:val="316"/>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8"/>
          <w:highlight w:val="none"/>
        </w:rPr>
        <w:t>甲</w:t>
      </w:r>
      <w:r>
        <w:rPr>
          <w:rFonts w:hint="eastAsia" w:ascii="仿宋" w:hAnsi="仿宋" w:eastAsia="仿宋"/>
          <w:color w:val="auto"/>
          <w:sz w:val="28"/>
          <w:szCs w:val="24"/>
          <w:highlight w:val="none"/>
        </w:rPr>
        <w:t xml:space="preserve">    方:                          </w:t>
      </w:r>
      <w:r>
        <w:rPr>
          <w:rFonts w:hint="eastAsia" w:ascii="仿宋" w:hAnsi="仿宋" w:eastAsia="仿宋"/>
          <w:color w:val="auto"/>
          <w:sz w:val="28"/>
          <w:szCs w:val="28"/>
          <w:highlight w:val="none"/>
        </w:rPr>
        <w:t>乙</w:t>
      </w:r>
      <w:r>
        <w:rPr>
          <w:rFonts w:hint="eastAsia" w:ascii="仿宋" w:hAnsi="仿宋" w:eastAsia="仿宋"/>
          <w:color w:val="auto"/>
          <w:sz w:val="28"/>
          <w:szCs w:val="24"/>
          <w:highlight w:val="none"/>
        </w:rPr>
        <w:t xml:space="preserve">    方:</w:t>
      </w:r>
    </w:p>
    <w:p w14:paraId="58945DED">
      <w:pPr>
        <w:pStyle w:val="316"/>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单位盖章:（电子签章）              单位盖章:（电子签章）</w:t>
      </w:r>
    </w:p>
    <w:p w14:paraId="479FB818">
      <w:pPr>
        <w:pStyle w:val="316"/>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代表签字:                          代表签字:</w:t>
      </w:r>
    </w:p>
    <w:p w14:paraId="6C72BAC3">
      <w:pPr>
        <w:pStyle w:val="18"/>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签定日期:                          签定日期:</w:t>
      </w:r>
    </w:p>
    <w:p w14:paraId="0BE13461">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p>
    <w:p w14:paraId="195DE80A">
      <w:pPr>
        <w:pStyle w:val="222"/>
        <w:spacing w:line="520" w:lineRule="exact"/>
        <w:ind w:firstLine="2873"/>
        <w:rPr>
          <w:rFonts w:hint="eastAsia" w:ascii="仿宋" w:hAnsi="仿宋" w:eastAsia="仿宋" w:cs="仿宋"/>
          <w:b/>
          <w:bCs/>
          <w:color w:val="auto"/>
          <w:sz w:val="36"/>
          <w:szCs w:val="36"/>
          <w:highlight w:val="none"/>
          <w:lang w:val="zh-CN"/>
        </w:rPr>
      </w:pPr>
      <w:r>
        <w:rPr>
          <w:rFonts w:hint="eastAsia" w:ascii="仿宋" w:hAnsi="仿宋" w:eastAsia="仿宋" w:cs="仿宋"/>
          <w:b/>
          <w:bCs/>
          <w:color w:val="auto"/>
          <w:sz w:val="36"/>
          <w:szCs w:val="36"/>
          <w:highlight w:val="none"/>
        </w:rPr>
        <w:t>第五章  项目采购需求</w:t>
      </w:r>
    </w:p>
    <w:p w14:paraId="33032FAE">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一、采购需求</w:t>
      </w:r>
    </w:p>
    <w:p w14:paraId="100CF208">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清江浦区人民法院司法辅助综合事务性工作社会化服务采购项目，配备人数不低于16人(其中司法辅助5人、扫描11人)，由成交</w:t>
      </w: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根据项目内容要求，完成整体运作流程图、设置岗位工作说明书、工作流程、工作业务量及工作人数。成交</w:t>
      </w: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需负责各岗位人员的招聘、上岗培训、日常管理、业务流程等全面</w:t>
      </w:r>
    </w:p>
    <w:p w14:paraId="459BAC27">
      <w:pPr>
        <w:keepNext w:val="0"/>
        <w:keepLines w:val="0"/>
        <w:pageBreakBefore w:val="0"/>
        <w:widowControl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性的工作。</w:t>
      </w:r>
    </w:p>
    <w:p w14:paraId="7036E183">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注：各</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对本项目人员配置自行设定，但不得低于上述人员配置最低要求，未达到最低配置要求的作无效投标处理。</w:t>
      </w:r>
    </w:p>
    <w:p w14:paraId="5EC8D17A">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（一）清江浦区人民法院对项目运转的结果和质量进行监督管理。</w:t>
      </w:r>
    </w:p>
    <w:p w14:paraId="63E9AC4C">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1、诉讼事务辅助</w:t>
      </w:r>
    </w:p>
    <w:p w14:paraId="48020A5A">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职责概述：①立案“优+”全域诉服，主要负责接待诉讼服务中心的来访者提供诉讼引导服务。具体主要工作内容包括劝导当事人选择非诉讼纠纷解决机制解决纠纷并在当事人选择后将材料登记后移交驻法院非诉讼服务分中心或其他调解组织进行调解、根据当事人的来访目的引导当事人到指定区域办理相关业务、维护诉讼服务大厅秩序、协助预约法官工作等。同时，还要初步审查当事人提交的材料是否齐全，并负责对情绪激动来访者的前期安抚和劝离工作。</w:t>
      </w:r>
    </w:p>
    <w:p w14:paraId="779E4D75">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接收符合接收条件的相关诉讼材料，并出具收取单，拒收不符合接收条件的相关诉讼材料，并说明原因，根据已收取材料的相应承办庭室或人员分类并转送至相关人员，联系诉讼材料提交当事人领回、修改的不符合接收条件的诉讼材料，同时兼任预约法官工作。负责诉前调解分流案件的各环节登记、流转。</w:t>
      </w:r>
    </w:p>
    <w:p w14:paraId="19EE946C">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立案录入、登记岗位主要负责起诉状（申请书）及相关材料扫描、对当事人在立案庭立案之案件信息（含民商事、刑事、行政）的快速录入与核对、案件审理信息查询、相关立案文书制作（包括）、印发立案文书并送达给当事人、向审判业务庭移转新收案件、各类案件的电子送达推送等工作。</w:t>
      </w:r>
    </w:p>
    <w:p w14:paraId="30662372">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④协助鉴定办工作，负责鉴定材料的邮寄，卷宗整理、归档，要求委托人提供鉴定所需的材料及日常辅助性事务。</w:t>
      </w:r>
    </w:p>
    <w:p w14:paraId="306AF04C">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⑤全院诉前调解案件的录入、分流、结案，江苏微解纷，总对总平台信息的录入、结案以及调解员音视频录入工作的核查。</w:t>
      </w:r>
    </w:p>
    <w:p w14:paraId="06EAD8AF">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2、执行事务辅助</w:t>
      </w:r>
    </w:p>
    <w:p w14:paraId="41507843">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职责概述：①负责接待前来立案的申请执行人，查询原审卷宗、关联案件、核对信息转交立案；日常案件的初次谈话，遇到批量、重大、紧急、特殊等案件及时上报指挥中心。</w:t>
      </w:r>
    </w:p>
    <w:p w14:paraId="005F99E6">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②根据立案时间对前一日案件发起网络查控；发现有财产案件，结合判项载明的责任限额，立即发起网络冻结；查控结束后将信息表打印交由分案管理人员，还有安排的日常一些事务性工作。</w:t>
      </w:r>
    </w:p>
    <w:p w14:paraId="64313B2C">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③文书草拟主要负责为执行案件有无财产可供执行的判断分类工作；执行案件的标的核算工作；草拟裁定书工作；执行送达及部分工作等。</w:t>
      </w:r>
    </w:p>
    <w:p w14:paraId="0D6D0FA8">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·诉讼事务辅助和执行事务辅助建议人数：不低于5人</w:t>
      </w:r>
    </w:p>
    <w:p w14:paraId="50930486">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扫</w:t>
      </w:r>
      <w:r>
        <w:rPr>
          <w:rFonts w:hint="eastAsia" w:ascii="仿宋" w:hAnsi="仿宋" w:eastAsia="仿宋" w:cs="仿宋"/>
          <w:color w:val="auto"/>
          <w:sz w:val="28"/>
          <w:szCs w:val="28"/>
          <w:highlight w:val="none"/>
        </w:rPr>
        <w:t>描事务辅助</w:t>
      </w:r>
    </w:p>
    <w:p w14:paraId="12374270">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职责概述：负责院里卷宗收集、档案扫描、图处、质检、录入、上传、封面打印、装订、装盒、诉讼立案前、后扫描、中间库扫描、中间库出入库、上架、移库等一系列工作，档案、立案部门安排的其他事务性工作，数据核对、备份及电子卷宗随案同步生成工作过程中的其他工作。</w:t>
      </w:r>
    </w:p>
    <w:p w14:paraId="5D82DCB7">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服务及要求：</w:t>
      </w:r>
    </w:p>
    <w:p w14:paraId="0B60DCF1">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档案扫描项目范围</w:t>
      </w:r>
    </w:p>
    <w:p w14:paraId="307C4E50">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扫描档案内容：清江浦区人民法院日常工作中形成的各类诉讼档案。档案材料有打印稿、</w:t>
      </w:r>
      <w:r>
        <w:rPr>
          <w:rFonts w:hint="eastAsia" w:ascii="仿宋" w:hAnsi="仿宋" w:eastAsia="仿宋" w:cs="仿宋"/>
          <w:color w:val="auto"/>
          <w:sz w:val="28"/>
          <w:szCs w:val="28"/>
          <w:highlight w:val="none"/>
          <w:lang w:eastAsia="zh-CN"/>
        </w:rPr>
        <w:t>手写稿</w:t>
      </w:r>
      <w:r>
        <w:rPr>
          <w:rFonts w:hint="eastAsia" w:ascii="仿宋" w:hAnsi="仿宋" w:eastAsia="仿宋" w:cs="仿宋"/>
          <w:color w:val="auto"/>
          <w:sz w:val="28"/>
          <w:szCs w:val="28"/>
          <w:highlight w:val="none"/>
        </w:rPr>
        <w:t>、图片、图纸、复印资料等不同表现形式。</w:t>
      </w:r>
    </w:p>
    <w:p w14:paraId="5E4C7D25">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案卷编目整理项目范围</w:t>
      </w:r>
    </w:p>
    <w:p w14:paraId="7FA227E0">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案卷编目整理项目范围:案卷页码标注、法院信息管理系统内电子卷挂接、目录制作、提交归档等操作。</w:t>
      </w:r>
    </w:p>
    <w:p w14:paraId="4B5AB71E">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按时完成新收诉讼档案的扫描加工数据挂接工作，保证甲方能够及时充分利用到电子档案，立案前扫描材料自收到后1个工作日内完成扫描、修图、上传工作，5个工作日内完成扫描、系统内挂接工作，10个工作日内完成装盒、上架工作;上诉卷宗即到即扫，2个小时内完成系统内数据挂接及装订工作。</w:t>
      </w:r>
    </w:p>
    <w:p w14:paraId="3F230737">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扫描工作环节与质量要求：诉讼档案扫描工作主要包括以下内容档案的整理、拆装、扫描、图像处理、检审校对、文件存储、著录影像文件目录与应用软件系统的挂接。加工过程中必须确保档案载体的安全完整以及档案信息内容安全。案卷页码标注、法院信息管理系统内目录制作、打印、提交归档等操作必须准确无误，做到目录与案卷内容一致。</w:t>
      </w:r>
    </w:p>
    <w:p w14:paraId="4161323A">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各工作环节具体要求如下:</w:t>
      </w:r>
    </w:p>
    <w:p w14:paraId="31F8EB8E">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总则:严格管理，明确责任，建立安全保密管理机制和质量管理机制，确保安全管理制度和质量管理制度落实，确保档案原件和数字化档案信息安全，确保各环节工作符合质量要求，建立完整规范的工作记录。</w:t>
      </w:r>
    </w:p>
    <w:p w14:paraId="543330EB">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（2）档案前处理:纸质档案前处理工作由甲方工作人员负责，形成完整的档案卷宗材料后交由乙方处理。</w:t>
      </w:r>
    </w:p>
    <w:p w14:paraId="33246AE5">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（3）档案整理：扫描之前，乙方加工人员应在保证档案不受损坏的前提下，拆除装订物,按档案管理部门要求区分扫描件和非扫描件并对折皱不平影响扫描质量的原件进行相应处理（压平或</w:t>
      </w:r>
      <w:r>
        <w:rPr>
          <w:rFonts w:hint="eastAsia" w:ascii="仿宋" w:hAnsi="仿宋" w:eastAsia="仿宋" w:cs="仿宋"/>
          <w:color w:val="auto"/>
          <w:sz w:val="28"/>
          <w:szCs w:val="28"/>
          <w:highlight w:val="none"/>
          <w:lang w:eastAsia="zh-CN"/>
        </w:rPr>
        <w:t>熨平</w:t>
      </w:r>
      <w:r>
        <w:rPr>
          <w:rFonts w:hint="eastAsia" w:ascii="仿宋" w:hAnsi="仿宋" w:eastAsia="仿宋" w:cs="仿宋"/>
          <w:color w:val="auto"/>
          <w:sz w:val="28"/>
          <w:szCs w:val="28"/>
          <w:highlight w:val="none"/>
        </w:rPr>
        <w:t>等)，然后进行扫描；扫描完成后，拆除过装订物的档案应重新装订，恢复原样，并保持档案页面排列顺序不变，案卷不掉页，保持卷宗右边和底边整齐。所有的档案目录均进行打印，并装订到案卷最前面。卷皮破损严重需要调换卷皮的，应主动请求档案管理人员并按要求更换卷皮，并将原卷皮上的内容抄写到新卷皮上。更换下来的旧卷皮应全部交还档案科。</w:t>
      </w:r>
    </w:p>
    <w:p w14:paraId="28DDCD9E">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（4）档案扫描：档案扫描采用彩色和灰度二种方式。图片、图纸、有彩色的证据材料均用彩色扫描，文字资料用灰度扫描，扫描影像保持原档方向。在扫描过程中，应遵循以下几项标准以及中院制定的规范。</w:t>
      </w:r>
    </w:p>
    <w:p w14:paraId="6CE9B9DA">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①标准分辨率：大于等于300dpi；</w:t>
      </w:r>
    </w:p>
    <w:p w14:paraId="24A63D6F">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②标准文件格式：单页TIFF或JPG；(影像保持原有文件格式，不作任何格式处理)；</w:t>
      </w:r>
    </w:p>
    <w:p w14:paraId="21CD4001">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③色彩：对彩色照片或发票等有多种色彩的证据进行全彩扫;</w:t>
      </w:r>
    </w:p>
    <w:p w14:paraId="08F13672">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④质量：在原件上没有明显质量问题时，所产生的影像文件不应产生黑边、模糊、偏斜等质量问题，对于影响图像质量的非原始性的黑线、黑点(如装订孔等）要进行修补。</w:t>
      </w:r>
    </w:p>
    <w:p w14:paraId="5F63146C">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根据档案幅面的大小和纸张状况，选择相应扫描仪。其中大幅面档案可采用大幅面数码平台，也可以采用小幅面扫描后的图像拼接方式处理；同页有两个以上文件，需分别扫描，并进行并页处理。</w:t>
      </w:r>
    </w:p>
    <w:p w14:paraId="6AC16103">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扫描过程中，应在《纸质档案扫描工作流程表》上认真登记扫描的页码和页数，并核对每份文件的实际扫描页码、页数与前处理时填写的文件页码、页数是否一致,不一致的应注明具体原因和处理方法5、图像处理:应对扫描后的图像进行逐页纠偏、去污、图像拼接、裁边处理和排列顺序调整。图像偏度不得大于3度，图像拼接处信息要完整，不能缺少遗漏任何信息内容。</w:t>
      </w:r>
    </w:p>
    <w:p w14:paraId="45C05013">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文件存储：以目录数据库内该文件档号对扫描图像建立文件夹，并对文件夹内图像文件以相应数字顺序号进行命名。数据光盘内文件电子影像存储格式为单页TIFF或JPG格式。扫描后的电子文件需要提交硬盘存储，并且直接导入系统，能够实时将经过检验的数据投入实际应用。</w:t>
      </w:r>
    </w:p>
    <w:p w14:paraId="6BBDCCD3">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数据挂接：扫描图像文件应与目录数据进行挂接（目录数据规范由甲方提供），同时在《纸质档案扫描工作流程表》上填写数据挂接后的页码、页数，核对每一份文件挂接后的页码、页数与前处理、扫描时填写的页码、页数是否一致，不一致的应注明具体原因和处理办法。</w:t>
      </w:r>
    </w:p>
    <w:p w14:paraId="6043B56D">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（7）档案著录：按照甲方要求输入各类档案的著录信息项。乙方可以使用甲方提供的著录软件;若使用乙方自己的著录软件，则由乙方负责将著录信息项导入甲方的档案管理软件。</w:t>
      </w:r>
    </w:p>
    <w:p w14:paraId="78926C0C">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（8）质量自检：乙方必须建立严格的质量检测体系，对加工的数据(图像质量、编目质量、著录质量)进行认真负责的自检，自检达到数据质量标准后，方可交付与甲方验收。</w:t>
      </w:r>
    </w:p>
    <w:p w14:paraId="0D7EED38">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·此业务模块建议人数：不低于11人</w:t>
      </w:r>
    </w:p>
    <w:p w14:paraId="06609027">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·以上总计人数不低16人</w:t>
      </w:r>
    </w:p>
    <w:p w14:paraId="13F773A7">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（二）工作要求</w:t>
      </w:r>
    </w:p>
    <w:p w14:paraId="2661C2ED">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1、独立运营</w:t>
      </w:r>
    </w:p>
    <w:p w14:paraId="2A0D6AF5">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成交人应了解采购人的工作流程、工作内容、工作环境等状况，负责组建服务团队，提供高质量的司法辅助综合事务性工作。通过集约化管控、优化流程、节点时间把控、数据分析调研等，提高办案效率和提高结案率。成交人应保障采购人各项工作的正常运作，积极寻求更有效的管理手段，及时提出改善方案，制定流程标准和服务规范，按合同的服务内容范围，完成相关的监督管理、统计，完善服务过程及内容，并提交服务解决方案。</w:t>
      </w:r>
    </w:p>
    <w:p w14:paraId="1B5FA8D5">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2、调研工作</w:t>
      </w:r>
    </w:p>
    <w:p w14:paraId="2F28F0B7">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成立专业的调研小组，定期或不定期的对项目运营流程中各工作节点的效能与质量进行调研分析，并形成调研报告和改善方案报送淮安市清江浦区人民法院。</w:t>
      </w:r>
    </w:p>
    <w:p w14:paraId="6B7E3BE3">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3、流程优化</w:t>
      </w:r>
    </w:p>
    <w:p w14:paraId="2F6D0300">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根据清江浦区人民法院司法辅助综合事务性工作社会化服务采购项目的运营情况，绘制业务流程图，撰写各工作业务流程，岗位操作流程及标准，岗位说明书，并对现有的工作流程进行深入调研、升级、优化。</w:t>
      </w:r>
    </w:p>
    <w:p w14:paraId="6189D035">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4、高效团队管理</w:t>
      </w:r>
    </w:p>
    <w:p w14:paraId="513F7A87">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对服务团队人员的管理形成行之有效的管理制度与管理流程，确保服务人员的稳定性、提升员工的安全保密意识，约束工作人员保证不以任何方式对外泄露保密信息，为本项目提供一个专业化高效能的服务团队。</w:t>
      </w:r>
    </w:p>
    <w:p w14:paraId="0CF29E5A">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（三）工作的交接及异议处理流程：</w:t>
      </w:r>
    </w:p>
    <w:p w14:paraId="6AD8AA23">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淮安市清江浦区人民法院通过制作工作清单或拟定工作规范和流程的方式向成交供应商交付工作，成交供应商应严格按照规定的时间和标准完成任务。对淮安市清江浦区人民法院交付的工作成交供应商认为不符合合同约定范围的，应在工作交接时当面提出。淮安市清江浦区人民法院收到成交供应商异议后应与成交供应商管理人员及时沟通、协商，达成一致后重新出具新的工作清单。如果成交供应商在工作交接时未当面提出异议的，视为同意该工作安排，则应严格按该工作要求完成服务任务。</w:t>
      </w:r>
    </w:p>
    <w:p w14:paraId="5B718961">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（四）工作成果交付和验收：</w:t>
      </w:r>
    </w:p>
    <w:p w14:paraId="5C47BDAA">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成交供应商应按交接工作清单的要求按时保质保量地完成服务工作，并按该工作清单约定的时间和方式向淮安市清江浦区人民法院交付工作成果。淮安市清江浦区人民法院应对成交供应商提交的工作成果按约定质量标准进行验收，并出具验收意见及评分。</w:t>
      </w:r>
    </w:p>
    <w:p w14:paraId="3019DA05">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（五）服务质量要求：</w:t>
      </w:r>
    </w:p>
    <w:p w14:paraId="4842B01B">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参照《管理要求》执行，如有差异以合同约定为准。</w:t>
      </w:r>
    </w:p>
    <w:p w14:paraId="1303DD4C">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二、管理要求</w:t>
      </w:r>
    </w:p>
    <w:p w14:paraId="6E5A57D9">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1、工作人员须严格遵守淮安市清江浦区人民法院的相关工作守则和作息时间，不得迟到、早退、随意旷工，不得因请假影响原有工作。</w:t>
      </w:r>
    </w:p>
    <w:p w14:paraId="2D22037B">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2、工作人员要遵从淮安市清江浦区人民法院的要求，在指定的工作场所完成事务类工作，遵守和维护工作秩序。</w:t>
      </w:r>
    </w:p>
    <w:p w14:paraId="6E4963E4">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工作人员不得利用工作之便，进行任何非法或本项目范围外的活动，不得损坏、丢失、涂改、抽换、伪造档案，不得擅自修改、复制案件档案资料带离开工作场所。如经发现，淮安市清江浦区人民法院有权终止社会化服务采购合同，构成犯罪的，依法追究刑事责任。</w:t>
      </w:r>
    </w:p>
    <w:p w14:paraId="104156FD">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成交供应商与淮安市清江浦区人民法院签署保密协议，加强工作人员的安全保密教育，约束工作人员保证不以任何方式对外泄露保密信息，成交供应商根据工作需求，经法院职能部门同意后，可自行配备办公设备。如经发现，淮安市清江浦区人民法院有权终止社会化服务采购合同，构成犯罪的，依法追究刑事责任。</w:t>
      </w:r>
    </w:p>
    <w:p w14:paraId="748BD2B2">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5、合同签订后，成交供应商未能在15日内配齐符合需求的工作人员，则视为成交供应商违约，淮安市清江浦区人民法院有权终止合同。</w:t>
      </w:r>
    </w:p>
    <w:p w14:paraId="6A03EB8D">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合同签订后，工作人员有离职情况的，成交供应商自行解决，不得因人员离职或缺岗影响原有工作，若因此造成工作滞后或其它重大不良反映，淮安市清江浦区人民法院有权拒绝支付本期项目服务费；情节严重的，视为成交供应商违约，淮安市清江浦区人民法院有权则终止社会化服务采购合同。</w:t>
      </w:r>
    </w:p>
    <w:p w14:paraId="53FC493D">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工作人员在实施服务过程中，淮安市清江浦区人民法院有权监督检查，如发现问题，有权向成交供应商提出整改意见；成交供应商应在收到整改意见后三个工作日内将整改情况及配套管理制度等正式回函淮安市清江浦区人民法院。</w:t>
      </w:r>
    </w:p>
    <w:p w14:paraId="28CE0900">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成交供应商必须建立党、工、团组织，健全工作人员的工会、党团管理，定期组织工作人员工会活动，完善工会、党团组织。成交供应商应充分发挥专业人力资源的优势，定期组织工作人员开展丰富多样的企业文化活动，以增强队伍的凝聚力和归属感。</w:t>
      </w:r>
    </w:p>
    <w:p w14:paraId="6DD32EB9">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9、成交供应商应定岗定责、统一管理，工作人员进行集约化办公，设立社会化服务办公室，采取定岗方式统一管理。</w:t>
      </w:r>
    </w:p>
    <w:p w14:paraId="13E200EB">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10、成交供应商应统一定制工装，工装须端庄、大方、稳重、素雅，工作人员须保持干净、整洁的整体形象。</w:t>
      </w:r>
    </w:p>
    <w:p w14:paraId="3CF0F3BC">
      <w:pPr>
        <w:pStyle w:val="3"/>
        <w:pageBreakBefore w:val="0"/>
        <w:widowControl/>
        <w:numPr>
          <w:ilvl w:val="0"/>
          <w:numId w:val="5"/>
        </w:numPr>
        <w:tabs>
          <w:tab w:val="left" w:pos="709"/>
          <w:tab w:val="left" w:pos="992"/>
        </w:tabs>
        <w:spacing w:before="0" w:after="0" w:line="480" w:lineRule="exact"/>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职责范围</w:t>
      </w:r>
    </w:p>
    <w:p w14:paraId="3CA31923">
      <w:pPr>
        <w:pageBreakBefore w:val="0"/>
        <w:widowControl/>
        <w:spacing w:line="480" w:lineRule="exact"/>
        <w:ind w:left="420" w:right="-2"/>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（一）采购人职责范围</w:t>
      </w:r>
    </w:p>
    <w:p w14:paraId="21FF44E2">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1、负责提供服务场地、必要的办公条件（包括但不限于办公桌椅、文件储物柜等）及办公设备（包括但不限于电脑、打印机、扫描仪等）和工作用品及耗材。甲方提供服务所需的资料和数据。</w:t>
      </w:r>
    </w:p>
    <w:p w14:paraId="2C9CCBF1">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2、负责协调各项目相关部门配合开展工作，提供司法辅助综合事务咨询支持。</w:t>
      </w:r>
    </w:p>
    <w:p w14:paraId="1765C6C6">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3、配合成交供应商开展服务培训、业务培训、员工管理等事项。</w:t>
      </w:r>
    </w:p>
    <w:p w14:paraId="5ABD9D63">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4、按约定时间向成交供应商支付服务管理费用。</w:t>
      </w:r>
    </w:p>
    <w:p w14:paraId="4D4A5B85">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5、对成交供应商工作进行监督管理。</w:t>
      </w:r>
    </w:p>
    <w:p w14:paraId="7C922CA5">
      <w:pPr>
        <w:pageBreakBefore w:val="0"/>
        <w:widowControl/>
        <w:spacing w:line="480" w:lineRule="exact"/>
        <w:ind w:left="420" w:right="-2"/>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（二）成交供应商职责范围</w:t>
      </w:r>
    </w:p>
    <w:p w14:paraId="1630309B">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1、成交供应商按照合同约定保质保量向淮安市清江浦区人民法院提供合格的服务。</w:t>
      </w:r>
    </w:p>
    <w:p w14:paraId="3590959E">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成交供应商应保证提供服务的团队人员的数量和素质满足履行本合同的要求。服务期内成交供应商有权利和义务对工作人员的数量和工作量标准按照淮安市清江浦区人民法院业务处理的要求进行合理地调整，以达到服务的优化，但应尽可能保持工作人员相对稳定。</w:t>
      </w:r>
    </w:p>
    <w:p w14:paraId="267257A7">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成交供应商负责对淮安市清江浦区人民法院所提供的所有办公设备进行日常维护和保养。成交供应商应当正确使用淮安市清江浦区人民法院所提供的所有办公设备，如因成交供应商使用不当导致设备毁损的，成交供应商应当承担相应的赔偿责任。</w:t>
      </w:r>
    </w:p>
    <w:p w14:paraId="2E46D03E">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4、除服务项目实施地的水电费、物业管理费、办公用品费外，一般管理费用、小办公用品等办公设备由成交供应商自行承担。</w:t>
      </w:r>
    </w:p>
    <w:p w14:paraId="564BE9A4">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5、成交供应商对其派驻工作人员应每年组织开展不低于2次的业务培训，每季组织工作人员业务总结会，并派员参加淮安市清江浦区人民法院组织的相关业务培训。</w:t>
      </w:r>
    </w:p>
    <w:p w14:paraId="3CBFD5BB">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成交供应商应接受淮安市清江浦区人民法院的监督管理，对淮安市清江浦区人民法院提出的处理意见应在3个工作日内将整改情况及配套管理制度等以正式函件方式回复淮安市清江浦区人民法院，并定期汇报制度落实及推行情况。</w:t>
      </w:r>
    </w:p>
    <w:p w14:paraId="1757706A">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成交供应商负责完善工作人员的各项人力资源管理措施，设置专职人员负责工作人员的工作人员劳动关系管理，负责工作人员的各项人事行政管理工作。成交供应商负责承担服务工作人员的工伤、人身意外、劳资纠纷、工作人员职务过错等造成的全部经济和法律责任。</w:t>
      </w:r>
    </w:p>
    <w:p w14:paraId="32EA0E51">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成交供应商应合法合规的向工作人员落实各项工资、福利项目，根据员工合作约定及时向工作人员发放工资。成交供应商应在合同签订时制定层级管理及绩效考评制度，考评必须以员工的实际工作能力及成效为基本要素；明确各层级职位的职责、权力和利益，各在其位，各司其职，各负其责；淮安市清江浦区人民法院有权对业务考评结果进行监督，并提出修改意见。</w:t>
      </w:r>
    </w:p>
    <w:p w14:paraId="69CCE094">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9、每月及年度终了，成交供应商需向淮安市清江浦区人民法院提供服务项目各项工作完成情况及总结，对服务合同履行情况出具相应的报告。 </w:t>
      </w:r>
    </w:p>
    <w:p w14:paraId="2F0F2875">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在合同解除或终止后，成交供应商应及时向淮安市清江浦区人民法院返还相关办公设施、设备及相关数据、档案材料，并保证上述设施、设备处于正常可使用状态（设备设施的正常损耗除外），相关数据、档案材料完整无缺。</w:t>
      </w:r>
    </w:p>
    <w:p w14:paraId="2F5ECDC7">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成交供应商应加强对工作人员及现场管理人员的教育和管理，遵守淮安市清江浦区人民法院有关规章制度。对成交供应商工作人员及现场管理人员在工作期间非因淮安市清江浦区人民法院原因造成的人身伤害及财产损失，由成交供应商承担责任。成交供应商的用工要符合国家的相关规定，成交供应商必须与招聘人员及时签订用工合同，并按照国家相关法律规定为招聘人员缴纳各项保险等。成交供应商与工作人员发生任何的经济、法律纠纷和人身损害赔偿等，由成交供应商自行解决。</w:t>
      </w:r>
    </w:p>
    <w:p w14:paraId="008A63F7">
      <w:pPr>
        <w:pageBreakBefore w:val="0"/>
        <w:widowControl/>
        <w:tabs>
          <w:tab w:val="left" w:pos="786"/>
          <w:tab w:val="left" w:pos="900"/>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12、成交供应商支付给工作人员的工资，要符合国家和地方的相关规定，最低工资标准不得低于淮安市最低工资标准， 每月须按工资标准足额发放给工作人员，根据淮安市清江浦区人民法院的意见制定和完善岗位的考核办法，按淮安市清江浦区人民法院提供的考核结果对绩效工资进行二次分配，并按月支付。成交供应商要保证按国家和地方政府法律法规规定的时间给工作人员缴纳社保并发放工资。如成交供应商发生未准时支付工作人员工资的，须向淮安市清江浦区人民法院书面说明情况，淮安市清江浦区人民法院根据情况有权暂停支付相关管理服务费，由此引起的劳动纠纷由成交供应商负责承担相应的法律和经济责任。</w:t>
      </w:r>
    </w:p>
    <w:p w14:paraId="719C60F5">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因成交供应商工作人员在工作期间造成淮安市清江浦区人民法院工作人员人身或财产损失、或第三人人身以及财产损失，导致淮安市清江浦区人民法院承担赔偿责任的，成交供应商应负责赔偿淮安市清江浦区人民法院的损失。</w:t>
      </w:r>
    </w:p>
    <w:p w14:paraId="0273EFC1">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14、成交供应商应协助、配合淮安市清江浦区人民法院对司法辅助事务工作人员开展安全排查工作。</w:t>
      </w:r>
    </w:p>
    <w:p w14:paraId="7FCC464B">
      <w:pPr>
        <w:pageBreakBefore w:val="0"/>
        <w:widowControl/>
        <w:tabs>
          <w:tab w:val="left" w:pos="755"/>
          <w:tab w:val="left" w:pos="1620"/>
          <w:tab w:val="left" w:pos="2562"/>
        </w:tabs>
        <w:spacing w:line="480" w:lineRule="exact"/>
        <w:ind w:left="42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15、保密要求</w:t>
      </w:r>
    </w:p>
    <w:p w14:paraId="1B3EBFB1">
      <w:pPr>
        <w:pageBreakBefore w:val="0"/>
        <w:widowControl/>
        <w:numPr>
          <w:ilvl w:val="0"/>
          <w:numId w:val="6"/>
        </w:numPr>
        <w:tabs>
          <w:tab w:val="left" w:pos="840"/>
        </w:tabs>
        <w:spacing w:line="480" w:lineRule="exact"/>
        <w:ind w:left="0" w:firstLine="42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成交供应商及其工作人员应严守在履行本合同中通过各种方式知悉的淮安市清江浦区人民法院案件信息、技术秘密和其他业务信息，不得泄露，签订《保密协议》。</w:t>
      </w:r>
    </w:p>
    <w:p w14:paraId="0E7A2D16">
      <w:pPr>
        <w:pageBreakBefore w:val="0"/>
        <w:widowControl/>
        <w:numPr>
          <w:ilvl w:val="0"/>
          <w:numId w:val="6"/>
        </w:numPr>
        <w:tabs>
          <w:tab w:val="left" w:pos="840"/>
        </w:tabs>
        <w:spacing w:line="480" w:lineRule="exact"/>
        <w:ind w:left="0" w:firstLine="42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成交供应商在进行服务过程中，必须确保淮安市清江浦区人民法院的信息安全，未经淮安市清江浦区人民法院同意不得擅自删除、修改和转移淮安市清江浦区人民法院业务系统中的信息，并为其保密。</w:t>
      </w:r>
    </w:p>
    <w:p w14:paraId="6D91A5F8">
      <w:pPr>
        <w:pageBreakBefore w:val="0"/>
        <w:widowControl/>
        <w:numPr>
          <w:ilvl w:val="0"/>
          <w:numId w:val="6"/>
        </w:numPr>
        <w:tabs>
          <w:tab w:val="left" w:pos="840"/>
        </w:tabs>
        <w:spacing w:line="480" w:lineRule="exact"/>
        <w:ind w:left="0" w:firstLine="42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服务完成后，成交供应商应返还淮安市清江浦区人民法院提供的业务资料和服务过程中取得的各种材料，不得存留复制品。</w:t>
      </w:r>
    </w:p>
    <w:p w14:paraId="1558298F">
      <w:pPr>
        <w:pageBreakBefore w:val="0"/>
        <w:widowControl/>
        <w:numPr>
          <w:ilvl w:val="0"/>
          <w:numId w:val="6"/>
        </w:numPr>
        <w:tabs>
          <w:tab w:val="left" w:pos="840"/>
        </w:tabs>
        <w:spacing w:line="480" w:lineRule="exact"/>
        <w:ind w:left="0" w:firstLine="42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成交供应商应与从事本项目工作的工作人员签订有关保密协议，约束其履行保密义务，并提交壹份淮安市清江浦区人民法院备案。</w:t>
      </w:r>
    </w:p>
    <w:p w14:paraId="7CD03B51">
      <w:pPr>
        <w:pStyle w:val="3"/>
        <w:pageBreakBefore w:val="0"/>
        <w:widowControl/>
        <w:numPr>
          <w:ilvl w:val="0"/>
          <w:numId w:val="5"/>
        </w:numPr>
        <w:tabs>
          <w:tab w:val="left" w:pos="709"/>
          <w:tab w:val="left" w:pos="992"/>
        </w:tabs>
        <w:spacing w:before="0" w:after="0" w:line="480" w:lineRule="exact"/>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对服务单位的要求</w:t>
      </w:r>
    </w:p>
    <w:p w14:paraId="7EA145A5">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1、成交供应商签订合同前必须按照国家相关保密规定和淮安市清江浦区人民法院签订《保密协议》，对违反《保密协议》相关内容规定的，淮安市清江浦区人民法院有权追究其法律责任。</w:t>
      </w:r>
    </w:p>
    <w:p w14:paraId="0182E797">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2、成交供应商不得随意更换项目现场管理人员，如需更换的，则必须征得淮安市清江浦区人民法院的同意，经试用符合要求方可更换。</w:t>
      </w:r>
    </w:p>
    <w:p w14:paraId="071CB8D1">
      <w:pPr>
        <w:pStyle w:val="3"/>
        <w:pageBreakBefore w:val="0"/>
        <w:widowControl/>
        <w:numPr>
          <w:ilvl w:val="0"/>
          <w:numId w:val="5"/>
        </w:numPr>
        <w:tabs>
          <w:tab w:val="left" w:pos="709"/>
          <w:tab w:val="left" w:pos="992"/>
        </w:tabs>
        <w:spacing w:before="0" w:after="0" w:line="480" w:lineRule="exact"/>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罚则</w:t>
      </w:r>
    </w:p>
    <w:p w14:paraId="6BFF89EC">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1、若成交供应商在签订合同并生效后15天内未能配齐符合淮安市清江浦区人民法院需求的人员，则构成违约，淮安市清江浦区人民法院有权终止合同。</w:t>
      </w:r>
    </w:p>
    <w:p w14:paraId="63104E65">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在服务期间，工作人员因为调走、辞职或被成交供应商辞退等原因导致人员不足的，应自行解决人员不足的问题，若是人员不足导致工作受到不良影响，情节严重的，淮安市清江浦区人民法院有权拒绝支付当月项目服务费；成交供应商在30日内未能进行改善的，则视为成交供应商违约，淮安市清江浦区人民法院有权终止合同。</w:t>
      </w:r>
    </w:p>
    <w:p w14:paraId="17954FC8">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因成交供应商工作人员蓄意破坏设备设施、违反规程造成重大事故、违反规定公开发布敏感信息造成重大影响的，一经查实，则视为成交供应商严重违约，淮安市清江浦区人民法院有权终止合同，责令成交供应商赔偿损失，情节严重的依法追究其法律责任。</w:t>
      </w:r>
    </w:p>
    <w:p w14:paraId="363C3536">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4、若成交供应商在服务某阶段时期内违反其服务承诺或本</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文件的要求三次或以上，则视为成交供应商违约，淮安市清江浦区人民法院有权拒绝支付当月项目服务费。</w:t>
      </w:r>
    </w:p>
    <w:p w14:paraId="6A9CAD97">
      <w:pPr>
        <w:pStyle w:val="3"/>
        <w:pageBreakBefore w:val="0"/>
        <w:widowControl/>
        <w:numPr>
          <w:ilvl w:val="0"/>
          <w:numId w:val="7"/>
        </w:numPr>
        <w:tabs>
          <w:tab w:val="left" w:pos="709"/>
          <w:tab w:val="left" w:pos="992"/>
        </w:tabs>
        <w:spacing w:before="0" w:after="0" w:line="480" w:lineRule="exact"/>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报价要求</w:t>
      </w:r>
    </w:p>
    <w:p w14:paraId="5B068E7D">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1、服务期内，由成交供应商按成交价总价包干，</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报价应包括：全年案件事务性工作处理、所有项目工作人员人力成本费用、项目运营管理费用、设备费用</w:t>
      </w:r>
      <w:r>
        <w:rPr>
          <w:rFonts w:hint="eastAsia" w:ascii="仿宋" w:hAnsi="仿宋" w:eastAsia="仿宋" w:cs="仿宋"/>
          <w:color w:val="auto"/>
          <w:sz w:val="28"/>
          <w:szCs w:val="28"/>
          <w:highlight w:val="none"/>
          <w:lang w:eastAsia="zh-CN"/>
        </w:rPr>
        <w:t>（报价不含甲方提供主要设备的购置费，仅含乙方自担的小办公用品、耗材及设备日常维护费）</w:t>
      </w:r>
      <w:r>
        <w:rPr>
          <w:rFonts w:hint="eastAsia" w:ascii="仿宋" w:hAnsi="仿宋" w:eastAsia="仿宋" w:cs="仿宋"/>
          <w:color w:val="auto"/>
          <w:sz w:val="28"/>
          <w:szCs w:val="28"/>
          <w:highlight w:val="none"/>
        </w:rPr>
        <w:t>、一切税费（包括增值税）、培训费、资料等的全部费用。</w:t>
      </w:r>
    </w:p>
    <w:p w14:paraId="662C0FF4">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2、供应商必须承诺本次报价包括了与本次社会化服务采购项目相关的全部费用，不另向淮安市清江浦区人民法院收费。成交价包含合同期内的</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 xml:space="preserve">文件要求所有服务范围，全年案件事务性工作处理。    </w:t>
      </w:r>
    </w:p>
    <w:p w14:paraId="176CD11E">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根据项目工作内容要求以及全年案件量预估工作，进行整体报价。</w:t>
      </w:r>
    </w:p>
    <w:p w14:paraId="46EF7366">
      <w:pPr>
        <w:pStyle w:val="3"/>
        <w:pageBreakBefore w:val="0"/>
        <w:widowControl/>
        <w:numPr>
          <w:ilvl w:val="0"/>
          <w:numId w:val="7"/>
        </w:numPr>
        <w:tabs>
          <w:tab w:val="left" w:pos="709"/>
          <w:tab w:val="left" w:pos="992"/>
        </w:tabs>
        <w:spacing w:before="0" w:after="0" w:line="480" w:lineRule="exact"/>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服务验收标准</w:t>
      </w:r>
    </w:p>
    <w:p w14:paraId="634934D5">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bookmarkStart w:id="32" w:name="_Toc296418446"/>
      <w:r>
        <w:rPr>
          <w:rFonts w:hint="eastAsia" w:ascii="仿宋" w:hAnsi="仿宋" w:eastAsia="仿宋" w:cs="仿宋"/>
          <w:color w:val="auto"/>
          <w:sz w:val="28"/>
          <w:szCs w:val="28"/>
          <w:highlight w:val="none"/>
        </w:rPr>
        <w:t>1、服务质量标准：成交供应商派驻人员按淮安市清江浦区人民法院规定方法进行司法辅助综合事务性工作整理，所完成的项目绩效需达到淮安市清江浦区人民法院要求。</w:t>
      </w:r>
    </w:p>
    <w:p w14:paraId="545014A1">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2、业务量验收标准：成交供应商按淮安市清江浦区人民法院要求按时按质完成工作任务。</w:t>
      </w:r>
    </w:p>
    <w:p w14:paraId="5A27DD38">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3、如遇对业务整理流程的调整，则提前一个月向成交供应商提供最新验收标准，成交供应商应按新标准按时完成工作。</w:t>
      </w:r>
    </w:p>
    <w:p w14:paraId="77FFE402">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4、淮安市清江浦区人民法院配合条件</w:t>
      </w:r>
      <w:bookmarkEnd w:id="32"/>
    </w:p>
    <w:p w14:paraId="51287047">
      <w:pPr>
        <w:pageBreakBefore w:val="0"/>
        <w:widowControl/>
        <w:tabs>
          <w:tab w:val="left" w:pos="755"/>
          <w:tab w:val="left" w:pos="1620"/>
          <w:tab w:val="left" w:pos="2562"/>
        </w:tabs>
        <w:spacing w:line="48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供应商在</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rPr>
        <w:t>文件中要列明在项目实施过程中要求淮安市清江浦区人民法院提供的配合条件。</w:t>
      </w:r>
    </w:p>
    <w:p w14:paraId="3E306210">
      <w:pPr>
        <w:pStyle w:val="15"/>
        <w:pageBreakBefore w:val="0"/>
        <w:spacing w:line="480" w:lineRule="exact"/>
        <w:ind w:left="0"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5、扫描验收</w:t>
      </w:r>
    </w:p>
    <w:p w14:paraId="78C7673F">
      <w:pPr>
        <w:pageBreakBefore w:val="0"/>
        <w:spacing w:line="48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①乙方数据自检合格后方可递交需求法院验收。数据验收以 10万页为单位，分批由乙方自检合格后提交</w:t>
      </w:r>
      <w:r>
        <w:rPr>
          <w:rFonts w:hint="eastAsia" w:ascii="仿宋" w:hAnsi="仿宋" w:eastAsia="仿宋" w:cs="仿宋"/>
          <w:color w:val="auto"/>
          <w:sz w:val="28"/>
          <w:szCs w:val="28"/>
          <w:highlight w:val="none"/>
          <w:lang w:eastAsia="zh-CN"/>
        </w:rPr>
        <w:t>。</w:t>
      </w:r>
    </w:p>
    <w:p w14:paraId="563C2F76">
      <w:pPr>
        <w:pageBreakBefore w:val="0"/>
        <w:spacing w:line="480" w:lineRule="exact"/>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②清江浦区法院对乙方挂接完毕的目录信息、著录信息与图像质量进行验收。验收以抽检方式进行，抽检比率为 5%，根据江苏省高级人民法院提供的《纸质档案数字化加工验收标准》(标准另附)进行检查，要求档号、控制符、数据挂接准确率达到 100%,其他项目合格率达到 98%以上的，予以验收通过，并填写《纸质档案数字化验收登记表》，作为验收合格凭证。抽检合格率低于 98%的，提交验收的当批次数据全部发回乙方重新自检，自检合格后再提交验收。在退回自检期间，需求法院将不再向乙方提供扫描档案。同</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rPr>
        <w:t>批次数据提交验收，经两次验收仍不合格的，扣除当批次相应价款: 经三次以上验收不合格的，按合同约定承担相应责任。</w:t>
      </w:r>
    </w:p>
    <w:p w14:paraId="0FAC71D4">
      <w:pPr>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③档案实体验收。档案实体验收必须逐卷清点，按档案数量文件状况、卷内文件页数与顺序、装订要求等进行逐项检查，如发现档案丢失、损坏、圈划或涂改等问题，将追究相关责任;顺序错误、装订不符要求、卷间文件颠倒等作为差错，合格率达到 98%以上 (含98%)的予以验收通过。</w:t>
      </w:r>
    </w:p>
    <w:p w14:paraId="281E5BF2">
      <w:pPr>
        <w:pageBreakBefore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④数据验收合格后，乙方需刻录 DVD 光盘一式二份移交给需求法院;目录和全文数据要向需求法院内网档案管理系统数据库迁移如需委托第三方验收，第三方是指:省专家库，验收费用由乙方承担。</w:t>
      </w:r>
    </w:p>
    <w:p w14:paraId="173232B4">
      <w:pPr>
        <w:pageBreakBefore w:val="0"/>
        <w:spacing w:line="480" w:lineRule="exact"/>
        <w:ind w:firstLine="562"/>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注 ：在本项目履行期间若有人员变化必须提供书面材料给甲方审核同意方可更换。</w:t>
      </w:r>
    </w:p>
    <w:p w14:paraId="6D9CF0D2">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p>
    <w:p w14:paraId="10E83DBF">
      <w:pPr>
        <w:spacing w:line="520" w:lineRule="exact"/>
        <w:ind w:firstLine="562"/>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附件：</w:t>
      </w:r>
      <w:r>
        <w:rPr>
          <w:rFonts w:hint="eastAsia" w:ascii="仿宋" w:hAnsi="仿宋" w:eastAsia="仿宋" w:cs="仿宋"/>
          <w:b/>
          <w:color w:val="auto"/>
          <w:sz w:val="28"/>
          <w:szCs w:val="28"/>
          <w:highlight w:val="none"/>
        </w:rPr>
        <w:t>季度服务考核表</w:t>
      </w:r>
    </w:p>
    <w:tbl>
      <w:tblPr>
        <w:tblStyle w:val="38"/>
        <w:tblW w:w="9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3598"/>
        <w:gridCol w:w="2407"/>
        <w:gridCol w:w="1318"/>
        <w:gridCol w:w="907"/>
      </w:tblGrid>
      <w:tr w14:paraId="61A4F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25" w:type="dxa"/>
            <w:noWrap w:val="0"/>
            <w:vAlign w:val="center"/>
          </w:tcPr>
          <w:p w14:paraId="314C45BC">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3598" w:type="dxa"/>
            <w:noWrap w:val="0"/>
            <w:vAlign w:val="center"/>
          </w:tcPr>
          <w:p w14:paraId="66367355">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考核标准</w:t>
            </w:r>
          </w:p>
        </w:tc>
        <w:tc>
          <w:tcPr>
            <w:tcW w:w="2407" w:type="dxa"/>
            <w:noWrap w:val="0"/>
            <w:vAlign w:val="center"/>
          </w:tcPr>
          <w:p w14:paraId="7C28BF96">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扣发金额标准</w:t>
            </w:r>
          </w:p>
        </w:tc>
        <w:tc>
          <w:tcPr>
            <w:tcW w:w="1318" w:type="dxa"/>
            <w:noWrap w:val="0"/>
            <w:vAlign w:val="center"/>
          </w:tcPr>
          <w:p w14:paraId="3643E37F">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扣发金额</w:t>
            </w:r>
          </w:p>
        </w:tc>
        <w:tc>
          <w:tcPr>
            <w:tcW w:w="907" w:type="dxa"/>
            <w:noWrap w:val="0"/>
            <w:vAlign w:val="center"/>
          </w:tcPr>
          <w:p w14:paraId="4C073E6C">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18B12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322974EB">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3598" w:type="dxa"/>
            <w:noWrap w:val="0"/>
            <w:vAlign w:val="center"/>
          </w:tcPr>
          <w:p w14:paraId="61B3C689">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乙方工作人员须严格遵守甲方的相关工作守则和作息时间，听从甲方的安排和分配，在指定的工作场所完成事务类工作，遵守和维护工作秩序。</w:t>
            </w:r>
          </w:p>
        </w:tc>
        <w:tc>
          <w:tcPr>
            <w:tcW w:w="2407" w:type="dxa"/>
            <w:noWrap w:val="0"/>
            <w:vAlign w:val="center"/>
          </w:tcPr>
          <w:p w14:paraId="7528F5B3">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违反规定的，根据具体违规情节扣发供应商费用100-1000元/次。</w:t>
            </w:r>
          </w:p>
        </w:tc>
        <w:tc>
          <w:tcPr>
            <w:tcW w:w="1318" w:type="dxa"/>
            <w:noWrap w:val="0"/>
            <w:vAlign w:val="center"/>
          </w:tcPr>
          <w:p w14:paraId="5C90057A">
            <w:pPr>
              <w:spacing w:line="400" w:lineRule="exact"/>
              <w:rPr>
                <w:rFonts w:hint="eastAsia" w:ascii="仿宋" w:hAnsi="仿宋" w:eastAsia="仿宋" w:cs="仿宋"/>
                <w:color w:val="auto"/>
                <w:sz w:val="24"/>
                <w:highlight w:val="none"/>
              </w:rPr>
            </w:pPr>
          </w:p>
        </w:tc>
        <w:tc>
          <w:tcPr>
            <w:tcW w:w="907" w:type="dxa"/>
            <w:noWrap w:val="0"/>
            <w:vAlign w:val="center"/>
          </w:tcPr>
          <w:p w14:paraId="2EA57026">
            <w:pPr>
              <w:spacing w:line="400" w:lineRule="exact"/>
              <w:rPr>
                <w:rFonts w:hint="eastAsia" w:ascii="仿宋" w:hAnsi="仿宋" w:eastAsia="仿宋" w:cs="仿宋"/>
                <w:color w:val="auto"/>
                <w:sz w:val="24"/>
                <w:highlight w:val="none"/>
              </w:rPr>
            </w:pPr>
          </w:p>
        </w:tc>
      </w:tr>
      <w:tr w14:paraId="5000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21930ACC">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3598" w:type="dxa"/>
            <w:noWrap w:val="0"/>
            <w:vAlign w:val="center"/>
          </w:tcPr>
          <w:p w14:paraId="06ED3378">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乙方应制定</w:t>
            </w:r>
            <w:r>
              <w:rPr>
                <w:rFonts w:hint="eastAsia" w:ascii="仿宋" w:hAnsi="仿宋" w:eastAsia="仿宋" w:cs="仿宋"/>
                <w:color w:val="auto"/>
                <w:sz w:val="24"/>
                <w:highlight w:val="none"/>
                <w:lang w:eastAsia="zh-CN"/>
              </w:rPr>
              <w:t>服务人员</w:t>
            </w:r>
            <w:r>
              <w:rPr>
                <w:rFonts w:hint="eastAsia" w:ascii="仿宋" w:hAnsi="仿宋" w:eastAsia="仿宋" w:cs="仿宋"/>
                <w:color w:val="auto"/>
                <w:sz w:val="24"/>
                <w:highlight w:val="none"/>
              </w:rPr>
              <w:t>管理制度，承担</w:t>
            </w:r>
            <w:r>
              <w:rPr>
                <w:rFonts w:hint="eastAsia" w:ascii="仿宋" w:hAnsi="仿宋" w:eastAsia="仿宋" w:cs="仿宋"/>
                <w:color w:val="auto"/>
                <w:sz w:val="24"/>
                <w:highlight w:val="none"/>
                <w:lang w:eastAsia="zh-CN"/>
              </w:rPr>
              <w:t>服务人员</w:t>
            </w:r>
            <w:r>
              <w:rPr>
                <w:rFonts w:hint="eastAsia" w:ascii="仿宋" w:hAnsi="仿宋" w:eastAsia="仿宋" w:cs="仿宋"/>
                <w:color w:val="auto"/>
                <w:sz w:val="24"/>
                <w:highlight w:val="none"/>
              </w:rPr>
              <w:t>管理责任，甲方有权监督</w:t>
            </w:r>
            <w:r>
              <w:rPr>
                <w:rFonts w:hint="eastAsia" w:ascii="仿宋" w:hAnsi="仿宋" w:eastAsia="仿宋" w:cs="仿宋"/>
                <w:color w:val="auto"/>
                <w:sz w:val="24"/>
                <w:highlight w:val="none"/>
                <w:lang w:eastAsia="zh-CN"/>
              </w:rPr>
              <w:t>服务人员</w:t>
            </w:r>
            <w:r>
              <w:rPr>
                <w:rFonts w:hint="eastAsia" w:ascii="仿宋" w:hAnsi="仿宋" w:eastAsia="仿宋" w:cs="仿宋"/>
                <w:color w:val="auto"/>
                <w:sz w:val="24"/>
                <w:highlight w:val="none"/>
              </w:rPr>
              <w:t>履行合同情况。</w:t>
            </w:r>
          </w:p>
        </w:tc>
        <w:tc>
          <w:tcPr>
            <w:tcW w:w="2407" w:type="dxa"/>
            <w:noWrap w:val="0"/>
            <w:vAlign w:val="center"/>
          </w:tcPr>
          <w:p w14:paraId="6F71246F">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服务人员</w:t>
            </w:r>
            <w:r>
              <w:rPr>
                <w:rFonts w:hint="eastAsia" w:ascii="仿宋" w:hAnsi="仿宋" w:eastAsia="仿宋" w:cs="仿宋"/>
                <w:color w:val="auto"/>
                <w:sz w:val="24"/>
                <w:highlight w:val="none"/>
              </w:rPr>
              <w:t>违反甲方工作制度和规定的，甲方有权按照合同扣减乙方应得费用。</w:t>
            </w:r>
          </w:p>
        </w:tc>
        <w:tc>
          <w:tcPr>
            <w:tcW w:w="1318" w:type="dxa"/>
            <w:noWrap w:val="0"/>
            <w:vAlign w:val="center"/>
          </w:tcPr>
          <w:p w14:paraId="1DDE98EF">
            <w:pPr>
              <w:spacing w:line="400" w:lineRule="exact"/>
              <w:rPr>
                <w:rFonts w:hint="eastAsia" w:ascii="仿宋" w:hAnsi="仿宋" w:eastAsia="仿宋" w:cs="仿宋"/>
                <w:color w:val="auto"/>
                <w:sz w:val="24"/>
                <w:highlight w:val="none"/>
              </w:rPr>
            </w:pPr>
          </w:p>
        </w:tc>
        <w:tc>
          <w:tcPr>
            <w:tcW w:w="907" w:type="dxa"/>
            <w:noWrap w:val="0"/>
            <w:vAlign w:val="center"/>
          </w:tcPr>
          <w:p w14:paraId="46841959">
            <w:pPr>
              <w:spacing w:line="400" w:lineRule="exact"/>
              <w:rPr>
                <w:rFonts w:hint="eastAsia" w:ascii="仿宋" w:hAnsi="仿宋" w:eastAsia="仿宋" w:cs="仿宋"/>
                <w:color w:val="auto"/>
                <w:sz w:val="24"/>
                <w:highlight w:val="none"/>
              </w:rPr>
            </w:pPr>
          </w:p>
        </w:tc>
      </w:tr>
      <w:tr w14:paraId="0F7C8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1EC42547">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3598" w:type="dxa"/>
            <w:noWrap w:val="0"/>
            <w:vAlign w:val="center"/>
          </w:tcPr>
          <w:p w14:paraId="412AE4C9">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在合同履行期间，</w:t>
            </w:r>
            <w:r>
              <w:rPr>
                <w:rFonts w:hint="eastAsia" w:ascii="仿宋" w:hAnsi="仿宋" w:eastAsia="仿宋" w:cs="仿宋"/>
                <w:color w:val="auto"/>
                <w:sz w:val="24"/>
                <w:highlight w:val="none"/>
                <w:lang w:eastAsia="zh-CN"/>
              </w:rPr>
              <w:t>服务人员</w:t>
            </w:r>
            <w:r>
              <w:rPr>
                <w:rFonts w:hint="eastAsia" w:ascii="仿宋" w:hAnsi="仿宋" w:eastAsia="仿宋" w:cs="仿宋"/>
                <w:color w:val="auto"/>
                <w:sz w:val="24"/>
                <w:highlight w:val="none"/>
              </w:rPr>
              <w:t>若发生调换，采购人应对新招用人员基本素质进行考察，新招用人员试用期满仍不能胜任的，采购人有权要求调换。</w:t>
            </w:r>
          </w:p>
        </w:tc>
        <w:tc>
          <w:tcPr>
            <w:tcW w:w="2407" w:type="dxa"/>
            <w:noWrap w:val="0"/>
            <w:vAlign w:val="center"/>
          </w:tcPr>
          <w:p w14:paraId="5BF83340">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按人数扣除乙方 1000 元/人的费用。</w:t>
            </w:r>
          </w:p>
        </w:tc>
        <w:tc>
          <w:tcPr>
            <w:tcW w:w="1318" w:type="dxa"/>
            <w:noWrap w:val="0"/>
            <w:vAlign w:val="center"/>
          </w:tcPr>
          <w:p w14:paraId="73B7A31B">
            <w:pPr>
              <w:spacing w:line="400" w:lineRule="exact"/>
              <w:rPr>
                <w:rFonts w:hint="eastAsia" w:ascii="仿宋" w:hAnsi="仿宋" w:eastAsia="仿宋" w:cs="仿宋"/>
                <w:color w:val="auto"/>
                <w:sz w:val="24"/>
                <w:highlight w:val="none"/>
              </w:rPr>
            </w:pPr>
          </w:p>
        </w:tc>
        <w:tc>
          <w:tcPr>
            <w:tcW w:w="907" w:type="dxa"/>
            <w:noWrap w:val="0"/>
            <w:vAlign w:val="center"/>
          </w:tcPr>
          <w:p w14:paraId="2C331D55">
            <w:pPr>
              <w:spacing w:line="400" w:lineRule="exact"/>
              <w:rPr>
                <w:rFonts w:hint="eastAsia" w:ascii="仿宋" w:hAnsi="仿宋" w:eastAsia="仿宋" w:cs="仿宋"/>
                <w:color w:val="auto"/>
                <w:sz w:val="24"/>
                <w:highlight w:val="none"/>
              </w:rPr>
            </w:pPr>
          </w:p>
        </w:tc>
      </w:tr>
      <w:tr w14:paraId="6850B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367DE12D">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3598" w:type="dxa"/>
            <w:noWrap w:val="0"/>
            <w:vAlign w:val="center"/>
          </w:tcPr>
          <w:p w14:paraId="0E8F8064">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服务人员</w:t>
            </w:r>
            <w:r>
              <w:rPr>
                <w:rFonts w:hint="eastAsia" w:ascii="仿宋" w:hAnsi="仿宋" w:eastAsia="仿宋" w:cs="仿宋"/>
                <w:color w:val="auto"/>
                <w:sz w:val="24"/>
                <w:highlight w:val="none"/>
              </w:rPr>
              <w:t>有严重违反采购人规章制度、严重失职或同时两处以上任职等情形的，采购人有权要求供应商调换。</w:t>
            </w:r>
          </w:p>
        </w:tc>
        <w:tc>
          <w:tcPr>
            <w:tcW w:w="2407" w:type="dxa"/>
            <w:noWrap w:val="0"/>
            <w:vAlign w:val="center"/>
          </w:tcPr>
          <w:p w14:paraId="711ED3A0">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按次扣发乙方1000-10000元的服务费用</w:t>
            </w:r>
          </w:p>
        </w:tc>
        <w:tc>
          <w:tcPr>
            <w:tcW w:w="1318" w:type="dxa"/>
            <w:noWrap w:val="0"/>
            <w:vAlign w:val="center"/>
          </w:tcPr>
          <w:p w14:paraId="5F4749F9">
            <w:pPr>
              <w:spacing w:line="400" w:lineRule="exact"/>
              <w:rPr>
                <w:rFonts w:hint="eastAsia" w:ascii="仿宋" w:hAnsi="仿宋" w:eastAsia="仿宋" w:cs="仿宋"/>
                <w:color w:val="auto"/>
                <w:sz w:val="24"/>
                <w:highlight w:val="none"/>
              </w:rPr>
            </w:pPr>
          </w:p>
        </w:tc>
        <w:tc>
          <w:tcPr>
            <w:tcW w:w="907" w:type="dxa"/>
            <w:noWrap w:val="0"/>
            <w:vAlign w:val="center"/>
          </w:tcPr>
          <w:p w14:paraId="46FE1F6C">
            <w:pPr>
              <w:spacing w:line="400" w:lineRule="exact"/>
              <w:rPr>
                <w:rFonts w:hint="eastAsia" w:ascii="仿宋" w:hAnsi="仿宋" w:eastAsia="仿宋" w:cs="仿宋"/>
                <w:color w:val="auto"/>
                <w:sz w:val="24"/>
                <w:highlight w:val="none"/>
              </w:rPr>
            </w:pPr>
          </w:p>
        </w:tc>
      </w:tr>
      <w:tr w14:paraId="0FB7C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0C938319">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3598" w:type="dxa"/>
            <w:noWrap w:val="0"/>
            <w:vAlign w:val="center"/>
          </w:tcPr>
          <w:p w14:paraId="670322B9">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服务人员</w:t>
            </w:r>
            <w:r>
              <w:rPr>
                <w:rFonts w:hint="eastAsia" w:ascii="仿宋" w:hAnsi="仿宋" w:eastAsia="仿宋" w:cs="仿宋"/>
                <w:color w:val="auto"/>
                <w:sz w:val="24"/>
                <w:highlight w:val="none"/>
              </w:rPr>
              <w:t>无正当理由迟到、早退。</w:t>
            </w:r>
          </w:p>
        </w:tc>
        <w:tc>
          <w:tcPr>
            <w:tcW w:w="2407" w:type="dxa"/>
            <w:noWrap w:val="0"/>
            <w:vAlign w:val="center"/>
          </w:tcPr>
          <w:p w14:paraId="277ECE5E">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扣除供应商费用50 元/人次</w:t>
            </w:r>
          </w:p>
        </w:tc>
        <w:tc>
          <w:tcPr>
            <w:tcW w:w="1318" w:type="dxa"/>
            <w:noWrap w:val="0"/>
            <w:vAlign w:val="center"/>
          </w:tcPr>
          <w:p w14:paraId="755269D8">
            <w:pPr>
              <w:spacing w:line="400" w:lineRule="exact"/>
              <w:rPr>
                <w:rFonts w:hint="eastAsia" w:ascii="仿宋" w:hAnsi="仿宋" w:eastAsia="仿宋" w:cs="仿宋"/>
                <w:color w:val="auto"/>
                <w:sz w:val="24"/>
                <w:highlight w:val="none"/>
              </w:rPr>
            </w:pPr>
          </w:p>
        </w:tc>
        <w:tc>
          <w:tcPr>
            <w:tcW w:w="907" w:type="dxa"/>
            <w:noWrap w:val="0"/>
            <w:vAlign w:val="center"/>
          </w:tcPr>
          <w:p w14:paraId="767246BC">
            <w:pPr>
              <w:spacing w:line="400" w:lineRule="exact"/>
              <w:rPr>
                <w:rFonts w:hint="eastAsia" w:ascii="仿宋" w:hAnsi="仿宋" w:eastAsia="仿宋" w:cs="仿宋"/>
                <w:color w:val="auto"/>
                <w:sz w:val="24"/>
                <w:highlight w:val="none"/>
              </w:rPr>
            </w:pPr>
          </w:p>
        </w:tc>
      </w:tr>
      <w:tr w14:paraId="1E352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1D498F50">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w:t>
            </w:r>
          </w:p>
        </w:tc>
        <w:tc>
          <w:tcPr>
            <w:tcW w:w="3598" w:type="dxa"/>
            <w:noWrap w:val="0"/>
            <w:vAlign w:val="center"/>
          </w:tcPr>
          <w:p w14:paraId="5CD4E8C8">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服务人员</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工作场所</w:t>
            </w:r>
            <w:r>
              <w:rPr>
                <w:rFonts w:hint="eastAsia" w:ascii="仿宋" w:hAnsi="仿宋" w:eastAsia="仿宋" w:cs="仿宋"/>
                <w:color w:val="auto"/>
                <w:sz w:val="24"/>
                <w:highlight w:val="none"/>
              </w:rPr>
              <w:t>违规使用手机、相机等设备的</w:t>
            </w:r>
          </w:p>
        </w:tc>
        <w:tc>
          <w:tcPr>
            <w:tcW w:w="2407" w:type="dxa"/>
            <w:noWrap w:val="0"/>
            <w:vAlign w:val="center"/>
          </w:tcPr>
          <w:p w14:paraId="6C3D3A5E">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扣除供应商费用 500 元/人次</w:t>
            </w:r>
          </w:p>
        </w:tc>
        <w:tc>
          <w:tcPr>
            <w:tcW w:w="1318" w:type="dxa"/>
            <w:noWrap w:val="0"/>
            <w:vAlign w:val="center"/>
          </w:tcPr>
          <w:p w14:paraId="258E5F60">
            <w:pPr>
              <w:spacing w:line="400" w:lineRule="exact"/>
              <w:rPr>
                <w:rFonts w:hint="eastAsia" w:ascii="仿宋" w:hAnsi="仿宋" w:eastAsia="仿宋" w:cs="仿宋"/>
                <w:color w:val="auto"/>
                <w:sz w:val="24"/>
                <w:highlight w:val="none"/>
              </w:rPr>
            </w:pPr>
          </w:p>
        </w:tc>
        <w:tc>
          <w:tcPr>
            <w:tcW w:w="907" w:type="dxa"/>
            <w:noWrap w:val="0"/>
            <w:vAlign w:val="center"/>
          </w:tcPr>
          <w:p w14:paraId="72845E6F">
            <w:pPr>
              <w:spacing w:line="400" w:lineRule="exact"/>
              <w:rPr>
                <w:rFonts w:hint="eastAsia" w:ascii="仿宋" w:hAnsi="仿宋" w:eastAsia="仿宋" w:cs="仿宋"/>
                <w:color w:val="auto"/>
                <w:sz w:val="24"/>
                <w:highlight w:val="none"/>
              </w:rPr>
            </w:pPr>
          </w:p>
        </w:tc>
      </w:tr>
      <w:tr w14:paraId="60BCE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2409E812">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7</w:t>
            </w:r>
          </w:p>
        </w:tc>
        <w:tc>
          <w:tcPr>
            <w:tcW w:w="3598" w:type="dxa"/>
            <w:noWrap w:val="0"/>
            <w:vAlign w:val="center"/>
          </w:tcPr>
          <w:p w14:paraId="635AB929">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服务人员</w:t>
            </w:r>
            <w:r>
              <w:rPr>
                <w:rFonts w:hint="eastAsia" w:ascii="仿宋" w:hAnsi="仿宋" w:eastAsia="仿宋" w:cs="仿宋"/>
                <w:color w:val="auto"/>
                <w:sz w:val="24"/>
                <w:highlight w:val="none"/>
              </w:rPr>
              <w:t xml:space="preserve">未办理请假手续擅自离岗位超过半个小时的，以旷工处理。 </w:t>
            </w:r>
          </w:p>
          <w:p w14:paraId="77CC12C9">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1.旷工半天（含）以下的；</w:t>
            </w:r>
          </w:p>
          <w:p w14:paraId="0C0B35DF">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2.旷工超过半天不到一天的；</w:t>
            </w:r>
          </w:p>
          <w:p w14:paraId="4620B931">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3.旷工超过一天不到三天的；</w:t>
            </w:r>
          </w:p>
          <w:p w14:paraId="664F8879">
            <w:pPr>
              <w:spacing w:line="400" w:lineRule="exact"/>
              <w:rPr>
                <w:rFonts w:hint="eastAsia"/>
                <w:color w:val="auto"/>
                <w:highlight w:val="none"/>
              </w:rPr>
            </w:pPr>
            <w:r>
              <w:rPr>
                <w:rFonts w:hint="eastAsia" w:ascii="仿宋" w:hAnsi="仿宋" w:eastAsia="仿宋" w:cs="仿宋"/>
                <w:color w:val="auto"/>
                <w:sz w:val="24"/>
                <w:highlight w:val="none"/>
              </w:rPr>
              <w:t>4.旷工超过三天的。</w:t>
            </w:r>
          </w:p>
        </w:tc>
        <w:tc>
          <w:tcPr>
            <w:tcW w:w="2407" w:type="dxa"/>
            <w:noWrap w:val="0"/>
            <w:vAlign w:val="center"/>
          </w:tcPr>
          <w:p w14:paraId="75F678BD">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1.扣除供应商费用 100 元/次；</w:t>
            </w:r>
          </w:p>
          <w:p w14:paraId="6DE728DD">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2.扣除供应商费用 200 元/次；</w:t>
            </w:r>
          </w:p>
          <w:p w14:paraId="2269465D">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3.扣除供应商费用 500 元/次；</w:t>
            </w:r>
          </w:p>
          <w:p w14:paraId="5E3EAB62">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4.采购人有权要求乙方限期更换不称职或违规人员，并按次扣减乙方服务费。</w:t>
            </w:r>
          </w:p>
        </w:tc>
        <w:tc>
          <w:tcPr>
            <w:tcW w:w="1318" w:type="dxa"/>
            <w:noWrap w:val="0"/>
            <w:vAlign w:val="center"/>
          </w:tcPr>
          <w:p w14:paraId="1FB104EF">
            <w:pPr>
              <w:spacing w:line="400" w:lineRule="exact"/>
              <w:rPr>
                <w:rFonts w:hint="eastAsia" w:ascii="仿宋" w:hAnsi="仿宋" w:eastAsia="仿宋" w:cs="仿宋"/>
                <w:color w:val="auto"/>
                <w:sz w:val="24"/>
                <w:highlight w:val="none"/>
              </w:rPr>
            </w:pPr>
          </w:p>
        </w:tc>
        <w:tc>
          <w:tcPr>
            <w:tcW w:w="907" w:type="dxa"/>
            <w:noWrap w:val="0"/>
            <w:vAlign w:val="center"/>
          </w:tcPr>
          <w:p w14:paraId="73FF3F21">
            <w:pPr>
              <w:spacing w:line="400" w:lineRule="exact"/>
              <w:rPr>
                <w:rFonts w:hint="eastAsia" w:ascii="仿宋" w:hAnsi="仿宋" w:eastAsia="仿宋" w:cs="仿宋"/>
                <w:color w:val="auto"/>
                <w:sz w:val="24"/>
                <w:highlight w:val="none"/>
              </w:rPr>
            </w:pPr>
          </w:p>
        </w:tc>
      </w:tr>
      <w:tr w14:paraId="4B9C8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6849996A">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w:t>
            </w:r>
          </w:p>
        </w:tc>
        <w:tc>
          <w:tcPr>
            <w:tcW w:w="3598" w:type="dxa"/>
            <w:noWrap w:val="0"/>
            <w:vAlign w:val="center"/>
          </w:tcPr>
          <w:p w14:paraId="0AB9383E">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服务人员</w:t>
            </w:r>
            <w:r>
              <w:rPr>
                <w:rFonts w:hint="eastAsia" w:ascii="仿宋" w:hAnsi="仿宋" w:eastAsia="仿宋" w:cs="仿宋"/>
                <w:color w:val="auto"/>
                <w:sz w:val="24"/>
                <w:highlight w:val="none"/>
              </w:rPr>
              <w:t>造成采购人固定资产及其他设备毁损</w:t>
            </w:r>
          </w:p>
        </w:tc>
        <w:tc>
          <w:tcPr>
            <w:tcW w:w="2407" w:type="dxa"/>
            <w:noWrap w:val="0"/>
            <w:vAlign w:val="center"/>
          </w:tcPr>
          <w:p w14:paraId="2ECB49B1">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除责令供应商赔偿外，扣除供应商费用 500 元/次</w:t>
            </w:r>
          </w:p>
        </w:tc>
        <w:tc>
          <w:tcPr>
            <w:tcW w:w="1318" w:type="dxa"/>
            <w:noWrap w:val="0"/>
            <w:vAlign w:val="center"/>
          </w:tcPr>
          <w:p w14:paraId="45B4F78E">
            <w:pPr>
              <w:spacing w:line="400" w:lineRule="exact"/>
              <w:rPr>
                <w:rFonts w:hint="eastAsia" w:ascii="仿宋" w:hAnsi="仿宋" w:eastAsia="仿宋" w:cs="仿宋"/>
                <w:color w:val="auto"/>
                <w:sz w:val="24"/>
                <w:highlight w:val="none"/>
              </w:rPr>
            </w:pPr>
          </w:p>
        </w:tc>
        <w:tc>
          <w:tcPr>
            <w:tcW w:w="907" w:type="dxa"/>
            <w:noWrap w:val="0"/>
            <w:vAlign w:val="center"/>
          </w:tcPr>
          <w:p w14:paraId="6FD707D3">
            <w:pPr>
              <w:spacing w:line="400" w:lineRule="exact"/>
              <w:rPr>
                <w:rFonts w:hint="eastAsia" w:ascii="仿宋" w:hAnsi="仿宋" w:eastAsia="仿宋" w:cs="仿宋"/>
                <w:color w:val="auto"/>
                <w:sz w:val="24"/>
                <w:highlight w:val="none"/>
              </w:rPr>
            </w:pPr>
          </w:p>
        </w:tc>
      </w:tr>
      <w:tr w14:paraId="7CB5A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795026DF">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9</w:t>
            </w:r>
          </w:p>
        </w:tc>
        <w:tc>
          <w:tcPr>
            <w:tcW w:w="3598" w:type="dxa"/>
            <w:noWrap w:val="0"/>
            <w:vAlign w:val="center"/>
          </w:tcPr>
          <w:p w14:paraId="62F42040">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服务人员</w:t>
            </w:r>
            <w:r>
              <w:rPr>
                <w:rFonts w:hint="eastAsia" w:ascii="仿宋" w:hAnsi="仿宋" w:eastAsia="仿宋" w:cs="仿宋"/>
                <w:color w:val="auto"/>
                <w:sz w:val="24"/>
                <w:highlight w:val="none"/>
              </w:rPr>
              <w:t>因擅自外接 U 盘、硬盘等存储器造成网络安全事故，引发数据丢失、系统瘫痪等严重后果的</w:t>
            </w:r>
          </w:p>
        </w:tc>
        <w:tc>
          <w:tcPr>
            <w:tcW w:w="2407" w:type="dxa"/>
            <w:noWrap w:val="0"/>
            <w:vAlign w:val="center"/>
          </w:tcPr>
          <w:p w14:paraId="4FDF153B">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扣除供应商费用 10000 元/次</w:t>
            </w:r>
          </w:p>
        </w:tc>
        <w:tc>
          <w:tcPr>
            <w:tcW w:w="1318" w:type="dxa"/>
            <w:noWrap w:val="0"/>
            <w:vAlign w:val="center"/>
          </w:tcPr>
          <w:p w14:paraId="0D0A2FFA">
            <w:pPr>
              <w:spacing w:line="400" w:lineRule="exact"/>
              <w:rPr>
                <w:rFonts w:hint="eastAsia" w:ascii="仿宋" w:hAnsi="仿宋" w:eastAsia="仿宋" w:cs="仿宋"/>
                <w:color w:val="auto"/>
                <w:sz w:val="24"/>
                <w:highlight w:val="none"/>
              </w:rPr>
            </w:pPr>
          </w:p>
        </w:tc>
        <w:tc>
          <w:tcPr>
            <w:tcW w:w="907" w:type="dxa"/>
            <w:noWrap w:val="0"/>
            <w:vAlign w:val="center"/>
          </w:tcPr>
          <w:p w14:paraId="5F17805E">
            <w:pPr>
              <w:spacing w:line="400" w:lineRule="exact"/>
              <w:rPr>
                <w:rFonts w:hint="eastAsia" w:ascii="仿宋" w:hAnsi="仿宋" w:eastAsia="仿宋" w:cs="仿宋"/>
                <w:color w:val="auto"/>
                <w:sz w:val="24"/>
                <w:highlight w:val="none"/>
              </w:rPr>
            </w:pPr>
          </w:p>
        </w:tc>
      </w:tr>
      <w:tr w14:paraId="1333A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04784282">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10</w:t>
            </w:r>
          </w:p>
        </w:tc>
        <w:tc>
          <w:tcPr>
            <w:tcW w:w="3598" w:type="dxa"/>
            <w:noWrap w:val="0"/>
            <w:vAlign w:val="center"/>
          </w:tcPr>
          <w:p w14:paraId="1B607BA5">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服务人员</w:t>
            </w:r>
            <w:r>
              <w:rPr>
                <w:rFonts w:hint="eastAsia" w:ascii="仿宋" w:hAnsi="仿宋" w:eastAsia="仿宋" w:cs="仿宋"/>
                <w:color w:val="auto"/>
                <w:sz w:val="24"/>
                <w:highlight w:val="none"/>
              </w:rPr>
              <w:t>有违反采购方其他信息安全管理规定的</w:t>
            </w:r>
          </w:p>
        </w:tc>
        <w:tc>
          <w:tcPr>
            <w:tcW w:w="2407" w:type="dxa"/>
            <w:noWrap w:val="0"/>
            <w:vAlign w:val="center"/>
          </w:tcPr>
          <w:p w14:paraId="3B48343A">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扣除供应商费用 1000 元/次</w:t>
            </w:r>
          </w:p>
        </w:tc>
        <w:tc>
          <w:tcPr>
            <w:tcW w:w="1318" w:type="dxa"/>
            <w:noWrap w:val="0"/>
            <w:vAlign w:val="center"/>
          </w:tcPr>
          <w:p w14:paraId="0193A33A">
            <w:pPr>
              <w:spacing w:line="400" w:lineRule="exact"/>
              <w:rPr>
                <w:rFonts w:hint="eastAsia" w:ascii="仿宋" w:hAnsi="仿宋" w:eastAsia="仿宋" w:cs="仿宋"/>
                <w:color w:val="auto"/>
                <w:sz w:val="24"/>
                <w:highlight w:val="none"/>
              </w:rPr>
            </w:pPr>
          </w:p>
        </w:tc>
        <w:tc>
          <w:tcPr>
            <w:tcW w:w="907" w:type="dxa"/>
            <w:noWrap w:val="0"/>
            <w:vAlign w:val="center"/>
          </w:tcPr>
          <w:p w14:paraId="4EC33A53">
            <w:pPr>
              <w:spacing w:line="400" w:lineRule="exact"/>
              <w:rPr>
                <w:rFonts w:hint="eastAsia" w:ascii="仿宋" w:hAnsi="仿宋" w:eastAsia="仿宋" w:cs="仿宋"/>
                <w:color w:val="auto"/>
                <w:sz w:val="24"/>
                <w:highlight w:val="none"/>
              </w:rPr>
            </w:pPr>
          </w:p>
        </w:tc>
      </w:tr>
      <w:tr w14:paraId="66CC4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265A0F19">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w:t>
            </w:r>
          </w:p>
        </w:tc>
        <w:tc>
          <w:tcPr>
            <w:tcW w:w="3598" w:type="dxa"/>
            <w:noWrap w:val="0"/>
            <w:vAlign w:val="center"/>
          </w:tcPr>
          <w:p w14:paraId="1A9F8AF0">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服务人员</w:t>
            </w:r>
            <w:r>
              <w:rPr>
                <w:rFonts w:hint="eastAsia" w:ascii="仿宋" w:hAnsi="仿宋" w:eastAsia="仿宋" w:cs="仿宋"/>
                <w:color w:val="auto"/>
                <w:sz w:val="24"/>
                <w:highlight w:val="none"/>
              </w:rPr>
              <w:t>因违反保密协议，造成工作秘密外泄的</w:t>
            </w:r>
          </w:p>
        </w:tc>
        <w:tc>
          <w:tcPr>
            <w:tcW w:w="2407" w:type="dxa"/>
            <w:noWrap w:val="0"/>
            <w:vAlign w:val="center"/>
          </w:tcPr>
          <w:p w14:paraId="12987297">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扣除供应商费用 10000 元/次，并追究相关</w:t>
            </w:r>
            <w:r>
              <w:rPr>
                <w:rFonts w:hint="eastAsia" w:ascii="仿宋" w:hAnsi="仿宋" w:eastAsia="仿宋" w:cs="仿宋"/>
                <w:color w:val="auto"/>
                <w:sz w:val="24"/>
                <w:highlight w:val="none"/>
                <w:lang w:eastAsia="zh-CN"/>
              </w:rPr>
              <w:t>服务人员</w:t>
            </w:r>
            <w:r>
              <w:rPr>
                <w:rFonts w:hint="eastAsia" w:ascii="仿宋" w:hAnsi="仿宋" w:eastAsia="仿宋" w:cs="仿宋"/>
                <w:color w:val="auto"/>
                <w:sz w:val="24"/>
                <w:highlight w:val="none"/>
              </w:rPr>
              <w:t>法律责任，必要时采购方有权立即中止当前合同。</w:t>
            </w:r>
          </w:p>
        </w:tc>
        <w:tc>
          <w:tcPr>
            <w:tcW w:w="1318" w:type="dxa"/>
            <w:noWrap w:val="0"/>
            <w:vAlign w:val="center"/>
          </w:tcPr>
          <w:p w14:paraId="67429171">
            <w:pPr>
              <w:spacing w:line="400" w:lineRule="exact"/>
              <w:rPr>
                <w:rFonts w:hint="eastAsia" w:ascii="仿宋" w:hAnsi="仿宋" w:eastAsia="仿宋" w:cs="仿宋"/>
                <w:color w:val="auto"/>
                <w:sz w:val="24"/>
                <w:highlight w:val="none"/>
              </w:rPr>
            </w:pPr>
          </w:p>
        </w:tc>
        <w:tc>
          <w:tcPr>
            <w:tcW w:w="907" w:type="dxa"/>
            <w:noWrap w:val="0"/>
            <w:vAlign w:val="center"/>
          </w:tcPr>
          <w:p w14:paraId="3E533122">
            <w:pPr>
              <w:spacing w:line="400" w:lineRule="exact"/>
              <w:rPr>
                <w:rFonts w:hint="eastAsia" w:ascii="仿宋" w:hAnsi="仿宋" w:eastAsia="仿宋" w:cs="仿宋"/>
                <w:color w:val="auto"/>
                <w:sz w:val="24"/>
                <w:highlight w:val="none"/>
              </w:rPr>
            </w:pPr>
          </w:p>
        </w:tc>
      </w:tr>
      <w:tr w14:paraId="58055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67E3243B">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w:t>
            </w:r>
          </w:p>
        </w:tc>
        <w:tc>
          <w:tcPr>
            <w:tcW w:w="3598" w:type="dxa"/>
            <w:noWrap w:val="0"/>
            <w:vAlign w:val="center"/>
          </w:tcPr>
          <w:p w14:paraId="7604A0E7">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服务人员</w:t>
            </w:r>
            <w:r>
              <w:rPr>
                <w:rFonts w:hint="eastAsia" w:ascii="仿宋" w:hAnsi="仿宋" w:eastAsia="仿宋" w:cs="仿宋"/>
                <w:color w:val="auto"/>
                <w:sz w:val="24"/>
                <w:highlight w:val="none"/>
              </w:rPr>
              <w:t>发生业务办理差错的</w:t>
            </w:r>
          </w:p>
        </w:tc>
        <w:tc>
          <w:tcPr>
            <w:tcW w:w="2407" w:type="dxa"/>
            <w:noWrap w:val="0"/>
            <w:vAlign w:val="center"/>
          </w:tcPr>
          <w:p w14:paraId="19F88BB1">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视情节和补救情况，扣除供应商费用 100-1000 元/笔</w:t>
            </w:r>
          </w:p>
        </w:tc>
        <w:tc>
          <w:tcPr>
            <w:tcW w:w="1318" w:type="dxa"/>
            <w:noWrap w:val="0"/>
            <w:vAlign w:val="center"/>
          </w:tcPr>
          <w:p w14:paraId="7107F24F">
            <w:pPr>
              <w:spacing w:line="400" w:lineRule="exact"/>
              <w:rPr>
                <w:rFonts w:hint="eastAsia" w:ascii="仿宋" w:hAnsi="仿宋" w:eastAsia="仿宋" w:cs="仿宋"/>
                <w:color w:val="auto"/>
                <w:sz w:val="24"/>
                <w:highlight w:val="none"/>
              </w:rPr>
            </w:pPr>
          </w:p>
        </w:tc>
        <w:tc>
          <w:tcPr>
            <w:tcW w:w="907" w:type="dxa"/>
            <w:noWrap w:val="0"/>
            <w:vAlign w:val="center"/>
          </w:tcPr>
          <w:p w14:paraId="6C1C49A0">
            <w:pPr>
              <w:spacing w:line="400" w:lineRule="exact"/>
              <w:rPr>
                <w:rFonts w:hint="eastAsia" w:ascii="仿宋" w:hAnsi="仿宋" w:eastAsia="仿宋" w:cs="仿宋"/>
                <w:color w:val="auto"/>
                <w:sz w:val="24"/>
                <w:highlight w:val="none"/>
              </w:rPr>
            </w:pPr>
          </w:p>
        </w:tc>
      </w:tr>
      <w:tr w14:paraId="2DB22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0C6E569C">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13</w:t>
            </w:r>
          </w:p>
        </w:tc>
        <w:tc>
          <w:tcPr>
            <w:tcW w:w="3598" w:type="dxa"/>
            <w:noWrap w:val="0"/>
            <w:vAlign w:val="center"/>
          </w:tcPr>
          <w:p w14:paraId="566B04CF">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服务人员</w:t>
            </w:r>
            <w:r>
              <w:rPr>
                <w:rFonts w:hint="eastAsia" w:ascii="仿宋" w:hAnsi="仿宋" w:eastAsia="仿宋" w:cs="仿宋"/>
                <w:color w:val="auto"/>
                <w:sz w:val="24"/>
                <w:highlight w:val="none"/>
              </w:rPr>
              <w:t>违规操作、人为浪费或非必要耗能（包括但不限于闲置不关设备、违规使用大功率电器等）。</w:t>
            </w:r>
          </w:p>
        </w:tc>
        <w:tc>
          <w:tcPr>
            <w:tcW w:w="2407" w:type="dxa"/>
            <w:noWrap w:val="0"/>
            <w:vAlign w:val="center"/>
          </w:tcPr>
          <w:p w14:paraId="5731A5E6">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每次扣除供应商费用1000元并要求乙方补缴超出正常用量部分的费用。</w:t>
            </w:r>
          </w:p>
        </w:tc>
        <w:tc>
          <w:tcPr>
            <w:tcW w:w="1318" w:type="dxa"/>
            <w:noWrap w:val="0"/>
            <w:vAlign w:val="center"/>
          </w:tcPr>
          <w:p w14:paraId="5FD33B38">
            <w:pPr>
              <w:spacing w:line="400" w:lineRule="exact"/>
              <w:rPr>
                <w:rFonts w:hint="eastAsia" w:ascii="仿宋" w:hAnsi="仿宋" w:eastAsia="仿宋" w:cs="仿宋"/>
                <w:color w:val="auto"/>
                <w:sz w:val="24"/>
                <w:highlight w:val="none"/>
              </w:rPr>
            </w:pPr>
          </w:p>
        </w:tc>
        <w:tc>
          <w:tcPr>
            <w:tcW w:w="907" w:type="dxa"/>
            <w:noWrap w:val="0"/>
            <w:vAlign w:val="center"/>
          </w:tcPr>
          <w:p w14:paraId="595A81A8">
            <w:pPr>
              <w:spacing w:line="400" w:lineRule="exact"/>
              <w:rPr>
                <w:rFonts w:hint="eastAsia" w:ascii="仿宋" w:hAnsi="仿宋" w:eastAsia="仿宋" w:cs="仿宋"/>
                <w:color w:val="auto"/>
                <w:sz w:val="24"/>
                <w:highlight w:val="none"/>
              </w:rPr>
            </w:pPr>
          </w:p>
        </w:tc>
      </w:tr>
      <w:tr w14:paraId="0FE42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25C32EE7">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14</w:t>
            </w:r>
          </w:p>
        </w:tc>
        <w:tc>
          <w:tcPr>
            <w:tcW w:w="3598" w:type="dxa"/>
            <w:noWrap w:val="0"/>
            <w:vAlign w:val="center"/>
          </w:tcPr>
          <w:p w14:paraId="385F572D">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服务人员</w:t>
            </w:r>
            <w:r>
              <w:rPr>
                <w:rFonts w:hint="eastAsia" w:ascii="仿宋" w:hAnsi="仿宋" w:eastAsia="仿宋" w:cs="仿宋"/>
                <w:color w:val="auto"/>
                <w:sz w:val="24"/>
                <w:highlight w:val="none"/>
              </w:rPr>
              <w:t>不服从采购人管理或者不遵守采购人的管理规定的</w:t>
            </w:r>
          </w:p>
        </w:tc>
        <w:tc>
          <w:tcPr>
            <w:tcW w:w="2407" w:type="dxa"/>
            <w:noWrap w:val="0"/>
            <w:vAlign w:val="center"/>
          </w:tcPr>
          <w:p w14:paraId="18F95D25">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采购人有权责令其改正，并扣除供应商费用 200 元/次；经采购人责令改正仍不改正的，扣除供应商费用1000元/次，并要求乙方限期更换不称职或违规人员。</w:t>
            </w:r>
          </w:p>
        </w:tc>
        <w:tc>
          <w:tcPr>
            <w:tcW w:w="1318" w:type="dxa"/>
            <w:noWrap w:val="0"/>
            <w:vAlign w:val="center"/>
          </w:tcPr>
          <w:p w14:paraId="6A41C83A">
            <w:pPr>
              <w:spacing w:line="400" w:lineRule="exact"/>
              <w:rPr>
                <w:rFonts w:hint="eastAsia" w:ascii="仿宋" w:hAnsi="仿宋" w:eastAsia="仿宋" w:cs="仿宋"/>
                <w:color w:val="auto"/>
                <w:sz w:val="24"/>
                <w:highlight w:val="none"/>
              </w:rPr>
            </w:pPr>
          </w:p>
        </w:tc>
        <w:tc>
          <w:tcPr>
            <w:tcW w:w="907" w:type="dxa"/>
            <w:noWrap w:val="0"/>
            <w:vAlign w:val="center"/>
          </w:tcPr>
          <w:p w14:paraId="284823F4">
            <w:pPr>
              <w:spacing w:line="400" w:lineRule="exact"/>
              <w:rPr>
                <w:rFonts w:hint="eastAsia" w:ascii="仿宋" w:hAnsi="仿宋" w:eastAsia="仿宋" w:cs="仿宋"/>
                <w:color w:val="auto"/>
                <w:sz w:val="24"/>
                <w:highlight w:val="none"/>
              </w:rPr>
            </w:pPr>
          </w:p>
        </w:tc>
      </w:tr>
      <w:tr w14:paraId="6FC1E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2999E353">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15</w:t>
            </w:r>
          </w:p>
        </w:tc>
        <w:tc>
          <w:tcPr>
            <w:tcW w:w="3598" w:type="dxa"/>
            <w:noWrap w:val="0"/>
            <w:vAlign w:val="center"/>
          </w:tcPr>
          <w:p w14:paraId="64B50EDD">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在服务过程中因乙方责任出现院方被上级法院通报的情况</w:t>
            </w:r>
          </w:p>
        </w:tc>
        <w:tc>
          <w:tcPr>
            <w:tcW w:w="2407" w:type="dxa"/>
            <w:noWrap w:val="0"/>
            <w:vAlign w:val="center"/>
          </w:tcPr>
          <w:p w14:paraId="6E14CD96">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被省院通报一次，甲方有权对乙方进行扣减服务费5000元。造成的损失由乙方承担赔偿责任，甲方有权提前解除合同并拒绝支付本季度服务费用。</w:t>
            </w:r>
          </w:p>
        </w:tc>
        <w:tc>
          <w:tcPr>
            <w:tcW w:w="1318" w:type="dxa"/>
            <w:noWrap w:val="0"/>
            <w:vAlign w:val="center"/>
          </w:tcPr>
          <w:p w14:paraId="00E62BFD">
            <w:pPr>
              <w:spacing w:line="400" w:lineRule="exact"/>
              <w:rPr>
                <w:rFonts w:hint="eastAsia" w:ascii="仿宋" w:hAnsi="仿宋" w:eastAsia="仿宋" w:cs="仿宋"/>
                <w:color w:val="auto"/>
                <w:sz w:val="24"/>
                <w:highlight w:val="none"/>
              </w:rPr>
            </w:pPr>
          </w:p>
        </w:tc>
        <w:tc>
          <w:tcPr>
            <w:tcW w:w="907" w:type="dxa"/>
            <w:noWrap w:val="0"/>
            <w:vAlign w:val="center"/>
          </w:tcPr>
          <w:p w14:paraId="7C7C4CFC">
            <w:pPr>
              <w:spacing w:line="400" w:lineRule="exact"/>
              <w:rPr>
                <w:rFonts w:hint="eastAsia" w:ascii="仿宋" w:hAnsi="仿宋" w:eastAsia="仿宋" w:cs="仿宋"/>
                <w:color w:val="auto"/>
                <w:sz w:val="24"/>
                <w:highlight w:val="none"/>
              </w:rPr>
            </w:pPr>
          </w:p>
        </w:tc>
      </w:tr>
      <w:tr w14:paraId="12DAA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5" w:type="dxa"/>
            <w:gridSpan w:val="5"/>
            <w:noWrap w:val="0"/>
            <w:vAlign w:val="center"/>
          </w:tcPr>
          <w:p w14:paraId="569A3C7B">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合计：    元</w:t>
            </w:r>
          </w:p>
        </w:tc>
      </w:tr>
    </w:tbl>
    <w:p w14:paraId="539DC2BD">
      <w:pPr>
        <w:pageBreakBefore w:val="0"/>
        <w:widowControl/>
        <w:tabs>
          <w:tab w:val="left" w:pos="755"/>
          <w:tab w:val="left" w:pos="1620"/>
          <w:tab w:val="left" w:pos="2562"/>
        </w:tabs>
        <w:spacing w:line="480" w:lineRule="exact"/>
        <w:jc w:val="left"/>
        <w:rPr>
          <w:rFonts w:hint="eastAsia" w:ascii="宋体" w:hAnsi="宋体"/>
          <w:color w:val="auto"/>
          <w:sz w:val="28"/>
          <w:szCs w:val="28"/>
          <w:highlight w:val="none"/>
        </w:rPr>
      </w:pPr>
      <w:r>
        <w:rPr>
          <w:rFonts w:hint="eastAsia" w:ascii="仿宋" w:hAnsi="仿宋" w:eastAsia="仿宋" w:cs="仿宋"/>
          <w:b/>
          <w:color w:val="auto"/>
          <w:sz w:val="28"/>
          <w:szCs w:val="28"/>
          <w:highlight w:val="none"/>
        </w:rPr>
        <w:t>注：季度服务考核合计扣发金额达到季度应付服务费5%的，甲方有权解除合同。</w:t>
      </w:r>
    </w:p>
    <w:p w14:paraId="1A594B55">
      <w:pPr>
        <w:spacing w:line="360" w:lineRule="auto"/>
        <w:ind w:firstLine="1749"/>
        <w:rPr>
          <w:rFonts w:hint="eastAsia" w:ascii="仿宋" w:hAnsi="仿宋" w:eastAsia="仿宋" w:cs="仿宋"/>
          <w:b/>
          <w:bCs/>
          <w:color w:val="auto"/>
          <w:sz w:val="44"/>
          <w:highlight w:val="none"/>
        </w:rPr>
      </w:pPr>
    </w:p>
    <w:p w14:paraId="6DAF5F91">
      <w:pPr>
        <w:spacing w:line="360" w:lineRule="auto"/>
        <w:rPr>
          <w:rFonts w:hint="eastAsia" w:ascii="仿宋" w:hAnsi="仿宋" w:eastAsia="仿宋" w:cs="仿宋"/>
          <w:b/>
          <w:bCs/>
          <w:color w:val="auto"/>
          <w:sz w:val="44"/>
          <w:highlight w:val="none"/>
        </w:rPr>
      </w:pPr>
    </w:p>
    <w:p w14:paraId="274004B9">
      <w:pPr>
        <w:pStyle w:val="222"/>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p>
    <w:p w14:paraId="4B15AAC8">
      <w:pPr>
        <w:pStyle w:val="222"/>
        <w:ind w:firstLine="2342"/>
        <w:rPr>
          <w:rFonts w:hint="eastAsia" w:ascii="仿宋" w:hAnsi="仿宋" w:eastAsia="仿宋" w:cs="仿宋"/>
          <w:b/>
          <w:bCs/>
          <w:color w:val="auto"/>
          <w:sz w:val="36"/>
          <w:szCs w:val="36"/>
          <w:highlight w:val="none"/>
        </w:rPr>
      </w:pPr>
    </w:p>
    <w:p w14:paraId="777FC43B">
      <w:pPr>
        <w:pStyle w:val="222"/>
        <w:ind w:firstLine="2342"/>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第六章   响  应  文  件  </w:t>
      </w:r>
    </w:p>
    <w:p w14:paraId="05A7D929">
      <w:pPr>
        <w:pStyle w:val="222"/>
        <w:ind w:firstLine="2640"/>
        <w:rPr>
          <w:rFonts w:hint="eastAsia" w:ascii="仿宋" w:hAnsi="仿宋" w:eastAsia="仿宋" w:cs="仿宋"/>
          <w:color w:val="auto"/>
          <w:sz w:val="44"/>
          <w:szCs w:val="44"/>
          <w:highlight w:val="none"/>
        </w:rPr>
      </w:pPr>
    </w:p>
    <w:p w14:paraId="1EABAC6A">
      <w:pPr>
        <w:pStyle w:val="222"/>
        <w:ind w:firstLine="2640"/>
        <w:rPr>
          <w:rFonts w:hint="eastAsia" w:ascii="仿宋" w:hAnsi="仿宋" w:eastAsia="仿宋" w:cs="仿宋"/>
          <w:color w:val="auto"/>
          <w:sz w:val="44"/>
          <w:szCs w:val="44"/>
          <w:highlight w:val="none"/>
        </w:rPr>
      </w:pPr>
    </w:p>
    <w:p w14:paraId="75D90C45">
      <w:pPr>
        <w:pStyle w:val="222"/>
        <w:rPr>
          <w:rFonts w:hint="eastAsia" w:ascii="仿宋" w:hAnsi="仿宋" w:eastAsia="仿宋" w:cs="仿宋"/>
          <w:color w:val="auto"/>
          <w:sz w:val="44"/>
          <w:szCs w:val="44"/>
          <w:highlight w:val="none"/>
        </w:rPr>
      </w:pPr>
    </w:p>
    <w:p w14:paraId="710F41DE">
      <w:pPr>
        <w:pStyle w:val="222"/>
        <w:rPr>
          <w:rFonts w:hint="eastAsia" w:ascii="仿宋" w:hAnsi="仿宋" w:eastAsia="仿宋" w:cs="仿宋"/>
          <w:color w:val="auto"/>
          <w:sz w:val="32"/>
          <w:highlight w:val="none"/>
        </w:rPr>
      </w:pPr>
    </w:p>
    <w:p w14:paraId="7B56FB0D">
      <w:pPr>
        <w:pStyle w:val="222"/>
        <w:rPr>
          <w:rFonts w:hint="eastAsia" w:ascii="仿宋" w:hAnsi="仿宋" w:eastAsia="仿宋" w:cs="仿宋"/>
          <w:color w:val="auto"/>
          <w:sz w:val="32"/>
          <w:highlight w:val="none"/>
        </w:rPr>
      </w:pPr>
    </w:p>
    <w:p w14:paraId="1405B2A2">
      <w:pPr>
        <w:spacing w:line="400" w:lineRule="exact"/>
        <w:ind w:firstLine="1446"/>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项目名称:</w:t>
      </w:r>
    </w:p>
    <w:p w14:paraId="52B58D4C">
      <w:pPr>
        <w:pStyle w:val="222"/>
        <w:rPr>
          <w:rFonts w:hint="eastAsia" w:ascii="仿宋" w:hAnsi="仿宋" w:eastAsia="仿宋" w:cs="仿宋"/>
          <w:color w:val="auto"/>
          <w:sz w:val="32"/>
          <w:highlight w:val="none"/>
        </w:rPr>
      </w:pPr>
    </w:p>
    <w:p w14:paraId="388AB4CB">
      <w:pPr>
        <w:pStyle w:val="222"/>
        <w:ind w:firstLine="1066"/>
        <w:rPr>
          <w:rFonts w:hint="eastAsia" w:ascii="仿宋" w:hAnsi="仿宋" w:eastAsia="仿宋" w:cs="仿宋"/>
          <w:b/>
          <w:color w:val="auto"/>
          <w:sz w:val="36"/>
          <w:szCs w:val="24"/>
          <w:highlight w:val="none"/>
        </w:rPr>
      </w:pPr>
    </w:p>
    <w:p w14:paraId="5724C203">
      <w:pPr>
        <w:pStyle w:val="222"/>
        <w:ind w:firstLine="1066"/>
        <w:rPr>
          <w:rFonts w:hint="eastAsia" w:ascii="仿宋" w:hAnsi="仿宋" w:eastAsia="仿宋" w:cs="仿宋"/>
          <w:b/>
          <w:color w:val="auto"/>
          <w:sz w:val="36"/>
          <w:szCs w:val="24"/>
          <w:highlight w:val="none"/>
        </w:rPr>
      </w:pPr>
    </w:p>
    <w:p w14:paraId="0C2C7A6C">
      <w:pPr>
        <w:pStyle w:val="222"/>
        <w:ind w:firstLine="1428"/>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t>项目编号:</w:t>
      </w:r>
    </w:p>
    <w:p w14:paraId="02F6839E">
      <w:pPr>
        <w:spacing w:line="400" w:lineRule="exact"/>
        <w:rPr>
          <w:rFonts w:hint="eastAsia" w:ascii="仿宋" w:hAnsi="仿宋" w:eastAsia="仿宋" w:cs="仿宋"/>
          <w:color w:val="auto"/>
          <w:sz w:val="32"/>
          <w:szCs w:val="20"/>
          <w:highlight w:val="none"/>
        </w:rPr>
      </w:pPr>
    </w:p>
    <w:p w14:paraId="026270F4">
      <w:pPr>
        <w:spacing w:line="400" w:lineRule="exact"/>
        <w:rPr>
          <w:rFonts w:hint="eastAsia" w:ascii="仿宋" w:hAnsi="仿宋" w:eastAsia="仿宋" w:cs="仿宋"/>
          <w:color w:val="auto"/>
          <w:sz w:val="32"/>
          <w:szCs w:val="20"/>
          <w:highlight w:val="none"/>
        </w:rPr>
      </w:pPr>
    </w:p>
    <w:p w14:paraId="1CC4FAC6">
      <w:pPr>
        <w:spacing w:line="400" w:lineRule="exact"/>
        <w:rPr>
          <w:rFonts w:hint="eastAsia" w:ascii="仿宋" w:hAnsi="仿宋" w:eastAsia="仿宋" w:cs="仿宋"/>
          <w:color w:val="auto"/>
          <w:sz w:val="32"/>
          <w:szCs w:val="20"/>
          <w:highlight w:val="none"/>
        </w:rPr>
      </w:pPr>
    </w:p>
    <w:p w14:paraId="04345876">
      <w:pPr>
        <w:spacing w:line="400" w:lineRule="exact"/>
        <w:rPr>
          <w:rFonts w:hint="eastAsia" w:ascii="仿宋" w:hAnsi="仿宋" w:eastAsia="仿宋" w:cs="仿宋"/>
          <w:color w:val="auto"/>
          <w:sz w:val="32"/>
          <w:szCs w:val="20"/>
          <w:highlight w:val="none"/>
        </w:rPr>
      </w:pPr>
    </w:p>
    <w:p w14:paraId="6AF1D5AE">
      <w:pPr>
        <w:spacing w:line="400" w:lineRule="exact"/>
        <w:rPr>
          <w:rFonts w:hint="eastAsia" w:ascii="仿宋" w:hAnsi="仿宋" w:eastAsia="仿宋" w:cs="仿宋"/>
          <w:color w:val="auto"/>
          <w:sz w:val="32"/>
          <w:szCs w:val="20"/>
          <w:highlight w:val="none"/>
        </w:rPr>
      </w:pPr>
    </w:p>
    <w:p w14:paraId="1CE24452">
      <w:pPr>
        <w:spacing w:line="400" w:lineRule="exact"/>
        <w:ind w:firstLine="1428"/>
        <w:rPr>
          <w:rFonts w:hint="eastAsia" w:ascii="仿宋" w:hAnsi="仿宋" w:eastAsia="仿宋" w:cs="仿宋"/>
          <w:b/>
          <w:bCs/>
          <w:color w:val="auto"/>
          <w:sz w:val="32"/>
          <w:highlight w:val="none"/>
        </w:rPr>
      </w:pPr>
      <w:r>
        <w:rPr>
          <w:rFonts w:hint="eastAsia" w:ascii="仿宋" w:hAnsi="仿宋" w:eastAsia="仿宋" w:cs="仿宋"/>
          <w:b/>
          <w:bCs/>
          <w:color w:val="auto"/>
          <w:sz w:val="36"/>
          <w:highlight w:val="none"/>
        </w:rPr>
        <w:t>供应商:</w:t>
      </w:r>
    </w:p>
    <w:p w14:paraId="629E28EE">
      <w:pPr>
        <w:pStyle w:val="222"/>
        <w:ind w:firstLine="1904"/>
        <w:rPr>
          <w:rFonts w:hint="eastAsia" w:ascii="仿宋" w:hAnsi="仿宋" w:eastAsia="仿宋" w:cs="仿宋"/>
          <w:color w:val="auto"/>
          <w:sz w:val="32"/>
          <w:highlight w:val="none"/>
        </w:rPr>
      </w:pPr>
    </w:p>
    <w:p w14:paraId="21E99D12">
      <w:pPr>
        <w:pStyle w:val="222"/>
        <w:ind w:firstLine="1904"/>
        <w:rPr>
          <w:rFonts w:hint="eastAsia" w:ascii="仿宋" w:hAnsi="仿宋" w:eastAsia="仿宋" w:cs="仿宋"/>
          <w:color w:val="auto"/>
          <w:sz w:val="32"/>
          <w:highlight w:val="none"/>
        </w:rPr>
      </w:pPr>
    </w:p>
    <w:p w14:paraId="4503B8CA">
      <w:pPr>
        <w:pStyle w:val="222"/>
        <w:ind w:firstLine="1904"/>
        <w:rPr>
          <w:rFonts w:hint="eastAsia" w:ascii="仿宋" w:hAnsi="仿宋" w:eastAsia="仿宋" w:cs="仿宋"/>
          <w:color w:val="auto"/>
          <w:sz w:val="32"/>
          <w:highlight w:val="none"/>
        </w:rPr>
      </w:pPr>
    </w:p>
    <w:p w14:paraId="7FE167D8">
      <w:pPr>
        <w:pStyle w:val="222"/>
        <w:rPr>
          <w:rFonts w:hint="eastAsia" w:ascii="仿宋" w:hAnsi="仿宋" w:eastAsia="仿宋" w:cs="仿宋"/>
          <w:color w:val="auto"/>
          <w:sz w:val="32"/>
          <w:highlight w:val="none"/>
        </w:rPr>
      </w:pPr>
    </w:p>
    <w:p w14:paraId="2BD95C48">
      <w:pPr>
        <w:pStyle w:val="222"/>
        <w:ind w:firstLine="2645"/>
        <w:rPr>
          <w:rFonts w:hint="eastAsia" w:ascii="仿宋" w:hAnsi="仿宋" w:eastAsia="仿宋" w:cs="仿宋"/>
          <w:b/>
          <w:color w:val="auto"/>
          <w:sz w:val="32"/>
          <w:highlight w:val="none"/>
        </w:rPr>
      </w:pPr>
      <w:r>
        <w:rPr>
          <w:rFonts w:hint="eastAsia" w:ascii="仿宋" w:hAnsi="仿宋" w:eastAsia="仿宋" w:cs="仿宋"/>
          <w:b/>
          <w:color w:val="auto"/>
          <w:sz w:val="36"/>
          <w:szCs w:val="24"/>
          <w:highlight w:val="none"/>
        </w:rPr>
        <w:t>二〇二六年    月    日</w:t>
      </w:r>
    </w:p>
    <w:p w14:paraId="7D933BE1">
      <w:pPr>
        <w:spacing w:line="640" w:lineRule="exact"/>
        <w:rPr>
          <w:rFonts w:hint="eastAsia" w:ascii="仿宋" w:hAnsi="仿宋" w:eastAsia="仿宋" w:cs="仿宋"/>
          <w:color w:val="auto"/>
          <w:sz w:val="28"/>
          <w:szCs w:val="28"/>
          <w:highlight w:val="none"/>
        </w:rPr>
      </w:pPr>
    </w:p>
    <w:p w14:paraId="19BCC9B7">
      <w:pPr>
        <w:spacing w:line="640" w:lineRule="exact"/>
        <w:rPr>
          <w:rFonts w:hint="eastAsia" w:ascii="仿宋" w:hAnsi="仿宋" w:eastAsia="仿宋" w:cs="仿宋"/>
          <w:color w:val="auto"/>
          <w:sz w:val="28"/>
          <w:szCs w:val="28"/>
          <w:highlight w:val="none"/>
        </w:rPr>
      </w:pPr>
    </w:p>
    <w:p w14:paraId="66B3B719">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p>
    <w:p w14:paraId="7E423D92">
      <w:pPr>
        <w:spacing w:line="640" w:lineRule="exact"/>
        <w:ind w:firstLine="3521"/>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一、磋商函</w:t>
      </w:r>
    </w:p>
    <w:p w14:paraId="5C7290D6">
      <w:pPr>
        <w:spacing w:line="6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eastAsia="zh-CN"/>
        </w:rPr>
        <w:t>淮安市清江浦区人民法院</w:t>
      </w:r>
      <w:r>
        <w:rPr>
          <w:rFonts w:hint="eastAsia" w:ascii="仿宋" w:hAnsi="仿宋" w:eastAsia="仿宋" w:cs="仿宋"/>
          <w:color w:val="auto"/>
          <w:sz w:val="28"/>
          <w:highlight w:val="none"/>
        </w:rPr>
        <w:t>:</w:t>
      </w:r>
    </w:p>
    <w:p w14:paraId="039A90E3">
      <w:pPr>
        <w:pStyle w:val="271"/>
        <w:spacing w:before="0" w:after="0" w:line="6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关于          采购项目</w:t>
      </w:r>
      <w:r>
        <w:rPr>
          <w:rFonts w:hint="eastAsia" w:ascii="仿宋" w:hAnsi="仿宋" w:eastAsia="仿宋" w:cs="仿宋"/>
          <w:color w:val="auto"/>
          <w:sz w:val="28"/>
          <w:szCs w:val="28"/>
          <w:highlight w:val="none"/>
        </w:rPr>
        <w:t>（项目编号:            ）</w:t>
      </w:r>
      <w:r>
        <w:rPr>
          <w:rFonts w:hint="eastAsia" w:ascii="仿宋" w:hAnsi="仿宋" w:eastAsia="仿宋" w:cs="仿宋"/>
          <w:color w:val="auto"/>
          <w:sz w:val="28"/>
          <w:highlight w:val="none"/>
        </w:rPr>
        <w:t>磋商文件（包括更正公告，如果有的话）收悉，我们经详细审阅和研究，现决定参加本项目磋商。</w:t>
      </w:r>
      <w:r>
        <w:rPr>
          <w:rFonts w:hint="eastAsia" w:ascii="仿宋" w:hAnsi="仿宋" w:eastAsia="仿宋" w:cs="仿宋"/>
          <w:color w:val="auto"/>
          <w:sz w:val="28"/>
          <w:szCs w:val="28"/>
          <w:highlight w:val="none"/>
        </w:rPr>
        <w:t>同时，正式授权下述签字人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（姓名和职务）代表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（供应商单位名称），全权处理本次项目磋商的有关事宜。</w:t>
      </w:r>
    </w:p>
    <w:p w14:paraId="492EA145">
      <w:pPr>
        <w:spacing w:line="6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1、</w:t>
      </w:r>
      <w:r>
        <w:rPr>
          <w:rFonts w:hint="eastAsia" w:ascii="仿宋" w:hAnsi="仿宋" w:eastAsia="仿宋" w:cs="仿宋"/>
          <w:color w:val="auto"/>
          <w:sz w:val="28"/>
          <w:szCs w:val="28"/>
          <w:highlight w:val="none"/>
        </w:rPr>
        <w:t>我公司没有为本项目提供整体设计、规范编制或者项目管理、监理、检测等服务。</w:t>
      </w:r>
    </w:p>
    <w:p w14:paraId="1CD5F565">
      <w:pPr>
        <w:spacing w:line="640" w:lineRule="exact"/>
        <w:ind w:firstLine="560"/>
        <w:rPr>
          <w:rFonts w:hint="eastAsia" w:ascii="仿宋" w:hAnsi="仿宋" w:eastAsia="仿宋" w:cs="仿宋"/>
          <w:color w:val="auto"/>
          <w:sz w:val="28"/>
          <w:highlight w:val="none"/>
        </w:rPr>
      </w:pPr>
      <w:r>
        <w:rPr>
          <w:rFonts w:hint="eastAsia" w:ascii="仿宋" w:hAnsi="仿宋" w:eastAsia="仿宋" w:cs="仿宋"/>
          <w:color w:val="auto"/>
          <w:sz w:val="28"/>
          <w:highlight w:val="none"/>
        </w:rPr>
        <w:t>2、参加本次采购活动前，我方没有被“信用中国”网站、“中国政府采购网”列入失信被执行人名单、重大税收违法失信主体名单、政府采购严重违法失信行为记录名单。</w:t>
      </w:r>
    </w:p>
    <w:p w14:paraId="55534C3A">
      <w:pPr>
        <w:pStyle w:val="271"/>
        <w:spacing w:before="0" w:after="0" w:line="6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3、按照磋商文件中规定的各项要求，我方愿以</w:t>
      </w:r>
      <w:r>
        <w:rPr>
          <w:rFonts w:hint="eastAsia" w:ascii="仿宋" w:hAnsi="仿宋" w:eastAsia="仿宋" w:cs="仿宋"/>
          <w:color w:val="auto"/>
          <w:sz w:val="28"/>
          <w:highlight w:val="none"/>
        </w:rPr>
        <w:t>（大写、人民币）</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元（RMB</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元）的磋商总报价并按磋商文件的规定要求提供货物和服务。</w:t>
      </w:r>
    </w:p>
    <w:p w14:paraId="76BCAA62">
      <w:pPr>
        <w:spacing w:line="6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4、如果我们成交，我们将按磋商文件规定的时间提供货物和服务</w:t>
      </w:r>
      <w:r>
        <w:rPr>
          <w:rFonts w:hint="eastAsia" w:ascii="仿宋" w:hAnsi="仿宋" w:eastAsia="仿宋" w:cs="仿宋"/>
          <w:color w:val="auto"/>
          <w:sz w:val="28"/>
          <w:szCs w:val="28"/>
          <w:highlight w:val="none"/>
        </w:rPr>
        <w:t>。</w:t>
      </w:r>
    </w:p>
    <w:p w14:paraId="056B0109">
      <w:pPr>
        <w:spacing w:line="640" w:lineRule="exact"/>
        <w:ind w:firstLine="56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p>
    <w:p w14:paraId="3DDAE5D4">
      <w:pPr>
        <w:spacing w:line="640" w:lineRule="exact"/>
        <w:ind w:firstLine="56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6、我们同意向贵方提供贵方可能要求的与磋商有关的任何证据或资料</w:t>
      </w:r>
      <w:r>
        <w:rPr>
          <w:rFonts w:hint="eastAsia" w:ascii="仿宋" w:hAnsi="仿宋" w:eastAsia="仿宋" w:cs="仿宋"/>
          <w:color w:val="auto"/>
          <w:sz w:val="28"/>
          <w:highlight w:val="none"/>
        </w:rPr>
        <w:t>，并保证所提供的都是真实的、准确的。</w:t>
      </w:r>
    </w:p>
    <w:p w14:paraId="377CDF18">
      <w:pPr>
        <w:spacing w:line="640" w:lineRule="exact"/>
        <w:ind w:firstLine="567"/>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7、</w:t>
      </w:r>
      <w:r>
        <w:rPr>
          <w:rFonts w:hint="eastAsia" w:ascii="仿宋" w:hAnsi="仿宋" w:eastAsia="仿宋" w:cs="仿宋"/>
          <w:color w:val="auto"/>
          <w:sz w:val="28"/>
          <w:szCs w:val="28"/>
          <w:highlight w:val="none"/>
        </w:rPr>
        <w:t>一旦我方成交，我方将按照磋商文件的规定，严格履行合同的责任和义务，并保证按磋商文件中规定的时间内提供</w:t>
      </w:r>
      <w:r>
        <w:rPr>
          <w:rFonts w:hint="eastAsia" w:ascii="仿宋" w:hAnsi="仿宋" w:eastAsia="仿宋" w:cs="仿宋"/>
          <w:color w:val="auto"/>
          <w:sz w:val="28"/>
          <w:highlight w:val="none"/>
        </w:rPr>
        <w:t>货物和</w:t>
      </w:r>
      <w:r>
        <w:rPr>
          <w:rFonts w:hint="eastAsia" w:ascii="仿宋" w:hAnsi="仿宋" w:eastAsia="仿宋" w:cs="仿宋"/>
          <w:color w:val="auto"/>
          <w:sz w:val="28"/>
          <w:szCs w:val="28"/>
          <w:highlight w:val="none"/>
        </w:rPr>
        <w:t>服务。</w:t>
      </w:r>
    </w:p>
    <w:p w14:paraId="273DB7CB">
      <w:pPr>
        <w:spacing w:line="640" w:lineRule="exact"/>
        <w:ind w:firstLine="567"/>
        <w:rPr>
          <w:rFonts w:hint="eastAsia" w:ascii="仿宋" w:hAnsi="仿宋" w:eastAsia="仿宋" w:cs="仿宋"/>
          <w:color w:val="auto"/>
          <w:sz w:val="28"/>
          <w:highlight w:val="none"/>
        </w:rPr>
      </w:pPr>
    </w:p>
    <w:p w14:paraId="098A8CE8">
      <w:pPr>
        <w:spacing w:line="640" w:lineRule="exact"/>
        <w:ind w:firstLine="567"/>
        <w:rPr>
          <w:rFonts w:hint="eastAsia" w:ascii="仿宋" w:hAnsi="仿宋" w:eastAsia="仿宋" w:cs="仿宋"/>
          <w:color w:val="auto"/>
          <w:sz w:val="28"/>
          <w:szCs w:val="28"/>
          <w:highlight w:val="none"/>
        </w:rPr>
      </w:pPr>
    </w:p>
    <w:p w14:paraId="5D2DBE14">
      <w:pPr>
        <w:pStyle w:val="271"/>
        <w:spacing w:before="0" w:after="0" w:line="640" w:lineRule="exact"/>
        <w:ind w:right="561" w:firstLine="3360"/>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供应商名称:</w:t>
      </w:r>
      <w:r>
        <w:rPr>
          <w:rFonts w:hint="eastAsia" w:ascii="仿宋" w:hAnsi="仿宋" w:eastAsia="仿宋" w:cs="仿宋"/>
          <w:color w:val="auto"/>
          <w:sz w:val="28"/>
          <w:highlight w:val="none"/>
          <w:u w:val="single"/>
        </w:rPr>
        <w:t xml:space="preserve">  （电子签章）           </w:t>
      </w:r>
    </w:p>
    <w:p w14:paraId="3B41E6D3">
      <w:pPr>
        <w:pStyle w:val="271"/>
        <w:spacing w:before="0" w:after="0" w:line="640" w:lineRule="exact"/>
        <w:ind w:right="561" w:firstLine="33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邮编:</w:t>
      </w:r>
      <w:r>
        <w:rPr>
          <w:rFonts w:hint="eastAsia" w:ascii="仿宋" w:hAnsi="仿宋" w:eastAsia="仿宋" w:cs="仿宋"/>
          <w:color w:val="auto"/>
          <w:sz w:val="28"/>
          <w:szCs w:val="28"/>
          <w:highlight w:val="none"/>
          <w:u w:val="single"/>
        </w:rPr>
        <w:t xml:space="preserve">             </w:t>
      </w:r>
    </w:p>
    <w:p w14:paraId="488273F5">
      <w:pPr>
        <w:spacing w:line="640" w:lineRule="exact"/>
        <w:ind w:right="561" w:firstLine="33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传真:</w:t>
      </w:r>
      <w:r>
        <w:rPr>
          <w:rFonts w:hint="eastAsia" w:ascii="仿宋" w:hAnsi="仿宋" w:eastAsia="仿宋" w:cs="仿宋"/>
          <w:color w:val="auto"/>
          <w:sz w:val="28"/>
          <w:szCs w:val="28"/>
          <w:highlight w:val="none"/>
          <w:u w:val="single"/>
        </w:rPr>
        <w:t xml:space="preserve">             </w:t>
      </w:r>
    </w:p>
    <w:p w14:paraId="25D1CA71">
      <w:pPr>
        <w:pStyle w:val="222"/>
        <w:spacing w:line="640" w:lineRule="exact"/>
        <w:ind w:right="561" w:firstLine="420"/>
        <w:jc w:val="center"/>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日期: </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年</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月</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日</w:t>
      </w:r>
    </w:p>
    <w:p w14:paraId="6CD41A5A">
      <w:pPr>
        <w:spacing w:line="440" w:lineRule="exact"/>
        <w:ind w:firstLine="3408"/>
        <w:rPr>
          <w:rFonts w:hint="eastAsia" w:ascii="仿宋" w:hAnsi="仿宋" w:eastAsia="仿宋" w:cs="仿宋"/>
          <w:b/>
          <w:bCs/>
          <w:color w:val="auto"/>
          <w:spacing w:val="20"/>
          <w:sz w:val="32"/>
          <w:szCs w:val="32"/>
          <w:highlight w:val="none"/>
        </w:rPr>
      </w:pPr>
    </w:p>
    <w:p w14:paraId="380C9966">
      <w:pPr>
        <w:spacing w:line="440" w:lineRule="exact"/>
        <w:ind w:firstLine="3357"/>
        <w:rPr>
          <w:rFonts w:hint="eastAsia" w:ascii="仿宋" w:hAnsi="仿宋" w:eastAsia="仿宋" w:cs="仿宋"/>
          <w:b/>
          <w:bCs/>
          <w:color w:val="auto"/>
          <w:sz w:val="32"/>
          <w:szCs w:val="32"/>
          <w:highlight w:val="none"/>
        </w:rPr>
      </w:pPr>
    </w:p>
    <w:p w14:paraId="5D89D3CA">
      <w:pPr>
        <w:spacing w:line="440" w:lineRule="exact"/>
        <w:ind w:firstLine="3357"/>
        <w:rPr>
          <w:rFonts w:hint="eastAsia" w:ascii="仿宋" w:hAnsi="仿宋" w:eastAsia="仿宋" w:cs="仿宋"/>
          <w:b/>
          <w:bCs/>
          <w:color w:val="auto"/>
          <w:sz w:val="32"/>
          <w:szCs w:val="32"/>
          <w:highlight w:val="none"/>
        </w:rPr>
      </w:pPr>
    </w:p>
    <w:p w14:paraId="2E4234FB">
      <w:pPr>
        <w:spacing w:line="440" w:lineRule="exact"/>
        <w:ind w:firstLine="2926"/>
        <w:rPr>
          <w:rFonts w:hint="eastAsia" w:ascii="仿宋" w:hAnsi="仿宋" w:eastAsia="仿宋" w:cs="仿宋"/>
          <w:color w:val="auto"/>
          <w:sz w:val="28"/>
          <w:szCs w:val="28"/>
          <w:highlight w:val="none"/>
        </w:rPr>
      </w:pPr>
    </w:p>
    <w:p w14:paraId="64D298CB">
      <w:pPr>
        <w:spacing w:line="440" w:lineRule="exact"/>
        <w:ind w:firstLine="3357"/>
        <w:rPr>
          <w:rFonts w:hint="eastAsia" w:ascii="仿宋" w:hAnsi="仿宋" w:eastAsia="仿宋" w:cs="仿宋"/>
          <w:b/>
          <w:bCs/>
          <w:color w:val="auto"/>
          <w:sz w:val="32"/>
          <w:szCs w:val="32"/>
          <w:highlight w:val="none"/>
        </w:rPr>
      </w:pPr>
    </w:p>
    <w:p w14:paraId="08820652">
      <w:pPr>
        <w:spacing w:line="440" w:lineRule="exact"/>
        <w:ind w:firstLine="3357"/>
        <w:rPr>
          <w:rFonts w:hint="eastAsia" w:ascii="仿宋" w:hAnsi="仿宋" w:eastAsia="仿宋" w:cs="仿宋"/>
          <w:b/>
          <w:bCs/>
          <w:color w:val="auto"/>
          <w:sz w:val="32"/>
          <w:szCs w:val="32"/>
          <w:highlight w:val="none"/>
        </w:rPr>
      </w:pPr>
    </w:p>
    <w:p w14:paraId="4A9E1438">
      <w:pPr>
        <w:spacing w:line="440" w:lineRule="exact"/>
        <w:ind w:firstLine="3357"/>
        <w:rPr>
          <w:rFonts w:hint="eastAsia" w:ascii="仿宋" w:hAnsi="仿宋" w:eastAsia="仿宋" w:cs="仿宋"/>
          <w:b/>
          <w:bCs/>
          <w:color w:val="auto"/>
          <w:sz w:val="32"/>
          <w:szCs w:val="32"/>
          <w:highlight w:val="none"/>
        </w:rPr>
      </w:pPr>
    </w:p>
    <w:p w14:paraId="2AC6439C">
      <w:pPr>
        <w:spacing w:line="440" w:lineRule="exact"/>
        <w:ind w:firstLine="3357"/>
        <w:rPr>
          <w:rFonts w:hint="eastAsia" w:ascii="仿宋" w:hAnsi="仿宋" w:eastAsia="仿宋" w:cs="仿宋"/>
          <w:b/>
          <w:bCs/>
          <w:color w:val="auto"/>
          <w:sz w:val="32"/>
          <w:szCs w:val="32"/>
          <w:highlight w:val="none"/>
        </w:rPr>
      </w:pPr>
    </w:p>
    <w:p w14:paraId="6F5BCAC4">
      <w:pPr>
        <w:spacing w:line="440" w:lineRule="exact"/>
        <w:ind w:firstLine="3357"/>
        <w:rPr>
          <w:rFonts w:hint="eastAsia" w:ascii="仿宋" w:hAnsi="仿宋" w:eastAsia="仿宋" w:cs="仿宋"/>
          <w:b/>
          <w:bCs/>
          <w:color w:val="auto"/>
          <w:sz w:val="32"/>
          <w:szCs w:val="32"/>
          <w:highlight w:val="none"/>
        </w:rPr>
      </w:pPr>
    </w:p>
    <w:p w14:paraId="1EFE4B68">
      <w:pPr>
        <w:widowControl/>
        <w:spacing w:before="19" w:line="440" w:lineRule="exact"/>
        <w:rPr>
          <w:rFonts w:hint="eastAsia" w:ascii="仿宋" w:hAnsi="仿宋" w:eastAsia="仿宋" w:cs="仿宋"/>
          <w:b/>
          <w:color w:val="auto"/>
          <w:sz w:val="32"/>
          <w:szCs w:val="32"/>
          <w:highlight w:val="none"/>
        </w:rPr>
      </w:pPr>
    </w:p>
    <w:p w14:paraId="6356C52E">
      <w:pPr>
        <w:spacing w:line="440" w:lineRule="exact"/>
        <w:jc w:val="center"/>
        <w:rPr>
          <w:rFonts w:hint="eastAsia" w:ascii="仿宋" w:hAnsi="仿宋" w:eastAsia="仿宋" w:cs="仿宋"/>
          <w:bCs/>
          <w:color w:val="auto"/>
          <w:sz w:val="28"/>
          <w:highlight w:val="none"/>
        </w:rPr>
      </w:pPr>
    </w:p>
    <w:p w14:paraId="19726D66">
      <w:pPr>
        <w:spacing w:line="440" w:lineRule="exact"/>
        <w:jc w:val="center"/>
        <w:rPr>
          <w:rFonts w:hint="eastAsia" w:ascii="仿宋" w:hAnsi="仿宋" w:eastAsia="仿宋" w:cs="仿宋"/>
          <w:bCs/>
          <w:color w:val="auto"/>
          <w:sz w:val="28"/>
          <w:highlight w:val="none"/>
        </w:rPr>
      </w:pPr>
    </w:p>
    <w:p w14:paraId="2B61B009">
      <w:pPr>
        <w:spacing w:line="440" w:lineRule="exact"/>
        <w:jc w:val="center"/>
        <w:rPr>
          <w:rFonts w:hint="eastAsia" w:ascii="仿宋" w:hAnsi="仿宋" w:eastAsia="仿宋" w:cs="仿宋"/>
          <w:bCs/>
          <w:color w:val="auto"/>
          <w:sz w:val="28"/>
          <w:highlight w:val="none"/>
        </w:rPr>
      </w:pPr>
    </w:p>
    <w:p w14:paraId="02C9DAEF">
      <w:pPr>
        <w:spacing w:line="440" w:lineRule="exact"/>
        <w:jc w:val="center"/>
        <w:rPr>
          <w:rFonts w:hint="eastAsia" w:ascii="仿宋" w:hAnsi="仿宋" w:eastAsia="仿宋" w:cs="仿宋"/>
          <w:bCs/>
          <w:color w:val="auto"/>
          <w:sz w:val="28"/>
          <w:highlight w:val="none"/>
        </w:rPr>
      </w:pPr>
    </w:p>
    <w:p w14:paraId="17EACF8F">
      <w:pPr>
        <w:spacing w:line="440" w:lineRule="exact"/>
        <w:jc w:val="center"/>
        <w:rPr>
          <w:rFonts w:hint="eastAsia" w:ascii="仿宋" w:hAnsi="仿宋" w:eastAsia="仿宋" w:cs="仿宋"/>
          <w:bCs/>
          <w:color w:val="auto"/>
          <w:sz w:val="28"/>
          <w:highlight w:val="none"/>
        </w:rPr>
      </w:pPr>
    </w:p>
    <w:p w14:paraId="707FDDAA">
      <w:pPr>
        <w:spacing w:line="440" w:lineRule="exact"/>
        <w:jc w:val="center"/>
        <w:rPr>
          <w:rFonts w:hint="eastAsia" w:ascii="仿宋" w:hAnsi="仿宋" w:eastAsia="仿宋" w:cs="仿宋"/>
          <w:bCs/>
          <w:color w:val="auto"/>
          <w:sz w:val="28"/>
          <w:highlight w:val="none"/>
        </w:rPr>
      </w:pPr>
    </w:p>
    <w:p w14:paraId="1FE085B4">
      <w:pPr>
        <w:spacing w:line="440" w:lineRule="exact"/>
        <w:jc w:val="center"/>
        <w:rPr>
          <w:rFonts w:hint="eastAsia" w:ascii="仿宋" w:hAnsi="仿宋" w:eastAsia="仿宋" w:cs="仿宋"/>
          <w:bCs/>
          <w:color w:val="auto"/>
          <w:sz w:val="28"/>
          <w:highlight w:val="none"/>
        </w:rPr>
      </w:pPr>
    </w:p>
    <w:p w14:paraId="38C3449D">
      <w:pPr>
        <w:spacing w:line="440" w:lineRule="exact"/>
        <w:jc w:val="center"/>
        <w:rPr>
          <w:rFonts w:hint="eastAsia" w:ascii="仿宋" w:hAnsi="仿宋" w:eastAsia="仿宋" w:cs="仿宋"/>
          <w:bCs/>
          <w:color w:val="auto"/>
          <w:sz w:val="28"/>
          <w:highlight w:val="none"/>
        </w:rPr>
      </w:pPr>
    </w:p>
    <w:p w14:paraId="304A6BB9">
      <w:pPr>
        <w:spacing w:line="440" w:lineRule="exact"/>
        <w:jc w:val="center"/>
        <w:rPr>
          <w:rFonts w:hint="eastAsia" w:ascii="仿宋" w:hAnsi="仿宋" w:eastAsia="仿宋" w:cs="仿宋"/>
          <w:bCs/>
          <w:color w:val="auto"/>
          <w:sz w:val="28"/>
          <w:highlight w:val="none"/>
        </w:rPr>
      </w:pPr>
    </w:p>
    <w:p w14:paraId="2D3E3C32">
      <w:pPr>
        <w:spacing w:line="440" w:lineRule="exact"/>
        <w:rPr>
          <w:rFonts w:hint="eastAsia" w:ascii="仿宋" w:hAnsi="仿宋" w:eastAsia="仿宋" w:cs="仿宋"/>
          <w:bCs/>
          <w:color w:val="auto"/>
          <w:sz w:val="28"/>
          <w:highlight w:val="none"/>
        </w:rPr>
      </w:pPr>
    </w:p>
    <w:p w14:paraId="23AAAF89">
      <w:pPr>
        <w:spacing w:line="440" w:lineRule="exact"/>
        <w:jc w:val="center"/>
        <w:rPr>
          <w:rFonts w:hint="eastAsia" w:ascii="仿宋" w:hAnsi="仿宋" w:eastAsia="仿宋" w:cs="仿宋"/>
          <w:bCs/>
          <w:color w:val="auto"/>
          <w:sz w:val="28"/>
          <w:highlight w:val="none"/>
        </w:rPr>
      </w:pPr>
    </w:p>
    <w:p w14:paraId="7DA77811">
      <w:pPr>
        <w:pStyle w:val="222"/>
        <w:numPr>
          <w:ilvl w:val="0"/>
          <w:numId w:val="8"/>
        </w:num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磋商报价明细表</w:t>
      </w:r>
    </w:p>
    <w:p w14:paraId="6F61B18B">
      <w:pPr>
        <w:pStyle w:val="222"/>
        <w:spacing w:line="340" w:lineRule="exact"/>
        <w:jc w:val="center"/>
        <w:rPr>
          <w:rFonts w:hint="eastAsia" w:ascii="仿宋" w:hAnsi="仿宋" w:eastAsia="仿宋" w:cs="仿宋"/>
          <w:color w:val="auto"/>
          <w:sz w:val="24"/>
          <w:szCs w:val="24"/>
          <w:highlight w:val="none"/>
        </w:rPr>
      </w:pPr>
    </w:p>
    <w:tbl>
      <w:tblPr>
        <w:tblStyle w:val="37"/>
        <w:tblW w:w="97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2520"/>
        <w:gridCol w:w="1550"/>
        <w:gridCol w:w="1767"/>
        <w:gridCol w:w="1958"/>
        <w:gridCol w:w="1056"/>
      </w:tblGrid>
      <w:tr w14:paraId="4C5E9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255CAAB4">
            <w:pPr>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2520" w:type="dxa"/>
            <w:noWrap w:val="0"/>
            <w:vAlign w:val="center"/>
          </w:tcPr>
          <w:p w14:paraId="40EDF172">
            <w:pPr>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服务（项目）名称</w:t>
            </w:r>
          </w:p>
        </w:tc>
        <w:tc>
          <w:tcPr>
            <w:tcW w:w="1550" w:type="dxa"/>
            <w:noWrap w:val="0"/>
            <w:vAlign w:val="center"/>
          </w:tcPr>
          <w:p w14:paraId="5212561C">
            <w:pPr>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费用构成</w:t>
            </w:r>
          </w:p>
        </w:tc>
        <w:tc>
          <w:tcPr>
            <w:tcW w:w="1767" w:type="dxa"/>
            <w:noWrap w:val="0"/>
            <w:vAlign w:val="center"/>
          </w:tcPr>
          <w:p w14:paraId="77425969">
            <w:pPr>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月支出（元）</w:t>
            </w:r>
          </w:p>
        </w:tc>
        <w:tc>
          <w:tcPr>
            <w:tcW w:w="1958" w:type="dxa"/>
            <w:noWrap w:val="0"/>
            <w:vAlign w:val="center"/>
          </w:tcPr>
          <w:p w14:paraId="29CD0C2A">
            <w:pPr>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年支出（元）</w:t>
            </w:r>
          </w:p>
        </w:tc>
        <w:tc>
          <w:tcPr>
            <w:tcW w:w="1056" w:type="dxa"/>
            <w:noWrap w:val="0"/>
            <w:vAlign w:val="center"/>
          </w:tcPr>
          <w:p w14:paraId="64C834D5">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备注</w:t>
            </w:r>
          </w:p>
        </w:tc>
      </w:tr>
      <w:tr w14:paraId="75FEF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679AD7C1">
            <w:pPr>
              <w:spacing w:line="520" w:lineRule="exact"/>
              <w:ind w:firstLine="274"/>
              <w:rPr>
                <w:rFonts w:hint="eastAsia" w:ascii="仿宋" w:hAnsi="仿宋" w:eastAsia="仿宋" w:cs="仿宋"/>
                <w:color w:val="auto"/>
                <w:sz w:val="28"/>
                <w:szCs w:val="28"/>
                <w:highlight w:val="none"/>
              </w:rPr>
            </w:pPr>
          </w:p>
        </w:tc>
        <w:tc>
          <w:tcPr>
            <w:tcW w:w="2520" w:type="dxa"/>
            <w:noWrap w:val="0"/>
            <w:vAlign w:val="center"/>
          </w:tcPr>
          <w:p w14:paraId="04967B5B">
            <w:pPr>
              <w:spacing w:line="520" w:lineRule="exact"/>
              <w:ind w:firstLine="274"/>
              <w:rPr>
                <w:rFonts w:hint="eastAsia" w:ascii="仿宋" w:hAnsi="仿宋" w:eastAsia="仿宋" w:cs="仿宋"/>
                <w:color w:val="auto"/>
                <w:sz w:val="28"/>
                <w:szCs w:val="28"/>
                <w:highlight w:val="none"/>
              </w:rPr>
            </w:pPr>
          </w:p>
        </w:tc>
        <w:tc>
          <w:tcPr>
            <w:tcW w:w="1550" w:type="dxa"/>
            <w:noWrap w:val="0"/>
            <w:vAlign w:val="center"/>
          </w:tcPr>
          <w:p w14:paraId="731C2868">
            <w:pPr>
              <w:spacing w:line="520" w:lineRule="exact"/>
              <w:ind w:firstLine="274"/>
              <w:rPr>
                <w:rFonts w:hint="eastAsia" w:ascii="仿宋" w:hAnsi="仿宋" w:eastAsia="仿宋" w:cs="仿宋"/>
                <w:color w:val="auto"/>
                <w:sz w:val="28"/>
                <w:szCs w:val="28"/>
                <w:highlight w:val="none"/>
              </w:rPr>
            </w:pPr>
          </w:p>
        </w:tc>
        <w:tc>
          <w:tcPr>
            <w:tcW w:w="1767" w:type="dxa"/>
            <w:noWrap w:val="0"/>
            <w:vAlign w:val="top"/>
          </w:tcPr>
          <w:p w14:paraId="2BFFED11">
            <w:pPr>
              <w:spacing w:line="520" w:lineRule="exact"/>
              <w:jc w:val="left"/>
              <w:rPr>
                <w:rFonts w:hint="eastAsia" w:ascii="仿宋" w:hAnsi="仿宋" w:eastAsia="仿宋" w:cs="仿宋"/>
                <w:color w:val="auto"/>
                <w:sz w:val="28"/>
                <w:szCs w:val="28"/>
                <w:highlight w:val="none"/>
              </w:rPr>
            </w:pPr>
          </w:p>
        </w:tc>
        <w:tc>
          <w:tcPr>
            <w:tcW w:w="1958" w:type="dxa"/>
            <w:noWrap w:val="0"/>
            <w:vAlign w:val="center"/>
          </w:tcPr>
          <w:p w14:paraId="03122F26">
            <w:pPr>
              <w:spacing w:line="520" w:lineRule="exact"/>
              <w:ind w:firstLine="274"/>
              <w:rPr>
                <w:rFonts w:hint="eastAsia" w:ascii="仿宋" w:hAnsi="仿宋" w:eastAsia="仿宋" w:cs="仿宋"/>
                <w:color w:val="auto"/>
                <w:sz w:val="28"/>
                <w:szCs w:val="28"/>
                <w:highlight w:val="none"/>
              </w:rPr>
            </w:pPr>
          </w:p>
        </w:tc>
        <w:tc>
          <w:tcPr>
            <w:tcW w:w="1056" w:type="dxa"/>
            <w:noWrap w:val="0"/>
            <w:vAlign w:val="center"/>
          </w:tcPr>
          <w:p w14:paraId="6D68AA5C">
            <w:pPr>
              <w:spacing w:line="520" w:lineRule="exact"/>
              <w:ind w:firstLine="274"/>
              <w:rPr>
                <w:rFonts w:hint="eastAsia" w:ascii="仿宋" w:hAnsi="仿宋" w:eastAsia="仿宋" w:cs="仿宋"/>
                <w:color w:val="auto"/>
                <w:sz w:val="28"/>
                <w:szCs w:val="28"/>
                <w:highlight w:val="none"/>
              </w:rPr>
            </w:pPr>
          </w:p>
        </w:tc>
      </w:tr>
      <w:tr w14:paraId="3FC7F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5E68EA53">
            <w:pPr>
              <w:spacing w:line="520" w:lineRule="exact"/>
              <w:ind w:firstLine="274"/>
              <w:rPr>
                <w:rFonts w:hint="eastAsia" w:ascii="仿宋" w:hAnsi="仿宋" w:eastAsia="仿宋" w:cs="仿宋"/>
                <w:color w:val="auto"/>
                <w:sz w:val="28"/>
                <w:szCs w:val="28"/>
                <w:highlight w:val="none"/>
              </w:rPr>
            </w:pPr>
          </w:p>
        </w:tc>
        <w:tc>
          <w:tcPr>
            <w:tcW w:w="2520" w:type="dxa"/>
            <w:noWrap w:val="0"/>
            <w:vAlign w:val="center"/>
          </w:tcPr>
          <w:p w14:paraId="0BCA545D">
            <w:pPr>
              <w:spacing w:line="520" w:lineRule="exact"/>
              <w:ind w:firstLine="274"/>
              <w:rPr>
                <w:rFonts w:hint="eastAsia" w:ascii="仿宋" w:hAnsi="仿宋" w:eastAsia="仿宋" w:cs="仿宋"/>
                <w:color w:val="auto"/>
                <w:sz w:val="28"/>
                <w:szCs w:val="28"/>
                <w:highlight w:val="none"/>
              </w:rPr>
            </w:pPr>
          </w:p>
        </w:tc>
        <w:tc>
          <w:tcPr>
            <w:tcW w:w="1550" w:type="dxa"/>
            <w:noWrap w:val="0"/>
            <w:vAlign w:val="center"/>
          </w:tcPr>
          <w:p w14:paraId="3A4FA6F2">
            <w:pPr>
              <w:spacing w:line="520" w:lineRule="exact"/>
              <w:ind w:firstLine="274"/>
              <w:rPr>
                <w:rFonts w:hint="eastAsia" w:ascii="仿宋" w:hAnsi="仿宋" w:eastAsia="仿宋" w:cs="仿宋"/>
                <w:color w:val="auto"/>
                <w:sz w:val="28"/>
                <w:szCs w:val="28"/>
                <w:highlight w:val="none"/>
              </w:rPr>
            </w:pPr>
          </w:p>
        </w:tc>
        <w:tc>
          <w:tcPr>
            <w:tcW w:w="1767" w:type="dxa"/>
            <w:noWrap w:val="0"/>
            <w:vAlign w:val="top"/>
          </w:tcPr>
          <w:p w14:paraId="39D04D85">
            <w:pPr>
              <w:spacing w:line="520" w:lineRule="exact"/>
              <w:ind w:firstLine="274"/>
              <w:rPr>
                <w:rFonts w:hint="eastAsia" w:ascii="仿宋" w:hAnsi="仿宋" w:eastAsia="仿宋" w:cs="仿宋"/>
                <w:color w:val="auto"/>
                <w:sz w:val="28"/>
                <w:szCs w:val="28"/>
                <w:highlight w:val="none"/>
              </w:rPr>
            </w:pPr>
          </w:p>
        </w:tc>
        <w:tc>
          <w:tcPr>
            <w:tcW w:w="1958" w:type="dxa"/>
            <w:noWrap w:val="0"/>
            <w:vAlign w:val="center"/>
          </w:tcPr>
          <w:p w14:paraId="19AA5479">
            <w:pPr>
              <w:spacing w:line="520" w:lineRule="exact"/>
              <w:ind w:firstLine="274"/>
              <w:rPr>
                <w:rFonts w:hint="eastAsia" w:ascii="仿宋" w:hAnsi="仿宋" w:eastAsia="仿宋" w:cs="仿宋"/>
                <w:color w:val="auto"/>
                <w:sz w:val="28"/>
                <w:szCs w:val="28"/>
                <w:highlight w:val="none"/>
              </w:rPr>
            </w:pPr>
          </w:p>
        </w:tc>
        <w:tc>
          <w:tcPr>
            <w:tcW w:w="1056" w:type="dxa"/>
            <w:noWrap w:val="0"/>
            <w:vAlign w:val="center"/>
          </w:tcPr>
          <w:p w14:paraId="1A96E99C">
            <w:pPr>
              <w:spacing w:line="520" w:lineRule="exact"/>
              <w:ind w:firstLine="274"/>
              <w:rPr>
                <w:rFonts w:hint="eastAsia" w:ascii="仿宋" w:hAnsi="仿宋" w:eastAsia="仿宋" w:cs="仿宋"/>
                <w:color w:val="auto"/>
                <w:sz w:val="28"/>
                <w:szCs w:val="28"/>
                <w:highlight w:val="none"/>
              </w:rPr>
            </w:pPr>
          </w:p>
        </w:tc>
      </w:tr>
      <w:tr w14:paraId="517DB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33362502">
            <w:pPr>
              <w:spacing w:line="520" w:lineRule="exact"/>
              <w:ind w:firstLine="274"/>
              <w:rPr>
                <w:rFonts w:hint="eastAsia" w:ascii="仿宋" w:hAnsi="仿宋" w:eastAsia="仿宋" w:cs="仿宋"/>
                <w:color w:val="auto"/>
                <w:sz w:val="28"/>
                <w:szCs w:val="28"/>
                <w:highlight w:val="none"/>
              </w:rPr>
            </w:pPr>
          </w:p>
        </w:tc>
        <w:tc>
          <w:tcPr>
            <w:tcW w:w="2520" w:type="dxa"/>
            <w:noWrap w:val="0"/>
            <w:vAlign w:val="center"/>
          </w:tcPr>
          <w:p w14:paraId="5EACCA2C">
            <w:pPr>
              <w:spacing w:line="520" w:lineRule="exact"/>
              <w:ind w:firstLine="274"/>
              <w:rPr>
                <w:rFonts w:hint="eastAsia" w:ascii="仿宋" w:hAnsi="仿宋" w:eastAsia="仿宋" w:cs="仿宋"/>
                <w:color w:val="auto"/>
                <w:sz w:val="28"/>
                <w:szCs w:val="28"/>
                <w:highlight w:val="none"/>
              </w:rPr>
            </w:pPr>
          </w:p>
        </w:tc>
        <w:tc>
          <w:tcPr>
            <w:tcW w:w="1550" w:type="dxa"/>
            <w:noWrap w:val="0"/>
            <w:vAlign w:val="center"/>
          </w:tcPr>
          <w:p w14:paraId="5F304645">
            <w:pPr>
              <w:spacing w:line="520" w:lineRule="exact"/>
              <w:ind w:firstLine="274"/>
              <w:rPr>
                <w:rFonts w:hint="eastAsia" w:ascii="仿宋" w:hAnsi="仿宋" w:eastAsia="仿宋" w:cs="仿宋"/>
                <w:color w:val="auto"/>
                <w:sz w:val="28"/>
                <w:szCs w:val="28"/>
                <w:highlight w:val="none"/>
              </w:rPr>
            </w:pPr>
          </w:p>
        </w:tc>
        <w:tc>
          <w:tcPr>
            <w:tcW w:w="1767" w:type="dxa"/>
            <w:noWrap w:val="0"/>
            <w:vAlign w:val="top"/>
          </w:tcPr>
          <w:p w14:paraId="665555C5">
            <w:pPr>
              <w:spacing w:line="520" w:lineRule="exact"/>
              <w:ind w:firstLine="274"/>
              <w:rPr>
                <w:rFonts w:hint="eastAsia" w:ascii="仿宋" w:hAnsi="仿宋" w:eastAsia="仿宋" w:cs="仿宋"/>
                <w:color w:val="auto"/>
                <w:sz w:val="28"/>
                <w:szCs w:val="28"/>
                <w:highlight w:val="none"/>
              </w:rPr>
            </w:pPr>
          </w:p>
        </w:tc>
        <w:tc>
          <w:tcPr>
            <w:tcW w:w="1958" w:type="dxa"/>
            <w:noWrap w:val="0"/>
            <w:vAlign w:val="center"/>
          </w:tcPr>
          <w:p w14:paraId="558CD98D">
            <w:pPr>
              <w:spacing w:line="520" w:lineRule="exact"/>
              <w:ind w:firstLine="274"/>
              <w:rPr>
                <w:rFonts w:hint="eastAsia" w:ascii="仿宋" w:hAnsi="仿宋" w:eastAsia="仿宋" w:cs="仿宋"/>
                <w:color w:val="auto"/>
                <w:sz w:val="28"/>
                <w:szCs w:val="28"/>
                <w:highlight w:val="none"/>
              </w:rPr>
            </w:pPr>
          </w:p>
        </w:tc>
        <w:tc>
          <w:tcPr>
            <w:tcW w:w="1056" w:type="dxa"/>
            <w:noWrap w:val="0"/>
            <w:vAlign w:val="center"/>
          </w:tcPr>
          <w:p w14:paraId="1C2EC794">
            <w:pPr>
              <w:spacing w:line="520" w:lineRule="exact"/>
              <w:ind w:firstLine="274"/>
              <w:rPr>
                <w:rFonts w:hint="eastAsia" w:ascii="仿宋" w:hAnsi="仿宋" w:eastAsia="仿宋" w:cs="仿宋"/>
                <w:color w:val="auto"/>
                <w:sz w:val="28"/>
                <w:szCs w:val="28"/>
                <w:highlight w:val="none"/>
              </w:rPr>
            </w:pPr>
          </w:p>
        </w:tc>
      </w:tr>
      <w:tr w14:paraId="6BF8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7DB4915B">
            <w:pPr>
              <w:spacing w:line="520" w:lineRule="exact"/>
              <w:ind w:firstLine="274"/>
              <w:rPr>
                <w:rFonts w:hint="eastAsia" w:ascii="仿宋" w:hAnsi="仿宋" w:eastAsia="仿宋" w:cs="仿宋"/>
                <w:color w:val="auto"/>
                <w:sz w:val="28"/>
                <w:szCs w:val="28"/>
                <w:highlight w:val="none"/>
              </w:rPr>
            </w:pPr>
          </w:p>
        </w:tc>
        <w:tc>
          <w:tcPr>
            <w:tcW w:w="2520" w:type="dxa"/>
            <w:noWrap w:val="0"/>
            <w:vAlign w:val="center"/>
          </w:tcPr>
          <w:p w14:paraId="3080342C">
            <w:pPr>
              <w:spacing w:line="520" w:lineRule="exact"/>
              <w:ind w:firstLine="274"/>
              <w:rPr>
                <w:rFonts w:hint="eastAsia" w:ascii="仿宋" w:hAnsi="仿宋" w:eastAsia="仿宋" w:cs="仿宋"/>
                <w:color w:val="auto"/>
                <w:sz w:val="28"/>
                <w:szCs w:val="28"/>
                <w:highlight w:val="none"/>
              </w:rPr>
            </w:pPr>
          </w:p>
        </w:tc>
        <w:tc>
          <w:tcPr>
            <w:tcW w:w="1550" w:type="dxa"/>
            <w:noWrap w:val="0"/>
            <w:vAlign w:val="center"/>
          </w:tcPr>
          <w:p w14:paraId="07D9D2E1">
            <w:pPr>
              <w:spacing w:line="520" w:lineRule="exact"/>
              <w:ind w:firstLine="274"/>
              <w:rPr>
                <w:rFonts w:hint="eastAsia" w:ascii="仿宋" w:hAnsi="仿宋" w:eastAsia="仿宋" w:cs="仿宋"/>
                <w:color w:val="auto"/>
                <w:sz w:val="28"/>
                <w:szCs w:val="28"/>
                <w:highlight w:val="none"/>
              </w:rPr>
            </w:pPr>
          </w:p>
        </w:tc>
        <w:tc>
          <w:tcPr>
            <w:tcW w:w="1767" w:type="dxa"/>
            <w:noWrap w:val="0"/>
            <w:vAlign w:val="top"/>
          </w:tcPr>
          <w:p w14:paraId="07021BD7">
            <w:pPr>
              <w:spacing w:line="520" w:lineRule="exact"/>
              <w:ind w:firstLine="274"/>
              <w:rPr>
                <w:rFonts w:hint="eastAsia" w:ascii="仿宋" w:hAnsi="仿宋" w:eastAsia="仿宋" w:cs="仿宋"/>
                <w:color w:val="auto"/>
                <w:sz w:val="28"/>
                <w:szCs w:val="28"/>
                <w:highlight w:val="none"/>
              </w:rPr>
            </w:pPr>
          </w:p>
        </w:tc>
        <w:tc>
          <w:tcPr>
            <w:tcW w:w="1958" w:type="dxa"/>
            <w:noWrap w:val="0"/>
            <w:vAlign w:val="center"/>
          </w:tcPr>
          <w:p w14:paraId="2A6421F4">
            <w:pPr>
              <w:spacing w:line="520" w:lineRule="exact"/>
              <w:ind w:firstLine="274"/>
              <w:rPr>
                <w:rFonts w:hint="eastAsia" w:ascii="仿宋" w:hAnsi="仿宋" w:eastAsia="仿宋" w:cs="仿宋"/>
                <w:color w:val="auto"/>
                <w:sz w:val="28"/>
                <w:szCs w:val="28"/>
                <w:highlight w:val="none"/>
              </w:rPr>
            </w:pPr>
          </w:p>
        </w:tc>
        <w:tc>
          <w:tcPr>
            <w:tcW w:w="1056" w:type="dxa"/>
            <w:noWrap w:val="0"/>
            <w:vAlign w:val="center"/>
          </w:tcPr>
          <w:p w14:paraId="3D369C35">
            <w:pPr>
              <w:spacing w:line="520" w:lineRule="exact"/>
              <w:ind w:firstLine="274"/>
              <w:rPr>
                <w:rFonts w:hint="eastAsia" w:ascii="仿宋" w:hAnsi="仿宋" w:eastAsia="仿宋" w:cs="仿宋"/>
                <w:color w:val="auto"/>
                <w:sz w:val="28"/>
                <w:szCs w:val="28"/>
                <w:highlight w:val="none"/>
              </w:rPr>
            </w:pPr>
          </w:p>
        </w:tc>
      </w:tr>
      <w:tr w14:paraId="1A73E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4A9116EB">
            <w:pPr>
              <w:spacing w:line="520" w:lineRule="exact"/>
              <w:ind w:firstLine="274"/>
              <w:rPr>
                <w:rFonts w:hint="eastAsia" w:ascii="仿宋" w:hAnsi="仿宋" w:eastAsia="仿宋" w:cs="仿宋"/>
                <w:color w:val="auto"/>
                <w:sz w:val="28"/>
                <w:szCs w:val="28"/>
                <w:highlight w:val="none"/>
              </w:rPr>
            </w:pPr>
          </w:p>
        </w:tc>
        <w:tc>
          <w:tcPr>
            <w:tcW w:w="2520" w:type="dxa"/>
            <w:noWrap w:val="0"/>
            <w:vAlign w:val="center"/>
          </w:tcPr>
          <w:p w14:paraId="794B6DDA">
            <w:pPr>
              <w:spacing w:line="520" w:lineRule="exact"/>
              <w:ind w:firstLine="274"/>
              <w:rPr>
                <w:rFonts w:hint="eastAsia" w:ascii="仿宋" w:hAnsi="仿宋" w:eastAsia="仿宋" w:cs="仿宋"/>
                <w:color w:val="auto"/>
                <w:sz w:val="28"/>
                <w:szCs w:val="28"/>
                <w:highlight w:val="none"/>
              </w:rPr>
            </w:pPr>
          </w:p>
        </w:tc>
        <w:tc>
          <w:tcPr>
            <w:tcW w:w="1550" w:type="dxa"/>
            <w:noWrap w:val="0"/>
            <w:vAlign w:val="center"/>
          </w:tcPr>
          <w:p w14:paraId="4D2DE08F">
            <w:pPr>
              <w:spacing w:line="520" w:lineRule="exact"/>
              <w:ind w:firstLine="274"/>
              <w:rPr>
                <w:rFonts w:hint="eastAsia" w:ascii="仿宋" w:hAnsi="仿宋" w:eastAsia="仿宋" w:cs="仿宋"/>
                <w:color w:val="auto"/>
                <w:sz w:val="28"/>
                <w:szCs w:val="28"/>
                <w:highlight w:val="none"/>
              </w:rPr>
            </w:pPr>
          </w:p>
        </w:tc>
        <w:tc>
          <w:tcPr>
            <w:tcW w:w="1767" w:type="dxa"/>
            <w:noWrap w:val="0"/>
            <w:vAlign w:val="top"/>
          </w:tcPr>
          <w:p w14:paraId="0AFDBF85">
            <w:pPr>
              <w:spacing w:line="520" w:lineRule="exact"/>
              <w:ind w:firstLine="274"/>
              <w:rPr>
                <w:rFonts w:hint="eastAsia" w:ascii="仿宋" w:hAnsi="仿宋" w:eastAsia="仿宋" w:cs="仿宋"/>
                <w:color w:val="auto"/>
                <w:sz w:val="28"/>
                <w:szCs w:val="28"/>
                <w:highlight w:val="none"/>
              </w:rPr>
            </w:pPr>
          </w:p>
        </w:tc>
        <w:tc>
          <w:tcPr>
            <w:tcW w:w="1958" w:type="dxa"/>
            <w:noWrap w:val="0"/>
            <w:vAlign w:val="center"/>
          </w:tcPr>
          <w:p w14:paraId="40592A74">
            <w:pPr>
              <w:spacing w:line="520" w:lineRule="exact"/>
              <w:ind w:firstLine="274"/>
              <w:rPr>
                <w:rFonts w:hint="eastAsia" w:ascii="仿宋" w:hAnsi="仿宋" w:eastAsia="仿宋" w:cs="仿宋"/>
                <w:color w:val="auto"/>
                <w:sz w:val="28"/>
                <w:szCs w:val="28"/>
                <w:highlight w:val="none"/>
              </w:rPr>
            </w:pPr>
          </w:p>
        </w:tc>
        <w:tc>
          <w:tcPr>
            <w:tcW w:w="1056" w:type="dxa"/>
            <w:noWrap w:val="0"/>
            <w:vAlign w:val="center"/>
          </w:tcPr>
          <w:p w14:paraId="2AB9C093">
            <w:pPr>
              <w:spacing w:line="520" w:lineRule="exact"/>
              <w:ind w:firstLine="274"/>
              <w:rPr>
                <w:rFonts w:hint="eastAsia" w:ascii="仿宋" w:hAnsi="仿宋" w:eastAsia="仿宋" w:cs="仿宋"/>
                <w:color w:val="auto"/>
                <w:sz w:val="28"/>
                <w:szCs w:val="28"/>
                <w:highlight w:val="none"/>
              </w:rPr>
            </w:pPr>
          </w:p>
        </w:tc>
      </w:tr>
      <w:tr w14:paraId="3C4C2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3607A8B9">
            <w:pPr>
              <w:spacing w:line="520" w:lineRule="exact"/>
              <w:ind w:firstLine="274"/>
              <w:rPr>
                <w:rFonts w:hint="eastAsia" w:ascii="仿宋" w:hAnsi="仿宋" w:eastAsia="仿宋" w:cs="仿宋"/>
                <w:color w:val="auto"/>
                <w:sz w:val="28"/>
                <w:szCs w:val="28"/>
                <w:highlight w:val="none"/>
              </w:rPr>
            </w:pPr>
          </w:p>
        </w:tc>
        <w:tc>
          <w:tcPr>
            <w:tcW w:w="2520" w:type="dxa"/>
            <w:tcBorders>
              <w:top w:val="nil"/>
              <w:left w:val="nil"/>
              <w:bottom w:val="single" w:color="auto" w:sz="4" w:space="0"/>
              <w:right w:val="single" w:color="auto" w:sz="4" w:space="0"/>
            </w:tcBorders>
            <w:noWrap w:val="0"/>
            <w:vAlign w:val="center"/>
          </w:tcPr>
          <w:p w14:paraId="04F73B91">
            <w:pPr>
              <w:spacing w:line="520" w:lineRule="exact"/>
              <w:ind w:firstLine="274"/>
              <w:rPr>
                <w:rFonts w:hint="eastAsia" w:ascii="仿宋" w:hAnsi="仿宋" w:eastAsia="仿宋" w:cs="仿宋"/>
                <w:color w:val="auto"/>
                <w:sz w:val="28"/>
                <w:szCs w:val="28"/>
                <w:highlight w:val="none"/>
              </w:rPr>
            </w:pPr>
          </w:p>
        </w:tc>
        <w:tc>
          <w:tcPr>
            <w:tcW w:w="1550" w:type="dxa"/>
            <w:noWrap w:val="0"/>
            <w:vAlign w:val="center"/>
          </w:tcPr>
          <w:p w14:paraId="1795D87C">
            <w:pPr>
              <w:spacing w:line="520" w:lineRule="exact"/>
              <w:ind w:firstLine="274"/>
              <w:rPr>
                <w:rFonts w:hint="eastAsia" w:ascii="仿宋" w:hAnsi="仿宋" w:eastAsia="仿宋" w:cs="仿宋"/>
                <w:color w:val="auto"/>
                <w:sz w:val="28"/>
                <w:szCs w:val="28"/>
                <w:highlight w:val="none"/>
              </w:rPr>
            </w:pPr>
          </w:p>
        </w:tc>
        <w:tc>
          <w:tcPr>
            <w:tcW w:w="1767" w:type="dxa"/>
            <w:noWrap w:val="0"/>
            <w:vAlign w:val="top"/>
          </w:tcPr>
          <w:p w14:paraId="6F894AB8">
            <w:pPr>
              <w:spacing w:line="520" w:lineRule="exact"/>
              <w:ind w:firstLine="274"/>
              <w:rPr>
                <w:rFonts w:hint="eastAsia" w:ascii="仿宋" w:hAnsi="仿宋" w:eastAsia="仿宋" w:cs="仿宋"/>
                <w:color w:val="auto"/>
                <w:sz w:val="28"/>
                <w:szCs w:val="28"/>
                <w:highlight w:val="none"/>
              </w:rPr>
            </w:pPr>
          </w:p>
        </w:tc>
        <w:tc>
          <w:tcPr>
            <w:tcW w:w="1958" w:type="dxa"/>
            <w:noWrap w:val="0"/>
            <w:vAlign w:val="center"/>
          </w:tcPr>
          <w:p w14:paraId="7156F427">
            <w:pPr>
              <w:spacing w:line="520" w:lineRule="exact"/>
              <w:ind w:firstLine="274"/>
              <w:rPr>
                <w:rFonts w:hint="eastAsia" w:ascii="仿宋" w:hAnsi="仿宋" w:eastAsia="仿宋" w:cs="仿宋"/>
                <w:color w:val="auto"/>
                <w:sz w:val="28"/>
                <w:szCs w:val="28"/>
                <w:highlight w:val="none"/>
              </w:rPr>
            </w:pPr>
          </w:p>
        </w:tc>
        <w:tc>
          <w:tcPr>
            <w:tcW w:w="1056" w:type="dxa"/>
            <w:noWrap w:val="0"/>
            <w:vAlign w:val="center"/>
          </w:tcPr>
          <w:p w14:paraId="1CD9FDA7">
            <w:pPr>
              <w:spacing w:line="520" w:lineRule="exact"/>
              <w:ind w:firstLine="274"/>
              <w:rPr>
                <w:rFonts w:hint="eastAsia" w:ascii="仿宋" w:hAnsi="仿宋" w:eastAsia="仿宋" w:cs="仿宋"/>
                <w:color w:val="auto"/>
                <w:sz w:val="28"/>
                <w:szCs w:val="28"/>
                <w:highlight w:val="none"/>
              </w:rPr>
            </w:pPr>
          </w:p>
        </w:tc>
      </w:tr>
      <w:tr w14:paraId="25110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1DA84EFB">
            <w:pPr>
              <w:spacing w:line="520" w:lineRule="exact"/>
              <w:ind w:firstLine="274"/>
              <w:rPr>
                <w:rFonts w:hint="eastAsia" w:ascii="仿宋" w:hAnsi="仿宋" w:eastAsia="仿宋" w:cs="仿宋"/>
                <w:color w:val="auto"/>
                <w:sz w:val="28"/>
                <w:szCs w:val="28"/>
                <w:highlight w:val="none"/>
              </w:rPr>
            </w:pPr>
          </w:p>
        </w:tc>
        <w:tc>
          <w:tcPr>
            <w:tcW w:w="2520" w:type="dxa"/>
            <w:tcBorders>
              <w:top w:val="nil"/>
              <w:left w:val="nil"/>
              <w:bottom w:val="single" w:color="auto" w:sz="4" w:space="0"/>
              <w:right w:val="single" w:color="auto" w:sz="4" w:space="0"/>
            </w:tcBorders>
            <w:noWrap w:val="0"/>
            <w:vAlign w:val="center"/>
          </w:tcPr>
          <w:p w14:paraId="56AEC8FF">
            <w:pPr>
              <w:spacing w:line="520" w:lineRule="exact"/>
              <w:ind w:firstLine="274"/>
              <w:rPr>
                <w:rFonts w:hint="eastAsia" w:ascii="仿宋" w:hAnsi="仿宋" w:eastAsia="仿宋" w:cs="仿宋"/>
                <w:color w:val="auto"/>
                <w:sz w:val="28"/>
                <w:szCs w:val="28"/>
                <w:highlight w:val="none"/>
              </w:rPr>
            </w:pPr>
          </w:p>
        </w:tc>
        <w:tc>
          <w:tcPr>
            <w:tcW w:w="1550" w:type="dxa"/>
            <w:noWrap w:val="0"/>
            <w:vAlign w:val="center"/>
          </w:tcPr>
          <w:p w14:paraId="1451F605">
            <w:pPr>
              <w:spacing w:line="520" w:lineRule="exact"/>
              <w:ind w:firstLine="274"/>
              <w:rPr>
                <w:rFonts w:hint="eastAsia" w:ascii="仿宋" w:hAnsi="仿宋" w:eastAsia="仿宋" w:cs="仿宋"/>
                <w:color w:val="auto"/>
                <w:sz w:val="28"/>
                <w:szCs w:val="28"/>
                <w:highlight w:val="none"/>
              </w:rPr>
            </w:pPr>
          </w:p>
        </w:tc>
        <w:tc>
          <w:tcPr>
            <w:tcW w:w="1767" w:type="dxa"/>
            <w:noWrap w:val="0"/>
            <w:vAlign w:val="top"/>
          </w:tcPr>
          <w:p w14:paraId="2AB75BED">
            <w:pPr>
              <w:spacing w:line="520" w:lineRule="exact"/>
              <w:ind w:firstLine="274"/>
              <w:rPr>
                <w:rFonts w:hint="eastAsia" w:ascii="仿宋" w:hAnsi="仿宋" w:eastAsia="仿宋" w:cs="仿宋"/>
                <w:color w:val="auto"/>
                <w:sz w:val="28"/>
                <w:szCs w:val="28"/>
                <w:highlight w:val="none"/>
              </w:rPr>
            </w:pPr>
          </w:p>
        </w:tc>
        <w:tc>
          <w:tcPr>
            <w:tcW w:w="1958" w:type="dxa"/>
            <w:noWrap w:val="0"/>
            <w:vAlign w:val="center"/>
          </w:tcPr>
          <w:p w14:paraId="066FBA0D">
            <w:pPr>
              <w:spacing w:line="520" w:lineRule="exact"/>
              <w:ind w:firstLine="274"/>
              <w:rPr>
                <w:rFonts w:hint="eastAsia" w:ascii="仿宋" w:hAnsi="仿宋" w:eastAsia="仿宋" w:cs="仿宋"/>
                <w:color w:val="auto"/>
                <w:sz w:val="28"/>
                <w:szCs w:val="28"/>
                <w:highlight w:val="none"/>
              </w:rPr>
            </w:pPr>
          </w:p>
        </w:tc>
        <w:tc>
          <w:tcPr>
            <w:tcW w:w="1056" w:type="dxa"/>
            <w:noWrap w:val="0"/>
            <w:vAlign w:val="center"/>
          </w:tcPr>
          <w:p w14:paraId="56B9DA37">
            <w:pPr>
              <w:spacing w:line="520" w:lineRule="exact"/>
              <w:ind w:firstLine="274"/>
              <w:rPr>
                <w:rFonts w:hint="eastAsia" w:ascii="仿宋" w:hAnsi="仿宋" w:eastAsia="仿宋" w:cs="仿宋"/>
                <w:color w:val="auto"/>
                <w:sz w:val="28"/>
                <w:szCs w:val="28"/>
                <w:highlight w:val="none"/>
              </w:rPr>
            </w:pPr>
          </w:p>
        </w:tc>
      </w:tr>
      <w:tr w14:paraId="227A9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399C13D4">
            <w:pPr>
              <w:spacing w:line="520" w:lineRule="exact"/>
              <w:ind w:firstLine="274"/>
              <w:rPr>
                <w:rFonts w:hint="eastAsia" w:ascii="仿宋" w:hAnsi="仿宋" w:eastAsia="仿宋" w:cs="仿宋"/>
                <w:color w:val="auto"/>
                <w:sz w:val="28"/>
                <w:szCs w:val="28"/>
                <w:highlight w:val="none"/>
              </w:rPr>
            </w:pPr>
          </w:p>
        </w:tc>
        <w:tc>
          <w:tcPr>
            <w:tcW w:w="2520" w:type="dxa"/>
            <w:tcBorders>
              <w:top w:val="nil"/>
              <w:left w:val="nil"/>
              <w:bottom w:val="single" w:color="auto" w:sz="4" w:space="0"/>
              <w:right w:val="single" w:color="auto" w:sz="4" w:space="0"/>
            </w:tcBorders>
            <w:noWrap w:val="0"/>
            <w:vAlign w:val="center"/>
          </w:tcPr>
          <w:p w14:paraId="3F8B86E9">
            <w:pPr>
              <w:spacing w:line="520" w:lineRule="exact"/>
              <w:ind w:firstLine="274"/>
              <w:rPr>
                <w:rFonts w:hint="eastAsia" w:ascii="仿宋" w:hAnsi="仿宋" w:eastAsia="仿宋" w:cs="仿宋"/>
                <w:color w:val="auto"/>
                <w:sz w:val="28"/>
                <w:szCs w:val="28"/>
                <w:highlight w:val="none"/>
              </w:rPr>
            </w:pPr>
          </w:p>
        </w:tc>
        <w:tc>
          <w:tcPr>
            <w:tcW w:w="1550" w:type="dxa"/>
            <w:noWrap w:val="0"/>
            <w:vAlign w:val="center"/>
          </w:tcPr>
          <w:p w14:paraId="172E224A">
            <w:pPr>
              <w:spacing w:line="520" w:lineRule="exact"/>
              <w:ind w:firstLine="274"/>
              <w:rPr>
                <w:rFonts w:hint="eastAsia" w:ascii="仿宋" w:hAnsi="仿宋" w:eastAsia="仿宋" w:cs="仿宋"/>
                <w:color w:val="auto"/>
                <w:sz w:val="28"/>
                <w:szCs w:val="28"/>
                <w:highlight w:val="none"/>
              </w:rPr>
            </w:pPr>
          </w:p>
        </w:tc>
        <w:tc>
          <w:tcPr>
            <w:tcW w:w="1767" w:type="dxa"/>
            <w:noWrap w:val="0"/>
            <w:vAlign w:val="top"/>
          </w:tcPr>
          <w:p w14:paraId="49CE5590">
            <w:pPr>
              <w:spacing w:line="520" w:lineRule="exact"/>
              <w:ind w:firstLine="274"/>
              <w:rPr>
                <w:rFonts w:hint="eastAsia" w:ascii="仿宋" w:hAnsi="仿宋" w:eastAsia="仿宋" w:cs="仿宋"/>
                <w:color w:val="auto"/>
                <w:sz w:val="28"/>
                <w:szCs w:val="28"/>
                <w:highlight w:val="none"/>
              </w:rPr>
            </w:pPr>
          </w:p>
        </w:tc>
        <w:tc>
          <w:tcPr>
            <w:tcW w:w="1958" w:type="dxa"/>
            <w:noWrap w:val="0"/>
            <w:vAlign w:val="center"/>
          </w:tcPr>
          <w:p w14:paraId="4969E163">
            <w:pPr>
              <w:spacing w:line="520" w:lineRule="exact"/>
              <w:ind w:firstLine="274"/>
              <w:rPr>
                <w:rFonts w:hint="eastAsia" w:ascii="仿宋" w:hAnsi="仿宋" w:eastAsia="仿宋" w:cs="仿宋"/>
                <w:color w:val="auto"/>
                <w:sz w:val="28"/>
                <w:szCs w:val="28"/>
                <w:highlight w:val="none"/>
              </w:rPr>
            </w:pPr>
          </w:p>
        </w:tc>
        <w:tc>
          <w:tcPr>
            <w:tcW w:w="1056" w:type="dxa"/>
            <w:noWrap w:val="0"/>
            <w:vAlign w:val="center"/>
          </w:tcPr>
          <w:p w14:paraId="66B0BE84">
            <w:pPr>
              <w:spacing w:line="520" w:lineRule="exact"/>
              <w:ind w:firstLine="274"/>
              <w:rPr>
                <w:rFonts w:hint="eastAsia" w:ascii="仿宋" w:hAnsi="仿宋" w:eastAsia="仿宋" w:cs="仿宋"/>
                <w:color w:val="auto"/>
                <w:sz w:val="28"/>
                <w:szCs w:val="28"/>
                <w:highlight w:val="none"/>
              </w:rPr>
            </w:pPr>
          </w:p>
        </w:tc>
      </w:tr>
      <w:tr w14:paraId="6131E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49E9DEAA">
            <w:pPr>
              <w:spacing w:line="520" w:lineRule="exact"/>
              <w:ind w:firstLine="274"/>
              <w:rPr>
                <w:rFonts w:hint="eastAsia" w:ascii="仿宋" w:hAnsi="仿宋" w:eastAsia="仿宋" w:cs="仿宋"/>
                <w:color w:val="auto"/>
                <w:sz w:val="28"/>
                <w:szCs w:val="28"/>
                <w:highlight w:val="none"/>
              </w:rPr>
            </w:pPr>
          </w:p>
        </w:tc>
        <w:tc>
          <w:tcPr>
            <w:tcW w:w="2520" w:type="dxa"/>
            <w:tcBorders>
              <w:top w:val="nil"/>
              <w:left w:val="nil"/>
              <w:bottom w:val="single" w:color="auto" w:sz="4" w:space="0"/>
              <w:right w:val="single" w:color="auto" w:sz="4" w:space="0"/>
            </w:tcBorders>
            <w:noWrap w:val="0"/>
            <w:vAlign w:val="center"/>
          </w:tcPr>
          <w:p w14:paraId="493A50A0">
            <w:pPr>
              <w:spacing w:line="520" w:lineRule="exact"/>
              <w:ind w:firstLine="274"/>
              <w:rPr>
                <w:rFonts w:hint="eastAsia" w:ascii="仿宋" w:hAnsi="仿宋" w:eastAsia="仿宋" w:cs="仿宋"/>
                <w:color w:val="auto"/>
                <w:sz w:val="28"/>
                <w:szCs w:val="28"/>
                <w:highlight w:val="none"/>
              </w:rPr>
            </w:pPr>
          </w:p>
        </w:tc>
        <w:tc>
          <w:tcPr>
            <w:tcW w:w="1550" w:type="dxa"/>
            <w:noWrap w:val="0"/>
            <w:vAlign w:val="center"/>
          </w:tcPr>
          <w:p w14:paraId="54F2CB38">
            <w:pPr>
              <w:spacing w:line="520" w:lineRule="exact"/>
              <w:ind w:firstLine="274"/>
              <w:rPr>
                <w:rFonts w:hint="eastAsia" w:ascii="仿宋" w:hAnsi="仿宋" w:eastAsia="仿宋" w:cs="仿宋"/>
                <w:color w:val="auto"/>
                <w:sz w:val="28"/>
                <w:szCs w:val="28"/>
                <w:highlight w:val="none"/>
              </w:rPr>
            </w:pPr>
          </w:p>
        </w:tc>
        <w:tc>
          <w:tcPr>
            <w:tcW w:w="1767" w:type="dxa"/>
            <w:noWrap w:val="0"/>
            <w:vAlign w:val="top"/>
          </w:tcPr>
          <w:p w14:paraId="08E8450B">
            <w:pPr>
              <w:spacing w:line="520" w:lineRule="exact"/>
              <w:ind w:firstLine="274"/>
              <w:rPr>
                <w:rFonts w:hint="eastAsia" w:ascii="仿宋" w:hAnsi="仿宋" w:eastAsia="仿宋" w:cs="仿宋"/>
                <w:color w:val="auto"/>
                <w:sz w:val="28"/>
                <w:szCs w:val="28"/>
                <w:highlight w:val="none"/>
              </w:rPr>
            </w:pPr>
          </w:p>
        </w:tc>
        <w:tc>
          <w:tcPr>
            <w:tcW w:w="1958" w:type="dxa"/>
            <w:noWrap w:val="0"/>
            <w:vAlign w:val="center"/>
          </w:tcPr>
          <w:p w14:paraId="438C46BB">
            <w:pPr>
              <w:spacing w:line="520" w:lineRule="exact"/>
              <w:ind w:firstLine="274"/>
              <w:rPr>
                <w:rFonts w:hint="eastAsia" w:ascii="仿宋" w:hAnsi="仿宋" w:eastAsia="仿宋" w:cs="仿宋"/>
                <w:color w:val="auto"/>
                <w:sz w:val="28"/>
                <w:szCs w:val="28"/>
                <w:highlight w:val="none"/>
              </w:rPr>
            </w:pPr>
          </w:p>
        </w:tc>
        <w:tc>
          <w:tcPr>
            <w:tcW w:w="1056" w:type="dxa"/>
            <w:noWrap w:val="0"/>
            <w:vAlign w:val="center"/>
          </w:tcPr>
          <w:p w14:paraId="0574C5CD">
            <w:pPr>
              <w:spacing w:line="520" w:lineRule="exact"/>
              <w:ind w:firstLine="274"/>
              <w:rPr>
                <w:rFonts w:hint="eastAsia" w:ascii="仿宋" w:hAnsi="仿宋" w:eastAsia="仿宋" w:cs="仿宋"/>
                <w:color w:val="auto"/>
                <w:sz w:val="28"/>
                <w:szCs w:val="28"/>
                <w:highlight w:val="none"/>
              </w:rPr>
            </w:pPr>
          </w:p>
        </w:tc>
      </w:tr>
      <w:tr w14:paraId="58A7C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1B4124CE">
            <w:pPr>
              <w:spacing w:line="520" w:lineRule="exact"/>
              <w:ind w:firstLine="274"/>
              <w:rPr>
                <w:rFonts w:hint="eastAsia" w:ascii="仿宋" w:hAnsi="仿宋" w:eastAsia="仿宋" w:cs="仿宋"/>
                <w:color w:val="auto"/>
                <w:sz w:val="28"/>
                <w:szCs w:val="28"/>
                <w:highlight w:val="none"/>
              </w:rPr>
            </w:pPr>
          </w:p>
        </w:tc>
        <w:tc>
          <w:tcPr>
            <w:tcW w:w="2520" w:type="dxa"/>
            <w:tcBorders>
              <w:top w:val="nil"/>
              <w:left w:val="nil"/>
              <w:bottom w:val="single" w:color="auto" w:sz="4" w:space="0"/>
              <w:right w:val="single" w:color="auto" w:sz="4" w:space="0"/>
            </w:tcBorders>
            <w:noWrap w:val="0"/>
            <w:vAlign w:val="center"/>
          </w:tcPr>
          <w:p w14:paraId="72C4A650">
            <w:pPr>
              <w:spacing w:line="520" w:lineRule="exact"/>
              <w:ind w:firstLine="274"/>
              <w:rPr>
                <w:rFonts w:hint="eastAsia" w:ascii="仿宋" w:hAnsi="仿宋" w:eastAsia="仿宋" w:cs="仿宋"/>
                <w:color w:val="auto"/>
                <w:sz w:val="28"/>
                <w:szCs w:val="28"/>
                <w:highlight w:val="none"/>
              </w:rPr>
            </w:pPr>
          </w:p>
        </w:tc>
        <w:tc>
          <w:tcPr>
            <w:tcW w:w="1550" w:type="dxa"/>
            <w:noWrap w:val="0"/>
            <w:vAlign w:val="center"/>
          </w:tcPr>
          <w:p w14:paraId="17BC152B">
            <w:pPr>
              <w:spacing w:line="520" w:lineRule="exact"/>
              <w:ind w:firstLine="274"/>
              <w:rPr>
                <w:rFonts w:hint="eastAsia" w:ascii="仿宋" w:hAnsi="仿宋" w:eastAsia="仿宋" w:cs="仿宋"/>
                <w:color w:val="auto"/>
                <w:sz w:val="28"/>
                <w:szCs w:val="28"/>
                <w:highlight w:val="none"/>
              </w:rPr>
            </w:pPr>
          </w:p>
        </w:tc>
        <w:tc>
          <w:tcPr>
            <w:tcW w:w="1767" w:type="dxa"/>
            <w:noWrap w:val="0"/>
            <w:vAlign w:val="top"/>
          </w:tcPr>
          <w:p w14:paraId="7E371090">
            <w:pPr>
              <w:spacing w:line="520" w:lineRule="exact"/>
              <w:ind w:firstLine="274"/>
              <w:rPr>
                <w:rFonts w:hint="eastAsia" w:ascii="仿宋" w:hAnsi="仿宋" w:eastAsia="仿宋" w:cs="仿宋"/>
                <w:color w:val="auto"/>
                <w:sz w:val="28"/>
                <w:szCs w:val="28"/>
                <w:highlight w:val="none"/>
              </w:rPr>
            </w:pPr>
          </w:p>
        </w:tc>
        <w:tc>
          <w:tcPr>
            <w:tcW w:w="1958" w:type="dxa"/>
            <w:noWrap w:val="0"/>
            <w:vAlign w:val="center"/>
          </w:tcPr>
          <w:p w14:paraId="070887BF">
            <w:pPr>
              <w:spacing w:line="520" w:lineRule="exact"/>
              <w:ind w:firstLine="274"/>
              <w:rPr>
                <w:rFonts w:hint="eastAsia" w:ascii="仿宋" w:hAnsi="仿宋" w:eastAsia="仿宋" w:cs="仿宋"/>
                <w:color w:val="auto"/>
                <w:sz w:val="28"/>
                <w:szCs w:val="28"/>
                <w:highlight w:val="none"/>
              </w:rPr>
            </w:pPr>
          </w:p>
        </w:tc>
        <w:tc>
          <w:tcPr>
            <w:tcW w:w="1056" w:type="dxa"/>
            <w:noWrap w:val="0"/>
            <w:vAlign w:val="center"/>
          </w:tcPr>
          <w:p w14:paraId="1B90F494">
            <w:pPr>
              <w:spacing w:line="520" w:lineRule="exact"/>
              <w:ind w:firstLine="274"/>
              <w:rPr>
                <w:rFonts w:hint="eastAsia" w:ascii="仿宋" w:hAnsi="仿宋" w:eastAsia="仿宋" w:cs="仿宋"/>
                <w:color w:val="auto"/>
                <w:sz w:val="28"/>
                <w:szCs w:val="28"/>
                <w:highlight w:val="none"/>
              </w:rPr>
            </w:pPr>
          </w:p>
        </w:tc>
      </w:tr>
      <w:tr w14:paraId="35EEA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2C168B46">
            <w:pPr>
              <w:spacing w:line="520" w:lineRule="exact"/>
              <w:ind w:firstLine="274"/>
              <w:rPr>
                <w:rFonts w:hint="eastAsia" w:ascii="仿宋" w:hAnsi="仿宋" w:eastAsia="仿宋" w:cs="仿宋"/>
                <w:color w:val="auto"/>
                <w:sz w:val="28"/>
                <w:szCs w:val="28"/>
                <w:highlight w:val="none"/>
              </w:rPr>
            </w:pPr>
          </w:p>
        </w:tc>
        <w:tc>
          <w:tcPr>
            <w:tcW w:w="2520" w:type="dxa"/>
            <w:tcBorders>
              <w:top w:val="nil"/>
              <w:left w:val="nil"/>
              <w:bottom w:val="single" w:color="auto" w:sz="4" w:space="0"/>
              <w:right w:val="single" w:color="auto" w:sz="4" w:space="0"/>
            </w:tcBorders>
            <w:noWrap w:val="0"/>
            <w:vAlign w:val="center"/>
          </w:tcPr>
          <w:p w14:paraId="26940093">
            <w:pPr>
              <w:spacing w:line="520" w:lineRule="exact"/>
              <w:ind w:firstLine="274"/>
              <w:rPr>
                <w:rFonts w:hint="eastAsia" w:ascii="仿宋" w:hAnsi="仿宋" w:eastAsia="仿宋" w:cs="仿宋"/>
                <w:color w:val="auto"/>
                <w:sz w:val="28"/>
                <w:szCs w:val="28"/>
                <w:highlight w:val="none"/>
              </w:rPr>
            </w:pPr>
          </w:p>
        </w:tc>
        <w:tc>
          <w:tcPr>
            <w:tcW w:w="1550" w:type="dxa"/>
            <w:noWrap w:val="0"/>
            <w:vAlign w:val="center"/>
          </w:tcPr>
          <w:p w14:paraId="6E09152B">
            <w:pPr>
              <w:spacing w:line="520" w:lineRule="exact"/>
              <w:ind w:firstLine="274"/>
              <w:rPr>
                <w:rFonts w:hint="eastAsia" w:ascii="仿宋" w:hAnsi="仿宋" w:eastAsia="仿宋" w:cs="仿宋"/>
                <w:color w:val="auto"/>
                <w:sz w:val="28"/>
                <w:szCs w:val="28"/>
                <w:highlight w:val="none"/>
              </w:rPr>
            </w:pPr>
          </w:p>
        </w:tc>
        <w:tc>
          <w:tcPr>
            <w:tcW w:w="1767" w:type="dxa"/>
            <w:noWrap w:val="0"/>
            <w:vAlign w:val="top"/>
          </w:tcPr>
          <w:p w14:paraId="0643F8F8">
            <w:pPr>
              <w:spacing w:line="520" w:lineRule="exact"/>
              <w:ind w:firstLine="274"/>
              <w:rPr>
                <w:rFonts w:hint="eastAsia" w:ascii="仿宋" w:hAnsi="仿宋" w:eastAsia="仿宋" w:cs="仿宋"/>
                <w:color w:val="auto"/>
                <w:sz w:val="28"/>
                <w:szCs w:val="28"/>
                <w:highlight w:val="none"/>
              </w:rPr>
            </w:pPr>
          </w:p>
        </w:tc>
        <w:tc>
          <w:tcPr>
            <w:tcW w:w="1958" w:type="dxa"/>
            <w:noWrap w:val="0"/>
            <w:vAlign w:val="center"/>
          </w:tcPr>
          <w:p w14:paraId="63163482">
            <w:pPr>
              <w:spacing w:line="520" w:lineRule="exact"/>
              <w:ind w:firstLine="274"/>
              <w:rPr>
                <w:rFonts w:hint="eastAsia" w:ascii="仿宋" w:hAnsi="仿宋" w:eastAsia="仿宋" w:cs="仿宋"/>
                <w:color w:val="auto"/>
                <w:sz w:val="28"/>
                <w:szCs w:val="28"/>
                <w:highlight w:val="none"/>
              </w:rPr>
            </w:pPr>
          </w:p>
        </w:tc>
        <w:tc>
          <w:tcPr>
            <w:tcW w:w="1056" w:type="dxa"/>
            <w:noWrap w:val="0"/>
            <w:vAlign w:val="center"/>
          </w:tcPr>
          <w:p w14:paraId="0D27F525">
            <w:pPr>
              <w:spacing w:line="520" w:lineRule="exact"/>
              <w:ind w:firstLine="274"/>
              <w:rPr>
                <w:rFonts w:hint="eastAsia" w:ascii="仿宋" w:hAnsi="仿宋" w:eastAsia="仿宋" w:cs="仿宋"/>
                <w:color w:val="auto"/>
                <w:sz w:val="28"/>
                <w:szCs w:val="28"/>
                <w:highlight w:val="none"/>
              </w:rPr>
            </w:pPr>
          </w:p>
        </w:tc>
      </w:tr>
      <w:tr w14:paraId="3AA54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07E7C88A">
            <w:pPr>
              <w:spacing w:line="520" w:lineRule="exact"/>
              <w:ind w:firstLine="274"/>
              <w:rPr>
                <w:rFonts w:hint="eastAsia" w:ascii="仿宋" w:hAnsi="仿宋" w:eastAsia="仿宋" w:cs="仿宋"/>
                <w:color w:val="auto"/>
                <w:sz w:val="28"/>
                <w:szCs w:val="28"/>
                <w:highlight w:val="none"/>
              </w:rPr>
            </w:pPr>
          </w:p>
        </w:tc>
        <w:tc>
          <w:tcPr>
            <w:tcW w:w="2520" w:type="dxa"/>
            <w:tcBorders>
              <w:top w:val="nil"/>
              <w:left w:val="nil"/>
              <w:bottom w:val="single" w:color="auto" w:sz="4" w:space="0"/>
              <w:right w:val="single" w:color="auto" w:sz="4" w:space="0"/>
            </w:tcBorders>
            <w:noWrap w:val="0"/>
            <w:vAlign w:val="center"/>
          </w:tcPr>
          <w:p w14:paraId="0256306B">
            <w:pPr>
              <w:spacing w:line="520" w:lineRule="exact"/>
              <w:ind w:firstLine="274"/>
              <w:rPr>
                <w:rFonts w:hint="eastAsia" w:ascii="仿宋" w:hAnsi="仿宋" w:eastAsia="仿宋" w:cs="仿宋"/>
                <w:color w:val="auto"/>
                <w:sz w:val="28"/>
                <w:szCs w:val="28"/>
                <w:highlight w:val="none"/>
              </w:rPr>
            </w:pPr>
          </w:p>
        </w:tc>
        <w:tc>
          <w:tcPr>
            <w:tcW w:w="1550" w:type="dxa"/>
            <w:noWrap w:val="0"/>
            <w:vAlign w:val="center"/>
          </w:tcPr>
          <w:p w14:paraId="14871E04">
            <w:pPr>
              <w:spacing w:line="520" w:lineRule="exact"/>
              <w:ind w:firstLine="274"/>
              <w:rPr>
                <w:rFonts w:hint="eastAsia" w:ascii="仿宋" w:hAnsi="仿宋" w:eastAsia="仿宋" w:cs="仿宋"/>
                <w:color w:val="auto"/>
                <w:sz w:val="28"/>
                <w:szCs w:val="28"/>
                <w:highlight w:val="none"/>
              </w:rPr>
            </w:pPr>
          </w:p>
        </w:tc>
        <w:tc>
          <w:tcPr>
            <w:tcW w:w="1767" w:type="dxa"/>
            <w:noWrap w:val="0"/>
            <w:vAlign w:val="top"/>
          </w:tcPr>
          <w:p w14:paraId="55D3E153">
            <w:pPr>
              <w:spacing w:line="520" w:lineRule="exact"/>
              <w:ind w:firstLine="274"/>
              <w:rPr>
                <w:rFonts w:hint="eastAsia" w:ascii="仿宋" w:hAnsi="仿宋" w:eastAsia="仿宋" w:cs="仿宋"/>
                <w:color w:val="auto"/>
                <w:sz w:val="28"/>
                <w:szCs w:val="28"/>
                <w:highlight w:val="none"/>
              </w:rPr>
            </w:pPr>
          </w:p>
        </w:tc>
        <w:tc>
          <w:tcPr>
            <w:tcW w:w="1958" w:type="dxa"/>
            <w:noWrap w:val="0"/>
            <w:vAlign w:val="center"/>
          </w:tcPr>
          <w:p w14:paraId="786F3CD8">
            <w:pPr>
              <w:spacing w:line="520" w:lineRule="exact"/>
              <w:ind w:firstLine="274"/>
              <w:rPr>
                <w:rFonts w:hint="eastAsia" w:ascii="仿宋" w:hAnsi="仿宋" w:eastAsia="仿宋" w:cs="仿宋"/>
                <w:color w:val="auto"/>
                <w:sz w:val="28"/>
                <w:szCs w:val="28"/>
                <w:highlight w:val="none"/>
              </w:rPr>
            </w:pPr>
          </w:p>
        </w:tc>
        <w:tc>
          <w:tcPr>
            <w:tcW w:w="1056" w:type="dxa"/>
            <w:noWrap w:val="0"/>
            <w:vAlign w:val="center"/>
          </w:tcPr>
          <w:p w14:paraId="3FE72ABF">
            <w:pPr>
              <w:spacing w:line="520" w:lineRule="exact"/>
              <w:ind w:firstLine="274"/>
              <w:rPr>
                <w:rFonts w:hint="eastAsia" w:ascii="仿宋" w:hAnsi="仿宋" w:eastAsia="仿宋" w:cs="仿宋"/>
                <w:color w:val="auto"/>
                <w:sz w:val="28"/>
                <w:szCs w:val="28"/>
                <w:highlight w:val="none"/>
              </w:rPr>
            </w:pPr>
          </w:p>
        </w:tc>
      </w:tr>
      <w:tr w14:paraId="29252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05" w:type="dxa"/>
            <w:noWrap w:val="0"/>
            <w:vAlign w:val="center"/>
          </w:tcPr>
          <w:p w14:paraId="16D6AF2D">
            <w:pPr>
              <w:spacing w:line="520" w:lineRule="exact"/>
              <w:ind w:firstLine="274"/>
              <w:rPr>
                <w:rFonts w:hint="eastAsia" w:ascii="仿宋" w:hAnsi="仿宋" w:eastAsia="仿宋" w:cs="仿宋"/>
                <w:color w:val="auto"/>
                <w:sz w:val="28"/>
                <w:szCs w:val="28"/>
                <w:highlight w:val="none"/>
              </w:rPr>
            </w:pPr>
          </w:p>
        </w:tc>
        <w:tc>
          <w:tcPr>
            <w:tcW w:w="2520" w:type="dxa"/>
            <w:tcBorders>
              <w:top w:val="nil"/>
              <w:left w:val="nil"/>
              <w:bottom w:val="single" w:color="auto" w:sz="4" w:space="0"/>
              <w:right w:val="single" w:color="auto" w:sz="4" w:space="0"/>
            </w:tcBorders>
            <w:noWrap w:val="0"/>
            <w:vAlign w:val="center"/>
          </w:tcPr>
          <w:p w14:paraId="08F98561">
            <w:pPr>
              <w:spacing w:line="520" w:lineRule="exact"/>
              <w:ind w:firstLine="274"/>
              <w:rPr>
                <w:rFonts w:hint="eastAsia" w:ascii="仿宋" w:hAnsi="仿宋" w:eastAsia="仿宋" w:cs="仿宋"/>
                <w:color w:val="auto"/>
                <w:sz w:val="28"/>
                <w:szCs w:val="28"/>
                <w:highlight w:val="none"/>
              </w:rPr>
            </w:pPr>
          </w:p>
        </w:tc>
        <w:tc>
          <w:tcPr>
            <w:tcW w:w="1550" w:type="dxa"/>
            <w:noWrap w:val="0"/>
            <w:vAlign w:val="center"/>
          </w:tcPr>
          <w:p w14:paraId="406CBBBB">
            <w:pPr>
              <w:spacing w:line="520" w:lineRule="exact"/>
              <w:ind w:firstLine="274"/>
              <w:rPr>
                <w:rFonts w:hint="eastAsia" w:ascii="仿宋" w:hAnsi="仿宋" w:eastAsia="仿宋" w:cs="仿宋"/>
                <w:color w:val="auto"/>
                <w:sz w:val="28"/>
                <w:szCs w:val="28"/>
                <w:highlight w:val="none"/>
              </w:rPr>
            </w:pPr>
          </w:p>
        </w:tc>
        <w:tc>
          <w:tcPr>
            <w:tcW w:w="1767" w:type="dxa"/>
            <w:noWrap w:val="0"/>
            <w:vAlign w:val="top"/>
          </w:tcPr>
          <w:p w14:paraId="76F342E6">
            <w:pPr>
              <w:spacing w:line="520" w:lineRule="exact"/>
              <w:ind w:firstLine="274"/>
              <w:rPr>
                <w:rFonts w:hint="eastAsia" w:ascii="仿宋" w:hAnsi="仿宋" w:eastAsia="仿宋" w:cs="仿宋"/>
                <w:color w:val="auto"/>
                <w:sz w:val="28"/>
                <w:szCs w:val="28"/>
                <w:highlight w:val="none"/>
              </w:rPr>
            </w:pPr>
          </w:p>
        </w:tc>
        <w:tc>
          <w:tcPr>
            <w:tcW w:w="1958" w:type="dxa"/>
            <w:noWrap w:val="0"/>
            <w:vAlign w:val="center"/>
          </w:tcPr>
          <w:p w14:paraId="69E10F18">
            <w:pPr>
              <w:spacing w:line="520" w:lineRule="exact"/>
              <w:ind w:firstLine="274"/>
              <w:rPr>
                <w:rFonts w:hint="eastAsia" w:ascii="仿宋" w:hAnsi="仿宋" w:eastAsia="仿宋" w:cs="仿宋"/>
                <w:color w:val="auto"/>
                <w:sz w:val="28"/>
                <w:szCs w:val="28"/>
                <w:highlight w:val="none"/>
              </w:rPr>
            </w:pPr>
          </w:p>
        </w:tc>
        <w:tc>
          <w:tcPr>
            <w:tcW w:w="1056" w:type="dxa"/>
            <w:noWrap w:val="0"/>
            <w:vAlign w:val="center"/>
          </w:tcPr>
          <w:p w14:paraId="2707F871">
            <w:pPr>
              <w:spacing w:line="520" w:lineRule="exact"/>
              <w:ind w:firstLine="274"/>
              <w:rPr>
                <w:rFonts w:hint="eastAsia" w:ascii="仿宋" w:hAnsi="仿宋" w:eastAsia="仿宋" w:cs="仿宋"/>
                <w:color w:val="auto"/>
                <w:sz w:val="28"/>
                <w:szCs w:val="28"/>
                <w:highlight w:val="none"/>
              </w:rPr>
            </w:pPr>
          </w:p>
        </w:tc>
      </w:tr>
      <w:tr w14:paraId="21834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4975" w:type="dxa"/>
            <w:gridSpan w:val="3"/>
            <w:noWrap w:val="0"/>
            <w:vAlign w:val="center"/>
          </w:tcPr>
          <w:p w14:paraId="52EF6988">
            <w:pPr>
              <w:spacing w:line="520" w:lineRule="exact"/>
              <w:ind w:firstLine="27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合计</w:t>
            </w:r>
          </w:p>
        </w:tc>
        <w:tc>
          <w:tcPr>
            <w:tcW w:w="1767" w:type="dxa"/>
            <w:noWrap w:val="0"/>
            <w:vAlign w:val="center"/>
          </w:tcPr>
          <w:p w14:paraId="1D9A76C1">
            <w:pPr>
              <w:spacing w:line="520" w:lineRule="exact"/>
              <w:ind w:firstLine="274"/>
              <w:rPr>
                <w:rFonts w:hint="eastAsia" w:ascii="仿宋" w:hAnsi="仿宋" w:eastAsia="仿宋" w:cs="仿宋"/>
                <w:color w:val="auto"/>
                <w:sz w:val="28"/>
                <w:szCs w:val="28"/>
                <w:highlight w:val="none"/>
              </w:rPr>
            </w:pPr>
          </w:p>
        </w:tc>
        <w:tc>
          <w:tcPr>
            <w:tcW w:w="1958" w:type="dxa"/>
            <w:noWrap w:val="0"/>
            <w:vAlign w:val="center"/>
          </w:tcPr>
          <w:p w14:paraId="3B49BA5E">
            <w:pPr>
              <w:spacing w:line="520" w:lineRule="exact"/>
              <w:ind w:firstLine="274"/>
              <w:rPr>
                <w:rFonts w:hint="eastAsia" w:ascii="仿宋" w:hAnsi="仿宋" w:eastAsia="仿宋" w:cs="仿宋"/>
                <w:color w:val="auto"/>
                <w:sz w:val="28"/>
                <w:szCs w:val="28"/>
                <w:highlight w:val="none"/>
              </w:rPr>
            </w:pPr>
          </w:p>
        </w:tc>
        <w:tc>
          <w:tcPr>
            <w:tcW w:w="1056" w:type="dxa"/>
            <w:noWrap w:val="0"/>
            <w:vAlign w:val="top"/>
          </w:tcPr>
          <w:p w14:paraId="239EA703">
            <w:pPr>
              <w:spacing w:line="520" w:lineRule="exact"/>
              <w:ind w:firstLine="274"/>
              <w:rPr>
                <w:rFonts w:hint="eastAsia" w:ascii="仿宋" w:hAnsi="仿宋" w:eastAsia="仿宋" w:cs="仿宋"/>
                <w:color w:val="auto"/>
                <w:sz w:val="28"/>
                <w:szCs w:val="28"/>
                <w:highlight w:val="none"/>
              </w:rPr>
            </w:pPr>
          </w:p>
        </w:tc>
      </w:tr>
    </w:tbl>
    <w:p w14:paraId="1ACFBB67">
      <w:pPr>
        <w:pStyle w:val="222"/>
        <w:spacing w:line="440" w:lineRule="exact"/>
        <w:ind w:firstLine="411"/>
        <w:rPr>
          <w:rFonts w:hint="eastAsia" w:ascii="仿宋" w:hAnsi="仿宋" w:eastAsia="仿宋" w:cs="仿宋"/>
          <w:color w:val="auto"/>
          <w:sz w:val="28"/>
          <w:szCs w:val="24"/>
          <w:highlight w:val="none"/>
        </w:rPr>
      </w:pPr>
    </w:p>
    <w:p w14:paraId="3531FDD7">
      <w:pPr>
        <w:pStyle w:val="222"/>
        <w:spacing w:line="440" w:lineRule="exact"/>
        <w:ind w:firstLine="411"/>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备注：1、报价采用总承包方式，“磋商总报价”应包括所投服务费用、验收费、培训费、税金费用及其他有关的为完成本项目发生的所有费用，磋商文件中另有规定的除外。</w:t>
      </w:r>
    </w:p>
    <w:p w14:paraId="1E3FBC70">
      <w:pPr>
        <w:pStyle w:val="222"/>
        <w:spacing w:line="440" w:lineRule="exact"/>
        <w:ind w:firstLine="411"/>
        <w:rPr>
          <w:rFonts w:hint="eastAsia" w:ascii="仿宋" w:hAnsi="仿宋" w:eastAsia="仿宋" w:cs="仿宋"/>
          <w:color w:val="auto"/>
          <w:sz w:val="28"/>
          <w:szCs w:val="24"/>
          <w:highlight w:val="none"/>
        </w:rPr>
      </w:pPr>
    </w:p>
    <w:p w14:paraId="3A1E846E">
      <w:pPr>
        <w:spacing w:line="440" w:lineRule="exact"/>
        <w:rPr>
          <w:rFonts w:hint="eastAsia" w:ascii="仿宋" w:hAnsi="仿宋" w:eastAsia="仿宋" w:cs="仿宋"/>
          <w:b/>
          <w:bCs/>
          <w:color w:val="auto"/>
          <w:sz w:val="32"/>
          <w:szCs w:val="32"/>
          <w:highlight w:val="none"/>
        </w:rPr>
      </w:pPr>
    </w:p>
    <w:p w14:paraId="4FC9FAB4">
      <w:pPr>
        <w:spacing w:line="520" w:lineRule="exact"/>
        <w:ind w:firstLine="1285"/>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三、资质审查时供应商必须提交的资格证明文件</w:t>
      </w:r>
    </w:p>
    <w:p w14:paraId="4BCFBFDB">
      <w:pPr>
        <w:pStyle w:val="222"/>
        <w:spacing w:line="520" w:lineRule="exact"/>
        <w:ind w:firstLine="551"/>
        <w:rPr>
          <w:rFonts w:hint="eastAsia" w:ascii="仿宋" w:hAnsi="仿宋" w:eastAsia="仿宋" w:cs="仿宋"/>
          <w:b/>
          <w:bCs/>
          <w:color w:val="auto"/>
          <w:sz w:val="32"/>
          <w:szCs w:val="32"/>
          <w:highlight w:val="none"/>
        </w:rPr>
      </w:pPr>
      <w:r>
        <w:rPr>
          <w:rFonts w:hint="eastAsia" w:ascii="仿宋" w:hAnsi="仿宋" w:eastAsia="仿宋" w:cs="仿宋"/>
          <w:color w:val="auto"/>
          <w:sz w:val="28"/>
          <w:szCs w:val="28"/>
          <w:highlight w:val="none"/>
        </w:rPr>
        <w:t>1、供应商提供下列材料之一:</w:t>
      </w:r>
    </w:p>
    <w:p w14:paraId="2D63FAB5">
      <w:pPr>
        <w:spacing w:line="520" w:lineRule="exact"/>
        <w:ind w:firstLine="420"/>
        <w:rPr>
          <w:rFonts w:hint="eastAsia" w:ascii="仿宋" w:hAnsi="仿宋" w:eastAsia="仿宋" w:cs="仿宋"/>
          <w:color w:val="auto"/>
          <w:sz w:val="28"/>
          <w:highlight w:val="none"/>
        </w:rPr>
      </w:pPr>
      <w:r>
        <w:rPr>
          <w:rFonts w:hint="eastAsia" w:ascii="仿宋" w:hAnsi="仿宋" w:eastAsia="仿宋" w:cs="仿宋"/>
          <w:color w:val="auto"/>
          <w:sz w:val="28"/>
          <w:highlight w:val="none"/>
        </w:rPr>
        <w:t>（1）</w:t>
      </w:r>
      <w:r>
        <w:rPr>
          <w:rFonts w:hint="eastAsia" w:ascii="仿宋" w:hAnsi="仿宋" w:eastAsia="仿宋" w:cs="仿宋"/>
          <w:bCs/>
          <w:color w:val="auto"/>
          <w:sz w:val="28"/>
          <w:szCs w:val="28"/>
          <w:highlight w:val="none"/>
        </w:rPr>
        <w:t>法定代表人资格证明</w:t>
      </w:r>
      <w:r>
        <w:rPr>
          <w:rFonts w:hint="eastAsia" w:ascii="仿宋" w:hAnsi="仿宋" w:eastAsia="仿宋" w:cs="仿宋"/>
          <w:color w:val="auto"/>
          <w:sz w:val="28"/>
          <w:highlight w:val="none"/>
        </w:rPr>
        <w:t>（格式详见示范格式一）和</w:t>
      </w:r>
      <w:r>
        <w:rPr>
          <w:rFonts w:hint="eastAsia" w:ascii="仿宋" w:hAnsi="仿宋" w:eastAsia="仿宋" w:cs="仿宋"/>
          <w:bCs/>
          <w:color w:val="auto"/>
          <w:sz w:val="28"/>
          <w:highlight w:val="none"/>
        </w:rPr>
        <w:t>法定代表人</w:t>
      </w:r>
      <w:r>
        <w:rPr>
          <w:rFonts w:hint="eastAsia" w:ascii="仿宋" w:hAnsi="仿宋" w:eastAsia="仿宋" w:cs="仿宋"/>
          <w:bCs/>
          <w:color w:val="auto"/>
          <w:sz w:val="28"/>
          <w:szCs w:val="28"/>
          <w:highlight w:val="none"/>
        </w:rPr>
        <w:t>身份证（加盖</w:t>
      </w:r>
      <w:r>
        <w:rPr>
          <w:rFonts w:hint="eastAsia" w:ascii="仿宋" w:hAnsi="仿宋" w:eastAsia="仿宋" w:cs="仿宋"/>
          <w:color w:val="auto"/>
          <w:sz w:val="28"/>
          <w:highlight w:val="none"/>
        </w:rPr>
        <w:t>CA电子签</w:t>
      </w:r>
      <w:r>
        <w:rPr>
          <w:rFonts w:hint="eastAsia" w:ascii="仿宋" w:hAnsi="仿宋" w:eastAsia="仿宋" w:cs="仿宋"/>
          <w:bCs/>
          <w:color w:val="auto"/>
          <w:sz w:val="28"/>
          <w:szCs w:val="28"/>
          <w:highlight w:val="none"/>
        </w:rPr>
        <w:t>章）</w:t>
      </w:r>
      <w:r>
        <w:rPr>
          <w:rFonts w:hint="eastAsia" w:ascii="仿宋" w:hAnsi="仿宋" w:eastAsia="仿宋" w:cs="仿宋"/>
          <w:color w:val="auto"/>
          <w:sz w:val="28"/>
          <w:highlight w:val="none"/>
        </w:rPr>
        <w:t>；</w:t>
      </w:r>
    </w:p>
    <w:p w14:paraId="2BC7F577">
      <w:pPr>
        <w:spacing w:line="520" w:lineRule="exact"/>
        <w:ind w:firstLine="420"/>
        <w:rPr>
          <w:rFonts w:hint="eastAsia" w:ascii="仿宋" w:hAnsi="仿宋" w:eastAsia="仿宋" w:cs="仿宋"/>
          <w:color w:val="auto"/>
          <w:sz w:val="28"/>
          <w:highlight w:val="none"/>
        </w:rPr>
      </w:pPr>
      <w:r>
        <w:rPr>
          <w:rFonts w:hint="eastAsia" w:ascii="仿宋" w:hAnsi="仿宋" w:eastAsia="仿宋" w:cs="仿宋"/>
          <w:color w:val="auto"/>
          <w:sz w:val="28"/>
          <w:highlight w:val="none"/>
        </w:rPr>
        <w:t>（2）授权委托书（格式详见示范格式二）和</w:t>
      </w:r>
      <w:r>
        <w:rPr>
          <w:rFonts w:hint="eastAsia" w:ascii="仿宋" w:hAnsi="仿宋" w:eastAsia="仿宋" w:cs="仿宋"/>
          <w:bCs/>
          <w:color w:val="auto"/>
          <w:sz w:val="28"/>
          <w:szCs w:val="28"/>
          <w:highlight w:val="none"/>
        </w:rPr>
        <w:t>受托人身份证（加盖</w:t>
      </w:r>
      <w:r>
        <w:rPr>
          <w:rFonts w:hint="eastAsia" w:ascii="仿宋" w:hAnsi="仿宋" w:eastAsia="仿宋" w:cs="仿宋"/>
          <w:color w:val="auto"/>
          <w:sz w:val="28"/>
          <w:highlight w:val="none"/>
        </w:rPr>
        <w:t>CA电子签</w:t>
      </w:r>
      <w:r>
        <w:rPr>
          <w:rFonts w:hint="eastAsia" w:ascii="仿宋" w:hAnsi="仿宋" w:eastAsia="仿宋" w:cs="仿宋"/>
          <w:bCs/>
          <w:color w:val="auto"/>
          <w:sz w:val="28"/>
          <w:szCs w:val="28"/>
          <w:highlight w:val="none"/>
        </w:rPr>
        <w:t>章）</w:t>
      </w:r>
      <w:r>
        <w:rPr>
          <w:rFonts w:hint="eastAsia" w:ascii="仿宋" w:hAnsi="仿宋" w:eastAsia="仿宋" w:cs="仿宋"/>
          <w:color w:val="auto"/>
          <w:sz w:val="28"/>
          <w:highlight w:val="none"/>
        </w:rPr>
        <w:t>。</w:t>
      </w:r>
    </w:p>
    <w:p w14:paraId="08604DD1">
      <w:pPr>
        <w:spacing w:line="520" w:lineRule="exact"/>
        <w:ind w:firstLine="700"/>
        <w:rPr>
          <w:rFonts w:hint="eastAsia" w:ascii="仿宋" w:hAnsi="仿宋" w:eastAsia="仿宋" w:cs="仿宋"/>
          <w:color w:val="auto"/>
          <w:sz w:val="28"/>
          <w:highlight w:val="none"/>
          <w:lang w:val="zh-CN"/>
        </w:rPr>
      </w:pPr>
      <w:r>
        <w:rPr>
          <w:rFonts w:hint="eastAsia" w:ascii="仿宋" w:hAnsi="仿宋" w:eastAsia="仿宋" w:cs="仿宋"/>
          <w:color w:val="auto"/>
          <w:sz w:val="28"/>
          <w:highlight w:val="none"/>
        </w:rPr>
        <w:t>2、供应商符合《中华人民共和国政府采购法》第二十二条规定条件的承诺函</w:t>
      </w:r>
      <w:r>
        <w:rPr>
          <w:rFonts w:hint="eastAsia" w:ascii="仿宋" w:hAnsi="仿宋" w:eastAsia="仿宋" w:cs="仿宋"/>
          <w:color w:val="auto"/>
          <w:sz w:val="28"/>
          <w:highlight w:val="none"/>
          <w:lang w:val="zh-CN"/>
        </w:rPr>
        <w:t>（</w:t>
      </w:r>
      <w:r>
        <w:rPr>
          <w:rFonts w:hint="eastAsia" w:ascii="仿宋" w:hAnsi="仿宋" w:eastAsia="仿宋" w:cs="仿宋"/>
          <w:color w:val="auto"/>
          <w:sz w:val="28"/>
          <w:highlight w:val="none"/>
        </w:rPr>
        <w:t>格式详见示范格式三</w:t>
      </w:r>
      <w:r>
        <w:rPr>
          <w:rFonts w:hint="eastAsia" w:ascii="仿宋" w:hAnsi="仿宋" w:eastAsia="仿宋" w:cs="仿宋"/>
          <w:color w:val="auto"/>
          <w:sz w:val="28"/>
          <w:highlight w:val="none"/>
          <w:lang w:val="zh-CN"/>
        </w:rPr>
        <w:t>）；</w:t>
      </w:r>
    </w:p>
    <w:p w14:paraId="2F5475C3">
      <w:pPr>
        <w:spacing w:line="520" w:lineRule="exact"/>
        <w:ind w:firstLine="700"/>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val="zh-CN"/>
        </w:rPr>
        <w:t>3、</w:t>
      </w:r>
      <w:r>
        <w:rPr>
          <w:rFonts w:hint="eastAsia" w:ascii="仿宋" w:hAnsi="仿宋" w:eastAsia="仿宋" w:cs="仿宋"/>
          <w:color w:val="auto"/>
          <w:sz w:val="28"/>
          <w:szCs w:val="28"/>
          <w:highlight w:val="none"/>
        </w:rPr>
        <w:t>落实政府采购政策需满足的资格要求（提供下列任一项材料即可，</w:t>
      </w:r>
      <w:r>
        <w:rPr>
          <w:rFonts w:hint="eastAsia" w:ascii="仿宋" w:hAnsi="仿宋" w:eastAsia="仿宋" w:cs="仿宋"/>
          <w:color w:val="auto"/>
          <w:sz w:val="28"/>
          <w:szCs w:val="28"/>
          <w:highlight w:val="none"/>
          <w:lang w:val="zh-CN"/>
        </w:rPr>
        <w:t>非专门面向中小企业或者预留份额的采购项目，本项无需提供</w:t>
      </w:r>
      <w:r>
        <w:rPr>
          <w:rFonts w:hint="eastAsia" w:ascii="仿宋" w:hAnsi="仿宋" w:eastAsia="仿宋" w:cs="仿宋"/>
          <w:color w:val="auto"/>
          <w:sz w:val="28"/>
          <w:szCs w:val="28"/>
          <w:highlight w:val="none"/>
        </w:rPr>
        <w:t>）:</w:t>
      </w:r>
    </w:p>
    <w:p w14:paraId="471BB9DE">
      <w:pPr>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（1）企业声明函（详见示范格式四）；</w:t>
      </w:r>
    </w:p>
    <w:p w14:paraId="6B6638A9">
      <w:pPr>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（2）《残疾人福利性单位声明函》（详见示范格式五）；</w:t>
      </w:r>
    </w:p>
    <w:p w14:paraId="16CBA6E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（3）由省级以上监狱管理局、戒毒管理局（含新疆生产建设兵团）出具的属于监狱企业的证明文件）（加盖出具单位公章的电子件）。</w:t>
      </w:r>
    </w:p>
    <w:p w14:paraId="78A50AC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4、法人或者其他组织的营业执照、税务登记证或三证合一证等证明文件（扫描件加盖CA电子签章）。</w:t>
      </w:r>
    </w:p>
    <w:p w14:paraId="3F8F1D4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b w:val="0"/>
          <w:bCs w:val="0"/>
          <w:color w:val="auto"/>
          <w:sz w:val="28"/>
          <w:szCs w:val="28"/>
          <w:highlight w:val="none"/>
        </w:rPr>
        <w:t>供应商具有有效期内国家秘密载体印制资质(涉密档案数字化加工)甲级或乙级（</w:t>
      </w:r>
      <w:r>
        <w:rPr>
          <w:rFonts w:hint="eastAsia" w:ascii="仿宋" w:hAnsi="仿宋" w:eastAsia="仿宋" w:cs="仿宋"/>
          <w:b w:val="0"/>
          <w:bCs w:val="0"/>
          <w:color w:val="auto"/>
          <w:sz w:val="28"/>
          <w:szCs w:val="28"/>
          <w:highlight w:val="none"/>
          <w:lang w:val="en-US" w:eastAsia="zh-CN"/>
        </w:rPr>
        <w:t>非江苏省的乙级资质单位须出具已取得江苏省</w:t>
      </w:r>
      <w:r>
        <w:rPr>
          <w:rFonts w:hint="eastAsia" w:ascii="仿宋" w:hAnsi="仿宋" w:eastAsia="仿宋" w:cs="仿宋"/>
          <w:b w:val="0"/>
          <w:bCs w:val="0"/>
          <w:color w:val="auto"/>
          <w:sz w:val="28"/>
          <w:szCs w:val="28"/>
          <w:highlight w:val="none"/>
        </w:rPr>
        <w:t>保密局</w:t>
      </w:r>
      <w:r>
        <w:rPr>
          <w:rFonts w:hint="eastAsia" w:ascii="仿宋" w:hAnsi="仿宋" w:eastAsia="仿宋" w:cs="仿宋"/>
          <w:b w:val="0"/>
          <w:bCs w:val="0"/>
          <w:color w:val="auto"/>
          <w:sz w:val="28"/>
          <w:szCs w:val="28"/>
          <w:highlight w:val="none"/>
          <w:lang w:val="en-US" w:eastAsia="zh-CN"/>
        </w:rPr>
        <w:t>备案的证明材料</w:t>
      </w:r>
      <w:r>
        <w:rPr>
          <w:rFonts w:hint="eastAsia" w:ascii="仿宋" w:hAnsi="仿宋" w:eastAsia="仿宋" w:cs="仿宋"/>
          <w:b w:val="0"/>
          <w:bCs w:val="0"/>
          <w:color w:val="auto"/>
          <w:sz w:val="28"/>
          <w:szCs w:val="28"/>
          <w:highlight w:val="none"/>
        </w:rPr>
        <w:t>）</w:t>
      </w:r>
      <w:r>
        <w:rPr>
          <w:rFonts w:hint="eastAsia" w:ascii="仿宋" w:hAnsi="仿宋" w:eastAsia="仿宋" w:cs="仿宋"/>
          <w:color w:val="auto"/>
          <w:sz w:val="28"/>
          <w:szCs w:val="28"/>
          <w:highlight w:val="none"/>
        </w:rPr>
        <w:t>（扫描件并加盖供应商电子签章）。</w:t>
      </w:r>
    </w:p>
    <w:p w14:paraId="713A41E5">
      <w:pPr>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6、拒绝下述条件的供应商参加本次采购活动:</w:t>
      </w:r>
    </w:p>
    <w:p w14:paraId="7C40720A">
      <w:pPr>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1.供应商单位负责人为同一人或者存在直接控股、管理关系的不同供应商，同时参加同一合同项下的政府采购活动。（提供承诺书加盖CA电子签章）</w:t>
      </w:r>
    </w:p>
    <w:p w14:paraId="58C31C29">
      <w:pPr>
        <w:spacing w:line="520" w:lineRule="exact"/>
        <w:ind w:firstLine="560"/>
        <w:rPr>
          <w:rFonts w:hint="eastAsia" w:ascii="仿宋" w:hAnsi="仿宋" w:eastAsia="仿宋" w:cs="仿宋"/>
          <w:bCs/>
          <w:i/>
          <w:color w:val="auto"/>
          <w:sz w:val="28"/>
          <w:szCs w:val="28"/>
          <w:highlight w:val="none"/>
        </w:rPr>
      </w:pPr>
      <w:r>
        <w:rPr>
          <w:rFonts w:hint="eastAsia" w:ascii="仿宋" w:hAnsi="仿宋" w:eastAsia="仿宋" w:cs="仿宋"/>
          <w:bCs/>
          <w:color w:val="auto"/>
          <w:sz w:val="28"/>
          <w:szCs w:val="28"/>
          <w:highlight w:val="none"/>
        </w:rPr>
        <w:t>2.凡为采购项目提供整体设计、规范编制或者项目管理、监理、检测等服务的供应商，再参加本项目的采购活动。（提供承诺书加盖CA电子签章）</w:t>
      </w:r>
    </w:p>
    <w:p w14:paraId="7061BEA5">
      <w:pPr>
        <w:spacing w:line="520" w:lineRule="exact"/>
        <w:ind w:firstLine="560"/>
        <w:rPr>
          <w:rFonts w:hint="eastAsia" w:ascii="仿宋" w:hAnsi="仿宋" w:eastAsia="仿宋" w:cs="仿宋"/>
          <w:bCs/>
          <w:color w:val="auto"/>
          <w:sz w:val="28"/>
          <w:highlight w:val="none"/>
        </w:rPr>
      </w:pPr>
      <w:r>
        <w:rPr>
          <w:rFonts w:hint="eastAsia" w:ascii="仿宋" w:hAnsi="仿宋" w:eastAsia="仿宋" w:cs="仿宋"/>
          <w:bCs/>
          <w:color w:val="auto"/>
          <w:sz w:val="28"/>
          <w:szCs w:val="28"/>
          <w:highlight w:val="none"/>
        </w:rPr>
        <w:t>3.供应商被“信用中国”网站、“中国政府采购网”列入失信被执行人、重大税收违法失信主体名单、政府采购严重违法失信行为记录名单。（提供承诺书</w:t>
      </w:r>
      <w:r>
        <w:rPr>
          <w:rFonts w:hint="eastAsia" w:ascii="仿宋" w:hAnsi="仿宋" w:eastAsia="仿宋" w:cs="仿宋"/>
          <w:bCs/>
          <w:color w:val="auto"/>
          <w:sz w:val="28"/>
          <w:szCs w:val="28"/>
          <w:highlight w:val="none"/>
          <w:lang w:val="en-US" w:eastAsia="zh-CN"/>
        </w:rPr>
        <w:t>及网站</w:t>
      </w:r>
      <w:r>
        <w:rPr>
          <w:rFonts w:hint="eastAsia" w:ascii="仿宋" w:hAnsi="仿宋" w:eastAsia="仿宋" w:cs="仿宋"/>
          <w:bCs/>
          <w:color w:val="auto"/>
          <w:sz w:val="28"/>
          <w:szCs w:val="28"/>
          <w:highlight w:val="none"/>
        </w:rPr>
        <w:t>查询截图加盖CA电子签章）</w:t>
      </w:r>
      <w:r>
        <w:rPr>
          <w:rFonts w:hint="eastAsia" w:ascii="仿宋" w:hAnsi="仿宋" w:eastAsia="仿宋" w:cs="仿宋"/>
          <w:bCs/>
          <w:color w:val="auto"/>
          <w:sz w:val="28"/>
          <w:highlight w:val="none"/>
        </w:rPr>
        <w:br w:type="page" w:clear="all"/>
      </w:r>
    </w:p>
    <w:p w14:paraId="085AA85F">
      <w:pPr>
        <w:pStyle w:val="316"/>
        <w:spacing w:after="181" w:line="520" w:lineRule="exact"/>
        <w:jc w:val="center"/>
        <w:rPr>
          <w:rFonts w:hint="eastAsia" w:ascii="仿宋" w:hAnsi="仿宋" w:eastAsia="仿宋" w:cs="仿宋"/>
          <w:b/>
          <w:color w:val="auto"/>
          <w:sz w:val="32"/>
          <w:szCs w:val="32"/>
          <w:highlight w:val="none"/>
        </w:rPr>
      </w:pPr>
      <w:r>
        <w:rPr>
          <w:rFonts w:hint="eastAsia" w:ascii="仿宋" w:hAnsi="仿宋" w:eastAsia="仿宋" w:cs="仿宋"/>
          <w:b/>
          <w:bCs/>
          <w:color w:val="auto"/>
          <w:sz w:val="32"/>
          <w:highlight w:val="none"/>
        </w:rPr>
        <w:t>四、</w:t>
      </w:r>
      <w:r>
        <w:rPr>
          <w:rFonts w:hint="eastAsia" w:ascii="仿宋" w:hAnsi="仿宋" w:eastAsia="仿宋" w:cs="仿宋"/>
          <w:b/>
          <w:color w:val="auto"/>
          <w:sz w:val="32"/>
          <w:szCs w:val="32"/>
          <w:highlight w:val="none"/>
        </w:rPr>
        <w:t>人员配备表</w:t>
      </w:r>
    </w:p>
    <w:tbl>
      <w:tblPr>
        <w:tblStyle w:val="37"/>
        <w:tblW w:w="8977" w:type="dxa"/>
        <w:tblInd w:w="5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gridCol w:w="1204"/>
        <w:gridCol w:w="1162"/>
        <w:gridCol w:w="1162"/>
        <w:gridCol w:w="1431"/>
        <w:gridCol w:w="1431"/>
        <w:gridCol w:w="1564"/>
      </w:tblGrid>
      <w:tr w14:paraId="7A035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023" w:type="dxa"/>
            <w:noWrap w:val="0"/>
            <w:vAlign w:val="center"/>
          </w:tcPr>
          <w:p w14:paraId="4F1CCDEF">
            <w:pPr>
              <w:spacing w:line="440" w:lineRule="exact"/>
              <w:jc w:val="center"/>
              <w:rPr>
                <w:rFonts w:hint="eastAsia" w:ascii="仿宋" w:hAnsi="仿宋" w:eastAsia="仿宋" w:cs="仿宋"/>
                <w:color w:val="auto"/>
                <w:sz w:val="28"/>
                <w:highlight w:val="none"/>
              </w:rPr>
            </w:pPr>
            <w:r>
              <w:rPr>
                <w:rFonts w:hint="eastAsia" w:ascii="仿宋" w:hAnsi="仿宋" w:eastAsia="仿宋" w:cs="仿宋"/>
                <w:color w:val="auto"/>
                <w:sz w:val="28"/>
                <w:highlight w:val="none"/>
              </w:rPr>
              <w:t>序号</w:t>
            </w:r>
          </w:p>
        </w:tc>
        <w:tc>
          <w:tcPr>
            <w:tcW w:w="1204" w:type="dxa"/>
            <w:noWrap w:val="0"/>
            <w:vAlign w:val="center"/>
          </w:tcPr>
          <w:p w14:paraId="381074EF">
            <w:pPr>
              <w:spacing w:line="440" w:lineRule="exact"/>
              <w:jc w:val="center"/>
              <w:rPr>
                <w:rFonts w:hint="eastAsia" w:ascii="仿宋" w:hAnsi="仿宋" w:eastAsia="仿宋" w:cs="仿宋"/>
                <w:color w:val="auto"/>
                <w:sz w:val="28"/>
                <w:highlight w:val="none"/>
              </w:rPr>
            </w:pPr>
            <w:r>
              <w:rPr>
                <w:rFonts w:hint="eastAsia" w:ascii="仿宋" w:hAnsi="仿宋" w:eastAsia="仿宋" w:cs="仿宋"/>
                <w:color w:val="auto"/>
                <w:sz w:val="28"/>
                <w:highlight w:val="none"/>
              </w:rPr>
              <w:t>姓名</w:t>
            </w:r>
          </w:p>
        </w:tc>
        <w:tc>
          <w:tcPr>
            <w:tcW w:w="1162" w:type="dxa"/>
            <w:noWrap w:val="0"/>
            <w:vAlign w:val="center"/>
          </w:tcPr>
          <w:p w14:paraId="2D921ABA">
            <w:pPr>
              <w:spacing w:line="440" w:lineRule="exact"/>
              <w:ind w:firstLine="140"/>
              <w:rPr>
                <w:rFonts w:hint="eastAsia" w:ascii="仿宋" w:hAnsi="仿宋" w:eastAsia="仿宋" w:cs="仿宋"/>
                <w:color w:val="auto"/>
                <w:sz w:val="28"/>
                <w:highlight w:val="none"/>
              </w:rPr>
            </w:pPr>
            <w:r>
              <w:rPr>
                <w:rFonts w:hint="eastAsia" w:ascii="仿宋" w:hAnsi="仿宋" w:eastAsia="仿宋" w:cs="仿宋"/>
                <w:color w:val="auto"/>
                <w:sz w:val="28"/>
                <w:highlight w:val="none"/>
              </w:rPr>
              <w:t>学历</w:t>
            </w:r>
          </w:p>
        </w:tc>
        <w:tc>
          <w:tcPr>
            <w:tcW w:w="1162" w:type="dxa"/>
            <w:noWrap w:val="0"/>
            <w:vAlign w:val="center"/>
          </w:tcPr>
          <w:p w14:paraId="009F93B3">
            <w:pPr>
              <w:spacing w:line="440" w:lineRule="exact"/>
              <w:ind w:firstLine="131"/>
              <w:rPr>
                <w:rFonts w:hint="eastAsia" w:ascii="仿宋" w:hAnsi="仿宋" w:eastAsia="仿宋" w:cs="仿宋"/>
                <w:color w:val="auto"/>
                <w:sz w:val="28"/>
                <w:highlight w:val="none"/>
              </w:rPr>
            </w:pPr>
            <w:r>
              <w:rPr>
                <w:rFonts w:hint="eastAsia" w:ascii="仿宋" w:hAnsi="仿宋" w:eastAsia="仿宋" w:cs="仿宋"/>
                <w:color w:val="auto"/>
                <w:sz w:val="28"/>
                <w:highlight w:val="none"/>
              </w:rPr>
              <w:t>专业</w:t>
            </w:r>
          </w:p>
        </w:tc>
        <w:tc>
          <w:tcPr>
            <w:tcW w:w="1431" w:type="dxa"/>
            <w:noWrap w:val="0"/>
            <w:vAlign w:val="center"/>
          </w:tcPr>
          <w:p w14:paraId="0AA6A87D">
            <w:pPr>
              <w:spacing w:line="440" w:lineRule="exact"/>
              <w:ind w:firstLine="131"/>
              <w:rPr>
                <w:rFonts w:hint="eastAsia" w:ascii="仿宋" w:hAnsi="仿宋" w:eastAsia="仿宋" w:cs="仿宋"/>
                <w:color w:val="auto"/>
                <w:sz w:val="28"/>
                <w:highlight w:val="none"/>
              </w:rPr>
            </w:pPr>
            <w:r>
              <w:rPr>
                <w:rFonts w:hint="eastAsia" w:ascii="仿宋" w:hAnsi="仿宋" w:eastAsia="仿宋" w:cs="仿宋"/>
                <w:color w:val="auto"/>
                <w:sz w:val="28"/>
                <w:highlight w:val="none"/>
              </w:rPr>
              <w:t>职称</w:t>
            </w:r>
          </w:p>
        </w:tc>
        <w:tc>
          <w:tcPr>
            <w:tcW w:w="1431" w:type="dxa"/>
            <w:noWrap w:val="0"/>
            <w:vAlign w:val="center"/>
          </w:tcPr>
          <w:p w14:paraId="13927F7D">
            <w:pPr>
              <w:spacing w:line="440" w:lineRule="exact"/>
              <w:jc w:val="center"/>
              <w:rPr>
                <w:rFonts w:hint="eastAsia" w:ascii="仿宋" w:hAnsi="仿宋" w:eastAsia="仿宋" w:cs="仿宋"/>
                <w:color w:val="auto"/>
                <w:sz w:val="28"/>
                <w:highlight w:val="none"/>
              </w:rPr>
            </w:pPr>
            <w:r>
              <w:rPr>
                <w:rFonts w:hint="eastAsia" w:ascii="仿宋" w:hAnsi="仿宋" w:eastAsia="仿宋" w:cs="仿宋"/>
                <w:color w:val="auto"/>
                <w:sz w:val="28"/>
                <w:highlight w:val="none"/>
              </w:rPr>
              <w:t>相关证书</w:t>
            </w:r>
          </w:p>
        </w:tc>
        <w:tc>
          <w:tcPr>
            <w:tcW w:w="1564" w:type="dxa"/>
            <w:noWrap w:val="0"/>
            <w:vAlign w:val="center"/>
          </w:tcPr>
          <w:p w14:paraId="53F237AB">
            <w:pPr>
              <w:spacing w:line="440" w:lineRule="exact"/>
              <w:jc w:val="center"/>
              <w:rPr>
                <w:rFonts w:hint="eastAsia" w:ascii="仿宋" w:hAnsi="仿宋" w:eastAsia="仿宋" w:cs="仿宋"/>
                <w:color w:val="auto"/>
                <w:sz w:val="28"/>
                <w:highlight w:val="none"/>
              </w:rPr>
            </w:pPr>
            <w:r>
              <w:rPr>
                <w:rFonts w:hint="eastAsia" w:ascii="仿宋" w:hAnsi="仿宋" w:eastAsia="仿宋" w:cs="仿宋"/>
                <w:color w:val="auto"/>
                <w:sz w:val="28"/>
                <w:highlight w:val="none"/>
              </w:rPr>
              <w:t>拟任岗位</w:t>
            </w:r>
          </w:p>
        </w:tc>
      </w:tr>
      <w:tr w14:paraId="3291A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1023" w:type="dxa"/>
            <w:noWrap w:val="0"/>
            <w:vAlign w:val="top"/>
          </w:tcPr>
          <w:p w14:paraId="0D00FE57">
            <w:pPr>
              <w:spacing w:line="800" w:lineRule="exact"/>
              <w:rPr>
                <w:rFonts w:hint="eastAsia" w:ascii="仿宋" w:hAnsi="仿宋" w:eastAsia="仿宋" w:cs="仿宋"/>
                <w:color w:val="auto"/>
                <w:sz w:val="28"/>
                <w:highlight w:val="none"/>
              </w:rPr>
            </w:pPr>
          </w:p>
        </w:tc>
        <w:tc>
          <w:tcPr>
            <w:tcW w:w="1204" w:type="dxa"/>
            <w:noWrap w:val="0"/>
            <w:vAlign w:val="top"/>
          </w:tcPr>
          <w:p w14:paraId="0DE70B81">
            <w:pPr>
              <w:spacing w:line="800" w:lineRule="exact"/>
              <w:rPr>
                <w:rFonts w:hint="eastAsia" w:ascii="仿宋" w:hAnsi="仿宋" w:eastAsia="仿宋" w:cs="仿宋"/>
                <w:color w:val="auto"/>
                <w:sz w:val="28"/>
                <w:highlight w:val="none"/>
              </w:rPr>
            </w:pPr>
          </w:p>
        </w:tc>
        <w:tc>
          <w:tcPr>
            <w:tcW w:w="1162" w:type="dxa"/>
            <w:noWrap w:val="0"/>
            <w:vAlign w:val="top"/>
          </w:tcPr>
          <w:p w14:paraId="3EC113FF">
            <w:pPr>
              <w:spacing w:line="800" w:lineRule="exact"/>
              <w:rPr>
                <w:rFonts w:hint="eastAsia" w:ascii="仿宋" w:hAnsi="仿宋" w:eastAsia="仿宋" w:cs="仿宋"/>
                <w:color w:val="auto"/>
                <w:sz w:val="28"/>
                <w:highlight w:val="none"/>
              </w:rPr>
            </w:pPr>
          </w:p>
        </w:tc>
        <w:tc>
          <w:tcPr>
            <w:tcW w:w="1162" w:type="dxa"/>
            <w:noWrap w:val="0"/>
            <w:vAlign w:val="top"/>
          </w:tcPr>
          <w:p w14:paraId="4DE80CD4">
            <w:pPr>
              <w:spacing w:line="800" w:lineRule="exact"/>
              <w:rPr>
                <w:rFonts w:hint="eastAsia" w:ascii="仿宋" w:hAnsi="仿宋" w:eastAsia="仿宋" w:cs="仿宋"/>
                <w:color w:val="auto"/>
                <w:sz w:val="28"/>
                <w:highlight w:val="none"/>
              </w:rPr>
            </w:pPr>
          </w:p>
        </w:tc>
        <w:tc>
          <w:tcPr>
            <w:tcW w:w="1431" w:type="dxa"/>
            <w:noWrap w:val="0"/>
            <w:vAlign w:val="top"/>
          </w:tcPr>
          <w:p w14:paraId="0C81DB05">
            <w:pPr>
              <w:spacing w:line="800" w:lineRule="exact"/>
              <w:rPr>
                <w:rFonts w:hint="eastAsia" w:ascii="仿宋" w:hAnsi="仿宋" w:eastAsia="仿宋" w:cs="仿宋"/>
                <w:color w:val="auto"/>
                <w:sz w:val="28"/>
                <w:highlight w:val="none"/>
              </w:rPr>
            </w:pPr>
          </w:p>
        </w:tc>
        <w:tc>
          <w:tcPr>
            <w:tcW w:w="1431" w:type="dxa"/>
            <w:noWrap w:val="0"/>
            <w:vAlign w:val="top"/>
          </w:tcPr>
          <w:p w14:paraId="4E4F87CC">
            <w:pPr>
              <w:spacing w:line="800" w:lineRule="exact"/>
              <w:rPr>
                <w:rFonts w:hint="eastAsia" w:ascii="仿宋" w:hAnsi="仿宋" w:eastAsia="仿宋" w:cs="仿宋"/>
                <w:color w:val="auto"/>
                <w:sz w:val="28"/>
                <w:highlight w:val="none"/>
              </w:rPr>
            </w:pPr>
          </w:p>
        </w:tc>
        <w:tc>
          <w:tcPr>
            <w:tcW w:w="1564" w:type="dxa"/>
            <w:noWrap w:val="0"/>
            <w:vAlign w:val="top"/>
          </w:tcPr>
          <w:p w14:paraId="41C0166A">
            <w:pPr>
              <w:spacing w:line="800" w:lineRule="exact"/>
              <w:rPr>
                <w:rFonts w:hint="eastAsia" w:ascii="仿宋" w:hAnsi="仿宋" w:eastAsia="仿宋" w:cs="仿宋"/>
                <w:color w:val="auto"/>
                <w:sz w:val="28"/>
                <w:highlight w:val="none"/>
              </w:rPr>
            </w:pPr>
          </w:p>
        </w:tc>
      </w:tr>
      <w:tr w14:paraId="01E5F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1023" w:type="dxa"/>
            <w:noWrap w:val="0"/>
            <w:vAlign w:val="top"/>
          </w:tcPr>
          <w:p w14:paraId="061AC84E">
            <w:pPr>
              <w:spacing w:line="800" w:lineRule="exact"/>
              <w:rPr>
                <w:rFonts w:hint="eastAsia" w:ascii="仿宋" w:hAnsi="仿宋" w:eastAsia="仿宋" w:cs="仿宋"/>
                <w:color w:val="auto"/>
                <w:sz w:val="28"/>
                <w:highlight w:val="none"/>
              </w:rPr>
            </w:pPr>
          </w:p>
        </w:tc>
        <w:tc>
          <w:tcPr>
            <w:tcW w:w="1204" w:type="dxa"/>
            <w:noWrap w:val="0"/>
            <w:vAlign w:val="top"/>
          </w:tcPr>
          <w:p w14:paraId="79DD9D70">
            <w:pPr>
              <w:spacing w:line="800" w:lineRule="exact"/>
              <w:rPr>
                <w:rFonts w:hint="eastAsia" w:ascii="仿宋" w:hAnsi="仿宋" w:eastAsia="仿宋" w:cs="仿宋"/>
                <w:color w:val="auto"/>
                <w:sz w:val="28"/>
                <w:highlight w:val="none"/>
              </w:rPr>
            </w:pPr>
          </w:p>
        </w:tc>
        <w:tc>
          <w:tcPr>
            <w:tcW w:w="1162" w:type="dxa"/>
            <w:noWrap w:val="0"/>
            <w:vAlign w:val="top"/>
          </w:tcPr>
          <w:p w14:paraId="4B72A9CF">
            <w:pPr>
              <w:spacing w:line="800" w:lineRule="exact"/>
              <w:rPr>
                <w:rFonts w:hint="eastAsia" w:ascii="仿宋" w:hAnsi="仿宋" w:eastAsia="仿宋" w:cs="仿宋"/>
                <w:color w:val="auto"/>
                <w:sz w:val="28"/>
                <w:highlight w:val="none"/>
              </w:rPr>
            </w:pPr>
          </w:p>
        </w:tc>
        <w:tc>
          <w:tcPr>
            <w:tcW w:w="1162" w:type="dxa"/>
            <w:noWrap w:val="0"/>
            <w:vAlign w:val="top"/>
          </w:tcPr>
          <w:p w14:paraId="284E8544">
            <w:pPr>
              <w:spacing w:line="800" w:lineRule="exact"/>
              <w:rPr>
                <w:rFonts w:hint="eastAsia" w:ascii="仿宋" w:hAnsi="仿宋" w:eastAsia="仿宋" w:cs="仿宋"/>
                <w:color w:val="auto"/>
                <w:sz w:val="28"/>
                <w:highlight w:val="none"/>
              </w:rPr>
            </w:pPr>
          </w:p>
        </w:tc>
        <w:tc>
          <w:tcPr>
            <w:tcW w:w="1431" w:type="dxa"/>
            <w:noWrap w:val="0"/>
            <w:vAlign w:val="top"/>
          </w:tcPr>
          <w:p w14:paraId="0BDD33F3">
            <w:pPr>
              <w:spacing w:line="800" w:lineRule="exact"/>
              <w:rPr>
                <w:rFonts w:hint="eastAsia" w:ascii="仿宋" w:hAnsi="仿宋" w:eastAsia="仿宋" w:cs="仿宋"/>
                <w:color w:val="auto"/>
                <w:sz w:val="28"/>
                <w:highlight w:val="none"/>
              </w:rPr>
            </w:pPr>
          </w:p>
        </w:tc>
        <w:tc>
          <w:tcPr>
            <w:tcW w:w="1431" w:type="dxa"/>
            <w:noWrap w:val="0"/>
            <w:vAlign w:val="top"/>
          </w:tcPr>
          <w:p w14:paraId="7024C42F">
            <w:pPr>
              <w:spacing w:line="800" w:lineRule="exact"/>
              <w:rPr>
                <w:rFonts w:hint="eastAsia" w:ascii="仿宋" w:hAnsi="仿宋" w:eastAsia="仿宋" w:cs="仿宋"/>
                <w:color w:val="auto"/>
                <w:sz w:val="28"/>
                <w:highlight w:val="none"/>
              </w:rPr>
            </w:pPr>
          </w:p>
        </w:tc>
        <w:tc>
          <w:tcPr>
            <w:tcW w:w="1564" w:type="dxa"/>
            <w:noWrap w:val="0"/>
            <w:vAlign w:val="top"/>
          </w:tcPr>
          <w:p w14:paraId="2719233F">
            <w:pPr>
              <w:spacing w:line="800" w:lineRule="exact"/>
              <w:rPr>
                <w:rFonts w:hint="eastAsia" w:ascii="仿宋" w:hAnsi="仿宋" w:eastAsia="仿宋" w:cs="仿宋"/>
                <w:color w:val="auto"/>
                <w:sz w:val="28"/>
                <w:highlight w:val="none"/>
              </w:rPr>
            </w:pPr>
          </w:p>
        </w:tc>
      </w:tr>
      <w:tr w14:paraId="199E0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1023" w:type="dxa"/>
            <w:noWrap w:val="0"/>
            <w:vAlign w:val="top"/>
          </w:tcPr>
          <w:p w14:paraId="1FBC326D">
            <w:pPr>
              <w:spacing w:line="800" w:lineRule="exact"/>
              <w:rPr>
                <w:rFonts w:hint="eastAsia" w:ascii="仿宋" w:hAnsi="仿宋" w:eastAsia="仿宋" w:cs="仿宋"/>
                <w:color w:val="auto"/>
                <w:sz w:val="28"/>
                <w:highlight w:val="none"/>
              </w:rPr>
            </w:pPr>
          </w:p>
        </w:tc>
        <w:tc>
          <w:tcPr>
            <w:tcW w:w="1204" w:type="dxa"/>
            <w:noWrap w:val="0"/>
            <w:vAlign w:val="top"/>
          </w:tcPr>
          <w:p w14:paraId="1400472C">
            <w:pPr>
              <w:spacing w:line="800" w:lineRule="exact"/>
              <w:rPr>
                <w:rFonts w:hint="eastAsia" w:ascii="仿宋" w:hAnsi="仿宋" w:eastAsia="仿宋" w:cs="仿宋"/>
                <w:color w:val="auto"/>
                <w:sz w:val="28"/>
                <w:highlight w:val="none"/>
              </w:rPr>
            </w:pPr>
          </w:p>
        </w:tc>
        <w:tc>
          <w:tcPr>
            <w:tcW w:w="1162" w:type="dxa"/>
            <w:noWrap w:val="0"/>
            <w:vAlign w:val="top"/>
          </w:tcPr>
          <w:p w14:paraId="61276DF7">
            <w:pPr>
              <w:spacing w:line="800" w:lineRule="exact"/>
              <w:rPr>
                <w:rFonts w:hint="eastAsia" w:ascii="仿宋" w:hAnsi="仿宋" w:eastAsia="仿宋" w:cs="仿宋"/>
                <w:color w:val="auto"/>
                <w:sz w:val="28"/>
                <w:highlight w:val="none"/>
              </w:rPr>
            </w:pPr>
          </w:p>
        </w:tc>
        <w:tc>
          <w:tcPr>
            <w:tcW w:w="1162" w:type="dxa"/>
            <w:noWrap w:val="0"/>
            <w:vAlign w:val="top"/>
          </w:tcPr>
          <w:p w14:paraId="6A9200EC">
            <w:pPr>
              <w:spacing w:line="800" w:lineRule="exact"/>
              <w:rPr>
                <w:rFonts w:hint="eastAsia" w:ascii="仿宋" w:hAnsi="仿宋" w:eastAsia="仿宋" w:cs="仿宋"/>
                <w:color w:val="auto"/>
                <w:sz w:val="28"/>
                <w:highlight w:val="none"/>
              </w:rPr>
            </w:pPr>
          </w:p>
        </w:tc>
        <w:tc>
          <w:tcPr>
            <w:tcW w:w="1431" w:type="dxa"/>
            <w:noWrap w:val="0"/>
            <w:vAlign w:val="top"/>
          </w:tcPr>
          <w:p w14:paraId="75E78885">
            <w:pPr>
              <w:spacing w:line="800" w:lineRule="exact"/>
              <w:rPr>
                <w:rFonts w:hint="eastAsia" w:ascii="仿宋" w:hAnsi="仿宋" w:eastAsia="仿宋" w:cs="仿宋"/>
                <w:color w:val="auto"/>
                <w:sz w:val="28"/>
                <w:highlight w:val="none"/>
              </w:rPr>
            </w:pPr>
          </w:p>
        </w:tc>
        <w:tc>
          <w:tcPr>
            <w:tcW w:w="1431" w:type="dxa"/>
            <w:noWrap w:val="0"/>
            <w:vAlign w:val="top"/>
          </w:tcPr>
          <w:p w14:paraId="4EEF8FBC">
            <w:pPr>
              <w:spacing w:line="800" w:lineRule="exact"/>
              <w:rPr>
                <w:rFonts w:hint="eastAsia" w:ascii="仿宋" w:hAnsi="仿宋" w:eastAsia="仿宋" w:cs="仿宋"/>
                <w:color w:val="auto"/>
                <w:sz w:val="28"/>
                <w:highlight w:val="none"/>
              </w:rPr>
            </w:pPr>
          </w:p>
        </w:tc>
        <w:tc>
          <w:tcPr>
            <w:tcW w:w="1564" w:type="dxa"/>
            <w:noWrap w:val="0"/>
            <w:vAlign w:val="top"/>
          </w:tcPr>
          <w:p w14:paraId="63051741">
            <w:pPr>
              <w:spacing w:line="800" w:lineRule="exact"/>
              <w:rPr>
                <w:rFonts w:hint="eastAsia" w:ascii="仿宋" w:hAnsi="仿宋" w:eastAsia="仿宋" w:cs="仿宋"/>
                <w:color w:val="auto"/>
                <w:sz w:val="28"/>
                <w:highlight w:val="none"/>
              </w:rPr>
            </w:pPr>
          </w:p>
        </w:tc>
      </w:tr>
      <w:tr w14:paraId="329FD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1023" w:type="dxa"/>
            <w:noWrap w:val="0"/>
            <w:vAlign w:val="top"/>
          </w:tcPr>
          <w:p w14:paraId="35E8744D">
            <w:pPr>
              <w:spacing w:line="800" w:lineRule="exact"/>
              <w:rPr>
                <w:rFonts w:hint="eastAsia" w:ascii="仿宋" w:hAnsi="仿宋" w:eastAsia="仿宋" w:cs="仿宋"/>
                <w:color w:val="auto"/>
                <w:sz w:val="28"/>
                <w:highlight w:val="none"/>
              </w:rPr>
            </w:pPr>
          </w:p>
        </w:tc>
        <w:tc>
          <w:tcPr>
            <w:tcW w:w="1204" w:type="dxa"/>
            <w:noWrap w:val="0"/>
            <w:vAlign w:val="top"/>
          </w:tcPr>
          <w:p w14:paraId="3914DC4D">
            <w:pPr>
              <w:spacing w:line="800" w:lineRule="exact"/>
              <w:rPr>
                <w:rFonts w:hint="eastAsia" w:ascii="仿宋" w:hAnsi="仿宋" w:eastAsia="仿宋" w:cs="仿宋"/>
                <w:color w:val="auto"/>
                <w:sz w:val="28"/>
                <w:highlight w:val="none"/>
              </w:rPr>
            </w:pPr>
          </w:p>
        </w:tc>
        <w:tc>
          <w:tcPr>
            <w:tcW w:w="1162" w:type="dxa"/>
            <w:noWrap w:val="0"/>
            <w:vAlign w:val="top"/>
          </w:tcPr>
          <w:p w14:paraId="32F10434">
            <w:pPr>
              <w:spacing w:line="800" w:lineRule="exact"/>
              <w:rPr>
                <w:rFonts w:hint="eastAsia" w:ascii="仿宋" w:hAnsi="仿宋" w:eastAsia="仿宋" w:cs="仿宋"/>
                <w:color w:val="auto"/>
                <w:sz w:val="28"/>
                <w:highlight w:val="none"/>
              </w:rPr>
            </w:pPr>
          </w:p>
        </w:tc>
        <w:tc>
          <w:tcPr>
            <w:tcW w:w="1162" w:type="dxa"/>
            <w:noWrap w:val="0"/>
            <w:vAlign w:val="top"/>
          </w:tcPr>
          <w:p w14:paraId="37EAC644">
            <w:pPr>
              <w:spacing w:line="800" w:lineRule="exact"/>
              <w:rPr>
                <w:rFonts w:hint="eastAsia" w:ascii="仿宋" w:hAnsi="仿宋" w:eastAsia="仿宋" w:cs="仿宋"/>
                <w:color w:val="auto"/>
                <w:sz w:val="28"/>
                <w:highlight w:val="none"/>
              </w:rPr>
            </w:pPr>
          </w:p>
        </w:tc>
        <w:tc>
          <w:tcPr>
            <w:tcW w:w="1431" w:type="dxa"/>
            <w:noWrap w:val="0"/>
            <w:vAlign w:val="top"/>
          </w:tcPr>
          <w:p w14:paraId="3E4E1712">
            <w:pPr>
              <w:spacing w:line="800" w:lineRule="exact"/>
              <w:rPr>
                <w:rFonts w:hint="eastAsia" w:ascii="仿宋" w:hAnsi="仿宋" w:eastAsia="仿宋" w:cs="仿宋"/>
                <w:color w:val="auto"/>
                <w:sz w:val="28"/>
                <w:highlight w:val="none"/>
              </w:rPr>
            </w:pPr>
          </w:p>
        </w:tc>
        <w:tc>
          <w:tcPr>
            <w:tcW w:w="1431" w:type="dxa"/>
            <w:noWrap w:val="0"/>
            <w:vAlign w:val="top"/>
          </w:tcPr>
          <w:p w14:paraId="409339F1">
            <w:pPr>
              <w:spacing w:line="800" w:lineRule="exact"/>
              <w:rPr>
                <w:rFonts w:hint="eastAsia" w:ascii="仿宋" w:hAnsi="仿宋" w:eastAsia="仿宋" w:cs="仿宋"/>
                <w:color w:val="auto"/>
                <w:sz w:val="28"/>
                <w:highlight w:val="none"/>
              </w:rPr>
            </w:pPr>
          </w:p>
        </w:tc>
        <w:tc>
          <w:tcPr>
            <w:tcW w:w="1564" w:type="dxa"/>
            <w:noWrap w:val="0"/>
            <w:vAlign w:val="top"/>
          </w:tcPr>
          <w:p w14:paraId="62D3CB8F">
            <w:pPr>
              <w:spacing w:line="800" w:lineRule="exact"/>
              <w:rPr>
                <w:rFonts w:hint="eastAsia" w:ascii="仿宋" w:hAnsi="仿宋" w:eastAsia="仿宋" w:cs="仿宋"/>
                <w:color w:val="auto"/>
                <w:sz w:val="28"/>
                <w:highlight w:val="none"/>
              </w:rPr>
            </w:pPr>
          </w:p>
        </w:tc>
      </w:tr>
      <w:tr w14:paraId="1E70D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1023" w:type="dxa"/>
            <w:noWrap w:val="0"/>
            <w:vAlign w:val="top"/>
          </w:tcPr>
          <w:p w14:paraId="46C6AC3F">
            <w:pPr>
              <w:spacing w:line="800" w:lineRule="exact"/>
              <w:rPr>
                <w:rFonts w:hint="eastAsia" w:ascii="仿宋" w:hAnsi="仿宋" w:eastAsia="仿宋" w:cs="仿宋"/>
                <w:color w:val="auto"/>
                <w:sz w:val="28"/>
                <w:highlight w:val="none"/>
              </w:rPr>
            </w:pPr>
          </w:p>
        </w:tc>
        <w:tc>
          <w:tcPr>
            <w:tcW w:w="1204" w:type="dxa"/>
            <w:noWrap w:val="0"/>
            <w:vAlign w:val="top"/>
          </w:tcPr>
          <w:p w14:paraId="77CF4571">
            <w:pPr>
              <w:spacing w:line="800" w:lineRule="exact"/>
              <w:rPr>
                <w:rFonts w:hint="eastAsia" w:ascii="仿宋" w:hAnsi="仿宋" w:eastAsia="仿宋" w:cs="仿宋"/>
                <w:color w:val="auto"/>
                <w:sz w:val="28"/>
                <w:highlight w:val="none"/>
              </w:rPr>
            </w:pPr>
          </w:p>
        </w:tc>
        <w:tc>
          <w:tcPr>
            <w:tcW w:w="1162" w:type="dxa"/>
            <w:noWrap w:val="0"/>
            <w:vAlign w:val="top"/>
          </w:tcPr>
          <w:p w14:paraId="7FC08876">
            <w:pPr>
              <w:spacing w:line="800" w:lineRule="exact"/>
              <w:rPr>
                <w:rFonts w:hint="eastAsia" w:ascii="仿宋" w:hAnsi="仿宋" w:eastAsia="仿宋" w:cs="仿宋"/>
                <w:color w:val="auto"/>
                <w:sz w:val="28"/>
                <w:highlight w:val="none"/>
              </w:rPr>
            </w:pPr>
          </w:p>
        </w:tc>
        <w:tc>
          <w:tcPr>
            <w:tcW w:w="1162" w:type="dxa"/>
            <w:noWrap w:val="0"/>
            <w:vAlign w:val="top"/>
          </w:tcPr>
          <w:p w14:paraId="5FD6DD16">
            <w:pPr>
              <w:spacing w:line="800" w:lineRule="exact"/>
              <w:rPr>
                <w:rFonts w:hint="eastAsia" w:ascii="仿宋" w:hAnsi="仿宋" w:eastAsia="仿宋" w:cs="仿宋"/>
                <w:color w:val="auto"/>
                <w:sz w:val="28"/>
                <w:highlight w:val="none"/>
              </w:rPr>
            </w:pPr>
          </w:p>
        </w:tc>
        <w:tc>
          <w:tcPr>
            <w:tcW w:w="1431" w:type="dxa"/>
            <w:noWrap w:val="0"/>
            <w:vAlign w:val="top"/>
          </w:tcPr>
          <w:p w14:paraId="54F31E7D">
            <w:pPr>
              <w:spacing w:line="800" w:lineRule="exact"/>
              <w:rPr>
                <w:rFonts w:hint="eastAsia" w:ascii="仿宋" w:hAnsi="仿宋" w:eastAsia="仿宋" w:cs="仿宋"/>
                <w:color w:val="auto"/>
                <w:sz w:val="28"/>
                <w:highlight w:val="none"/>
              </w:rPr>
            </w:pPr>
          </w:p>
        </w:tc>
        <w:tc>
          <w:tcPr>
            <w:tcW w:w="1431" w:type="dxa"/>
            <w:noWrap w:val="0"/>
            <w:vAlign w:val="top"/>
          </w:tcPr>
          <w:p w14:paraId="70618078">
            <w:pPr>
              <w:spacing w:line="800" w:lineRule="exact"/>
              <w:rPr>
                <w:rFonts w:hint="eastAsia" w:ascii="仿宋" w:hAnsi="仿宋" w:eastAsia="仿宋" w:cs="仿宋"/>
                <w:color w:val="auto"/>
                <w:sz w:val="28"/>
                <w:highlight w:val="none"/>
              </w:rPr>
            </w:pPr>
          </w:p>
        </w:tc>
        <w:tc>
          <w:tcPr>
            <w:tcW w:w="1564" w:type="dxa"/>
            <w:noWrap w:val="0"/>
            <w:vAlign w:val="top"/>
          </w:tcPr>
          <w:p w14:paraId="021C16A0">
            <w:pPr>
              <w:spacing w:line="800" w:lineRule="exact"/>
              <w:rPr>
                <w:rFonts w:hint="eastAsia" w:ascii="仿宋" w:hAnsi="仿宋" w:eastAsia="仿宋" w:cs="仿宋"/>
                <w:color w:val="auto"/>
                <w:sz w:val="28"/>
                <w:highlight w:val="none"/>
              </w:rPr>
            </w:pPr>
          </w:p>
        </w:tc>
      </w:tr>
      <w:tr w14:paraId="020F5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1023" w:type="dxa"/>
            <w:noWrap w:val="0"/>
            <w:vAlign w:val="top"/>
          </w:tcPr>
          <w:p w14:paraId="775E9A41">
            <w:pPr>
              <w:spacing w:line="800" w:lineRule="exact"/>
              <w:rPr>
                <w:rFonts w:hint="eastAsia" w:ascii="仿宋" w:hAnsi="仿宋" w:eastAsia="仿宋" w:cs="仿宋"/>
                <w:color w:val="auto"/>
                <w:sz w:val="28"/>
                <w:highlight w:val="none"/>
              </w:rPr>
            </w:pPr>
          </w:p>
        </w:tc>
        <w:tc>
          <w:tcPr>
            <w:tcW w:w="1204" w:type="dxa"/>
            <w:noWrap w:val="0"/>
            <w:vAlign w:val="top"/>
          </w:tcPr>
          <w:p w14:paraId="1C04E21F">
            <w:pPr>
              <w:spacing w:line="800" w:lineRule="exact"/>
              <w:rPr>
                <w:rFonts w:hint="eastAsia" w:ascii="仿宋" w:hAnsi="仿宋" w:eastAsia="仿宋" w:cs="仿宋"/>
                <w:color w:val="auto"/>
                <w:sz w:val="28"/>
                <w:highlight w:val="none"/>
              </w:rPr>
            </w:pPr>
          </w:p>
        </w:tc>
        <w:tc>
          <w:tcPr>
            <w:tcW w:w="1162" w:type="dxa"/>
            <w:noWrap w:val="0"/>
            <w:vAlign w:val="top"/>
          </w:tcPr>
          <w:p w14:paraId="0799EE5A">
            <w:pPr>
              <w:spacing w:line="800" w:lineRule="exact"/>
              <w:rPr>
                <w:rFonts w:hint="eastAsia" w:ascii="仿宋" w:hAnsi="仿宋" w:eastAsia="仿宋" w:cs="仿宋"/>
                <w:color w:val="auto"/>
                <w:sz w:val="28"/>
                <w:highlight w:val="none"/>
              </w:rPr>
            </w:pPr>
          </w:p>
        </w:tc>
        <w:tc>
          <w:tcPr>
            <w:tcW w:w="1162" w:type="dxa"/>
            <w:noWrap w:val="0"/>
            <w:vAlign w:val="top"/>
          </w:tcPr>
          <w:p w14:paraId="57A7EB17">
            <w:pPr>
              <w:spacing w:line="800" w:lineRule="exact"/>
              <w:rPr>
                <w:rFonts w:hint="eastAsia" w:ascii="仿宋" w:hAnsi="仿宋" w:eastAsia="仿宋" w:cs="仿宋"/>
                <w:color w:val="auto"/>
                <w:sz w:val="28"/>
                <w:highlight w:val="none"/>
              </w:rPr>
            </w:pPr>
          </w:p>
        </w:tc>
        <w:tc>
          <w:tcPr>
            <w:tcW w:w="1431" w:type="dxa"/>
            <w:noWrap w:val="0"/>
            <w:vAlign w:val="top"/>
          </w:tcPr>
          <w:p w14:paraId="413A04C1">
            <w:pPr>
              <w:spacing w:line="800" w:lineRule="exact"/>
              <w:rPr>
                <w:rFonts w:hint="eastAsia" w:ascii="仿宋" w:hAnsi="仿宋" w:eastAsia="仿宋" w:cs="仿宋"/>
                <w:color w:val="auto"/>
                <w:sz w:val="28"/>
                <w:highlight w:val="none"/>
              </w:rPr>
            </w:pPr>
          </w:p>
        </w:tc>
        <w:tc>
          <w:tcPr>
            <w:tcW w:w="1431" w:type="dxa"/>
            <w:noWrap w:val="0"/>
            <w:vAlign w:val="top"/>
          </w:tcPr>
          <w:p w14:paraId="2EE9554A">
            <w:pPr>
              <w:spacing w:line="800" w:lineRule="exact"/>
              <w:rPr>
                <w:rFonts w:hint="eastAsia" w:ascii="仿宋" w:hAnsi="仿宋" w:eastAsia="仿宋" w:cs="仿宋"/>
                <w:color w:val="auto"/>
                <w:sz w:val="28"/>
                <w:highlight w:val="none"/>
              </w:rPr>
            </w:pPr>
          </w:p>
        </w:tc>
        <w:tc>
          <w:tcPr>
            <w:tcW w:w="1564" w:type="dxa"/>
            <w:noWrap w:val="0"/>
            <w:vAlign w:val="top"/>
          </w:tcPr>
          <w:p w14:paraId="6D77E71B">
            <w:pPr>
              <w:spacing w:line="800" w:lineRule="exact"/>
              <w:rPr>
                <w:rFonts w:hint="eastAsia" w:ascii="仿宋" w:hAnsi="仿宋" w:eastAsia="仿宋" w:cs="仿宋"/>
                <w:color w:val="auto"/>
                <w:sz w:val="28"/>
                <w:highlight w:val="none"/>
              </w:rPr>
            </w:pPr>
          </w:p>
        </w:tc>
      </w:tr>
      <w:tr w14:paraId="48734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1023" w:type="dxa"/>
            <w:noWrap w:val="0"/>
            <w:vAlign w:val="top"/>
          </w:tcPr>
          <w:p w14:paraId="00D5FF2A">
            <w:pPr>
              <w:spacing w:line="800" w:lineRule="exact"/>
              <w:rPr>
                <w:rFonts w:hint="eastAsia" w:ascii="仿宋" w:hAnsi="仿宋" w:eastAsia="仿宋" w:cs="仿宋"/>
                <w:color w:val="auto"/>
                <w:sz w:val="28"/>
                <w:highlight w:val="none"/>
              </w:rPr>
            </w:pPr>
          </w:p>
        </w:tc>
        <w:tc>
          <w:tcPr>
            <w:tcW w:w="1204" w:type="dxa"/>
            <w:noWrap w:val="0"/>
            <w:vAlign w:val="top"/>
          </w:tcPr>
          <w:p w14:paraId="218A5169">
            <w:pPr>
              <w:spacing w:line="800" w:lineRule="exact"/>
              <w:rPr>
                <w:rFonts w:hint="eastAsia" w:ascii="仿宋" w:hAnsi="仿宋" w:eastAsia="仿宋" w:cs="仿宋"/>
                <w:color w:val="auto"/>
                <w:sz w:val="28"/>
                <w:highlight w:val="none"/>
              </w:rPr>
            </w:pPr>
          </w:p>
        </w:tc>
        <w:tc>
          <w:tcPr>
            <w:tcW w:w="1162" w:type="dxa"/>
            <w:noWrap w:val="0"/>
            <w:vAlign w:val="top"/>
          </w:tcPr>
          <w:p w14:paraId="65E6E5E2">
            <w:pPr>
              <w:spacing w:line="800" w:lineRule="exact"/>
              <w:rPr>
                <w:rFonts w:hint="eastAsia" w:ascii="仿宋" w:hAnsi="仿宋" w:eastAsia="仿宋" w:cs="仿宋"/>
                <w:color w:val="auto"/>
                <w:sz w:val="28"/>
                <w:highlight w:val="none"/>
              </w:rPr>
            </w:pPr>
          </w:p>
        </w:tc>
        <w:tc>
          <w:tcPr>
            <w:tcW w:w="1162" w:type="dxa"/>
            <w:noWrap w:val="0"/>
            <w:vAlign w:val="top"/>
          </w:tcPr>
          <w:p w14:paraId="5285F7F3">
            <w:pPr>
              <w:spacing w:line="800" w:lineRule="exact"/>
              <w:rPr>
                <w:rFonts w:hint="eastAsia" w:ascii="仿宋" w:hAnsi="仿宋" w:eastAsia="仿宋" w:cs="仿宋"/>
                <w:color w:val="auto"/>
                <w:sz w:val="28"/>
                <w:highlight w:val="none"/>
              </w:rPr>
            </w:pPr>
          </w:p>
        </w:tc>
        <w:tc>
          <w:tcPr>
            <w:tcW w:w="1431" w:type="dxa"/>
            <w:noWrap w:val="0"/>
            <w:vAlign w:val="top"/>
          </w:tcPr>
          <w:p w14:paraId="0289DEAF">
            <w:pPr>
              <w:spacing w:line="800" w:lineRule="exact"/>
              <w:rPr>
                <w:rFonts w:hint="eastAsia" w:ascii="仿宋" w:hAnsi="仿宋" w:eastAsia="仿宋" w:cs="仿宋"/>
                <w:color w:val="auto"/>
                <w:sz w:val="28"/>
                <w:highlight w:val="none"/>
              </w:rPr>
            </w:pPr>
          </w:p>
        </w:tc>
        <w:tc>
          <w:tcPr>
            <w:tcW w:w="1431" w:type="dxa"/>
            <w:noWrap w:val="0"/>
            <w:vAlign w:val="top"/>
          </w:tcPr>
          <w:p w14:paraId="7D843654">
            <w:pPr>
              <w:spacing w:line="800" w:lineRule="exact"/>
              <w:rPr>
                <w:rFonts w:hint="eastAsia" w:ascii="仿宋" w:hAnsi="仿宋" w:eastAsia="仿宋" w:cs="仿宋"/>
                <w:color w:val="auto"/>
                <w:sz w:val="28"/>
                <w:highlight w:val="none"/>
              </w:rPr>
            </w:pPr>
          </w:p>
        </w:tc>
        <w:tc>
          <w:tcPr>
            <w:tcW w:w="1564" w:type="dxa"/>
            <w:noWrap w:val="0"/>
            <w:vAlign w:val="top"/>
          </w:tcPr>
          <w:p w14:paraId="20D0E06E">
            <w:pPr>
              <w:spacing w:line="800" w:lineRule="exact"/>
              <w:rPr>
                <w:rFonts w:hint="eastAsia" w:ascii="仿宋" w:hAnsi="仿宋" w:eastAsia="仿宋" w:cs="仿宋"/>
                <w:color w:val="auto"/>
                <w:sz w:val="28"/>
                <w:highlight w:val="none"/>
              </w:rPr>
            </w:pPr>
          </w:p>
        </w:tc>
      </w:tr>
      <w:tr w14:paraId="2C0BD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1023" w:type="dxa"/>
            <w:noWrap w:val="0"/>
            <w:vAlign w:val="top"/>
          </w:tcPr>
          <w:p w14:paraId="69C7EF9F">
            <w:pPr>
              <w:spacing w:line="800" w:lineRule="exact"/>
              <w:rPr>
                <w:rFonts w:hint="eastAsia" w:ascii="仿宋" w:hAnsi="仿宋" w:eastAsia="仿宋" w:cs="仿宋"/>
                <w:color w:val="auto"/>
                <w:sz w:val="28"/>
                <w:highlight w:val="none"/>
              </w:rPr>
            </w:pPr>
          </w:p>
        </w:tc>
        <w:tc>
          <w:tcPr>
            <w:tcW w:w="1204" w:type="dxa"/>
            <w:noWrap w:val="0"/>
            <w:vAlign w:val="top"/>
          </w:tcPr>
          <w:p w14:paraId="1E719C25">
            <w:pPr>
              <w:spacing w:line="800" w:lineRule="exact"/>
              <w:rPr>
                <w:rFonts w:hint="eastAsia" w:ascii="仿宋" w:hAnsi="仿宋" w:eastAsia="仿宋" w:cs="仿宋"/>
                <w:color w:val="auto"/>
                <w:sz w:val="28"/>
                <w:highlight w:val="none"/>
              </w:rPr>
            </w:pPr>
          </w:p>
        </w:tc>
        <w:tc>
          <w:tcPr>
            <w:tcW w:w="1162" w:type="dxa"/>
            <w:noWrap w:val="0"/>
            <w:vAlign w:val="top"/>
          </w:tcPr>
          <w:p w14:paraId="19FA14B1">
            <w:pPr>
              <w:spacing w:line="800" w:lineRule="exact"/>
              <w:rPr>
                <w:rFonts w:hint="eastAsia" w:ascii="仿宋" w:hAnsi="仿宋" w:eastAsia="仿宋" w:cs="仿宋"/>
                <w:color w:val="auto"/>
                <w:sz w:val="28"/>
                <w:highlight w:val="none"/>
              </w:rPr>
            </w:pPr>
          </w:p>
        </w:tc>
        <w:tc>
          <w:tcPr>
            <w:tcW w:w="1162" w:type="dxa"/>
            <w:noWrap w:val="0"/>
            <w:vAlign w:val="top"/>
          </w:tcPr>
          <w:p w14:paraId="0D319AF6">
            <w:pPr>
              <w:spacing w:line="800" w:lineRule="exact"/>
              <w:rPr>
                <w:rFonts w:hint="eastAsia" w:ascii="仿宋" w:hAnsi="仿宋" w:eastAsia="仿宋" w:cs="仿宋"/>
                <w:color w:val="auto"/>
                <w:sz w:val="28"/>
                <w:highlight w:val="none"/>
              </w:rPr>
            </w:pPr>
          </w:p>
        </w:tc>
        <w:tc>
          <w:tcPr>
            <w:tcW w:w="1431" w:type="dxa"/>
            <w:noWrap w:val="0"/>
            <w:vAlign w:val="top"/>
          </w:tcPr>
          <w:p w14:paraId="17056C19">
            <w:pPr>
              <w:spacing w:line="800" w:lineRule="exact"/>
              <w:rPr>
                <w:rFonts w:hint="eastAsia" w:ascii="仿宋" w:hAnsi="仿宋" w:eastAsia="仿宋" w:cs="仿宋"/>
                <w:color w:val="auto"/>
                <w:sz w:val="28"/>
                <w:highlight w:val="none"/>
              </w:rPr>
            </w:pPr>
          </w:p>
        </w:tc>
        <w:tc>
          <w:tcPr>
            <w:tcW w:w="1431" w:type="dxa"/>
            <w:noWrap w:val="0"/>
            <w:vAlign w:val="top"/>
          </w:tcPr>
          <w:p w14:paraId="78788DE2">
            <w:pPr>
              <w:spacing w:line="800" w:lineRule="exact"/>
              <w:rPr>
                <w:rFonts w:hint="eastAsia" w:ascii="仿宋" w:hAnsi="仿宋" w:eastAsia="仿宋" w:cs="仿宋"/>
                <w:color w:val="auto"/>
                <w:sz w:val="28"/>
                <w:highlight w:val="none"/>
              </w:rPr>
            </w:pPr>
          </w:p>
        </w:tc>
        <w:tc>
          <w:tcPr>
            <w:tcW w:w="1564" w:type="dxa"/>
            <w:noWrap w:val="0"/>
            <w:vAlign w:val="top"/>
          </w:tcPr>
          <w:p w14:paraId="64E3DF26">
            <w:pPr>
              <w:spacing w:line="800" w:lineRule="exact"/>
              <w:rPr>
                <w:rFonts w:hint="eastAsia" w:ascii="仿宋" w:hAnsi="仿宋" w:eastAsia="仿宋" w:cs="仿宋"/>
                <w:color w:val="auto"/>
                <w:sz w:val="28"/>
                <w:highlight w:val="none"/>
              </w:rPr>
            </w:pPr>
          </w:p>
        </w:tc>
      </w:tr>
      <w:tr w14:paraId="2983B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023" w:type="dxa"/>
            <w:noWrap w:val="0"/>
            <w:vAlign w:val="top"/>
          </w:tcPr>
          <w:p w14:paraId="2FB8A5A4">
            <w:pPr>
              <w:spacing w:line="800" w:lineRule="exact"/>
              <w:rPr>
                <w:rFonts w:hint="eastAsia" w:ascii="仿宋" w:hAnsi="仿宋" w:eastAsia="仿宋" w:cs="仿宋"/>
                <w:color w:val="auto"/>
                <w:sz w:val="28"/>
                <w:highlight w:val="none"/>
              </w:rPr>
            </w:pPr>
          </w:p>
        </w:tc>
        <w:tc>
          <w:tcPr>
            <w:tcW w:w="1204" w:type="dxa"/>
            <w:noWrap w:val="0"/>
            <w:vAlign w:val="top"/>
          </w:tcPr>
          <w:p w14:paraId="09EBB9A2">
            <w:pPr>
              <w:spacing w:line="800" w:lineRule="exact"/>
              <w:rPr>
                <w:rFonts w:hint="eastAsia" w:ascii="仿宋" w:hAnsi="仿宋" w:eastAsia="仿宋" w:cs="仿宋"/>
                <w:color w:val="auto"/>
                <w:sz w:val="28"/>
                <w:highlight w:val="none"/>
              </w:rPr>
            </w:pPr>
          </w:p>
        </w:tc>
        <w:tc>
          <w:tcPr>
            <w:tcW w:w="1162" w:type="dxa"/>
            <w:noWrap w:val="0"/>
            <w:vAlign w:val="top"/>
          </w:tcPr>
          <w:p w14:paraId="3FFD45AD">
            <w:pPr>
              <w:spacing w:line="800" w:lineRule="exact"/>
              <w:rPr>
                <w:rFonts w:hint="eastAsia" w:ascii="仿宋" w:hAnsi="仿宋" w:eastAsia="仿宋" w:cs="仿宋"/>
                <w:color w:val="auto"/>
                <w:sz w:val="28"/>
                <w:highlight w:val="none"/>
              </w:rPr>
            </w:pPr>
          </w:p>
        </w:tc>
        <w:tc>
          <w:tcPr>
            <w:tcW w:w="1162" w:type="dxa"/>
            <w:noWrap w:val="0"/>
            <w:vAlign w:val="top"/>
          </w:tcPr>
          <w:p w14:paraId="3421E0DC">
            <w:pPr>
              <w:spacing w:line="800" w:lineRule="exact"/>
              <w:rPr>
                <w:rFonts w:hint="eastAsia" w:ascii="仿宋" w:hAnsi="仿宋" w:eastAsia="仿宋" w:cs="仿宋"/>
                <w:color w:val="auto"/>
                <w:sz w:val="28"/>
                <w:highlight w:val="none"/>
              </w:rPr>
            </w:pPr>
          </w:p>
        </w:tc>
        <w:tc>
          <w:tcPr>
            <w:tcW w:w="1431" w:type="dxa"/>
            <w:noWrap w:val="0"/>
            <w:vAlign w:val="top"/>
          </w:tcPr>
          <w:p w14:paraId="320F2DB2">
            <w:pPr>
              <w:spacing w:line="800" w:lineRule="exact"/>
              <w:rPr>
                <w:rFonts w:hint="eastAsia" w:ascii="仿宋" w:hAnsi="仿宋" w:eastAsia="仿宋" w:cs="仿宋"/>
                <w:color w:val="auto"/>
                <w:sz w:val="28"/>
                <w:highlight w:val="none"/>
              </w:rPr>
            </w:pPr>
          </w:p>
        </w:tc>
        <w:tc>
          <w:tcPr>
            <w:tcW w:w="1431" w:type="dxa"/>
            <w:noWrap w:val="0"/>
            <w:vAlign w:val="top"/>
          </w:tcPr>
          <w:p w14:paraId="171B98B8">
            <w:pPr>
              <w:spacing w:line="800" w:lineRule="exact"/>
              <w:rPr>
                <w:rFonts w:hint="eastAsia" w:ascii="仿宋" w:hAnsi="仿宋" w:eastAsia="仿宋" w:cs="仿宋"/>
                <w:color w:val="auto"/>
                <w:sz w:val="28"/>
                <w:highlight w:val="none"/>
              </w:rPr>
            </w:pPr>
          </w:p>
        </w:tc>
        <w:tc>
          <w:tcPr>
            <w:tcW w:w="1564" w:type="dxa"/>
            <w:noWrap w:val="0"/>
            <w:vAlign w:val="top"/>
          </w:tcPr>
          <w:p w14:paraId="1652B9F7">
            <w:pPr>
              <w:spacing w:line="800" w:lineRule="exact"/>
              <w:rPr>
                <w:rFonts w:hint="eastAsia" w:ascii="仿宋" w:hAnsi="仿宋" w:eastAsia="仿宋" w:cs="仿宋"/>
                <w:color w:val="auto"/>
                <w:sz w:val="28"/>
                <w:highlight w:val="none"/>
              </w:rPr>
            </w:pPr>
          </w:p>
        </w:tc>
      </w:tr>
    </w:tbl>
    <w:p w14:paraId="2CF4970C">
      <w:pPr>
        <w:spacing w:line="440" w:lineRule="exact"/>
        <w:ind w:firstLine="3357"/>
        <w:rPr>
          <w:rFonts w:hint="eastAsia" w:ascii="仿宋" w:hAnsi="仿宋" w:eastAsia="仿宋" w:cs="仿宋"/>
          <w:b/>
          <w:bCs/>
          <w:color w:val="auto"/>
          <w:sz w:val="32"/>
          <w:szCs w:val="32"/>
          <w:highlight w:val="none"/>
        </w:rPr>
      </w:pPr>
    </w:p>
    <w:p w14:paraId="182BC278">
      <w:pPr>
        <w:spacing w:line="44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供应商:</w:t>
      </w:r>
      <w:r>
        <w:rPr>
          <w:rFonts w:hint="eastAsia" w:ascii="仿宋" w:hAnsi="仿宋" w:eastAsia="仿宋" w:cs="仿宋"/>
          <w:color w:val="auto"/>
          <w:sz w:val="28"/>
          <w:szCs w:val="28"/>
          <w:highlight w:val="none"/>
          <w:u w:val="single"/>
        </w:rPr>
        <w:t xml:space="preserve">        （电子签章）      </w:t>
      </w:r>
    </w:p>
    <w:p w14:paraId="0815C57C">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法定代表人或授权委托人:</w:t>
      </w:r>
      <w:r>
        <w:rPr>
          <w:rFonts w:hint="eastAsia" w:ascii="仿宋" w:hAnsi="仿宋" w:eastAsia="仿宋" w:cs="仿宋"/>
          <w:color w:val="auto"/>
          <w:sz w:val="28"/>
          <w:highlight w:val="none"/>
          <w:u w:val="single"/>
        </w:rPr>
        <w:t>（电子签章或电子签字）</w:t>
      </w:r>
    </w:p>
    <w:p w14:paraId="4341A3DF">
      <w:pPr>
        <w:spacing w:line="520" w:lineRule="exact"/>
        <w:ind w:firstLine="548"/>
        <w:rPr>
          <w:rFonts w:hint="eastAsia" w:ascii="仿宋" w:hAnsi="仿宋" w:eastAsia="仿宋" w:cs="仿宋"/>
          <w:bCs/>
          <w:color w:val="auto"/>
          <w:sz w:val="28"/>
          <w:highlight w:val="none"/>
        </w:rPr>
      </w:pPr>
    </w:p>
    <w:p w14:paraId="768D89D4">
      <w:pPr>
        <w:spacing w:line="520" w:lineRule="exact"/>
        <w:ind w:firstLine="548"/>
        <w:rPr>
          <w:rFonts w:hint="eastAsia" w:ascii="仿宋" w:hAnsi="仿宋" w:eastAsia="仿宋" w:cs="仿宋"/>
          <w:bCs/>
          <w:color w:val="auto"/>
          <w:sz w:val="28"/>
          <w:highlight w:val="none"/>
        </w:rPr>
      </w:pPr>
    </w:p>
    <w:p w14:paraId="64F2E40C">
      <w:pPr>
        <w:spacing w:line="520" w:lineRule="exact"/>
        <w:ind w:firstLine="548"/>
        <w:rPr>
          <w:rFonts w:hint="eastAsia" w:ascii="仿宋" w:hAnsi="仿宋" w:eastAsia="仿宋" w:cs="仿宋"/>
          <w:bCs/>
          <w:color w:val="auto"/>
          <w:sz w:val="28"/>
          <w:highlight w:val="none"/>
        </w:rPr>
      </w:pPr>
    </w:p>
    <w:p w14:paraId="243D3FF4">
      <w:pPr>
        <w:spacing w:line="520" w:lineRule="exact"/>
        <w:ind w:firstLine="548"/>
        <w:rPr>
          <w:rFonts w:hint="eastAsia" w:ascii="仿宋" w:hAnsi="仿宋" w:eastAsia="仿宋" w:cs="仿宋"/>
          <w:bCs/>
          <w:color w:val="auto"/>
          <w:sz w:val="28"/>
          <w:highlight w:val="none"/>
        </w:rPr>
      </w:pPr>
    </w:p>
    <w:p w14:paraId="719F5915">
      <w:pPr>
        <w:spacing w:line="520" w:lineRule="exact"/>
        <w:ind w:firstLine="548"/>
        <w:rPr>
          <w:rFonts w:hint="eastAsia" w:ascii="仿宋" w:hAnsi="仿宋" w:eastAsia="仿宋" w:cs="仿宋"/>
          <w:bCs/>
          <w:color w:val="auto"/>
          <w:sz w:val="28"/>
          <w:highlight w:val="none"/>
        </w:rPr>
      </w:pPr>
    </w:p>
    <w:p w14:paraId="6E6EB24C">
      <w:pPr>
        <w:spacing w:line="520" w:lineRule="exact"/>
        <w:ind w:firstLine="548"/>
        <w:rPr>
          <w:rFonts w:hint="eastAsia" w:ascii="仿宋" w:hAnsi="仿宋" w:eastAsia="仿宋" w:cs="仿宋"/>
          <w:bCs/>
          <w:color w:val="auto"/>
          <w:sz w:val="28"/>
          <w:highlight w:val="none"/>
        </w:rPr>
      </w:pPr>
    </w:p>
    <w:p w14:paraId="6FAA3DAD">
      <w:pPr>
        <w:spacing w:line="520" w:lineRule="exact"/>
        <w:ind w:firstLine="548"/>
        <w:rPr>
          <w:rFonts w:hint="eastAsia" w:ascii="仿宋" w:hAnsi="仿宋" w:eastAsia="仿宋" w:cs="仿宋"/>
          <w:bCs/>
          <w:color w:val="auto"/>
          <w:sz w:val="28"/>
          <w:highlight w:val="none"/>
        </w:rPr>
      </w:pPr>
    </w:p>
    <w:p w14:paraId="4DC3824F">
      <w:pPr>
        <w:widowControl/>
        <w:spacing w:line="520" w:lineRule="exact"/>
        <w:ind w:firstLine="1269"/>
        <w:jc w:val="lef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五、综合评分时供应商需提供的证明文件</w:t>
      </w:r>
    </w:p>
    <w:p w14:paraId="19D6269E">
      <w:pPr>
        <w:spacing w:line="52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（供应商根据第三章的要求提供相关材料）</w:t>
      </w:r>
    </w:p>
    <w:p w14:paraId="061D089E">
      <w:pPr>
        <w:widowControl/>
        <w:spacing w:line="520" w:lineRule="exact"/>
        <w:ind w:firstLine="560"/>
        <w:jc w:val="left"/>
        <w:rPr>
          <w:rFonts w:hint="eastAsia" w:ascii="仿宋" w:hAnsi="仿宋" w:eastAsia="仿宋" w:cs="仿宋"/>
          <w:color w:val="auto"/>
          <w:sz w:val="28"/>
          <w:szCs w:val="28"/>
          <w:highlight w:val="none"/>
          <w:lang w:val="zh-CN"/>
        </w:rPr>
      </w:pPr>
    </w:p>
    <w:p w14:paraId="6EFA487C">
      <w:pPr>
        <w:spacing w:line="440" w:lineRule="exact"/>
        <w:ind w:firstLine="2877"/>
        <w:rPr>
          <w:rFonts w:hint="eastAsia" w:ascii="仿宋" w:hAnsi="仿宋" w:eastAsia="仿宋" w:cs="仿宋"/>
          <w:b/>
          <w:color w:val="auto"/>
          <w:sz w:val="36"/>
          <w:highlight w:val="none"/>
        </w:rPr>
      </w:pPr>
      <w:bookmarkStart w:id="33" w:name="_Toc157775454"/>
    </w:p>
    <w:p w14:paraId="5F27F94E">
      <w:pPr>
        <w:spacing w:line="440" w:lineRule="exact"/>
        <w:ind w:firstLine="2877"/>
        <w:rPr>
          <w:rFonts w:hint="eastAsia" w:ascii="仿宋" w:hAnsi="仿宋" w:eastAsia="仿宋" w:cs="仿宋"/>
          <w:b/>
          <w:color w:val="auto"/>
          <w:sz w:val="36"/>
          <w:highlight w:val="none"/>
        </w:rPr>
      </w:pPr>
    </w:p>
    <w:p w14:paraId="127F9C6D">
      <w:pPr>
        <w:spacing w:line="440" w:lineRule="exact"/>
        <w:ind w:firstLine="2877"/>
        <w:rPr>
          <w:rFonts w:hint="eastAsia" w:ascii="仿宋" w:hAnsi="仿宋" w:eastAsia="仿宋" w:cs="仿宋"/>
          <w:b/>
          <w:color w:val="auto"/>
          <w:sz w:val="36"/>
          <w:highlight w:val="none"/>
        </w:rPr>
      </w:pPr>
    </w:p>
    <w:p w14:paraId="4245AFD2">
      <w:pPr>
        <w:spacing w:line="440" w:lineRule="exact"/>
        <w:ind w:firstLine="2877"/>
        <w:rPr>
          <w:rFonts w:hint="eastAsia" w:ascii="仿宋" w:hAnsi="仿宋" w:eastAsia="仿宋" w:cs="仿宋"/>
          <w:b/>
          <w:color w:val="auto"/>
          <w:sz w:val="36"/>
          <w:highlight w:val="none"/>
        </w:rPr>
      </w:pPr>
    </w:p>
    <w:p w14:paraId="1779DABD">
      <w:pPr>
        <w:spacing w:line="440" w:lineRule="exact"/>
        <w:ind w:firstLine="2877"/>
        <w:rPr>
          <w:rFonts w:hint="eastAsia" w:ascii="仿宋" w:hAnsi="仿宋" w:eastAsia="仿宋" w:cs="仿宋"/>
          <w:b/>
          <w:color w:val="auto"/>
          <w:sz w:val="36"/>
          <w:highlight w:val="none"/>
        </w:rPr>
      </w:pPr>
    </w:p>
    <w:p w14:paraId="5B440F82">
      <w:pPr>
        <w:spacing w:line="440" w:lineRule="exact"/>
        <w:ind w:firstLine="2877"/>
        <w:rPr>
          <w:rFonts w:hint="eastAsia" w:ascii="仿宋" w:hAnsi="仿宋" w:eastAsia="仿宋" w:cs="仿宋"/>
          <w:b/>
          <w:color w:val="auto"/>
          <w:sz w:val="36"/>
          <w:highlight w:val="none"/>
        </w:rPr>
      </w:pPr>
    </w:p>
    <w:p w14:paraId="224B488E">
      <w:pPr>
        <w:spacing w:line="440" w:lineRule="exact"/>
        <w:ind w:firstLine="2877"/>
        <w:rPr>
          <w:rFonts w:hint="eastAsia" w:ascii="仿宋" w:hAnsi="仿宋" w:eastAsia="仿宋" w:cs="仿宋"/>
          <w:b/>
          <w:color w:val="auto"/>
          <w:sz w:val="36"/>
          <w:highlight w:val="none"/>
        </w:rPr>
      </w:pPr>
    </w:p>
    <w:p w14:paraId="5A8A2C1B">
      <w:pPr>
        <w:spacing w:line="440" w:lineRule="exact"/>
        <w:ind w:firstLine="2877"/>
        <w:rPr>
          <w:rFonts w:hint="eastAsia" w:ascii="仿宋" w:hAnsi="仿宋" w:eastAsia="仿宋" w:cs="仿宋"/>
          <w:b/>
          <w:color w:val="auto"/>
          <w:sz w:val="36"/>
          <w:highlight w:val="none"/>
        </w:rPr>
      </w:pPr>
    </w:p>
    <w:p w14:paraId="0566C005">
      <w:pPr>
        <w:spacing w:line="440" w:lineRule="exact"/>
        <w:ind w:firstLine="2877"/>
        <w:rPr>
          <w:rFonts w:hint="eastAsia" w:ascii="仿宋" w:hAnsi="仿宋" w:eastAsia="仿宋" w:cs="仿宋"/>
          <w:b/>
          <w:color w:val="auto"/>
          <w:sz w:val="36"/>
          <w:highlight w:val="none"/>
        </w:rPr>
      </w:pPr>
    </w:p>
    <w:p w14:paraId="4A753F9E">
      <w:pPr>
        <w:spacing w:line="440" w:lineRule="exact"/>
        <w:ind w:firstLine="2877"/>
        <w:rPr>
          <w:rFonts w:hint="eastAsia" w:ascii="仿宋" w:hAnsi="仿宋" w:eastAsia="仿宋" w:cs="仿宋"/>
          <w:b/>
          <w:color w:val="auto"/>
          <w:sz w:val="36"/>
          <w:highlight w:val="none"/>
        </w:rPr>
      </w:pPr>
    </w:p>
    <w:p w14:paraId="02107A03">
      <w:pPr>
        <w:spacing w:line="440" w:lineRule="exact"/>
        <w:ind w:firstLine="2877"/>
        <w:rPr>
          <w:rFonts w:hint="eastAsia" w:ascii="仿宋" w:hAnsi="仿宋" w:eastAsia="仿宋" w:cs="仿宋"/>
          <w:b/>
          <w:color w:val="auto"/>
          <w:sz w:val="36"/>
          <w:highlight w:val="none"/>
        </w:rPr>
      </w:pPr>
    </w:p>
    <w:p w14:paraId="28C035B8">
      <w:pPr>
        <w:spacing w:line="440" w:lineRule="exact"/>
        <w:ind w:firstLine="2877"/>
        <w:rPr>
          <w:rFonts w:hint="eastAsia" w:ascii="仿宋" w:hAnsi="仿宋" w:eastAsia="仿宋" w:cs="仿宋"/>
          <w:b/>
          <w:color w:val="auto"/>
          <w:sz w:val="36"/>
          <w:highlight w:val="none"/>
        </w:rPr>
      </w:pPr>
    </w:p>
    <w:p w14:paraId="50423132">
      <w:pPr>
        <w:spacing w:line="440" w:lineRule="exact"/>
        <w:ind w:firstLine="2877"/>
        <w:rPr>
          <w:rFonts w:hint="eastAsia" w:ascii="仿宋" w:hAnsi="仿宋" w:eastAsia="仿宋" w:cs="仿宋"/>
          <w:b/>
          <w:color w:val="auto"/>
          <w:sz w:val="36"/>
          <w:highlight w:val="none"/>
        </w:rPr>
      </w:pPr>
    </w:p>
    <w:p w14:paraId="456F9163">
      <w:pPr>
        <w:spacing w:line="440" w:lineRule="exact"/>
        <w:ind w:firstLine="2877"/>
        <w:rPr>
          <w:rFonts w:hint="eastAsia" w:ascii="仿宋" w:hAnsi="仿宋" w:eastAsia="仿宋" w:cs="仿宋"/>
          <w:b/>
          <w:color w:val="auto"/>
          <w:sz w:val="36"/>
          <w:highlight w:val="none"/>
        </w:rPr>
      </w:pPr>
    </w:p>
    <w:p w14:paraId="121A4428">
      <w:pPr>
        <w:spacing w:line="440" w:lineRule="exact"/>
        <w:ind w:firstLine="2877"/>
        <w:rPr>
          <w:rFonts w:hint="eastAsia" w:ascii="仿宋" w:hAnsi="仿宋" w:eastAsia="仿宋" w:cs="仿宋"/>
          <w:b/>
          <w:color w:val="auto"/>
          <w:sz w:val="36"/>
          <w:highlight w:val="none"/>
        </w:rPr>
      </w:pPr>
    </w:p>
    <w:p w14:paraId="336E0250">
      <w:pPr>
        <w:spacing w:line="440" w:lineRule="exact"/>
        <w:ind w:firstLine="2877"/>
        <w:rPr>
          <w:rFonts w:hint="eastAsia" w:ascii="仿宋" w:hAnsi="仿宋" w:eastAsia="仿宋" w:cs="仿宋"/>
          <w:b/>
          <w:color w:val="auto"/>
          <w:sz w:val="36"/>
          <w:highlight w:val="none"/>
        </w:rPr>
      </w:pPr>
    </w:p>
    <w:p w14:paraId="7025CA5F">
      <w:pPr>
        <w:spacing w:line="440" w:lineRule="exact"/>
        <w:ind w:firstLine="2877"/>
        <w:rPr>
          <w:rFonts w:hint="eastAsia" w:ascii="仿宋" w:hAnsi="仿宋" w:eastAsia="仿宋" w:cs="仿宋"/>
          <w:b/>
          <w:color w:val="auto"/>
          <w:sz w:val="36"/>
          <w:highlight w:val="none"/>
        </w:rPr>
      </w:pPr>
    </w:p>
    <w:p w14:paraId="24375D8B">
      <w:pPr>
        <w:spacing w:line="440" w:lineRule="exact"/>
        <w:ind w:firstLine="2877"/>
        <w:rPr>
          <w:rFonts w:hint="eastAsia" w:ascii="仿宋" w:hAnsi="仿宋" w:eastAsia="仿宋" w:cs="仿宋"/>
          <w:b/>
          <w:color w:val="auto"/>
          <w:sz w:val="36"/>
          <w:highlight w:val="none"/>
        </w:rPr>
      </w:pPr>
    </w:p>
    <w:p w14:paraId="69510CB3">
      <w:pPr>
        <w:spacing w:line="440" w:lineRule="exact"/>
        <w:ind w:firstLine="2877"/>
        <w:rPr>
          <w:rFonts w:hint="eastAsia" w:ascii="仿宋" w:hAnsi="仿宋" w:eastAsia="仿宋" w:cs="仿宋"/>
          <w:b/>
          <w:color w:val="auto"/>
          <w:sz w:val="36"/>
          <w:highlight w:val="none"/>
        </w:rPr>
      </w:pPr>
    </w:p>
    <w:p w14:paraId="6486C11A">
      <w:pPr>
        <w:spacing w:line="440" w:lineRule="exact"/>
        <w:ind w:firstLine="2877"/>
        <w:rPr>
          <w:rFonts w:hint="eastAsia" w:ascii="仿宋" w:hAnsi="仿宋" w:eastAsia="仿宋" w:cs="仿宋"/>
          <w:b/>
          <w:color w:val="auto"/>
          <w:sz w:val="36"/>
          <w:highlight w:val="none"/>
        </w:rPr>
      </w:pPr>
    </w:p>
    <w:p w14:paraId="0C1B05C5">
      <w:pPr>
        <w:spacing w:line="440" w:lineRule="exact"/>
        <w:ind w:firstLine="2877"/>
        <w:rPr>
          <w:rFonts w:hint="eastAsia" w:ascii="仿宋" w:hAnsi="仿宋" w:eastAsia="仿宋" w:cs="仿宋"/>
          <w:b/>
          <w:color w:val="auto"/>
          <w:sz w:val="36"/>
          <w:highlight w:val="none"/>
        </w:rPr>
      </w:pPr>
    </w:p>
    <w:p w14:paraId="1AFA2945">
      <w:pPr>
        <w:spacing w:line="440" w:lineRule="exact"/>
        <w:ind w:firstLine="2877"/>
        <w:rPr>
          <w:rFonts w:hint="eastAsia" w:ascii="仿宋" w:hAnsi="仿宋" w:eastAsia="仿宋" w:cs="仿宋"/>
          <w:b/>
          <w:color w:val="auto"/>
          <w:sz w:val="36"/>
          <w:highlight w:val="none"/>
        </w:rPr>
      </w:pPr>
    </w:p>
    <w:p w14:paraId="758F09F5">
      <w:pPr>
        <w:spacing w:line="440" w:lineRule="exact"/>
        <w:ind w:firstLine="2877"/>
        <w:rPr>
          <w:rFonts w:hint="eastAsia" w:ascii="仿宋" w:hAnsi="仿宋" w:eastAsia="仿宋" w:cs="仿宋"/>
          <w:b/>
          <w:color w:val="auto"/>
          <w:sz w:val="36"/>
          <w:highlight w:val="none"/>
        </w:rPr>
      </w:pPr>
    </w:p>
    <w:p w14:paraId="6BE34C0C">
      <w:pPr>
        <w:spacing w:line="440" w:lineRule="exact"/>
        <w:ind w:firstLine="2877"/>
        <w:rPr>
          <w:rFonts w:hint="eastAsia" w:ascii="仿宋" w:hAnsi="仿宋" w:eastAsia="仿宋" w:cs="仿宋"/>
          <w:b/>
          <w:color w:val="auto"/>
          <w:sz w:val="36"/>
          <w:highlight w:val="none"/>
        </w:rPr>
      </w:pPr>
    </w:p>
    <w:p w14:paraId="2DBDAFD4">
      <w:pPr>
        <w:spacing w:line="440" w:lineRule="exact"/>
        <w:ind w:firstLine="2877"/>
        <w:rPr>
          <w:rFonts w:hint="eastAsia" w:ascii="仿宋" w:hAnsi="仿宋" w:eastAsia="仿宋" w:cs="仿宋"/>
          <w:b/>
          <w:color w:val="auto"/>
          <w:sz w:val="36"/>
          <w:highlight w:val="none"/>
        </w:rPr>
      </w:pPr>
    </w:p>
    <w:p w14:paraId="499F7E12">
      <w:pPr>
        <w:spacing w:line="440" w:lineRule="exact"/>
        <w:ind w:firstLine="2877"/>
        <w:rPr>
          <w:rFonts w:hint="eastAsia" w:ascii="仿宋" w:hAnsi="仿宋" w:eastAsia="仿宋" w:cs="仿宋"/>
          <w:b/>
          <w:color w:val="auto"/>
          <w:sz w:val="36"/>
          <w:highlight w:val="none"/>
        </w:rPr>
      </w:pPr>
    </w:p>
    <w:p w14:paraId="77AB1B16">
      <w:pPr>
        <w:spacing w:line="440" w:lineRule="exact"/>
        <w:ind w:firstLine="2877"/>
        <w:rPr>
          <w:rFonts w:hint="eastAsia" w:ascii="仿宋" w:hAnsi="仿宋" w:eastAsia="仿宋" w:cs="仿宋"/>
          <w:b/>
          <w:color w:val="auto"/>
          <w:sz w:val="36"/>
          <w:highlight w:val="none"/>
        </w:rPr>
      </w:pPr>
    </w:p>
    <w:p w14:paraId="797993FF">
      <w:pPr>
        <w:spacing w:line="440" w:lineRule="exact"/>
        <w:ind w:firstLine="2557"/>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六、示范格式</w:t>
      </w:r>
    </w:p>
    <w:p w14:paraId="22FD5182">
      <w:pPr>
        <w:spacing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示范格式一                 </w:t>
      </w:r>
      <w:bookmarkEnd w:id="33"/>
    </w:p>
    <w:p w14:paraId="54C6435D">
      <w:pPr>
        <w:spacing w:line="440" w:lineRule="exact"/>
        <w:ind w:firstLine="2570"/>
        <w:rPr>
          <w:rFonts w:hint="eastAsia" w:ascii="仿宋" w:hAnsi="仿宋" w:eastAsia="仿宋" w:cs="仿宋"/>
          <w:b/>
          <w:bCs/>
          <w:color w:val="auto"/>
          <w:sz w:val="32"/>
          <w:highlight w:val="none"/>
        </w:rPr>
      </w:pPr>
    </w:p>
    <w:p w14:paraId="74E651F2">
      <w:pPr>
        <w:spacing w:line="640" w:lineRule="exact"/>
        <w:ind w:firstLine="2891"/>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法定代表人资格证明</w:t>
      </w:r>
    </w:p>
    <w:p w14:paraId="08DBB93D">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单位名称:</w:t>
      </w:r>
    </w:p>
    <w:p w14:paraId="18FB33E8">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地址:</w:t>
      </w:r>
    </w:p>
    <w:p w14:paraId="2D2EFD22">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姓名:     性别:      年龄:      职务:</w:t>
      </w:r>
    </w:p>
    <w:p w14:paraId="4A2183F9">
      <w:pPr>
        <w:spacing w:line="640" w:lineRule="exact"/>
        <w:ind w:left="1" w:firstLine="560"/>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系</w:t>
      </w:r>
      <w:r>
        <w:rPr>
          <w:rFonts w:hint="eastAsia" w:ascii="仿宋" w:hAnsi="仿宋" w:eastAsia="仿宋" w:cs="仿宋"/>
          <w:color w:val="auto"/>
          <w:sz w:val="28"/>
          <w:szCs w:val="28"/>
          <w:highlight w:val="none"/>
          <w:u w:val="single"/>
          <w:lang w:val="zh-CN"/>
        </w:rPr>
        <w:t xml:space="preserve"> （供应商单位名称）</w:t>
      </w:r>
      <w:r>
        <w:rPr>
          <w:rFonts w:hint="eastAsia" w:ascii="仿宋" w:hAnsi="仿宋" w:eastAsia="仿宋" w:cs="仿宋"/>
          <w:color w:val="auto"/>
          <w:sz w:val="28"/>
          <w:szCs w:val="28"/>
          <w:highlight w:val="none"/>
          <w:lang w:val="zh-CN"/>
        </w:rPr>
        <w:t>的法定代表人。</w:t>
      </w:r>
      <w:r>
        <w:rPr>
          <w:rFonts w:hint="eastAsia" w:ascii="仿宋" w:hAnsi="仿宋" w:eastAsia="仿宋" w:cs="仿宋"/>
          <w:color w:val="auto"/>
          <w:sz w:val="28"/>
          <w:highlight w:val="none"/>
        </w:rPr>
        <w:t>为参与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项目，签署上述项目的响应文件、进行</w:t>
      </w:r>
      <w:r>
        <w:rPr>
          <w:rFonts w:hint="eastAsia" w:ascii="仿宋" w:hAnsi="仿宋" w:eastAsia="仿宋" w:cs="仿宋"/>
          <w:color w:val="auto"/>
          <w:sz w:val="28"/>
          <w:highlight w:val="none"/>
          <w:lang w:val="en-US" w:eastAsia="zh-CN"/>
        </w:rPr>
        <w:t>磋商</w:t>
      </w:r>
      <w:r>
        <w:rPr>
          <w:rFonts w:hint="eastAsia" w:ascii="仿宋" w:hAnsi="仿宋" w:eastAsia="仿宋" w:cs="仿宋"/>
          <w:color w:val="auto"/>
          <w:sz w:val="28"/>
          <w:highlight w:val="none"/>
        </w:rPr>
        <w:t>、签署合同和处理与之有关的一切事务。</w:t>
      </w:r>
    </w:p>
    <w:p w14:paraId="5B0EBAAB">
      <w:pPr>
        <w:spacing w:line="640" w:lineRule="exact"/>
        <w:ind w:firstLine="280"/>
        <w:rPr>
          <w:rFonts w:hint="eastAsia" w:ascii="仿宋" w:hAnsi="仿宋" w:eastAsia="仿宋" w:cs="仿宋"/>
          <w:color w:val="auto"/>
          <w:sz w:val="28"/>
          <w:szCs w:val="28"/>
          <w:highlight w:val="none"/>
        </w:rPr>
      </w:pPr>
    </w:p>
    <w:p w14:paraId="6FED2A8F">
      <w:pPr>
        <w:spacing w:line="640" w:lineRule="exact"/>
        <w:rPr>
          <w:rFonts w:hint="eastAsia" w:ascii="仿宋" w:hAnsi="仿宋" w:eastAsia="仿宋" w:cs="仿宋"/>
          <w:color w:val="auto"/>
          <w:sz w:val="28"/>
          <w:szCs w:val="28"/>
          <w:highlight w:val="none"/>
          <w:lang w:val="zh-CN"/>
        </w:rPr>
      </w:pPr>
    </w:p>
    <w:p w14:paraId="076FF5E0">
      <w:pPr>
        <w:spacing w:line="640" w:lineRule="exact"/>
        <w:ind w:firstLine="28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特此证明。</w:t>
      </w:r>
    </w:p>
    <w:p w14:paraId="53BB4FEB">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p>
    <w:p w14:paraId="42125685">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供应商:</w:t>
      </w:r>
      <w:r>
        <w:rPr>
          <w:rFonts w:hint="eastAsia" w:ascii="仿宋" w:hAnsi="仿宋" w:eastAsia="仿宋" w:cs="仿宋"/>
          <w:color w:val="auto"/>
          <w:sz w:val="28"/>
          <w:szCs w:val="28"/>
          <w:highlight w:val="none"/>
          <w:u w:val="single"/>
          <w:lang w:val="zh-CN"/>
        </w:rPr>
        <w:t xml:space="preserve">    （电子签章）     </w:t>
      </w:r>
    </w:p>
    <w:p w14:paraId="4928AA3E">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4F07A16D">
      <w:pPr>
        <w:pStyle w:val="271"/>
        <w:spacing w:before="0" w:after="0" w:line="520" w:lineRule="exact"/>
        <w:ind w:left="4760" w:right="560" w:hanging="1820"/>
        <w:rPr>
          <w:rFonts w:hint="eastAsia" w:ascii="仿宋" w:hAnsi="仿宋" w:eastAsia="仿宋" w:cs="仿宋"/>
          <w:color w:val="auto"/>
          <w:sz w:val="28"/>
          <w:szCs w:val="28"/>
          <w:highlight w:val="none"/>
          <w:lang w:val="zh-CN"/>
        </w:rPr>
      </w:pPr>
    </w:p>
    <w:p w14:paraId="768B58F1">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p>
    <w:p w14:paraId="7F190005">
      <w:pPr>
        <w:spacing w:line="64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highlight w:val="none"/>
        </w:rPr>
        <w:t>注:供应商法定代表人</w:t>
      </w:r>
      <w:r>
        <w:rPr>
          <w:rFonts w:hint="eastAsia" w:ascii="仿宋" w:hAnsi="仿宋" w:eastAsia="仿宋" w:cs="仿宋"/>
          <w:bCs/>
          <w:color w:val="auto"/>
          <w:sz w:val="28"/>
          <w:szCs w:val="28"/>
          <w:highlight w:val="none"/>
        </w:rPr>
        <w:t>参加磋商的，必须附</w:t>
      </w:r>
      <w:r>
        <w:rPr>
          <w:rFonts w:hint="eastAsia" w:ascii="仿宋" w:hAnsi="仿宋" w:eastAsia="仿宋" w:cs="仿宋"/>
          <w:bCs/>
          <w:color w:val="auto"/>
          <w:sz w:val="28"/>
          <w:highlight w:val="none"/>
        </w:rPr>
        <w:t>法定代表人</w:t>
      </w:r>
      <w:r>
        <w:rPr>
          <w:rFonts w:hint="eastAsia" w:ascii="仿宋" w:hAnsi="仿宋" w:eastAsia="仿宋" w:cs="仿宋"/>
          <w:bCs/>
          <w:color w:val="auto"/>
          <w:sz w:val="28"/>
          <w:szCs w:val="28"/>
          <w:highlight w:val="none"/>
        </w:rPr>
        <w:t>身份证扫描件。</w:t>
      </w:r>
      <w:r>
        <w:rPr>
          <w:rFonts w:hint="eastAsia" w:ascii="仿宋" w:hAnsi="仿宋" w:eastAsia="仿宋" w:cs="仿宋"/>
          <w:color w:val="auto"/>
          <w:sz w:val="28"/>
          <w:szCs w:val="28"/>
          <w:highlight w:val="none"/>
        </w:rPr>
        <w:t>法定代表人授权其他人参加磋商的，仅需填写“授权委托书”。</w:t>
      </w:r>
    </w:p>
    <w:p w14:paraId="011E683F">
      <w:pPr>
        <w:spacing w:line="640" w:lineRule="exact"/>
        <w:ind w:left="-359" w:firstLine="357"/>
        <w:rPr>
          <w:rFonts w:hint="eastAsia" w:ascii="仿宋" w:hAnsi="仿宋" w:eastAsia="仿宋" w:cs="仿宋"/>
          <w:b/>
          <w:color w:val="auto"/>
          <w:sz w:val="32"/>
          <w:highlight w:val="none"/>
        </w:rPr>
      </w:pPr>
    </w:p>
    <w:p w14:paraId="03308C24">
      <w:pPr>
        <w:spacing w:line="640" w:lineRule="exact"/>
        <w:ind w:left="-359" w:firstLine="357"/>
        <w:rPr>
          <w:rFonts w:hint="eastAsia" w:ascii="仿宋" w:hAnsi="仿宋" w:eastAsia="仿宋" w:cs="仿宋"/>
          <w:b/>
          <w:color w:val="auto"/>
          <w:sz w:val="32"/>
          <w:highlight w:val="none"/>
        </w:rPr>
      </w:pPr>
    </w:p>
    <w:p w14:paraId="17878AD6">
      <w:pPr>
        <w:spacing w:line="640" w:lineRule="exact"/>
        <w:ind w:left="-359" w:firstLine="357"/>
        <w:rPr>
          <w:rFonts w:hint="eastAsia" w:ascii="仿宋" w:hAnsi="仿宋" w:eastAsia="仿宋" w:cs="仿宋"/>
          <w:b/>
          <w:color w:val="auto"/>
          <w:sz w:val="32"/>
          <w:highlight w:val="none"/>
        </w:rPr>
      </w:pPr>
    </w:p>
    <w:p w14:paraId="69B6D785">
      <w:pPr>
        <w:spacing w:line="640" w:lineRule="exact"/>
        <w:ind w:left="-359" w:firstLine="357"/>
        <w:rPr>
          <w:rFonts w:hint="eastAsia" w:ascii="仿宋" w:hAnsi="仿宋" w:eastAsia="仿宋" w:cs="仿宋"/>
          <w:b/>
          <w:color w:val="auto"/>
          <w:sz w:val="28"/>
          <w:szCs w:val="28"/>
          <w:highlight w:val="none"/>
        </w:rPr>
      </w:pPr>
      <w:r>
        <w:rPr>
          <w:rFonts w:hint="eastAsia" w:ascii="仿宋" w:hAnsi="仿宋" w:eastAsia="仿宋" w:cs="仿宋"/>
          <w:b/>
          <w:color w:val="auto"/>
          <w:sz w:val="32"/>
          <w:highlight w:val="none"/>
        </w:rPr>
        <w:t>示范格式二</w:t>
      </w:r>
    </w:p>
    <w:p w14:paraId="2393712F">
      <w:pPr>
        <w:spacing w:line="520" w:lineRule="exact"/>
        <w:ind w:firstLine="3213"/>
        <w:rPr>
          <w:rFonts w:hint="eastAsia" w:ascii="仿宋" w:hAnsi="仿宋" w:eastAsia="仿宋" w:cs="仿宋"/>
          <w:b/>
          <w:bCs/>
          <w:color w:val="auto"/>
          <w:sz w:val="28"/>
          <w:highlight w:val="none"/>
        </w:rPr>
      </w:pPr>
      <w:r>
        <w:rPr>
          <w:rFonts w:hint="eastAsia" w:ascii="仿宋" w:hAnsi="仿宋" w:eastAsia="仿宋" w:cs="仿宋"/>
          <w:b/>
          <w:bCs/>
          <w:color w:val="auto"/>
          <w:sz w:val="32"/>
          <w:highlight w:val="none"/>
        </w:rPr>
        <w:t>授权委托书</w:t>
      </w:r>
    </w:p>
    <w:p w14:paraId="34B635E4">
      <w:pPr>
        <w:spacing w:line="520" w:lineRule="exact"/>
        <w:rPr>
          <w:rFonts w:hint="eastAsia" w:ascii="仿宋" w:hAnsi="仿宋" w:eastAsia="仿宋" w:cs="仿宋"/>
          <w:bCs/>
          <w:color w:val="auto"/>
          <w:sz w:val="30"/>
          <w:szCs w:val="28"/>
          <w:highlight w:val="none"/>
        </w:rPr>
      </w:pPr>
      <w:r>
        <w:rPr>
          <w:rFonts w:hint="eastAsia" w:ascii="仿宋" w:hAnsi="仿宋" w:eastAsia="仿宋" w:cs="仿宋"/>
          <w:bCs/>
          <w:color w:val="auto"/>
          <w:sz w:val="30"/>
          <w:szCs w:val="28"/>
          <w:highlight w:val="none"/>
        </w:rPr>
        <w:t>致</w:t>
      </w:r>
      <w:r>
        <w:rPr>
          <w:rFonts w:hint="eastAsia" w:ascii="仿宋" w:hAnsi="仿宋" w:eastAsia="仿宋" w:cs="仿宋"/>
          <w:bCs/>
          <w:color w:val="auto"/>
          <w:sz w:val="30"/>
          <w:szCs w:val="28"/>
          <w:highlight w:val="none"/>
          <w:lang w:eastAsia="zh-CN"/>
        </w:rPr>
        <w:t>淮安市清江浦区人民法院</w:t>
      </w:r>
      <w:r>
        <w:rPr>
          <w:rFonts w:hint="eastAsia" w:ascii="仿宋" w:hAnsi="仿宋" w:eastAsia="仿宋" w:cs="仿宋"/>
          <w:bCs/>
          <w:color w:val="auto"/>
          <w:sz w:val="30"/>
          <w:szCs w:val="28"/>
          <w:highlight w:val="none"/>
        </w:rPr>
        <w:t>:</w:t>
      </w:r>
    </w:p>
    <w:p w14:paraId="4A06D6AD">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本授权书宣告:</w:t>
      </w:r>
    </w:p>
    <w:p w14:paraId="044C62E9">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6E4E8789">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u w:val="single"/>
        </w:rPr>
        <w:t xml:space="preserve">          </w:t>
      </w:r>
    </w:p>
    <w:p w14:paraId="777A7DD2">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受托人:姓名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1F6A22F3">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所在单位: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u w:val="single"/>
        </w:rPr>
        <w:t xml:space="preserve">           </w:t>
      </w:r>
    </w:p>
    <w:p w14:paraId="478DBD55">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 份 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u w:val="single"/>
        </w:rPr>
        <w:t xml:space="preserve">       </w:t>
      </w:r>
    </w:p>
    <w:p w14:paraId="4BB84FF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兹委托受托人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代表我公司参加</w:t>
      </w:r>
      <w:r>
        <w:rPr>
          <w:rFonts w:hint="eastAsia" w:ascii="仿宋" w:hAnsi="仿宋" w:eastAsia="仿宋" w:cs="仿宋"/>
          <w:color w:val="auto"/>
          <w:sz w:val="28"/>
          <w:szCs w:val="28"/>
          <w:highlight w:val="none"/>
          <w:lang w:eastAsia="zh-CN"/>
        </w:rPr>
        <w:t>宏信天德工程顾问有限公司</w:t>
      </w:r>
      <w:r>
        <w:rPr>
          <w:rFonts w:hint="eastAsia" w:ascii="仿宋" w:hAnsi="仿宋" w:eastAsia="仿宋" w:cs="仿宋"/>
          <w:color w:val="auto"/>
          <w:sz w:val="28"/>
          <w:szCs w:val="28"/>
          <w:highlight w:val="none"/>
        </w:rPr>
        <w:t>组织的（项目编号: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采购项目的政府采购活动，受托人有权在该</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活动中，以我单位的名义签署磋商函和响应文件，与采购人协商、澄清、解释，签订合同书并执行一切与此有关的事项。</w:t>
      </w:r>
    </w:p>
    <w:p w14:paraId="40A0CA59">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p>
    <w:p w14:paraId="2D0E821C">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委托期限:至上述事宜处理完毕止。</w:t>
      </w:r>
    </w:p>
    <w:p w14:paraId="3F1B1F1F">
      <w:pPr>
        <w:spacing w:line="520" w:lineRule="exact"/>
        <w:ind w:firstLine="600"/>
        <w:rPr>
          <w:rFonts w:hint="eastAsia" w:ascii="仿宋" w:hAnsi="仿宋" w:eastAsia="仿宋" w:cs="仿宋"/>
          <w:b/>
          <w:color w:val="auto"/>
          <w:sz w:val="28"/>
          <w:szCs w:val="28"/>
          <w:highlight w:val="none"/>
        </w:rPr>
      </w:pPr>
    </w:p>
    <w:p w14:paraId="50755533">
      <w:pPr>
        <w:spacing w:line="520" w:lineRule="exact"/>
        <w:rPr>
          <w:rFonts w:hint="eastAsia" w:ascii="仿宋" w:hAnsi="仿宋" w:eastAsia="仿宋" w:cs="仿宋"/>
          <w:color w:val="auto"/>
          <w:sz w:val="28"/>
          <w:szCs w:val="28"/>
          <w:highlight w:val="none"/>
        </w:rPr>
      </w:pPr>
    </w:p>
    <w:p w14:paraId="34FBD3E8">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供应商:</w:t>
      </w:r>
      <w:r>
        <w:rPr>
          <w:rFonts w:hint="eastAsia" w:ascii="仿宋" w:hAnsi="仿宋" w:eastAsia="仿宋" w:cs="仿宋"/>
          <w:color w:val="auto"/>
          <w:sz w:val="28"/>
          <w:szCs w:val="28"/>
          <w:highlight w:val="none"/>
          <w:u w:val="single"/>
          <w:lang w:val="zh-CN"/>
        </w:rPr>
        <w:t xml:space="preserve">     （电子签章）    </w:t>
      </w:r>
    </w:p>
    <w:p w14:paraId="494089B3">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141A3B1A">
      <w:pPr>
        <w:spacing w:line="520" w:lineRule="exact"/>
        <w:ind w:left="-359" w:firstLine="548"/>
        <w:rPr>
          <w:rFonts w:hint="eastAsia" w:ascii="仿宋" w:hAnsi="仿宋" w:eastAsia="仿宋" w:cs="仿宋"/>
          <w:bCs/>
          <w:color w:val="auto"/>
          <w:sz w:val="28"/>
          <w:highlight w:val="none"/>
        </w:rPr>
      </w:pPr>
    </w:p>
    <w:p w14:paraId="2608A5DA">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bCs/>
          <w:color w:val="auto"/>
          <w:sz w:val="28"/>
          <w:highlight w:val="none"/>
        </w:rPr>
        <w:t>注:供应商委托</w:t>
      </w:r>
      <w:r>
        <w:rPr>
          <w:rFonts w:hint="eastAsia" w:ascii="仿宋" w:hAnsi="仿宋" w:eastAsia="仿宋" w:cs="仿宋"/>
          <w:bCs/>
          <w:color w:val="auto"/>
          <w:sz w:val="28"/>
          <w:szCs w:val="28"/>
          <w:highlight w:val="none"/>
        </w:rPr>
        <w:t>受托人参加磋商的，必须附受托人身份证</w:t>
      </w:r>
      <w:r>
        <w:rPr>
          <w:rFonts w:hint="eastAsia" w:ascii="仿宋" w:hAnsi="仿宋" w:eastAsia="仿宋" w:cs="仿宋"/>
          <w:color w:val="auto"/>
          <w:sz w:val="28"/>
          <w:szCs w:val="28"/>
          <w:highlight w:val="none"/>
        </w:rPr>
        <w:t>扫描</w:t>
      </w:r>
      <w:r>
        <w:rPr>
          <w:rFonts w:hint="eastAsia" w:ascii="仿宋" w:hAnsi="仿宋" w:eastAsia="仿宋" w:cs="仿宋"/>
          <w:bCs/>
          <w:color w:val="auto"/>
          <w:sz w:val="28"/>
          <w:szCs w:val="28"/>
          <w:highlight w:val="none"/>
        </w:rPr>
        <w:t>件。</w:t>
      </w:r>
      <w:r>
        <w:rPr>
          <w:rFonts w:hint="eastAsia" w:ascii="仿宋" w:hAnsi="仿宋" w:eastAsia="仿宋" w:cs="仿宋"/>
          <w:color w:val="auto"/>
          <w:sz w:val="28"/>
          <w:szCs w:val="28"/>
          <w:highlight w:val="none"/>
        </w:rPr>
        <w:t>法定代表人直接参加磋商的，仅需填写“法定代表人资格证明”。</w:t>
      </w:r>
    </w:p>
    <w:p w14:paraId="6EE4F817">
      <w:pPr>
        <w:spacing w:line="640" w:lineRule="exact"/>
        <w:ind w:left="-359" w:firstLine="357"/>
        <w:rPr>
          <w:rFonts w:hint="eastAsia" w:ascii="仿宋" w:hAnsi="仿宋" w:eastAsia="仿宋" w:cs="仿宋"/>
          <w:b/>
          <w:color w:val="auto"/>
          <w:sz w:val="32"/>
          <w:highlight w:val="none"/>
        </w:rPr>
      </w:pPr>
    </w:p>
    <w:p w14:paraId="0AE006FA">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p>
    <w:p w14:paraId="69D19201">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示范格式三</w:t>
      </w:r>
    </w:p>
    <w:p w14:paraId="621AEF82">
      <w:pPr>
        <w:rPr>
          <w:rFonts w:hint="eastAsia" w:ascii="仿宋" w:hAnsi="仿宋" w:eastAsia="仿宋" w:cs="仿宋"/>
          <w:b/>
          <w:color w:val="auto"/>
          <w:sz w:val="32"/>
          <w:szCs w:val="32"/>
          <w:highlight w:val="none"/>
        </w:rPr>
      </w:pPr>
    </w:p>
    <w:p w14:paraId="5BC5EC15">
      <w:pPr>
        <w:spacing w:line="520" w:lineRule="exact"/>
        <w:jc w:val="cente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符合《中华人民共和国政府采购法》第二十二条规定条件的声明函</w:t>
      </w:r>
    </w:p>
    <w:p w14:paraId="4F3C455B">
      <w:pPr>
        <w:pStyle w:val="212"/>
        <w:spacing w:line="72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w:t>
      </w:r>
      <w:r>
        <w:rPr>
          <w:rFonts w:hint="eastAsia" w:ascii="仿宋" w:hAnsi="仿宋" w:eastAsia="仿宋" w:cs="仿宋"/>
          <w:bCs/>
          <w:color w:val="auto"/>
          <w:sz w:val="28"/>
          <w:szCs w:val="28"/>
          <w:highlight w:val="none"/>
          <w:lang w:eastAsia="zh-CN"/>
        </w:rPr>
        <w:t>淮安市清江浦区人民法院</w:t>
      </w:r>
      <w:r>
        <w:rPr>
          <w:rFonts w:hint="eastAsia" w:ascii="仿宋" w:hAnsi="仿宋" w:eastAsia="仿宋" w:cs="仿宋"/>
          <w:bCs/>
          <w:color w:val="auto"/>
          <w:sz w:val="28"/>
          <w:szCs w:val="28"/>
          <w:highlight w:val="none"/>
        </w:rPr>
        <w:t>:</w:t>
      </w:r>
    </w:p>
    <w:p w14:paraId="18691D26">
      <w:pPr>
        <w:spacing w:line="520" w:lineRule="exact"/>
        <w:ind w:firstLine="84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我公司参加贵单位组织实施的（项目编号: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采购项目的政府采购活动。针对《中华人民共和国政府采购法》第二十二条规定做出如下声明：</w:t>
      </w:r>
    </w:p>
    <w:p w14:paraId="3B6A04FF">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1、我单位具有独立承担民事责任的能力；</w:t>
      </w:r>
    </w:p>
    <w:p w14:paraId="3F651AB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2、我单位具有良好的商业信誉和健全的财务会计制度；</w:t>
      </w:r>
    </w:p>
    <w:p w14:paraId="7DBC5EF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3、我单位具有履行合同所必需的设备和专业技术能力；</w:t>
      </w:r>
    </w:p>
    <w:p w14:paraId="7B02077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4、我单位有依法缴纳税收和社会保障资金的良好记录；</w:t>
      </w:r>
    </w:p>
    <w:p w14:paraId="4EA9B41C">
      <w:pPr>
        <w:spacing w:line="640" w:lineRule="exact"/>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5、参加本次政府采购活动前三年内，我公司在经营活动中没有因违法经营受到刑事处罚或者责令停产停业、吊销许可证或者执照、较大数额罚款等行政处罚。 </w:t>
      </w:r>
    </w:p>
    <w:p w14:paraId="3B21E174">
      <w:pPr>
        <w:spacing w:line="520" w:lineRule="exact"/>
        <w:ind w:firstLine="63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6、我单位满足法律、行政法规规定的其他条件。</w:t>
      </w:r>
    </w:p>
    <w:p w14:paraId="5CEF31DF">
      <w:pPr>
        <w:spacing w:line="520" w:lineRule="exact"/>
        <w:rPr>
          <w:rFonts w:hint="eastAsia" w:ascii="仿宋" w:hAnsi="仿宋" w:eastAsia="仿宋" w:cs="仿宋"/>
          <w:color w:val="auto"/>
          <w:sz w:val="28"/>
          <w:szCs w:val="28"/>
          <w:highlight w:val="none"/>
          <w:u w:val="single"/>
        </w:rPr>
      </w:pPr>
    </w:p>
    <w:p w14:paraId="35A75447">
      <w:pPr>
        <w:spacing w:line="520" w:lineRule="exact"/>
        <w:rPr>
          <w:rFonts w:hint="eastAsia" w:ascii="仿宋" w:hAnsi="仿宋" w:eastAsia="仿宋" w:cs="仿宋"/>
          <w:color w:val="auto"/>
          <w:sz w:val="28"/>
          <w:szCs w:val="28"/>
          <w:highlight w:val="none"/>
          <w:u w:val="single"/>
        </w:rPr>
      </w:pPr>
    </w:p>
    <w:p w14:paraId="4FB998A0">
      <w:pPr>
        <w:spacing w:line="640" w:lineRule="exact"/>
        <w:ind w:firstLine="448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承诺人</w:t>
      </w: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u w:val="single"/>
          <w:lang w:val="zh-CN"/>
        </w:rPr>
        <w:t xml:space="preserve">     （电子签章）    </w:t>
      </w:r>
    </w:p>
    <w:p w14:paraId="34707990">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588A5E3E">
      <w:pPr>
        <w:spacing w:line="520" w:lineRule="exact"/>
        <w:rPr>
          <w:rFonts w:hint="eastAsia" w:ascii="仿宋" w:hAnsi="仿宋" w:eastAsia="仿宋" w:cs="仿宋"/>
          <w:color w:val="auto"/>
          <w:sz w:val="28"/>
          <w:szCs w:val="28"/>
          <w:highlight w:val="none"/>
          <w:u w:val="single"/>
        </w:rPr>
      </w:pPr>
    </w:p>
    <w:p w14:paraId="3B902226">
      <w:pPr>
        <w:rPr>
          <w:rFonts w:hint="eastAsia" w:ascii="仿宋" w:hAnsi="仿宋" w:eastAsia="仿宋" w:cs="仿宋"/>
          <w:b/>
          <w:color w:val="auto"/>
          <w:sz w:val="32"/>
          <w:szCs w:val="32"/>
          <w:highlight w:val="none"/>
        </w:rPr>
      </w:pPr>
    </w:p>
    <w:p w14:paraId="7B6A7A4C">
      <w:pPr>
        <w:rPr>
          <w:rFonts w:hint="eastAsia" w:ascii="仿宋" w:hAnsi="仿宋" w:eastAsia="仿宋" w:cs="仿宋"/>
          <w:b/>
          <w:color w:val="auto"/>
          <w:sz w:val="32"/>
          <w:szCs w:val="32"/>
          <w:highlight w:val="none"/>
        </w:rPr>
      </w:pPr>
    </w:p>
    <w:p w14:paraId="5BB236FA">
      <w:pPr>
        <w:rPr>
          <w:rFonts w:hint="eastAsia" w:ascii="仿宋" w:hAnsi="仿宋" w:eastAsia="仿宋" w:cs="仿宋"/>
          <w:b/>
          <w:color w:val="auto"/>
          <w:sz w:val="32"/>
          <w:szCs w:val="32"/>
          <w:highlight w:val="none"/>
        </w:rPr>
      </w:pPr>
    </w:p>
    <w:p w14:paraId="3F97093E">
      <w:pPr>
        <w:rPr>
          <w:rFonts w:hint="eastAsia" w:ascii="仿宋" w:hAnsi="仿宋" w:eastAsia="仿宋" w:cs="仿宋"/>
          <w:b/>
          <w:color w:val="auto"/>
          <w:sz w:val="32"/>
          <w:szCs w:val="32"/>
          <w:highlight w:val="none"/>
        </w:rPr>
      </w:pPr>
    </w:p>
    <w:p w14:paraId="0C58CC10">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p>
    <w:p w14:paraId="6469F37E">
      <w:pPr>
        <w:rPr>
          <w:rFonts w:hint="eastAsia" w:ascii="仿宋" w:hAnsi="仿宋" w:eastAsia="仿宋" w:cs="仿宋"/>
          <w:bCs/>
          <w:color w:val="auto"/>
          <w:sz w:val="24"/>
          <w:highlight w:val="none"/>
        </w:rPr>
      </w:pPr>
      <w:r>
        <w:rPr>
          <w:rFonts w:hint="eastAsia" w:ascii="仿宋" w:hAnsi="仿宋" w:eastAsia="仿宋" w:cs="仿宋"/>
          <w:b/>
          <w:color w:val="auto"/>
          <w:sz w:val="32"/>
          <w:szCs w:val="32"/>
          <w:highlight w:val="none"/>
        </w:rPr>
        <w:t>示范格式四</w:t>
      </w:r>
      <w:r>
        <w:rPr>
          <w:rFonts w:hint="eastAsia" w:ascii="仿宋" w:hAnsi="仿宋" w:eastAsia="仿宋" w:cs="仿宋"/>
          <w:color w:val="auto"/>
          <w:sz w:val="28"/>
          <w:szCs w:val="28"/>
          <w:highlight w:val="none"/>
        </w:rPr>
        <w:t xml:space="preserve">                                           </w:t>
      </w:r>
    </w:p>
    <w:p w14:paraId="79E88F99">
      <w:pPr>
        <w:spacing w:line="640" w:lineRule="exact"/>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企业声明函（服务）</w:t>
      </w:r>
    </w:p>
    <w:p w14:paraId="1D9CB88A">
      <w:pPr>
        <w:pStyle w:val="212"/>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w:t>
      </w:r>
      <w:r>
        <w:rPr>
          <w:rFonts w:hint="eastAsia" w:ascii="仿宋" w:hAnsi="仿宋" w:eastAsia="仿宋" w:cs="仿宋"/>
          <w:bCs/>
          <w:color w:val="auto"/>
          <w:sz w:val="28"/>
          <w:szCs w:val="28"/>
          <w:highlight w:val="none"/>
          <w:lang w:eastAsia="zh-CN"/>
        </w:rPr>
        <w:t>淮安市清江浦区人民法院</w:t>
      </w:r>
      <w:r>
        <w:rPr>
          <w:rFonts w:hint="eastAsia" w:ascii="仿宋" w:hAnsi="仿宋" w:eastAsia="仿宋" w:cs="仿宋"/>
          <w:bCs/>
          <w:color w:val="auto"/>
          <w:sz w:val="28"/>
          <w:szCs w:val="28"/>
          <w:highlight w:val="none"/>
        </w:rPr>
        <w:t>:</w:t>
      </w:r>
    </w:p>
    <w:p w14:paraId="2B90D3C5">
      <w:pPr>
        <w:pStyle w:val="212"/>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本公司郑重声明，根据《政府采购促进中小企业发展管理办法》（财库﹝2020﹞46 号）的规定，本公司参加（单位名称）的（项目名称）采购活动，服务全部由符合政策要求的中小企业承接。相关企业的具体情况如下：</w:t>
      </w:r>
    </w:p>
    <w:p w14:paraId="7031930C">
      <w:pPr>
        <w:pStyle w:val="212"/>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w:t>
      </w:r>
      <w:r>
        <w:rPr>
          <w:rFonts w:hint="eastAsia" w:ascii="仿宋" w:hAnsi="仿宋" w:eastAsia="仿宋" w:cs="仿宋"/>
          <w:bCs/>
          <w:color w:val="auto"/>
          <w:sz w:val="28"/>
          <w:szCs w:val="28"/>
          <w:highlight w:val="none"/>
          <w:u w:val="single"/>
        </w:rPr>
        <w:t xml:space="preserve"> （标的名称） </w:t>
      </w:r>
      <w:r>
        <w:rPr>
          <w:rFonts w:hint="eastAsia" w:ascii="仿宋" w:hAnsi="仿宋" w:eastAsia="仿宋" w:cs="仿宋"/>
          <w:bCs/>
          <w:color w:val="auto"/>
          <w:sz w:val="28"/>
          <w:szCs w:val="28"/>
          <w:highlight w:val="none"/>
        </w:rPr>
        <w:t>，属于（采购文件中明确的所属行业）；承接企业为（企业名称），从业人员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万元，属于</w:t>
      </w:r>
      <w:r>
        <w:rPr>
          <w:rFonts w:hint="eastAsia" w:ascii="仿宋" w:hAnsi="仿宋" w:eastAsia="仿宋" w:cs="仿宋"/>
          <w:bCs/>
          <w:color w:val="auto"/>
          <w:sz w:val="28"/>
          <w:szCs w:val="28"/>
          <w:highlight w:val="none"/>
          <w:u w:val="single"/>
        </w:rPr>
        <w:t>（中型企业、小型企业、微型企业）</w:t>
      </w:r>
      <w:r>
        <w:rPr>
          <w:rFonts w:hint="eastAsia" w:ascii="仿宋" w:hAnsi="仿宋" w:eastAsia="仿宋" w:cs="仿宋"/>
          <w:bCs/>
          <w:color w:val="auto"/>
          <w:sz w:val="28"/>
          <w:szCs w:val="28"/>
          <w:highlight w:val="none"/>
        </w:rPr>
        <w:t xml:space="preserve">； </w:t>
      </w:r>
    </w:p>
    <w:p w14:paraId="557981FB">
      <w:pPr>
        <w:pStyle w:val="212"/>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 </w:t>
      </w:r>
      <w:r>
        <w:rPr>
          <w:rFonts w:hint="eastAsia" w:ascii="仿宋" w:hAnsi="仿宋" w:eastAsia="仿宋" w:cs="仿宋"/>
          <w:bCs/>
          <w:color w:val="auto"/>
          <w:sz w:val="28"/>
          <w:szCs w:val="28"/>
          <w:highlight w:val="none"/>
          <w:u w:val="single"/>
        </w:rPr>
        <w:t xml:space="preserve">（标的名称） </w:t>
      </w:r>
      <w:r>
        <w:rPr>
          <w:rFonts w:hint="eastAsia" w:ascii="仿宋" w:hAnsi="仿宋" w:eastAsia="仿宋" w:cs="仿宋"/>
          <w:bCs/>
          <w:color w:val="auto"/>
          <w:sz w:val="28"/>
          <w:szCs w:val="28"/>
          <w:highlight w:val="none"/>
        </w:rPr>
        <w:t>，属于（采购文件中明确的所属行业）；承接企业为（企业名称），从业人员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万元，属于</w:t>
      </w:r>
      <w:r>
        <w:rPr>
          <w:rFonts w:hint="eastAsia" w:ascii="仿宋" w:hAnsi="仿宋" w:eastAsia="仿宋" w:cs="仿宋"/>
          <w:bCs/>
          <w:color w:val="auto"/>
          <w:sz w:val="28"/>
          <w:szCs w:val="28"/>
          <w:highlight w:val="none"/>
          <w:u w:val="single"/>
        </w:rPr>
        <w:t>（中型企业、小型企业、微型企业）</w:t>
      </w:r>
      <w:r>
        <w:rPr>
          <w:rFonts w:hint="eastAsia" w:ascii="仿宋" w:hAnsi="仿宋" w:eastAsia="仿宋" w:cs="仿宋"/>
          <w:bCs/>
          <w:color w:val="auto"/>
          <w:sz w:val="28"/>
          <w:szCs w:val="28"/>
          <w:highlight w:val="none"/>
        </w:rPr>
        <w:t xml:space="preserve">； </w:t>
      </w:r>
    </w:p>
    <w:p w14:paraId="234AD27E">
      <w:pPr>
        <w:pStyle w:val="212"/>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w:t>
      </w:r>
    </w:p>
    <w:p w14:paraId="30538E71">
      <w:pPr>
        <w:pStyle w:val="212"/>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以上企业，不属于大企业的分支机构，不存在控股股东为大企业的情形，也不存在与大企业的负责人为同一人的情形。</w:t>
      </w:r>
    </w:p>
    <w:p w14:paraId="43B6770B">
      <w:pPr>
        <w:pStyle w:val="212"/>
        <w:spacing w:line="60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本企业对上述声明内容的真实性负责。如有虚假，将依法承担相应责任。 </w:t>
      </w:r>
    </w:p>
    <w:p w14:paraId="5A466597">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28"/>
          <w:szCs w:val="28"/>
          <w:highlight w:val="none"/>
          <w:lang w:val="zh-CN"/>
        </w:rPr>
        <w:t xml:space="preserve"> </w:t>
      </w:r>
      <w:r>
        <w:rPr>
          <w:rFonts w:hint="eastAsia" w:ascii="仿宋" w:hAnsi="仿宋" w:eastAsia="仿宋" w:cs="仿宋"/>
          <w:color w:val="auto"/>
          <w:sz w:val="28"/>
          <w:szCs w:val="28"/>
          <w:highlight w:val="none"/>
          <w:lang w:val="zh-CN"/>
        </w:rPr>
        <w:t>供应商:</w:t>
      </w:r>
      <w:r>
        <w:rPr>
          <w:rFonts w:hint="eastAsia" w:ascii="仿宋" w:hAnsi="仿宋" w:eastAsia="仿宋" w:cs="仿宋"/>
          <w:color w:val="auto"/>
          <w:sz w:val="28"/>
          <w:szCs w:val="28"/>
          <w:highlight w:val="none"/>
          <w:u w:val="single"/>
          <w:lang w:val="zh-CN"/>
        </w:rPr>
        <w:t xml:space="preserve">        （电子签章）     </w:t>
      </w:r>
    </w:p>
    <w:p w14:paraId="1A611AB7">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highlight w:val="none"/>
          <w:u w:val="single"/>
        </w:rPr>
        <w:t>（电子签章或电子签字）</w:t>
      </w:r>
    </w:p>
    <w:p w14:paraId="54135F11">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1B53D0AC">
      <w:pPr>
        <w:pStyle w:val="212"/>
        <w:spacing w:line="60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注：从业人员、营业收入、资产总额填报上一年度数据，无上一年度数据的新成立企业可不填报。</w:t>
      </w:r>
    </w:p>
    <w:p w14:paraId="25682588">
      <w:pPr>
        <w:pStyle w:val="212"/>
        <w:spacing w:line="600" w:lineRule="exact"/>
        <w:ind w:firstLine="480"/>
        <w:rPr>
          <w:rFonts w:hint="eastAsia" w:ascii="仿宋" w:hAnsi="仿宋" w:eastAsia="仿宋" w:cs="仿宋"/>
          <w:bCs/>
          <w:color w:val="auto"/>
          <w:sz w:val="24"/>
          <w:highlight w:val="none"/>
        </w:rPr>
      </w:pPr>
    </w:p>
    <w:p w14:paraId="0FDCEA6F">
      <w:pPr>
        <w:pStyle w:val="212"/>
        <w:spacing w:line="600" w:lineRule="exact"/>
        <w:ind w:firstLine="480"/>
        <w:rPr>
          <w:rFonts w:hint="eastAsia" w:ascii="仿宋" w:hAnsi="仿宋" w:eastAsia="仿宋" w:cs="仿宋"/>
          <w:bCs/>
          <w:color w:val="auto"/>
          <w:sz w:val="24"/>
          <w:highlight w:val="none"/>
        </w:rPr>
      </w:pPr>
    </w:p>
    <w:p w14:paraId="27BD0C9C">
      <w:pPr>
        <w:pStyle w:val="212"/>
        <w:spacing w:line="520" w:lineRule="exact"/>
        <w:ind w:firstLine="643"/>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示范格式五</w:t>
      </w:r>
    </w:p>
    <w:p w14:paraId="43E04D61">
      <w:pPr>
        <w:widowControl/>
        <w:spacing w:line="640" w:lineRule="exact"/>
        <w:jc w:val="center"/>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t>残疾人福利性单位声明函</w:t>
      </w:r>
    </w:p>
    <w:p w14:paraId="72199B90">
      <w:pPr>
        <w:pStyle w:val="212"/>
        <w:spacing w:line="64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w:t>
      </w:r>
      <w:r>
        <w:rPr>
          <w:rFonts w:hint="eastAsia" w:ascii="仿宋" w:hAnsi="仿宋" w:eastAsia="仿宋" w:cs="仿宋"/>
          <w:bCs/>
          <w:color w:val="auto"/>
          <w:sz w:val="28"/>
          <w:szCs w:val="28"/>
          <w:highlight w:val="none"/>
          <w:lang w:eastAsia="zh-CN"/>
        </w:rPr>
        <w:t>淮安市清江浦区人民法院</w:t>
      </w:r>
      <w:r>
        <w:rPr>
          <w:rFonts w:hint="eastAsia" w:ascii="仿宋" w:hAnsi="仿宋" w:eastAsia="仿宋" w:cs="仿宋"/>
          <w:bCs/>
          <w:color w:val="auto"/>
          <w:sz w:val="28"/>
          <w:szCs w:val="28"/>
          <w:highlight w:val="none"/>
        </w:rPr>
        <w:t>:</w:t>
      </w:r>
    </w:p>
    <w:p w14:paraId="73E1FAD3">
      <w:pPr>
        <w:pStyle w:val="212"/>
        <w:spacing w:line="64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本单位郑重声明，根据《财政部 民政部 中国残疾人联合会关于促进残疾人就业政府采购政策的通知》（财库〔2017〕141 号）的规定，本单位为符合条件的残疾人福利性单位。即，本单位同时满足以下条件:</w:t>
      </w:r>
    </w:p>
    <w:p w14:paraId="2FEF58F0">
      <w:pPr>
        <w:pStyle w:val="212"/>
        <w:spacing w:line="64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1、根据《财政部 民政部 中国残疾人联合会关于促进残疾人就业政府采购政策的通知》（财库〔2017〕141 号）规定的划分标准，本公司为残疾人福利性企业。</w:t>
      </w:r>
    </w:p>
    <w:p w14:paraId="736DD894">
      <w:pPr>
        <w:pStyle w:val="212"/>
        <w:spacing w:line="64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7AE1267C">
      <w:pPr>
        <w:pStyle w:val="212"/>
        <w:spacing w:line="640" w:lineRule="exact"/>
        <w:ind w:firstLine="560"/>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注:</w:t>
      </w:r>
      <w:r>
        <w:rPr>
          <w:rFonts w:hint="eastAsia" w:ascii="仿宋" w:hAnsi="仿宋" w:eastAsia="仿宋" w:cs="仿宋"/>
          <w:bCs/>
          <w:color w:val="auto"/>
          <w:sz w:val="28"/>
          <w:szCs w:val="28"/>
          <w:highlight w:val="none"/>
        </w:rPr>
        <w:t>本公司对上述声明的真实性负责。如有虚假，将依法承担相应责任。</w:t>
      </w:r>
    </w:p>
    <w:p w14:paraId="77111835">
      <w:pPr>
        <w:pStyle w:val="212"/>
        <w:spacing w:line="640" w:lineRule="exact"/>
        <w:ind w:firstLine="560"/>
        <w:rPr>
          <w:rFonts w:hint="eastAsia" w:ascii="仿宋" w:hAnsi="仿宋" w:eastAsia="仿宋" w:cs="仿宋"/>
          <w:color w:val="auto"/>
          <w:sz w:val="28"/>
          <w:szCs w:val="28"/>
          <w:highlight w:val="none"/>
        </w:rPr>
      </w:pPr>
    </w:p>
    <w:p w14:paraId="4B739639">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供应商:</w:t>
      </w:r>
      <w:r>
        <w:rPr>
          <w:rFonts w:hint="eastAsia" w:ascii="仿宋" w:hAnsi="仿宋" w:eastAsia="仿宋" w:cs="仿宋"/>
          <w:color w:val="auto"/>
          <w:sz w:val="28"/>
          <w:szCs w:val="28"/>
          <w:highlight w:val="none"/>
          <w:u w:val="single"/>
          <w:lang w:val="zh-CN"/>
        </w:rPr>
        <w:t xml:space="preserve">        （电子签章）     </w:t>
      </w:r>
    </w:p>
    <w:p w14:paraId="27CCE9FB">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highlight w:val="none"/>
          <w:u w:val="single"/>
        </w:rPr>
        <w:t>（电子签章或电子签字）</w:t>
      </w:r>
    </w:p>
    <w:p w14:paraId="0BBADF33">
      <w:pPr>
        <w:spacing w:line="640" w:lineRule="exact"/>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1AC5B512">
      <w:pPr>
        <w:spacing w:line="64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注:非</w:t>
      </w:r>
      <w:r>
        <w:rPr>
          <w:rFonts w:hint="eastAsia" w:ascii="仿宋" w:hAnsi="仿宋" w:eastAsia="仿宋" w:cs="仿宋"/>
          <w:color w:val="auto"/>
          <w:sz w:val="28"/>
          <w:highlight w:val="none"/>
        </w:rPr>
        <w:t>残疾人福利性单位不</w:t>
      </w:r>
      <w:r>
        <w:rPr>
          <w:rFonts w:hint="eastAsia" w:ascii="仿宋" w:hAnsi="仿宋" w:eastAsia="仿宋" w:cs="仿宋"/>
          <w:color w:val="auto"/>
          <w:sz w:val="28"/>
          <w:szCs w:val="28"/>
          <w:highlight w:val="none"/>
        </w:rPr>
        <w:t>需提供此函。</w:t>
      </w:r>
    </w:p>
    <w:p w14:paraId="1B76D0D5">
      <w:pPr>
        <w:jc w:val="center"/>
        <w:rPr>
          <w:rFonts w:hint="eastAsia" w:ascii="仿宋" w:hAnsi="仿宋" w:eastAsia="仿宋" w:cs="仿宋"/>
          <w:b/>
          <w:color w:val="auto"/>
          <w:sz w:val="30"/>
          <w:szCs w:val="30"/>
          <w:highlight w:val="none"/>
        </w:rPr>
      </w:pPr>
    </w:p>
    <w:sectPr>
      <w:pgSz w:w="11906" w:h="16838"/>
      <w:pgMar w:top="1560" w:right="1106" w:bottom="1440" w:left="126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FangSong_GB2312">
    <w:altName w:val="仿宋"/>
    <w:panose1 w:val="02010609060101010101"/>
    <w:charset w:val="00"/>
    <w:family w:val="auto"/>
    <w:pitch w:val="default"/>
    <w:sig w:usb0="00000000" w:usb1="00000000" w:usb2="00000000" w:usb3="00000000" w:csb0="00000000" w:csb1="00000000"/>
  </w:font>
  <w:font w:name="DotumChe">
    <w:altName w:val="MV Boli"/>
    <w:panose1 w:val="020B0509000000000000"/>
    <w:charset w:val="00"/>
    <w:family w:val="auto"/>
    <w:pitch w:val="default"/>
    <w:sig w:usb0="00000000" w:usb1="00000000" w:usb2="00000000" w:usb3="00000000" w:csb0="00000000" w:csb1="00000000"/>
  </w:font>
  <w:font w:name="MV Boli">
    <w:panose1 w:val="02000500030200090000"/>
    <w:charset w:val="00"/>
    <w:family w:val="auto"/>
    <w:pitch w:val="default"/>
    <w:sig w:usb0="00000003" w:usb1="00000000" w:usb2="00000100" w:usb3="00000000" w:csb0="00000001" w:csb1="00000000"/>
  </w:font>
  <w:font w:name="Verdana">
    <w:panose1 w:val="020B0604030504040204"/>
    <w:charset w:val="00"/>
    <w:family w:val="auto"/>
    <w:pitch w:val="default"/>
    <w:sig w:usb0="A00006FF" w:usb1="4000205B" w:usb2="00000010" w:usb3="00000000" w:csb0="2000019F"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Helv">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华文彩云">
    <w:panose1 w:val="02010800040101010101"/>
    <w:charset w:val="86"/>
    <w:family w:val="auto"/>
    <w:pitch w:val="default"/>
    <w:sig w:usb0="00000001" w:usb1="080F0000" w:usb2="00000000" w:usb3="00000000" w:csb0="00040000" w:csb1="00000000"/>
  </w:font>
  <w:font w:name="Adobe 仿宋 Std R">
    <w:altName w:val="仿宋"/>
    <w:panose1 w:val="020B0503020202020204"/>
    <w:charset w:val="00"/>
    <w:family w:val="auto"/>
    <w:pitch w:val="default"/>
    <w:sig w:usb0="00000000" w:usb1="00000000" w:usb2="00000000" w:usb3="00000000" w:csb0="00000000" w:csb1="0000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229816">
    <w:pPr>
      <w:pStyle w:val="227"/>
      <w:framePr w:wrap="around" w:vAnchor="text" w:hAnchor="margin" w:xAlign="center" w:y="1"/>
      <w:rPr>
        <w:rStyle w:val="235"/>
      </w:rPr>
    </w:pPr>
    <w:r>
      <w:fldChar w:fldCharType="begin"/>
    </w:r>
    <w:r>
      <w:rPr>
        <w:rStyle w:val="235"/>
      </w:rPr>
      <w:instrText xml:space="preserve">PAGE  </w:instrText>
    </w:r>
    <w:r>
      <w:fldChar w:fldCharType="separate"/>
    </w:r>
    <w:r>
      <w:rPr>
        <w:rStyle w:val="235"/>
      </w:rPr>
      <w:t>1</w:t>
    </w:r>
    <w:r>
      <w:fldChar w:fldCharType="end"/>
    </w:r>
  </w:p>
  <w:p w14:paraId="57E0FE2F">
    <w:pPr>
      <w:pStyle w:val="2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3144B">
    <w:pPr>
      <w:pStyle w:val="227"/>
      <w:framePr w:wrap="around" w:vAnchor="text" w:hAnchor="margin" w:xAlign="center" w:y="1"/>
      <w:rPr>
        <w:rStyle w:val="235"/>
      </w:rPr>
    </w:pPr>
    <w:r>
      <w:fldChar w:fldCharType="begin"/>
    </w:r>
    <w:r>
      <w:rPr>
        <w:rStyle w:val="235"/>
      </w:rPr>
      <w:instrText xml:space="preserve">PAGE  </w:instrText>
    </w:r>
    <w:r>
      <w:fldChar w:fldCharType="end"/>
    </w:r>
  </w:p>
  <w:p w14:paraId="4A5283BE">
    <w:pPr>
      <w:pStyle w:val="2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821F2">
    <w:pPr>
      <w:pStyle w:val="228"/>
      <w:rPr>
        <w:rFonts w:ascii="华文行楷" w:hAnsi="黑体" w:eastAsia="华文行楷"/>
        <w:sz w:val="28"/>
        <w:szCs w:val="28"/>
      </w:rPr>
    </w:pPr>
    <w:r>
      <w:rPr>
        <w:rFonts w:hint="eastAsia" w:ascii="华文行楷" w:hAnsi="黑体" w:eastAsia="华文行楷"/>
        <w:color w:val="000000"/>
        <w:sz w:val="28"/>
        <w:szCs w:val="28"/>
      </w:rPr>
      <w:t>淮安市政府采购</w:t>
    </w:r>
    <w:r>
      <w:rPr>
        <w:rFonts w:hint="eastAsia" w:ascii="华文行楷" w:hAnsi="黑体" w:eastAsia="华文行楷"/>
        <w:sz w:val="28"/>
        <w:szCs w:val="28"/>
      </w:rPr>
      <w:t>项目竞争性磋商文件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3"/>
      <w:numFmt w:val="japaneseCounting"/>
      <w:lvlText w:val="%1、"/>
      <w:lvlJc w:val="left"/>
      <w:pPr>
        <w:ind w:left="1282" w:hanging="720"/>
      </w:pPr>
      <w:rPr>
        <w:rFonts w:hint="default"/>
      </w:rPr>
    </w:lvl>
    <w:lvl w:ilvl="1" w:tentative="0">
      <w:start w:val="1"/>
      <w:numFmt w:val="lowerLetter"/>
      <w:lvlText w:val="%2)"/>
      <w:lvlJc w:val="left"/>
      <w:pPr>
        <w:ind w:left="1402" w:hanging="420"/>
      </w:pPr>
    </w:lvl>
    <w:lvl w:ilvl="2" w:tentative="0">
      <w:start w:val="1"/>
      <w:numFmt w:val="lowerRoman"/>
      <w:lvlText w:val="%3."/>
      <w:lvlJc w:val="right"/>
      <w:pPr>
        <w:ind w:left="1822" w:hanging="420"/>
      </w:pPr>
    </w:lvl>
    <w:lvl w:ilvl="3" w:tentative="0">
      <w:start w:val="1"/>
      <w:numFmt w:val="decimal"/>
      <w:lvlText w:val="%4."/>
      <w:lvlJc w:val="left"/>
      <w:pPr>
        <w:ind w:left="2242" w:hanging="420"/>
      </w:pPr>
    </w:lvl>
    <w:lvl w:ilvl="4" w:tentative="0">
      <w:start w:val="1"/>
      <w:numFmt w:val="lowerLetter"/>
      <w:lvlText w:val="%5)"/>
      <w:lvlJc w:val="left"/>
      <w:pPr>
        <w:ind w:left="2662" w:hanging="420"/>
      </w:pPr>
    </w:lvl>
    <w:lvl w:ilvl="5" w:tentative="0">
      <w:start w:val="1"/>
      <w:numFmt w:val="lowerRoman"/>
      <w:lvlText w:val="%6."/>
      <w:lvlJc w:val="right"/>
      <w:pPr>
        <w:ind w:left="3082" w:hanging="420"/>
      </w:pPr>
    </w:lvl>
    <w:lvl w:ilvl="6" w:tentative="0">
      <w:start w:val="1"/>
      <w:numFmt w:val="decimal"/>
      <w:lvlText w:val="%7."/>
      <w:lvlJc w:val="left"/>
      <w:pPr>
        <w:ind w:left="3502" w:hanging="420"/>
      </w:pPr>
    </w:lvl>
    <w:lvl w:ilvl="7" w:tentative="0">
      <w:start w:val="1"/>
      <w:numFmt w:val="lowerLetter"/>
      <w:lvlText w:val="%8)"/>
      <w:lvlJc w:val="left"/>
      <w:pPr>
        <w:ind w:left="3922" w:hanging="420"/>
      </w:pPr>
    </w:lvl>
    <w:lvl w:ilvl="8" w:tentative="0">
      <w:start w:val="1"/>
      <w:numFmt w:val="lowerRoman"/>
      <w:lvlText w:val="%9."/>
      <w:lvlJc w:val="right"/>
      <w:pPr>
        <w:ind w:left="4342" w:hanging="420"/>
      </w:pPr>
    </w:lvl>
  </w:abstractNum>
  <w:abstractNum w:abstractNumId="1">
    <w:nsid w:val="BF205925"/>
    <w:multiLevelType w:val="multilevel"/>
    <w:tmpl w:val="BF205925"/>
    <w:lvl w:ilvl="0" w:tentative="0">
      <w:start w:val="1"/>
      <w:numFmt w:val="ideographTraditional"/>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decimal"/>
      <w:pStyle w:val="210"/>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211"/>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4">
    <w:nsid w:val="03D62ECE"/>
    <w:multiLevelType w:val="multilevel"/>
    <w:tmpl w:val="03D62ECE"/>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6"/>
      <w:numFmt w:val="japaneseCounting"/>
      <w:lvlText w:val="%1、"/>
      <w:lvlJc w:val="left"/>
      <w:pPr>
        <w:ind w:left="1282" w:hanging="720"/>
      </w:pPr>
      <w:rPr>
        <w:rFonts w:hint="default"/>
      </w:rPr>
    </w:lvl>
    <w:lvl w:ilvl="1" w:tentative="0">
      <w:start w:val="1"/>
      <w:numFmt w:val="lowerLetter"/>
      <w:lvlText w:val="%2)"/>
      <w:lvlJc w:val="left"/>
      <w:pPr>
        <w:ind w:left="1402" w:hanging="420"/>
      </w:pPr>
    </w:lvl>
    <w:lvl w:ilvl="2" w:tentative="0">
      <w:start w:val="1"/>
      <w:numFmt w:val="lowerRoman"/>
      <w:lvlText w:val="%3."/>
      <w:lvlJc w:val="right"/>
      <w:pPr>
        <w:ind w:left="1822" w:hanging="420"/>
      </w:pPr>
    </w:lvl>
    <w:lvl w:ilvl="3" w:tentative="0">
      <w:start w:val="1"/>
      <w:numFmt w:val="decimal"/>
      <w:lvlText w:val="%4."/>
      <w:lvlJc w:val="left"/>
      <w:pPr>
        <w:ind w:left="2242" w:hanging="420"/>
      </w:pPr>
    </w:lvl>
    <w:lvl w:ilvl="4" w:tentative="0">
      <w:start w:val="1"/>
      <w:numFmt w:val="lowerLetter"/>
      <w:lvlText w:val="%5)"/>
      <w:lvlJc w:val="left"/>
      <w:pPr>
        <w:ind w:left="2662" w:hanging="420"/>
      </w:pPr>
    </w:lvl>
    <w:lvl w:ilvl="5" w:tentative="0">
      <w:start w:val="1"/>
      <w:numFmt w:val="lowerRoman"/>
      <w:lvlText w:val="%6."/>
      <w:lvlJc w:val="right"/>
      <w:pPr>
        <w:ind w:left="3082" w:hanging="420"/>
      </w:pPr>
    </w:lvl>
    <w:lvl w:ilvl="6" w:tentative="0">
      <w:start w:val="1"/>
      <w:numFmt w:val="decimal"/>
      <w:lvlText w:val="%7."/>
      <w:lvlJc w:val="left"/>
      <w:pPr>
        <w:ind w:left="3502" w:hanging="420"/>
      </w:pPr>
    </w:lvl>
    <w:lvl w:ilvl="7" w:tentative="0">
      <w:start w:val="1"/>
      <w:numFmt w:val="lowerLetter"/>
      <w:lvlText w:val="%8)"/>
      <w:lvlJc w:val="left"/>
      <w:pPr>
        <w:ind w:left="3922" w:hanging="420"/>
      </w:pPr>
    </w:lvl>
    <w:lvl w:ilvl="8" w:tentative="0">
      <w:start w:val="1"/>
      <w:numFmt w:val="lowerRoman"/>
      <w:lvlText w:val="%9."/>
      <w:lvlJc w:val="right"/>
      <w:pPr>
        <w:ind w:left="4342" w:hanging="420"/>
      </w:pPr>
    </w:lvl>
  </w:abstractNum>
  <w:abstractNum w:abstractNumId="6">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2183CF9"/>
    <w:multiLevelType w:val="multilevel"/>
    <w:tmpl w:val="72183CF9"/>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E046B5"/>
    <w:rsid w:val="04EA6D18"/>
    <w:rsid w:val="11AD7841"/>
    <w:rsid w:val="23362C8F"/>
    <w:rsid w:val="37651CF1"/>
    <w:rsid w:val="38103778"/>
    <w:rsid w:val="45B474EC"/>
    <w:rsid w:val="4E6A5E1D"/>
    <w:rsid w:val="542E520F"/>
    <w:rsid w:val="6038573B"/>
    <w:rsid w:val="6A0D71BA"/>
    <w:rsid w:val="7DBC039C"/>
    <w:rsid w:val="7E2800FF"/>
    <w:rsid w:val="7F604C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6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6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6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6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6"/>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6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0"/>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sz w:val="18"/>
      <w:szCs w:val="18"/>
    </w:rPr>
  </w:style>
  <w:style w:type="paragraph" w:styleId="13">
    <w:name w:val="annotation text"/>
    <w:basedOn w:val="1"/>
    <w:link w:val="320"/>
    <w:semiHidden/>
    <w:unhideWhenUsed/>
    <w:qFormat/>
    <w:uiPriority w:val="99"/>
    <w:pPr>
      <w:jc w:val="left"/>
    </w:pPr>
  </w:style>
  <w:style w:type="paragraph" w:styleId="14">
    <w:name w:val="Body Text"/>
    <w:basedOn w:val="1"/>
    <w:qFormat/>
    <w:uiPriority w:val="99"/>
    <w:pPr>
      <w:jc w:val="center"/>
    </w:pPr>
    <w:rPr>
      <w:rFonts w:eastAsia="仿宋_GB2312"/>
      <w:sz w:val="28"/>
    </w:rPr>
  </w:style>
  <w:style w:type="paragraph" w:styleId="15">
    <w:name w:val="Block Text"/>
    <w:basedOn w:val="1"/>
    <w:qFormat/>
    <w:uiPriority w:val="0"/>
    <w:pPr>
      <w:ind w:left="1" w:right="-359" w:hanging="360"/>
    </w:pPr>
    <w:rPr>
      <w:rFonts w:ascii="FangSong_GB2312" w:hAnsi="DotumChe" w:eastAsia="FangSong_GB2312"/>
      <w:sz w:val="24"/>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next w:val="19"/>
    <w:qFormat/>
    <w:uiPriority w:val="99"/>
    <w:rPr>
      <w:rFonts w:ascii="宋体" w:hAnsi="Courier New"/>
      <w:szCs w:val="20"/>
    </w:rPr>
  </w:style>
  <w:style w:type="paragraph" w:customStyle="1" w:styleId="19">
    <w:name w:val="Char Char Char Char Char Char Char Char Char Char Char Char Char"/>
    <w:basedOn w:val="1"/>
    <w:next w:val="1"/>
    <w:qFormat/>
    <w:uiPriority w:val="0"/>
    <w:pPr>
      <w:widowControl/>
      <w:spacing w:after="160" w:line="240" w:lineRule="exact"/>
      <w:jc w:val="left"/>
    </w:pPr>
    <w:rPr>
      <w:rFonts w:ascii="Verdana" w:hAnsi="Verdana"/>
      <w:sz w:val="20"/>
      <w:szCs w:val="20"/>
      <w:lang w:eastAsia="en-US"/>
    </w:rPr>
  </w:style>
  <w:style w:type="paragraph" w:styleId="20">
    <w:name w:val="toc 8"/>
    <w:basedOn w:val="1"/>
    <w:next w:val="1"/>
    <w:unhideWhenUsed/>
    <w:qFormat/>
    <w:uiPriority w:val="39"/>
    <w:pPr>
      <w:spacing w:after="57"/>
      <w:ind w:left="1984"/>
    </w:pPr>
  </w:style>
  <w:style w:type="paragraph" w:styleId="21">
    <w:name w:val="endnote text"/>
    <w:basedOn w:val="1"/>
    <w:link w:val="208"/>
    <w:semiHidden/>
    <w:unhideWhenUsed/>
    <w:qFormat/>
    <w:uiPriority w:val="99"/>
    <w:rPr>
      <w:sz w:val="20"/>
    </w:rPr>
  </w:style>
  <w:style w:type="paragraph" w:styleId="22">
    <w:name w:val="Balloon Text"/>
    <w:basedOn w:val="1"/>
    <w:link w:val="322"/>
    <w:semiHidden/>
    <w:unhideWhenUsed/>
    <w:qFormat/>
    <w:uiPriority w:val="99"/>
    <w:rPr>
      <w:sz w:val="18"/>
      <w:szCs w:val="18"/>
    </w:rPr>
  </w:style>
  <w:style w:type="paragraph" w:styleId="23">
    <w:name w:val="footer"/>
    <w:basedOn w:val="1"/>
    <w:link w:val="81"/>
    <w:unhideWhenUsed/>
    <w:qFormat/>
    <w:uiPriority w:val="99"/>
    <w:pPr>
      <w:tabs>
        <w:tab w:val="center" w:pos="7143"/>
        <w:tab w:val="right" w:pos="14287"/>
      </w:tabs>
    </w:pPr>
  </w:style>
  <w:style w:type="paragraph" w:styleId="24">
    <w:name w:val="header"/>
    <w:basedOn w:val="1"/>
    <w:link w:val="79"/>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74"/>
    <w:qFormat/>
    <w:uiPriority w:val="11"/>
    <w:pPr>
      <w:spacing w:before="200" w:after="200"/>
    </w:pPr>
    <w:rPr>
      <w:sz w:val="24"/>
    </w:rPr>
  </w:style>
  <w:style w:type="paragraph" w:styleId="28">
    <w:name w:val="footnote text"/>
    <w:basedOn w:val="1"/>
    <w:link w:val="207"/>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99"/>
    <w:pPr>
      <w:widowControl/>
      <w:spacing w:before="100" w:beforeAutospacing="1" w:after="100" w:afterAutospacing="1"/>
      <w:jc w:val="left"/>
    </w:pPr>
    <w:rPr>
      <w:rFonts w:ascii="宋体" w:hAnsi="宋体" w:cs="宋体"/>
      <w:sz w:val="24"/>
    </w:rPr>
  </w:style>
  <w:style w:type="paragraph" w:styleId="34">
    <w:name w:val="Title"/>
    <w:basedOn w:val="1"/>
    <w:next w:val="1"/>
    <w:link w:val="73"/>
    <w:qFormat/>
    <w:uiPriority w:val="10"/>
    <w:pPr>
      <w:spacing w:before="300" w:after="200"/>
      <w:contextualSpacing/>
    </w:pPr>
    <w:rPr>
      <w:sz w:val="48"/>
      <w:szCs w:val="48"/>
    </w:rPr>
  </w:style>
  <w:style w:type="paragraph" w:styleId="35">
    <w:name w:val="annotation subject"/>
    <w:basedOn w:val="13"/>
    <w:next w:val="13"/>
    <w:link w:val="321"/>
    <w:semiHidden/>
    <w:unhideWhenUsed/>
    <w:qFormat/>
    <w:uiPriority w:val="99"/>
    <w:rPr>
      <w:b/>
      <w:bCs/>
    </w:rPr>
  </w:style>
  <w:style w:type="paragraph" w:styleId="36">
    <w:name w:val="Body Text First Indent"/>
    <w:basedOn w:val="14"/>
    <w:qFormat/>
    <w:uiPriority w:val="99"/>
    <w:pPr>
      <w:ind w:firstLine="420"/>
    </w:p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Hyperlink"/>
    <w:unhideWhenUsed/>
    <w:qFormat/>
    <w:uiPriority w:val="99"/>
    <w:rPr>
      <w:color w:val="0000FF"/>
      <w:u w:val="single"/>
    </w:rPr>
  </w:style>
  <w:style w:type="character" w:styleId="42">
    <w:name w:val="annotation reference"/>
    <w:semiHidden/>
    <w:unhideWhenUsed/>
    <w:qFormat/>
    <w:uiPriority w:val="99"/>
    <w:rPr>
      <w:sz w:val="21"/>
      <w:szCs w:val="21"/>
    </w:rPr>
  </w:style>
  <w:style w:type="character" w:styleId="43">
    <w:name w:val="footnote reference"/>
    <w:unhideWhenUsed/>
    <w:qFormat/>
    <w:uiPriority w:val="99"/>
    <w:rPr>
      <w:vertAlign w:val="superscript"/>
    </w:rPr>
  </w:style>
  <w:style w:type="character" w:customStyle="1" w:styleId="44">
    <w:name w:val="Heading 1 Char"/>
    <w:basedOn w:val="39"/>
    <w:qFormat/>
    <w:uiPriority w:val="9"/>
    <w:rPr>
      <w:rFonts w:ascii="Arial" w:hAnsi="Arial" w:eastAsia="Arial" w:cs="Arial"/>
      <w:sz w:val="40"/>
      <w:szCs w:val="40"/>
    </w:rPr>
  </w:style>
  <w:style w:type="character" w:customStyle="1" w:styleId="45">
    <w:name w:val="Heading 2 Char"/>
    <w:basedOn w:val="39"/>
    <w:qFormat/>
    <w:uiPriority w:val="9"/>
    <w:rPr>
      <w:rFonts w:ascii="Arial" w:hAnsi="Arial" w:eastAsia="Arial" w:cs="Arial"/>
      <w:sz w:val="34"/>
    </w:rPr>
  </w:style>
  <w:style w:type="character" w:customStyle="1" w:styleId="46">
    <w:name w:val="Heading 3 Char"/>
    <w:basedOn w:val="39"/>
    <w:qFormat/>
    <w:uiPriority w:val="9"/>
    <w:rPr>
      <w:rFonts w:ascii="Arial" w:hAnsi="Arial" w:eastAsia="Arial" w:cs="Arial"/>
      <w:sz w:val="30"/>
      <w:szCs w:val="30"/>
    </w:rPr>
  </w:style>
  <w:style w:type="character" w:customStyle="1" w:styleId="47">
    <w:name w:val="Heading 4 Char"/>
    <w:basedOn w:val="39"/>
    <w:qFormat/>
    <w:uiPriority w:val="9"/>
    <w:rPr>
      <w:rFonts w:ascii="Arial" w:hAnsi="Arial" w:eastAsia="Arial" w:cs="Arial"/>
      <w:b/>
      <w:bCs/>
      <w:sz w:val="26"/>
      <w:szCs w:val="26"/>
    </w:rPr>
  </w:style>
  <w:style w:type="character" w:customStyle="1" w:styleId="48">
    <w:name w:val="Heading 5 Char"/>
    <w:basedOn w:val="39"/>
    <w:qFormat/>
    <w:uiPriority w:val="9"/>
    <w:rPr>
      <w:rFonts w:ascii="Arial" w:hAnsi="Arial" w:eastAsia="Arial" w:cs="Arial"/>
      <w:b/>
      <w:bCs/>
      <w:sz w:val="24"/>
      <w:szCs w:val="24"/>
    </w:rPr>
  </w:style>
  <w:style w:type="character" w:customStyle="1" w:styleId="49">
    <w:name w:val="Heading 6 Char"/>
    <w:basedOn w:val="39"/>
    <w:qFormat/>
    <w:uiPriority w:val="9"/>
    <w:rPr>
      <w:rFonts w:ascii="Arial" w:hAnsi="Arial" w:eastAsia="Arial" w:cs="Arial"/>
      <w:b/>
      <w:bCs/>
      <w:sz w:val="22"/>
      <w:szCs w:val="22"/>
    </w:rPr>
  </w:style>
  <w:style w:type="character" w:customStyle="1" w:styleId="50">
    <w:name w:val="Heading 7 Char"/>
    <w:basedOn w:val="39"/>
    <w:qFormat/>
    <w:uiPriority w:val="9"/>
    <w:rPr>
      <w:rFonts w:ascii="Arial" w:hAnsi="Arial" w:eastAsia="Arial" w:cs="Arial"/>
      <w:b/>
      <w:bCs/>
      <w:i/>
      <w:iCs/>
      <w:sz w:val="22"/>
      <w:szCs w:val="22"/>
    </w:rPr>
  </w:style>
  <w:style w:type="character" w:customStyle="1" w:styleId="51">
    <w:name w:val="Heading 8 Char"/>
    <w:basedOn w:val="39"/>
    <w:qFormat/>
    <w:uiPriority w:val="9"/>
    <w:rPr>
      <w:rFonts w:ascii="Arial" w:hAnsi="Arial" w:eastAsia="Arial" w:cs="Arial"/>
      <w:i/>
      <w:iCs/>
      <w:sz w:val="22"/>
      <w:szCs w:val="22"/>
    </w:rPr>
  </w:style>
  <w:style w:type="character" w:customStyle="1" w:styleId="52">
    <w:name w:val="Heading 9 Char"/>
    <w:basedOn w:val="39"/>
    <w:qFormat/>
    <w:uiPriority w:val="9"/>
    <w:rPr>
      <w:rFonts w:ascii="Arial" w:hAnsi="Arial" w:eastAsia="Arial" w:cs="Arial"/>
      <w:i/>
      <w:iCs/>
      <w:sz w:val="21"/>
      <w:szCs w:val="21"/>
    </w:rPr>
  </w:style>
  <w:style w:type="character" w:customStyle="1" w:styleId="53">
    <w:name w:val="Title Char"/>
    <w:basedOn w:val="39"/>
    <w:qFormat/>
    <w:uiPriority w:val="10"/>
    <w:rPr>
      <w:sz w:val="48"/>
      <w:szCs w:val="48"/>
    </w:rPr>
  </w:style>
  <w:style w:type="character" w:customStyle="1" w:styleId="54">
    <w:name w:val="Subtitle Char"/>
    <w:basedOn w:val="39"/>
    <w:qFormat/>
    <w:uiPriority w:val="11"/>
    <w:rPr>
      <w:sz w:val="24"/>
      <w:szCs w:val="24"/>
    </w:rPr>
  </w:style>
  <w:style w:type="character" w:customStyle="1" w:styleId="55">
    <w:name w:val="Quote Char"/>
    <w:qFormat/>
    <w:uiPriority w:val="29"/>
    <w:rPr>
      <w:i/>
    </w:rPr>
  </w:style>
  <w:style w:type="character" w:customStyle="1" w:styleId="56">
    <w:name w:val="Intense Quote Char"/>
    <w:qFormat/>
    <w:uiPriority w:val="30"/>
    <w:rPr>
      <w:i/>
    </w:rPr>
  </w:style>
  <w:style w:type="character" w:customStyle="1" w:styleId="57">
    <w:name w:val="Header Char"/>
    <w:basedOn w:val="39"/>
    <w:qFormat/>
    <w:uiPriority w:val="99"/>
  </w:style>
  <w:style w:type="character" w:customStyle="1" w:styleId="58">
    <w:name w:val="Caption Char"/>
    <w:qFormat/>
    <w:uiPriority w:val="99"/>
  </w:style>
  <w:style w:type="character" w:customStyle="1" w:styleId="59">
    <w:name w:val="Footnote Text Char"/>
    <w:qFormat/>
    <w:uiPriority w:val="99"/>
    <w:rPr>
      <w:sz w:val="18"/>
    </w:rPr>
  </w:style>
  <w:style w:type="character" w:customStyle="1" w:styleId="60">
    <w:name w:val="Endnote Text Char"/>
    <w:qFormat/>
    <w:uiPriority w:val="99"/>
    <w:rPr>
      <w:sz w:val="20"/>
    </w:rPr>
  </w:style>
  <w:style w:type="paragraph" w:customStyle="1" w:styleId="61">
    <w:name w:val="TOC Heading"/>
    <w:unhideWhenUsed/>
    <w:qFormat/>
    <w:uiPriority w:val="39"/>
    <w:rPr>
      <w:rFonts w:hint="default" w:ascii="Times New Roman" w:hAnsi="Times New Roman" w:eastAsia="宋体" w:cs="Times New Roman"/>
    </w:rPr>
  </w:style>
  <w:style w:type="character" w:customStyle="1" w:styleId="62">
    <w:name w:val="标题 1 Char"/>
    <w:link w:val="2"/>
    <w:qFormat/>
    <w:uiPriority w:val="9"/>
    <w:rPr>
      <w:rFonts w:ascii="Arial" w:hAnsi="Arial" w:eastAsia="Arial" w:cs="Arial"/>
      <w:sz w:val="40"/>
      <w:szCs w:val="40"/>
    </w:rPr>
  </w:style>
  <w:style w:type="character" w:customStyle="1" w:styleId="63">
    <w:name w:val="标题 2 Char"/>
    <w:link w:val="3"/>
    <w:qFormat/>
    <w:uiPriority w:val="9"/>
    <w:rPr>
      <w:rFonts w:ascii="Arial" w:hAnsi="Arial" w:eastAsia="Arial" w:cs="Arial"/>
      <w:sz w:val="34"/>
    </w:rPr>
  </w:style>
  <w:style w:type="character" w:customStyle="1" w:styleId="64">
    <w:name w:val="标题 3 Char"/>
    <w:link w:val="4"/>
    <w:qFormat/>
    <w:uiPriority w:val="9"/>
    <w:rPr>
      <w:rFonts w:ascii="Arial" w:hAnsi="Arial" w:eastAsia="Arial" w:cs="Arial"/>
      <w:sz w:val="30"/>
      <w:szCs w:val="30"/>
    </w:rPr>
  </w:style>
  <w:style w:type="character" w:customStyle="1" w:styleId="65">
    <w:name w:val="标题 4 Char"/>
    <w:link w:val="5"/>
    <w:qFormat/>
    <w:uiPriority w:val="9"/>
    <w:rPr>
      <w:rFonts w:ascii="Arial" w:hAnsi="Arial" w:eastAsia="Arial" w:cs="Arial"/>
      <w:b/>
      <w:bCs/>
      <w:sz w:val="26"/>
      <w:szCs w:val="26"/>
    </w:rPr>
  </w:style>
  <w:style w:type="character" w:customStyle="1" w:styleId="66">
    <w:name w:val="标题 5 Char"/>
    <w:link w:val="6"/>
    <w:qFormat/>
    <w:uiPriority w:val="9"/>
    <w:rPr>
      <w:rFonts w:ascii="Arial" w:hAnsi="Arial" w:eastAsia="Arial" w:cs="Arial"/>
      <w:b/>
      <w:bCs/>
      <w:sz w:val="24"/>
      <w:szCs w:val="24"/>
    </w:rPr>
  </w:style>
  <w:style w:type="character" w:customStyle="1" w:styleId="67">
    <w:name w:val="标题 6 Char"/>
    <w:link w:val="7"/>
    <w:qFormat/>
    <w:uiPriority w:val="9"/>
    <w:rPr>
      <w:rFonts w:ascii="Arial" w:hAnsi="Arial" w:eastAsia="Arial" w:cs="Arial"/>
      <w:b/>
      <w:bCs/>
      <w:sz w:val="22"/>
      <w:szCs w:val="22"/>
    </w:rPr>
  </w:style>
  <w:style w:type="character" w:customStyle="1" w:styleId="68">
    <w:name w:val="标题 7 Char"/>
    <w:link w:val="8"/>
    <w:qFormat/>
    <w:uiPriority w:val="9"/>
    <w:rPr>
      <w:rFonts w:ascii="Arial" w:hAnsi="Arial" w:eastAsia="Arial" w:cs="Arial"/>
      <w:b/>
      <w:bCs/>
      <w:i/>
      <w:iCs/>
      <w:sz w:val="22"/>
      <w:szCs w:val="22"/>
    </w:rPr>
  </w:style>
  <w:style w:type="character" w:customStyle="1" w:styleId="69">
    <w:name w:val="标题 8 Char"/>
    <w:link w:val="9"/>
    <w:qFormat/>
    <w:uiPriority w:val="9"/>
    <w:rPr>
      <w:rFonts w:ascii="Arial" w:hAnsi="Arial" w:eastAsia="Arial" w:cs="Arial"/>
      <w:i/>
      <w:iCs/>
      <w:sz w:val="22"/>
      <w:szCs w:val="22"/>
    </w:rPr>
  </w:style>
  <w:style w:type="character" w:customStyle="1" w:styleId="70">
    <w:name w:val="标题 9 Char"/>
    <w:link w:val="10"/>
    <w:qFormat/>
    <w:uiPriority w:val="9"/>
    <w:rPr>
      <w:rFonts w:ascii="Arial" w:hAnsi="Arial" w:eastAsia="Arial" w:cs="Arial"/>
      <w:i/>
      <w:iCs/>
      <w:sz w:val="21"/>
      <w:szCs w:val="21"/>
    </w:rPr>
  </w:style>
  <w:style w:type="paragraph" w:styleId="71">
    <w:name w:val="List Paragraph"/>
    <w:basedOn w:val="1"/>
    <w:qFormat/>
    <w:uiPriority w:val="34"/>
    <w:pPr>
      <w:ind w:left="720"/>
      <w:contextualSpacing/>
    </w:pPr>
  </w:style>
  <w:style w:type="paragraph" w:styleId="72">
    <w:name w:val="No Spacing"/>
    <w:qFormat/>
    <w:uiPriority w:val="1"/>
    <w:rPr>
      <w:rFonts w:hint="default" w:ascii="Times New Roman" w:hAnsi="Times New Roman" w:eastAsia="宋体" w:cs="Times New Roman"/>
      <w:lang w:val="en-US" w:eastAsia="zh-CN" w:bidi="ar-SA"/>
    </w:rPr>
  </w:style>
  <w:style w:type="character" w:customStyle="1" w:styleId="73">
    <w:name w:val="标题 Char"/>
    <w:link w:val="34"/>
    <w:qFormat/>
    <w:uiPriority w:val="10"/>
    <w:rPr>
      <w:sz w:val="48"/>
      <w:szCs w:val="48"/>
    </w:rPr>
  </w:style>
  <w:style w:type="character" w:customStyle="1" w:styleId="74">
    <w:name w:val="副标题 Char"/>
    <w:link w:val="27"/>
    <w:qFormat/>
    <w:uiPriority w:val="11"/>
    <w:rPr>
      <w:sz w:val="24"/>
      <w:szCs w:val="24"/>
    </w:rPr>
  </w:style>
  <w:style w:type="paragraph" w:styleId="75">
    <w:name w:val="Quote"/>
    <w:basedOn w:val="1"/>
    <w:next w:val="1"/>
    <w:link w:val="76"/>
    <w:qFormat/>
    <w:uiPriority w:val="29"/>
    <w:pPr>
      <w:ind w:left="720" w:right="720"/>
    </w:pPr>
    <w:rPr>
      <w:i/>
    </w:rPr>
  </w:style>
  <w:style w:type="character" w:customStyle="1" w:styleId="76">
    <w:name w:val="引用 Char"/>
    <w:link w:val="75"/>
    <w:qFormat/>
    <w:uiPriority w:val="29"/>
    <w:rPr>
      <w:i/>
    </w:rPr>
  </w:style>
  <w:style w:type="paragraph" w:styleId="77">
    <w:name w:val="Intense Quote"/>
    <w:basedOn w:val="1"/>
    <w:next w:val="1"/>
    <w:link w:val="7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8">
    <w:name w:val="明显引用 Char"/>
    <w:link w:val="77"/>
    <w:qFormat/>
    <w:uiPriority w:val="30"/>
    <w:rPr>
      <w:i/>
    </w:rPr>
  </w:style>
  <w:style w:type="character" w:customStyle="1" w:styleId="79">
    <w:name w:val="页眉 Char"/>
    <w:link w:val="24"/>
    <w:qFormat/>
    <w:uiPriority w:val="99"/>
  </w:style>
  <w:style w:type="character" w:customStyle="1" w:styleId="80">
    <w:name w:val="Footer Char"/>
    <w:qFormat/>
    <w:uiPriority w:val="99"/>
  </w:style>
  <w:style w:type="character" w:customStyle="1" w:styleId="81">
    <w:name w:val="页脚 Char"/>
    <w:link w:val="23"/>
    <w:qFormat/>
    <w:uiPriority w:val="99"/>
  </w:style>
  <w:style w:type="table" w:customStyle="1" w:styleId="82">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3">
    <w:name w:val="Plain Table 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4">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85">
    <w:name w:val="Plain Table 3"/>
    <w:qFormat/>
    <w:uiPriority w:val="99"/>
    <w:tblPr>
      <w:tblCellMar>
        <w:top w:w="0" w:type="dxa"/>
        <w:left w:w="0" w:type="dxa"/>
        <w:bottom w:w="0" w:type="dxa"/>
        <w:right w:w="0" w:type="dxa"/>
      </w:tblCellMar>
    </w:tblPr>
  </w:style>
  <w:style w:type="table" w:customStyle="1" w:styleId="86">
    <w:name w:val="Plain Table 4"/>
    <w:qFormat/>
    <w:uiPriority w:val="99"/>
    <w:tblPr>
      <w:tblCellMar>
        <w:top w:w="0" w:type="dxa"/>
        <w:left w:w="0" w:type="dxa"/>
        <w:bottom w:w="0" w:type="dxa"/>
        <w:right w:w="0" w:type="dxa"/>
      </w:tblCellMar>
    </w:tblPr>
  </w:style>
  <w:style w:type="table" w:customStyle="1" w:styleId="87">
    <w:name w:val="Plain Table 5"/>
    <w:qFormat/>
    <w:uiPriority w:val="99"/>
    <w:tblPr>
      <w:tblCellMar>
        <w:top w:w="0" w:type="dxa"/>
        <w:left w:w="0" w:type="dxa"/>
        <w:bottom w:w="0" w:type="dxa"/>
        <w:right w:w="0" w:type="dxa"/>
      </w:tblCellMar>
    </w:tblPr>
  </w:style>
  <w:style w:type="table" w:customStyle="1" w:styleId="88">
    <w:name w:val="Grid Table 1 Light"/>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89">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90">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91">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92">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93">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94">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95">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96">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7">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8">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9">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0">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1">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2">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3">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4">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5">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6">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7">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8">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9">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10">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11">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12">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13">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14">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5">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6">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7">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8">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9">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0">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1">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2">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3">
    <w:name w:val="Grid Table 6 Colorful"/>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4">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5">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6">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7">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8">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9">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0">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1">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2">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3">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4">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5">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6">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7">
    <w:name w:val="List Table 1 Light"/>
    <w:qFormat/>
    <w:uiPriority w:val="99"/>
    <w:tblPr>
      <w:tblCellMar>
        <w:top w:w="0" w:type="dxa"/>
        <w:left w:w="0" w:type="dxa"/>
        <w:bottom w:w="0" w:type="dxa"/>
        <w:right w:w="0" w:type="dxa"/>
      </w:tblCellMar>
    </w:tblPr>
  </w:style>
  <w:style w:type="table" w:customStyle="1" w:styleId="138">
    <w:name w:val="List Table 1 Light - Accent 1"/>
    <w:qFormat/>
    <w:uiPriority w:val="99"/>
    <w:tblPr>
      <w:tblCellMar>
        <w:top w:w="0" w:type="dxa"/>
        <w:left w:w="0" w:type="dxa"/>
        <w:bottom w:w="0" w:type="dxa"/>
        <w:right w:w="0" w:type="dxa"/>
      </w:tblCellMar>
    </w:tblPr>
  </w:style>
  <w:style w:type="table" w:customStyle="1" w:styleId="139">
    <w:name w:val="List Table 1 Light - Accent 2"/>
    <w:qFormat/>
    <w:uiPriority w:val="99"/>
    <w:tblPr>
      <w:tblCellMar>
        <w:top w:w="0" w:type="dxa"/>
        <w:left w:w="0" w:type="dxa"/>
        <w:bottom w:w="0" w:type="dxa"/>
        <w:right w:w="0" w:type="dxa"/>
      </w:tblCellMar>
    </w:tblPr>
  </w:style>
  <w:style w:type="table" w:customStyle="1" w:styleId="140">
    <w:name w:val="List Table 1 Light - Accent 3"/>
    <w:qFormat/>
    <w:uiPriority w:val="99"/>
    <w:tblPr>
      <w:tblCellMar>
        <w:top w:w="0" w:type="dxa"/>
        <w:left w:w="0" w:type="dxa"/>
        <w:bottom w:w="0" w:type="dxa"/>
        <w:right w:w="0" w:type="dxa"/>
      </w:tblCellMar>
    </w:tblPr>
  </w:style>
  <w:style w:type="table" w:customStyle="1" w:styleId="141">
    <w:name w:val="List Table 1 Light - Accent 4"/>
    <w:qFormat/>
    <w:uiPriority w:val="99"/>
    <w:tblPr>
      <w:tblCellMar>
        <w:top w:w="0" w:type="dxa"/>
        <w:left w:w="0" w:type="dxa"/>
        <w:bottom w:w="0" w:type="dxa"/>
        <w:right w:w="0" w:type="dxa"/>
      </w:tblCellMar>
    </w:tblPr>
  </w:style>
  <w:style w:type="table" w:customStyle="1" w:styleId="142">
    <w:name w:val="List Table 1 Light - Accent 5"/>
    <w:qFormat/>
    <w:uiPriority w:val="99"/>
    <w:tblPr>
      <w:tblCellMar>
        <w:top w:w="0" w:type="dxa"/>
        <w:left w:w="0" w:type="dxa"/>
        <w:bottom w:w="0" w:type="dxa"/>
        <w:right w:w="0" w:type="dxa"/>
      </w:tblCellMar>
    </w:tblPr>
  </w:style>
  <w:style w:type="table" w:customStyle="1" w:styleId="143">
    <w:name w:val="List Table 1 Light - Accent 6"/>
    <w:qFormat/>
    <w:uiPriority w:val="99"/>
    <w:tblPr>
      <w:tblCellMar>
        <w:top w:w="0" w:type="dxa"/>
        <w:left w:w="0" w:type="dxa"/>
        <w:bottom w:w="0" w:type="dxa"/>
        <w:right w:w="0" w:type="dxa"/>
      </w:tblCellMar>
    </w:tblPr>
  </w:style>
  <w:style w:type="table" w:customStyle="1" w:styleId="144">
    <w:name w:val="List Table 2"/>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45">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46">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47">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48">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49">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50">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51">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52">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53">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54">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55">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56">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57">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58">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59">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60">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61">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62">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63">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64">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65">
    <w:name w:val="List Table 5 Dark"/>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66">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67">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68">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69">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70">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71">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72">
    <w:name w:val="List Table 6 Colorful"/>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73">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74">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75">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76">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77">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78">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79">
    <w:name w:val="List Table 7 Colorful"/>
    <w:qFormat/>
    <w:uiPriority w:val="99"/>
    <w:tblPr>
      <w:tblBorders>
        <w:right w:val="single" w:color="7F7F7F" w:sz="4" w:space="0"/>
      </w:tblBorders>
      <w:tblCellMar>
        <w:top w:w="0" w:type="dxa"/>
        <w:left w:w="0" w:type="dxa"/>
        <w:bottom w:w="0" w:type="dxa"/>
        <w:right w:w="0" w:type="dxa"/>
      </w:tblCellMar>
    </w:tblPr>
  </w:style>
  <w:style w:type="table" w:customStyle="1" w:styleId="180">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81">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82">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83">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84">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85">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86">
    <w:name w:val="Lined - Accent"/>
    <w:qFormat/>
    <w:uiPriority w:val="99"/>
    <w:rPr>
      <w:color w:val="404040"/>
    </w:rPr>
    <w:tblPr>
      <w:tblCellMar>
        <w:top w:w="0" w:type="dxa"/>
        <w:left w:w="0" w:type="dxa"/>
        <w:bottom w:w="0" w:type="dxa"/>
        <w:right w:w="0" w:type="dxa"/>
      </w:tblCellMar>
    </w:tblPr>
  </w:style>
  <w:style w:type="table" w:customStyle="1" w:styleId="187">
    <w:name w:val="Lined - Accent 1"/>
    <w:qFormat/>
    <w:uiPriority w:val="99"/>
    <w:rPr>
      <w:color w:val="404040"/>
    </w:rPr>
    <w:tblPr>
      <w:tblCellMar>
        <w:top w:w="0" w:type="dxa"/>
        <w:left w:w="0" w:type="dxa"/>
        <w:bottom w:w="0" w:type="dxa"/>
        <w:right w:w="0" w:type="dxa"/>
      </w:tblCellMar>
    </w:tblPr>
  </w:style>
  <w:style w:type="table" w:customStyle="1" w:styleId="188">
    <w:name w:val="Lined - Accent 2"/>
    <w:qFormat/>
    <w:uiPriority w:val="99"/>
    <w:rPr>
      <w:color w:val="404040"/>
    </w:rPr>
    <w:tblPr>
      <w:tblCellMar>
        <w:top w:w="0" w:type="dxa"/>
        <w:left w:w="0" w:type="dxa"/>
        <w:bottom w:w="0" w:type="dxa"/>
        <w:right w:w="0" w:type="dxa"/>
      </w:tblCellMar>
    </w:tblPr>
  </w:style>
  <w:style w:type="table" w:customStyle="1" w:styleId="189">
    <w:name w:val="Lined - Accent 3"/>
    <w:qFormat/>
    <w:uiPriority w:val="99"/>
    <w:rPr>
      <w:color w:val="404040"/>
    </w:rPr>
    <w:tblPr>
      <w:tblCellMar>
        <w:top w:w="0" w:type="dxa"/>
        <w:left w:w="0" w:type="dxa"/>
        <w:bottom w:w="0" w:type="dxa"/>
        <w:right w:w="0" w:type="dxa"/>
      </w:tblCellMar>
    </w:tblPr>
  </w:style>
  <w:style w:type="table" w:customStyle="1" w:styleId="190">
    <w:name w:val="Lined - Accent 4"/>
    <w:qFormat/>
    <w:uiPriority w:val="99"/>
    <w:rPr>
      <w:color w:val="404040"/>
    </w:rPr>
    <w:tblPr>
      <w:tblCellMar>
        <w:top w:w="0" w:type="dxa"/>
        <w:left w:w="0" w:type="dxa"/>
        <w:bottom w:w="0" w:type="dxa"/>
        <w:right w:w="0" w:type="dxa"/>
      </w:tblCellMar>
    </w:tblPr>
  </w:style>
  <w:style w:type="table" w:customStyle="1" w:styleId="191">
    <w:name w:val="Lined - Accent 5"/>
    <w:qFormat/>
    <w:uiPriority w:val="99"/>
    <w:rPr>
      <w:color w:val="404040"/>
    </w:rPr>
    <w:tblPr>
      <w:tblCellMar>
        <w:top w:w="0" w:type="dxa"/>
        <w:left w:w="0" w:type="dxa"/>
        <w:bottom w:w="0" w:type="dxa"/>
        <w:right w:w="0" w:type="dxa"/>
      </w:tblCellMar>
    </w:tblPr>
  </w:style>
  <w:style w:type="table" w:customStyle="1" w:styleId="192">
    <w:name w:val="Lined - Accent 6"/>
    <w:qFormat/>
    <w:uiPriority w:val="99"/>
    <w:rPr>
      <w:color w:val="404040"/>
    </w:rPr>
    <w:tblPr>
      <w:tblCellMar>
        <w:top w:w="0" w:type="dxa"/>
        <w:left w:w="0" w:type="dxa"/>
        <w:bottom w:w="0" w:type="dxa"/>
        <w:right w:w="0" w:type="dxa"/>
      </w:tblCellMar>
    </w:tblPr>
  </w:style>
  <w:style w:type="table" w:customStyle="1" w:styleId="193">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94">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95">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96">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97">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98">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99">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00">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01">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02">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03">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04">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05">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06">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07">
    <w:name w:val="脚注文本 Char"/>
    <w:link w:val="28"/>
    <w:qFormat/>
    <w:uiPriority w:val="99"/>
    <w:rPr>
      <w:sz w:val="18"/>
    </w:rPr>
  </w:style>
  <w:style w:type="character" w:customStyle="1" w:styleId="208">
    <w:name w:val="尾注文本 Char"/>
    <w:link w:val="21"/>
    <w:qFormat/>
    <w:uiPriority w:val="99"/>
    <w:rPr>
      <w:sz w:val="20"/>
    </w:rPr>
  </w:style>
  <w:style w:type="paragraph" w:customStyle="1" w:styleId="209">
    <w:name w:val="TOC 标题1"/>
    <w:unhideWhenUsed/>
    <w:qFormat/>
    <w:uiPriority w:val="39"/>
    <w:rPr>
      <w:rFonts w:hint="default" w:ascii="Times New Roman" w:hAnsi="Times New Roman" w:eastAsia="宋体" w:cs="Times New Roman"/>
      <w:lang w:val="en-US" w:eastAsia="zh-CN" w:bidi="ar-SA"/>
    </w:rPr>
  </w:style>
  <w:style w:type="paragraph" w:customStyle="1" w:styleId="210">
    <w:name w:val="标题 11"/>
    <w:basedOn w:val="1"/>
    <w:next w:val="1"/>
    <w:qFormat/>
    <w:uiPriority w:val="0"/>
    <w:pPr>
      <w:keepNext/>
      <w:keepLines/>
      <w:numPr>
        <w:ilvl w:val="0"/>
        <w:numId w:val="1"/>
      </w:numPr>
      <w:spacing w:before="340" w:after="330" w:line="578" w:lineRule="auto"/>
      <w:outlineLvl w:val="0"/>
    </w:pPr>
    <w:rPr>
      <w:rFonts w:ascii="宋体"/>
      <w:b/>
      <w:color w:val="000000"/>
      <w:sz w:val="44"/>
      <w:szCs w:val="20"/>
    </w:rPr>
  </w:style>
  <w:style w:type="paragraph" w:customStyle="1" w:styleId="211">
    <w:name w:val="标题 31"/>
    <w:basedOn w:val="1"/>
    <w:next w:val="212"/>
    <w:qFormat/>
    <w:uiPriority w:val="0"/>
    <w:pPr>
      <w:keepNext/>
      <w:keepLines/>
      <w:numPr>
        <w:ilvl w:val="2"/>
        <w:numId w:val="1"/>
      </w:numPr>
      <w:spacing w:before="260" w:after="260" w:line="416" w:lineRule="auto"/>
      <w:outlineLvl w:val="2"/>
    </w:pPr>
    <w:rPr>
      <w:rFonts w:ascii="宋体"/>
      <w:b/>
      <w:color w:val="000000"/>
      <w:sz w:val="32"/>
      <w:szCs w:val="20"/>
    </w:rPr>
  </w:style>
  <w:style w:type="paragraph" w:customStyle="1" w:styleId="212">
    <w:name w:val="正文缩进1"/>
    <w:basedOn w:val="1"/>
    <w:link w:val="215"/>
    <w:qFormat/>
    <w:uiPriority w:val="0"/>
    <w:pPr>
      <w:ind w:firstLine="420"/>
    </w:pPr>
  </w:style>
  <w:style w:type="character" w:customStyle="1" w:styleId="213">
    <w:name w:val="默认段落字体1"/>
    <w:semiHidden/>
    <w:qFormat/>
    <w:uiPriority w:val="0"/>
  </w:style>
  <w:style w:type="table" w:customStyle="1" w:styleId="214">
    <w:name w:val="普通表格1"/>
    <w:semiHidden/>
    <w:qFormat/>
    <w:uiPriority w:val="0"/>
    <w:tblPr>
      <w:tblCellMar>
        <w:top w:w="0" w:type="dxa"/>
        <w:left w:w="0" w:type="dxa"/>
        <w:bottom w:w="0" w:type="dxa"/>
        <w:right w:w="0" w:type="dxa"/>
      </w:tblCellMar>
    </w:tblPr>
  </w:style>
  <w:style w:type="character" w:customStyle="1" w:styleId="215">
    <w:name w:val="正文缩进 Char"/>
    <w:link w:val="212"/>
    <w:qFormat/>
    <w:uiPriority w:val="0"/>
    <w:rPr>
      <w:sz w:val="21"/>
      <w:szCs w:val="24"/>
    </w:rPr>
  </w:style>
  <w:style w:type="paragraph" w:customStyle="1" w:styleId="216">
    <w:name w:val="文档结构图1"/>
    <w:basedOn w:val="1"/>
    <w:semiHidden/>
    <w:qFormat/>
    <w:uiPriority w:val="0"/>
    <w:pPr>
      <w:shd w:val="clear" w:color="auto" w:fill="000080"/>
    </w:pPr>
  </w:style>
  <w:style w:type="paragraph" w:customStyle="1" w:styleId="217">
    <w:name w:val="正文文本 31"/>
    <w:basedOn w:val="1"/>
    <w:qFormat/>
    <w:uiPriority w:val="0"/>
    <w:pPr>
      <w:jc w:val="center"/>
    </w:pPr>
    <w:rPr>
      <w:rFonts w:eastAsia="黑体"/>
      <w:sz w:val="72"/>
    </w:rPr>
  </w:style>
  <w:style w:type="paragraph" w:customStyle="1" w:styleId="218">
    <w:name w:val="正文文本11"/>
    <w:basedOn w:val="1"/>
    <w:qFormat/>
    <w:uiPriority w:val="0"/>
    <w:pPr>
      <w:jc w:val="center"/>
    </w:pPr>
    <w:rPr>
      <w:rFonts w:eastAsia="仿宋_GB2312"/>
      <w:sz w:val="28"/>
    </w:rPr>
  </w:style>
  <w:style w:type="paragraph" w:customStyle="1" w:styleId="219">
    <w:name w:val="正文文本缩进1"/>
    <w:basedOn w:val="1"/>
    <w:link w:val="220"/>
    <w:qFormat/>
    <w:uiPriority w:val="0"/>
    <w:pPr>
      <w:spacing w:after="120"/>
      <w:ind w:left="420"/>
    </w:pPr>
  </w:style>
  <w:style w:type="character" w:customStyle="1" w:styleId="220">
    <w:name w:val="正文文本缩进 Char"/>
    <w:link w:val="219"/>
    <w:qFormat/>
    <w:uiPriority w:val="0"/>
    <w:rPr>
      <w:sz w:val="21"/>
      <w:szCs w:val="24"/>
    </w:rPr>
  </w:style>
  <w:style w:type="paragraph" w:customStyle="1" w:styleId="221">
    <w:name w:val="文本块1"/>
    <w:basedOn w:val="1"/>
    <w:qFormat/>
    <w:uiPriority w:val="0"/>
    <w:pPr>
      <w:ind w:left="420" w:right="33"/>
      <w:jc w:val="left"/>
    </w:pPr>
    <w:rPr>
      <w:sz w:val="24"/>
      <w:szCs w:val="20"/>
    </w:rPr>
  </w:style>
  <w:style w:type="paragraph" w:customStyle="1" w:styleId="222">
    <w:name w:val="纯文本11"/>
    <w:basedOn w:val="1"/>
    <w:link w:val="223"/>
    <w:qFormat/>
    <w:uiPriority w:val="0"/>
    <w:rPr>
      <w:rFonts w:ascii="宋体" w:hAnsi="Courier New"/>
      <w:szCs w:val="20"/>
    </w:rPr>
  </w:style>
  <w:style w:type="character" w:customStyle="1" w:styleId="223">
    <w:name w:val="纯文本 Char"/>
    <w:link w:val="222"/>
    <w:qFormat/>
    <w:uiPriority w:val="0"/>
    <w:rPr>
      <w:rFonts w:ascii="宋体" w:hAnsi="Courier New" w:eastAsia="宋体"/>
      <w:sz w:val="21"/>
      <w:lang w:val="en-US" w:eastAsia="zh-CN" w:bidi="ar-SA"/>
    </w:rPr>
  </w:style>
  <w:style w:type="paragraph" w:customStyle="1" w:styleId="224">
    <w:name w:val="日期1"/>
    <w:basedOn w:val="1"/>
    <w:next w:val="1"/>
    <w:qFormat/>
    <w:uiPriority w:val="0"/>
    <w:pPr>
      <w:ind w:left="100"/>
    </w:pPr>
    <w:rPr>
      <w:rFonts w:ascii="黑体" w:eastAsia="黑体"/>
      <w:sz w:val="72"/>
    </w:rPr>
  </w:style>
  <w:style w:type="paragraph" w:customStyle="1" w:styleId="225">
    <w:name w:val="正文文本缩进 21"/>
    <w:basedOn w:val="1"/>
    <w:qFormat/>
    <w:uiPriority w:val="0"/>
    <w:pPr>
      <w:tabs>
        <w:tab w:val="left" w:pos="9741"/>
      </w:tabs>
      <w:ind w:right="-2" w:firstLine="540"/>
    </w:pPr>
    <w:rPr>
      <w:rFonts w:eastAsia="仿宋_GB2312"/>
      <w:sz w:val="28"/>
    </w:rPr>
  </w:style>
  <w:style w:type="paragraph" w:customStyle="1" w:styleId="226">
    <w:name w:val="批注框文本1"/>
    <w:basedOn w:val="1"/>
    <w:semiHidden/>
    <w:qFormat/>
    <w:uiPriority w:val="0"/>
    <w:rPr>
      <w:sz w:val="18"/>
      <w:szCs w:val="18"/>
    </w:rPr>
  </w:style>
  <w:style w:type="paragraph" w:customStyle="1" w:styleId="227">
    <w:name w:val="页脚1"/>
    <w:basedOn w:val="1"/>
    <w:qFormat/>
    <w:uiPriority w:val="0"/>
    <w:pPr>
      <w:tabs>
        <w:tab w:val="center" w:pos="4153"/>
        <w:tab w:val="right" w:pos="8306"/>
      </w:tabs>
      <w:jc w:val="left"/>
    </w:pPr>
    <w:rPr>
      <w:sz w:val="18"/>
      <w:szCs w:val="18"/>
    </w:rPr>
  </w:style>
  <w:style w:type="paragraph" w:customStyle="1" w:styleId="228">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29">
    <w:name w:val="正文文本缩进 31"/>
    <w:basedOn w:val="1"/>
    <w:qFormat/>
    <w:uiPriority w:val="0"/>
    <w:pPr>
      <w:ind w:firstLine="435"/>
    </w:pPr>
    <w:rPr>
      <w:rFonts w:ascii="仿宋_GB2312" w:hAnsi="宋体" w:eastAsia="仿宋_GB2312"/>
      <w:sz w:val="28"/>
    </w:rPr>
  </w:style>
  <w:style w:type="paragraph" w:customStyle="1" w:styleId="230">
    <w:name w:val="正文文本 21"/>
    <w:basedOn w:val="1"/>
    <w:qFormat/>
    <w:uiPriority w:val="0"/>
    <w:rPr>
      <w:rFonts w:ascii="仿宋_GB2312" w:eastAsia="仿宋_GB2312"/>
      <w:sz w:val="28"/>
    </w:rPr>
  </w:style>
  <w:style w:type="paragraph" w:customStyle="1" w:styleId="231">
    <w:name w:val="普通(网站)1"/>
    <w:basedOn w:val="1"/>
    <w:unhideWhenUsed/>
    <w:qFormat/>
    <w:uiPriority w:val="99"/>
    <w:pPr>
      <w:spacing w:before="100" w:beforeAutospacing="1" w:after="100" w:afterAutospacing="1"/>
      <w:jc w:val="left"/>
    </w:pPr>
    <w:rPr>
      <w:sz w:val="24"/>
      <w:szCs w:val="20"/>
    </w:rPr>
  </w:style>
  <w:style w:type="paragraph" w:customStyle="1" w:styleId="232">
    <w:name w:val="正文首行缩进 21"/>
    <w:basedOn w:val="219"/>
    <w:link w:val="233"/>
    <w:qFormat/>
    <w:uiPriority w:val="0"/>
    <w:pPr>
      <w:ind w:firstLine="420"/>
    </w:pPr>
  </w:style>
  <w:style w:type="character" w:customStyle="1" w:styleId="233">
    <w:name w:val="正文首行缩进 2 Char"/>
    <w:link w:val="232"/>
    <w:qFormat/>
    <w:uiPriority w:val="0"/>
    <w:rPr>
      <w:sz w:val="21"/>
      <w:szCs w:val="24"/>
    </w:rPr>
  </w:style>
  <w:style w:type="table" w:customStyle="1" w:styleId="234">
    <w:name w:val="网格型1"/>
    <w:basedOn w:val="214"/>
    <w:qFormat/>
    <w:uiPriority w:val="0"/>
    <w:rPr>
      <w:rFonts w:ascii="Calibri" w:hAnsi="Calibri" w:cs="Calibri"/>
      <w:sz w:val="21"/>
      <w:szCs w:val="22"/>
    </w:rPr>
    <w:tblPr>
      <w:tblCellMar>
        <w:top w:w="0" w:type="dxa"/>
        <w:left w:w="0" w:type="dxa"/>
        <w:bottom w:w="0" w:type="dxa"/>
        <w:right w:w="0" w:type="dxa"/>
      </w:tblCellMar>
    </w:tblPr>
  </w:style>
  <w:style w:type="character" w:customStyle="1" w:styleId="235">
    <w:name w:val="页码1"/>
    <w:qFormat/>
    <w:uiPriority w:val="0"/>
  </w:style>
  <w:style w:type="character" w:customStyle="1" w:styleId="236">
    <w:name w:val="已访问的超链接1"/>
    <w:qFormat/>
    <w:uiPriority w:val="0"/>
    <w:rPr>
      <w:color w:val="800080"/>
      <w:u w:val="single"/>
    </w:rPr>
  </w:style>
  <w:style w:type="character" w:customStyle="1" w:styleId="237">
    <w:name w:val="超链接1"/>
    <w:qFormat/>
    <w:uiPriority w:val="0"/>
    <w:rPr>
      <w:color w:val="0000FF"/>
      <w:u w:val="single"/>
    </w:rPr>
  </w:style>
  <w:style w:type="character" w:customStyle="1" w:styleId="238">
    <w:name w:val="纯文本 Char1"/>
    <w:qFormat/>
    <w:uiPriority w:val="0"/>
    <w:rPr>
      <w:rFonts w:ascii="宋体" w:hAnsi="Courier New"/>
      <w:sz w:val="21"/>
    </w:rPr>
  </w:style>
  <w:style w:type="paragraph" w:customStyle="1" w:styleId="239">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40">
    <w:name w:val="列出段落1"/>
    <w:basedOn w:val="1"/>
    <w:qFormat/>
    <w:uiPriority w:val="99"/>
    <w:pPr>
      <w:ind w:firstLine="420"/>
    </w:pPr>
  </w:style>
  <w:style w:type="paragraph" w:customStyle="1" w:styleId="241">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42">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43">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24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5">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4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47">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8">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49">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0">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51">
    <w:name w:val="Char Char Char Char"/>
    <w:basedOn w:val="216"/>
    <w:qFormat/>
    <w:uiPriority w:val="0"/>
    <w:pPr>
      <w:spacing w:line="360" w:lineRule="auto"/>
    </w:pPr>
    <w:rPr>
      <w:rFonts w:ascii="Tahoma" w:hAnsi="Tahoma"/>
      <w:sz w:val="24"/>
    </w:rPr>
  </w:style>
  <w:style w:type="paragraph" w:customStyle="1" w:styleId="252">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53">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54">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5">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256">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7">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58">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259">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60">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61">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62">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26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4">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65">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66">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7">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68">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69">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70">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71">
    <w:name w:val="普通正文"/>
    <w:basedOn w:val="1"/>
    <w:qFormat/>
    <w:uiPriority w:val="0"/>
    <w:pPr>
      <w:spacing w:before="120" w:after="120" w:line="360" w:lineRule="auto"/>
      <w:ind w:firstLine="480"/>
      <w:jc w:val="left"/>
    </w:pPr>
    <w:rPr>
      <w:rFonts w:ascii="Arial" w:hAnsi="Arial"/>
      <w:sz w:val="24"/>
    </w:rPr>
  </w:style>
  <w:style w:type="paragraph" w:customStyle="1" w:styleId="272">
    <w:name w:val="Char"/>
    <w:basedOn w:val="1"/>
    <w:qFormat/>
    <w:uiPriority w:val="0"/>
    <w:pPr>
      <w:tabs>
        <w:tab w:val="left" w:pos="360"/>
      </w:tabs>
    </w:pPr>
    <w:rPr>
      <w:sz w:val="24"/>
    </w:rPr>
  </w:style>
  <w:style w:type="paragraph" w:customStyle="1" w:styleId="273">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4">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75">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6">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77">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78">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80">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81">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282">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83">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84">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85">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86">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87">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88">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9">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90">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1">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92">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94">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295">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96">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97">
    <w:name w:val="Char1"/>
    <w:basedOn w:val="216"/>
    <w:qFormat/>
    <w:uiPriority w:val="0"/>
    <w:pPr>
      <w:spacing w:line="360" w:lineRule="auto"/>
    </w:pPr>
    <w:rPr>
      <w:rFonts w:ascii="Tahoma" w:hAnsi="Tahoma"/>
      <w:sz w:val="24"/>
    </w:rPr>
  </w:style>
  <w:style w:type="paragraph" w:customStyle="1" w:styleId="298">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299">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0">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2">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303">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04">
    <w:name w:val="默认段落字体 Para Char Char Char Char Char Char Char Char Char1 Char Char Char Char Char Char Char"/>
    <w:basedOn w:val="216"/>
    <w:qFormat/>
    <w:uiPriority w:val="0"/>
    <w:rPr>
      <w:rFonts w:ascii="Tahoma" w:hAnsi="Tahoma"/>
      <w:sz w:val="24"/>
    </w:rPr>
  </w:style>
  <w:style w:type="paragraph" w:customStyle="1" w:styleId="305">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6">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307">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08">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9">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10">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1">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312">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13">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4">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5">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316">
    <w:name w:val="纯文本1"/>
    <w:basedOn w:val="1"/>
    <w:qFormat/>
    <w:uiPriority w:val="0"/>
    <w:rPr>
      <w:rFonts w:ascii="宋体" w:hAnsi="Courier New"/>
      <w:szCs w:val="20"/>
    </w:rPr>
  </w:style>
  <w:style w:type="paragraph" w:customStyle="1" w:styleId="317">
    <w:name w:val="正文文本1"/>
    <w:basedOn w:val="1"/>
    <w:next w:val="318"/>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318">
    <w:name w:val="目录 21"/>
    <w:basedOn w:val="1"/>
    <w:next w:val="1"/>
    <w:semiHidden/>
    <w:qFormat/>
    <w:uiPriority w:val="0"/>
    <w:pPr>
      <w:ind w:left="420"/>
    </w:pPr>
    <w:rPr>
      <w:szCs w:val="20"/>
    </w:rPr>
  </w:style>
  <w:style w:type="paragraph" w:customStyle="1" w:styleId="319">
    <w:name w:val="正文1"/>
    <w:next w:val="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character" w:customStyle="1" w:styleId="320">
    <w:name w:val="批注文字 Char"/>
    <w:link w:val="13"/>
    <w:semiHidden/>
    <w:qFormat/>
    <w:uiPriority w:val="99"/>
    <w:rPr>
      <w:sz w:val="21"/>
      <w:szCs w:val="24"/>
    </w:rPr>
  </w:style>
  <w:style w:type="character" w:customStyle="1" w:styleId="321">
    <w:name w:val="批注主题 Char"/>
    <w:link w:val="35"/>
    <w:semiHidden/>
    <w:qFormat/>
    <w:uiPriority w:val="99"/>
    <w:rPr>
      <w:b/>
      <w:bCs/>
      <w:sz w:val="21"/>
      <w:szCs w:val="24"/>
    </w:rPr>
  </w:style>
  <w:style w:type="character" w:customStyle="1" w:styleId="322">
    <w:name w:val="批注框文本 Char"/>
    <w:link w:val="22"/>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59</Pages>
  <Words>28740</Words>
  <Characters>29836</Characters>
  <TotalTime>0</TotalTime>
  <ScaleCrop>false</ScaleCrop>
  <LinksUpToDate>false</LinksUpToDate>
  <CharactersWithSpaces>31067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2024-02-28T03:16:00Z</dcterms:created>
  <dc:creator>us</dc:creator>
  <cp:lastModifiedBy>Administrator</cp:lastModifiedBy>
  <dcterms:modified xsi:type="dcterms:W3CDTF">2026-09-22T02:51:37Z</dcterms:modified>
  <dc:title>淮安市职业</dc:title>
  <cp:revision>403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eyJoZGlkIjoiMTgzMmM3MDI0MDdkY2M5YWRlMTJmZmE5NDcwNTFkZDUiLCJ1c2VySWQiOiIxMTM4NzI2MzU5In0=</vt:lpwstr>
  </property>
  <property fmtid="{D5CDD505-2E9C-101B-9397-08002B2CF9AE}" pid="3" name="KSOProductBuildVer">
    <vt:lpwstr>2052-12.1.0.28505</vt:lpwstr>
  </property>
  <property fmtid="{D5CDD505-2E9C-101B-9397-08002B2CF9AE}" pid="4" name="ICV">
    <vt:lpwstr>6410FAA68E7F4AACB0045FD6DB6707F0_13</vt:lpwstr>
  </property>
</Properties>
</file>