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宋体" w:hAnsi="宋体" w:cs="宋体"/>
          <w:b/>
          <w:sz w:val="48"/>
          <w:szCs w:val="48"/>
        </w:rPr>
      </w:pPr>
      <w:r/>
      <w:bookmarkStart w:id="0" w:name="_Hlk77778371"/>
      <w:r/>
      <w:bookmarkStart w:id="1" w:name="_Hlk74841385"/>
      <w:r/>
      <w:r/>
    </w:p>
    <w:p>
      <w:pPr>
        <w:pStyle w:val="756"/>
        <w:rPr>
          <w:rFonts w:hint="eastAsia" w:ascii="宋体" w:hAnsi="宋体" w:cs="宋体"/>
        </w:rPr>
      </w:pPr>
      <w:r>
        <w:rPr>
          <w:rFonts w:hint="eastAsia" w:ascii="宋体" w:hAnsi="宋体" w:cs="宋体"/>
        </w:rPr>
      </w:r>
      <w:r/>
    </w:p>
    <w:p>
      <w:pPr>
        <w:pStyle w:val="756"/>
        <w:jc w:val="center"/>
        <w:rPr>
          <w:rFonts w:hint="eastAsia" w:ascii="宋体" w:hAnsi="宋体" w:cs="宋体"/>
          <w:sz w:val="20"/>
          <w:szCs w:val="21"/>
        </w:rPr>
      </w:pPr>
      <w:r>
        <w:rPr>
          <w:rFonts w:hint="eastAsia" w:ascii="宋体" w:hAnsi="宋体" w:cs="宋体"/>
          <w:b/>
          <w:bCs/>
          <w:sz w:val="48"/>
          <w:szCs w:val="48"/>
        </w:rPr>
        <w:t xml:space="preserve">南京工业职业技术大学行业领域智能体应用开发实训室采购项目</w:t>
      </w:r>
      <w:r/>
    </w:p>
    <w:p>
      <w:pPr>
        <w:jc w:val="center"/>
        <w:spacing w:line="360" w:lineRule="auto"/>
        <w:widowControl/>
        <w:rPr>
          <w:rFonts w:hint="eastAsia" w:ascii="宋体" w:hAnsi="宋体" w:cs="宋体"/>
          <w:b/>
          <w:sz w:val="72"/>
          <w:szCs w:val="72"/>
        </w:rPr>
      </w:pPr>
      <w:r>
        <w:rPr>
          <w:rFonts w:hint="eastAsia" w:ascii="宋体" w:hAnsi="宋体" w:cs="宋体"/>
          <w:b/>
          <w:sz w:val="72"/>
          <w:szCs w:val="72"/>
        </w:rPr>
      </w:r>
      <w:r/>
    </w:p>
    <w:p>
      <w:pPr>
        <w:pStyle w:val="711"/>
        <w:ind w:left="126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711"/>
        <w:ind w:left="126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sz w:val="72"/>
          <w:szCs w:val="72"/>
        </w:rPr>
      </w:pPr>
      <w:r>
        <w:rPr>
          <w:rFonts w:hint="eastAsia" w:ascii="宋体" w:hAnsi="宋体" w:cs="宋体"/>
          <w:b/>
          <w:sz w:val="72"/>
          <w:szCs w:val="72"/>
        </w:rPr>
        <w:t xml:space="preserve">采购文件</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40"/>
          <w:szCs w:val="40"/>
        </w:rPr>
      </w:pPr>
      <w:r>
        <w:rPr>
          <w:rFonts w:hint="eastAsia" w:ascii="宋体" w:hAnsi="宋体" w:cs="宋体"/>
          <w:b/>
          <w:sz w:val="32"/>
          <w:szCs w:val="32"/>
        </w:rPr>
        <w:t xml:space="preserve">项目编号：JSZC-320000-HCAI-G2026-0086</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28"/>
          <w:szCs w:val="28"/>
        </w:rPr>
      </w:pPr>
      <w:r>
        <w:rPr>
          <w:rFonts w:hint="eastAsia" w:ascii="宋体" w:hAnsi="宋体" w:cs="宋体"/>
          <w:b/>
          <w:sz w:val="28"/>
          <w:szCs w:val="28"/>
        </w:rPr>
      </w:r>
      <w:r/>
    </w:p>
    <w:p>
      <w:pPr>
        <w:spacing w:line="360" w:lineRule="auto"/>
        <w:shd w:val="clear" w:color="auto" w:fill="ffffff"/>
        <w:widowControl/>
        <w:rPr>
          <w:rFonts w:hint="eastAsia" w:ascii="宋体" w:hAnsi="宋体" w:cs="宋体"/>
          <w:sz w:val="32"/>
          <w:szCs w:val="32"/>
        </w:rPr>
      </w:pPr>
      <w:r>
        <w:rPr>
          <w:rFonts w:hint="eastAsia" w:ascii="宋体" w:hAnsi="宋体" w:cs="宋体"/>
          <w:sz w:val="32"/>
          <w:szCs w:val="32"/>
        </w:rPr>
        <w:t xml:space="preserve">  </w:t>
      </w:r>
      <w:r/>
    </w:p>
    <w:p>
      <w:pPr>
        <w:pStyle w:val="711"/>
        <w:ind w:left="1260"/>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采购人：南京工业职业技术大学</w:t>
      </w:r>
      <w:r/>
    </w:p>
    <w:p>
      <w:pPr>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采购代理机构：</w:t>
      </w:r>
      <w:r>
        <w:rPr>
          <w:rFonts w:hint="eastAsia" w:ascii="Arial" w:hAnsi="宋体" w:cs="Arial"/>
          <w:b/>
          <w:sz w:val="32"/>
          <w:szCs w:val="32"/>
        </w:rPr>
        <w:t xml:space="preserve">南京汇采项目管理有限公司</w:t>
      </w:r>
      <w:r/>
    </w:p>
    <w:p>
      <w:pPr>
        <w:jc w:val="center"/>
        <w:spacing w:line="360" w:lineRule="auto"/>
        <w:shd w:val="clear" w:color="auto" w:fill="ffffff"/>
        <w:widowControl/>
        <w:rPr>
          <w:rFonts w:hint="eastAsia" w:ascii="宋体" w:hAnsi="宋体" w:cs="宋体"/>
          <w:b/>
          <w:sz w:val="32"/>
          <w:szCs w:val="32"/>
          <w:highlight w:val="yellow"/>
        </w:rPr>
      </w:pPr>
      <w:r>
        <w:rPr>
          <w:rFonts w:hint="eastAsia" w:ascii="宋体" w:hAnsi="宋体" w:cs="宋体"/>
          <w:b/>
          <w:sz w:val="32"/>
          <w:szCs w:val="32"/>
        </w:rPr>
        <w:t xml:space="preserve">2026年10月</w:t>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859"/>
        <w:jc w:val="center"/>
        <w:rPr>
          <w:rFonts w:hint="eastAsia" w:ascii="宋体" w:hAnsi="宋体" w:cs="宋体"/>
          <w:color w:val="auto"/>
          <w:sz w:val="36"/>
          <w:szCs w:val="36"/>
        </w:rPr>
      </w:pPr>
      <w:r>
        <w:rPr>
          <w:rFonts w:hint="eastAsia" w:ascii="宋体" w:hAnsi="宋体" w:cs="宋体"/>
          <w:color w:val="auto"/>
          <w:sz w:val="36"/>
          <w:szCs w:val="36"/>
          <w:lang w:val="zh-CN"/>
        </w:rPr>
        <w:t xml:space="preserve">目录</w:t>
      </w:r>
      <w:r/>
    </w:p>
    <w:p>
      <w:pPr>
        <w:pStyle w:val="722"/>
        <w:spacing w:line="360" w:lineRule="auto"/>
        <w:tabs>
          <w:tab w:val="right" w:pos="8299" w:leader="dot"/>
        </w:tabs>
        <w:rPr>
          <w:rFonts w:hint="eastAsia" w:ascii="宋体" w:hAnsi="宋体" w:cs="宋体"/>
          <w:sz w:val="28"/>
          <w:szCs w:val="36"/>
        </w:rPr>
      </w:pPr>
      <w:r>
        <w:rPr>
          <w:rFonts w:hint="eastAsia" w:ascii="宋体" w:hAnsi="宋体" w:cs="宋体"/>
          <w:sz w:val="40"/>
          <w:szCs w:val="40"/>
        </w:rPr>
        <w:fldChar w:fldCharType="begin"/>
      </w:r>
      <w:r>
        <w:rPr>
          <w:rFonts w:hint="eastAsia" w:ascii="宋体" w:hAnsi="宋体" w:cs="宋体"/>
          <w:sz w:val="40"/>
          <w:szCs w:val="40"/>
        </w:rPr>
        <w:instrText xml:space="preserve">TOC \o "1-1" \h \u </w:instrText>
      </w:r>
      <w:r>
        <w:rPr>
          <w:rFonts w:hint="eastAsia" w:ascii="宋体" w:hAnsi="宋体" w:cs="宋体"/>
          <w:sz w:val="40"/>
          <w:szCs w:val="40"/>
        </w:rPr>
        <w:fldChar w:fldCharType="separate"/>
      </w:r>
      <w:r>
        <w:fldChar w:fldCharType="begin"/>
      </w:r>
      <w:r>
        <w:instrText xml:space="preserve"> HYPERLINK \l "_Toc30685" </w:instrText>
      </w:r>
      <w:r>
        <w:fldChar w:fldCharType="separate"/>
      </w:r>
      <w:r>
        <w:rPr>
          <w:rFonts w:hint="eastAsia" w:ascii="宋体" w:hAnsi="宋体" w:cs="宋体"/>
          <w:sz w:val="28"/>
          <w:szCs w:val="28"/>
        </w:rPr>
        <w:t xml:space="preserve">第一章 </w:t>
      </w:r>
      <w:r>
        <w:rPr>
          <w:rFonts w:hint="eastAsia" w:ascii="宋体" w:hAnsi="宋体" w:cs="宋体"/>
          <w:sz w:val="28"/>
          <w:szCs w:val="36"/>
        </w:rPr>
        <w:t xml:space="preserve">采购公告</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_Toc30685 \h </w:instrText>
      </w:r>
      <w:r>
        <w:rPr>
          <w:rFonts w:hint="eastAsia" w:ascii="宋体" w:hAnsi="宋体" w:cs="宋体"/>
          <w:sz w:val="28"/>
          <w:szCs w:val="36"/>
        </w:rPr>
        <w:fldChar w:fldCharType="separate"/>
      </w:r>
      <w:r>
        <w:rPr>
          <w:rFonts w:hint="eastAsia" w:ascii="宋体" w:hAnsi="宋体" w:cs="宋体"/>
          <w:sz w:val="28"/>
          <w:szCs w:val="36"/>
        </w:rPr>
        <w:t xml:space="preserve">1</w:t>
      </w:r>
      <w:r>
        <w:rPr>
          <w:rFonts w:hint="eastAsia" w:ascii="宋体" w:hAnsi="宋体" w:cs="宋体"/>
          <w:sz w:val="28"/>
          <w:szCs w:val="36"/>
        </w:rPr>
        <w:fldChar w:fldCharType="end"/>
      </w:r>
      <w:r>
        <w:rPr>
          <w:rFonts w:hint="eastAsia" w:ascii="宋体" w:hAnsi="宋体" w:cs="宋体"/>
          <w:sz w:val="28"/>
          <w:szCs w:val="36"/>
        </w:rPr>
        <w:fldChar w:fldCharType="end"/>
      </w:r>
      <w:r/>
    </w:p>
    <w:p>
      <w:pPr>
        <w:pStyle w:val="722"/>
        <w:spacing w:line="360" w:lineRule="auto"/>
        <w:tabs>
          <w:tab w:val="right" w:pos="8299" w:leader="dot"/>
        </w:tabs>
        <w:rPr>
          <w:rFonts w:hint="eastAsia" w:ascii="宋体" w:hAnsi="宋体" w:cs="宋体"/>
          <w:sz w:val="28"/>
          <w:szCs w:val="36"/>
        </w:rPr>
      </w:pPr>
      <w:r>
        <w:fldChar w:fldCharType="begin"/>
      </w:r>
      <w:r>
        <w:instrText xml:space="preserve"> HYPERLINK \l "_Toc26745" </w:instrText>
      </w:r>
      <w:r>
        <w:fldChar w:fldCharType="separate"/>
      </w:r>
      <w:r>
        <w:rPr>
          <w:rFonts w:hint="eastAsia" w:ascii="宋体" w:hAnsi="宋体" w:cs="宋体"/>
          <w:sz w:val="28"/>
          <w:szCs w:val="36"/>
        </w:rPr>
        <w:t xml:space="preserve">第二章 供应商须知</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_Toc26745 \h </w:instrText>
      </w:r>
      <w:r>
        <w:rPr>
          <w:rFonts w:hint="eastAsia" w:ascii="宋体" w:hAnsi="宋体" w:cs="宋体"/>
          <w:sz w:val="28"/>
          <w:szCs w:val="36"/>
        </w:rPr>
        <w:fldChar w:fldCharType="separate"/>
      </w:r>
      <w:r>
        <w:rPr>
          <w:rFonts w:hint="eastAsia" w:ascii="宋体" w:hAnsi="宋体" w:cs="宋体"/>
          <w:sz w:val="28"/>
          <w:szCs w:val="36"/>
        </w:rPr>
        <w:t xml:space="preserve">5</w:t>
      </w:r>
      <w:r>
        <w:rPr>
          <w:rFonts w:hint="eastAsia" w:ascii="宋体" w:hAnsi="宋体" w:cs="宋体"/>
          <w:sz w:val="28"/>
          <w:szCs w:val="36"/>
        </w:rPr>
        <w:fldChar w:fldCharType="end"/>
      </w:r>
      <w:r>
        <w:rPr>
          <w:rFonts w:hint="eastAsia" w:ascii="宋体" w:hAnsi="宋体" w:cs="宋体"/>
          <w:sz w:val="28"/>
          <w:szCs w:val="36"/>
        </w:rPr>
        <w:fldChar w:fldCharType="end"/>
      </w:r>
      <w:r/>
    </w:p>
    <w:p>
      <w:pPr>
        <w:pStyle w:val="722"/>
        <w:spacing w:line="360" w:lineRule="auto"/>
        <w:tabs>
          <w:tab w:val="right" w:pos="8299" w:leader="dot"/>
        </w:tabs>
        <w:rPr>
          <w:rFonts w:hint="eastAsia" w:ascii="宋体" w:hAnsi="宋体" w:cs="宋体"/>
          <w:sz w:val="28"/>
          <w:szCs w:val="36"/>
        </w:rPr>
      </w:pPr>
      <w:r>
        <w:fldChar w:fldCharType="begin"/>
      </w:r>
      <w:r>
        <w:instrText xml:space="preserve"> HYPERLINK \l "_Toc28285" </w:instrText>
      </w:r>
      <w:r>
        <w:fldChar w:fldCharType="separate"/>
      </w:r>
      <w:r>
        <w:rPr>
          <w:rFonts w:hint="eastAsia" w:ascii="宋体" w:hAnsi="宋体" w:cs="宋体"/>
          <w:sz w:val="28"/>
          <w:szCs w:val="36"/>
        </w:rPr>
        <w:t xml:space="preserve">第三章 评标标准</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_Toc28285 \h </w:instrText>
      </w:r>
      <w:r>
        <w:rPr>
          <w:rFonts w:hint="eastAsia" w:ascii="宋体" w:hAnsi="宋体" w:cs="宋体"/>
          <w:sz w:val="28"/>
          <w:szCs w:val="36"/>
        </w:rPr>
        <w:fldChar w:fldCharType="separate"/>
      </w:r>
      <w:r>
        <w:rPr>
          <w:rFonts w:hint="eastAsia" w:ascii="宋体" w:hAnsi="宋体" w:cs="宋体"/>
          <w:sz w:val="28"/>
          <w:szCs w:val="36"/>
        </w:rPr>
        <w:t xml:space="preserve">19</w:t>
      </w:r>
      <w:r>
        <w:rPr>
          <w:rFonts w:hint="eastAsia" w:ascii="宋体" w:hAnsi="宋体" w:cs="宋体"/>
          <w:sz w:val="28"/>
          <w:szCs w:val="36"/>
        </w:rPr>
        <w:fldChar w:fldCharType="end"/>
      </w:r>
      <w:r>
        <w:rPr>
          <w:rFonts w:hint="eastAsia" w:ascii="宋体" w:hAnsi="宋体" w:cs="宋体"/>
          <w:sz w:val="28"/>
          <w:szCs w:val="36"/>
        </w:rPr>
        <w:fldChar w:fldCharType="end"/>
      </w:r>
      <w:r/>
    </w:p>
    <w:p>
      <w:pPr>
        <w:pStyle w:val="722"/>
        <w:spacing w:line="360" w:lineRule="auto"/>
        <w:tabs>
          <w:tab w:val="right" w:pos="8299" w:leader="dot"/>
        </w:tabs>
        <w:rPr>
          <w:rFonts w:hint="eastAsia" w:ascii="宋体" w:hAnsi="宋体" w:cs="宋体"/>
          <w:sz w:val="28"/>
          <w:szCs w:val="36"/>
        </w:rPr>
      </w:pPr>
      <w:r>
        <w:fldChar w:fldCharType="begin"/>
      </w:r>
      <w:r>
        <w:instrText xml:space="preserve"> HYPERLINK \l "_Toc6871" </w:instrText>
      </w:r>
      <w:r>
        <w:fldChar w:fldCharType="separate"/>
      </w:r>
      <w:r>
        <w:rPr>
          <w:rFonts w:hint="eastAsia" w:ascii="宋体" w:hAnsi="宋体" w:cs="宋体"/>
          <w:sz w:val="28"/>
          <w:szCs w:val="36"/>
        </w:rPr>
        <w:t xml:space="preserve">第四章 采购需求</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_Toc6871 \h </w:instrText>
      </w:r>
      <w:r>
        <w:rPr>
          <w:rFonts w:hint="eastAsia" w:ascii="宋体" w:hAnsi="宋体" w:cs="宋体"/>
          <w:sz w:val="28"/>
          <w:szCs w:val="36"/>
        </w:rPr>
        <w:fldChar w:fldCharType="separate"/>
      </w:r>
      <w:r>
        <w:rPr>
          <w:rFonts w:hint="eastAsia" w:ascii="宋体" w:hAnsi="宋体" w:cs="宋体"/>
          <w:sz w:val="28"/>
          <w:szCs w:val="36"/>
        </w:rPr>
        <w:t xml:space="preserve">24</w:t>
      </w:r>
      <w:r>
        <w:rPr>
          <w:rFonts w:hint="eastAsia" w:ascii="宋体" w:hAnsi="宋体" w:cs="宋体"/>
          <w:sz w:val="28"/>
          <w:szCs w:val="36"/>
        </w:rPr>
        <w:fldChar w:fldCharType="end"/>
      </w:r>
      <w:r>
        <w:rPr>
          <w:rFonts w:hint="eastAsia" w:ascii="宋体" w:hAnsi="宋体" w:cs="宋体"/>
          <w:sz w:val="28"/>
          <w:szCs w:val="36"/>
        </w:rPr>
        <w:fldChar w:fldCharType="end"/>
      </w:r>
      <w:r/>
    </w:p>
    <w:p>
      <w:pPr>
        <w:pStyle w:val="722"/>
        <w:spacing w:line="360" w:lineRule="auto"/>
        <w:tabs>
          <w:tab w:val="right" w:pos="8299" w:leader="dot"/>
        </w:tabs>
        <w:rPr>
          <w:rFonts w:hint="eastAsia" w:ascii="宋体" w:hAnsi="宋体" w:cs="宋体"/>
          <w:sz w:val="28"/>
          <w:szCs w:val="36"/>
        </w:rPr>
      </w:pPr>
      <w:r>
        <w:fldChar w:fldCharType="begin"/>
      </w:r>
      <w:r>
        <w:instrText xml:space="preserve"> HYPERLINK \l "_Toc18631" </w:instrText>
      </w:r>
      <w:r>
        <w:fldChar w:fldCharType="separate"/>
      </w:r>
      <w:r>
        <w:rPr>
          <w:rFonts w:hint="eastAsia" w:ascii="宋体" w:hAnsi="宋体" w:cs="宋体"/>
          <w:sz w:val="28"/>
          <w:szCs w:val="36"/>
        </w:rPr>
        <w:t xml:space="preserve">第五章 合同主要条款及格式</w:t>
      </w:r>
      <w:r>
        <w:rPr>
          <w:rFonts w:hint="eastAsia" w:ascii="宋体" w:hAnsi="宋体" w:cs="宋体"/>
          <w:sz w:val="28"/>
          <w:szCs w:val="44"/>
        </w:rPr>
        <w:t xml:space="preserve"> </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_Toc18631 \h </w:instrText>
      </w:r>
      <w:r>
        <w:rPr>
          <w:rFonts w:hint="eastAsia" w:ascii="宋体" w:hAnsi="宋体" w:cs="宋体"/>
          <w:sz w:val="28"/>
          <w:szCs w:val="36"/>
        </w:rPr>
        <w:fldChar w:fldCharType="separate"/>
      </w:r>
      <w:r>
        <w:rPr>
          <w:rFonts w:hint="eastAsia" w:ascii="宋体" w:hAnsi="宋体" w:cs="宋体"/>
          <w:sz w:val="28"/>
          <w:szCs w:val="36"/>
        </w:rPr>
        <w:t xml:space="preserve">36</w:t>
      </w:r>
      <w:r>
        <w:rPr>
          <w:rFonts w:hint="eastAsia" w:ascii="宋体" w:hAnsi="宋体" w:cs="宋体"/>
          <w:sz w:val="28"/>
          <w:szCs w:val="36"/>
        </w:rPr>
        <w:fldChar w:fldCharType="end"/>
      </w:r>
      <w:r>
        <w:rPr>
          <w:rFonts w:hint="eastAsia" w:ascii="宋体" w:hAnsi="宋体" w:cs="宋体"/>
          <w:sz w:val="28"/>
          <w:szCs w:val="36"/>
        </w:rPr>
        <w:fldChar w:fldCharType="end"/>
      </w:r>
      <w:r/>
    </w:p>
    <w:p>
      <w:pPr>
        <w:pStyle w:val="722"/>
        <w:spacing w:line="360" w:lineRule="auto"/>
        <w:tabs>
          <w:tab w:val="right" w:pos="8299" w:leader="dot"/>
        </w:tabs>
        <w:rPr>
          <w:rFonts w:hint="eastAsia" w:ascii="宋体" w:hAnsi="宋体" w:cs="宋体"/>
          <w:sz w:val="28"/>
          <w:szCs w:val="36"/>
        </w:rPr>
      </w:pPr>
      <w:r>
        <w:fldChar w:fldCharType="begin"/>
      </w:r>
      <w:r>
        <w:instrText xml:space="preserve"> HYPERLINK \l "_Toc7019" </w:instrText>
      </w:r>
      <w:r>
        <w:fldChar w:fldCharType="separate"/>
      </w:r>
      <w:r>
        <w:rPr>
          <w:rFonts w:hint="eastAsia" w:ascii="宋体" w:hAnsi="宋体" w:cs="宋体"/>
          <w:sz w:val="28"/>
          <w:szCs w:val="36"/>
        </w:rPr>
        <w:t xml:space="preserve">第六章 附件</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_Toc7019 \h </w:instrText>
      </w:r>
      <w:r>
        <w:rPr>
          <w:rFonts w:hint="eastAsia" w:ascii="宋体" w:hAnsi="宋体" w:cs="宋体"/>
          <w:sz w:val="28"/>
          <w:szCs w:val="36"/>
        </w:rPr>
        <w:fldChar w:fldCharType="separate"/>
      </w:r>
      <w:r>
        <w:rPr>
          <w:rFonts w:hint="eastAsia" w:ascii="宋体" w:hAnsi="宋体" w:cs="宋体"/>
          <w:sz w:val="28"/>
          <w:szCs w:val="36"/>
        </w:rPr>
        <w:t xml:space="preserve">42</w:t>
      </w:r>
      <w:r>
        <w:rPr>
          <w:rFonts w:hint="eastAsia" w:ascii="宋体" w:hAnsi="宋体" w:cs="宋体"/>
          <w:sz w:val="28"/>
          <w:szCs w:val="36"/>
        </w:rPr>
        <w:fldChar w:fldCharType="end"/>
      </w:r>
      <w:r>
        <w:rPr>
          <w:rFonts w:hint="eastAsia" w:ascii="宋体" w:hAnsi="宋体" w:cs="宋体"/>
          <w:sz w:val="28"/>
          <w:szCs w:val="36"/>
        </w:rPr>
        <w:fldChar w:fldCharType="end"/>
      </w:r>
      <w:r/>
    </w:p>
    <w:p>
      <w:pPr>
        <w:spacing w:line="360" w:lineRule="auto"/>
        <w:rPr>
          <w:rFonts w:hint="eastAsia" w:ascii="宋体" w:hAnsi="宋体" w:cs="宋体"/>
          <w:sz w:val="72"/>
          <w:szCs w:val="72"/>
        </w:rPr>
      </w:pPr>
      <w:r>
        <w:rPr>
          <w:rFonts w:hint="eastAsia" w:ascii="宋体" w:hAnsi="宋体" w:cs="宋体"/>
          <w:sz w:val="28"/>
          <w:szCs w:val="40"/>
        </w:rPr>
        <w:fldChar w:fldCharType="end"/>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689"/>
        <w:rPr>
          <w:rFonts w:hint="eastAsia" w:ascii="宋体" w:hAnsi="宋体" w:cs="宋体"/>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689"/>
        <w:numPr>
          <w:ilvl w:val="0"/>
          <w:numId w:val="0"/>
        </w:numPr>
        <w:rPr>
          <w:rFonts w:hint="eastAsia" w:ascii="宋体" w:hAnsi="宋体" w:cs="宋体"/>
          <w:szCs w:val="21"/>
        </w:rPr>
      </w:pPr>
      <w:r>
        <w:rPr>
          <w:rFonts w:hint="eastAsia" w:ascii="宋体" w:hAnsi="宋体" w:cs="宋体"/>
          <w:szCs w:val="21"/>
        </w:rPr>
        <w:t xml:space="preserve">第一章</w:t>
      </w:r>
      <w:r>
        <w:rPr>
          <w:rFonts w:hint="eastAsia" w:ascii="宋体" w:hAnsi="宋体" w:cs="宋体"/>
          <w:sz w:val="36"/>
          <w:szCs w:val="36"/>
          <w:shd w:val="clear" w:color="auto" w:fill="ffffff"/>
        </w:rPr>
        <w:t xml:space="preserve"> </w:t>
      </w:r>
      <w:bookmarkStart w:id="3" w:name="_Toc30685"/>
      <w:r/>
      <w:bookmarkStart w:id="4" w:name="_Hlk85716974"/>
      <w:r>
        <w:rPr>
          <w:rFonts w:hint="eastAsia" w:ascii="宋体" w:hAnsi="宋体" w:cs="宋体"/>
        </w:rPr>
        <w:t xml:space="preserve">采购公告</w:t>
      </w:r>
      <w:bookmarkEnd w:id="2"/>
      <w:r/>
      <w:bookmarkEnd w:id="3"/>
      <w:r/>
      <w:bookmarkStart w:id="5" w:name="OLE_LINK6"/>
      <w:r/>
      <w:bookmarkStart w:id="6" w:name="OLE_LINK7"/>
      <w:r/>
      <w:bookmarkStart w:id="7" w:name="OLE_LINK1"/>
      <w:r/>
      <w:bookmarkStart w:id="8" w:name="OLE_LINK5"/>
      <w:r/>
      <w:bookmarkStart w:id="9" w:name="_Hlk74842529"/>
      <w:r/>
      <w:r/>
    </w:p>
    <w:p>
      <w:pPr>
        <w:ind w:firstLine="369"/>
        <w:spacing w:line="360" w:lineRule="auto"/>
        <w:shd w:val="clear" w:color="auto" w:fill="ffffff"/>
        <w:widowControl/>
        <w:rPr>
          <w:rFonts w:hint="eastAsia" w:ascii="宋体" w:hAnsi="宋体" w:cs="宋体"/>
          <w:spacing w:val="8"/>
          <w:szCs w:val="21"/>
        </w:rPr>
        <w:pBdr>
          <w:top w:val="single" w:color="auto" w:sz="4" w:space="1"/>
          <w:left w:val="single" w:color="auto" w:sz="4" w:space="4"/>
          <w:bottom w:val="single" w:color="auto" w:sz="4" w:space="1"/>
          <w:right w:val="single" w:color="auto" w:sz="4" w:space="4"/>
        </w:pBdr>
      </w:pPr>
      <w:r/>
      <w:bookmarkStart w:id="10" w:name="OLE_LINK4"/>
      <w:r/>
      <w:bookmarkStart w:id="11" w:name="OLE_LINK3"/>
      <w:r/>
      <w:bookmarkStart w:id="12" w:name="OLE_LINK2"/>
      <w:r/>
      <w:bookmarkStart w:id="13" w:name="_Hlk74841176"/>
      <w:r>
        <w:rPr>
          <w:rFonts w:hint="eastAsia" w:ascii="宋体" w:hAnsi="宋体" w:cs="宋体"/>
          <w:spacing w:val="8"/>
          <w:szCs w:val="21"/>
        </w:rPr>
        <w:t xml:space="preserve">项目概况</w:t>
      </w:r>
      <w:r/>
    </w:p>
    <w:p>
      <w:pPr>
        <w:ind w:firstLine="369"/>
        <w:spacing w:line="360" w:lineRule="auto"/>
        <w:shd w:val="clear" w:color="auto" w:fill="ffffff"/>
        <w:widowControl/>
        <w:rPr>
          <w:rFonts w:hint="eastAsia" w:ascii="宋体" w:hAnsi="宋体" w:cs="宋体"/>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南京工业职业技术大学行业领域智能体应用开发实训室采购项目</w:t>
      </w:r>
      <w:r>
        <w:rPr>
          <w:rFonts w:hint="eastAsia" w:ascii="宋体" w:hAnsi="宋体" w:cs="宋体"/>
          <w:spacing w:val="8"/>
          <w:szCs w:val="21"/>
        </w:rPr>
        <w:t xml:space="preserve">的潜在供应商应在</w:t>
      </w:r>
      <w:r>
        <w:rPr>
          <w:rFonts w:hint="eastAsia" w:ascii="宋体" w:hAnsi="宋体" w:cs="宋体"/>
          <w:szCs w:val="21"/>
          <w:u w:val="single"/>
        </w:rPr>
        <w:t xml:space="preserve">苏采云系统注册登记成功后系统内免费</w:t>
      </w:r>
      <w:r>
        <w:rPr>
          <w:rFonts w:hint="eastAsia" w:ascii="宋体" w:hAnsi="宋体" w:cs="宋体"/>
          <w:spacing w:val="8"/>
          <w:szCs w:val="21"/>
        </w:rPr>
        <w:t xml:space="preserve">获取招标文件，并于</w:t>
      </w:r>
      <w:r>
        <w:rPr>
          <w:rFonts w:hint="eastAsia" w:ascii="宋体" w:hAnsi="宋体" w:cs="宋体"/>
          <w:szCs w:val="21"/>
          <w:highlight w:val="yellow"/>
          <w:u w:val="single"/>
        </w:rPr>
      </w:r>
      <w:r>
        <w:rPr>
          <w:rFonts w:ascii="SimSun" w:hAnsi="SimSun" w:eastAsia="SimSun" w:cs="SimSun"/>
          <w:color w:val="000000"/>
          <w:sz w:val="21"/>
          <w:u w:val="single"/>
        </w:rPr>
        <w:t xml:space="preserve">2026年11月20日14点00分</w:t>
      </w:r>
      <w:r>
        <w:rPr>
          <w:rFonts w:hint="eastAsia" w:ascii="宋体" w:hAnsi="宋体" w:cs="宋体"/>
          <w:szCs w:val="21"/>
          <w:highlight w:val="yellow"/>
          <w:u w:val="single"/>
        </w:rPr>
      </w:r>
      <w:r>
        <w:rPr>
          <w:rFonts w:hint="eastAsia" w:ascii="宋体" w:hAnsi="宋体" w:cs="宋体"/>
          <w:spacing w:val="8"/>
          <w:szCs w:val="21"/>
        </w:rPr>
        <w:t xml:space="preserve">（北京时间）前递交投标文件。</w:t>
      </w:r>
      <w:r/>
    </w:p>
    <w:p>
      <w:pPr>
        <w:pStyle w:val="759"/>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一、项目基本情况</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1.1项目编号：JSZC-320000-HCAI-G2026-0086</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1.2项目名称：南京工业职业技术大学行业领域智能体应用开发实训室采购项目</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1.3预算金额：人民币176.00万元</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1.4最高限价：人民币176.00万元，投标报价超过最高限价的为无效投标。</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1.5采购需求：南京工业职业技术大学为满足教学实验需要，需采购设备一批。具体内容详见采购文件 第四章 采购需求。</w:t>
      </w:r>
      <w:r/>
    </w:p>
    <w:p>
      <w:pPr>
        <w:pStyle w:val="714"/>
        <w:ind w:firstLine="452"/>
        <w:spacing w:line="360" w:lineRule="auto"/>
        <w:rPr>
          <w:rFonts w:hint="eastAsia" w:ascii="宋体" w:hAnsi="宋体" w:cs="宋体"/>
          <w:spacing w:val="8"/>
          <w:szCs w:val="21"/>
        </w:rPr>
      </w:pPr>
      <w:r>
        <w:rPr>
          <w:rFonts w:hint="eastAsia" w:ascii="宋体" w:hAnsi="宋体" w:cs="宋体"/>
          <w:spacing w:val="8"/>
          <w:szCs w:val="21"/>
        </w:rPr>
        <w:t xml:space="preserve">1.6合同履行期限：</w:t>
      </w:r>
      <w:r>
        <w:rPr>
          <w:rFonts w:hint="eastAsia" w:ascii="宋体" w:hAnsi="宋体" w:cs="宋体"/>
          <w:szCs w:val="21"/>
          <w:lang w:val="zh-CN"/>
        </w:rPr>
        <w:t xml:space="preserve">合同签订生效后，</w:t>
      </w:r>
      <w:r>
        <w:rPr>
          <w:rFonts w:hint="eastAsia" w:ascii="宋体" w:hAnsi="宋体" w:cs="宋体"/>
          <w:szCs w:val="21"/>
        </w:rPr>
        <w:t xml:space="preserve">90</w:t>
      </w:r>
      <w:r>
        <w:rPr>
          <w:rFonts w:hint="eastAsia" w:ascii="宋体" w:hAnsi="宋体" w:cs="宋体"/>
          <w:szCs w:val="21"/>
          <w:lang w:val="zh-CN"/>
        </w:rPr>
        <w:t xml:space="preserve">个日历日内全部设备、材料运抵现场，并安装、调试结束。</w:t>
      </w:r>
      <w:r>
        <w:rPr>
          <w:rFonts w:hint="eastAsia" w:ascii="宋体" w:hAnsi="宋体" w:cs="宋体"/>
          <w:spacing w:val="8"/>
          <w:szCs w:val="21"/>
        </w:rPr>
        <w:t xml:space="preserve">试运行至少1个月，试运行过程中出现问题随时解决处理，试运行正常一个月后出运行报告，</w:t>
      </w:r>
      <w:r>
        <w:rPr>
          <w:rFonts w:hint="eastAsia" w:ascii="宋体" w:hAnsi="宋体" w:cs="宋体"/>
          <w:szCs w:val="21"/>
          <w:lang w:val="zh-CN"/>
        </w:rPr>
        <w:t xml:space="preserve">验收合格，交付</w:t>
      </w:r>
      <w:r>
        <w:rPr>
          <w:rFonts w:hint="eastAsia" w:ascii="宋体" w:hAnsi="宋体" w:cs="宋体"/>
          <w:szCs w:val="21"/>
        </w:rPr>
        <w:t xml:space="preserve">采购人</w:t>
      </w:r>
      <w:r>
        <w:rPr>
          <w:rFonts w:hint="eastAsia" w:ascii="宋体" w:hAnsi="宋体" w:cs="宋体"/>
          <w:szCs w:val="21"/>
          <w:lang w:val="zh-CN"/>
        </w:rPr>
        <w:t xml:space="preserve">使用。</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1.7本项目标的所属行业：详见采购文件 第四章 采购需求。</w:t>
      </w:r>
      <w:r/>
    </w:p>
    <w:p>
      <w:pPr>
        <w:ind w:firstLine="452"/>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1.8本项目</w:t>
      </w:r>
      <w:r>
        <w:rPr>
          <w:rFonts w:hint="eastAsia" w:ascii="宋体" w:hAnsi="宋体" w:cs="宋体"/>
          <w:b/>
          <w:bCs/>
          <w:spacing w:val="8"/>
          <w:szCs w:val="21"/>
        </w:rPr>
        <w:t xml:space="preserve">非专门</w:t>
      </w:r>
      <w:r>
        <w:rPr>
          <w:rFonts w:hint="eastAsia" w:ascii="宋体" w:hAnsi="宋体" w:cs="宋体"/>
          <w:spacing w:val="8"/>
          <w:szCs w:val="21"/>
        </w:rPr>
        <w:t xml:space="preserve">面向中小企业采购。</w:t>
      </w:r>
      <w:r/>
    </w:p>
    <w:p>
      <w:pPr>
        <w:ind w:firstLine="452"/>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1.9本项目</w:t>
      </w:r>
      <w:r>
        <w:rPr>
          <w:rFonts w:hint="eastAsia" w:ascii="宋体" w:hAnsi="宋体" w:cs="宋体"/>
          <w:b/>
          <w:bCs/>
          <w:spacing w:val="8"/>
          <w:szCs w:val="21"/>
        </w:rPr>
        <w:t xml:space="preserve">不接受</w:t>
      </w:r>
      <w:r>
        <w:rPr>
          <w:rFonts w:hint="eastAsia" w:ascii="宋体" w:hAnsi="宋体" w:cs="宋体"/>
          <w:spacing w:val="8"/>
          <w:szCs w:val="21"/>
        </w:rPr>
        <w:t xml:space="preserve">进口产品。</w:t>
      </w:r>
      <w:r/>
    </w:p>
    <w:p>
      <w:pPr>
        <w:ind w:firstLine="452"/>
        <w:spacing w:line="360" w:lineRule="auto"/>
        <w:shd w:val="clear" w:color="auto" w:fill="ffffff" w:themeFill="background1"/>
        <w:widowControl/>
        <w:rPr>
          <w:rFonts w:hint="eastAsia" w:ascii="宋体" w:hAnsi="宋体" w:cs="宋体"/>
          <w:color w:val="ffffff" w:themeColor="background1"/>
          <w:spacing w:val="8"/>
          <w:szCs w:val="21"/>
          <w14:textFill>
            <w14:solidFill>
              <w14:schemeClr w14:val="bg1"/>
            </w14:solidFill>
          </w14:textFill>
        </w:rPr>
      </w:pPr>
      <w:r>
        <w:rPr>
          <w:rFonts w:hint="eastAsia" w:ascii="宋体" w:hAnsi="宋体" w:cs="宋体"/>
          <w:spacing w:val="8"/>
          <w:szCs w:val="21"/>
        </w:rPr>
        <w:t xml:space="preserve">1.10本项目</w:t>
      </w:r>
      <w:r>
        <w:rPr>
          <w:rFonts w:hint="eastAsia" w:ascii="宋体" w:hAnsi="宋体" w:cs="宋体"/>
          <w:b/>
          <w:bCs/>
          <w:spacing w:val="8"/>
          <w:szCs w:val="21"/>
        </w:rPr>
        <w:t xml:space="preserve">不接受</w:t>
      </w:r>
      <w:r>
        <w:rPr>
          <w:rFonts w:hint="eastAsia" w:ascii="宋体" w:hAnsi="宋体" w:cs="宋体"/>
          <w:spacing w:val="8"/>
          <w:szCs w:val="21"/>
        </w:rPr>
        <w:t xml:space="preserve">联合体投标。</w:t>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二、申请人的资格要求：</w:t>
      </w:r>
      <w:r/>
    </w:p>
    <w:p>
      <w:pPr>
        <w:ind w:firstLine="454"/>
        <w:spacing w:line="360" w:lineRule="auto"/>
        <w:shd w:val="clear" w:color="auto" w:fill="ffffff" w:themeFill="background1"/>
        <w:widowControl/>
        <w:rPr>
          <w:rFonts w:hint="eastAsia" w:ascii="宋体" w:hAnsi="宋体" w:cs="宋体"/>
          <w:b/>
          <w:bCs/>
          <w:spacing w:val="8"/>
          <w:szCs w:val="21"/>
        </w:rPr>
      </w:pPr>
      <w:r>
        <w:rPr>
          <w:rFonts w:hint="eastAsia" w:ascii="宋体" w:hAnsi="宋体" w:cs="宋体"/>
          <w:b/>
          <w:bCs/>
          <w:spacing w:val="8"/>
          <w:szCs w:val="21"/>
        </w:rPr>
        <w:t xml:space="preserve">2.1满足《中华人民共和国政府采购法》第二十二条规定；</w:t>
      </w:r>
      <w:r/>
    </w:p>
    <w:p>
      <w:pPr>
        <w:ind w:firstLine="424"/>
        <w:spacing w:line="360" w:lineRule="auto"/>
        <w:rPr>
          <w:rFonts w:hint="eastAsia" w:ascii="宋体" w:hAnsi="宋体" w:cs="宋体"/>
          <w:bCs/>
          <w:szCs w:val="21"/>
        </w:rPr>
      </w:pPr>
      <w:r>
        <w:rPr>
          <w:rFonts w:hint="eastAsia" w:ascii="宋体" w:hAnsi="宋体" w:cs="宋体"/>
          <w:bCs/>
          <w:szCs w:val="21"/>
        </w:rPr>
        <w:t xml:space="preserve">（1）具有独立承担民事责任的能力</w:t>
      </w:r>
      <w:r>
        <w:rPr>
          <w:rFonts w:hint="eastAsia" w:ascii="宋体" w:hAnsi="宋体" w:cs="宋体"/>
          <w:b/>
          <w:szCs w:val="21"/>
        </w:rPr>
        <w:t xml:space="preserve">（提供法人或者其他组织的营业执照；供应商为自然人的提供其身份证）；</w:t>
      </w:r>
      <w:r>
        <w:rPr>
          <w:rFonts w:hint="eastAsia" w:ascii="宋体" w:hAnsi="宋体" w:cs="宋体"/>
          <w:bCs/>
          <w:szCs w:val="21"/>
        </w:rPr>
        <w:t xml:space="preserve"> </w:t>
      </w:r>
      <w:r/>
    </w:p>
    <w:p>
      <w:pPr>
        <w:ind w:firstLine="424"/>
        <w:spacing w:line="360" w:lineRule="auto"/>
        <w:rPr>
          <w:rFonts w:hint="eastAsia" w:ascii="宋体" w:hAnsi="宋体" w:cs="宋体"/>
        </w:rPr>
      </w:pPr>
      <w:r>
        <w:rPr>
          <w:rFonts w:hint="eastAsia" w:ascii="宋体" w:hAnsi="宋体" w:cs="宋体"/>
          <w:bCs/>
          <w:szCs w:val="21"/>
        </w:rPr>
        <w:t xml:space="preserve">（2）具有良好的商业信誉和健全的财务会计制度</w:t>
      </w:r>
      <w:r>
        <w:rPr>
          <w:rFonts w:hint="eastAsia" w:ascii="宋体" w:hAnsi="宋体" w:cs="宋体"/>
          <w:b/>
          <w:szCs w:val="21"/>
        </w:rPr>
        <w:t xml:space="preserve">（提供2025年度的财务报告，至少包含资产负债表、利润表；或投标截止时间前六个月内银行出具的资信证明;成立不满一年无须提供）；</w:t>
      </w:r>
      <w:r/>
    </w:p>
    <w:p>
      <w:pPr>
        <w:ind w:firstLine="424"/>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w:t>
      </w:r>
      <w:r>
        <w:rPr>
          <w:rFonts w:hint="eastAsia" w:ascii="宋体" w:hAnsi="宋体" w:cs="宋体"/>
          <w:b/>
          <w:szCs w:val="21"/>
        </w:rPr>
        <w:t xml:space="preserve">（供应商根据履行采购项目合同需要，提供履行合同所必需的设备和专业技术能力的证明材料或承诺书加盖公章）</w:t>
      </w:r>
      <w:r>
        <w:rPr>
          <w:rFonts w:hint="eastAsia" w:ascii="宋体" w:hAnsi="宋体" w:cs="宋体"/>
          <w:bCs/>
          <w:szCs w:val="21"/>
        </w:rPr>
        <w:t xml:space="preserve">；</w:t>
      </w:r>
      <w:r/>
    </w:p>
    <w:p>
      <w:pPr>
        <w:ind w:firstLine="424"/>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w:t>
      </w:r>
      <w:r>
        <w:rPr>
          <w:rFonts w:hint="eastAsia" w:ascii="宋体" w:hAnsi="宋体" w:cs="宋体"/>
          <w:b/>
          <w:szCs w:val="21"/>
        </w:rPr>
        <w:t xml:space="preserve">（提供自投标截止时间前六个月内任意一个月份：①提供缴纳税收的凭证；②提供缴纳社会保险的凭据，依法享受免缴、缓缴的，提供证明材料）</w:t>
      </w:r>
      <w:r>
        <w:rPr>
          <w:rFonts w:hint="eastAsia" w:ascii="宋体" w:hAnsi="宋体" w:cs="宋体"/>
          <w:bCs/>
          <w:szCs w:val="21"/>
        </w:rPr>
        <w:t xml:space="preserve">；</w:t>
      </w:r>
      <w:r/>
    </w:p>
    <w:p>
      <w:pPr>
        <w:ind w:firstLine="424"/>
        <w:spacing w:line="360" w:lineRule="auto"/>
        <w:rPr>
          <w:rFonts w:hint="eastAsia" w:ascii="宋体" w:hAnsi="宋体" w:cs="宋体"/>
          <w:bCs/>
          <w:szCs w:val="21"/>
        </w:rPr>
      </w:pPr>
      <w:r>
        <w:rPr>
          <w:rFonts w:hint="eastAsia" w:ascii="宋体" w:hAnsi="宋体" w:cs="宋体"/>
          <w:bCs/>
          <w:szCs w:val="21"/>
        </w:rPr>
        <w:t xml:space="preserve">（5）参加政府采购活动前三年内，在经营活动中没有重大违法记录</w:t>
      </w:r>
      <w:r>
        <w:rPr>
          <w:rFonts w:hint="eastAsia" w:ascii="宋体" w:hAnsi="宋体" w:cs="宋体"/>
          <w:b/>
          <w:szCs w:val="21"/>
        </w:rPr>
        <w:t xml:space="preserve">（提供承诺书加盖公章）</w:t>
      </w:r>
      <w:r>
        <w:rPr>
          <w:rFonts w:hint="eastAsia" w:ascii="宋体" w:hAnsi="宋体" w:cs="宋体"/>
          <w:bCs/>
          <w:szCs w:val="21"/>
        </w:rPr>
        <w:t xml:space="preserve">；</w:t>
      </w:r>
      <w:r/>
    </w:p>
    <w:p>
      <w:pPr>
        <w:ind w:firstLine="424"/>
        <w:spacing w:line="360" w:lineRule="auto"/>
        <w:rPr>
          <w:rFonts w:hint="eastAsia"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shd w:val="clear" w:color="auto" w:fill="ffffff" w:themeFill="background1"/>
        <w:widowControl/>
        <w:rPr>
          <w:rFonts w:hint="eastAsia" w:ascii="宋体" w:hAnsi="宋体" w:cs="宋体"/>
          <w:b/>
          <w:bCs/>
          <w:spacing w:val="8"/>
          <w:szCs w:val="21"/>
        </w:rPr>
      </w:pPr>
      <w:r>
        <w:rPr>
          <w:rFonts w:hint="eastAsia" w:ascii="宋体" w:hAnsi="宋体" w:cs="宋体"/>
          <w:b/>
          <w:bCs/>
          <w:spacing w:val="8"/>
          <w:szCs w:val="21"/>
        </w:rPr>
        <w:t xml:space="preserve">2.2落实政府采购政策需满足的资格要求：无。</w:t>
      </w:r>
      <w:r/>
    </w:p>
    <w:p>
      <w:pPr>
        <w:ind w:firstLine="454"/>
        <w:spacing w:line="360" w:lineRule="auto"/>
        <w:rPr>
          <w:rFonts w:hint="eastAsia" w:ascii="宋体" w:hAnsi="宋体" w:cs="宋体"/>
          <w:b/>
          <w:spacing w:val="8"/>
          <w:szCs w:val="21"/>
          <w:highlight w:val="yellow"/>
        </w:rPr>
      </w:pPr>
      <w:r>
        <w:rPr>
          <w:rFonts w:hint="eastAsia" w:ascii="宋体" w:hAnsi="宋体" w:cs="宋体"/>
          <w:b/>
          <w:spacing w:val="8"/>
          <w:szCs w:val="21"/>
        </w:rPr>
        <w:t xml:space="preserve">2.3采购人根据采购项目的特殊要求规定的特定条件，并提供符合特殊要求的证明材料或者情况说明：无。</w:t>
      </w:r>
      <w:r/>
    </w:p>
    <w:p>
      <w:pPr>
        <w:ind w:firstLine="454"/>
        <w:spacing w:line="360" w:lineRule="auto"/>
        <w:rPr>
          <w:rFonts w:hint="eastAsia" w:ascii="宋体" w:hAnsi="宋体" w:cs="宋体"/>
          <w:bCs/>
          <w:szCs w:val="21"/>
        </w:rPr>
      </w:pPr>
      <w:r>
        <w:rPr>
          <w:rFonts w:hint="eastAsia" w:ascii="宋体" w:hAnsi="宋体" w:cs="宋体"/>
          <w:b/>
          <w:spacing w:val="8"/>
          <w:szCs w:val="21"/>
        </w:rPr>
        <w:t xml:space="preserve">2.4第2.1（5）条所称重大违法记录，</w:t>
      </w:r>
      <w:r>
        <w:rPr>
          <w:rFonts w:hint="eastAsia" w:ascii="宋体" w:hAnsi="宋体" w:cs="宋体"/>
          <w:bCs/>
          <w:szCs w:val="21"/>
        </w:rPr>
        <w:t xml:space="preserve">是指供应商因违法经营受到刑事处罚或者责令停产停业、吊销许可证或者执照、较大数额罚款等行政处罚。</w:t>
      </w:r>
      <w:r/>
    </w:p>
    <w:p>
      <w:pPr>
        <w:ind w:firstLine="424"/>
        <w:spacing w:line="360" w:lineRule="auto"/>
        <w:rPr>
          <w:rFonts w:hint="eastAsia" w:ascii="宋体" w:hAnsi="宋体" w:cs="宋体"/>
          <w:bCs/>
          <w:szCs w:val="21"/>
        </w:rPr>
      </w:pPr>
      <w:r>
        <w:rPr>
          <w:rFonts w:hint="eastAsia" w:ascii="宋体" w:hAnsi="宋体" w:cs="宋体"/>
          <w:bCs/>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2.6单位负责人为同一人或者存在直接控股、管理关系的不同供应商，不得参加同一合同项下的政府采购活动。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三、获取招标文件</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w:t>
      </w:r>
      <w:r/>
    </w:p>
    <w:p>
      <w:pPr>
        <w:ind w:firstLine="424"/>
        <w:spacing w:line="360" w:lineRule="auto"/>
        <w:rPr>
          <w:rFonts w:hint="eastAsia"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四、提交投标文件截止时间、开标时间和地点</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ascii="SimSun" w:hAnsi="SimSun" w:eastAsia="SimSun" w:cs="SimSun"/>
          <w:b/>
          <w:color w:val="000000"/>
          <w:sz w:val="21"/>
        </w:rPr>
        <w:t xml:space="preserve">2026</w:t>
      </w:r>
      <w:r>
        <w:rPr>
          <w:rFonts w:ascii="SimSun" w:hAnsi="SimSun" w:eastAsia="SimSun" w:cs="SimSun"/>
          <w:b/>
          <w:color w:val="000000"/>
          <w:spacing w:val="8"/>
          <w:sz w:val="21"/>
        </w:rPr>
        <w:t xml:space="preserve">年11月20日</w:t>
      </w:r>
      <w:r>
        <w:rPr>
          <w:rFonts w:ascii="SimSun" w:hAnsi="SimSun" w:eastAsia="SimSun" w:cs="SimSun"/>
          <w:b/>
          <w:color w:val="000000"/>
          <w:sz w:val="21"/>
        </w:rPr>
        <w:t xml:space="preserve">14</w:t>
      </w:r>
      <w:r>
        <w:rPr>
          <w:rFonts w:ascii="SimSun" w:hAnsi="SimSun" w:eastAsia="SimSun" w:cs="SimSun"/>
          <w:b/>
          <w:color w:val="000000"/>
          <w:spacing w:val="8"/>
          <w:sz w:val="21"/>
        </w:rPr>
        <w:t xml:space="preserve">点</w:t>
      </w:r>
      <w:r>
        <w:rPr>
          <w:rFonts w:ascii="SimSun" w:hAnsi="SimSun" w:eastAsia="SimSun" w:cs="SimSun"/>
          <w:b/>
          <w:color w:val="000000"/>
          <w:sz w:val="21"/>
        </w:rPr>
        <w:t xml:space="preserve">00</w:t>
      </w:r>
      <w:r>
        <w:rPr>
          <w:rFonts w:ascii="SimSun" w:hAnsi="SimSun" w:eastAsia="SimSun" w:cs="SimSun"/>
          <w:b/>
          <w:color w:val="000000"/>
          <w:spacing w:val="8"/>
          <w:sz w:val="21"/>
        </w:rPr>
        <w:t xml:space="preserve">分</w:t>
      </w:r>
      <w:r>
        <w:rPr>
          <w:rFonts w:hint="eastAsia" w:ascii="宋体" w:hAnsi="宋体" w:cs="宋体"/>
          <w:spacing w:val="15"/>
          <w:szCs w:val="21"/>
          <w:shd w:val="clear" w:color="auto" w:fill="ffffff"/>
        </w:rPr>
      </w:r>
      <w:r>
        <w:rPr>
          <w:rFonts w:hint="eastAsia" w:ascii="宋体" w:hAnsi="宋体" w:cs="宋体"/>
          <w:spacing w:val="8"/>
          <w:szCs w:val="21"/>
        </w:rPr>
        <w:t xml:space="preserve">（北京时间）</w:t>
      </w:r>
      <w:r/>
    </w:p>
    <w:p>
      <w:pPr>
        <w:pStyle w:val="730"/>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4.2地点：江苏省政府采购管理交易系统（苏采云）（以下简称“苏采云”）（网址：</w:t>
      </w:r>
      <w:r>
        <w:rPr>
          <w:rFonts w:hint="eastAsia"/>
        </w:rPr>
        <w:fldChar w:fldCharType="begin"/>
      </w:r>
      <w:r>
        <w:instrText xml:space="preserve"> HYPERLINK "http://jszfcg.jsczt.cn/）" </w:instrText>
      </w:r>
      <w:r>
        <w:rPr>
          <w:rFonts w:hint="eastAsia"/>
        </w:rPr>
        <w:fldChar w:fldCharType="separate"/>
      </w:r>
      <w:r>
        <w:rPr>
          <w:rFonts w:hint="eastAsia"/>
          <w:spacing w:val="15"/>
          <w:sz w:val="21"/>
          <w:szCs w:val="21"/>
          <w:shd w:val="clear" w:color="auto" w:fill="ffffff"/>
        </w:rPr>
        <w:t xml:space="preserve">https://jszfcg.jsczt.cn）</w:t>
      </w:r>
      <w:r>
        <w:rPr>
          <w:rFonts w:hint="eastAsia"/>
          <w:spacing w:val="15"/>
          <w:sz w:val="21"/>
          <w:szCs w:val="21"/>
          <w:shd w:val="clear" w:color="auto" w:fill="ffffff"/>
        </w:rPr>
        <w:fldChar w:fldCharType="end"/>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五、公告期限</w:t>
      </w:r>
      <w:r/>
    </w:p>
    <w:p>
      <w:pPr>
        <w:ind w:firstLine="370"/>
        <w:spacing w:line="360" w:lineRule="auto"/>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自本公告发布之日起5个工作日。</w:t>
      </w:r>
      <w:r/>
    </w:p>
    <w:p>
      <w:pPr>
        <w:spacing w:line="360" w:lineRule="auto"/>
        <w:shd w:val="clear" w:color="auto" w:fill="ffffff" w:themeFill="background1"/>
        <w:widowControl/>
        <w:rPr>
          <w:rFonts w:hint="eastAsia" w:ascii="宋体" w:hAnsi="宋体" w:cs="宋体"/>
          <w:b/>
          <w:spacing w:val="8"/>
          <w:sz w:val="24"/>
        </w:rPr>
        <w:outlineLvl w:val="1"/>
      </w:pPr>
      <w:r>
        <w:rPr>
          <w:rFonts w:hint="eastAsia" w:ascii="宋体" w:hAnsi="宋体" w:cs="宋体"/>
          <w:b/>
          <w:spacing w:val="8"/>
          <w:sz w:val="24"/>
        </w:rPr>
        <w:t xml:space="preserve">六、其他补充事宜</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6.1本项目在</w:t>
      </w:r>
      <w:r>
        <w:rPr>
          <w:rFonts w:hint="eastAsia" w:ascii="宋体" w:hAnsi="宋体" w:cs="宋体"/>
          <w:b/>
          <w:szCs w:val="21"/>
          <w:u w:val="single"/>
        </w:rPr>
        <w:t xml:space="preserve">江苏政府采购网、中国政府采购网</w:t>
      </w:r>
      <w:r>
        <w:rPr>
          <w:rFonts w:hint="eastAsia" w:ascii="宋体" w:hAnsi="宋体" w:cs="宋体"/>
          <w:bCs/>
          <w:szCs w:val="21"/>
          <w:lang w:val="zh-CN"/>
        </w:rPr>
        <w:t xml:space="preserve">发布公告。</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6.2勘察现场或答疑地点：无。</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6.3获取招标文件方式补充：本项目采用网上注册登记方式。</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①潜在供应商访问电子招标响应交易平台的网络地址和方法：</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②潜在供应商访问“苏采云”系统的网络地址和方法：“苏采云”系统的网址：http：//jszfcg.jsczt.cn/。</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③“CA数字证书”的获取：</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响应供应商需办理“CA 数字证书”，CA办理指南及“苏采云”操作手册可至江苏省政府采购网―办事指南-资料下载中心下载。</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通过苏采云系统首页（http：//jszfcg.jscz.gov.cn/）的“苏采云控件驱动下载”，选择“政务CA、方正签章控件驱动安装包及安装说明”下载安装，具体安装方法详见下载文件内的《安装说明》。</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④采购文件（后缀名为“.kedt”）、供应商操作手册及政府采购客户端工具可通过“苏采云”系统--已报名项目--报名详情页面内相应链接进行下载。</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⑤采购人或采购代理机构将数据电文形式的采购文件加载至“苏采云”系统，供潜在供应商下载或者查阅。</w:t>
      </w:r>
      <w:r/>
    </w:p>
    <w:p>
      <w:pPr>
        <w:ind w:firstLine="484"/>
        <w:spacing w:line="360" w:lineRule="auto"/>
        <w:rPr>
          <w:rFonts w:hint="eastAsia" w:ascii="宋体" w:hAnsi="宋体" w:cs="宋体"/>
          <w:spacing w:val="15"/>
          <w:szCs w:val="21"/>
          <w:shd w:val="clear" w:color="auto" w:fill="ffffff"/>
        </w:rPr>
      </w:pPr>
      <w:r>
        <w:rPr>
          <w:rFonts w:hint="eastAsia" w:ascii="宋体" w:hAnsi="宋体" w:cs="宋体"/>
          <w:spacing w:val="15"/>
          <w:szCs w:val="21"/>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shd w:val="clear" w:color="auto" w:fill="ffffff" w:themeFill="background1"/>
        <w:widowControl/>
        <w:rPr>
          <w:rFonts w:hint="eastAsia" w:ascii="宋体" w:hAnsi="宋体" w:cs="宋体"/>
          <w:b/>
          <w:spacing w:val="8"/>
          <w:sz w:val="24"/>
        </w:rPr>
      </w:pPr>
      <w:r>
        <w:rPr>
          <w:rFonts w:hint="eastAsia" w:ascii="宋体" w:hAnsi="宋体" w:cs="宋体"/>
          <w:b/>
          <w:spacing w:val="8"/>
          <w:sz w:val="24"/>
        </w:rPr>
        <w:t xml:space="preserve">七、对本次招标提出询问，请按以下方式联系</w:t>
      </w:r>
      <w:bookmarkEnd w:id="5"/>
      <w:bookmarkEnd w:id="6"/>
      <w:bookmarkEnd w:id="7"/>
      <w:bookmarkEnd w:id="8"/>
      <w:bookmarkEnd w:id="10"/>
      <w:bookmarkEnd w:id="11"/>
      <w:bookmarkEnd w:id="12"/>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7.1采购人信息</w:t>
      </w:r>
      <w:r/>
    </w:p>
    <w:p>
      <w:pPr>
        <w:ind w:firstLine="452"/>
        <w:jc w:val="left"/>
        <w:spacing w:line="360" w:lineRule="auto"/>
        <w:widowControl/>
        <w:rPr>
          <w:rFonts w:hint="eastAsia" w:ascii="宋体" w:hAnsi="宋体" w:cs="宋体"/>
          <w:spacing w:val="8"/>
          <w:szCs w:val="21"/>
        </w:rPr>
      </w:pPr>
      <w:r>
        <w:rPr>
          <w:rFonts w:hint="eastAsia" w:ascii="宋体" w:hAnsi="宋体" w:cs="宋体"/>
          <w:spacing w:val="8"/>
          <w:szCs w:val="21"/>
        </w:rPr>
        <w:t xml:space="preserve">名称：南京工业职业技术大学 </w:t>
      </w:r>
      <w:r/>
    </w:p>
    <w:p>
      <w:pPr>
        <w:ind w:firstLine="452"/>
        <w:jc w:val="left"/>
        <w:spacing w:line="360" w:lineRule="auto"/>
        <w:widowControl/>
        <w:rPr>
          <w:rFonts w:hint="eastAsia" w:ascii="宋体" w:hAnsi="宋体" w:cs="宋体"/>
          <w:spacing w:val="8"/>
          <w:szCs w:val="21"/>
        </w:rPr>
      </w:pPr>
      <w:r>
        <w:rPr>
          <w:rFonts w:hint="eastAsia" w:ascii="宋体" w:hAnsi="宋体" w:cs="宋体"/>
          <w:spacing w:val="8"/>
          <w:szCs w:val="21"/>
        </w:rPr>
        <w:t xml:space="preserve">地址：南京市栖霞区仙林大学城羊山北路1号</w:t>
      </w:r>
      <w:r/>
    </w:p>
    <w:p>
      <w:pPr>
        <w:ind w:firstLine="452"/>
        <w:jc w:val="left"/>
        <w:spacing w:line="360" w:lineRule="auto"/>
        <w:widowControl/>
        <w:rPr>
          <w:rFonts w:hint="eastAsia" w:ascii="宋体" w:hAnsi="宋体" w:cs="宋体"/>
          <w:spacing w:val="8"/>
          <w:szCs w:val="21"/>
        </w:rPr>
      </w:pPr>
      <w:r>
        <w:rPr>
          <w:rFonts w:hint="eastAsia" w:ascii="宋体" w:hAnsi="宋体" w:cs="宋体"/>
          <w:spacing w:val="8"/>
          <w:szCs w:val="21"/>
        </w:rPr>
        <w:t xml:space="preserve">联系人：纪老师</w:t>
      </w:r>
      <w:r/>
    </w:p>
    <w:p>
      <w:pPr>
        <w:ind w:firstLine="452"/>
        <w:jc w:val="left"/>
        <w:spacing w:line="360" w:lineRule="auto"/>
        <w:widowControl/>
        <w:rPr>
          <w:rFonts w:hint="eastAsia" w:ascii="宋体" w:hAnsi="宋体" w:cs="宋体"/>
          <w:spacing w:val="8"/>
          <w:szCs w:val="21"/>
        </w:rPr>
      </w:pPr>
      <w:r>
        <w:rPr>
          <w:rFonts w:hint="eastAsia" w:ascii="宋体" w:hAnsi="宋体" w:cs="宋体"/>
          <w:spacing w:val="8"/>
          <w:szCs w:val="21"/>
          <w:lang w:val="zh-CN"/>
        </w:rPr>
        <w:t xml:space="preserve">联系电话：025-85864066</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7.2采购代理机构信息</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名 称：南京汇采项目管理有限公司</w:t>
      </w:r>
      <w:r/>
    </w:p>
    <w:p>
      <w:pPr>
        <w:ind w:firstLine="424"/>
        <w:spacing w:line="360" w:lineRule="auto"/>
        <w:rPr>
          <w:rFonts w:hint="eastAsia" w:ascii="宋体" w:hAnsi="宋体" w:cs="宋体"/>
          <w:bCs/>
          <w:szCs w:val="21"/>
        </w:rPr>
      </w:pPr>
      <w:r>
        <w:rPr>
          <w:rFonts w:hint="eastAsia" w:ascii="宋体" w:hAnsi="宋体" w:cs="宋体"/>
          <w:bCs/>
          <w:szCs w:val="21"/>
          <w:lang w:val="zh-CN"/>
        </w:rPr>
        <w:t xml:space="preserve">地　址：南京市汉中门大街1号金鹰汉中新城17楼</w:t>
      </w:r>
      <w:bookmarkStart w:id="37" w:name="_GoBack"/>
      <w:r/>
      <w:bookmarkEnd w:id="37"/>
      <w:r>
        <w:rPr>
          <w:rFonts w:hint="eastAsia" w:ascii="宋体" w:hAnsi="宋体" w:cs="宋体"/>
          <w:bCs/>
          <w:szCs w:val="21"/>
          <w:lang w:val="zh-CN"/>
        </w:rPr>
        <w:t xml:space="preserve">A座</w:t>
      </w:r>
      <w:r/>
    </w:p>
    <w:p>
      <w:pPr>
        <w:ind w:firstLine="424"/>
        <w:spacing w:line="360" w:lineRule="auto"/>
        <w:rPr>
          <w:rFonts w:hint="eastAsia" w:ascii="宋体" w:hAnsi="宋体" w:cs="宋体"/>
          <w:bCs/>
          <w:szCs w:val="21"/>
        </w:rPr>
      </w:pPr>
      <w:r>
        <w:rPr>
          <w:rFonts w:hint="eastAsia" w:ascii="宋体" w:hAnsi="宋体" w:cs="宋体"/>
          <w:bCs/>
          <w:szCs w:val="21"/>
          <w:lang w:val="zh-CN"/>
        </w:rPr>
        <w:t xml:space="preserve">联系方式：</w:t>
      </w:r>
      <w:bookmarkStart w:id="14" w:name="_Hlk8391416"/>
      <w:r>
        <w:rPr>
          <w:rFonts w:hint="eastAsia" w:ascii="宋体" w:hAnsi="宋体" w:cs="宋体"/>
          <w:bCs/>
          <w:szCs w:val="21"/>
          <w:lang w:val="zh-CN"/>
        </w:rPr>
        <w:t xml:space="preserve">025-8</w:t>
      </w:r>
      <w:bookmarkEnd w:id="14"/>
      <w:r>
        <w:rPr>
          <w:rFonts w:hint="eastAsia" w:ascii="宋体" w:hAnsi="宋体" w:cs="宋体"/>
          <w:bCs/>
          <w:szCs w:val="21"/>
          <w:lang w:val="zh-CN"/>
        </w:rPr>
        <w:t xml:space="preserve">6606690</w:t>
      </w:r>
      <w:r/>
    </w:p>
    <w:p>
      <w:pPr>
        <w:ind w:firstLine="424"/>
        <w:spacing w:line="360" w:lineRule="auto"/>
        <w:rPr>
          <w:rFonts w:hint="eastAsia" w:ascii="宋体" w:hAnsi="宋体" w:cs="宋体"/>
          <w:bCs/>
          <w:szCs w:val="21"/>
          <w:lang w:val="zh-CN"/>
        </w:rPr>
      </w:pPr>
      <w:r>
        <w:rPr>
          <w:rFonts w:hint="eastAsia" w:ascii="宋体" w:hAnsi="宋体" w:cs="宋体"/>
          <w:bCs/>
          <w:szCs w:val="21"/>
          <w:lang w:val="zh-CN"/>
        </w:rPr>
        <w:t xml:space="preserve">7.3项目联系方式</w:t>
      </w:r>
      <w:r/>
    </w:p>
    <w:p>
      <w:pPr>
        <w:ind w:firstLine="424"/>
        <w:spacing w:line="360" w:lineRule="auto"/>
        <w:rPr>
          <w:rFonts w:hint="eastAsia" w:ascii="宋体" w:hAnsi="宋体" w:cs="宋体"/>
          <w:bCs/>
          <w:szCs w:val="21"/>
        </w:rPr>
      </w:pPr>
      <w:r>
        <w:rPr>
          <w:rFonts w:hint="eastAsia" w:ascii="宋体" w:hAnsi="宋体" w:cs="宋体"/>
          <w:bCs/>
          <w:szCs w:val="21"/>
          <w:lang w:val="zh-CN"/>
        </w:rPr>
        <w:t xml:space="preserve">项目联系人：</w:t>
      </w:r>
      <w:r>
        <w:rPr>
          <w:rFonts w:hint="eastAsia" w:ascii="Arial" w:hAnsi="Arial" w:cs="Arial"/>
          <w:bCs/>
          <w:szCs w:val="21"/>
          <w:lang w:val="zh-CN"/>
        </w:rPr>
        <w:t xml:space="preserve">孙莹、郑吉玉</w:t>
      </w:r>
      <w:r/>
    </w:p>
    <w:p>
      <w:pPr>
        <w:ind w:firstLine="424"/>
        <w:spacing w:line="360" w:lineRule="auto"/>
        <w:rPr>
          <w:rFonts w:hint="eastAsia" w:ascii="宋体" w:hAnsi="宋体" w:cs="宋体"/>
          <w:bCs/>
          <w:szCs w:val="21"/>
        </w:rPr>
      </w:pPr>
      <w:r>
        <w:rPr>
          <w:rFonts w:hint="eastAsia" w:ascii="宋体" w:hAnsi="宋体" w:cs="宋体"/>
          <w:bCs/>
          <w:szCs w:val="21"/>
          <w:lang w:val="zh-CN"/>
        </w:rPr>
        <w:t xml:space="preserve">电　话</w:t>
      </w:r>
      <w:r>
        <w:rPr>
          <w:rFonts w:hint="eastAsia" w:ascii="宋体" w:hAnsi="宋体" w:cs="宋体"/>
          <w:bCs/>
          <w:szCs w:val="21"/>
        </w:rPr>
        <w:t xml:space="preserve">：025-86606690</w:t>
      </w:r>
      <w:r/>
    </w:p>
    <w:p>
      <w:pPr>
        <w:ind w:firstLine="424"/>
        <w:spacing w:line="360" w:lineRule="auto"/>
        <w:rPr>
          <w:rFonts w:hint="eastAsia" w:ascii="宋体" w:hAnsi="宋体" w:cs="宋体"/>
          <w:bCs/>
          <w:szCs w:val="21"/>
        </w:rPr>
      </w:pPr>
      <w:r>
        <w:rPr>
          <w:rFonts w:hint="eastAsia" w:ascii="宋体" w:hAnsi="宋体" w:cs="宋体"/>
          <w:bCs/>
          <w:szCs w:val="21"/>
        </w:rPr>
        <w:t xml:space="preserve">邮箱：baoming@huicai.cloud</w:t>
      </w:r>
      <w:bookmarkEnd w:id="4"/>
      <w:bookmarkEnd w:id="9"/>
      <w:bookmarkEnd w:id="13"/>
      <w:r/>
    </w:p>
    <w:p>
      <w:pPr>
        <w:jc w:val="left"/>
        <w:widowControl/>
        <w:rPr>
          <w:rFonts w:hint="eastAsia" w:ascii="宋体" w:hAnsi="宋体" w:cs="宋体"/>
          <w:szCs w:val="21"/>
        </w:rPr>
      </w:pPr>
      <w:r>
        <w:rPr>
          <w:rFonts w:hint="eastAsia" w:ascii="宋体" w:hAnsi="宋体" w:cs="宋体"/>
          <w:szCs w:val="21"/>
        </w:rPr>
        <w:br w:type="page" w:clear="all"/>
      </w:r>
      <w:r/>
    </w:p>
    <w:p>
      <w:pPr>
        <w:pStyle w:val="689"/>
        <w:numPr>
          <w:ilvl w:val="0"/>
          <w:numId w:val="0"/>
        </w:numPr>
        <w:rPr>
          <w:rFonts w:hint="eastAsia" w:ascii="宋体" w:hAnsi="宋体" w:cs="宋体"/>
        </w:rPr>
      </w:pPr>
      <w:r/>
      <w:bookmarkStart w:id="15" w:name="_Toc26745"/>
      <w:r>
        <w:rPr>
          <w:rFonts w:hint="eastAsia" w:ascii="宋体" w:hAnsi="宋体" w:cs="宋体"/>
        </w:rPr>
        <w:t xml:space="preserve">第二章</w:t>
      </w:r>
      <w:bookmarkStart w:id="16" w:name="_Toc452625218"/>
      <w:r>
        <w:rPr>
          <w:rFonts w:hint="eastAsia" w:ascii="宋体" w:hAnsi="宋体" w:cs="宋体"/>
        </w:rPr>
        <w:t xml:space="preserve"> 供应商须知</w:t>
      </w:r>
      <w:bookmarkEnd w:id="15"/>
      <w:r/>
      <w:bookmarkEnd w:id="16"/>
      <w:r/>
      <w:r/>
    </w:p>
    <w:p>
      <w:pPr>
        <w:ind w:firstLine="424"/>
        <w:spacing w:line="360" w:lineRule="auto"/>
        <w:shd w:val="clear" w:color="auto" w:fill="ffffff"/>
        <w:widowControl/>
        <w:rPr>
          <w:rFonts w:hint="eastAsia" w:ascii="宋体" w:hAnsi="宋体" w:cs="宋体"/>
          <w:szCs w:val="21"/>
        </w:rPr>
      </w:pPr>
      <w:r/>
      <w:bookmarkStart w:id="17" w:name="_Toc481057145"/>
      <w:r/>
      <w:bookmarkStart w:id="18" w:name="_Toc25340"/>
      <w:r>
        <w:rPr>
          <w:rFonts w:hint="eastAsia" w:ascii="宋体" w:hAnsi="宋体" w:cs="宋体"/>
          <w:b/>
          <w:bCs/>
          <w:szCs w:val="21"/>
        </w:rPr>
        <w:t xml:space="preserve">一、总 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2.2“供应商（供应商）”是指参加投标竞争，并符合招标文件规定资格条件的法人、其他组织或者自然人。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3.7本国产品支持政策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（1）本国产品标准适</w:t>
      </w:r>
      <w:r>
        <w:rPr>
          <w:rFonts w:hint="eastAsia" w:ascii="宋体" w:hAnsi="宋体" w:cs="宋体"/>
          <w:szCs w:val="21"/>
        </w:rPr>
        <w:t xml:space="preserve">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4.1招标文件包括以下主要内容：采购公告；供应商须知；供应商应当提交的资格、资信证明文件；为</w:t>
      </w:r>
      <w:r>
        <w:rPr>
          <w:rFonts w:hint="eastAsia" w:ascii="宋体" w:hAnsi="宋体" w:cs="宋体"/>
          <w:szCs w:val="21"/>
        </w:rPr>
        <w:t xml:space="preserve">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4.2招标的最小单位是包。招标货物数量及技术要求中未分包的，供应商对要求提供的货物和服务不得部分投标；招标货物数量及技术要求中已经分包的，可以以包为单位投标。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4.3采购代理机构如果要求供应商按照招标文件规定提交备选投标方案的，供应商可以提交备选方案；否则，备选方案将被拒绝。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6.2供应商所使用的计量单位应为国家法定计量单位。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6.3供应商应用人民币报价。投标产品如果是进口产品的，应提供人民币与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6.4供应商应在投标文件中写清相应的项目编号、项目名称、供应商全称、地址、电话、传真等。</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6.5</w:t>
      </w:r>
      <w:r>
        <w:rPr>
          <w:rFonts w:hint="eastAsia" w:ascii="宋体" w:hAnsi="宋体" w:cs="宋体"/>
          <w:szCs w:val="21"/>
        </w:rPr>
        <w:t xml:space="preserve">供应商根据招标文件载明的标的采购项目实际情况，拟在中标后将中标项目的非主体、非关键性工作交由他人完成的，应当在投标文件中载明。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7、联合体投标</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7.1 两个以上的自然人、法人或者其他组织可以组成一个联合体，以一个供应商的身份共同参加政府采购。</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7.2 联合体中有同类资质的供应商按照联合体分工承担相同工作的，按照资质等级较低的供应商确定资质等级。</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7.4 以联合体形式参加政府采购活动的，联合体各方不得再单独参加或者与其他供应商另外组成联合体参加同一合同项下的政府采购活动。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szCs w:val="21"/>
        </w:rPr>
        <w:t xml:space="preserve">8.1供应商应当根据招标文件要求编制投标文件，投标文件应对招标文件提出的要求和条件作出实质性响应，并在《商务条款偏离表》和《技术条款偏离表》等处逐条标明满足与否。</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9.1商务部分内容是证明供应商有资格参加投标和中标后有能力履行合同的文件，这些文件应能满足招标的要求，包括但不限于下列文件（</w:t>
      </w:r>
      <w:r>
        <w:rPr>
          <w:rFonts w:hint="eastAsia" w:ascii="宋体" w:hAnsi="宋体" w:cs="宋体"/>
          <w:b/>
          <w:szCs w:val="21"/>
        </w:rPr>
        <w:t xml:space="preserve">（1）-（4）所述材料不得有缺失或提供不全或不满足招标文件的实质性要求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（2）法定代表人授权书及委托代理人的身份证明文件的复印件</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（3）供应商资格资信证明文件：</w:t>
      </w:r>
      <w:r/>
    </w:p>
    <w:p>
      <w:pPr>
        <w:pStyle w:val="844"/>
        <w:numPr>
          <w:ilvl w:val="1"/>
          <w:numId w:val="5"/>
        </w:numPr>
        <w:ind w:left="0" w:firstLine="367"/>
        <w:spacing w:line="360" w:lineRule="auto"/>
        <w:tabs>
          <w:tab w:val="left" w:pos="840" w:leader="none"/>
          <w:tab w:val="clear" w:pos="990" w:leader="none"/>
        </w:tabs>
        <w:rPr>
          <w:rFonts w:hint="eastAsia" w:ascii="宋体" w:hAnsi="宋体" w:cs="宋体"/>
          <w:bCs/>
          <w:szCs w:val="21"/>
        </w:rPr>
      </w:pPr>
      <w:r>
        <w:rPr>
          <w:rFonts w:hint="eastAsia" w:ascii="宋体" w:hAnsi="宋体" w:cs="宋体"/>
          <w:bCs/>
          <w:szCs w:val="21"/>
        </w:rPr>
        <w:t xml:space="preserve">第一章采购公告中 2.1《中华人民共和国政府采购法》规定的资格条件证明文件；</w:t>
      </w:r>
      <w:r/>
    </w:p>
    <w:p>
      <w:pPr>
        <w:pStyle w:val="844"/>
        <w:numPr>
          <w:ilvl w:val="1"/>
          <w:numId w:val="5"/>
        </w:numPr>
        <w:ind w:left="0" w:firstLine="367"/>
        <w:spacing w:line="360" w:lineRule="auto"/>
        <w:tabs>
          <w:tab w:val="left" w:pos="840" w:leader="none"/>
          <w:tab w:val="clear" w:pos="990" w:leader="none"/>
        </w:tabs>
        <w:rPr>
          <w:rFonts w:hint="eastAsia" w:ascii="宋体" w:hAnsi="宋体" w:cs="宋体"/>
          <w:bCs/>
          <w:szCs w:val="21"/>
        </w:rPr>
      </w:pPr>
      <w:r>
        <w:rPr>
          <w:rFonts w:hint="eastAsia" w:ascii="宋体" w:hAnsi="宋体" w:cs="宋体"/>
          <w:bCs/>
          <w:szCs w:val="21"/>
        </w:rPr>
        <w:t xml:space="preserve">第一章采购公告中 2.2</w:t>
      </w:r>
      <w:r>
        <w:rPr>
          <w:rFonts w:hint="eastAsia" w:ascii="宋体" w:hAnsi="宋体" w:cs="宋体"/>
          <w:spacing w:val="8"/>
          <w:szCs w:val="21"/>
        </w:rPr>
        <w:t xml:space="preserve">落实政府采购政策需满足的资格要求；</w:t>
      </w:r>
      <w:r/>
    </w:p>
    <w:p>
      <w:pPr>
        <w:pStyle w:val="844"/>
        <w:numPr>
          <w:ilvl w:val="1"/>
          <w:numId w:val="5"/>
        </w:numPr>
        <w:ind w:left="0" w:firstLine="367"/>
        <w:spacing w:line="360" w:lineRule="auto"/>
        <w:tabs>
          <w:tab w:val="left" w:pos="840" w:leader="none"/>
          <w:tab w:val="clear" w:pos="990" w:leader="none"/>
        </w:tabs>
        <w:rPr>
          <w:rFonts w:hint="eastAsia" w:ascii="宋体" w:hAnsi="宋体" w:cs="宋体"/>
          <w:bCs/>
          <w:szCs w:val="21"/>
        </w:rPr>
      </w:pPr>
      <w:r>
        <w:rPr>
          <w:rFonts w:hint="eastAsia" w:ascii="宋体" w:hAnsi="宋体" w:cs="宋体"/>
          <w:bCs/>
          <w:szCs w:val="21"/>
        </w:rPr>
        <w:t xml:space="preserve">第一章采购公告中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（4）开标一览表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（5）《商务条款偏离表》；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（6）第三章评标标准中对应的所需证明材料；</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（7）其它。</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供应商提供的货物和服务是合格的、并符合招标文件要求的证明文件，以及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（2）《技术条款偏离表》；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（4）供应商拟投入本项目的设备、人员情况一览表；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（5）供应商认为需要提供的其他技术资料。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及供应商认为需要的其他费用等</w:t>
      </w:r>
      <w:r>
        <w:rPr>
          <w:rFonts w:hint="eastAsia" w:ascii="宋体" w:hAnsi="宋体" w:cs="宋体"/>
          <w:b/>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11.3供应商的任何错漏、优惠、竞争性报价不得作为减轻责任、减少服务、增加收费、降低质量的理由。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供应商应在《开标一览表》《分项报价表》等标明投标货物和服务的单价、总价以及分项报价等。</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11.6本项目预算为：详见第一章。</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其他部分由供应商根据编制投标文件需要提供的其他相关文件组成。</w:t>
      </w:r>
      <w:r/>
    </w:p>
    <w:p>
      <w:pPr>
        <w:ind w:firstLine="420"/>
        <w:spacing w:line="360" w:lineRule="auto"/>
        <w:widowControl/>
        <w:rPr>
          <w:rFonts w:hint="eastAsia" w:ascii="宋体" w:hAnsi="宋体" w:cs="宋体"/>
          <w:szCs w:val="21"/>
        </w:rPr>
      </w:pPr>
      <w:r>
        <w:rPr>
          <w:rFonts w:hint="eastAsia" w:ascii="宋体" w:hAnsi="宋体" w:cs="宋体"/>
          <w:szCs w:val="21"/>
        </w:rPr>
        <w:t xml:space="preserve">12.2</w:t>
      </w:r>
      <w:r>
        <w:rPr>
          <w:rFonts w:hint="eastAsia" w:ascii="宋体" w:hAnsi="宋体" w:cs="宋体"/>
          <w:color w:val="000000"/>
          <w:szCs w:val="21"/>
        </w:rPr>
        <w:t xml:space="preserve"> </w:t>
      </w:r>
      <w:r>
        <w:rPr>
          <w:rFonts w:hint="eastAsia" w:ascii="宋体" w:hAnsi="宋体" w:cs="宋体"/>
          <w:color w:val="000000"/>
          <w:szCs w:val="21"/>
          <w:lang w:val="zh-CN"/>
        </w:rPr>
        <w:t xml:space="preserve">如标书制作工具中格式和内容与“江苏政府采购网、中国政府采购网”发布的</w:t>
      </w:r>
      <w:r>
        <w:rPr>
          <w:rFonts w:hint="eastAsia" w:ascii="宋体" w:hAnsi="宋体" w:cs="宋体"/>
          <w:color w:val="000000"/>
          <w:szCs w:val="21"/>
        </w:rPr>
        <w:t xml:space="preserve">采购</w:t>
      </w:r>
      <w:r>
        <w:rPr>
          <w:rFonts w:hint="eastAsia" w:ascii="宋体" w:hAnsi="宋体" w:cs="宋体"/>
          <w:color w:val="000000"/>
          <w:szCs w:val="21"/>
          <w:lang w:val="zh-CN"/>
        </w:rPr>
        <w:t xml:space="preserve">文件不一致，以</w:t>
      </w:r>
      <w:r>
        <w:rPr>
          <w:rFonts w:hint="eastAsia" w:ascii="宋体" w:hAnsi="宋体" w:cs="宋体"/>
          <w:color w:val="000000"/>
          <w:szCs w:val="21"/>
        </w:rPr>
        <w:t xml:space="preserve">上述网站</w:t>
      </w:r>
      <w:r>
        <w:rPr>
          <w:rFonts w:hint="eastAsia" w:ascii="宋体" w:hAnsi="宋体" w:cs="宋体"/>
          <w:color w:val="000000"/>
          <w:szCs w:val="21"/>
          <w:lang w:val="zh-CN"/>
        </w:rPr>
        <w:t xml:space="preserve">发布的</w:t>
      </w:r>
      <w:r>
        <w:rPr>
          <w:rFonts w:hint="eastAsia" w:ascii="宋体" w:hAnsi="宋体" w:cs="宋体"/>
          <w:color w:val="000000"/>
          <w:szCs w:val="21"/>
        </w:rPr>
        <w:t xml:space="preserve">采购</w:t>
      </w:r>
      <w:r>
        <w:rPr>
          <w:rFonts w:hint="eastAsia" w:ascii="宋体" w:hAnsi="宋体" w:cs="宋体"/>
          <w:color w:val="000000"/>
          <w:szCs w:val="21"/>
          <w:lang w:val="zh-CN"/>
        </w:rPr>
        <w:t xml:space="preserve">文件为准。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13、本项目无需缴纳投标保证金。</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 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供应商应承担所有与准备和参加投标有关的费用，无论招标结果如何，采购代理机构和采购人在任何情况下均无义务和责任承担这些费用。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16.2 招标代理服务费：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招标代理服务费：本次招标，每分包中标人参照《招标代理服务费管理暂行办法》（国家发展计划委员会计价格〔2002〕1980号）代理 </w:t>
      </w:r>
      <w:r>
        <w:rPr>
          <w:rFonts w:hint="eastAsia" w:ascii="宋体" w:hAnsi="宋体" w:cs="宋体"/>
          <w:szCs w:val="21"/>
          <w:u w:val="single"/>
        </w:rPr>
        <w:t xml:space="preserve"> 货物  </w:t>
      </w:r>
      <w:r>
        <w:rPr>
          <w:rFonts w:hint="eastAsia" w:ascii="宋体" w:hAnsi="宋体" w:cs="宋体"/>
          <w:szCs w:val="21"/>
        </w:rPr>
        <w:t xml:space="preserve">招标收费基准费率</w:t>
      </w:r>
      <w:r>
        <w:rPr>
          <w:rFonts w:hint="eastAsia" w:ascii="宋体" w:hAnsi="宋体" w:cs="宋体"/>
          <w:szCs w:val="21"/>
          <w:u w:val="single"/>
        </w:rPr>
        <w:t xml:space="preserve"> 60 %</w:t>
      </w:r>
      <w:r>
        <w:rPr>
          <w:rFonts w:hint="eastAsia" w:ascii="宋体" w:hAnsi="宋体" w:cs="宋体"/>
          <w:szCs w:val="21"/>
        </w:rPr>
        <w:t xml:space="preserve">计算，在领取中标通知书前向采购代理机构支付招标服务费。如计算出的代理服务费低于4000元的，则按4000元收取。收费基数为中标分包预算金额。本项费用无需在投标报价表中单列。</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20.2在评标过程中发现供应商有上述情形的，评标委员会应当认定其投标无效。</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21.3投标人不足3家的，不得开标。</w:t>
      </w:r>
      <w:r/>
    </w:p>
    <w:p>
      <w:pPr>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widowControl/>
        <w:rPr>
          <w:rFonts w:hint="eastAsia" w:ascii="宋体" w:hAnsi="宋体" w:cs="宋体"/>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22.1 评标委员会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22.1.1评标委员会负责具体评标事务，并独立履行下列职责：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（三）对投标文件进行比较和评价；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 评标程序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（1）同一投标人提交两个（含两个）以上不同的投标报价的；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（2）投标文件未按照招标文件要求加盖电子公章的；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（3）报价超过招标文件中规定的预算金额或者最高限价的；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（4）投标文件含有采购人不能接受的附加条件的；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（5）投标文件内容不全或不符合招标文件中规定的其他实质性要求的；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（6）现行法律、法规、规章和招标文件规定的其他无效情形。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szCs w:val="21"/>
        </w:rPr>
        <w:t xml:space="preserve">★</w:t>
      </w:r>
      <w:r>
        <w:rPr>
          <w:rFonts w:hint="eastAsia" w:ascii="宋体" w:hAnsi="宋体" w:cs="宋体"/>
          <w:b/>
          <w:bCs/>
          <w:szCs w:val="21"/>
        </w:rPr>
        <w:t xml:space="preserve">”）或其他文字说明的商务和技术要求。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22.2.3澄清有关问题。</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评委会并非对每个投标人都做澄清要求。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 评标方法和标准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 评标委员会启动异常低价投标审查的情形和具体要求</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（3）投标报价低于本项目最高限价45%的，即投标报价&lt;本项目最高限价×45%；</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22.4.3 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22.4.4 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23、确定中标人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七、质疑和投诉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rPr>
      </w:pPr>
      <w:r>
        <w:rPr>
          <w:rFonts w:hint="eastAsia" w:ascii="宋体" w:hAnsi="宋体" w:cs="宋体"/>
          <w:szCs w:val="21"/>
        </w:rPr>
        <w:t xml:space="preserve">27.5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hint="eastAsia" w:ascii="宋体" w:hAnsi="宋体" w:cs="宋体"/>
          <w:szCs w:val="21"/>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hint="eastAsia" w:ascii="宋体" w:hAnsi="宋体" w:cs="宋体"/>
        </w:rPr>
      </w:pPr>
      <w:r>
        <w:rPr>
          <w:rFonts w:hint="eastAsia" w:ascii="宋体" w:hAnsi="宋体" w:cs="宋体"/>
        </w:rPr>
        <w:br w:type="page" w:clear="all"/>
      </w:r>
      <w:bookmarkEnd w:id="17"/>
      <w:bookmarkEnd w:id="18"/>
      <w:r/>
    </w:p>
    <w:p>
      <w:pPr>
        <w:pStyle w:val="689"/>
        <w:numPr>
          <w:ilvl w:val="0"/>
          <w:numId w:val="0"/>
        </w:numPr>
        <w:rPr>
          <w:rFonts w:hint="eastAsia" w:ascii="宋体" w:hAnsi="宋体" w:cs="宋体"/>
        </w:rPr>
      </w:pPr>
      <w:r/>
      <w:bookmarkStart w:id="19" w:name="_Toc28285"/>
      <w:r>
        <w:rPr>
          <w:rFonts w:hint="eastAsia" w:ascii="宋体" w:hAnsi="宋体" w:cs="宋体"/>
        </w:rPr>
        <w:t xml:space="preserve">第三章 评标标准</w:t>
      </w:r>
      <w:bookmarkEnd w:id="19"/>
      <w:r/>
      <w:r/>
    </w:p>
    <w:p>
      <w:pPr>
        <w:ind w:firstLine="420"/>
        <w:spacing w:line="360" w:lineRule="auto"/>
        <w:tabs>
          <w:tab w:val="left" w:pos="960" w:leader="none"/>
        </w:tabs>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宋体" w:hAnsi="宋体" w:cs="宋体"/>
          <w:b/>
          <w:bCs/>
        </w:rPr>
        <w:t xml:space="preserve">技术响应情况得分</w:t>
      </w:r>
      <w:r>
        <w:rPr>
          <w:rFonts w:hint="eastAsia" w:ascii="宋体" w:hAnsi="宋体" w:cs="宋体"/>
          <w:bCs/>
        </w:rPr>
        <w:t xml:space="preserve">高低</w:t>
      </w:r>
      <w:r>
        <w:rPr>
          <w:rFonts w:hint="eastAsia" w:ascii="宋体" w:hAnsi="宋体" w:cs="宋体"/>
        </w:rPr>
        <w:t xml:space="preserve">顺序排列，技术响应情况得分也相等的，由评标委员会投票决定。</w:t>
      </w:r>
      <w:r/>
    </w:p>
    <w:tbl>
      <w:tblPr>
        <w:tblStyle w:val="699"/>
        <w:tblW w:w="49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1083"/>
        <w:gridCol w:w="5875"/>
        <w:gridCol w:w="657"/>
      </w:tblGrid>
      <w:tr>
        <w:trPr>
          <w:jc w:val="center"/>
          <w:trHeight w:val="20"/>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br w:type="page" w:clear="all"/>
            </w: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3556" w:type="pct"/>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556" w:type="pct"/>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1.1价格分采用低价优先法计算，即满足采购文件要求且报价最低的投标人的报价为评审基准价，其价格分为满分35分，其它投标人的价格分统一按照以下公式计算：</w:t>
            </w:r>
            <w:r/>
          </w:p>
          <w:p>
            <w:pPr>
              <w:spacing w:line="400" w:lineRule="exact"/>
              <w:rPr>
                <w:rFonts w:hint="eastAsia" w:ascii="宋体" w:hAnsi="宋体" w:cs="宋体"/>
                <w:szCs w:val="21"/>
              </w:rPr>
            </w:pPr>
            <w:r>
              <w:rPr>
                <w:rFonts w:hint="eastAsia" w:ascii="宋体" w:hAnsi="宋体" w:cs="宋体"/>
                <w:szCs w:val="21"/>
              </w:rPr>
              <w:t xml:space="preserve">报价得分=(评审基准价/该投标人的报价)× 35分。</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35</w:t>
            </w:r>
            <w:r/>
          </w:p>
        </w:tc>
      </w:tr>
      <w:tr>
        <w:trPr>
          <w:jc w:val="center"/>
          <w:trHeight w:val="1745"/>
        </w:trPr>
        <w:tc>
          <w:tcPr>
            <w:tcBorders>
              <w:left w:val="single" w:color="auto" w:sz="4" w:space="0"/>
              <w:right w:val="single" w:color="auto" w:sz="4" w:space="0"/>
            </w:tcBorders>
            <w:tcW w:w="388"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技术响应</w:t>
            </w:r>
            <w:r/>
          </w:p>
        </w:tc>
        <w:tc>
          <w:tcPr>
            <w:tcBorders>
              <w:top w:val="single" w:color="auto" w:sz="4" w:space="0"/>
              <w:left w:val="single" w:color="auto" w:sz="4" w:space="0"/>
              <w:bottom w:val="single" w:color="auto" w:sz="4" w:space="0"/>
              <w:right w:val="single" w:color="auto" w:sz="4" w:space="0"/>
            </w:tcBorders>
            <w:tcW w:w="3556" w:type="pct"/>
            <w:vAlign w:val="center"/>
            <w:textDirection w:val="lrTb"/>
            <w:noWrap w:val="false"/>
          </w:tcPr>
          <w:p>
            <w:pPr>
              <w:spacing w:line="400" w:lineRule="exact"/>
              <w:rPr>
                <w:rFonts w:hint="eastAsia" w:ascii="宋体" w:hAnsi="宋体" w:cs="宋体"/>
                <w:b/>
                <w:bCs/>
                <w:szCs w:val="21"/>
              </w:rPr>
            </w:pPr>
            <w:r>
              <w:rPr>
                <w:rFonts w:hint="eastAsia" w:ascii="宋体" w:hAnsi="宋体" w:cs="宋体"/>
                <w:szCs w:val="21"/>
              </w:rPr>
              <w:t xml:space="preserve">2.1供应商对采购文件“第四章采购需求中二、技术指标及要求”的响应程度：全部响应得33分；标注“▲”项有负偏离的，每项扣2分；其他项有负偏离的，每项扣0.2分，扣完为止。</w:t>
            </w:r>
            <w:r/>
          </w:p>
          <w:p>
            <w:pPr>
              <w:spacing w:line="400" w:lineRule="exact"/>
              <w:rPr>
                <w:rFonts w:hint="eastAsia" w:ascii="宋体" w:hAnsi="宋体" w:cs="宋体"/>
                <w:b/>
                <w:bCs/>
                <w:szCs w:val="21"/>
              </w:rPr>
            </w:pPr>
            <w:r>
              <w:rPr>
                <w:rFonts w:hint="eastAsia" w:ascii="宋体" w:hAnsi="宋体" w:cs="宋体"/>
                <w:b/>
                <w:bCs/>
                <w:szCs w:val="21"/>
              </w:rPr>
              <w:t xml:space="preserve">（“▲”的技术参数响应需提供支撑资料（提供相关证明材料并加盖投标单位公章包括但不限于明确说明该技术内容的公开发行的产品彩页或产品说明书或第三方检测机构的检测报告，自拟无效。若需求中具体参数有明确证明材料要求的，以具体要求为准。），如未附有效支撑材料或者所附的支撑材料由评标委员会认为不能佐证技术指标的有效性的，则视为负偏离。</w:t>
            </w:r>
            <w:r>
              <w:rPr>
                <w:rFonts w:hint="eastAsia" w:ascii="宋体" w:hAnsi="宋体" w:cs="宋体"/>
                <w:b/>
                <w:bCs/>
                <w:i/>
                <w:iCs/>
                <w:szCs w:val="21"/>
                <w:u w:val="single"/>
              </w:rPr>
              <w:t xml:space="preserve">如文件中要求提供证明材料，建议采用箭头、标红、下划线或页码等进行明显标注，方便评委查看。</w:t>
            </w:r>
            <w:r>
              <w:rPr>
                <w:rFonts w:hint="eastAsia" w:ascii="宋体" w:hAnsi="宋体" w:cs="宋体"/>
                <w:b/>
                <w:bCs/>
                <w:szCs w:val="21"/>
              </w:rPr>
              <w:t xml:space="preserve">）</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33</w:t>
            </w:r>
            <w:r/>
          </w:p>
        </w:tc>
      </w:tr>
      <w:tr>
        <w:trPr>
          <w:jc w:val="center"/>
          <w:trHeight w:val="1602"/>
        </w:trPr>
        <w:tc>
          <w:tcPr>
            <w:tcBorders>
              <w:left w:val="single" w:color="auto" w:sz="4" w:space="0"/>
              <w:right w:val="single" w:color="auto" w:sz="4" w:space="0"/>
            </w:tcBorders>
            <w:tcW w:w="388"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w:t>
            </w:r>
            <w:r/>
          </w:p>
        </w:tc>
        <w:tc>
          <w:tcPr>
            <w:tcBorders>
              <w:left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556" w:type="pct"/>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3.1投标供应商自2023年01月01日以来（以合同签订日期为准），具有类似项目业绩的（合同至少应当包含核心产品），每提供一个有效业绩得1分，最高得2分。</w:t>
            </w:r>
            <w:r/>
          </w:p>
          <w:p>
            <w:pPr>
              <w:spacing w:line="400" w:lineRule="exact"/>
              <w:rPr>
                <w:rFonts w:hint="eastAsia" w:ascii="宋体" w:hAnsi="宋体" w:cs="宋体"/>
                <w:szCs w:val="21"/>
              </w:rPr>
            </w:pPr>
            <w:r>
              <w:rPr>
                <w:rFonts w:hint="eastAsia" w:ascii="宋体" w:hAnsi="宋体" w:cs="宋体"/>
                <w:b/>
                <w:bCs/>
                <w:szCs w:val="21"/>
              </w:rPr>
              <w:t xml:space="preserve">(投标文件中需提供合同原件扫描件加盖电子公章，否则不得分。如合同中的设备名称与所投产品不一致，需提供设备具有相应功能的证明材料，否则不得分。证明材料如产品彩页或说明书或检测报告等有效证明材料原件扫描件加盖电子公章，承诺类证明材料不予认可)</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w:t>
            </w:r>
            <w:r/>
          </w:p>
        </w:tc>
      </w:tr>
      <w:tr>
        <w:trPr>
          <w:jc w:val="center"/>
          <w:trHeight w:val="1602"/>
        </w:trPr>
        <w:tc>
          <w:tcPr>
            <w:tcBorders>
              <w:left w:val="single" w:color="auto" w:sz="4" w:space="0"/>
              <w:right w:val="single" w:color="auto" w:sz="4" w:space="0"/>
            </w:tcBorders>
            <w:tcW w:w="388"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4</w:t>
            </w:r>
            <w:r/>
          </w:p>
        </w:tc>
        <w:tc>
          <w:tcPr>
            <w:tcBorders>
              <w:left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履约能力</w:t>
            </w:r>
            <w:r/>
          </w:p>
        </w:tc>
        <w:tc>
          <w:tcPr>
            <w:tcBorders>
              <w:top w:val="single" w:color="auto" w:sz="4" w:space="0"/>
              <w:left w:val="single" w:color="auto" w:sz="4" w:space="0"/>
              <w:bottom w:val="single" w:color="auto" w:sz="4" w:space="0"/>
              <w:right w:val="single" w:color="auto" w:sz="4" w:space="0"/>
            </w:tcBorders>
            <w:tcW w:w="5875" w:type="dxa"/>
            <w:textDirection w:val="lrTb"/>
            <w:noWrap w:val="false"/>
          </w:tcPr>
          <w:p>
            <w:pPr>
              <w:jc w:val="left"/>
              <w:spacing w:line="400" w:lineRule="exact"/>
              <w:rPr>
                <w:rFonts w:hint="eastAsia" w:ascii="宋体" w:hAnsi="宋体" w:cs="宋体"/>
                <w:szCs w:val="21"/>
              </w:rPr>
            </w:pPr>
            <w:r>
              <w:rPr>
                <w:rFonts w:hint="eastAsia" w:ascii="宋体" w:hAnsi="宋体" w:cs="宋体"/>
                <w:szCs w:val="21"/>
              </w:rPr>
              <w:t xml:space="preserve">4.1履约能力</w:t>
            </w:r>
            <w:r/>
          </w:p>
          <w:p>
            <w:pPr>
              <w:jc w:val="left"/>
              <w:spacing w:line="400" w:lineRule="exact"/>
              <w:rPr>
                <w:rFonts w:hint="eastAsia" w:ascii="宋体" w:hAnsi="宋体" w:cs="宋体"/>
                <w:b/>
                <w:bCs/>
                <w:color w:val="000000"/>
                <w:szCs w:val="21"/>
              </w:rPr>
            </w:pPr>
            <w:r>
              <w:rPr>
                <w:rFonts w:hint="eastAsia" w:ascii="宋体" w:hAnsi="宋体" w:cs="宋体"/>
                <w:szCs w:val="21"/>
              </w:rPr>
              <w:t xml:space="preserve">（1）投标人提供有效的ISO9001质量管理体系认证证书、ISO20000信息技术服务管理体系认证证书。每提供一个得1分，最高得2分</w:t>
            </w:r>
            <w:r>
              <w:rPr>
                <w:rFonts w:hint="eastAsia" w:ascii="宋体" w:hAnsi="宋体" w:cs="宋体"/>
                <w:color w:val="000000"/>
                <w:szCs w:val="21"/>
              </w:rPr>
              <w:t xml:space="preserve">。</w:t>
            </w:r>
            <w:r>
              <w:rPr>
                <w:rFonts w:hint="eastAsia" w:ascii="宋体" w:hAnsi="宋体" w:cs="宋体"/>
                <w:b/>
                <w:bCs/>
                <w:color w:val="000000"/>
                <w:szCs w:val="21"/>
              </w:rPr>
              <w:t xml:space="preserve">（提供证书扫描件或影印件）</w:t>
            </w:r>
            <w:r/>
          </w:p>
          <w:p>
            <w:pPr>
              <w:jc w:val="left"/>
              <w:spacing w:line="400" w:lineRule="exact"/>
              <w:rPr>
                <w:rFonts w:hint="eastAsia" w:ascii="宋体" w:hAnsi="宋体" w:cs="宋体"/>
                <w:b/>
                <w:bCs/>
                <w:szCs w:val="21"/>
              </w:rPr>
            </w:pPr>
            <w:r>
              <w:rPr>
                <w:rFonts w:hint="eastAsia" w:ascii="宋体" w:hAnsi="宋体" w:cs="宋体"/>
                <w:color w:val="000000"/>
                <w:szCs w:val="21"/>
              </w:rPr>
              <w:t xml:space="preserve">（2）所投产品实行“三包”，需要在投标文件中提供中标后能提供原厂商或者不低于原厂商质量的所有保修承诺，风险和费用由中标供应商承担，提供承诺函的得1分。</w:t>
            </w:r>
            <w:r>
              <w:rPr>
                <w:rFonts w:hint="eastAsia" w:ascii="宋体" w:hAnsi="宋体" w:cs="宋体"/>
                <w:b/>
                <w:bCs/>
                <w:color w:val="000000"/>
                <w:szCs w:val="21"/>
              </w:rPr>
              <w:t xml:space="preserve">（提供承诺书并加盖公章，格式自拟）</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w:t>
            </w:r>
            <w:r/>
          </w:p>
        </w:tc>
      </w:tr>
      <w:tr>
        <w:trPr>
          <w:jc w:val="center"/>
          <w:trHeight w:val="1602"/>
        </w:trPr>
        <w:tc>
          <w:tcPr>
            <w:tcBorders>
              <w:left w:val="single" w:color="auto" w:sz="4" w:space="0"/>
              <w:right w:val="single" w:color="auto" w:sz="4" w:space="0"/>
            </w:tcBorders>
            <w:tcW w:w="388"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5</w:t>
            </w:r>
            <w:r/>
          </w:p>
        </w:tc>
        <w:tc>
          <w:tcPr>
            <w:tcBorders>
              <w:left w:val="single" w:color="auto" w:sz="4" w:space="0"/>
              <w:right w:val="single" w:color="auto" w:sz="4" w:space="0"/>
            </w:tcBorders>
            <w:tcW w:w="65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人员资质</w:t>
            </w:r>
            <w:r/>
          </w:p>
        </w:tc>
        <w:tc>
          <w:tcPr>
            <w:tcBorders>
              <w:top w:val="single" w:color="auto" w:sz="4" w:space="0"/>
              <w:left w:val="single" w:color="auto" w:sz="4" w:space="0"/>
              <w:bottom w:val="single" w:color="auto" w:sz="4" w:space="0"/>
              <w:right w:val="single" w:color="auto" w:sz="4" w:space="0"/>
            </w:tcBorders>
            <w:tcW w:w="5875" w:type="dxa"/>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5.1投标人为本项目拟配备的项目负责人（1人）</w:t>
            </w:r>
            <w:r/>
          </w:p>
          <w:p>
            <w:pPr>
              <w:jc w:val="left"/>
              <w:spacing w:line="400" w:lineRule="exact"/>
              <w:rPr>
                <w:rFonts w:hint="eastAsia" w:ascii="宋体" w:hAnsi="宋体" w:cs="宋体"/>
                <w:b/>
                <w:bCs/>
                <w:szCs w:val="21"/>
              </w:rPr>
            </w:pPr>
            <w:r>
              <w:rPr>
                <w:rFonts w:hint="eastAsia" w:ascii="宋体" w:hAnsi="宋体" w:cs="宋体"/>
                <w:color w:val="000000"/>
                <w:szCs w:val="21"/>
              </w:rPr>
              <w:t xml:space="preserve">具有信息系统项目管理师证</w:t>
            </w:r>
            <w:r>
              <w:rPr>
                <w:rFonts w:hint="eastAsia" w:ascii="宋体" w:hAnsi="宋体" w:cs="宋体"/>
                <w:szCs w:val="21"/>
              </w:rPr>
              <w:t xml:space="preserve">书、计算</w:t>
            </w:r>
            <w:r>
              <w:rPr>
                <w:rFonts w:hint="eastAsia" w:ascii="宋体" w:hAnsi="宋体" w:cs="宋体"/>
                <w:color w:val="000000"/>
                <w:szCs w:val="21"/>
              </w:rPr>
              <w:t xml:space="preserve">机技术与软件专业技术资格（水平）考试软件评测师证书。每提供一项</w:t>
            </w:r>
            <w:r>
              <w:rPr>
                <w:rFonts w:hint="eastAsia" w:ascii="宋体" w:hAnsi="宋体" w:cs="宋体"/>
                <w:color w:val="auto"/>
                <w:szCs w:val="21"/>
              </w:rPr>
              <w:t xml:space="preserve">证书得1.5分，最高得3分，不提供不得分。</w:t>
            </w:r>
            <w:r>
              <w:rPr>
                <w:rFonts w:hint="eastAsia" w:ascii="宋体" w:hAnsi="宋体" w:cs="宋体"/>
                <w:b/>
                <w:bCs/>
                <w:color w:val="auto"/>
                <w:szCs w:val="21"/>
              </w:rPr>
              <w:t xml:space="preserve">（须提供人员资质</w:t>
            </w:r>
            <w:r>
              <w:rPr>
                <w:rFonts w:hint="eastAsia" w:ascii="宋体" w:hAnsi="宋体" w:cs="宋体"/>
                <w:b/>
                <w:bCs/>
                <w:szCs w:val="21"/>
              </w:rPr>
              <w:t xml:space="preserve">证书及投标人自2026年7月以来任意一个月为其缴纳社保的证明材料，提供扫描件或复印件并加盖投标人公章）</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w:t>
            </w:r>
            <w:r/>
          </w:p>
        </w:tc>
      </w:tr>
      <w:tr>
        <w:trPr>
          <w:jc w:val="center"/>
          <w:trHeight w:val="390"/>
        </w:trPr>
        <w:tc>
          <w:tcPr>
            <w:tcBorders>
              <w:left w:val="single" w:color="auto" w:sz="4" w:space="0"/>
              <w:right w:val="single" w:color="auto" w:sz="4" w:space="0"/>
            </w:tcBorders>
            <w:tcW w:w="388" w:type="pct"/>
            <w:vAlign w:val="center"/>
            <w:vMerge w:val="restart"/>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6</w:t>
            </w:r>
            <w:r/>
          </w:p>
        </w:tc>
        <w:tc>
          <w:tcPr>
            <w:tcBorders>
              <w:left w:val="single" w:color="auto" w:sz="4" w:space="0"/>
              <w:right w:val="single" w:color="auto" w:sz="4" w:space="0"/>
            </w:tcBorders>
            <w:tcW w:w="656" w:type="pct"/>
            <w:vAlign w:val="center"/>
            <w:vMerge w:val="restart"/>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项目方案</w:t>
            </w:r>
            <w:r/>
          </w:p>
        </w:tc>
        <w:tc>
          <w:tcPr>
            <w:tcBorders>
              <w:top w:val="single" w:color="auto" w:sz="4" w:space="0"/>
              <w:left w:val="single" w:color="auto" w:sz="4" w:space="0"/>
              <w:right w:val="single" w:color="auto" w:sz="4" w:space="0"/>
            </w:tcBorders>
            <w:tcW w:w="3556" w:type="pct"/>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6.1实施方案</w:t>
            </w:r>
            <w:r/>
          </w:p>
          <w:p>
            <w:pPr>
              <w:spacing w:line="400" w:lineRule="exact"/>
              <w:rPr>
                <w:rFonts w:hint="eastAsia" w:ascii="宋体" w:hAnsi="宋体" w:cs="宋体"/>
                <w:szCs w:val="21"/>
              </w:rPr>
            </w:pPr>
            <w:r>
              <w:rPr>
                <w:rFonts w:hint="eastAsia" w:ascii="宋体" w:hAnsi="宋体" w:cs="宋体"/>
                <w:szCs w:val="21"/>
              </w:rPr>
              <w:t xml:space="preserve">投标人应根据招标文件要求提供项目实施方案，方案包含以下内容：</w:t>
            </w:r>
            <w:r/>
          </w:p>
          <w:p>
            <w:pPr>
              <w:spacing w:line="400" w:lineRule="exact"/>
              <w:rPr>
                <w:rFonts w:hint="eastAsia" w:ascii="宋体" w:hAnsi="宋体" w:cs="宋体"/>
                <w:szCs w:val="21"/>
              </w:rPr>
            </w:pPr>
            <w:r>
              <w:rPr>
                <w:rFonts w:hint="eastAsia" w:ascii="宋体" w:hAnsi="宋体" w:cs="宋体"/>
                <w:szCs w:val="21"/>
              </w:rPr>
              <w:t xml:space="preserve">① 供货进度安排：需明确从合同签订到完成全部供货的各阶段时间节点，并提供具体的时间表或甘特图；</w:t>
            </w:r>
            <w:r/>
          </w:p>
          <w:p>
            <w:pPr>
              <w:spacing w:line="400" w:lineRule="exact"/>
              <w:rPr>
                <w:rFonts w:hint="eastAsia" w:ascii="宋体" w:hAnsi="宋体" w:cs="宋体"/>
                <w:szCs w:val="21"/>
              </w:rPr>
            </w:pPr>
            <w:r>
              <w:rPr>
                <w:rFonts w:hint="eastAsia" w:ascii="宋体" w:hAnsi="宋体" w:cs="宋体"/>
                <w:szCs w:val="21"/>
              </w:rPr>
              <w:t xml:space="preserve">② 配送组织架构：需明确配送团队的人员配置、岗位职责、车辆及设备投入情况，并提供组织架构图；</w:t>
            </w:r>
            <w:r/>
          </w:p>
          <w:p>
            <w:pPr>
              <w:spacing w:line="400" w:lineRule="exact"/>
              <w:rPr>
                <w:rFonts w:hint="eastAsia" w:ascii="宋体" w:hAnsi="宋体" w:cs="宋体"/>
                <w:szCs w:val="21"/>
              </w:rPr>
            </w:pPr>
            <w:r>
              <w:rPr>
                <w:rFonts w:hint="eastAsia" w:ascii="宋体" w:hAnsi="宋体" w:cs="宋体"/>
                <w:szCs w:val="21"/>
              </w:rPr>
              <w:t xml:space="preserve">③ 进度控制措施：需包含进度跟踪方式、报告周期、异常情况处理流程；</w:t>
            </w:r>
            <w:r/>
          </w:p>
          <w:p>
            <w:pPr>
              <w:spacing w:line="400" w:lineRule="exact"/>
              <w:rPr>
                <w:rFonts w:hint="eastAsia" w:ascii="宋体" w:hAnsi="宋体" w:cs="宋体"/>
                <w:szCs w:val="21"/>
              </w:rPr>
            </w:pPr>
            <w:r>
              <w:rPr>
                <w:rFonts w:hint="eastAsia" w:ascii="宋体" w:hAnsi="宋体" w:cs="宋体"/>
                <w:szCs w:val="21"/>
              </w:rPr>
              <w:t xml:space="preserve">④ 风险控制管理：需列出可能影响供货的风险类型，并针对每种风险提供应对预案；</w:t>
            </w:r>
            <w:r/>
          </w:p>
          <w:p>
            <w:pPr>
              <w:spacing w:line="400" w:lineRule="exact"/>
              <w:rPr>
                <w:rFonts w:hint="eastAsia" w:ascii="宋体" w:hAnsi="宋体" w:cs="宋体"/>
                <w:szCs w:val="21"/>
              </w:rPr>
            </w:pPr>
            <w:r>
              <w:rPr>
                <w:rFonts w:hint="eastAsia" w:ascii="宋体" w:hAnsi="宋体" w:cs="宋体"/>
                <w:szCs w:val="21"/>
              </w:rPr>
              <w:t xml:space="preserve">⑤ 质量保障措施：需明确质量标准、检验方法、不合格品处理机制。</w:t>
            </w:r>
            <w:r/>
          </w:p>
          <w:p>
            <w:pPr>
              <w:spacing w:line="400" w:lineRule="exact"/>
              <w:rPr>
                <w:rFonts w:hint="eastAsia" w:ascii="宋体" w:hAnsi="宋体" w:cs="宋体"/>
                <w:szCs w:val="21"/>
              </w:rPr>
            </w:pPr>
            <w:r>
              <w:rPr>
                <w:rFonts w:hint="eastAsia" w:ascii="宋体" w:hAnsi="宋体" w:cs="宋体"/>
                <w:szCs w:val="21"/>
              </w:rPr>
              <w:t xml:space="preserve">评分规则：</w:t>
            </w:r>
            <w:r/>
          </w:p>
          <w:p>
            <w:pPr>
              <w:spacing w:line="400" w:lineRule="exact"/>
              <w:rPr>
                <w:rFonts w:hint="eastAsia" w:ascii="宋体" w:hAnsi="宋体" w:cs="宋体"/>
                <w:szCs w:val="21"/>
              </w:rPr>
            </w:pPr>
            <w:r>
              <w:rPr>
                <w:rFonts w:hint="eastAsia" w:ascii="宋体" w:hAnsi="宋体" w:cs="宋体"/>
                <w:szCs w:val="21"/>
              </w:rPr>
              <w:t xml:space="preserve">上述五项内容均完整提供，且每项内容均具体、可操作，得6分；</w:t>
            </w:r>
            <w:r/>
          </w:p>
          <w:p>
            <w:pPr>
              <w:spacing w:line="400" w:lineRule="exact"/>
              <w:rPr>
                <w:rFonts w:hint="eastAsia" w:ascii="宋体" w:hAnsi="宋体" w:cs="宋体"/>
                <w:szCs w:val="21"/>
              </w:rPr>
            </w:pPr>
            <w:r>
              <w:rPr>
                <w:rFonts w:hint="eastAsia" w:ascii="宋体" w:hAnsi="宋体" w:cs="宋体"/>
                <w:szCs w:val="21"/>
              </w:rPr>
              <w:t xml:space="preserve">缺少上述任一项内容，或某项内容过于笼统，得4分；</w:t>
            </w:r>
            <w:r/>
          </w:p>
          <w:p>
            <w:pPr>
              <w:spacing w:line="400" w:lineRule="exact"/>
              <w:rPr>
                <w:rFonts w:hint="eastAsia" w:ascii="宋体" w:hAnsi="宋体" w:cs="宋体"/>
                <w:szCs w:val="21"/>
              </w:rPr>
            </w:pPr>
            <w:r>
              <w:rPr>
                <w:rFonts w:hint="eastAsia" w:ascii="宋体" w:hAnsi="宋体" w:cs="宋体"/>
                <w:szCs w:val="21"/>
              </w:rPr>
              <w:t xml:space="preserve">缺少上述任两项及以上内容，或所有内容均严重缺失、明显不合理，得2分；</w:t>
            </w:r>
            <w:r/>
          </w:p>
          <w:p>
            <w:pPr>
              <w:spacing w:line="400" w:lineRule="exact"/>
              <w:rPr>
                <w:rFonts w:hint="eastAsia" w:ascii="宋体" w:hAnsi="宋体" w:cs="宋体"/>
                <w:szCs w:val="21"/>
              </w:rPr>
            </w:pPr>
            <w:r>
              <w:rPr>
                <w:rFonts w:hint="eastAsia" w:ascii="宋体" w:hAnsi="宋体" w:cs="宋体"/>
                <w:szCs w:val="21"/>
              </w:rPr>
              <w:t xml:space="preserve">未提供实施方案，得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400" w:lineRule="exact"/>
              <w:tabs>
                <w:tab w:val="center" w:pos="251" w:leader="none"/>
                <w:tab w:val="left" w:pos="365" w:leader="none"/>
              </w:tabs>
              <w:rPr>
                <w:rFonts w:hint="eastAsia" w:ascii="宋体" w:hAnsi="宋体" w:cs="宋体"/>
                <w:szCs w:val="21"/>
              </w:rPr>
            </w:pPr>
            <w:r>
              <w:rPr>
                <w:rFonts w:hint="eastAsia" w:ascii="宋体" w:hAnsi="宋体" w:cs="宋体"/>
                <w:szCs w:val="21"/>
              </w:rPr>
              <w:t xml:space="preserve">6</w:t>
            </w:r>
            <w:r/>
          </w:p>
        </w:tc>
      </w:tr>
      <w:tr>
        <w:trPr>
          <w:jc w:val="center"/>
          <w:trHeight w:val="1058"/>
        </w:trPr>
        <w:tc>
          <w:tcPr>
            <w:tcBorders>
              <w:left w:val="single" w:color="auto" w:sz="4" w:space="0"/>
              <w:right w:val="single" w:color="auto" w:sz="4" w:space="0"/>
            </w:tcBorders>
            <w:tcW w:w="388" w:type="pct"/>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656" w:type="pct"/>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556" w:type="pct"/>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6.2 验收配合方案</w:t>
            </w:r>
            <w:r/>
          </w:p>
          <w:p>
            <w:pPr>
              <w:spacing w:line="400" w:lineRule="exact"/>
              <w:rPr>
                <w:rFonts w:hint="eastAsia" w:ascii="宋体" w:hAnsi="宋体" w:cs="宋体"/>
                <w:szCs w:val="21"/>
              </w:rPr>
            </w:pPr>
            <w:r>
              <w:rPr>
                <w:rFonts w:hint="eastAsia" w:ascii="宋体" w:hAnsi="宋体" w:cs="宋体"/>
                <w:szCs w:val="21"/>
              </w:rPr>
              <w:t xml:space="preserve">投标人应根据招标文件要求提供项目验收方案，方案包含以下内容：</w:t>
            </w:r>
            <w:r/>
          </w:p>
          <w:p>
            <w:pPr>
              <w:spacing w:line="400" w:lineRule="exact"/>
              <w:rPr>
                <w:rFonts w:hint="eastAsia" w:ascii="宋体" w:hAnsi="宋体" w:cs="宋体"/>
                <w:szCs w:val="21"/>
              </w:rPr>
            </w:pPr>
            <w:r>
              <w:rPr>
                <w:rFonts w:hint="eastAsia" w:ascii="宋体" w:hAnsi="宋体" w:cs="宋体"/>
                <w:szCs w:val="21"/>
              </w:rPr>
              <w:t xml:space="preserve">① 验收配合流程：明确设备安装完成后，供应商配合采购人从提请验收至完成最终验收签字的全部工作步骤，可附流程图或步骤说明；</w:t>
            </w:r>
            <w:r/>
          </w:p>
          <w:p>
            <w:pPr>
              <w:spacing w:line="400" w:lineRule="exact"/>
              <w:rPr>
                <w:rFonts w:hint="eastAsia" w:ascii="宋体" w:hAnsi="宋体" w:cs="宋体"/>
                <w:szCs w:val="21"/>
              </w:rPr>
            </w:pPr>
            <w:r>
              <w:rPr>
                <w:rFonts w:hint="eastAsia" w:ascii="宋体" w:hAnsi="宋体" w:cs="宋体"/>
                <w:szCs w:val="21"/>
              </w:rPr>
              <w:t xml:space="preserve">② 验收指标配合响应：针对本项目各项技术指标，列明供应商配合采购人开展核验、测试的工作方式，可配套提供供应商准备的检查核对样表；</w:t>
            </w:r>
            <w:r/>
          </w:p>
          <w:p>
            <w:pPr>
              <w:spacing w:line="400" w:lineRule="exact"/>
              <w:rPr>
                <w:rFonts w:hint="eastAsia" w:ascii="宋体" w:hAnsi="宋体" w:cs="宋体"/>
                <w:szCs w:val="21"/>
              </w:rPr>
            </w:pPr>
            <w:r>
              <w:rPr>
                <w:rFonts w:hint="eastAsia" w:ascii="宋体" w:hAnsi="宋体" w:cs="宋体"/>
                <w:szCs w:val="21"/>
              </w:rPr>
              <w:t xml:space="preserve">③ 验收资料提交清单：列明验收环节供应商需向采购人提交的全部资料名称，明确资料的来源、编制及提供责任；</w:t>
            </w:r>
            <w:r/>
          </w:p>
          <w:p>
            <w:pPr>
              <w:spacing w:line="400" w:lineRule="exact"/>
              <w:rPr>
                <w:rFonts w:hint="eastAsia" w:ascii="宋体" w:hAnsi="宋体" w:cs="宋体"/>
                <w:szCs w:val="21"/>
              </w:rPr>
            </w:pPr>
            <w:r>
              <w:rPr>
                <w:rFonts w:hint="eastAsia" w:ascii="宋体" w:hAnsi="宋体" w:cs="宋体"/>
                <w:szCs w:val="21"/>
              </w:rPr>
              <w:t xml:space="preserve">④ 供应商验收配合人员安排：明确本项目负责验收配合工作人员的姓名、职务、相关项目经验，提供人员配置表；</w:t>
            </w:r>
            <w:r/>
          </w:p>
          <w:p>
            <w:pPr>
              <w:spacing w:line="400" w:lineRule="exact"/>
              <w:rPr>
                <w:rFonts w:hint="eastAsia" w:ascii="宋体" w:hAnsi="宋体" w:cs="宋体"/>
                <w:szCs w:val="21"/>
              </w:rPr>
            </w:pPr>
            <w:r>
              <w:rPr>
                <w:rFonts w:hint="eastAsia" w:ascii="宋体" w:hAnsi="宋体" w:cs="宋体"/>
                <w:szCs w:val="21"/>
              </w:rPr>
              <w:t xml:space="preserve">⑤ 设备安装过程记录管理：说明安装过程中供应商需要留存的记录内容、记录方式、资料保存期限，以及向采购人提交验收资料前的整理归档要求。</w:t>
            </w:r>
            <w:r/>
          </w:p>
          <w:p>
            <w:pPr>
              <w:spacing w:line="400" w:lineRule="exact"/>
              <w:rPr>
                <w:rFonts w:hint="eastAsia" w:ascii="宋体" w:hAnsi="宋体" w:cs="宋体"/>
                <w:szCs w:val="21"/>
              </w:rPr>
            </w:pPr>
            <w:r>
              <w:rPr>
                <w:rFonts w:hint="eastAsia" w:ascii="宋体" w:hAnsi="宋体" w:cs="宋体"/>
                <w:szCs w:val="21"/>
              </w:rPr>
              <w:t xml:space="preserve">评分规则：</w:t>
            </w:r>
            <w:r/>
          </w:p>
          <w:p>
            <w:pPr>
              <w:spacing w:line="400" w:lineRule="exact"/>
              <w:rPr>
                <w:rFonts w:hint="eastAsia" w:ascii="宋体" w:hAnsi="宋体" w:cs="宋体"/>
                <w:szCs w:val="21"/>
              </w:rPr>
            </w:pPr>
            <w:r>
              <w:rPr>
                <w:rFonts w:hint="eastAsia" w:ascii="宋体" w:hAnsi="宋体" w:cs="宋体"/>
                <w:szCs w:val="21"/>
              </w:rPr>
              <w:t xml:space="preserve">上述五项内容均完整提供，且每项内容具体、可操作，得6分；</w:t>
            </w:r>
            <w:r/>
          </w:p>
          <w:p>
            <w:pPr>
              <w:spacing w:line="400" w:lineRule="exact"/>
              <w:rPr>
                <w:rFonts w:hint="eastAsia" w:ascii="宋体" w:hAnsi="宋体" w:cs="宋体"/>
                <w:szCs w:val="21"/>
              </w:rPr>
            </w:pPr>
            <w:r>
              <w:rPr>
                <w:rFonts w:hint="eastAsia" w:ascii="宋体" w:hAnsi="宋体" w:cs="宋体"/>
                <w:szCs w:val="21"/>
              </w:rPr>
              <w:t xml:space="preserve">缺少上述任一项内容，或某项内容过于笼统，得4分；</w:t>
            </w:r>
            <w:r/>
          </w:p>
          <w:p>
            <w:pPr>
              <w:spacing w:line="400" w:lineRule="exact"/>
              <w:rPr>
                <w:rFonts w:hint="eastAsia" w:ascii="宋体" w:hAnsi="宋体" w:cs="宋体"/>
                <w:szCs w:val="21"/>
              </w:rPr>
            </w:pPr>
            <w:r>
              <w:rPr>
                <w:rFonts w:hint="eastAsia" w:ascii="宋体" w:hAnsi="宋体" w:cs="宋体"/>
                <w:szCs w:val="21"/>
              </w:rPr>
              <w:t xml:space="preserve">缺少上述任两项及以上内容，或所有内容均明显不合理，得2分；</w:t>
            </w:r>
            <w:r/>
          </w:p>
          <w:p>
            <w:pPr>
              <w:spacing w:line="400" w:lineRule="exact"/>
              <w:rPr>
                <w:rFonts w:hint="eastAsia" w:ascii="宋体" w:hAnsi="宋体" w:cs="宋体"/>
                <w:szCs w:val="21"/>
              </w:rPr>
            </w:pPr>
            <w:r>
              <w:rPr>
                <w:rFonts w:hint="eastAsia" w:ascii="宋体" w:hAnsi="宋体" w:cs="宋体"/>
                <w:szCs w:val="21"/>
              </w:rPr>
              <w:t xml:space="preserve">未提供验收方案，得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400" w:lineRule="exact"/>
              <w:tabs>
                <w:tab w:val="center" w:pos="251" w:leader="none"/>
                <w:tab w:val="left" w:pos="365" w:leader="none"/>
              </w:tabs>
              <w:rPr>
                <w:rFonts w:hint="eastAsia" w:ascii="宋体" w:hAnsi="宋体" w:cs="宋体"/>
                <w:szCs w:val="21"/>
              </w:rPr>
            </w:pPr>
            <w:r>
              <w:rPr>
                <w:rFonts w:hint="eastAsia" w:ascii="宋体" w:hAnsi="宋体" w:cs="宋体"/>
                <w:szCs w:val="21"/>
              </w:rPr>
              <w:t xml:space="preserve">6</w:t>
            </w:r>
            <w:r/>
          </w:p>
        </w:tc>
      </w:tr>
      <w:tr>
        <w:trPr>
          <w:jc w:val="center"/>
          <w:trHeight w:val="90"/>
        </w:trPr>
        <w:tc>
          <w:tcPr>
            <w:tcBorders>
              <w:left w:val="single" w:color="auto" w:sz="4" w:space="0"/>
              <w:right w:val="single" w:color="auto" w:sz="4" w:space="0"/>
            </w:tcBorders>
            <w:tcW w:w="388" w:type="pct"/>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656" w:type="pct"/>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556" w:type="pct"/>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6.3 售后服务承诺方案</w:t>
            </w:r>
            <w:r/>
          </w:p>
          <w:p>
            <w:pPr>
              <w:spacing w:line="400" w:lineRule="exact"/>
              <w:rPr>
                <w:rFonts w:hint="eastAsia" w:ascii="宋体" w:hAnsi="宋体" w:cs="宋体"/>
                <w:szCs w:val="21"/>
              </w:rPr>
            </w:pPr>
            <w:r>
              <w:rPr>
                <w:rFonts w:hint="eastAsia" w:ascii="宋体" w:hAnsi="宋体" w:cs="宋体"/>
                <w:szCs w:val="21"/>
              </w:rPr>
              <w:t xml:space="preserve">投标人应根据招标文件要求提供售后服务承诺方案，方案包含以下内容：</w:t>
            </w:r>
            <w:r/>
          </w:p>
          <w:p>
            <w:pPr>
              <w:spacing w:line="400" w:lineRule="exact"/>
              <w:rPr>
                <w:rFonts w:hint="eastAsia" w:ascii="宋体" w:hAnsi="宋体" w:cs="宋体"/>
                <w:szCs w:val="21"/>
              </w:rPr>
            </w:pPr>
            <w:r>
              <w:rPr>
                <w:rFonts w:hint="eastAsia" w:ascii="宋体" w:hAnsi="宋体" w:cs="宋体"/>
                <w:szCs w:val="21"/>
              </w:rPr>
              <w:t xml:space="preserve">① 售后服务响应时间：需明确售后服务的联系方式、响应时限、到达现场时间、解决问题的时间承诺；</w:t>
            </w:r>
            <w:r/>
          </w:p>
          <w:p>
            <w:pPr>
              <w:spacing w:line="400" w:lineRule="exact"/>
              <w:rPr>
                <w:rFonts w:hint="eastAsia" w:ascii="宋体" w:hAnsi="宋体" w:cs="宋体"/>
                <w:szCs w:val="21"/>
              </w:rPr>
            </w:pPr>
            <w:r>
              <w:rPr>
                <w:rFonts w:hint="eastAsia" w:ascii="宋体" w:hAnsi="宋体" w:cs="宋体"/>
                <w:szCs w:val="21"/>
              </w:rPr>
              <w:t xml:space="preserve">② 售后服务人员配置：需明确售后服务团队的人员数量、资质、分工及联系方式；</w:t>
            </w:r>
            <w:r/>
          </w:p>
          <w:p>
            <w:pPr>
              <w:spacing w:line="400" w:lineRule="exact"/>
              <w:rPr>
                <w:rFonts w:hint="eastAsia" w:ascii="宋体" w:hAnsi="宋体" w:cs="宋体"/>
                <w:szCs w:val="21"/>
              </w:rPr>
            </w:pPr>
            <w:r>
              <w:rPr>
                <w:rFonts w:hint="eastAsia" w:ascii="宋体" w:hAnsi="宋体" w:cs="宋体"/>
                <w:szCs w:val="21"/>
              </w:rPr>
              <w:t xml:space="preserve">③ 质保期内服务内容：需明确质保期内免费提供的服务项目；</w:t>
            </w:r>
            <w:r/>
          </w:p>
          <w:p>
            <w:pPr>
              <w:spacing w:line="400" w:lineRule="exact"/>
              <w:rPr>
                <w:rFonts w:hint="eastAsia" w:ascii="宋体" w:hAnsi="宋体" w:cs="宋体"/>
                <w:szCs w:val="21"/>
              </w:rPr>
            </w:pPr>
            <w:r>
              <w:rPr>
                <w:rFonts w:hint="eastAsia" w:ascii="宋体" w:hAnsi="宋体" w:cs="宋体"/>
                <w:szCs w:val="21"/>
              </w:rPr>
              <w:t xml:space="preserve">④ 质保期后服务方案：需明确质保期满后的服务提供方式；</w:t>
            </w:r>
            <w:r/>
          </w:p>
          <w:p>
            <w:pPr>
              <w:spacing w:line="400" w:lineRule="exact"/>
              <w:rPr>
                <w:rFonts w:hint="eastAsia" w:ascii="宋体" w:hAnsi="宋体" w:cs="宋体"/>
                <w:szCs w:val="21"/>
              </w:rPr>
            </w:pPr>
            <w:r>
              <w:rPr>
                <w:rFonts w:hint="eastAsia" w:ascii="宋体" w:hAnsi="宋体" w:cs="宋体"/>
                <w:szCs w:val="21"/>
              </w:rPr>
              <w:t xml:space="preserve">⑤ 备品备件清单：需列出常用备品、配件、耗材的名称、品牌、规格型号、单价，并提供价格清单；</w:t>
            </w:r>
            <w:r/>
          </w:p>
          <w:p>
            <w:pPr>
              <w:spacing w:line="400" w:lineRule="exact"/>
              <w:rPr>
                <w:rFonts w:hint="eastAsia" w:ascii="宋体" w:hAnsi="宋体" w:cs="宋体"/>
                <w:szCs w:val="21"/>
              </w:rPr>
            </w:pPr>
            <w:r>
              <w:rPr>
                <w:rFonts w:hint="eastAsia" w:ascii="宋体" w:hAnsi="宋体" w:cs="宋体"/>
                <w:szCs w:val="21"/>
              </w:rPr>
              <w:t xml:space="preserve">⑥ 维修服务明细：需明确维修项目的收费标准或折扣率；</w:t>
            </w:r>
            <w:r/>
          </w:p>
          <w:p>
            <w:pPr>
              <w:spacing w:line="400" w:lineRule="exact"/>
              <w:rPr>
                <w:rFonts w:hint="eastAsia" w:ascii="宋体" w:hAnsi="宋体" w:cs="宋体"/>
                <w:szCs w:val="21"/>
              </w:rPr>
            </w:pPr>
            <w:r>
              <w:rPr>
                <w:rFonts w:hint="eastAsia" w:ascii="宋体" w:hAnsi="宋体" w:cs="宋体"/>
                <w:szCs w:val="21"/>
              </w:rPr>
              <w:t xml:space="preserve">⑦ 技术指导方案：需说明对采购方人员的培训计划以及日常技术支持的渠道。</w:t>
            </w:r>
            <w:r/>
          </w:p>
          <w:p>
            <w:pPr>
              <w:spacing w:line="400" w:lineRule="exact"/>
              <w:rPr>
                <w:rFonts w:hint="eastAsia" w:ascii="宋体" w:hAnsi="宋体" w:cs="宋体"/>
                <w:szCs w:val="21"/>
              </w:rPr>
            </w:pPr>
            <w:r>
              <w:rPr>
                <w:rFonts w:hint="eastAsia" w:ascii="宋体" w:hAnsi="宋体" w:cs="宋体"/>
                <w:szCs w:val="21"/>
              </w:rPr>
              <w:t xml:space="preserve">评分规则：</w:t>
            </w:r>
            <w:r/>
          </w:p>
          <w:p>
            <w:pPr>
              <w:spacing w:line="400" w:lineRule="exact"/>
              <w:rPr>
                <w:rFonts w:hint="eastAsia" w:ascii="宋体" w:hAnsi="宋体" w:cs="宋体"/>
                <w:szCs w:val="21"/>
              </w:rPr>
            </w:pPr>
            <w:r>
              <w:rPr>
                <w:rFonts w:hint="eastAsia" w:ascii="宋体" w:hAnsi="宋体" w:cs="宋体"/>
                <w:szCs w:val="21"/>
              </w:rPr>
              <w:t xml:space="preserve">上述七项内容均完整提供，且每项内容具体、可量化，得6分；</w:t>
            </w:r>
            <w:r/>
          </w:p>
          <w:p>
            <w:pPr>
              <w:spacing w:line="400" w:lineRule="exact"/>
              <w:rPr>
                <w:rFonts w:hint="eastAsia" w:ascii="宋体" w:hAnsi="宋体" w:cs="宋体"/>
                <w:szCs w:val="21"/>
              </w:rPr>
            </w:pPr>
            <w:r>
              <w:rPr>
                <w:rFonts w:hint="eastAsia" w:ascii="宋体" w:hAnsi="宋体" w:cs="宋体"/>
                <w:szCs w:val="21"/>
              </w:rPr>
              <w:t xml:space="preserve">缺少上述任意一项内容，或某项内容过于笼统，得4分；</w:t>
            </w:r>
            <w:r/>
          </w:p>
          <w:p>
            <w:pPr>
              <w:spacing w:line="400" w:lineRule="exact"/>
              <w:rPr>
                <w:rFonts w:hint="eastAsia" w:ascii="宋体" w:hAnsi="宋体" w:cs="宋体"/>
                <w:szCs w:val="21"/>
              </w:rPr>
            </w:pPr>
            <w:r>
              <w:rPr>
                <w:rFonts w:hint="eastAsia" w:ascii="宋体" w:hAnsi="宋体" w:cs="宋体"/>
                <w:szCs w:val="21"/>
              </w:rPr>
              <w:t xml:space="preserve">缺少上述任意两项及以上内容，或所有内容均明显不完整、不具可操作性，得2分；</w:t>
            </w:r>
            <w:r/>
          </w:p>
          <w:p>
            <w:pPr>
              <w:spacing w:line="400" w:lineRule="exact"/>
              <w:rPr>
                <w:rFonts w:hint="eastAsia" w:ascii="宋体" w:hAnsi="宋体" w:cs="宋体"/>
                <w:szCs w:val="21"/>
              </w:rPr>
            </w:pPr>
            <w:r>
              <w:rPr>
                <w:rFonts w:hint="eastAsia" w:ascii="宋体" w:hAnsi="宋体" w:cs="宋体"/>
                <w:szCs w:val="21"/>
              </w:rPr>
              <w:t xml:space="preserve">未提供售后服务承诺方案，得0分。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400" w:lineRule="exact"/>
              <w:tabs>
                <w:tab w:val="center" w:pos="251" w:leader="none"/>
                <w:tab w:val="left" w:pos="365" w:leader="none"/>
              </w:tabs>
              <w:rPr>
                <w:rFonts w:hint="eastAsia" w:ascii="宋体" w:hAnsi="宋体" w:cs="宋体"/>
                <w:szCs w:val="21"/>
              </w:rPr>
            </w:pPr>
            <w:r>
              <w:rPr>
                <w:rFonts w:hint="eastAsia" w:ascii="宋体" w:hAnsi="宋体" w:cs="宋体"/>
                <w:szCs w:val="21"/>
              </w:rPr>
              <w:t xml:space="preserve">6</w:t>
            </w:r>
            <w:r/>
          </w:p>
        </w:tc>
      </w:tr>
      <w:tr>
        <w:trPr>
          <w:jc w:val="center"/>
          <w:trHeight w:val="1058"/>
        </w:trPr>
        <w:tc>
          <w:tcPr>
            <w:tcBorders>
              <w:left w:val="single" w:color="auto" w:sz="4" w:space="0"/>
              <w:right w:val="single" w:color="auto" w:sz="4" w:space="0"/>
            </w:tcBorders>
            <w:tcW w:w="388" w:type="pct"/>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656" w:type="pct"/>
            <w:vAlign w:val="center"/>
            <w:vMerge w:val="continue"/>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556" w:type="pct"/>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6.4 培训方案</w:t>
            </w:r>
            <w:r/>
          </w:p>
          <w:p>
            <w:pPr>
              <w:spacing w:line="400" w:lineRule="exact"/>
              <w:rPr>
                <w:rFonts w:hint="eastAsia" w:ascii="宋体" w:hAnsi="宋体" w:cs="宋体"/>
                <w:szCs w:val="21"/>
              </w:rPr>
            </w:pPr>
            <w:r>
              <w:rPr>
                <w:rFonts w:hint="eastAsia" w:ascii="宋体" w:hAnsi="宋体" w:cs="宋体"/>
                <w:szCs w:val="21"/>
              </w:rPr>
              <w:t xml:space="preserve">投标人应根据招标文件要求提供培训方案，方案包含以下内容：</w:t>
            </w:r>
            <w:r/>
          </w:p>
          <w:p>
            <w:pPr>
              <w:spacing w:line="400" w:lineRule="exact"/>
              <w:rPr>
                <w:rFonts w:hint="eastAsia" w:ascii="宋体" w:hAnsi="宋体" w:cs="宋体"/>
                <w:szCs w:val="21"/>
              </w:rPr>
            </w:pPr>
            <w:r>
              <w:rPr>
                <w:rFonts w:hint="eastAsia" w:ascii="宋体" w:hAnsi="宋体" w:cs="宋体"/>
                <w:szCs w:val="21"/>
              </w:rPr>
              <w:t xml:space="preserve">① 培训对象：需明确接受培训的人员类别及预计人数；</w:t>
            </w:r>
            <w:r/>
          </w:p>
          <w:p>
            <w:pPr>
              <w:spacing w:line="400" w:lineRule="exact"/>
              <w:rPr>
                <w:rFonts w:hint="eastAsia" w:ascii="宋体" w:hAnsi="宋体" w:cs="宋体"/>
                <w:szCs w:val="21"/>
              </w:rPr>
            </w:pPr>
            <w:r>
              <w:rPr>
                <w:rFonts w:hint="eastAsia" w:ascii="宋体" w:hAnsi="宋体" w:cs="宋体"/>
                <w:szCs w:val="21"/>
              </w:rPr>
              <w:t xml:space="preserve">② 培训内容：需列出具体培训课程或模块，并说明每项内容的教学目标；</w:t>
            </w:r>
            <w:r/>
          </w:p>
          <w:p>
            <w:pPr>
              <w:spacing w:line="400" w:lineRule="exact"/>
              <w:rPr>
                <w:rFonts w:hint="eastAsia" w:ascii="宋体" w:hAnsi="宋体" w:cs="宋体"/>
                <w:szCs w:val="21"/>
              </w:rPr>
            </w:pPr>
            <w:r>
              <w:rPr>
                <w:rFonts w:hint="eastAsia" w:ascii="宋体" w:hAnsi="宋体" w:cs="宋体"/>
                <w:szCs w:val="21"/>
              </w:rPr>
              <w:t xml:space="preserve">③ 培训时间与课时：需明确培训总时长，以及各培训模块的课时分配；</w:t>
            </w:r>
            <w:r/>
          </w:p>
          <w:p>
            <w:pPr>
              <w:spacing w:line="400" w:lineRule="exact"/>
              <w:rPr>
                <w:rFonts w:hint="eastAsia" w:ascii="宋体" w:hAnsi="宋体" w:cs="宋体"/>
                <w:szCs w:val="21"/>
              </w:rPr>
            </w:pPr>
            <w:r>
              <w:rPr>
                <w:rFonts w:hint="eastAsia" w:ascii="宋体" w:hAnsi="宋体" w:cs="宋体"/>
                <w:szCs w:val="21"/>
              </w:rPr>
              <w:t xml:space="preserve">④ 培训方式：需说明培训形式，并提供相应安排；</w:t>
            </w:r>
            <w:r/>
          </w:p>
          <w:p>
            <w:pPr>
              <w:spacing w:line="400" w:lineRule="exact"/>
              <w:rPr>
                <w:rFonts w:hint="eastAsia" w:ascii="宋体" w:hAnsi="宋体" w:cs="宋体"/>
                <w:szCs w:val="21"/>
              </w:rPr>
            </w:pPr>
            <w:r>
              <w:rPr>
                <w:rFonts w:hint="eastAsia" w:ascii="宋体" w:hAnsi="宋体" w:cs="宋体"/>
                <w:szCs w:val="21"/>
              </w:rPr>
              <w:t xml:space="preserve">⑤ 培训材料：需列出将提供的培训资料，并注明是否免费提供及提供份数；</w:t>
            </w:r>
            <w:r/>
          </w:p>
          <w:p>
            <w:pPr>
              <w:spacing w:line="400" w:lineRule="exact"/>
              <w:rPr>
                <w:rFonts w:hint="eastAsia" w:ascii="宋体" w:hAnsi="宋体" w:cs="宋体"/>
                <w:szCs w:val="21"/>
              </w:rPr>
            </w:pPr>
            <w:r>
              <w:rPr>
                <w:rFonts w:hint="eastAsia" w:ascii="宋体" w:hAnsi="宋体" w:cs="宋体"/>
                <w:szCs w:val="21"/>
              </w:rPr>
              <w:t xml:space="preserve">⑥ 培训人员资质：需明确授课人员的姓名、相关认证、从业年限及同类项目培训经验。</w:t>
            </w:r>
            <w:r/>
          </w:p>
          <w:p>
            <w:pPr>
              <w:spacing w:line="400" w:lineRule="exact"/>
              <w:rPr>
                <w:rFonts w:hint="eastAsia" w:ascii="宋体" w:hAnsi="宋体" w:cs="宋体"/>
                <w:szCs w:val="21"/>
              </w:rPr>
            </w:pPr>
            <w:r>
              <w:rPr>
                <w:rFonts w:hint="eastAsia" w:ascii="宋体" w:hAnsi="宋体" w:cs="宋体"/>
                <w:szCs w:val="21"/>
              </w:rPr>
              <w:t xml:space="preserve">评分规则：</w:t>
            </w:r>
            <w:r/>
          </w:p>
          <w:p>
            <w:pPr>
              <w:spacing w:line="400" w:lineRule="exact"/>
              <w:rPr>
                <w:rFonts w:hint="eastAsia" w:ascii="宋体" w:hAnsi="宋体" w:cs="宋体"/>
                <w:szCs w:val="21"/>
              </w:rPr>
            </w:pPr>
            <w:r>
              <w:rPr>
                <w:rFonts w:hint="eastAsia" w:ascii="宋体" w:hAnsi="宋体" w:cs="宋体"/>
                <w:szCs w:val="21"/>
              </w:rPr>
              <w:t xml:space="preserve">上述六项内容均完整提供，且每项内容具体、可量化，得6分；</w:t>
            </w:r>
            <w:r/>
          </w:p>
          <w:p>
            <w:pPr>
              <w:spacing w:line="400" w:lineRule="exact"/>
              <w:rPr>
                <w:rFonts w:hint="eastAsia" w:ascii="宋体" w:hAnsi="宋体" w:cs="宋体"/>
                <w:szCs w:val="21"/>
              </w:rPr>
            </w:pPr>
            <w:r>
              <w:rPr>
                <w:rFonts w:hint="eastAsia" w:ascii="宋体" w:hAnsi="宋体" w:cs="宋体"/>
                <w:szCs w:val="21"/>
              </w:rPr>
              <w:t xml:space="preserve">缺少上述任意一项内容，或某项内容过于笼统，得4分；</w:t>
            </w:r>
            <w:r/>
          </w:p>
          <w:p>
            <w:pPr>
              <w:spacing w:line="400" w:lineRule="exact"/>
              <w:rPr>
                <w:rFonts w:hint="eastAsia" w:ascii="宋体" w:hAnsi="宋体" w:cs="宋体"/>
                <w:szCs w:val="21"/>
              </w:rPr>
            </w:pPr>
            <w:r>
              <w:rPr>
                <w:rFonts w:hint="eastAsia" w:ascii="宋体" w:hAnsi="宋体" w:cs="宋体"/>
                <w:szCs w:val="21"/>
              </w:rPr>
              <w:t xml:space="preserve">缺少上述任意两项及以上内容，或所有内容均明显不完整、不具操作性，得2分；</w:t>
            </w:r>
            <w:r/>
          </w:p>
          <w:p>
            <w:pPr>
              <w:spacing w:line="400" w:lineRule="exact"/>
              <w:rPr>
                <w:rFonts w:hint="eastAsia" w:ascii="宋体" w:hAnsi="宋体" w:cs="宋体"/>
                <w:szCs w:val="21"/>
              </w:rPr>
            </w:pPr>
            <w:r>
              <w:rPr>
                <w:rFonts w:hint="eastAsia" w:ascii="宋体" w:hAnsi="宋体" w:cs="宋体"/>
                <w:szCs w:val="21"/>
              </w:rPr>
              <w:t xml:space="preserve">未提供培训方案，得0分。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400" w:lineRule="exact"/>
              <w:tabs>
                <w:tab w:val="center" w:pos="251" w:leader="none"/>
                <w:tab w:val="left" w:pos="365" w:leader="none"/>
              </w:tabs>
              <w:rPr>
                <w:rFonts w:hint="eastAsia" w:ascii="宋体" w:hAnsi="宋体" w:cs="宋体"/>
                <w:szCs w:val="21"/>
              </w:rPr>
            </w:pPr>
            <w:r>
              <w:rPr>
                <w:rFonts w:hint="eastAsia" w:ascii="宋体" w:hAnsi="宋体" w:cs="宋体"/>
                <w:szCs w:val="21"/>
              </w:rPr>
              <w:t xml:space="preserve">6</w:t>
            </w:r>
            <w:r/>
          </w:p>
        </w:tc>
      </w:tr>
      <w:tr>
        <w:trPr>
          <w:jc w:val="center"/>
          <w:trHeight w:val="389"/>
        </w:trPr>
        <w:tc>
          <w:tcPr>
            <w:gridSpan w:val="3"/>
            <w:tcBorders>
              <w:left w:val="single" w:color="auto" w:sz="4" w:space="0"/>
              <w:right w:val="single" w:color="auto" w:sz="4" w:space="0"/>
            </w:tcBorders>
            <w:tcW w:w="4601"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合计</w:t>
            </w:r>
            <w:r/>
          </w:p>
        </w:tc>
        <w:tc>
          <w:tcPr>
            <w:tcBorders>
              <w:left w:val="single" w:color="auto" w:sz="4" w:space="0"/>
              <w:right w:val="single" w:color="auto" w:sz="4" w:space="0"/>
            </w:tcBorders>
            <w:tcW w:w="398"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100</w:t>
            </w:r>
            <w:r/>
          </w:p>
        </w:tc>
      </w:tr>
    </w:tbl>
    <w:p>
      <w:pPr>
        <w:ind w:left="420" w:firstLine="420"/>
        <w:spacing w:line="360" w:lineRule="auto"/>
        <w:tabs>
          <w:tab w:val="left" w:pos="960" w:leader="none"/>
        </w:tabs>
        <w:rPr>
          <w:rFonts w:hint="eastAsia" w:ascii="宋体" w:hAnsi="宋体" w:cs="宋体"/>
        </w:rPr>
      </w:pPr>
      <w:r>
        <w:rPr>
          <w:rFonts w:hint="eastAsia" w:ascii="宋体" w:hAnsi="宋体" w:cs="宋体"/>
        </w:rPr>
      </w:r>
      <w:r/>
    </w:p>
    <w:p>
      <w:pPr>
        <w:rPr>
          <w:rFonts w:hint="eastAsia" w:ascii="宋体" w:hAnsi="宋体" w:cs="宋体"/>
          <w:b/>
          <w:szCs w:val="21"/>
        </w:rPr>
      </w:pPr>
      <w:r>
        <w:rPr>
          <w:rFonts w:hint="eastAsia" w:ascii="宋体" w:hAnsi="宋体" w:cs="宋体"/>
          <w:b/>
          <w:szCs w:val="21"/>
        </w:rPr>
      </w:r>
      <w:r/>
    </w:p>
    <w:p>
      <w:pPr>
        <w:ind w:firstLine="422"/>
        <w:rPr>
          <w:rFonts w:hint="eastAsia" w:ascii="宋体" w:hAnsi="宋体" w:cs="宋体"/>
          <w:b/>
          <w:szCs w:val="21"/>
        </w:rPr>
      </w:pPr>
      <w:r>
        <w:rPr>
          <w:rFonts w:hint="eastAsia" w:ascii="宋体" w:hAnsi="宋体" w:cs="宋体"/>
          <w:b/>
          <w:szCs w:val="21"/>
        </w:rPr>
        <w:t xml:space="preserve">说明：1.所有认证、证明和业绩均以有效清晰的证明文件的复印件为依据，原件备查。</w:t>
      </w:r>
      <w:r/>
    </w:p>
    <w:p>
      <w:pPr>
        <w:ind w:firstLine="422"/>
        <w:spacing w:line="360" w:lineRule="auto"/>
        <w:rPr>
          <w:rFonts w:hint="eastAsia" w:ascii="宋体" w:hAnsi="宋体" w:cs="宋体"/>
          <w:b/>
          <w:szCs w:val="21"/>
        </w:rPr>
      </w:pPr>
      <w:r>
        <w:rPr>
          <w:rFonts w:hint="eastAsia" w:ascii="宋体" w:hAnsi="宋体" w:cs="宋体"/>
          <w:b/>
          <w:szCs w:val="21"/>
        </w:rPr>
        <w:t xml:space="preserve">2.小微企业价格扣除</w:t>
      </w:r>
      <w:r/>
    </w:p>
    <w:p>
      <w:pPr>
        <w:ind w:firstLine="422"/>
        <w:spacing w:line="360" w:lineRule="auto"/>
        <w:rPr>
          <w:rFonts w:hint="eastAsia" w:ascii="宋体" w:hAnsi="宋体" w:cs="宋体"/>
          <w:szCs w:val="21"/>
        </w:rPr>
      </w:pPr>
      <w:r>
        <w:rPr>
          <w:rFonts w:hint="eastAsia" w:ascii="宋体" w:hAnsi="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hint="eastAsia" w:ascii="宋体" w:hAnsi="宋体" w:cs="宋体"/>
          <w:b/>
          <w:szCs w:val="21"/>
        </w:rPr>
      </w:pPr>
      <w:r>
        <w:rPr>
          <w:rFonts w:hint="eastAsia" w:ascii="宋体" w:hAnsi="宋体" w:cs="宋体"/>
          <w:b/>
          <w:szCs w:val="21"/>
        </w:rPr>
        <w:t xml:space="preserve">3.监狱和戒毒企业的价格扣除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3.1 本项目对监狱和戒毒企业，给予10%的价格扣除，用扣除后的价格参与评审。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3.2 监狱企业需提供由省级以上监狱管理局、戒毒管理局（含新疆生产建设兵团）出具的属于监狱企业的证明文件。</w:t>
      </w:r>
      <w:r/>
    </w:p>
    <w:p>
      <w:pPr>
        <w:ind w:firstLine="422"/>
        <w:spacing w:line="360" w:lineRule="auto"/>
        <w:rPr>
          <w:rFonts w:hint="eastAsia" w:ascii="宋体" w:hAnsi="宋体" w:cs="宋体"/>
          <w:b/>
          <w:szCs w:val="21"/>
        </w:rPr>
      </w:pPr>
      <w:r>
        <w:rPr>
          <w:rFonts w:hint="eastAsia" w:ascii="宋体" w:hAnsi="宋体" w:cs="宋体"/>
          <w:b/>
          <w:szCs w:val="21"/>
        </w:rPr>
        <w:t xml:space="preserve">3.3 监狱企业标准请参照《关于政府采购支持监狱企业发展有关问题的通知》（财库〔2014〕68号）。</w:t>
      </w:r>
      <w:r/>
    </w:p>
    <w:p>
      <w:pPr>
        <w:ind w:firstLine="422"/>
        <w:spacing w:line="360" w:lineRule="auto"/>
        <w:rPr>
          <w:rFonts w:hint="eastAsia" w:ascii="宋体" w:hAnsi="宋体" w:cs="宋体"/>
          <w:b/>
          <w:szCs w:val="21"/>
        </w:rPr>
      </w:pPr>
      <w:r>
        <w:rPr>
          <w:rFonts w:hint="eastAsia" w:ascii="宋体" w:hAnsi="宋体" w:cs="宋体"/>
          <w:b/>
          <w:szCs w:val="21"/>
        </w:rPr>
        <w:t xml:space="preserve">4.残疾人福利性单位的价格扣除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4.1 本项目对残疾人福利性单位，给予10%的价格扣除，用扣除后的价格参与评审。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4.2 残疾人福利性单位需提供《残疾人福利性单位声明函》</w:t>
      </w:r>
      <w:r/>
    </w:p>
    <w:p>
      <w:pPr>
        <w:ind w:firstLine="422"/>
        <w:spacing w:line="360" w:lineRule="auto"/>
        <w:rPr>
          <w:rFonts w:hint="eastAsia" w:ascii="宋体" w:hAnsi="宋体" w:cs="宋体"/>
          <w:b/>
          <w:szCs w:val="21"/>
        </w:rPr>
      </w:pPr>
      <w:r>
        <w:rPr>
          <w:rFonts w:hint="eastAsia" w:ascii="宋体" w:hAnsi="宋体" w:cs="宋体"/>
          <w:b/>
          <w:szCs w:val="21"/>
        </w:rPr>
        <w:t xml:space="preserve">4.3 残疾人福利性单位标准请参照《关于促进残疾人就业政府采购政策的通知》（财库〔2017〕141号）。</w:t>
      </w:r>
      <w:r/>
    </w:p>
    <w:p>
      <w:pPr>
        <w:ind w:firstLine="422"/>
        <w:spacing w:line="360" w:lineRule="auto"/>
        <w:rPr>
          <w:rFonts w:hint="eastAsia" w:ascii="宋体" w:hAnsi="宋体" w:cs="宋体"/>
          <w:b/>
          <w:szCs w:val="21"/>
        </w:rPr>
      </w:pPr>
      <w:r>
        <w:rPr>
          <w:rFonts w:hint="eastAsia" w:ascii="宋体" w:hAnsi="宋体" w:cs="宋体"/>
          <w:b/>
          <w:szCs w:val="21"/>
        </w:rPr>
        <w:t xml:space="preserve">5. 监狱企业、残疾人福利性单位属于小型、微型企业的，不重复享受政策。</w:t>
      </w:r>
      <w:r/>
    </w:p>
    <w:p>
      <w:pPr>
        <w:ind w:firstLine="422"/>
        <w:spacing w:line="360" w:lineRule="auto"/>
        <w:rPr>
          <w:rFonts w:hint="eastAsia" w:ascii="宋体" w:hAnsi="宋体" w:cs="宋体"/>
          <w:b/>
          <w:szCs w:val="21"/>
        </w:rPr>
      </w:pPr>
      <w:r>
        <w:rPr>
          <w:rFonts w:hint="eastAsia" w:ascii="宋体" w:hAnsi="宋体" w:cs="宋体"/>
          <w:b/>
          <w:szCs w:val="21"/>
        </w:rPr>
        <w:t xml:space="preserve">6.本国产品的价格扣除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hint="eastAsia" w:ascii="宋体" w:hAnsi="宋体" w:cs="宋体"/>
          <w:b/>
          <w:szCs w:val="21"/>
        </w:rPr>
      </w:pPr>
      <w:r>
        <w:rPr>
          <w:rFonts w:hint="eastAsia" w:ascii="宋体" w:hAnsi="宋体" w:cs="宋体"/>
          <w:b/>
          <w:szCs w:val="21"/>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hint="eastAsia" w:ascii="宋体" w:hAnsi="宋体" w:cs="宋体"/>
          <w:b/>
          <w:sz w:val="22"/>
          <w:szCs w:val="28"/>
        </w:rPr>
      </w:pPr>
      <w:r>
        <w:rPr>
          <w:rFonts w:hint="eastAsia" w:ascii="宋体" w:hAnsi="宋体" w:cs="宋体"/>
          <w:b/>
          <w:sz w:val="22"/>
          <w:szCs w:val="28"/>
        </w:rPr>
        <w:br w:type="page" w:clear="all"/>
      </w:r>
      <w:r/>
    </w:p>
    <w:p>
      <w:pPr>
        <w:pStyle w:val="689"/>
        <w:numPr>
          <w:ilvl w:val="0"/>
          <w:numId w:val="0"/>
        </w:numPr>
        <w:rPr>
          <w:rFonts w:hint="eastAsia" w:ascii="宋体" w:hAnsi="宋体" w:cs="宋体"/>
          <w:highlight w:val="green"/>
        </w:rPr>
      </w:pPr>
      <w:r/>
      <w:bookmarkStart w:id="20" w:name="_Toc6871"/>
      <w:r>
        <w:rPr>
          <w:rFonts w:hint="eastAsia" w:ascii="宋体" w:hAnsi="宋体" w:cs="宋体"/>
        </w:rPr>
        <w:t xml:space="preserve">第四章 采购需求</w:t>
      </w:r>
      <w:bookmarkEnd w:id="20"/>
      <w:r/>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bookmarkStart w:id="21" w:name="_Toc3932"/>
      <w:r/>
      <w:bookmarkStart w:id="22" w:name="_Toc27315"/>
      <w:r/>
      <w:bookmarkStart w:id="23" w:name="_Toc481057147"/>
      <w:r>
        <w:rPr>
          <w:rFonts w:hint="eastAsia" w:ascii="宋体" w:hAnsi="宋体" w:cs="宋体"/>
          <w:b/>
          <w:color w:val="000000" w:themeColor="text1"/>
          <w:szCs w:val="21"/>
          <w14:textFill>
            <w14:solidFill>
              <w14:schemeClr w14:val="tx1"/>
            </w14:solidFill>
          </w14:textFill>
        </w:rPr>
        <w:t xml:space="preserve">一、项目</w:t>
      </w:r>
      <w:bookmarkEnd w:id="21"/>
      <w:r>
        <w:rPr>
          <w:rFonts w:hint="eastAsia" w:ascii="宋体" w:hAnsi="宋体" w:cs="宋体"/>
          <w:b/>
          <w:color w:val="000000" w:themeColor="text1"/>
          <w:szCs w:val="21"/>
          <w14:textFill>
            <w14:solidFill>
              <w14:schemeClr w14:val="tx1"/>
            </w14:solidFill>
          </w14:textFill>
        </w:rPr>
        <w:t xml:space="preserve">概述</w:t>
      </w:r>
      <w:bookmarkEnd w:id="22"/>
      <w:r/>
      <w:bookmarkStart w:id="24" w:name="_Toc311"/>
      <w:r/>
      <w:bookmarkStart w:id="25" w:name="_Toc32119"/>
      <w:r/>
      <w:bookmarkStart w:id="26" w:name="_Toc4968"/>
      <w:r/>
      <w:bookmarkStart w:id="27" w:name="_Toc18449"/>
      <w:r/>
      <w:r/>
    </w:p>
    <w:tbl>
      <w:tblPr>
        <w:tblStyle w:val="736"/>
        <w:tblpPr w:horzAnchor="page" w:tblpX="1911" w:vertAnchor="text" w:tblpY="460" w:leftFromText="180" w:topFromText="0" w:rightFromText="180" w:bottomFromText="0"/>
        <w:tblW w:w="49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3789"/>
        <w:gridCol w:w="681"/>
        <w:gridCol w:w="677"/>
        <w:gridCol w:w="2379"/>
      </w:tblGrid>
      <w:tr>
        <w:trPr>
          <w:trHeight w:val="90"/>
        </w:trPr>
        <w:tc>
          <w:tcPr>
            <w:tcW w:w="442" w:type="pct"/>
            <w:vAlign w:val="center"/>
            <w:textDirection w:val="lrTb"/>
            <w:noWrap w:val="false"/>
          </w:tcPr>
          <w:p>
            <w:pPr>
              <w:pStyle w:val="759"/>
              <w:ind w:firstLine="0"/>
              <w:jc w:val="center"/>
              <w:spacing w:line="440" w:lineRule="exact"/>
              <w:rPr>
                <w:rFonts w:hint="eastAsia" w:ascii="宋体" w:hAnsi="宋体" w:cs="宋体"/>
                <w:b/>
                <w:bCs/>
                <w:szCs w:val="21"/>
              </w:rPr>
            </w:pPr>
            <w:r>
              <w:rPr>
                <w:rFonts w:hint="eastAsia" w:ascii="宋体" w:hAnsi="宋体" w:cs="宋体"/>
                <w:b/>
                <w:bCs/>
                <w:szCs w:val="21"/>
              </w:rPr>
              <w:t xml:space="preserve">序号</w:t>
            </w:r>
            <w:r/>
          </w:p>
        </w:tc>
        <w:tc>
          <w:tcPr>
            <w:tcW w:w="2294" w:type="pct"/>
            <w:vAlign w:val="center"/>
            <w:textDirection w:val="lrTb"/>
            <w:noWrap w:val="false"/>
          </w:tcPr>
          <w:p>
            <w:pPr>
              <w:pStyle w:val="759"/>
              <w:ind w:firstLine="0"/>
              <w:jc w:val="center"/>
              <w:spacing w:line="440" w:lineRule="exact"/>
              <w:rPr>
                <w:rFonts w:hint="eastAsia" w:ascii="宋体" w:hAnsi="宋体" w:cs="宋体"/>
                <w:b/>
                <w:bCs/>
                <w:szCs w:val="21"/>
              </w:rPr>
            </w:pPr>
            <w:r>
              <w:rPr>
                <w:rFonts w:hint="eastAsia" w:ascii="宋体" w:hAnsi="宋体" w:cs="宋体"/>
                <w:b/>
                <w:bCs/>
                <w:szCs w:val="21"/>
              </w:rPr>
              <w:t xml:space="preserve">产品名称</w:t>
            </w:r>
            <w:r/>
          </w:p>
        </w:tc>
        <w:tc>
          <w:tcPr>
            <w:tcW w:w="412" w:type="pct"/>
            <w:vAlign w:val="center"/>
            <w:textDirection w:val="lrTb"/>
            <w:noWrap w:val="false"/>
          </w:tcPr>
          <w:p>
            <w:pPr>
              <w:pStyle w:val="759"/>
              <w:ind w:firstLine="0"/>
              <w:jc w:val="center"/>
              <w:spacing w:line="440" w:lineRule="exact"/>
              <w:rPr>
                <w:rFonts w:hint="eastAsia" w:ascii="宋体" w:hAnsi="宋体" w:cs="宋体"/>
                <w:b/>
                <w:bCs/>
                <w:szCs w:val="21"/>
              </w:rPr>
            </w:pPr>
            <w:r>
              <w:rPr>
                <w:rFonts w:hint="eastAsia" w:ascii="宋体" w:hAnsi="宋体" w:cs="宋体"/>
                <w:b/>
                <w:bCs/>
                <w:szCs w:val="21"/>
              </w:rPr>
              <w:t xml:space="preserve">数量</w:t>
            </w:r>
            <w:r/>
          </w:p>
        </w:tc>
        <w:tc>
          <w:tcPr>
            <w:tcW w:w="410" w:type="pct"/>
            <w:vAlign w:val="center"/>
            <w:textDirection w:val="lrTb"/>
            <w:noWrap w:val="false"/>
          </w:tcPr>
          <w:p>
            <w:pPr>
              <w:pStyle w:val="759"/>
              <w:ind w:firstLine="0"/>
              <w:jc w:val="center"/>
              <w:spacing w:line="440" w:lineRule="exact"/>
              <w:rPr>
                <w:rFonts w:hint="eastAsia" w:ascii="宋体" w:hAnsi="宋体" w:cs="宋体"/>
                <w:b/>
                <w:bCs/>
                <w:szCs w:val="21"/>
              </w:rPr>
            </w:pPr>
            <w:r>
              <w:rPr>
                <w:rFonts w:hint="eastAsia" w:ascii="宋体" w:hAnsi="宋体" w:cs="宋体"/>
                <w:b/>
                <w:bCs/>
                <w:szCs w:val="21"/>
              </w:rPr>
              <w:t xml:space="preserve">单位</w:t>
            </w:r>
            <w:r/>
          </w:p>
        </w:tc>
        <w:tc>
          <w:tcPr>
            <w:tcW w:w="1440" w:type="pct"/>
            <w:vAlign w:val="center"/>
            <w:textDirection w:val="lrTb"/>
            <w:noWrap w:val="false"/>
          </w:tcPr>
          <w:p>
            <w:pPr>
              <w:pStyle w:val="759"/>
              <w:ind w:firstLine="0"/>
              <w:jc w:val="center"/>
              <w:spacing w:line="440" w:lineRule="exact"/>
              <w:rPr>
                <w:rFonts w:hint="eastAsia" w:ascii="宋体" w:hAnsi="宋体" w:cs="宋体"/>
                <w:b/>
                <w:bCs/>
                <w:color w:val="ff0000"/>
                <w:szCs w:val="21"/>
                <w:highlight w:val="yellow"/>
              </w:rPr>
            </w:pPr>
            <w:r>
              <w:rPr>
                <w:rFonts w:hint="eastAsia" w:ascii="宋体" w:hAnsi="宋体" w:cs="宋体"/>
                <w:b/>
                <w:bCs/>
                <w:szCs w:val="21"/>
              </w:rPr>
              <w:t xml:space="preserve">所属行业</w:t>
            </w:r>
            <w:r/>
          </w:p>
        </w:tc>
      </w:tr>
      <w:tr>
        <w:trPr/>
        <w:tc>
          <w:tcPr>
            <w:tcW w:w="442" w:type="pct"/>
            <w:vAlign w:val="center"/>
            <w:textDirection w:val="lrTb"/>
            <w:noWrap w:val="false"/>
          </w:tcPr>
          <w:p>
            <w:pPr>
              <w:pStyle w:val="759"/>
              <w:ind w:firstLine="0"/>
              <w:jc w:val="center"/>
              <w:spacing w:line="440" w:lineRule="exact"/>
              <w:rPr>
                <w:rFonts w:hint="eastAsia" w:ascii="宋体" w:hAnsi="宋体" w:cs="宋体"/>
                <w:szCs w:val="21"/>
              </w:rPr>
            </w:pPr>
            <w:r>
              <w:rPr>
                <w:rFonts w:hint="eastAsia" w:ascii="宋体" w:hAnsi="宋体" w:cs="宋体"/>
                <w:szCs w:val="21"/>
              </w:rPr>
              <w:t xml:space="preserve">1</w:t>
            </w:r>
            <w:r/>
          </w:p>
        </w:tc>
        <w:tc>
          <w:tcPr>
            <w:tcW w:w="2294" w:type="pct"/>
            <w:vAlign w:val="center"/>
            <w:textDirection w:val="lrTb"/>
            <w:noWrap w:val="false"/>
          </w:tcPr>
          <w:p>
            <w:pPr>
              <w:pStyle w:val="759"/>
              <w:ind w:firstLine="0"/>
              <w:jc w:val="left"/>
              <w:spacing w:line="440" w:lineRule="exact"/>
              <w:rPr>
                <w:rFonts w:hint="eastAsia" w:ascii="宋体" w:hAnsi="宋体" w:cs="宋体"/>
                <w:szCs w:val="21"/>
                <w:highlight w:val="yellow"/>
              </w:rPr>
            </w:pPr>
            <w:r>
              <w:rPr>
                <w:rFonts w:ascii="宋体" w:hAnsi="宋体" w:cs="宋体"/>
                <w:szCs w:val="21"/>
              </w:rPr>
              <w:t xml:space="preserve">新一代智能体应用实训基础</w:t>
            </w:r>
            <w:r>
              <w:rPr>
                <w:rFonts w:hint="eastAsia" w:ascii="宋体" w:hAnsi="宋体" w:cs="宋体"/>
                <w:szCs w:val="21"/>
              </w:rPr>
              <w:t xml:space="preserve">资源</w:t>
            </w:r>
            <w:r/>
          </w:p>
        </w:tc>
        <w:tc>
          <w:tcPr>
            <w:tcW w:w="412" w:type="pct"/>
            <w:vAlign w:val="center"/>
            <w:textDirection w:val="lrTb"/>
            <w:noWrap w:val="false"/>
          </w:tcPr>
          <w:p>
            <w:pPr>
              <w:jc w:val="center"/>
              <w:spacing w:line="440" w:lineRule="exact"/>
              <w:rPr>
                <w:rFonts w:hint="eastAsia" w:ascii="宋体" w:hAnsi="宋体" w:cs="宋体"/>
                <w:szCs w:val="21"/>
                <w:highlight w:val="yellow"/>
              </w:rPr>
            </w:pPr>
            <w:r>
              <w:rPr>
                <w:rFonts w:ascii="宋体" w:hAnsi="宋体" w:cs="宋体"/>
                <w:color w:val="000000"/>
                <w:sz w:val="18"/>
              </w:rPr>
              <w:t xml:space="preserve">1</w:t>
            </w:r>
            <w:r/>
          </w:p>
        </w:tc>
        <w:tc>
          <w:tcPr>
            <w:tcW w:w="410" w:type="pct"/>
            <w:vAlign w:val="center"/>
            <w:textDirection w:val="lrTb"/>
            <w:noWrap w:val="false"/>
          </w:tcPr>
          <w:p>
            <w:pPr>
              <w:jc w:val="center"/>
              <w:spacing w:line="440" w:lineRule="exact"/>
              <w:rPr>
                <w:rFonts w:hint="eastAsia" w:ascii="宋体" w:hAnsi="宋体" w:cs="宋体"/>
                <w:szCs w:val="21"/>
                <w:highlight w:val="yellow"/>
              </w:rPr>
            </w:pPr>
            <w:r>
              <w:rPr>
                <w:rFonts w:ascii="宋体" w:hAnsi="宋体" w:cs="宋体"/>
                <w:color w:val="000000"/>
              </w:rPr>
              <w:t xml:space="preserve">项</w:t>
            </w:r>
            <w:r/>
          </w:p>
        </w:tc>
        <w:tc>
          <w:tcPr>
            <w:tcW w:w="1440" w:type="pct"/>
            <w:vAlign w:val="center"/>
            <w:textDirection w:val="lrTb"/>
            <w:noWrap w:val="false"/>
          </w:tcPr>
          <w:p>
            <w:pPr>
              <w:pStyle w:val="759"/>
              <w:ind w:firstLine="0"/>
              <w:jc w:val="center"/>
              <w:spacing w:line="440" w:lineRule="exact"/>
              <w:rPr>
                <w:rFonts w:hint="eastAsia" w:ascii="宋体" w:hAnsi="宋体" w:cs="宋体"/>
                <w:szCs w:val="21"/>
                <w:highlight w:val="yellow"/>
              </w:rPr>
            </w:pPr>
            <w:r>
              <w:t xml:space="preserve">软件和信息技术服务业</w:t>
            </w:r>
            <w:r/>
          </w:p>
        </w:tc>
      </w:tr>
      <w:tr>
        <w:trPr/>
        <w:tc>
          <w:tcPr>
            <w:tcW w:w="442" w:type="pct"/>
            <w:vAlign w:val="center"/>
            <w:textDirection w:val="lrTb"/>
            <w:noWrap w:val="false"/>
          </w:tcPr>
          <w:p>
            <w:pPr>
              <w:pStyle w:val="759"/>
              <w:ind w:firstLine="0"/>
              <w:jc w:val="center"/>
              <w:spacing w:line="440" w:lineRule="exact"/>
              <w:rPr>
                <w:rFonts w:hint="eastAsia" w:ascii="宋体" w:hAnsi="宋体" w:cs="宋体"/>
                <w:szCs w:val="21"/>
              </w:rPr>
            </w:pPr>
            <w:r>
              <w:rPr>
                <w:rFonts w:hint="eastAsia" w:ascii="宋体" w:hAnsi="宋体" w:cs="宋体"/>
                <w:szCs w:val="21"/>
              </w:rPr>
              <w:t xml:space="preserve">2</w:t>
            </w:r>
            <w:r/>
          </w:p>
        </w:tc>
        <w:tc>
          <w:tcPr>
            <w:tcW w:w="2294" w:type="pct"/>
            <w:vAlign w:val="center"/>
            <w:textDirection w:val="lrTb"/>
            <w:noWrap w:val="false"/>
          </w:tcPr>
          <w:p>
            <w:pPr>
              <w:pStyle w:val="759"/>
              <w:ind w:firstLine="0"/>
              <w:jc w:val="left"/>
              <w:spacing w:line="440" w:lineRule="exact"/>
              <w:rPr>
                <w:rFonts w:hint="eastAsia" w:ascii="宋体" w:hAnsi="宋体" w:cs="宋体"/>
                <w:szCs w:val="21"/>
                <w:highlight w:val="yellow"/>
              </w:rPr>
            </w:pPr>
            <w:r>
              <w:rPr>
                <w:rFonts w:ascii="宋体" w:hAnsi="宋体" w:cs="宋体"/>
                <w:color w:val="000000"/>
              </w:rPr>
              <w:t xml:space="preserve">工业多模态智能体机器人</w:t>
            </w:r>
            <w:r>
              <w:rPr>
                <w:rFonts w:hint="eastAsia" w:ascii="宋体" w:hAnsi="宋体" w:cs="宋体"/>
                <w:color w:val="auto"/>
              </w:rPr>
              <w:t xml:space="preserve">（核心产品）</w:t>
            </w:r>
            <w:r/>
          </w:p>
        </w:tc>
        <w:tc>
          <w:tcPr>
            <w:tcW w:w="412" w:type="pct"/>
            <w:vAlign w:val="center"/>
            <w:textDirection w:val="lrTb"/>
            <w:noWrap w:val="false"/>
          </w:tcPr>
          <w:p>
            <w:pPr>
              <w:jc w:val="center"/>
              <w:spacing w:line="440" w:lineRule="exact"/>
              <w:rPr>
                <w:rFonts w:hint="eastAsia" w:ascii="宋体" w:hAnsi="宋体" w:cs="宋体"/>
                <w:szCs w:val="21"/>
                <w:highlight w:val="yellow"/>
              </w:rPr>
            </w:pPr>
            <w:r>
              <w:rPr>
                <w:rFonts w:ascii="宋体" w:hAnsi="宋体" w:cs="宋体"/>
                <w:color w:val="000000"/>
                <w:sz w:val="18"/>
              </w:rPr>
              <w:t xml:space="preserve">1</w:t>
            </w:r>
            <w:r/>
          </w:p>
        </w:tc>
        <w:tc>
          <w:tcPr>
            <w:tcW w:w="410" w:type="pct"/>
            <w:vAlign w:val="center"/>
            <w:textDirection w:val="lrTb"/>
            <w:noWrap w:val="false"/>
          </w:tcPr>
          <w:p>
            <w:pPr>
              <w:jc w:val="center"/>
              <w:spacing w:line="440" w:lineRule="exact"/>
              <w:rPr>
                <w:rFonts w:hint="eastAsia" w:ascii="宋体" w:hAnsi="宋体" w:cs="宋体"/>
                <w:szCs w:val="21"/>
                <w:highlight w:val="yellow"/>
              </w:rPr>
            </w:pPr>
            <w:r>
              <w:rPr>
                <w:rFonts w:ascii="宋体" w:hAnsi="宋体" w:cs="宋体"/>
                <w:color w:val="000000"/>
              </w:rPr>
              <w:t xml:space="preserve">台</w:t>
            </w:r>
            <w:r/>
          </w:p>
        </w:tc>
        <w:tc>
          <w:tcPr>
            <w:tcW w:w="1440" w:type="pct"/>
            <w:vAlign w:val="center"/>
            <w:textDirection w:val="lrTb"/>
            <w:noWrap w:val="false"/>
          </w:tcPr>
          <w:p>
            <w:pPr>
              <w:pStyle w:val="759"/>
              <w:ind w:firstLine="0"/>
              <w:jc w:val="center"/>
              <w:spacing w:line="440" w:lineRule="exact"/>
              <w:rPr>
                <w:rFonts w:hint="eastAsia" w:ascii="宋体" w:hAnsi="宋体" w:cs="宋体"/>
                <w:szCs w:val="21"/>
                <w:highlight w:val="yellow"/>
              </w:rPr>
            </w:pPr>
            <w:r>
              <w:t xml:space="preserve">工业</w:t>
            </w:r>
            <w:r/>
          </w:p>
        </w:tc>
      </w:tr>
      <w:tr>
        <w:trPr/>
        <w:tc>
          <w:tcPr>
            <w:tcW w:w="442" w:type="pct"/>
            <w:vAlign w:val="center"/>
            <w:textDirection w:val="lrTb"/>
            <w:noWrap w:val="false"/>
          </w:tcPr>
          <w:p>
            <w:pPr>
              <w:pStyle w:val="759"/>
              <w:ind w:firstLine="0"/>
              <w:jc w:val="center"/>
              <w:spacing w:line="440" w:lineRule="exact"/>
              <w:rPr>
                <w:rFonts w:hint="eastAsia" w:ascii="宋体" w:hAnsi="宋体" w:cs="宋体"/>
                <w:szCs w:val="21"/>
              </w:rPr>
            </w:pPr>
            <w:r>
              <w:rPr>
                <w:rFonts w:hint="eastAsia" w:ascii="宋体" w:hAnsi="宋体" w:cs="宋体"/>
                <w:szCs w:val="21"/>
              </w:rPr>
              <w:t xml:space="preserve">3</w:t>
            </w:r>
            <w:r/>
          </w:p>
        </w:tc>
        <w:tc>
          <w:tcPr>
            <w:tcW w:w="2294" w:type="pct"/>
            <w:vAlign w:val="center"/>
            <w:textDirection w:val="lrTb"/>
            <w:noWrap w:val="false"/>
          </w:tcPr>
          <w:p>
            <w:pPr>
              <w:pStyle w:val="759"/>
              <w:ind w:firstLine="0"/>
              <w:jc w:val="left"/>
              <w:spacing w:line="440" w:lineRule="exact"/>
              <w:rPr>
                <w:rFonts w:hint="eastAsia" w:ascii="宋体" w:hAnsi="宋体" w:cs="宋体"/>
                <w:szCs w:val="21"/>
                <w:highlight w:val="yellow"/>
              </w:rPr>
            </w:pPr>
            <w:r>
              <w:rPr>
                <w:rFonts w:ascii="宋体" w:hAnsi="宋体" w:cs="宋体"/>
                <w:color w:val="000000"/>
              </w:rPr>
              <w:t xml:space="preserve">智能体基础应用实践案例</w:t>
            </w:r>
            <w:r/>
          </w:p>
        </w:tc>
        <w:tc>
          <w:tcPr>
            <w:tcW w:w="412" w:type="pct"/>
            <w:vAlign w:val="center"/>
            <w:textDirection w:val="lrTb"/>
            <w:noWrap w:val="false"/>
          </w:tcPr>
          <w:p>
            <w:pPr>
              <w:jc w:val="center"/>
              <w:spacing w:line="440" w:lineRule="exact"/>
              <w:rPr>
                <w:rFonts w:hint="eastAsia" w:ascii="宋体" w:hAnsi="宋体" w:cs="宋体"/>
                <w:szCs w:val="21"/>
                <w:highlight w:val="yellow"/>
              </w:rPr>
            </w:pPr>
            <w:r>
              <w:rPr>
                <w:rFonts w:ascii="宋体" w:hAnsi="宋体" w:cs="宋体"/>
                <w:color w:val="000000"/>
                <w:sz w:val="18"/>
              </w:rPr>
              <w:t xml:space="preserve">1</w:t>
            </w:r>
            <w:r/>
          </w:p>
        </w:tc>
        <w:tc>
          <w:tcPr>
            <w:tcW w:w="410" w:type="pct"/>
            <w:vAlign w:val="center"/>
            <w:textDirection w:val="lrTb"/>
            <w:noWrap w:val="false"/>
          </w:tcPr>
          <w:p>
            <w:pPr>
              <w:jc w:val="center"/>
              <w:spacing w:line="440" w:lineRule="exact"/>
              <w:rPr>
                <w:rFonts w:hint="eastAsia" w:ascii="宋体" w:hAnsi="宋体" w:cs="宋体"/>
                <w:szCs w:val="21"/>
                <w:highlight w:val="yellow"/>
              </w:rPr>
            </w:pPr>
            <w:r>
              <w:rPr>
                <w:rFonts w:ascii="宋体" w:hAnsi="宋体" w:cs="宋体"/>
                <w:color w:val="000000"/>
              </w:rPr>
              <w:t xml:space="preserve">套</w:t>
            </w:r>
            <w:r/>
          </w:p>
        </w:tc>
        <w:tc>
          <w:tcPr>
            <w:tcW w:w="1440" w:type="pct"/>
            <w:vAlign w:val="center"/>
            <w:textDirection w:val="lrTb"/>
            <w:noWrap w:val="false"/>
          </w:tcPr>
          <w:p>
            <w:pPr>
              <w:pStyle w:val="759"/>
              <w:ind w:firstLine="0"/>
              <w:jc w:val="center"/>
              <w:spacing w:line="440" w:lineRule="exact"/>
              <w:rPr>
                <w:rFonts w:hint="eastAsia" w:ascii="宋体" w:hAnsi="宋体" w:cs="宋体"/>
                <w:szCs w:val="21"/>
                <w:highlight w:val="yellow"/>
              </w:rPr>
            </w:pPr>
            <w:r>
              <w:t xml:space="preserve">软件和信息技术服务业</w:t>
            </w:r>
            <w:r/>
          </w:p>
        </w:tc>
      </w:tr>
      <w:tr>
        <w:trPr/>
        <w:tc>
          <w:tcPr>
            <w:tcW w:w="442" w:type="pct"/>
            <w:vAlign w:val="center"/>
            <w:textDirection w:val="lrTb"/>
            <w:noWrap w:val="false"/>
          </w:tcPr>
          <w:p>
            <w:pPr>
              <w:pStyle w:val="759"/>
              <w:ind w:firstLine="0"/>
              <w:jc w:val="center"/>
              <w:spacing w:line="440" w:lineRule="exact"/>
              <w:rPr>
                <w:rFonts w:hint="eastAsia" w:ascii="宋体" w:hAnsi="宋体" w:cs="宋体"/>
                <w:szCs w:val="21"/>
              </w:rPr>
            </w:pPr>
            <w:r>
              <w:rPr>
                <w:rFonts w:hint="eastAsia" w:ascii="宋体" w:hAnsi="宋体" w:cs="宋体"/>
                <w:szCs w:val="21"/>
              </w:rPr>
              <w:t xml:space="preserve">4</w:t>
            </w:r>
            <w:r/>
          </w:p>
        </w:tc>
        <w:tc>
          <w:tcPr>
            <w:tcW w:w="2294" w:type="pct"/>
            <w:vAlign w:val="center"/>
            <w:textDirection w:val="lrTb"/>
            <w:noWrap w:val="false"/>
          </w:tcPr>
          <w:p>
            <w:pPr>
              <w:pStyle w:val="759"/>
              <w:ind w:firstLine="0"/>
              <w:jc w:val="left"/>
              <w:spacing w:line="440" w:lineRule="exact"/>
              <w:rPr>
                <w:rFonts w:hint="eastAsia" w:ascii="宋体" w:hAnsi="宋体" w:cs="宋体"/>
                <w:szCs w:val="21"/>
                <w:highlight w:val="yellow"/>
              </w:rPr>
            </w:pPr>
            <w:r>
              <w:rPr>
                <w:rFonts w:ascii="宋体" w:hAnsi="宋体" w:cs="宋体"/>
                <w:color w:val="000000"/>
              </w:rPr>
              <w:t xml:space="preserve">智能体高级应用实践案例</w:t>
            </w:r>
            <w:r/>
          </w:p>
        </w:tc>
        <w:tc>
          <w:tcPr>
            <w:tcW w:w="412" w:type="pct"/>
            <w:vAlign w:val="center"/>
            <w:textDirection w:val="lrTb"/>
            <w:noWrap w:val="false"/>
          </w:tcPr>
          <w:p>
            <w:pPr>
              <w:jc w:val="center"/>
              <w:spacing w:line="440" w:lineRule="exact"/>
              <w:rPr>
                <w:rFonts w:hint="eastAsia" w:ascii="宋体" w:hAnsi="宋体" w:cs="宋体"/>
                <w:szCs w:val="21"/>
                <w:highlight w:val="yellow"/>
              </w:rPr>
            </w:pPr>
            <w:r>
              <w:rPr>
                <w:rFonts w:ascii="宋体" w:hAnsi="宋体" w:cs="宋体"/>
                <w:color w:val="000000"/>
                <w:sz w:val="18"/>
              </w:rPr>
              <w:t xml:space="preserve">1</w:t>
            </w:r>
            <w:r/>
          </w:p>
        </w:tc>
        <w:tc>
          <w:tcPr>
            <w:tcW w:w="410" w:type="pct"/>
            <w:vAlign w:val="center"/>
            <w:textDirection w:val="lrTb"/>
            <w:noWrap w:val="false"/>
          </w:tcPr>
          <w:p>
            <w:pPr>
              <w:jc w:val="center"/>
              <w:spacing w:line="440" w:lineRule="exact"/>
              <w:rPr>
                <w:rFonts w:hint="eastAsia" w:ascii="宋体" w:hAnsi="宋体" w:cs="宋体"/>
                <w:szCs w:val="21"/>
                <w:highlight w:val="yellow"/>
              </w:rPr>
            </w:pPr>
            <w:r>
              <w:rPr>
                <w:rFonts w:ascii="宋体" w:hAnsi="宋体" w:cs="宋体"/>
                <w:color w:val="000000"/>
              </w:rPr>
              <w:t xml:space="preserve">套</w:t>
            </w:r>
            <w:r/>
          </w:p>
        </w:tc>
        <w:tc>
          <w:tcPr>
            <w:tcW w:w="1440" w:type="pct"/>
            <w:vAlign w:val="center"/>
            <w:textDirection w:val="lrTb"/>
            <w:noWrap w:val="false"/>
          </w:tcPr>
          <w:p>
            <w:pPr>
              <w:pStyle w:val="759"/>
              <w:ind w:firstLine="0"/>
              <w:jc w:val="center"/>
              <w:spacing w:line="440" w:lineRule="exact"/>
              <w:rPr>
                <w:rFonts w:hint="eastAsia" w:ascii="宋体" w:hAnsi="宋体" w:cs="宋体"/>
                <w:szCs w:val="21"/>
                <w:highlight w:val="yellow"/>
              </w:rPr>
            </w:pPr>
            <w:r>
              <w:t xml:space="preserve">软件和信息技术服务业</w:t>
            </w:r>
            <w:r/>
          </w:p>
        </w:tc>
      </w:tr>
      <w:tr>
        <w:trPr/>
        <w:tc>
          <w:tcPr>
            <w:tcW w:w="442" w:type="pct"/>
            <w:vAlign w:val="center"/>
            <w:textDirection w:val="lrTb"/>
            <w:noWrap w:val="false"/>
          </w:tcPr>
          <w:p>
            <w:pPr>
              <w:pStyle w:val="759"/>
              <w:ind w:firstLine="0"/>
              <w:jc w:val="center"/>
              <w:spacing w:line="440" w:lineRule="exact"/>
              <w:rPr>
                <w:rFonts w:hint="eastAsia" w:ascii="宋体" w:hAnsi="宋体" w:cs="宋体"/>
                <w:szCs w:val="21"/>
              </w:rPr>
            </w:pPr>
            <w:r>
              <w:rPr>
                <w:rFonts w:hint="eastAsia" w:ascii="宋体" w:hAnsi="宋体" w:cs="宋体"/>
                <w:szCs w:val="21"/>
              </w:rPr>
              <w:t xml:space="preserve">5</w:t>
            </w:r>
            <w:r/>
          </w:p>
        </w:tc>
        <w:tc>
          <w:tcPr>
            <w:tcW w:w="2294" w:type="pct"/>
            <w:vAlign w:val="center"/>
            <w:textDirection w:val="lrTb"/>
            <w:noWrap w:val="false"/>
          </w:tcPr>
          <w:p>
            <w:pPr>
              <w:pStyle w:val="759"/>
              <w:ind w:firstLine="0"/>
              <w:jc w:val="left"/>
              <w:spacing w:line="440" w:lineRule="exact"/>
              <w:rPr>
                <w:rFonts w:hint="eastAsia" w:ascii="宋体" w:hAnsi="宋体" w:cs="宋体"/>
                <w:szCs w:val="21"/>
                <w:highlight w:val="yellow"/>
              </w:rPr>
            </w:pPr>
            <w:r>
              <w:rPr>
                <w:rFonts w:ascii="宋体" w:hAnsi="宋体" w:cs="宋体"/>
                <w:color w:val="000000"/>
              </w:rPr>
              <w:t xml:space="preserve">高级智能体应用平台与知识库系统</w:t>
            </w:r>
            <w:r/>
          </w:p>
        </w:tc>
        <w:tc>
          <w:tcPr>
            <w:tcW w:w="412" w:type="pct"/>
            <w:vAlign w:val="center"/>
            <w:textDirection w:val="lrTb"/>
            <w:noWrap w:val="false"/>
          </w:tcPr>
          <w:p>
            <w:pPr>
              <w:jc w:val="center"/>
              <w:spacing w:line="440" w:lineRule="exact"/>
              <w:rPr>
                <w:rFonts w:hint="eastAsia" w:ascii="宋体" w:hAnsi="宋体" w:cs="宋体"/>
                <w:szCs w:val="21"/>
                <w:highlight w:val="yellow"/>
              </w:rPr>
            </w:pPr>
            <w:r>
              <w:rPr>
                <w:rFonts w:ascii="宋体" w:hAnsi="宋体" w:cs="宋体"/>
                <w:color w:val="000000"/>
                <w:sz w:val="18"/>
              </w:rPr>
              <w:t xml:space="preserve">1</w:t>
            </w:r>
            <w:r/>
          </w:p>
        </w:tc>
        <w:tc>
          <w:tcPr>
            <w:tcW w:w="410" w:type="pct"/>
            <w:vAlign w:val="center"/>
            <w:textDirection w:val="lrTb"/>
            <w:noWrap w:val="false"/>
          </w:tcPr>
          <w:p>
            <w:pPr>
              <w:jc w:val="center"/>
              <w:spacing w:line="440" w:lineRule="exact"/>
              <w:rPr>
                <w:rFonts w:hint="eastAsia" w:ascii="宋体" w:hAnsi="宋体" w:cs="宋体"/>
                <w:szCs w:val="21"/>
                <w:highlight w:val="yellow"/>
              </w:rPr>
            </w:pPr>
            <w:r>
              <w:rPr>
                <w:rFonts w:ascii="宋体" w:hAnsi="宋体" w:cs="宋体"/>
                <w:color w:val="000000"/>
              </w:rPr>
              <w:t xml:space="preserve">套</w:t>
            </w:r>
            <w:r/>
          </w:p>
        </w:tc>
        <w:tc>
          <w:tcPr>
            <w:tcW w:w="1440" w:type="pct"/>
            <w:vAlign w:val="center"/>
            <w:textDirection w:val="lrTb"/>
            <w:noWrap w:val="false"/>
          </w:tcPr>
          <w:p>
            <w:pPr>
              <w:pStyle w:val="759"/>
              <w:ind w:firstLine="0"/>
              <w:jc w:val="center"/>
              <w:spacing w:line="440" w:lineRule="exact"/>
              <w:rPr>
                <w:rFonts w:hint="eastAsia" w:ascii="宋体" w:hAnsi="宋体" w:cs="宋体"/>
                <w:szCs w:val="21"/>
                <w:highlight w:val="yellow"/>
              </w:rPr>
            </w:pPr>
            <w:r>
              <w:t xml:space="preserve">软件和信息技术服务业</w:t>
            </w:r>
            <w:r/>
          </w:p>
        </w:tc>
      </w:tr>
      <w:tr>
        <w:trPr/>
        <w:tc>
          <w:tcPr>
            <w:tcW w:w="442" w:type="pct"/>
            <w:vAlign w:val="center"/>
            <w:textDirection w:val="lrTb"/>
            <w:noWrap w:val="false"/>
          </w:tcPr>
          <w:p>
            <w:pPr>
              <w:pStyle w:val="759"/>
              <w:ind w:firstLine="0"/>
              <w:jc w:val="center"/>
              <w:spacing w:line="440" w:lineRule="exact"/>
              <w:rPr>
                <w:rFonts w:hint="eastAsia" w:ascii="宋体" w:hAnsi="宋体" w:cs="宋体"/>
                <w:szCs w:val="21"/>
              </w:rPr>
            </w:pPr>
            <w:r>
              <w:rPr>
                <w:rFonts w:hint="eastAsia" w:ascii="宋体" w:hAnsi="宋体" w:cs="宋体"/>
                <w:szCs w:val="21"/>
              </w:rPr>
              <w:t xml:space="preserve">6</w:t>
            </w:r>
            <w:r/>
          </w:p>
        </w:tc>
        <w:tc>
          <w:tcPr>
            <w:tcW w:w="2294" w:type="pct"/>
            <w:vAlign w:val="center"/>
            <w:textDirection w:val="lrTb"/>
            <w:noWrap w:val="false"/>
          </w:tcPr>
          <w:p>
            <w:pPr>
              <w:pStyle w:val="759"/>
              <w:ind w:firstLine="0"/>
              <w:jc w:val="left"/>
              <w:spacing w:line="440" w:lineRule="exact"/>
              <w:rPr>
                <w:rFonts w:hint="eastAsia" w:ascii="宋体" w:hAnsi="宋体" w:cs="宋体"/>
                <w:color w:val="000000"/>
              </w:rPr>
            </w:pPr>
            <w:r>
              <w:rPr>
                <w:rFonts w:ascii="宋体" w:hAnsi="宋体" w:cs="宋体"/>
                <w:color w:val="000000"/>
              </w:rPr>
              <w:t xml:space="preserve">自动化测试场景编排系统与数据回传中间件</w:t>
            </w:r>
            <w:r/>
          </w:p>
        </w:tc>
        <w:tc>
          <w:tcPr>
            <w:tcW w:w="412" w:type="pct"/>
            <w:vAlign w:val="center"/>
            <w:textDirection w:val="lrTb"/>
            <w:noWrap w:val="false"/>
          </w:tcPr>
          <w:p>
            <w:pPr>
              <w:jc w:val="center"/>
              <w:spacing w:line="440" w:lineRule="exact"/>
              <w:rPr>
                <w:rFonts w:hint="eastAsia" w:ascii="宋体" w:hAnsi="宋体" w:cs="宋体"/>
                <w:szCs w:val="21"/>
                <w:highlight w:val="yellow"/>
              </w:rPr>
            </w:pPr>
            <w:r>
              <w:rPr>
                <w:rFonts w:ascii="宋体" w:hAnsi="宋体" w:cs="宋体"/>
                <w:color w:val="000000"/>
                <w:sz w:val="18"/>
              </w:rPr>
              <w:t xml:space="preserve">1</w:t>
            </w:r>
            <w:r/>
          </w:p>
        </w:tc>
        <w:tc>
          <w:tcPr>
            <w:tcW w:w="410" w:type="pct"/>
            <w:vAlign w:val="center"/>
            <w:textDirection w:val="lrTb"/>
            <w:noWrap w:val="false"/>
          </w:tcPr>
          <w:p>
            <w:pPr>
              <w:jc w:val="center"/>
              <w:spacing w:line="440" w:lineRule="exact"/>
              <w:rPr>
                <w:rFonts w:hint="eastAsia" w:ascii="宋体" w:hAnsi="宋体" w:cs="宋体"/>
                <w:szCs w:val="21"/>
                <w:highlight w:val="yellow"/>
              </w:rPr>
            </w:pPr>
            <w:r>
              <w:rPr>
                <w:rFonts w:ascii="宋体" w:hAnsi="宋体" w:cs="宋体"/>
                <w:color w:val="000000"/>
              </w:rPr>
              <w:t xml:space="preserve">套</w:t>
            </w:r>
            <w:r/>
          </w:p>
        </w:tc>
        <w:tc>
          <w:tcPr>
            <w:tcW w:w="1440" w:type="pct"/>
            <w:vAlign w:val="center"/>
            <w:textDirection w:val="lrTb"/>
            <w:noWrap w:val="false"/>
          </w:tcPr>
          <w:p>
            <w:pPr>
              <w:pStyle w:val="759"/>
              <w:ind w:firstLine="0"/>
              <w:jc w:val="center"/>
              <w:spacing w:line="440" w:lineRule="exact"/>
              <w:rPr>
                <w:rFonts w:hint="eastAsia" w:ascii="宋体" w:hAnsi="宋体" w:cs="宋体"/>
                <w:szCs w:val="21"/>
                <w:highlight w:val="yellow"/>
              </w:rPr>
            </w:pPr>
            <w:r>
              <w:t xml:space="preserve">软件和信息技术服务业</w:t>
            </w:r>
            <w:r/>
          </w:p>
        </w:tc>
      </w:tr>
    </w:tbl>
    <w:p>
      <w:pPr>
        <w:pStyle w:val="759"/>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南京工业职业技术大学为满足教学实验需要，需采购如下设备：</w:t>
      </w:r>
      <w:bookmarkEnd w:id="24"/>
      <w:bookmarkEnd w:id="25"/>
      <w:r/>
    </w:p>
    <w:p>
      <w:pPr>
        <w:ind w:firstLine="420"/>
        <w:jc w:val="left"/>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bookmarkStart w:id="28" w:name="OLE_LINK12"/>
      <w:r>
        <w:rPr>
          <w:rFonts w:hint="eastAsia" w:ascii="宋体" w:hAnsi="宋体" w:cs="宋体"/>
          <w:color w:val="000000" w:themeColor="text1"/>
          <w:szCs w:val="21"/>
          <w14:textFill>
            <w14:solidFill>
              <w14:schemeClr w14:val="tx1"/>
            </w14:solidFill>
          </w14:textFill>
        </w:rPr>
        <w:t xml:space="preserve">项目属性：货物类（</w:t>
      </w:r>
      <w:r>
        <w:rPr>
          <w:rFonts w:hint="eastAsia" w:ascii="宋体" w:hAnsi="宋体" w:cs="宋体"/>
          <w:szCs w:val="21"/>
        </w:rPr>
        <w:t xml:space="preserve">项目属性说明：本项目为货物类采购。涉及软件、数字资源、案例资源及平台系统的标的均按成品软件产品、标准化数字资源包或设备配套软件功能进行采购，技术要求描述的是产品既有功能、可配置能力、标准接口和配套资源的交付、部署与使用</w:t>
      </w:r>
      <w:r>
        <w:rPr>
          <w:rFonts w:hint="eastAsia" w:ascii="宋体" w:hAnsi="宋体" w:cs="宋体"/>
          <w:szCs w:val="21"/>
          <w:highlight w:val="none"/>
        </w:rPr>
        <w:t xml:space="preserve">，不包含委托开发、定制开发、二次开发或按采购人个性化需求另行编程实现的服务。</w:t>
      </w:r>
      <w:r>
        <w:rPr>
          <w:rFonts w:hint="eastAsia" w:ascii="宋体" w:hAnsi="宋体" w:cs="宋体"/>
          <w:color w:val="000000" w:themeColor="text1"/>
          <w:szCs w:val="21"/>
          <w:highlight w:val="none"/>
          <w14:textFill>
            <w14:solidFill>
              <w14:schemeClr w14:val="tx1"/>
            </w14:solidFill>
          </w14:textFill>
        </w:rPr>
        <w:t xml:space="preserve">）</w:t>
      </w:r>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二、技术指标及要求</w:t>
      </w:r>
      <w:bookmarkEnd w:id="26"/>
      <w:r/>
      <w:bookmarkEnd w:id="27"/>
      <w:r/>
      <w:bookmarkStart w:id="29" w:name="_Toc29315"/>
      <w:r/>
      <w:bookmarkStart w:id="30" w:name="_Toc2652"/>
      <w:r/>
      <w:bookmarkStart w:id="31" w:name="_Toc9991"/>
      <w:r/>
      <w:bookmarkEnd w:id="28"/>
      <w:r/>
    </w:p>
    <w:p>
      <w:pPr>
        <w:ind w:firstLine="422"/>
        <w:spacing w:line="360" w:lineRule="auto"/>
        <w:shd w:val="clear" w:color="auto" w:fill="ffffff"/>
        <w:widowControl/>
        <w:rPr>
          <w:rStyle w:val="742"/>
          <w:rFonts w:hint="eastAsia" w:ascii="宋体" w:hAnsi="宋体" w:cs="宋体"/>
          <w:color w:val="000000" w:themeColor="text1"/>
          <w14:textFill>
            <w14:solidFill>
              <w14:schemeClr w14:val="tx1"/>
            </w14:solidFill>
          </w14:textFill>
        </w:rPr>
      </w:pPr>
      <w:r>
        <w:rPr>
          <w:rFonts w:hint="eastAsia" w:ascii="宋体" w:hAnsi="宋体" w:cs="宋体"/>
          <w:b/>
          <w:bCs/>
          <w:szCs w:val="21"/>
        </w:rPr>
        <w:t xml:space="preserve">“▲”的技术参数响应需提供支撑资料（提供相关证明材料并加盖投标单位公章,包括但不限于明确说明该技术内容的公开发行的产品彩页或产品说明书或第三方检测机构的检测报告，自拟无效。</w:t>
      </w:r>
      <w:r>
        <w:rPr>
          <w:rFonts w:ascii="宋体" w:hAnsi="宋体" w:cs="宋体"/>
          <w:b/>
          <w:bCs/>
          <w:szCs w:val="21"/>
        </w:rPr>
        <w:t xml:space="preserve">若</w:t>
      </w:r>
      <w:r>
        <w:rPr>
          <w:rFonts w:hint="eastAsia" w:ascii="宋体" w:hAnsi="宋体" w:cs="宋体"/>
          <w:b/>
          <w:bCs/>
          <w:szCs w:val="21"/>
        </w:rPr>
        <w:t xml:space="preserve">需求中</w:t>
      </w:r>
      <w:r>
        <w:rPr>
          <w:rFonts w:ascii="宋体" w:hAnsi="宋体" w:cs="宋体"/>
          <w:b/>
          <w:bCs/>
          <w:szCs w:val="21"/>
        </w:rPr>
        <w:t xml:space="preserve">具体参数有明确证明</w:t>
      </w:r>
      <w:r>
        <w:rPr>
          <w:rFonts w:hint="eastAsia" w:ascii="宋体" w:hAnsi="宋体" w:cs="宋体"/>
          <w:b/>
          <w:bCs/>
          <w:szCs w:val="21"/>
        </w:rPr>
        <w:t xml:space="preserve">材料</w:t>
      </w:r>
      <w:r>
        <w:rPr>
          <w:rFonts w:ascii="宋体" w:hAnsi="宋体" w:cs="宋体"/>
          <w:b/>
          <w:bCs/>
          <w:szCs w:val="21"/>
        </w:rPr>
        <w:t xml:space="preserve">要求</w:t>
      </w:r>
      <w:r>
        <w:rPr>
          <w:rFonts w:hint="eastAsia" w:ascii="宋体" w:hAnsi="宋体" w:cs="宋体"/>
          <w:b/>
          <w:bCs/>
          <w:szCs w:val="21"/>
        </w:rPr>
        <w:t xml:space="preserve">的</w:t>
      </w:r>
      <w:r>
        <w:rPr>
          <w:rFonts w:ascii="宋体" w:hAnsi="宋体" w:cs="宋体"/>
          <w:b/>
          <w:bCs/>
          <w:szCs w:val="21"/>
        </w:rPr>
        <w:t xml:space="preserve">，以具体要求为准。</w:t>
      </w:r>
      <w:r>
        <w:rPr>
          <w:rFonts w:hint="eastAsia" w:ascii="宋体" w:hAnsi="宋体" w:cs="宋体"/>
          <w:b/>
          <w:bCs/>
          <w:szCs w:val="21"/>
        </w:rPr>
        <w:t xml:space="preserve">），如未附有效支撑材料或者所附的支撑材料由评标委员会认为不能佐证技术指标的有效性的，则视为负偏离。</w:t>
      </w:r>
      <w:r>
        <w:rPr>
          <w:rFonts w:hint="eastAsia" w:ascii="宋体" w:hAnsi="宋体" w:cs="宋体"/>
          <w:b/>
          <w:bCs/>
          <w:i/>
          <w:iCs/>
          <w:szCs w:val="21"/>
          <w:u w:val="single"/>
        </w:rPr>
        <w:t xml:space="preserve">如文件中要求提供证明材料，建议采用箭头、标红、下划线或页码等进行明显标注，方便评委查看。</w:t>
      </w:r>
      <w:bookmarkEnd w:id="29"/>
      <w:r/>
      <w:bookmarkEnd w:id="30"/>
      <w:r/>
      <w:bookmarkEnd w:id="31"/>
      <w:r/>
      <w:r/>
    </w:p>
    <w:p>
      <w:pPr>
        <w:ind w:firstLine="422"/>
        <w:spacing w:line="360" w:lineRule="auto"/>
        <w:rPr>
          <w:rFonts w:hint="eastAsia" w:ascii="宋体" w:hAnsi="宋体" w:cs="宋体"/>
          <w:b/>
          <w:bCs/>
          <w:szCs w:val="21"/>
        </w:rPr>
        <w:outlineLvl w:val="2"/>
      </w:pPr>
      <w:r>
        <w:rPr>
          <w:rFonts w:hint="eastAsia" w:ascii="宋体" w:hAnsi="宋体" w:cs="宋体"/>
          <w:b/>
          <w:bCs/>
          <w:color w:val="000000"/>
          <w:szCs w:val="21"/>
        </w:rPr>
        <w:t xml:space="preserve">1. 新一代智能体应用实训基础资源</w:t>
      </w:r>
      <w:r/>
    </w:p>
    <w:p>
      <w:pPr>
        <w:ind w:firstLine="420"/>
        <w:spacing w:line="360" w:lineRule="auto"/>
        <w:rPr>
          <w:rFonts w:hint="eastAsia" w:ascii="宋体" w:hAnsi="宋体" w:cs="宋体"/>
          <w:szCs w:val="21"/>
        </w:rPr>
      </w:pPr>
      <w:r>
        <w:rPr>
          <w:rFonts w:hint="eastAsia" w:ascii="宋体" w:hAnsi="宋体" w:cs="宋体"/>
          <w:color w:val="000000"/>
          <w:szCs w:val="21"/>
        </w:rPr>
        <w:t xml:space="preserve">1.1 工业巡检三维场景资源</w:t>
      </w:r>
      <w:r/>
    </w:p>
    <w:p>
      <w:pPr>
        <w:ind w:firstLine="420"/>
        <w:spacing w:line="360" w:lineRule="auto"/>
        <w:rPr>
          <w:rFonts w:hint="eastAsia" w:ascii="宋体" w:hAnsi="宋体" w:cs="宋体"/>
          <w:szCs w:val="21"/>
        </w:rPr>
      </w:pPr>
      <w:r>
        <w:rPr>
          <w:rFonts w:hint="eastAsia" w:ascii="宋体" w:hAnsi="宋体" w:cs="宋体"/>
          <w:color w:val="000000"/>
          <w:szCs w:val="21"/>
        </w:rPr>
        <w:t xml:space="preserve">资源范围与内容：面向工业智能体巡检、AGV机器人定点作业、多模态识别及综合实训需求，建设并提供不少于3套可独立运行的工业巡检三维虚拟场景。数据与技术要求：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提供不少于3套三维场景资源，包括输电杆塔线路巡检场景1套、配电箱防护棚巡检场景1套、工器具间室内巡检与物资盘点场景1套。每套场景均应能够作为独立教学资源运行，并支持与AGV点位、巡检任务、图像采集及智能体任务进行关联。</w:t>
      </w:r>
      <w:r/>
    </w:p>
    <w:p>
      <w:pPr>
        <w:ind w:firstLine="420"/>
        <w:spacing w:line="360" w:lineRule="auto"/>
        <w:rPr>
          <w:rFonts w:hint="eastAsia" w:ascii="宋体" w:hAnsi="宋体" w:cs="宋体"/>
          <w:szCs w:val="21"/>
        </w:rPr>
      </w:pPr>
      <w:r>
        <w:rPr>
          <w:rFonts w:hint="eastAsia" w:ascii="宋体" w:hAnsi="宋体" w:cs="宋体"/>
          <w:color w:val="000000"/>
          <w:szCs w:val="21"/>
        </w:rPr>
        <w:t xml:space="preserve">（2）每套三维场景应提供1套可直接运行使用的三维虚拟场景资源包及对应场景资源数据，满足实训终端直接启动、加载和展示要求、三维场景应按照实际工业巡检业务结构化制作，场景中的设备、杆塔、配电箱、工器具、物资、标识牌及缺陷对象应具有明确的空间位置和对象关系。</w:t>
      </w:r>
      <w:r/>
    </w:p>
    <w:p>
      <w:pPr>
        <w:ind w:firstLine="420"/>
        <w:spacing w:line="360" w:lineRule="auto"/>
        <w:rPr>
          <w:rFonts w:hint="eastAsia" w:ascii="宋体" w:hAnsi="宋体" w:cs="宋体"/>
          <w:szCs w:val="21"/>
        </w:rPr>
      </w:pPr>
      <w:r>
        <w:rPr>
          <w:rFonts w:hint="eastAsia" w:ascii="宋体" w:hAnsi="宋体" w:cs="宋体"/>
          <w:color w:val="000000"/>
          <w:szCs w:val="21"/>
        </w:rPr>
        <w:t xml:space="preserve">（3）场景应支持设置巡检点位，每套场景不少于2个可配置巡检观察点位，3套场景合计提供不少于6个巡检点位，并可与AGV目标点位建立对应关系。</w:t>
      </w:r>
      <w:r/>
    </w:p>
    <w:p>
      <w:pPr>
        <w:ind w:firstLine="420"/>
        <w:spacing w:line="360" w:lineRule="auto"/>
        <w:rPr>
          <w:rFonts w:hint="eastAsia" w:ascii="宋体" w:hAnsi="宋体" w:cs="宋体"/>
          <w:szCs w:val="21"/>
        </w:rPr>
      </w:pPr>
      <w:r>
        <w:rPr>
          <w:rFonts w:hint="eastAsia" w:ascii="宋体" w:hAnsi="宋体" w:cs="宋体"/>
          <w:color w:val="000000"/>
          <w:szCs w:val="21"/>
        </w:rPr>
        <w:t xml:space="preserve">（4）场景应支持正常状态、异常状态或不同教学状态的展示及切换，能够满足配电箱缺陷查看、杆塔标识检查、工器具巡检、物资盘点等教学任务。</w:t>
      </w:r>
      <w:r/>
    </w:p>
    <w:p>
      <w:pPr>
        <w:ind w:firstLine="420"/>
        <w:spacing w:line="360" w:lineRule="auto"/>
        <w:rPr>
          <w:rFonts w:hint="eastAsia" w:ascii="宋体" w:hAnsi="宋体" w:cs="宋体"/>
          <w:szCs w:val="21"/>
        </w:rPr>
      </w:pPr>
      <w:r>
        <w:rPr>
          <w:rFonts w:hint="eastAsia" w:ascii="宋体" w:hAnsi="宋体" w:cs="宋体"/>
          <w:color w:val="000000"/>
          <w:szCs w:val="21"/>
        </w:rPr>
        <w:t xml:space="preserve">（5）场景中的关键教学对象应具有独立对象名称和状态属性，可供程序识别、切换、定位或调用。三维场景资源应进行模型面数、材质、贴图及加载性能优化，在教学终端环境下能够稳定、流畅运行。</w:t>
      </w:r>
      <w:r/>
    </w:p>
    <w:p>
      <w:pPr>
        <w:ind w:firstLine="420"/>
        <w:spacing w:line="360" w:lineRule="auto"/>
        <w:rPr>
          <w:rFonts w:hint="eastAsia" w:ascii="宋体" w:hAnsi="宋体" w:cs="宋体"/>
          <w:szCs w:val="21"/>
        </w:rPr>
      </w:pPr>
      <w:r>
        <w:rPr>
          <w:rFonts w:hint="eastAsia" w:ascii="宋体" w:hAnsi="宋体" w:cs="宋体"/>
          <w:color w:val="000000"/>
          <w:szCs w:val="21"/>
        </w:rPr>
        <w:t xml:space="preserve">（6）场景应支持全屏或窗口方式运行，显示分辨率应不低于1920×1080。</w:t>
      </w:r>
      <w:r/>
    </w:p>
    <w:p>
      <w:pPr>
        <w:ind w:firstLine="420"/>
        <w:spacing w:line="360" w:lineRule="auto"/>
        <w:rPr>
          <w:rFonts w:hint="eastAsia" w:ascii="宋体" w:hAnsi="宋体" w:cs="宋体"/>
          <w:szCs w:val="21"/>
        </w:rPr>
      </w:pPr>
      <w:r>
        <w:rPr>
          <w:rFonts w:hint="eastAsia" w:ascii="宋体" w:hAnsi="宋体" w:cs="宋体"/>
          <w:color w:val="000000"/>
          <w:szCs w:val="21"/>
        </w:rPr>
        <w:t xml:space="preserve">（7）应提供场景名称、场景编号、巡检点位、场景对象及应用任务等配套资源说明，便于后续与Harness、MCP工具及场景任务编排系统集成。</w:t>
      </w:r>
      <w:r/>
    </w:p>
    <w:p>
      <w:pPr>
        <w:ind w:firstLine="420"/>
        <w:spacing w:line="360" w:lineRule="auto"/>
        <w:rPr>
          <w:rFonts w:hint="eastAsia" w:ascii="宋体" w:hAnsi="宋体" w:cs="宋体"/>
          <w:szCs w:val="21"/>
        </w:rPr>
      </w:pPr>
      <w:r>
        <w:rPr>
          <w:rFonts w:hint="eastAsia" w:ascii="宋体" w:hAnsi="宋体" w:cs="宋体"/>
          <w:color w:val="000000"/>
          <w:szCs w:val="21"/>
        </w:rPr>
        <w:t xml:space="preserve">1.2 工业设备及设施模型资源</w:t>
      </w:r>
      <w:r/>
    </w:p>
    <w:p>
      <w:pPr>
        <w:ind w:firstLine="420"/>
        <w:spacing w:line="360" w:lineRule="auto"/>
        <w:rPr>
          <w:rFonts w:hint="eastAsia" w:ascii="宋体" w:hAnsi="宋体" w:cs="宋体"/>
          <w:szCs w:val="21"/>
        </w:rPr>
      </w:pPr>
      <w:r>
        <w:rPr>
          <w:rFonts w:hint="eastAsia" w:ascii="宋体" w:hAnsi="宋体" w:cs="宋体"/>
          <w:color w:val="000000"/>
          <w:szCs w:val="21"/>
        </w:rPr>
        <w:t xml:space="preserve">资源范围与内容：围绕工业智能体巡检、设备识别、AGV作业及场景搭建需要，提供不少于3类核心工业设备及设施三维模型资源，具体包括：配电箱模型不少于1套、输配电杆塔模型不少于1套、AGV机器人模型不少于1套、共计提供不少于3类核心设备及设施模型资源。数据与技术要求：</w:t>
      </w:r>
      <w:r/>
    </w:p>
    <w:p>
      <w:pPr>
        <w:ind w:firstLine="420"/>
        <w:spacing w:line="360" w:lineRule="auto"/>
        <w:rPr>
          <w:rFonts w:hint="eastAsia" w:ascii="宋体" w:hAnsi="宋体" w:cs="宋体"/>
          <w:szCs w:val="21"/>
        </w:rPr>
      </w:pPr>
      <w:r>
        <w:rPr>
          <w:rFonts w:hint="eastAsia" w:ascii="宋体" w:hAnsi="宋体" w:cs="宋体"/>
          <w:color w:val="000000"/>
          <w:szCs w:val="21"/>
        </w:rPr>
        <w:t xml:space="preserve">（1）每类设备至少提供1套独立三维模型资源，模型应采用通用三维模型格式，能够导入主流三维引擎进行编辑、布置和教学场景配置。</w:t>
      </w:r>
      <w:r/>
    </w:p>
    <w:p>
      <w:pPr>
        <w:ind w:firstLine="420"/>
        <w:spacing w:line="360" w:lineRule="auto"/>
        <w:rPr>
          <w:rFonts w:hint="eastAsia" w:ascii="宋体" w:hAnsi="宋体" w:cs="宋体"/>
          <w:szCs w:val="21"/>
        </w:rPr>
      </w:pPr>
      <w:r>
        <w:rPr>
          <w:rFonts w:hint="eastAsia" w:ascii="宋体" w:hAnsi="宋体" w:cs="宋体"/>
          <w:color w:val="000000"/>
          <w:szCs w:val="21"/>
        </w:rPr>
        <w:t xml:space="preserve">（2）模型应采用统一比例制作，尺寸比例应与实际设备基本一致，避免不同模型组合后出现明显比例失真。模型应具有规范的对象名称、层级关系、中心点和坐标信息，关键部件应可独立选择和调用。模型应配套材质及纹理贴图资源，材质与模型之间的引用关系完整，不得出现大面积材质丢失、贴图错位或模型破面。</w:t>
      </w:r>
      <w:r/>
    </w:p>
    <w:p>
      <w:pPr>
        <w:ind w:firstLine="420"/>
        <w:spacing w:line="360" w:lineRule="auto"/>
        <w:rPr>
          <w:rFonts w:hint="eastAsia" w:ascii="宋体" w:hAnsi="宋体" w:cs="宋体"/>
          <w:szCs w:val="21"/>
        </w:rPr>
      </w:pPr>
      <w:r>
        <w:rPr>
          <w:rFonts w:hint="eastAsia" w:ascii="宋体" w:hAnsi="宋体" w:cs="宋体"/>
          <w:color w:val="000000"/>
          <w:szCs w:val="21"/>
        </w:rPr>
        <w:t xml:space="preserve">（3）配电箱、杆塔等教学重点设备，应将关键检查部位设置为独立对象，支持正常、缺失、损坏或异常状态的场景表现。</w:t>
      </w:r>
      <w:r/>
    </w:p>
    <w:p>
      <w:pPr>
        <w:ind w:firstLine="420"/>
        <w:spacing w:line="360" w:lineRule="auto"/>
        <w:rPr>
          <w:rFonts w:hint="eastAsia" w:ascii="宋体" w:hAnsi="宋体" w:cs="宋体"/>
          <w:szCs w:val="21"/>
        </w:rPr>
      </w:pPr>
      <w:r>
        <w:rPr>
          <w:rFonts w:hint="eastAsia" w:ascii="宋体" w:hAnsi="宋体" w:cs="宋体"/>
          <w:color w:val="000000"/>
          <w:szCs w:val="21"/>
        </w:rPr>
        <w:t xml:space="preserve">（4）AGV机器人模型至少应体现机器人主体、行走底盘、传感/感知区域及上部设备安装区域等基本结构，满足导航、巡检和设备协同教学展示。</w:t>
      </w:r>
      <w:r/>
    </w:p>
    <w:p>
      <w:pPr>
        <w:ind w:firstLine="420"/>
        <w:spacing w:line="360" w:lineRule="auto"/>
        <w:rPr>
          <w:rFonts w:hint="eastAsia" w:ascii="宋体" w:hAnsi="宋体" w:cs="宋体"/>
          <w:szCs w:val="21"/>
        </w:rPr>
      </w:pPr>
      <w:r>
        <w:rPr>
          <w:rFonts w:hint="eastAsia" w:ascii="宋体" w:hAnsi="宋体" w:cs="宋体"/>
          <w:color w:val="000000"/>
          <w:szCs w:val="21"/>
        </w:rPr>
        <w:t xml:space="preserve">（5）工业摄像头模型应体现镜头及安装方向，大屏展示终端模型应具有独立显示区域，便于后续替换教学图片或视频内容。</w:t>
      </w:r>
      <w:r/>
    </w:p>
    <w:p>
      <w:pPr>
        <w:ind w:firstLine="420"/>
        <w:spacing w:line="360" w:lineRule="auto"/>
        <w:rPr>
          <w:rFonts w:hint="eastAsia" w:ascii="宋体" w:hAnsi="宋体" w:cs="宋体"/>
          <w:szCs w:val="21"/>
        </w:rPr>
      </w:pPr>
      <w:r>
        <w:rPr>
          <w:rFonts w:hint="eastAsia" w:ascii="宋体" w:hAnsi="宋体" w:cs="宋体"/>
          <w:color w:val="000000"/>
          <w:szCs w:val="21"/>
        </w:rPr>
        <w:t xml:space="preserve">（6）模型应进行轻量化处理，能够满足多模型同时加载和实时场景运行要求。</w:t>
      </w:r>
      <w:r/>
    </w:p>
    <w:p>
      <w:pPr>
        <w:ind w:firstLine="420"/>
        <w:spacing w:line="360" w:lineRule="auto"/>
        <w:rPr>
          <w:rFonts w:hint="eastAsia" w:ascii="宋体" w:hAnsi="宋体" w:cs="宋体"/>
          <w:szCs w:val="21"/>
        </w:rPr>
      </w:pPr>
      <w:r>
        <w:rPr>
          <w:rFonts w:hint="eastAsia" w:ascii="宋体" w:hAnsi="宋体" w:cs="宋体"/>
          <w:color w:val="000000"/>
          <w:szCs w:val="21"/>
        </w:rPr>
        <w:t xml:space="preserve">1.3 电力工器具模型及识别资源</w:t>
      </w:r>
      <w:r/>
    </w:p>
    <w:p>
      <w:pPr>
        <w:ind w:firstLine="420"/>
        <w:spacing w:line="360" w:lineRule="auto"/>
        <w:rPr>
          <w:rFonts w:hint="eastAsia" w:ascii="宋体" w:hAnsi="宋体" w:cs="宋体"/>
          <w:szCs w:val="21"/>
        </w:rPr>
      </w:pPr>
      <w:r>
        <w:rPr>
          <w:rFonts w:hint="eastAsia" w:ascii="宋体" w:hAnsi="宋体" w:cs="宋体"/>
          <w:color w:val="000000"/>
          <w:szCs w:val="21"/>
        </w:rPr>
        <w:t xml:space="preserve">资源范围与内容：建设面向工器具间智能巡检、物品识别和标准清单核对的电力工器具模型及数据资源，提供不少于27类、27项工器具资源，具体包括：安全带、安全帽、护目镜、断线钳、剥线钳、活口扳手、钢丝钳、锤子、验电笔、卷尺、望远镜、无人机、测距杆、测高仪、温度计、红外热成像仪、紧线器、梯子、万用表、立式围栏、熔丝筒装拆器、登杆器具、纺织手套、绝缘手套、绝缘靴、绝缘鞋、跌落式熔断器操作杆。数据与技术要求：</w:t>
      </w:r>
      <w:r/>
    </w:p>
    <w:p>
      <w:pPr>
        <w:ind w:firstLine="420"/>
        <w:spacing w:line="360" w:lineRule="auto"/>
        <w:rPr>
          <w:rFonts w:hint="eastAsia" w:ascii="宋体" w:hAnsi="宋体" w:cs="宋体"/>
          <w:szCs w:val="21"/>
        </w:rPr>
      </w:pPr>
      <w:r>
        <w:rPr>
          <w:rFonts w:hint="eastAsia" w:ascii="宋体" w:hAnsi="宋体" w:cs="宋体"/>
          <w:color w:val="000000"/>
          <w:szCs w:val="21"/>
        </w:rPr>
        <w:t xml:space="preserve">（1）27类工器具应逐项提供对应三维模型资源，数量不得少于27项，每项资源至少应包含：1套三维模型、1个标准中文名称、1个资源分类、1个唯一资源编号、1组识别参考信息、1条对应标准清单数据。</w:t>
      </w:r>
      <w:r/>
    </w:p>
    <w:p>
      <w:pPr>
        <w:ind w:firstLine="420"/>
        <w:spacing w:line="360" w:lineRule="auto"/>
        <w:rPr>
          <w:rFonts w:hint="eastAsia" w:ascii="宋体" w:hAnsi="宋体" w:cs="宋体"/>
          <w:szCs w:val="21"/>
        </w:rPr>
      </w:pPr>
      <w:r>
        <w:rPr>
          <w:rFonts w:hint="eastAsia" w:ascii="宋体" w:hAnsi="宋体" w:cs="宋体"/>
          <w:color w:val="000000"/>
          <w:szCs w:val="21"/>
        </w:rPr>
        <w:t xml:space="preserve">（2）模型应能够导入三维引擎使用，并支持放置于工器具间虚拟场景中进行位置调整、数量配置和显示隐藏。</w:t>
      </w:r>
      <w:r/>
    </w:p>
    <w:p>
      <w:pPr>
        <w:ind w:firstLine="420"/>
        <w:spacing w:line="360" w:lineRule="auto"/>
        <w:rPr>
          <w:rFonts w:hint="eastAsia" w:ascii="宋体" w:hAnsi="宋体" w:cs="宋体"/>
          <w:szCs w:val="21"/>
        </w:rPr>
      </w:pPr>
      <w:r>
        <w:rPr>
          <w:rFonts w:hint="eastAsia" w:ascii="宋体" w:hAnsi="宋体" w:cs="宋体"/>
          <w:color w:val="000000"/>
          <w:szCs w:val="21"/>
        </w:rPr>
        <w:t xml:space="preserve">（3）工器具外形、尺寸比例及关键外观特征应具有基本辨识度，能够满足摄像头图像采集和多模态模型进行类别识别的教学需求。</w:t>
      </w:r>
      <w:r/>
    </w:p>
    <w:p>
      <w:pPr>
        <w:ind w:firstLine="420"/>
        <w:spacing w:line="360" w:lineRule="auto"/>
        <w:rPr>
          <w:rFonts w:hint="eastAsia" w:ascii="宋体" w:hAnsi="宋体" w:cs="宋体"/>
          <w:szCs w:val="21"/>
        </w:rPr>
      </w:pPr>
      <w:r>
        <w:rPr>
          <w:rFonts w:hint="eastAsia" w:ascii="宋体" w:hAnsi="宋体" w:cs="宋体"/>
          <w:color w:val="000000"/>
          <w:szCs w:val="21"/>
        </w:rPr>
        <w:t xml:space="preserve">（4）系统应能够按照27类标准工具清单进行数据关联，支持至少以下三类基础判断：是否存在、名称是否匹配、是否存在缺失或未识别情况。</w:t>
      </w:r>
      <w:r/>
    </w:p>
    <w:p>
      <w:pPr>
        <w:ind w:firstLine="420"/>
        <w:spacing w:line="360" w:lineRule="auto"/>
        <w:rPr>
          <w:rFonts w:hint="eastAsia" w:ascii="宋体" w:hAnsi="宋体" w:cs="宋体"/>
          <w:szCs w:val="21"/>
        </w:rPr>
      </w:pPr>
      <w:r>
        <w:rPr>
          <w:rFonts w:hint="eastAsia" w:ascii="宋体" w:hAnsi="宋体" w:cs="宋体"/>
          <w:color w:val="000000"/>
          <w:szCs w:val="21"/>
        </w:rPr>
        <w:t xml:space="preserve">（5）每项工器具应能够关联对应图像、识别名称、巡检点位和盘点结果，支持巡检任务结果查询。模型材质和贴图应完整，资源命名规则统一，不得存在重复命名、无法识别或资源引用丢失情况。</w:t>
      </w:r>
      <w:r/>
    </w:p>
    <w:p>
      <w:pPr>
        <w:ind w:firstLine="420"/>
        <w:spacing w:line="360" w:lineRule="auto"/>
        <w:rPr>
          <w:rFonts w:hint="eastAsia" w:ascii="宋体" w:hAnsi="宋体" w:cs="宋体"/>
          <w:szCs w:val="21"/>
        </w:rPr>
      </w:pPr>
      <w:r>
        <w:rPr>
          <w:rFonts w:hint="eastAsia" w:ascii="宋体" w:hAnsi="宋体" w:cs="宋体"/>
          <w:color w:val="000000"/>
          <w:szCs w:val="21"/>
        </w:rPr>
        <w:t xml:space="preserve">1.4 备品备件、耗材及标识模型资源</w:t>
      </w:r>
      <w:r/>
    </w:p>
    <w:p>
      <w:pPr>
        <w:ind w:firstLine="420"/>
        <w:spacing w:line="360" w:lineRule="auto"/>
        <w:rPr>
          <w:rFonts w:hint="eastAsia" w:ascii="宋体" w:hAnsi="宋体" w:cs="宋体"/>
          <w:szCs w:val="21"/>
        </w:rPr>
      </w:pPr>
      <w:r>
        <w:rPr>
          <w:rFonts w:hint="eastAsia" w:ascii="宋体" w:hAnsi="宋体" w:cs="宋体"/>
          <w:color w:val="000000"/>
          <w:szCs w:val="21"/>
        </w:rPr>
        <w:t xml:space="preserve">资源范围与内容：建设面向电力物</w:t>
      </w:r>
      <w:r>
        <w:rPr>
          <w:rFonts w:hint="eastAsia" w:ascii="宋体" w:hAnsi="宋体" w:cs="宋体"/>
          <w:color w:val="000000"/>
          <w:szCs w:val="21"/>
        </w:rPr>
        <w:t xml:space="preserve">资盘点、现场巡检及标识识别的备品备件、耗材及标识模型资源，提供不少于33项模型及识别资源，具体包括：BV4导线、从此进出标识牌、低压熔断器配件、出线开关编号牌、出线电缆名称牌、剩余电流断路器试验记录卡、单个熔芯、卷尺、在此工作标识牌、封堵泥、工作服、悬式瓷瓶、拉线警示套管、熔芯、瓷瓶、电杆编号牌、电杆防撞标识、电缆头套管、电缆相色管、白棕绳、相色标志、碟式瓷瓶、禁止合闸警示牌、禁止垂钓标识牌、禁止攀爬标识牌、线夹螺帽、绝缘胶带、配电箱箱门锁、配电箱铭牌、针式瓷瓶、铭牌、锁具、高压危险警示牌。数据与技术要求：</w:t>
      </w:r>
      <w:r/>
    </w:p>
    <w:p>
      <w:pPr>
        <w:ind w:firstLine="420"/>
        <w:spacing w:line="360" w:lineRule="auto"/>
        <w:rPr>
          <w:rFonts w:hint="eastAsia" w:ascii="宋体" w:hAnsi="宋体" w:cs="宋体"/>
          <w:szCs w:val="21"/>
        </w:rPr>
      </w:pPr>
      <w:r>
        <w:rPr>
          <w:rFonts w:hint="eastAsia" w:ascii="宋体" w:hAnsi="宋体" w:cs="宋体"/>
          <w:color w:val="000000"/>
          <w:szCs w:val="21"/>
        </w:rPr>
        <w:t xml:space="preserve">（1）33类资源应逐项提供三维模型或满足场景使用要求的可视化资源，资源总数不得少于33项。</w:t>
      </w:r>
      <w:r/>
    </w:p>
    <w:p>
      <w:pPr>
        <w:ind w:firstLine="420"/>
        <w:spacing w:line="360" w:lineRule="auto"/>
        <w:rPr>
          <w:rFonts w:hint="eastAsia" w:ascii="宋体" w:hAnsi="宋体" w:cs="宋体"/>
          <w:szCs w:val="21"/>
        </w:rPr>
      </w:pPr>
      <w:r>
        <w:rPr>
          <w:rFonts w:hint="eastAsia" w:ascii="宋体" w:hAnsi="宋体" w:cs="宋体"/>
          <w:color w:val="000000"/>
          <w:szCs w:val="21"/>
        </w:rPr>
        <w:t xml:space="preserve">（2）每项资源至少应配置：标准名称、唯一编号、资源类别、所属应用场景、三维模型或图像参考资源、标准清单信息。</w:t>
      </w:r>
      <w:r/>
    </w:p>
    <w:p>
      <w:pPr>
        <w:ind w:firstLine="420"/>
        <w:spacing w:line="360" w:lineRule="auto"/>
        <w:rPr>
          <w:rFonts w:hint="eastAsia" w:ascii="宋体" w:hAnsi="宋体" w:cs="宋体"/>
          <w:szCs w:val="21"/>
        </w:rPr>
      </w:pPr>
      <w:r>
        <w:rPr>
          <w:rFonts w:hint="eastAsia" w:ascii="宋体" w:hAnsi="宋体" w:cs="宋体"/>
          <w:color w:val="000000"/>
          <w:szCs w:val="21"/>
        </w:rPr>
        <w:t xml:space="preserve">（3）三维模型应能够导入三维场景进行独立布置、移动、隐藏和数量配置。</w:t>
      </w:r>
      <w:r/>
    </w:p>
    <w:p>
      <w:pPr>
        <w:ind w:firstLine="420"/>
        <w:spacing w:line="360" w:lineRule="auto"/>
        <w:rPr>
          <w:rFonts w:hint="eastAsia" w:ascii="宋体" w:hAnsi="宋体" w:cs="宋体"/>
          <w:szCs w:val="21"/>
        </w:rPr>
      </w:pPr>
      <w:r>
        <w:rPr>
          <w:rFonts w:hint="eastAsia" w:ascii="宋体" w:hAnsi="宋体" w:cs="宋体"/>
          <w:color w:val="000000"/>
          <w:szCs w:val="21"/>
        </w:rPr>
        <w:t xml:space="preserve">（4）对于瓷瓶、熔芯、绝缘胶带、锁具等实物类资源，应重点体现外观轮廓、材质和类别差异。</w:t>
      </w:r>
      <w:r/>
    </w:p>
    <w:p>
      <w:pPr>
        <w:ind w:firstLine="420"/>
        <w:spacing w:line="360" w:lineRule="auto"/>
        <w:rPr>
          <w:rFonts w:hint="eastAsia" w:ascii="宋体" w:hAnsi="宋体" w:cs="宋体"/>
          <w:szCs w:val="21"/>
        </w:rPr>
      </w:pPr>
      <w:r>
        <w:rPr>
          <w:rFonts w:hint="eastAsia" w:ascii="宋体" w:hAnsi="宋体" w:cs="宋体"/>
          <w:color w:val="000000"/>
          <w:szCs w:val="21"/>
        </w:rPr>
        <w:t xml:space="preserve">（5）对于铭牌、编号牌、记录卡、警示牌等标识类资源，应保证关键文字、图形、颜色及标识内容清晰可见，能够满足近距离查看和图像采集需求。</w:t>
      </w:r>
      <w:r/>
    </w:p>
    <w:p>
      <w:pPr>
        <w:ind w:firstLine="420"/>
        <w:spacing w:line="360" w:lineRule="auto"/>
        <w:rPr>
          <w:rFonts w:hint="eastAsia" w:ascii="宋体" w:hAnsi="宋体" w:cs="宋体"/>
          <w:szCs w:val="21"/>
        </w:rPr>
      </w:pPr>
      <w:r>
        <w:rPr>
          <w:rFonts w:hint="eastAsia" w:ascii="宋体" w:hAnsi="宋体" w:cs="宋体"/>
          <w:color w:val="000000"/>
          <w:szCs w:val="21"/>
        </w:rPr>
        <w:t xml:space="preserve">（6）资源应支持物资盘点中的以下不少于4类数据判断：名称识别、存在性确认、基础数量核对、异常项提示。</w:t>
      </w:r>
      <w:r/>
    </w:p>
    <w:p>
      <w:pPr>
        <w:ind w:firstLine="420"/>
        <w:spacing w:line="360" w:lineRule="auto"/>
        <w:rPr>
          <w:rFonts w:hint="eastAsia" w:ascii="宋体" w:hAnsi="宋体" w:cs="宋体"/>
          <w:szCs w:val="21"/>
        </w:rPr>
      </w:pPr>
      <w:r>
        <w:rPr>
          <w:rFonts w:hint="eastAsia" w:ascii="宋体" w:hAnsi="宋体" w:cs="宋体"/>
          <w:color w:val="000000"/>
          <w:szCs w:val="21"/>
        </w:rPr>
        <w:t xml:space="preserve">（7）应支持将识别结果与标准物资清单进行比较，至少形成：标准物品、识别物品、标准数量、识别数量、差异结果等数据项。</w:t>
      </w:r>
      <w:r/>
    </w:p>
    <w:p>
      <w:pPr>
        <w:ind w:firstLine="420"/>
        <w:spacing w:line="360" w:lineRule="auto"/>
        <w:rPr>
          <w:rFonts w:hint="eastAsia" w:ascii="宋体" w:hAnsi="宋体" w:cs="宋体"/>
          <w:szCs w:val="21"/>
        </w:rPr>
      </w:pPr>
      <w:r>
        <w:rPr>
          <w:rFonts w:hint="eastAsia" w:ascii="宋体" w:hAnsi="宋体" w:cs="宋体"/>
          <w:color w:val="000000"/>
          <w:szCs w:val="21"/>
        </w:rPr>
        <w:t xml:space="preserve">（8）对缺失、数量不符或无法识别的资源，应能够形成异常记录，并关联巡检点位、现场图像和任务执行时间。</w:t>
      </w:r>
      <w:r/>
    </w:p>
    <w:p>
      <w:pPr>
        <w:ind w:firstLine="420"/>
        <w:spacing w:line="360" w:lineRule="auto"/>
        <w:rPr>
          <w:rFonts w:hint="eastAsia" w:ascii="宋体" w:hAnsi="宋体" w:cs="宋体"/>
          <w:szCs w:val="21"/>
        </w:rPr>
      </w:pPr>
      <w:r>
        <w:rPr>
          <w:rFonts w:hint="eastAsia" w:ascii="宋体" w:hAnsi="宋体" w:cs="宋体"/>
          <w:color w:val="000000"/>
          <w:szCs w:val="21"/>
        </w:rPr>
        <w:t xml:space="preserve">（9）所有资源应建立统一的资源编号及分类体系，便于后续增加新的备品备件和物资资源。</w:t>
      </w:r>
      <w:r/>
    </w:p>
    <w:p>
      <w:pPr>
        <w:ind w:firstLine="420"/>
        <w:spacing w:line="360" w:lineRule="auto"/>
        <w:rPr>
          <w:rFonts w:hint="eastAsia" w:ascii="宋体" w:hAnsi="宋体" w:cs="宋体"/>
          <w:szCs w:val="21"/>
        </w:rPr>
      </w:pPr>
      <w:r>
        <w:rPr>
          <w:rFonts w:hint="eastAsia" w:ascii="宋体" w:hAnsi="宋体" w:cs="宋体"/>
          <w:color w:val="000000"/>
          <w:szCs w:val="21"/>
        </w:rPr>
        <w:t xml:space="preserve">1.5 缺陷识别与判定数据资源</w:t>
      </w:r>
      <w:r/>
    </w:p>
    <w:p>
      <w:pPr>
        <w:ind w:firstLine="420"/>
        <w:spacing w:line="360" w:lineRule="auto"/>
        <w:rPr>
          <w:rFonts w:hint="eastAsia" w:ascii="宋体" w:hAnsi="宋体" w:cs="宋体"/>
          <w:szCs w:val="21"/>
        </w:rPr>
      </w:pPr>
      <w:r>
        <w:rPr>
          <w:rFonts w:hint="eastAsia" w:ascii="宋体" w:hAnsi="宋体" w:cs="宋体"/>
          <w:color w:val="000000"/>
          <w:szCs w:val="21"/>
        </w:rPr>
        <w:t xml:space="preserve">资源范围与内容：围绕配电箱智能巡检和缺陷判定实践，建设不少于7类典型缺陷识别与判定数据资源，具体包括：配电箱铭牌缺失、一次接线图缺失、剩余电流断路器试验、记录卡缺失、配电箱内部存在杂物、配电箱箱门未加锁、柜门与配电箱连接线缺失、配电箱柜体接地缺失。数据与技术要求：</w:t>
      </w:r>
      <w:r/>
    </w:p>
    <w:p>
      <w:pPr>
        <w:ind w:firstLine="420"/>
        <w:spacing w:line="360" w:lineRule="auto"/>
        <w:rPr>
          <w:rFonts w:hint="eastAsia" w:ascii="宋体" w:hAnsi="宋体" w:cs="宋体"/>
          <w:szCs w:val="21"/>
        </w:rPr>
      </w:pPr>
      <w:r>
        <w:rPr>
          <w:rFonts w:hint="eastAsia" w:ascii="宋体" w:hAnsi="宋体" w:cs="宋体"/>
          <w:color w:val="000000"/>
          <w:szCs w:val="21"/>
        </w:rPr>
        <w:t xml:space="preserve">（1）每类缺陷应分别建立标准化缺陷数据，7类缺陷均须具有独立的数据定义和判定依据。 每类缺陷至少应包含6项基础属性：缺陷名称、正常状态、异常状态、检查位置、判定依据、对应知识点。 每类缺陷至少配套1组正常状态参考资源和1组异常状态参考资源，7类缺陷合计不少于14组正常/异常对照资源。</w:t>
      </w:r>
      <w:r/>
    </w:p>
    <w:p>
      <w:pPr>
        <w:ind w:firstLine="420"/>
        <w:spacing w:line="360" w:lineRule="auto"/>
        <w:rPr>
          <w:rFonts w:hint="eastAsia" w:ascii="宋体" w:hAnsi="宋体" w:cs="宋体"/>
          <w:szCs w:val="21"/>
        </w:rPr>
      </w:pPr>
      <w:r>
        <w:rPr>
          <w:rFonts w:hint="eastAsia" w:ascii="宋体" w:hAnsi="宋体" w:cs="宋体"/>
          <w:color w:val="000000"/>
          <w:szCs w:val="21"/>
        </w:rPr>
        <w:t xml:space="preserve">（2）缺陷状态应能够与对应三维场景中的配电箱对象建立关联，支持按照教学任务展示正常或异常状态。</w:t>
      </w:r>
      <w:r/>
    </w:p>
    <w:p>
      <w:pPr>
        <w:ind w:firstLine="420"/>
        <w:spacing w:line="360" w:lineRule="auto"/>
        <w:rPr>
          <w:rFonts w:hint="eastAsia" w:ascii="宋体" w:hAnsi="宋体" w:cs="宋体"/>
          <w:szCs w:val="21"/>
        </w:rPr>
      </w:pPr>
      <w:r>
        <w:rPr>
          <w:rFonts w:hint="eastAsia" w:ascii="宋体" w:hAnsi="宋体" w:cs="宋体"/>
          <w:color w:val="000000"/>
          <w:szCs w:val="21"/>
        </w:rPr>
        <w:t xml:space="preserve">（3）多模态模型应能够结合场景图像和对应知识信息，对7类缺陷进行辅助识别和结果判定。</w:t>
      </w:r>
      <w:r/>
    </w:p>
    <w:p>
      <w:pPr>
        <w:ind w:firstLine="420"/>
        <w:spacing w:line="360" w:lineRule="auto"/>
        <w:rPr>
          <w:rFonts w:hint="eastAsia" w:ascii="宋体" w:hAnsi="宋体" w:cs="宋体"/>
          <w:szCs w:val="21"/>
        </w:rPr>
      </w:pPr>
      <w:r>
        <w:rPr>
          <w:rFonts w:hint="eastAsia" w:ascii="宋体" w:hAnsi="宋体" w:cs="宋体"/>
          <w:color w:val="000000"/>
          <w:szCs w:val="21"/>
        </w:rPr>
        <w:t xml:space="preserve">（4）缺陷判定结果至少应记录：任务编号、检查点位、缺陷类型、图像信息、判定结论、执行时间等信息。</w:t>
      </w:r>
      <w:r/>
    </w:p>
    <w:p>
      <w:pPr>
        <w:ind w:firstLine="420"/>
        <w:spacing w:line="360" w:lineRule="auto"/>
        <w:rPr>
          <w:rFonts w:hint="eastAsia" w:ascii="宋体" w:hAnsi="宋体" w:cs="宋体"/>
          <w:szCs w:val="21"/>
        </w:rPr>
      </w:pPr>
      <w:r>
        <w:rPr>
          <w:rFonts w:hint="eastAsia" w:ascii="宋体" w:hAnsi="宋体" w:cs="宋体"/>
          <w:color w:val="000000"/>
          <w:szCs w:val="21"/>
        </w:rPr>
        <w:t xml:space="preserve">（5）缺陷资源应能够与高教知识库中的相关规程、知识点和处理措施建立关联，用于缺陷判断后的知识查询与教学讲解。</w:t>
      </w:r>
      <w:r/>
    </w:p>
    <w:p>
      <w:pPr>
        <w:ind w:firstLine="422"/>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2. 工业多模态智能体机器人</w:t>
      </w:r>
      <w:r/>
    </w:p>
    <w:p>
      <w:pPr>
        <w:ind w:firstLine="420"/>
        <w:spacing w:line="360" w:lineRule="auto"/>
        <w:rPr>
          <w:rFonts w:hint="eastAsia" w:ascii="宋体" w:hAnsi="宋体" w:cs="宋体"/>
          <w:szCs w:val="21"/>
        </w:rPr>
      </w:pPr>
      <w:r>
        <w:rPr>
          <w:rFonts w:hint="eastAsia" w:ascii="宋体" w:hAnsi="宋体" w:cs="宋体"/>
          <w:color w:val="000000"/>
          <w:szCs w:val="21"/>
        </w:rPr>
        <w:t xml:space="preserve">▲（1）自主导航：具备自主定位、建图、路径规划与动态避障能力，到点定位精度：平均误差≤2cm、最大误差≤4cm；避障探测能力应覆盖任务安全需要，投标方案可采用激光雷达、视觉、超声/雷达或经论证的等效组合，如采用激光雷达，有效探测距离不小于50m或提供等效安全论证。</w:t>
      </w: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需</w:t>
      </w:r>
      <w:r>
        <w:rPr>
          <w:rFonts w:hint="eastAsia" w:ascii="宋体" w:hAnsi="宋体" w:cs="宋体"/>
          <w:b/>
          <w:bCs/>
          <w:color w:val="000000"/>
          <w:szCs w:val="21"/>
        </w:rPr>
        <w:t xml:space="preserve">提供产品说明书及系统功能截图）</w:t>
      </w:r>
      <w:r/>
    </w:p>
    <w:p>
      <w:pPr>
        <w:ind w:firstLine="420"/>
        <w:spacing w:line="360" w:lineRule="auto"/>
        <w:rPr>
          <w:rFonts w:hint="eastAsia" w:ascii="宋体" w:hAnsi="宋体" w:cs="宋体"/>
          <w:szCs w:val="21"/>
        </w:rPr>
      </w:pPr>
      <w:r>
        <w:rPr>
          <w:rFonts w:hint="eastAsia" w:ascii="宋体" w:hAnsi="宋体" w:cs="宋体"/>
          <w:color w:val="000000"/>
          <w:szCs w:val="21"/>
        </w:rPr>
        <w:t xml:space="preserve">（2）协调控制：提供开放API/SDK及完整接口文档，支持HTTP/HTTPS、MQTT或标准消息机制，完成与测试机器人或经招标人授权的第三方平台的数据通信与指令交互。支持任务下发、启停/暂停/恢复、设备控制、状态与日志获取、远程配置、远程升级；应具备超时熔断、异常日志与告警接口；所有控制指令与回执可审计、可追溯。</w:t>
      </w:r>
      <w:r/>
    </w:p>
    <w:p>
      <w:pPr>
        <w:ind w:firstLine="420"/>
        <w:spacing w:line="360" w:lineRule="auto"/>
        <w:rPr>
          <w:rFonts w:hint="eastAsia" w:ascii="宋体" w:hAnsi="宋体" w:cs="宋体"/>
          <w:szCs w:val="21"/>
          <w:highlight w:val="none"/>
        </w:rPr>
      </w:pPr>
      <w:r>
        <w:rPr>
          <w:rFonts w:hint="eastAsia" w:ascii="宋体" w:hAnsi="宋体" w:cs="宋体"/>
          <w:color w:val="000000"/>
          <w:szCs w:val="21"/>
        </w:rPr>
        <w:t xml:space="preserve">▲（3）语料播放：应能在近场范围内模拟人嘴所产生的声场，支持对机器人进行全方位、多角度、不同高度条件下的专业测试人声语料播放及语音交互测试，声学特性符合IEEE 269、ITU-T Rec.P.51或等效国家/行业标准；最大声压级≥90dB SPL（100Hz-10kHz）；升降范围≥30cm，支持方向、方位和高度参数化设置，并可与运动轨迹联动；语音处理应支持本地唤醒、识别和语义理解；峰值算力≥128 GOPS</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需</w:t>
      </w:r>
      <w:r>
        <w:rPr>
          <w:rFonts w:hint="eastAsia" w:ascii="宋体" w:hAnsi="宋体" w:cs="宋体"/>
          <w:b/>
          <w:bCs/>
          <w:color w:val="000000"/>
          <w:szCs w:val="21"/>
          <w:highlight w:val="none"/>
        </w:rPr>
        <w:t xml:space="preserve">提供产品说明书及系统功能截图）</w:t>
      </w:r>
      <w:r/>
    </w:p>
    <w:p>
      <w:pPr>
        <w:ind w:firstLine="420"/>
        <w:spacing w:line="360" w:lineRule="auto"/>
        <w:rPr>
          <w:rFonts w:hint="eastAsia" w:ascii="宋体" w:hAnsi="宋体" w:cs="宋体"/>
          <w:szCs w:val="21"/>
          <w:highlight w:val="none"/>
        </w:rPr>
      </w:pPr>
      <w:r>
        <w:rPr>
          <w:rFonts w:hint="eastAsia" w:ascii="宋体" w:hAnsi="宋体" w:cs="宋体"/>
          <w:color w:val="000000"/>
          <w:szCs w:val="21"/>
          <w:highlight w:val="none"/>
        </w:rPr>
        <w:t xml:space="preserve">▲（4）大模型接入：能够接入国产合规大模型服务处理设备执行数据，推荐支持OpenAI兼容REST接口、gRPC协议以及标准SDK，并允许以同等能力模型替换，不得锁定单一模型厂商或接口。</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需</w:t>
      </w:r>
      <w:r>
        <w:rPr>
          <w:rFonts w:hint="eastAsia" w:ascii="宋体" w:hAnsi="宋体" w:cs="宋体"/>
          <w:b/>
          <w:bCs/>
          <w:color w:val="000000"/>
          <w:szCs w:val="21"/>
          <w:highlight w:val="none"/>
        </w:rPr>
        <w:t xml:space="preserve">提供产品说明书及系统功能截图）</w:t>
      </w:r>
      <w:r/>
    </w:p>
    <w:p>
      <w:pPr>
        <w:ind w:firstLine="420"/>
        <w:spacing w:line="360" w:lineRule="auto"/>
        <w:rPr>
          <w:rFonts w:hint="eastAsia" w:ascii="宋体" w:hAnsi="宋体" w:cs="宋体"/>
          <w:szCs w:val="21"/>
        </w:rPr>
      </w:pPr>
      <w:r>
        <w:rPr>
          <w:rFonts w:hint="eastAsia" w:ascii="宋体" w:hAnsi="宋体" w:cs="宋体"/>
          <w:color w:val="000000"/>
          <w:szCs w:val="21"/>
        </w:rPr>
        <w:t xml:space="preserve">（5）数据采集：可实现从测试任务初始化、用例执行、任务异常中断等全周期数据同步记录，视频采集不低于3840×2160@30fps，支持HDR并标明HDR标准/色域/动态范围；音频采样率支持16–48kHz可调，支持视频流、音频流、操作日志等多维度数据时空对齐。</w:t>
      </w:r>
      <w:r/>
    </w:p>
    <w:p>
      <w:pPr>
        <w:ind w:firstLine="420"/>
        <w:spacing w:line="360" w:lineRule="auto"/>
        <w:rPr>
          <w:rFonts w:hint="eastAsia" w:ascii="宋体" w:hAnsi="宋体" w:cs="宋体"/>
          <w:szCs w:val="21"/>
        </w:rPr>
      </w:pPr>
      <w:r>
        <w:rPr>
          <w:rFonts w:hint="eastAsia" w:ascii="宋体" w:hAnsi="宋体" w:cs="宋体"/>
          <w:color w:val="000000"/>
          <w:szCs w:val="21"/>
        </w:rPr>
        <w:t xml:space="preserve">（6）智能监控：具备运行状态监控、异常检测、自主上报与平台告警能力。监控对象包括但不限于本体温度、三维姿态、倾倒/急停、电量/功耗、通信状态及关键传感器/执行部件健康度；支持机器人硬件状态监控能力，可实时显示硬件运行参数和健康状态，应说明故障预警指标、阈值配置、自检方法和开放告警接口。</w:t>
      </w:r>
      <w:r/>
    </w:p>
    <w:p>
      <w:pPr>
        <w:ind w:firstLine="420"/>
        <w:spacing w:line="360" w:lineRule="auto"/>
        <w:rPr>
          <w:rFonts w:hint="eastAsia" w:ascii="宋体" w:hAnsi="宋体" w:cs="宋体"/>
          <w:szCs w:val="21"/>
        </w:rPr>
      </w:pPr>
      <w:r>
        <w:rPr>
          <w:rFonts w:hint="eastAsia" w:ascii="宋体" w:hAnsi="宋体" w:cs="宋体"/>
          <w:color w:val="000000"/>
          <w:szCs w:val="21"/>
        </w:rPr>
        <w:t xml:space="preserve">（7）任务调度：具备任务创建、编排、下发、暂停/恢复、取消、重跑、优先级与并发控制等全生命周期能力，适配语音唤醒、交互、声学、视觉与日志类用例。多机协同应说明支持规模、任务分配、冲突避免、失败接管与状态一致性机制。响应时间定义为：从调度指令/事件触发到目标机器人确认执行的端到端时延，统计口径为在约定负载下的平均值与P95，精度满足≤100ms。支持本地局域网部署为主，确需接入私有云/公有云的，应经招标人审批并明确数据存储地域、边界、加密与退出机制。</w:t>
      </w:r>
      <w:r/>
    </w:p>
    <w:p>
      <w:pPr>
        <w:ind w:firstLine="420"/>
        <w:spacing w:line="360" w:lineRule="auto"/>
        <w:rPr>
          <w:rFonts w:hint="eastAsia" w:ascii="宋体" w:hAnsi="宋体" w:cs="宋体"/>
          <w:szCs w:val="21"/>
        </w:rPr>
      </w:pPr>
      <w:r>
        <w:rPr>
          <w:rFonts w:hint="eastAsia" w:ascii="宋体" w:hAnsi="宋体" w:cs="宋体"/>
          <w:color w:val="000000"/>
          <w:szCs w:val="21"/>
        </w:rPr>
        <w:t xml:space="preserve">（8）结果断言：支持图像、语音/声学、日志与控制数据的融合判定，具备目标检测、语义识别、规则引擎和日志分析能力；模型接入应登记版本、训练/验证来源、适用边界和置信度。系统应保留输入数据、模型版本、判定依据和复核记录，支持日志采集与分析。提供过程溯源，测试过程能够可视化展示，支持人工复核界面可视化操作。</w:t>
      </w:r>
      <w:r/>
    </w:p>
    <w:p>
      <w:pPr>
        <w:ind w:firstLine="422"/>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3. 智能体基础应用实践案例</w:t>
      </w:r>
      <w:r/>
    </w:p>
    <w:p>
      <w:pPr>
        <w:ind w:firstLine="420"/>
        <w:spacing w:line="360" w:lineRule="auto"/>
        <w:rPr>
          <w:rFonts w:hint="eastAsia" w:ascii="宋体" w:hAnsi="宋体" w:cs="宋体"/>
          <w:szCs w:val="21"/>
        </w:rPr>
      </w:pPr>
      <w:r>
        <w:rPr>
          <w:rFonts w:hint="eastAsia" w:ascii="宋体" w:hAnsi="宋体" w:cs="宋体"/>
          <w:color w:val="000000"/>
          <w:szCs w:val="21"/>
        </w:rPr>
        <w:t xml:space="preserve">提供6个基础实践案例，围绕Harness、本地大模型、MCP工具、AGV设备接入和任务执行链路开展实训，配套教学课件、实训指导及评分要点。</w:t>
      </w:r>
      <w:r/>
    </w:p>
    <w:p>
      <w:pPr>
        <w:ind w:firstLine="420"/>
        <w:spacing w:line="360" w:lineRule="auto"/>
        <w:rPr>
          <w:rFonts w:hint="eastAsia" w:ascii="宋体" w:hAnsi="宋体" w:cs="宋体"/>
          <w:szCs w:val="21"/>
        </w:rPr>
      </w:pPr>
      <w:r>
        <w:rPr>
          <w:rFonts w:hint="eastAsia" w:ascii="宋体" w:hAnsi="宋体" w:cs="宋体"/>
          <w:color w:val="000000"/>
          <w:szCs w:val="21"/>
        </w:rPr>
        <w:t xml:space="preserve">（1）Harness部署与模型接入实践：提供1套可在校园网或实训室本地运行的Harness实践环境，支持接入不少于1种本地大模型，兼容OpenAI标准接口，能够完成文字指令输入、模型调用和基础任务解析。</w:t>
      </w:r>
      <w:r/>
    </w:p>
    <w:p>
      <w:pPr>
        <w:ind w:firstLine="420"/>
        <w:spacing w:line="360" w:lineRule="auto"/>
        <w:rPr>
          <w:rFonts w:hint="eastAsia" w:ascii="宋体" w:hAnsi="宋体" w:cs="宋体"/>
          <w:szCs w:val="21"/>
        </w:rPr>
      </w:pPr>
      <w:r>
        <w:rPr>
          <w:rFonts w:hint="eastAsia" w:ascii="宋体" w:hAnsi="宋体" w:cs="宋体"/>
          <w:color w:val="000000"/>
          <w:szCs w:val="21"/>
        </w:rPr>
        <w:t xml:space="preserve">（2）MCP工具配置与调用实践：提供不少于8类基础MCP工具调用示例，至少覆盖AGV移动、定点导航、状态查询、任务停止、大屏场景控制、图像采集、语音播报和知识库查询，支持学生完成工具参数配置、调用和结果反馈。</w:t>
      </w:r>
      <w:r/>
    </w:p>
    <w:p>
      <w:pPr>
        <w:ind w:firstLine="420"/>
        <w:spacing w:line="360" w:lineRule="auto"/>
        <w:rPr>
          <w:rFonts w:hint="eastAsia" w:ascii="宋体" w:hAnsi="宋体" w:cs="宋体"/>
          <w:szCs w:val="21"/>
        </w:rPr>
      </w:pPr>
      <w:r>
        <w:rPr>
          <w:rFonts w:hint="eastAsia" w:ascii="宋体" w:hAnsi="宋体" w:cs="宋体"/>
          <w:color w:val="000000"/>
          <w:szCs w:val="21"/>
        </w:rPr>
        <w:t xml:space="preserve">（3）AGV点位与设备控制实践：支持不少于4类典型教学点位配置，包括配电箱、杆塔、工器具区和物资区，支持定点导航、到位确认、运行状态、电量查询和任务停止等基础操作。</w:t>
      </w:r>
      <w:r/>
    </w:p>
    <w:p>
      <w:pPr>
        <w:ind w:firstLine="420"/>
        <w:spacing w:line="360" w:lineRule="auto"/>
        <w:rPr>
          <w:rFonts w:hint="eastAsia" w:ascii="宋体" w:hAnsi="宋体" w:cs="宋体"/>
          <w:szCs w:val="21"/>
        </w:rPr>
      </w:pPr>
      <w:r>
        <w:rPr>
          <w:rFonts w:hint="eastAsia" w:ascii="宋体" w:hAnsi="宋体" w:cs="宋体"/>
          <w:color w:val="000000"/>
          <w:szCs w:val="21"/>
        </w:rPr>
        <w:t xml:space="preserve">（4）场景调用与图像采集实践：支持调用输电杆塔线路、配电箱防护棚、工器具间室内等3套三维虚拟场景可执行程序，支持大屏播放/切换和现场图像采集，为后续缺陷识别与物资盘点提供数据输入。</w:t>
      </w:r>
      <w:r/>
    </w:p>
    <w:p>
      <w:pPr>
        <w:ind w:firstLine="420"/>
        <w:spacing w:line="360" w:lineRule="auto"/>
        <w:rPr>
          <w:rFonts w:hint="eastAsia" w:ascii="宋体" w:hAnsi="宋体" w:cs="宋体"/>
          <w:szCs w:val="21"/>
        </w:rPr>
      </w:pPr>
      <w:r>
        <w:rPr>
          <w:rFonts w:hint="eastAsia" w:ascii="宋体" w:hAnsi="宋体" w:cs="宋体"/>
          <w:color w:val="000000"/>
          <w:szCs w:val="21"/>
        </w:rPr>
        <w:t xml:space="preserve">（5）任务执行与日志实践：支持形成“任务解析—MCP调用—设备执行—状态反馈—结果记录”的基础流程，至少记录用户指令、模型结果、工具调用、设备状态、执行时间/结果等5类过程数据，并支持设备离线、执行失败、执行超时等3类异常提示。</w:t>
      </w:r>
      <w:r/>
    </w:p>
    <w:p>
      <w:pPr>
        <w:ind w:firstLine="420"/>
        <w:spacing w:line="360" w:lineRule="auto"/>
        <w:rPr>
          <w:rFonts w:hint="eastAsia" w:ascii="宋体" w:hAnsi="宋体" w:cs="宋体"/>
          <w:szCs w:val="21"/>
        </w:rPr>
      </w:pPr>
      <w:r>
        <w:rPr>
          <w:rFonts w:hint="eastAsia" w:ascii="宋体" w:hAnsi="宋体" w:cs="宋体"/>
          <w:color w:val="000000"/>
          <w:szCs w:val="21"/>
        </w:rPr>
        <w:t xml:space="preserve">（6）基础综合实践：提供不少于1个可运行综合案例，完整展示“指令输入—Harness解析—MCP调用—AGV执行—场景/图像采集—结果反馈—日志记录”全过程，可用于课堂演示、学生跟做和基础考核。</w:t>
      </w:r>
      <w:r/>
    </w:p>
    <w:p>
      <w:pPr>
        <w:ind w:firstLine="422"/>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4. 智能体高级应用实践案例</w:t>
      </w:r>
      <w:r/>
    </w:p>
    <w:p>
      <w:pPr>
        <w:ind w:firstLine="420"/>
        <w:spacing w:line="360" w:lineRule="auto"/>
        <w:rPr>
          <w:rFonts w:hint="eastAsia" w:ascii="宋体" w:hAnsi="宋体" w:cs="宋体"/>
          <w:szCs w:val="21"/>
        </w:rPr>
      </w:pPr>
      <w:r>
        <w:rPr>
          <w:rFonts w:hint="eastAsia" w:ascii="宋体" w:hAnsi="宋体" w:cs="宋体"/>
          <w:color w:val="000000"/>
          <w:szCs w:val="21"/>
        </w:rPr>
        <w:t xml:space="preserve">提供8个高级实践任务，调用3套三维虚拟场景可执行程序，覆盖7类配电箱典型缺陷、27类工器具和33类备品备件/物资识别资源，共形成60项工器具与物资识别资源。</w:t>
      </w:r>
      <w:r/>
    </w:p>
    <w:p>
      <w:pPr>
        <w:ind w:firstLine="420"/>
        <w:spacing w:line="360" w:lineRule="auto"/>
        <w:rPr>
          <w:rFonts w:hint="eastAsia" w:ascii="宋体" w:hAnsi="宋体" w:cs="宋体"/>
          <w:szCs w:val="21"/>
        </w:rPr>
      </w:pPr>
      <w:r>
        <w:rPr>
          <w:rFonts w:hint="eastAsia" w:ascii="宋体" w:hAnsi="宋体" w:cs="宋体"/>
          <w:color w:val="000000"/>
          <w:szCs w:val="21"/>
        </w:rPr>
        <w:t xml:space="preserve">（1）语音指挥与点位巡检实践应用：支持语音或文本向Harness下达巡检任务，覆盖唤醒、连续指令、取消、急停等不少于4类交互控制能力；经MCP调用AGV前往指定点位并返回到位状态、现场图像及执行结果。</w:t>
      </w:r>
      <w:r/>
    </w:p>
    <w:p>
      <w:pPr>
        <w:ind w:firstLine="420"/>
        <w:spacing w:line="360" w:lineRule="auto"/>
        <w:rPr>
          <w:rFonts w:hint="eastAsia" w:ascii="宋体" w:hAnsi="宋体" w:cs="宋体"/>
          <w:szCs w:val="21"/>
          <w:highlight w:val="none"/>
        </w:rPr>
      </w:pPr>
      <w:r>
        <w:rPr>
          <w:rFonts w:hint="eastAsia" w:ascii="宋体" w:hAnsi="宋体" w:cs="宋体"/>
          <w:color w:val="000000"/>
          <w:szCs w:val="21"/>
        </w:rPr>
        <w:t xml:space="preserve">▲（2）配电箱类缺陷查看与判定实践应用：覆盖铭牌缺失、一次接线图缺失、试验记录卡缺失、存在杂物、箱门未加锁、连接线缺失、柜体接地缺失等7类典型缺陷，支持多模态模型辅助判定，并输出现场图像、判定结论和时间戳等可追溯结果。</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需</w:t>
      </w:r>
      <w:r>
        <w:rPr>
          <w:rFonts w:hint="eastAsia" w:ascii="宋体" w:hAnsi="宋体" w:cs="宋体"/>
          <w:b/>
          <w:bCs/>
          <w:color w:val="000000"/>
          <w:szCs w:val="21"/>
          <w:highlight w:val="none"/>
        </w:rPr>
        <w:t xml:space="preserve">提供产品说明书及系统功能截图）</w:t>
      </w:r>
      <w:r/>
    </w:p>
    <w:p>
      <w:pPr>
        <w:ind w:firstLine="420"/>
        <w:spacing w:line="360" w:lineRule="auto"/>
        <w:rPr>
          <w:rFonts w:hint="eastAsia" w:ascii="宋体" w:hAnsi="宋体" w:cs="宋体"/>
          <w:szCs w:val="21"/>
          <w:highlight w:val="none"/>
        </w:rPr>
      </w:pPr>
      <w:r>
        <w:rPr>
          <w:rFonts w:hint="eastAsia" w:ascii="宋体" w:hAnsi="宋体" w:cs="宋体"/>
          <w:color w:val="000000"/>
          <w:szCs w:val="21"/>
          <w:highlight w:val="none"/>
        </w:rPr>
        <w:t xml:space="preserve">▲（3）智能巡检任务下达实践应用：覆盖工器具间巡检和物资盘点2类任务，支持语音/文本任务下达、AGV定点导航、图像采集、多模态识别及标准清单核对，形成可重复执行的教学实践流程。</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需</w:t>
      </w:r>
      <w:r>
        <w:rPr>
          <w:rFonts w:hint="eastAsia" w:ascii="宋体" w:hAnsi="宋体" w:cs="宋体"/>
          <w:b/>
          <w:bCs/>
          <w:color w:val="000000"/>
          <w:szCs w:val="21"/>
          <w:highlight w:val="none"/>
        </w:rPr>
        <w:t xml:space="preserve">提供产品说明书及系统功能截图）</w:t>
      </w:r>
      <w:r/>
    </w:p>
    <w:p>
      <w:pPr>
        <w:ind w:firstLine="420"/>
        <w:spacing w:line="360" w:lineRule="auto"/>
        <w:rPr>
          <w:rFonts w:hint="eastAsia" w:ascii="宋体" w:hAnsi="宋体" w:cs="宋体"/>
          <w:szCs w:val="21"/>
          <w:highlight w:val="none"/>
        </w:rPr>
      </w:pPr>
      <w:r>
        <w:rPr>
          <w:rFonts w:hint="eastAsia" w:ascii="宋体" w:hAnsi="宋体" w:cs="宋体"/>
          <w:color w:val="000000"/>
          <w:szCs w:val="21"/>
          <w:highlight w:val="none"/>
        </w:rPr>
        <w:t xml:space="preserve">▲（4）巡检分析数据反馈：支持对名称、存在性和基础数量进行核对，至少记录巡检点位、识别物品、存在/数量结果、异常项、执行时间、现场图像等6类过程及结果数据，并支持按任务查询巡检和盘点记录。</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需</w:t>
      </w:r>
      <w:r>
        <w:rPr>
          <w:rFonts w:hint="eastAsia" w:ascii="宋体" w:hAnsi="宋体" w:cs="宋体"/>
          <w:b/>
          <w:bCs/>
          <w:color w:val="000000"/>
          <w:szCs w:val="21"/>
          <w:highlight w:val="none"/>
        </w:rPr>
        <w:t xml:space="preserve">提供产品说明书及系统功能截图）</w:t>
      </w:r>
      <w:r/>
    </w:p>
    <w:p>
      <w:pPr>
        <w:ind w:firstLine="420"/>
        <w:spacing w:line="360" w:lineRule="auto"/>
        <w:rPr>
          <w:rFonts w:hint="eastAsia" w:ascii="宋体" w:hAnsi="宋体" w:cs="宋体"/>
          <w:szCs w:val="21"/>
        </w:rPr>
      </w:pPr>
      <w:r>
        <w:rPr>
          <w:rFonts w:hint="eastAsia" w:ascii="宋体" w:hAnsi="宋体" w:cs="宋体"/>
          <w:color w:val="000000"/>
          <w:szCs w:val="21"/>
          <w:highlight w:val="none"/>
        </w:rPr>
        <w:t xml:space="preserve">（5）工具识别资源内容：提供27类电力工器具模型及识别资源，具体资源</w:t>
      </w:r>
      <w:r>
        <w:rPr>
          <w:rFonts w:hint="eastAsia" w:ascii="宋体" w:hAnsi="宋体" w:cs="宋体"/>
          <w:color w:val="000000"/>
          <w:szCs w:val="21"/>
        </w:rPr>
        <w:t xml:space="preserve">清单与本项目“电力工器具模型及识别资源”一致，支持名称识别、存在性确认和标准清单核对。</w:t>
      </w:r>
      <w:r/>
    </w:p>
    <w:p>
      <w:pPr>
        <w:ind w:firstLine="420"/>
        <w:spacing w:line="360" w:lineRule="auto"/>
        <w:rPr>
          <w:rFonts w:hint="eastAsia" w:ascii="宋体" w:hAnsi="宋体" w:cs="宋体"/>
          <w:szCs w:val="21"/>
        </w:rPr>
      </w:pPr>
      <w:r>
        <w:rPr>
          <w:rFonts w:hint="eastAsia" w:ascii="宋体" w:hAnsi="宋体" w:cs="宋体"/>
          <w:color w:val="000000"/>
          <w:szCs w:val="21"/>
        </w:rPr>
        <w:t xml:space="preserve">（6）备品备件识别资源内容：提供33类备品备件、耗材及标识模型和识别资源，具体资源清单与本项目“备品备件、耗材及标识模型资源”一致，支持物资识别、存在性确认、基础数量核对和异常提示。</w:t>
      </w:r>
      <w:r/>
    </w:p>
    <w:p>
      <w:pPr>
        <w:ind w:firstLine="420"/>
        <w:spacing w:line="360" w:lineRule="auto"/>
        <w:rPr>
          <w:rFonts w:hint="eastAsia" w:ascii="宋体" w:hAnsi="宋体" w:cs="宋体"/>
          <w:szCs w:val="21"/>
        </w:rPr>
      </w:pPr>
      <w:r>
        <w:rPr>
          <w:rFonts w:hint="eastAsia" w:ascii="宋体" w:hAnsi="宋体" w:cs="宋体"/>
          <w:color w:val="000000"/>
          <w:szCs w:val="21"/>
        </w:rPr>
        <w:t xml:space="preserve">（7）连续任务、多点巡检与中途改令实践应用：支持不少于3个点位的连续巡检任务，可按照设定顺序执行，并支持中途改令、跳过、重检和任务取消等不少于4类任务调整操作；记录各点位到位状态、图像和判定结果。</w:t>
      </w:r>
      <w:r/>
    </w:p>
    <w:p>
      <w:pPr>
        <w:ind w:firstLine="420"/>
        <w:spacing w:line="360" w:lineRule="auto"/>
        <w:rPr>
          <w:rFonts w:hint="eastAsia" w:ascii="宋体" w:hAnsi="宋体" w:cs="宋体"/>
          <w:szCs w:val="21"/>
        </w:rPr>
      </w:pPr>
      <w:r>
        <w:rPr>
          <w:rFonts w:hint="eastAsia" w:ascii="宋体" w:hAnsi="宋体" w:cs="宋体"/>
          <w:color w:val="000000"/>
          <w:szCs w:val="21"/>
        </w:rPr>
        <w:t xml:space="preserve">（8）操作正确性、完成度综合考核实践应用：至少从“是否到达指定位置、是否查看正确场景、缺陷/物资判断是否正确、任务是否完成”4个维度进行综合评价，提供不少于1套可完整课堂演示的综合考核案例，并形成过程记录和考核结果。</w:t>
      </w:r>
      <w:r/>
    </w:p>
    <w:p>
      <w:pPr>
        <w:ind w:firstLine="422"/>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5. 高级智能体应用平台与知识库系统</w:t>
      </w:r>
      <w:r/>
    </w:p>
    <w:p>
      <w:pPr>
        <w:ind w:firstLine="420"/>
        <w:spacing w:line="360" w:lineRule="auto"/>
        <w:rPr>
          <w:rFonts w:hint="eastAsia" w:ascii="宋体" w:hAnsi="宋体" w:cs="宋体"/>
          <w:szCs w:val="21"/>
        </w:rPr>
      </w:pPr>
      <w:r>
        <w:rPr>
          <w:rFonts w:hint="eastAsia" w:ascii="宋体" w:hAnsi="宋体" w:cs="宋体"/>
          <w:color w:val="000000"/>
          <w:szCs w:val="21"/>
        </w:rPr>
        <w:t xml:space="preserve">5.1 智能体应用平台</w:t>
      </w:r>
      <w:r/>
    </w:p>
    <w:p>
      <w:pPr>
        <w:ind w:firstLine="420"/>
        <w:spacing w:line="360" w:lineRule="auto"/>
        <w:rPr>
          <w:rFonts w:hint="eastAsia" w:ascii="宋体" w:hAnsi="宋体" w:cs="宋体"/>
          <w:szCs w:val="21"/>
          <w:highlight w:val="none"/>
        </w:rPr>
      </w:pPr>
      <w:r>
        <w:rPr>
          <w:rFonts w:hint="eastAsia" w:ascii="宋体" w:hAnsi="宋体" w:cs="宋体"/>
          <w:color w:val="000000"/>
          <w:szCs w:val="21"/>
        </w:rPr>
        <w:t xml:space="preserve">▲（1）平台与模型接入：提供基于MCP（Model Context Protocol）协议或同等开放标准的智能体平台产品，支持本地化部署、参数配置及标准接口调用；支持通过标准REST API、SDK或同等开放接口接入本地/国</w:t>
      </w:r>
      <w:r>
        <w:rPr>
          <w:rFonts w:hint="eastAsia" w:ascii="宋体" w:hAnsi="宋体" w:cs="宋体"/>
          <w:color w:val="000000"/>
          <w:szCs w:val="21"/>
          <w:highlight w:val="none"/>
        </w:rPr>
        <w:t xml:space="preserve">产化大模型服务，支持文字任务输入，并可接入语音识别结果完成自然语言任务解析和工具调用。</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需</w:t>
      </w:r>
      <w:r>
        <w:rPr>
          <w:rFonts w:hint="eastAsia" w:ascii="宋体" w:hAnsi="宋体" w:cs="宋体"/>
          <w:b/>
          <w:bCs/>
          <w:color w:val="000000"/>
          <w:szCs w:val="21"/>
          <w:highlight w:val="none"/>
        </w:rPr>
        <w:t xml:space="preserve">提供产品说明书及系统功能截图）</w:t>
      </w:r>
      <w:r/>
    </w:p>
    <w:p>
      <w:pPr>
        <w:ind w:firstLine="420"/>
        <w:spacing w:line="360" w:lineRule="auto"/>
        <w:rPr>
          <w:rFonts w:hint="eastAsia" w:ascii="宋体" w:hAnsi="宋体" w:cs="宋体"/>
          <w:szCs w:val="21"/>
          <w:highlight w:val="none"/>
        </w:rPr>
      </w:pPr>
      <w:r>
        <w:rPr>
          <w:rFonts w:hint="eastAsia" w:ascii="宋体" w:hAnsi="宋体" w:cs="宋体"/>
          <w:color w:val="000000"/>
          <w:szCs w:val="21"/>
          <w:highlight w:val="none"/>
        </w:rPr>
        <w:t xml:space="preserve">▲（2）MCP能力库：提供不少于10类标准MCP工具能力，至少包括AGV移动、定点导航、到位确认、状态查询、任务停止、大屏播放/切换、图像采集、语音播报、知识库查询和结果记录；工具定义包含名称、功能说明、输入、输出和执行状态。</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需</w:t>
      </w:r>
      <w:r>
        <w:rPr>
          <w:rFonts w:hint="eastAsia" w:ascii="宋体" w:hAnsi="宋体" w:cs="宋体"/>
          <w:b/>
          <w:bCs/>
          <w:color w:val="000000"/>
          <w:szCs w:val="21"/>
          <w:highlight w:val="none"/>
        </w:rPr>
        <w:t xml:space="preserve">提供产品说明书及系统功能截图）</w:t>
      </w:r>
      <w:r/>
    </w:p>
    <w:p>
      <w:pPr>
        <w:ind w:firstLine="420"/>
        <w:spacing w:line="360" w:lineRule="auto"/>
        <w:rPr>
          <w:rFonts w:hint="eastAsia" w:ascii="宋体" w:hAnsi="宋体" w:cs="宋体"/>
          <w:szCs w:val="21"/>
        </w:rPr>
      </w:pPr>
      <w:r>
        <w:rPr>
          <w:rFonts w:hint="eastAsia" w:ascii="宋体" w:hAnsi="宋体" w:cs="宋体"/>
          <w:color w:val="000000"/>
          <w:szCs w:val="21"/>
        </w:rPr>
        <w:t xml:space="preserve">（3）平台应内置统一的MCP工具规范，明确工具名称、功能描述、输入参数、输出参数、执行状态、错误码、超时时间、权限等级及异常处理方式，并提供学生配置模板、接口调用说明和联调检查表。</w:t>
      </w:r>
      <w:r/>
    </w:p>
    <w:p>
      <w:pPr>
        <w:ind w:firstLine="420"/>
        <w:spacing w:line="360" w:lineRule="auto"/>
        <w:rPr>
          <w:rFonts w:hint="eastAsia" w:ascii="宋体" w:hAnsi="宋体" w:cs="宋体"/>
          <w:szCs w:val="21"/>
        </w:rPr>
      </w:pPr>
      <w:r>
        <w:rPr>
          <w:rFonts w:hint="eastAsia" w:ascii="宋体" w:hAnsi="宋体" w:cs="宋体"/>
          <w:color w:val="000000"/>
          <w:szCs w:val="21"/>
        </w:rPr>
        <w:t xml:space="preserve">（4）AGV与场景控制：支持不少于4类典型教学点位配置，具备定点导航、运行状态、电量查询和任务停止等基础控制；支持调用本项目3套三维虚拟场景可执行程序，并可控制大屏视频/图片资源播放与切换。</w:t>
      </w:r>
      <w:r/>
    </w:p>
    <w:p>
      <w:pPr>
        <w:ind w:firstLine="420"/>
        <w:spacing w:line="360" w:lineRule="auto"/>
        <w:rPr>
          <w:rFonts w:hint="eastAsia" w:ascii="宋体" w:hAnsi="宋体" w:cs="宋体"/>
          <w:szCs w:val="21"/>
        </w:rPr>
      </w:pPr>
      <w:r>
        <w:rPr>
          <w:rFonts w:hint="eastAsia" w:ascii="宋体" w:hAnsi="宋体" w:cs="宋体"/>
          <w:color w:val="000000"/>
          <w:szCs w:val="21"/>
        </w:rPr>
        <w:t xml:space="preserve">（5）任务与数据记录：支持任务创建、执行状态查看和历史查询，至少记录用户指令、模型结果、MCP调用、AGV/设备状态、图像/识别结果、执行时间等6类数据；支持设备离线、执行失败、执行超时等不少于3类异常提示及重新执行或终止。</w:t>
      </w:r>
      <w:r/>
    </w:p>
    <w:p>
      <w:pPr>
        <w:ind w:firstLine="420"/>
        <w:spacing w:line="360" w:lineRule="auto"/>
        <w:rPr>
          <w:rFonts w:hint="eastAsia" w:ascii="宋体" w:hAnsi="宋体" w:cs="宋体"/>
          <w:szCs w:val="21"/>
        </w:rPr>
      </w:pPr>
      <w:r>
        <w:rPr>
          <w:rFonts w:hint="eastAsia" w:ascii="宋体" w:hAnsi="宋体" w:cs="宋体"/>
          <w:color w:val="000000"/>
          <w:szCs w:val="21"/>
        </w:rPr>
        <w:t xml:space="preserve">（6）交付要求：提供1套可运行平台软件及部署程序，并配套接口说明、部署说明、用户使用说明各1套，提供不少于2个可直接用于课堂教学的基础应用示例。</w:t>
      </w:r>
      <w:r/>
    </w:p>
    <w:p>
      <w:pPr>
        <w:ind w:firstLine="420"/>
        <w:spacing w:line="360" w:lineRule="auto"/>
        <w:rPr>
          <w:rFonts w:hint="eastAsia" w:ascii="宋体" w:hAnsi="宋体" w:cs="宋体"/>
          <w:szCs w:val="21"/>
        </w:rPr>
      </w:pPr>
      <w:r>
        <w:rPr>
          <w:rFonts w:hint="eastAsia" w:ascii="宋体" w:hAnsi="宋体" w:cs="宋体"/>
          <w:color w:val="000000"/>
          <w:szCs w:val="21"/>
        </w:rPr>
        <w:t xml:space="preserve">5.2知识库系统</w:t>
      </w:r>
      <w:r/>
    </w:p>
    <w:p>
      <w:pPr>
        <w:ind w:firstLine="420"/>
        <w:spacing w:line="360" w:lineRule="auto"/>
        <w:rPr>
          <w:rFonts w:hint="eastAsia" w:ascii="宋体" w:hAnsi="宋体" w:cs="宋体"/>
          <w:szCs w:val="21"/>
        </w:rPr>
      </w:pPr>
      <w:r>
        <w:rPr>
          <w:rFonts w:hint="eastAsia" w:ascii="宋体" w:hAnsi="宋体" w:cs="宋体"/>
          <w:color w:val="000000"/>
          <w:szCs w:val="21"/>
        </w:rPr>
        <w:t xml:space="preserve">知识库与智能体、大模型采用同一技术路线建设，基于支持MCP协议或同等开放接口的智能体框架与私有化大模型提供检索增强（RAG）能力，可在校园网或实训室本地独立运行，不依赖公有云，满足教学资料与业务资料的安全管控。</w:t>
      </w:r>
      <w:r/>
    </w:p>
    <w:p>
      <w:pPr>
        <w:ind w:firstLine="420"/>
        <w:spacing w:line="360" w:lineRule="auto"/>
        <w:rPr>
          <w:rFonts w:hint="eastAsia" w:ascii="宋体" w:hAnsi="宋体" w:cs="宋体"/>
          <w:szCs w:val="21"/>
          <w:highlight w:val="none"/>
        </w:rPr>
      </w:pPr>
      <w:r>
        <w:rPr>
          <w:rFonts w:hint="eastAsia" w:ascii="宋体" w:hAnsi="宋体" w:cs="宋体"/>
          <w:color w:val="000000"/>
          <w:szCs w:val="21"/>
          <w:highlight w:val="none"/>
        </w:rPr>
        <w:t xml:space="preserve">▲（1）文件与知识入库：支持PDF、Word、PPT、TXT、Markdown等不少于5类常用文件格式，具备文件解析、内容入库、启用/停用和更新维护能力。</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需</w:t>
      </w:r>
      <w:r>
        <w:rPr>
          <w:rFonts w:hint="eastAsia" w:ascii="宋体" w:hAnsi="宋体" w:cs="宋体"/>
          <w:b/>
          <w:bCs/>
          <w:color w:val="000000"/>
          <w:szCs w:val="21"/>
          <w:highlight w:val="none"/>
        </w:rPr>
        <w:t xml:space="preserve">提供产品说明书及系统功能截图）</w:t>
      </w:r>
      <w:r/>
    </w:p>
    <w:p>
      <w:pPr>
        <w:ind w:firstLine="420"/>
        <w:spacing w:line="360" w:lineRule="auto"/>
        <w:rPr>
          <w:rFonts w:hint="eastAsia" w:ascii="宋体" w:hAnsi="宋体" w:cs="宋体"/>
          <w:szCs w:val="21"/>
          <w:highlight w:val="none"/>
        </w:rPr>
      </w:pPr>
      <w:r>
        <w:rPr>
          <w:rFonts w:hint="eastAsia" w:ascii="宋体" w:hAnsi="宋体" w:cs="宋体"/>
          <w:color w:val="000000"/>
          <w:szCs w:val="21"/>
          <w:highlight w:val="none"/>
        </w:rPr>
        <w:t xml:space="preserve">▲（2）知识分类管理：支持按照课程、知识类别、业务场景等不少于3个维度进行知识分类，可对知识文件进行新增、删除、查看、启用和停用。</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需</w:t>
      </w:r>
      <w:r>
        <w:rPr>
          <w:rFonts w:hint="eastAsia" w:ascii="宋体" w:hAnsi="宋体" w:cs="宋体"/>
          <w:b/>
          <w:bCs/>
          <w:color w:val="000000"/>
          <w:szCs w:val="21"/>
          <w:highlight w:val="none"/>
        </w:rPr>
        <w:t xml:space="preserve">提供产品说明书及系统功能截图）</w:t>
      </w:r>
      <w:r/>
    </w:p>
    <w:p>
      <w:pPr>
        <w:ind w:firstLine="420"/>
        <w:spacing w:line="360" w:lineRule="auto"/>
        <w:rPr>
          <w:rFonts w:hint="eastAsia" w:ascii="宋体" w:hAnsi="宋体" w:cs="宋体"/>
          <w:szCs w:val="21"/>
        </w:rPr>
      </w:pPr>
      <w:r>
        <w:rPr>
          <w:rFonts w:hint="eastAsia" w:ascii="宋体" w:hAnsi="宋体" w:cs="宋体"/>
          <w:color w:val="000000"/>
          <w:szCs w:val="21"/>
        </w:rPr>
        <w:t xml:space="preserve">（3）知识检索与问答：支持基于已入库资料进行文字检索与智能问答，可显示回答所参考的知识文件名称或相关内容，实现基础来源溯源；语音问题可通过智能体平台转换后调用知识库。</w:t>
      </w:r>
      <w:r/>
    </w:p>
    <w:p>
      <w:pPr>
        <w:ind w:firstLine="420"/>
        <w:spacing w:line="360" w:lineRule="auto"/>
        <w:rPr>
          <w:rFonts w:hint="eastAsia" w:ascii="宋体" w:hAnsi="宋体" w:cs="宋体"/>
          <w:szCs w:val="21"/>
        </w:rPr>
      </w:pPr>
      <w:r>
        <w:rPr>
          <w:rFonts w:hint="eastAsia" w:ascii="宋体" w:hAnsi="宋体" w:cs="宋体"/>
          <w:color w:val="000000"/>
          <w:szCs w:val="21"/>
        </w:rPr>
        <w:t xml:space="preserve">（4）场景知识关联：支持至少与配电箱巡检、杆塔线路巡检、工器具/物资巡检等3类教学场景建立知识关联，为缺陷说明、操作规范、物资用途和任务讲解提供知识支撑。</w:t>
      </w:r>
      <w:r/>
    </w:p>
    <w:p>
      <w:pPr>
        <w:ind w:firstLine="420"/>
        <w:spacing w:line="360" w:lineRule="auto"/>
        <w:rPr>
          <w:rFonts w:hint="eastAsia" w:ascii="宋体" w:hAnsi="宋体" w:cs="宋体"/>
          <w:szCs w:val="21"/>
        </w:rPr>
      </w:pPr>
      <w:r>
        <w:rPr>
          <w:rFonts w:hint="eastAsia" w:ascii="宋体" w:hAnsi="宋体" w:cs="宋体"/>
          <w:color w:val="000000"/>
          <w:szCs w:val="21"/>
        </w:rPr>
        <w:t xml:space="preserve">（5）交付要求：提供1套可运行知识库软件及智能体平台集成配置，配套教师使用说明、知识文件导入模板/示例各1套，满足课堂教学和后续知识资源持续扩展要求。</w:t>
      </w:r>
      <w:r/>
    </w:p>
    <w:p>
      <w:pPr>
        <w:ind w:firstLine="422"/>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6. 自动化测试场景编排系统与数据回传中间件</w:t>
      </w:r>
      <w:r/>
    </w:p>
    <w:p>
      <w:pPr>
        <w:ind w:firstLine="420"/>
        <w:spacing w:line="360" w:lineRule="auto"/>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 xml:space="preserve">提供1套面向工业智能体实践教学的场景任务配置与执行系统产品</w:t>
      </w:r>
      <w:r>
        <w:rPr>
          <w:rFonts w:hint="eastAsia" w:ascii="宋体" w:hAnsi="宋体" w:cs="宋体"/>
          <w:color w:val="000000"/>
          <w:szCs w:val="21"/>
        </w:rPr>
        <w:t xml:space="preserve">，实现教学场景配置、任务执行、设备联动、过程数据采集和结果查看。</w:t>
      </w:r>
      <w:r/>
    </w:p>
    <w:p>
      <w:pPr>
        <w:ind w:firstLine="420"/>
        <w:spacing w:line="360" w:lineRule="auto"/>
        <w:rPr>
          <w:rFonts w:hint="eastAsia" w:ascii="宋体" w:hAnsi="宋体" w:cs="宋体"/>
          <w:szCs w:val="21"/>
        </w:rPr>
      </w:pPr>
      <w:r>
        <w:rPr>
          <w:rFonts w:hint="eastAsia" w:ascii="宋体" w:hAnsi="宋体" w:cs="宋体"/>
          <w:color w:val="000000"/>
          <w:szCs w:val="21"/>
        </w:rPr>
        <w:t xml:space="preserve">（1）支持教学场景的新增、编辑、复制、删除和分类管理。教师可配置场景名称、教学目标、使用设备、AGV目标点位、展示视频或图片、执行步骤及预期结果。</w:t>
      </w:r>
      <w:r/>
    </w:p>
    <w:p>
      <w:pPr>
        <w:ind w:firstLine="420"/>
        <w:spacing w:line="360" w:lineRule="auto"/>
        <w:rPr>
          <w:rFonts w:hint="eastAsia" w:ascii="宋体" w:hAnsi="宋体" w:cs="宋体"/>
          <w:szCs w:val="21"/>
        </w:rPr>
      </w:pPr>
      <w:r>
        <w:rPr>
          <w:rFonts w:hint="eastAsia" w:ascii="宋体" w:hAnsi="宋体" w:cs="宋体"/>
          <w:color w:val="000000"/>
          <w:szCs w:val="21"/>
        </w:rPr>
        <w:t xml:space="preserve">（2）提供简单的流程步骤配置功能。教师可按照执行顺序添加AGV移动、大屏播放、语音播报、等待、图像采集、模型判断和结果记录等步骤，并调整步骤执行顺序。</w:t>
      </w:r>
      <w:r/>
    </w:p>
    <w:p>
      <w:pPr>
        <w:ind w:firstLine="420"/>
        <w:spacing w:line="360" w:lineRule="auto"/>
        <w:rPr>
          <w:rFonts w:hint="eastAsia" w:ascii="宋体" w:hAnsi="宋体" w:cs="宋体"/>
          <w:szCs w:val="21"/>
        </w:rPr>
      </w:pPr>
      <w:r>
        <w:rPr>
          <w:rFonts w:hint="eastAsia" w:ascii="宋体" w:hAnsi="宋体" w:cs="宋体"/>
          <w:color w:val="000000"/>
          <w:szCs w:val="21"/>
        </w:rPr>
        <w:t xml:space="preserve">（3）支持将已配置的场景保存为模板，教师可复制已有场景并修改部分参数，快速创建新的实训内容。</w:t>
      </w:r>
      <w:r/>
    </w:p>
    <w:p>
      <w:pPr>
        <w:ind w:firstLine="420"/>
        <w:spacing w:line="360" w:lineRule="auto"/>
        <w:rPr>
          <w:rFonts w:hint="eastAsia" w:ascii="宋体" w:hAnsi="宋体" w:cs="宋体"/>
          <w:szCs w:val="21"/>
        </w:rPr>
      </w:pPr>
      <w:r>
        <w:rPr>
          <w:rFonts w:hint="eastAsia" w:ascii="宋体" w:hAnsi="宋体" w:cs="宋体"/>
          <w:color w:val="000000"/>
          <w:szCs w:val="21"/>
        </w:rPr>
        <w:t xml:space="preserve">（4）支持实训任务创建和下发，可选择对应场景并指定任务名称、执行设备和执行人员，支持任务开始、暂停、继续、取消和重新执行。</w:t>
      </w:r>
      <w:r/>
    </w:p>
    <w:p>
      <w:pPr>
        <w:ind w:firstLine="420"/>
        <w:spacing w:line="360" w:lineRule="auto"/>
        <w:rPr>
          <w:rFonts w:hint="eastAsia" w:ascii="宋体" w:hAnsi="宋体" w:cs="宋体"/>
          <w:szCs w:val="21"/>
        </w:rPr>
      </w:pPr>
      <w:r>
        <w:rPr>
          <w:rFonts w:hint="eastAsia" w:ascii="宋体" w:hAnsi="宋体" w:cs="宋体"/>
          <w:color w:val="000000"/>
          <w:szCs w:val="21"/>
        </w:rPr>
        <w:t xml:space="preserve">（5）系统能够接收并保存AGV状态、设备执行结果、语音或文字指令、图片、模型判断结果和任务执行日志等教学过程数据，并按照任务进行统一关联。</w:t>
      </w:r>
      <w:r/>
    </w:p>
    <w:p>
      <w:pPr>
        <w:ind w:firstLine="420"/>
        <w:spacing w:line="360" w:lineRule="auto"/>
        <w:rPr>
          <w:rFonts w:hint="eastAsia" w:ascii="宋体" w:hAnsi="宋体" w:cs="宋体"/>
          <w:szCs w:val="21"/>
        </w:rPr>
      </w:pPr>
      <w:r>
        <w:rPr>
          <w:rFonts w:hint="eastAsia" w:ascii="宋体" w:hAnsi="宋体" w:cs="宋体"/>
          <w:color w:val="000000"/>
          <w:szCs w:val="21"/>
        </w:rPr>
        <w:t xml:space="preserve">（6）设备与系统之间的数据通信优先采用HTTP、WebSocket或MQTT等常用方式，可根据实际设备接口选择其中一种或多种方式接入，不要求所有设备同时支持全部通信协议。</w:t>
      </w:r>
      <w:r/>
    </w:p>
    <w:p>
      <w:pPr>
        <w:ind w:firstLine="420"/>
        <w:spacing w:line="360" w:lineRule="auto"/>
        <w:rPr>
          <w:rFonts w:hint="eastAsia" w:ascii="宋体" w:hAnsi="宋体" w:cs="宋体"/>
          <w:szCs w:val="21"/>
        </w:rPr>
      </w:pPr>
      <w:r>
        <w:rPr>
          <w:rFonts w:hint="eastAsia" w:ascii="宋体" w:hAnsi="宋体" w:cs="宋体"/>
          <w:color w:val="000000"/>
          <w:szCs w:val="21"/>
        </w:rPr>
        <w:t xml:space="preserve">（7）提供任务执行监控功能，可查看任务当前步骤、任务状态、AGV运行状态、当前播放场景、设备执行结果及最终任务结果。</w:t>
      </w:r>
      <w:r/>
    </w:p>
    <w:p>
      <w:pPr>
        <w:ind w:firstLine="420"/>
        <w:spacing w:line="360" w:lineRule="auto"/>
        <w:rPr>
          <w:rFonts w:hint="eastAsia" w:ascii="宋体" w:hAnsi="宋体" w:cs="宋体"/>
          <w:szCs w:val="21"/>
        </w:rPr>
      </w:pPr>
      <w:r>
        <w:rPr>
          <w:rFonts w:hint="eastAsia" w:ascii="宋体" w:hAnsi="宋体" w:cs="宋体"/>
          <w:color w:val="000000"/>
          <w:szCs w:val="21"/>
        </w:rPr>
        <w:t xml:space="preserve">（8）支持任务执行记录和历史查询，教师能够查看任务开始时间、结束时间、执行步骤、执行结果及异常信息。</w:t>
      </w:r>
      <w:r/>
    </w:p>
    <w:p>
      <w:pPr>
        <w:ind w:firstLine="420"/>
        <w:spacing w:line="360" w:lineRule="auto"/>
        <w:rPr>
          <w:rFonts w:hint="eastAsia" w:ascii="宋体" w:hAnsi="宋体" w:cs="宋体"/>
          <w:szCs w:val="21"/>
        </w:rPr>
      </w:pPr>
      <w:r>
        <w:rPr>
          <w:rFonts w:hint="eastAsia" w:ascii="宋体" w:hAnsi="宋体" w:cs="宋体"/>
          <w:color w:val="000000"/>
          <w:szCs w:val="21"/>
        </w:rPr>
        <w:t xml:space="preserve">（9）提供基础结果统计功能，可按照学生、任务或场景查询任务完成情况和结果，支持常用数据表格导出。</w:t>
      </w:r>
      <w:r/>
    </w:p>
    <w:p>
      <w:pPr>
        <w:ind w:firstLine="420"/>
        <w:spacing w:line="360" w:lineRule="auto"/>
        <w:rPr>
          <w:rFonts w:hint="eastAsia" w:ascii="宋体" w:hAnsi="宋体" w:cs="宋体"/>
          <w:szCs w:val="21"/>
        </w:rPr>
      </w:pPr>
      <w:r>
        <w:rPr>
          <w:rFonts w:hint="eastAsia" w:ascii="宋体" w:hAnsi="宋体" w:cs="宋体"/>
          <w:color w:val="000000"/>
          <w:szCs w:val="21"/>
        </w:rPr>
        <w:t xml:space="preserve">（10）提供成品系统软件、基础教学场景资源、安装部署包、标准开放接口及相关使用说明、部署说明和测试材料，满足系统运行、课堂教学和后续配置扩展需要。</w:t>
      </w:r>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三、服务要求</w:t>
      </w:r>
      <w:r/>
    </w:p>
    <w:p>
      <w:pPr>
        <w:ind w:firstLine="420"/>
        <w:spacing w:line="360" w:lineRule="auto"/>
        <w:rPr>
          <w:rFonts w:hint="eastAsia" w:ascii="宋体" w:hAnsi="宋体" w:cs="宋体"/>
          <w:b/>
          <w:bCs/>
          <w:szCs w:val="21"/>
        </w:rPr>
      </w:pPr>
      <w:r/>
      <w:bookmarkStart w:id="32" w:name="OLE_LINK40"/>
      <w:r>
        <w:rPr>
          <w:rFonts w:hint="eastAsia" w:ascii="宋体" w:hAnsi="宋体" w:cs="宋体"/>
          <w:szCs w:val="21"/>
        </w:rPr>
        <w:t xml:space="preserve">★1、为推进校企合作共建实验实训室，中标人承诺中标后为学校提供配套投入，具体投入内容在签订合同前与学校按相关制度协商确定。</w:t>
      </w:r>
      <w:r>
        <w:rPr>
          <w:rFonts w:hint="eastAsia" w:ascii="宋体" w:hAnsi="宋体" w:cs="宋体"/>
          <w:b/>
          <w:bCs/>
          <w:szCs w:val="21"/>
        </w:rPr>
        <w:t xml:space="preserve">（提供承诺书并加盖公章，格式自拟。）</w:t>
      </w:r>
      <w:r/>
    </w:p>
    <w:p>
      <w:pPr>
        <w:ind w:firstLine="420"/>
        <w:spacing w:line="360" w:lineRule="auto"/>
        <w:rPr>
          <w:rFonts w:hint="eastAsia" w:ascii="宋体" w:hAnsi="宋体" w:cs="宋体"/>
          <w:szCs w:val="21"/>
        </w:rPr>
      </w:pPr>
      <w:r>
        <w:rPr>
          <w:rFonts w:hint="eastAsia" w:ascii="宋体" w:hAnsi="宋体" w:cs="宋体"/>
          <w:szCs w:val="21"/>
        </w:rPr>
        <w:t xml:space="preserve">★2、免费质保</w:t>
      </w:r>
      <w:r>
        <w:rPr>
          <w:rFonts w:hint="eastAsia" w:ascii="宋体" w:hAnsi="宋体" w:cs="宋体"/>
          <w:szCs w:val="21"/>
          <w:lang w:val="zh-CN"/>
        </w:rPr>
        <w:t xml:space="preserve">期：</w:t>
      </w:r>
      <w:r>
        <w:rPr>
          <w:rFonts w:hint="eastAsia" w:ascii="宋体" w:hAnsi="宋体" w:cs="宋体"/>
          <w:szCs w:val="21"/>
        </w:rPr>
        <w:t xml:space="preserve">质保期3年，自验收合格之日起开始计算。</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技术培训：为采购方进行人</w:t>
      </w:r>
      <w:r>
        <w:rPr>
          <w:rFonts w:hint="eastAsia" w:ascii="宋体" w:hAnsi="宋体" w:cs="宋体"/>
          <w:color w:val="auto"/>
          <w:szCs w:val="21"/>
          <w:lang w:val="zh-CN"/>
        </w:rPr>
        <w:t xml:space="preserve">员培训，</w:t>
      </w:r>
      <w:r>
        <w:rPr>
          <w:rFonts w:hint="eastAsia" w:ascii="宋体" w:hAnsi="宋体" w:cs="宋体"/>
          <w:color w:val="auto"/>
          <w:szCs w:val="21"/>
        </w:rPr>
        <w:t xml:space="preserve">质保期内</w:t>
      </w:r>
      <w:r>
        <w:rPr>
          <w:rFonts w:hint="eastAsia" w:ascii="宋体" w:hAnsi="宋体" w:cs="宋体"/>
          <w:szCs w:val="21"/>
          <w:lang w:val="zh-CN"/>
        </w:rPr>
        <w:t xml:space="preserve">提供每年不少于</w:t>
      </w:r>
      <w:r>
        <w:rPr>
          <w:rFonts w:hint="eastAsia" w:ascii="宋体" w:hAnsi="宋体" w:cs="宋体"/>
          <w:szCs w:val="21"/>
        </w:rPr>
        <w:t xml:space="preserve">1</w:t>
      </w:r>
      <w:r>
        <w:rPr>
          <w:rFonts w:hint="eastAsia" w:ascii="宋体" w:hAnsi="宋体" w:cs="宋体"/>
          <w:szCs w:val="21"/>
          <w:lang w:val="zh-CN"/>
        </w:rPr>
        <w:t xml:space="preserve">次的设备操作培训，培训人员</w:t>
      </w:r>
      <w:r>
        <w:rPr>
          <w:rFonts w:hint="eastAsia" w:ascii="宋体" w:hAnsi="宋体" w:cs="宋体"/>
          <w:szCs w:val="21"/>
        </w:rPr>
        <w:t xml:space="preserve">数量</w:t>
      </w:r>
      <w:r>
        <w:rPr>
          <w:rFonts w:hint="eastAsia" w:ascii="宋体" w:hAnsi="宋体" w:cs="宋体"/>
          <w:szCs w:val="21"/>
          <w:lang w:val="zh-CN"/>
        </w:rPr>
        <w:t xml:space="preserve">不低于</w:t>
      </w:r>
      <w:r>
        <w:rPr>
          <w:rFonts w:hint="eastAsia" w:ascii="宋体" w:hAnsi="宋体" w:cs="宋体"/>
          <w:szCs w:val="21"/>
        </w:rPr>
        <w:t xml:space="preserve">30</w:t>
      </w:r>
      <w:r>
        <w:rPr>
          <w:rFonts w:hint="eastAsia" w:ascii="宋体" w:hAnsi="宋体" w:cs="宋体"/>
          <w:szCs w:val="21"/>
          <w:lang w:val="zh-CN"/>
        </w:rPr>
        <w:t xml:space="preserve">人。</w:t>
      </w:r>
      <w:r/>
    </w:p>
    <w:p>
      <w:pPr>
        <w:ind w:firstLine="420"/>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售后技术服务要求：</w:t>
      </w:r>
      <w:bookmarkEnd w:id="32"/>
      <w:r>
        <w:rPr>
          <w:rFonts w:hint="eastAsia" w:ascii="宋体" w:hAnsi="宋体" w:cs="宋体"/>
          <w:szCs w:val="21"/>
        </w:rPr>
        <w:t xml:space="preserve">提供 7×24 小时售后服务热线；</w:t>
      </w:r>
      <w:r>
        <w:rPr>
          <w:rFonts w:hint="eastAsia" w:ascii="宋体" w:hAnsi="宋体" w:cs="宋体"/>
          <w:szCs w:val="21"/>
          <w:lang w:val="zh-CN"/>
        </w:rPr>
        <w:t xml:space="preserve">接到故障通知后</w:t>
      </w:r>
      <w:r>
        <w:rPr>
          <w:rFonts w:hint="eastAsia" w:ascii="宋体" w:hAnsi="宋体" w:cs="宋体"/>
          <w:szCs w:val="21"/>
        </w:rPr>
        <w:t xml:space="preserve">4</w:t>
      </w:r>
      <w:r>
        <w:rPr>
          <w:rFonts w:hint="eastAsia" w:ascii="宋体" w:hAnsi="宋体" w:cs="宋体"/>
          <w:szCs w:val="21"/>
          <w:lang w:val="zh-CN"/>
        </w:rPr>
        <w:t xml:space="preserve">小时内作出答复，一般问题</w:t>
      </w:r>
      <w:r>
        <w:rPr>
          <w:rFonts w:hint="eastAsia" w:ascii="宋体" w:hAnsi="宋体" w:cs="宋体"/>
          <w:szCs w:val="21"/>
        </w:rPr>
        <w:t xml:space="preserve">8</w:t>
      </w:r>
      <w:r>
        <w:rPr>
          <w:rFonts w:hint="eastAsia" w:ascii="宋体" w:hAnsi="宋体" w:cs="宋体"/>
          <w:szCs w:val="21"/>
          <w:lang w:val="zh-CN"/>
        </w:rPr>
        <w:t xml:space="preserve">小时之内解决；若采购方有需求，</w:t>
      </w:r>
      <w:r>
        <w:rPr>
          <w:rFonts w:hint="eastAsia" w:ascii="宋体" w:hAnsi="宋体" w:cs="宋体"/>
          <w:szCs w:val="21"/>
        </w:rPr>
        <w:t xml:space="preserve">24</w:t>
      </w:r>
      <w:r>
        <w:rPr>
          <w:rFonts w:hint="eastAsia" w:ascii="宋体" w:hAnsi="宋体" w:cs="宋体"/>
          <w:szCs w:val="21"/>
          <w:lang w:val="zh-CN"/>
        </w:rPr>
        <w:t xml:space="preserve">小时内到达现场解决；若遇重大问题在</w:t>
      </w:r>
      <w:r>
        <w:rPr>
          <w:rFonts w:hint="eastAsia" w:ascii="宋体" w:hAnsi="宋体" w:cs="宋体"/>
          <w:szCs w:val="21"/>
        </w:rPr>
        <w:t xml:space="preserve">1</w:t>
      </w:r>
      <w:r>
        <w:rPr>
          <w:rFonts w:hint="eastAsia" w:ascii="宋体" w:hAnsi="宋体" w:cs="宋体"/>
          <w:szCs w:val="21"/>
          <w:lang w:val="zh-CN"/>
        </w:rPr>
        <w:t xml:space="preserve">天内解决。</w:t>
      </w:r>
      <w:r/>
    </w:p>
    <w:p>
      <w:pPr>
        <w:ind w:firstLine="420"/>
        <w:spacing w:line="360" w:lineRule="auto"/>
        <w:rPr>
          <w:rFonts w:hint="eastAsia" w:ascii="宋体" w:hAnsi="宋体" w:cs="宋体"/>
          <w:b/>
          <w:bCs/>
          <w:szCs w:val="21"/>
        </w:rPr>
      </w:pPr>
      <w:r>
        <w:rPr>
          <w:rFonts w:hint="eastAsia" w:ascii="宋体" w:hAnsi="宋体" w:cs="宋体"/>
          <w:color w:val="000000"/>
          <w:szCs w:val="21"/>
        </w:rPr>
        <w:t xml:space="preserve">5、所投产品实行“三包”，需要在投标文件中提供中标后能提供原厂商或者不低于原厂商质量的所有保修承诺，风险和费用由中标供应商承担。</w:t>
      </w:r>
      <w:r>
        <w:rPr>
          <w:rFonts w:hint="eastAsia" w:ascii="宋体" w:hAnsi="宋体" w:cs="宋体"/>
          <w:b/>
          <w:bCs/>
          <w:szCs w:val="21"/>
        </w:rPr>
        <w:t xml:space="preserve">（提供承诺书并加盖公章，格式自拟。）</w:t>
      </w:r>
      <w:r/>
    </w:p>
    <w:p>
      <w:pPr>
        <w:ind w:firstLine="420"/>
        <w:spacing w:line="360" w:lineRule="auto"/>
        <w:rPr>
          <w:rFonts w:hint="eastAsia" w:ascii="宋体" w:hAnsi="宋体" w:cs="宋体"/>
          <w:szCs w:val="21"/>
        </w:rPr>
      </w:pPr>
      <w:r>
        <w:rPr>
          <w:rFonts w:hint="eastAsia" w:ascii="宋体" w:hAnsi="宋体" w:cs="宋体"/>
          <w:szCs w:val="21"/>
        </w:rPr>
        <w:t xml:space="preserve">6、各项与本项目实施有关的服务所需费用均需包含在投标报价中，采购人不再另行支付，有特殊要求的内容除外。所有设备提供终身技术支持服务，保修期外提供维修并仅收取成本费（成本费只包括配件成本，但不包括人员工时、交通、住宿费等配件成本以外的费用）。供应商在质保期内提供课程库、系统版本等免费升级服务，并在升级后提供免费培训。</w:t>
      </w:r>
      <w:r/>
    </w:p>
    <w:p>
      <w:pPr>
        <w:ind w:firstLine="420"/>
        <w:spacing w:line="360" w:lineRule="auto"/>
        <w:rPr>
          <w:rFonts w:hint="eastAsia" w:ascii="宋体" w:hAnsi="宋体" w:cs="宋体"/>
          <w:szCs w:val="21"/>
        </w:rPr>
      </w:pPr>
      <w:r>
        <w:rPr>
          <w:rFonts w:hint="eastAsia" w:ascii="宋体" w:hAnsi="宋体" w:cs="宋体"/>
          <w:color w:val="000000"/>
          <w:szCs w:val="21"/>
        </w:rPr>
        <w:t xml:space="preserve">7. 服务范围：包含主交付地点内的硬件安装布线、软件部署调试、现场培训指导等。</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四、安装要求</w:t>
      </w:r>
      <w:r/>
    </w:p>
    <w:p>
      <w:pPr>
        <w:ind w:firstLine="420"/>
        <w:spacing w:line="360" w:lineRule="auto"/>
        <w:rPr>
          <w:rFonts w:hint="eastAsia" w:ascii="宋体" w:hAnsi="宋体" w:cs="宋体"/>
          <w:szCs w:val="21"/>
          <w:lang w:val="zh-CN"/>
        </w:rPr>
      </w:pPr>
      <w:r/>
      <w:bookmarkStart w:id="33" w:name="OLE_LINK9"/>
      <w:r>
        <w:rPr>
          <w:rFonts w:hint="eastAsia" w:ascii="宋体" w:hAnsi="宋体" w:cs="宋体"/>
          <w:szCs w:val="21"/>
        </w:rPr>
        <w:t xml:space="preserve">1、</w:t>
      </w:r>
      <w:r>
        <w:rPr>
          <w:rFonts w:hint="eastAsia" w:ascii="宋体" w:hAnsi="宋体" w:cs="宋体"/>
          <w:szCs w:val="21"/>
          <w:lang w:val="zh-CN"/>
        </w:rPr>
        <w:t xml:space="preserve">按照国家现行行业规范标准进行安装，符合国家或行业质量检验评定标准，没有行业标准的产品，投标人应提供相关制造商标准。</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设备安装调试：设备到货后，卖方在接到通知的</w:t>
      </w:r>
      <w:r>
        <w:rPr>
          <w:rFonts w:hint="eastAsia" w:ascii="宋体" w:hAnsi="宋体" w:cs="宋体"/>
          <w:szCs w:val="21"/>
        </w:rPr>
        <w:t xml:space="preserve">10</w:t>
      </w:r>
      <w:r>
        <w:rPr>
          <w:rFonts w:hint="eastAsia" w:ascii="宋体" w:hAnsi="宋体" w:cs="宋体"/>
          <w:szCs w:val="21"/>
          <w:lang w:val="zh-CN"/>
        </w:rPr>
        <w:t xml:space="preserve">个工作日内派人前往负责该设备的安装、调试和操作培训，直至达到各项验收指标合格。</w:t>
      </w:r>
      <w:bookmarkEnd w:id="33"/>
      <w:r/>
      <w:r/>
    </w:p>
    <w:p>
      <w:pPr>
        <w:pStyle w:val="711"/>
        <w:ind w:left="0" w:firstLine="42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szCs w:val="21"/>
        </w:rPr>
        <w:t xml:space="preserve">3、验收要求：供应商提供符合招标文件要求的设备设施，并完成安装调试，试运行至少1个月，试运行过程中出现问题随时解决处理，试运行正常一个月后出运行报告，试运行合格后组织部门验收，再提请实验室处验收。</w:t>
      </w:r>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五、交货期、交货方式及交货地点</w:t>
      </w:r>
      <w:r/>
    </w:p>
    <w:p>
      <w:pPr>
        <w:pStyle w:val="714"/>
        <w:ind w:firstLine="420"/>
        <w:spacing w:line="360" w:lineRule="auto"/>
        <w:rPr>
          <w:rFonts w:hint="eastAsia" w:ascii="宋体" w:hAnsi="宋体" w:cs="宋体"/>
          <w:szCs w:val="21"/>
          <w:lang w:val="zh-CN"/>
        </w:rPr>
      </w:pPr>
      <w:r>
        <w:rPr>
          <w:rFonts w:hint="eastAsia" w:ascii="宋体" w:hAnsi="宋体" w:cs="宋体"/>
          <w:szCs w:val="21"/>
          <w:lang w:val="zh-CN"/>
        </w:rPr>
        <w:t xml:space="preserve">1、交货期：合同签订生效后，</w:t>
      </w:r>
      <w:r>
        <w:rPr>
          <w:rFonts w:hint="eastAsia" w:ascii="宋体" w:hAnsi="宋体" w:cs="宋体"/>
          <w:szCs w:val="21"/>
        </w:rPr>
        <w:t xml:space="preserve">90</w:t>
      </w:r>
      <w:r>
        <w:rPr>
          <w:rFonts w:hint="eastAsia" w:ascii="宋体" w:hAnsi="宋体" w:cs="宋体"/>
          <w:szCs w:val="21"/>
          <w:lang w:val="zh-CN"/>
        </w:rPr>
        <w:t xml:space="preserve">个日历日内全部设备、材料运抵现场，并安装、调试结束，</w:t>
      </w:r>
      <w:r>
        <w:rPr>
          <w:rFonts w:hint="eastAsia" w:ascii="宋体" w:hAnsi="宋体" w:cs="宋体"/>
          <w:spacing w:val="8"/>
          <w:szCs w:val="21"/>
        </w:rPr>
        <w:t xml:space="preserve">试运行至少1个月，试运行过程中出现问题随时解决处理，试运行正常一个月后出运行报告，</w:t>
      </w:r>
      <w:r>
        <w:rPr>
          <w:rFonts w:hint="eastAsia" w:ascii="宋体" w:hAnsi="宋体" w:cs="宋体"/>
          <w:szCs w:val="21"/>
          <w:lang w:val="zh-CN"/>
        </w:rPr>
        <w:t xml:space="preserve">验收合格，交付</w:t>
      </w:r>
      <w:r>
        <w:rPr>
          <w:rFonts w:hint="eastAsia" w:ascii="宋体" w:hAnsi="宋体" w:cs="宋体"/>
          <w:szCs w:val="21"/>
        </w:rPr>
        <w:t xml:space="preserve">采购人</w:t>
      </w:r>
      <w:r>
        <w:rPr>
          <w:rFonts w:hint="eastAsia" w:ascii="宋体" w:hAnsi="宋体" w:cs="宋体"/>
          <w:szCs w:val="21"/>
          <w:lang w:val="zh-CN"/>
        </w:rPr>
        <w:t xml:space="preserve">使用。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2、交货方式：</w:t>
      </w:r>
      <w:r>
        <w:rPr>
          <w:rFonts w:hint="eastAsia" w:ascii="宋体" w:hAnsi="宋体" w:cs="宋体"/>
          <w:szCs w:val="21"/>
        </w:rPr>
        <w:t xml:space="preserve">供应商</w:t>
      </w:r>
      <w:r>
        <w:rPr>
          <w:rFonts w:hint="eastAsia" w:ascii="宋体" w:hAnsi="宋体" w:cs="宋体"/>
          <w:szCs w:val="21"/>
          <w:lang w:val="zh-CN"/>
        </w:rPr>
        <w:t xml:space="preserve">在采购</w:t>
      </w:r>
      <w:r>
        <w:rPr>
          <w:rFonts w:hint="eastAsia" w:ascii="宋体" w:hAnsi="宋体" w:cs="宋体"/>
          <w:szCs w:val="21"/>
        </w:rPr>
        <w:t xml:space="preserve">人</w:t>
      </w:r>
      <w:r>
        <w:rPr>
          <w:rFonts w:hint="eastAsia" w:ascii="宋体" w:hAnsi="宋体" w:cs="宋体"/>
          <w:szCs w:val="21"/>
          <w:lang w:val="zh-CN"/>
        </w:rPr>
        <w:t xml:space="preserve">指定地点交货，并完成安装、调试。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3、交货地点：南京工业职业技术大学指定地点。</w:t>
      </w:r>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六、其他技术服务要求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1、投标人须保证本次投标产品系优质材料和先进工艺制成新出厂的产品，且完全与投标文件所述相符。</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360" w:lineRule="auto"/>
        <w:rPr>
          <w:rFonts w:hint="eastAsia" w:ascii="宋体" w:hAnsi="宋体" w:cs="宋体"/>
          <w:szCs w:val="21"/>
        </w:rPr>
      </w:pPr>
      <w:r>
        <w:rPr>
          <w:rFonts w:hint="eastAsia" w:ascii="宋体" w:hAnsi="宋体" w:cs="宋体"/>
          <w:szCs w:val="21"/>
        </w:rPr>
        <w:t xml:space="preserve">3、投标人应根据招标文件要求提供项目实施方案，方案包含以下内容：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供货进度安排：需明确从合同签订到完成全部供货的各阶段时间节点，并提供具体的时间表或甘特图；</w:t>
      </w:r>
      <w:r/>
    </w:p>
    <w:p>
      <w:pPr>
        <w:ind w:firstLine="420"/>
        <w:spacing w:line="360" w:lineRule="auto"/>
        <w:rPr>
          <w:rFonts w:hint="eastAsia" w:ascii="宋体" w:hAnsi="宋体" w:cs="宋体"/>
          <w:szCs w:val="21"/>
        </w:rPr>
      </w:pPr>
      <w:r>
        <w:rPr>
          <w:rFonts w:hint="eastAsia" w:ascii="宋体" w:hAnsi="宋体" w:cs="宋体"/>
          <w:szCs w:val="21"/>
        </w:rPr>
        <w:t xml:space="preserve">② 配送组织架构：需明确配送团队的人员配置、岗位职责、车辆及设备投入情况，并提供组织架构图；</w:t>
      </w:r>
      <w:r/>
    </w:p>
    <w:p>
      <w:pPr>
        <w:ind w:firstLine="420"/>
        <w:spacing w:line="360" w:lineRule="auto"/>
        <w:rPr>
          <w:rFonts w:hint="eastAsia" w:ascii="宋体" w:hAnsi="宋体" w:cs="宋体"/>
          <w:szCs w:val="21"/>
        </w:rPr>
      </w:pPr>
      <w:r>
        <w:rPr>
          <w:rFonts w:hint="eastAsia" w:ascii="宋体" w:hAnsi="宋体" w:cs="宋体"/>
          <w:szCs w:val="21"/>
        </w:rPr>
        <w:t xml:space="preserve">③ 进度控制措施：需包含进度跟踪方式、报告周期、异常情况处理流程；</w:t>
      </w:r>
      <w:r/>
    </w:p>
    <w:p>
      <w:pPr>
        <w:ind w:firstLine="420"/>
        <w:spacing w:line="360" w:lineRule="auto"/>
        <w:rPr>
          <w:rFonts w:hint="eastAsia" w:ascii="宋体" w:hAnsi="宋体" w:cs="宋体"/>
          <w:szCs w:val="21"/>
        </w:rPr>
      </w:pPr>
      <w:r>
        <w:rPr>
          <w:rFonts w:hint="eastAsia" w:ascii="宋体" w:hAnsi="宋体" w:cs="宋体"/>
          <w:szCs w:val="21"/>
        </w:rPr>
        <w:t xml:space="preserve">④ 风险控制管理：需列出可能影响供货的风险类型，并针对每种风险提供应对预案；</w:t>
      </w:r>
      <w:r/>
    </w:p>
    <w:p>
      <w:pPr>
        <w:ind w:firstLine="420"/>
        <w:spacing w:line="360" w:lineRule="auto"/>
        <w:rPr>
          <w:rFonts w:hint="eastAsia" w:ascii="宋体" w:hAnsi="宋体" w:cs="宋体"/>
          <w:szCs w:val="21"/>
        </w:rPr>
      </w:pPr>
      <w:r>
        <w:rPr>
          <w:rFonts w:hint="eastAsia" w:ascii="宋体" w:hAnsi="宋体" w:cs="宋体"/>
          <w:szCs w:val="21"/>
        </w:rPr>
        <w:t xml:space="preserve">⑤ 质量保障措施：需明确质量标准、检验方法、不合格品处理机制。</w:t>
      </w:r>
      <w:r/>
    </w:p>
    <w:p>
      <w:pPr>
        <w:ind w:firstLine="420"/>
        <w:spacing w:line="360" w:lineRule="auto"/>
        <w:rPr>
          <w:rFonts w:hint="eastAsia" w:ascii="宋体" w:hAnsi="宋体" w:cs="宋体"/>
          <w:szCs w:val="21"/>
        </w:rPr>
      </w:pPr>
      <w:r>
        <w:rPr>
          <w:rFonts w:hint="eastAsia" w:ascii="宋体" w:hAnsi="宋体" w:cs="宋体"/>
          <w:szCs w:val="21"/>
        </w:rPr>
        <w:t xml:space="preserve">4、供应商应根据招标文件要求提供项目验收配合方案（本项目履约验收由采购人依法组织实施，供应商须配合采购人完成全部验收工作），方案包含以下内容：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验收配合流程：明确设备安装完成后，供应商配合采购人从提请验收至完成最终验收签字的全部工作步骤，可附流程图或步骤说明；</w:t>
      </w:r>
      <w:r/>
    </w:p>
    <w:p>
      <w:pPr>
        <w:ind w:firstLine="420"/>
        <w:spacing w:line="360" w:lineRule="auto"/>
        <w:rPr>
          <w:rFonts w:hint="eastAsia" w:ascii="宋体" w:hAnsi="宋体" w:cs="宋体"/>
          <w:szCs w:val="21"/>
        </w:rPr>
      </w:pPr>
      <w:r>
        <w:rPr>
          <w:rFonts w:hint="eastAsia" w:ascii="宋体" w:hAnsi="宋体" w:cs="宋体"/>
          <w:szCs w:val="21"/>
        </w:rPr>
        <w:t xml:space="preserve">② 验收指标配合响应：针对本项目各项技术指标，列明供应商配合采购人开展核验、测试的工作方式，可配套提供供应商准备的检查核对样表；</w:t>
      </w:r>
      <w:r/>
    </w:p>
    <w:p>
      <w:pPr>
        <w:ind w:firstLine="420"/>
        <w:spacing w:line="360" w:lineRule="auto"/>
        <w:rPr>
          <w:rFonts w:hint="eastAsia" w:ascii="宋体" w:hAnsi="宋体" w:cs="宋体"/>
          <w:szCs w:val="21"/>
        </w:rPr>
      </w:pPr>
      <w:r>
        <w:rPr>
          <w:rFonts w:hint="eastAsia" w:ascii="宋体" w:hAnsi="宋体" w:cs="宋体"/>
          <w:szCs w:val="21"/>
        </w:rPr>
        <w:t xml:space="preserve">③ 验收资料提交清单：列明验收环节供应商需向采购人提交的全部资料名称，明确资料的来源、编制及提供责任；</w:t>
      </w:r>
      <w:r/>
    </w:p>
    <w:p>
      <w:pPr>
        <w:ind w:firstLine="420"/>
        <w:spacing w:line="360" w:lineRule="auto"/>
        <w:rPr>
          <w:rFonts w:hint="eastAsia" w:ascii="宋体" w:hAnsi="宋体" w:cs="宋体"/>
          <w:szCs w:val="21"/>
        </w:rPr>
      </w:pPr>
      <w:r>
        <w:rPr>
          <w:rFonts w:hint="eastAsia" w:ascii="宋体" w:hAnsi="宋体" w:cs="宋体"/>
          <w:szCs w:val="21"/>
        </w:rPr>
        <w:t xml:space="preserve">④ 供应商验收配合人员安排：明确本项目负责验收配合工作人员的姓名、职务、相关项目经验，提供人员配置表；</w:t>
      </w:r>
      <w:r/>
    </w:p>
    <w:p>
      <w:pPr>
        <w:ind w:firstLine="420"/>
        <w:spacing w:line="360" w:lineRule="auto"/>
        <w:rPr>
          <w:rFonts w:hint="eastAsia" w:ascii="宋体" w:hAnsi="宋体" w:cs="宋体"/>
          <w:szCs w:val="21"/>
        </w:rPr>
      </w:pPr>
      <w:r>
        <w:rPr>
          <w:rFonts w:hint="eastAsia" w:ascii="宋体" w:hAnsi="宋体" w:cs="宋体"/>
          <w:szCs w:val="21"/>
        </w:rPr>
        <w:t xml:space="preserve">⑤ 设备安装过程记录管理：说明安装过程中供应商需要留存的记录内容、记录方式、资料保存期限，以及向采购人提交验收资料前的整理归档要求。</w:t>
      </w:r>
      <w:r/>
    </w:p>
    <w:p>
      <w:pPr>
        <w:ind w:firstLine="420"/>
        <w:spacing w:line="360" w:lineRule="auto"/>
        <w:rPr>
          <w:rFonts w:hint="eastAsia" w:ascii="宋体" w:hAnsi="宋体" w:cs="宋体"/>
          <w:szCs w:val="21"/>
        </w:rPr>
      </w:pPr>
      <w:r>
        <w:rPr>
          <w:rFonts w:hint="eastAsia" w:ascii="宋体" w:hAnsi="宋体" w:cs="宋体"/>
          <w:szCs w:val="21"/>
        </w:rPr>
        <w:t xml:space="preserve">5、投标人应根据招标文件要求提供售后服务承诺方案，方案包含以下内容：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售后服务响应时间：需明确售后服务的联系方式、响应时限、到达现场时间、解决问题的时间承诺；</w:t>
      </w:r>
      <w:r/>
    </w:p>
    <w:p>
      <w:pPr>
        <w:ind w:firstLine="420"/>
        <w:spacing w:line="360" w:lineRule="auto"/>
        <w:rPr>
          <w:rFonts w:hint="eastAsia" w:ascii="宋体" w:hAnsi="宋体" w:cs="宋体"/>
          <w:szCs w:val="21"/>
        </w:rPr>
      </w:pPr>
      <w:r>
        <w:rPr>
          <w:rFonts w:hint="eastAsia" w:ascii="宋体" w:hAnsi="宋体" w:cs="宋体"/>
          <w:szCs w:val="21"/>
        </w:rPr>
        <w:t xml:space="preserve">② 售后服务人员配置：需明确售后服务团队的人员数量、资质、分工及联系方式；</w:t>
      </w:r>
      <w:r/>
    </w:p>
    <w:p>
      <w:pPr>
        <w:ind w:firstLine="420"/>
        <w:spacing w:line="360" w:lineRule="auto"/>
        <w:rPr>
          <w:rFonts w:hint="eastAsia" w:ascii="宋体" w:hAnsi="宋体" w:cs="宋体"/>
          <w:szCs w:val="21"/>
        </w:rPr>
      </w:pPr>
      <w:r>
        <w:rPr>
          <w:rFonts w:hint="eastAsia" w:ascii="宋体" w:hAnsi="宋体" w:cs="宋体"/>
          <w:szCs w:val="21"/>
        </w:rPr>
        <w:t xml:space="preserve">③ 质保期内服务内容：需明确质保期内免费提供的服务项目；</w:t>
      </w:r>
      <w:r/>
    </w:p>
    <w:p>
      <w:pPr>
        <w:ind w:firstLine="420"/>
        <w:spacing w:line="360" w:lineRule="auto"/>
        <w:rPr>
          <w:rFonts w:hint="eastAsia" w:ascii="宋体" w:hAnsi="宋体" w:cs="宋体"/>
          <w:szCs w:val="21"/>
        </w:rPr>
      </w:pPr>
      <w:r>
        <w:rPr>
          <w:rFonts w:hint="eastAsia" w:ascii="宋体" w:hAnsi="宋体" w:cs="宋体"/>
          <w:szCs w:val="21"/>
        </w:rPr>
        <w:t xml:space="preserve">④ 质保期后服务方案：需明确质保期满后的服务提供方式；</w:t>
      </w:r>
      <w:r/>
    </w:p>
    <w:p>
      <w:pPr>
        <w:ind w:firstLine="420"/>
        <w:spacing w:line="360" w:lineRule="auto"/>
        <w:rPr>
          <w:rFonts w:hint="eastAsia" w:ascii="宋体" w:hAnsi="宋体" w:cs="宋体"/>
          <w:szCs w:val="21"/>
        </w:rPr>
      </w:pPr>
      <w:r>
        <w:rPr>
          <w:rFonts w:hint="eastAsia" w:ascii="宋体" w:hAnsi="宋体" w:cs="宋体"/>
          <w:szCs w:val="21"/>
        </w:rPr>
        <w:t xml:space="preserve">⑤ 备品备件清单：需列出常用备品、配件、耗材的名称、品牌、规格型号、单价，并提供价格清单；</w:t>
      </w:r>
      <w:r/>
    </w:p>
    <w:p>
      <w:pPr>
        <w:ind w:firstLine="420"/>
        <w:spacing w:line="360" w:lineRule="auto"/>
        <w:rPr>
          <w:rFonts w:hint="eastAsia" w:ascii="宋体" w:hAnsi="宋体" w:cs="宋体"/>
          <w:szCs w:val="21"/>
        </w:rPr>
      </w:pPr>
      <w:r>
        <w:rPr>
          <w:rFonts w:hint="eastAsia" w:ascii="宋体" w:hAnsi="宋体" w:cs="宋体"/>
          <w:szCs w:val="21"/>
        </w:rPr>
        <w:t xml:space="preserve">⑥ 维修服务明细：需明确维修项目的收费标准或折扣率；</w:t>
      </w:r>
      <w:r/>
    </w:p>
    <w:p>
      <w:pPr>
        <w:ind w:firstLine="420"/>
        <w:spacing w:line="360" w:lineRule="auto"/>
        <w:rPr>
          <w:rFonts w:hint="eastAsia" w:ascii="宋体" w:hAnsi="宋体" w:cs="宋体"/>
          <w:szCs w:val="21"/>
        </w:rPr>
      </w:pPr>
      <w:r>
        <w:rPr>
          <w:rFonts w:hint="eastAsia" w:ascii="宋体" w:hAnsi="宋体" w:cs="宋体"/>
          <w:szCs w:val="21"/>
        </w:rPr>
        <w:t xml:space="preserve">⑦ 技术指导方案：需说明对采购方人员的培训计划以及日常技术支持的渠道。</w:t>
      </w:r>
      <w:r/>
    </w:p>
    <w:p>
      <w:pPr>
        <w:ind w:firstLine="420"/>
        <w:spacing w:line="360" w:lineRule="auto"/>
        <w:rPr>
          <w:rFonts w:hint="eastAsia" w:ascii="宋体" w:hAnsi="宋体" w:cs="宋体"/>
          <w:szCs w:val="21"/>
        </w:rPr>
      </w:pPr>
      <w:r>
        <w:rPr>
          <w:rFonts w:hint="eastAsia" w:ascii="宋体" w:hAnsi="宋体" w:cs="宋体"/>
          <w:szCs w:val="21"/>
        </w:rPr>
        <w:t xml:space="preserve">6、投标人应根据招标文件要求提供培训方案，方案包含以下内容：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培训对象：需明确接受培训的人员类别及预计人数；</w:t>
      </w:r>
      <w:r/>
    </w:p>
    <w:p>
      <w:pPr>
        <w:ind w:firstLine="420"/>
        <w:spacing w:line="360" w:lineRule="auto"/>
        <w:rPr>
          <w:rFonts w:hint="eastAsia" w:ascii="宋体" w:hAnsi="宋体" w:cs="宋体"/>
          <w:szCs w:val="21"/>
        </w:rPr>
      </w:pPr>
      <w:r>
        <w:rPr>
          <w:rFonts w:hint="eastAsia" w:ascii="宋体" w:hAnsi="宋体" w:cs="宋体"/>
          <w:szCs w:val="21"/>
        </w:rPr>
        <w:t xml:space="preserve">② 培训内容：需列出具体培训课程或模块，并说明每项内容的教学目标；</w:t>
      </w:r>
      <w:r/>
    </w:p>
    <w:p>
      <w:pPr>
        <w:ind w:firstLine="420"/>
        <w:spacing w:line="360" w:lineRule="auto"/>
        <w:rPr>
          <w:rFonts w:hint="eastAsia" w:ascii="宋体" w:hAnsi="宋体" w:cs="宋体"/>
          <w:szCs w:val="21"/>
        </w:rPr>
      </w:pPr>
      <w:r>
        <w:rPr>
          <w:rFonts w:hint="eastAsia" w:ascii="宋体" w:hAnsi="宋体" w:cs="宋体"/>
          <w:szCs w:val="21"/>
        </w:rPr>
        <w:t xml:space="preserve">③ 培训时间与课时：需明确培训总时长，以及各培训模块的课时分配；</w:t>
      </w:r>
      <w:r/>
    </w:p>
    <w:p>
      <w:pPr>
        <w:ind w:firstLine="420"/>
        <w:spacing w:line="360" w:lineRule="auto"/>
        <w:rPr>
          <w:rFonts w:hint="eastAsia" w:ascii="宋体" w:hAnsi="宋体" w:cs="宋体"/>
          <w:szCs w:val="21"/>
        </w:rPr>
      </w:pPr>
      <w:r>
        <w:rPr>
          <w:rFonts w:hint="eastAsia" w:ascii="宋体" w:hAnsi="宋体" w:cs="宋体"/>
          <w:szCs w:val="21"/>
        </w:rPr>
        <w:t xml:space="preserve">④ 培训方式：需说明培训形式，并提供相应安排；</w:t>
      </w:r>
      <w:r/>
    </w:p>
    <w:p>
      <w:pPr>
        <w:ind w:firstLine="420"/>
        <w:spacing w:line="360" w:lineRule="auto"/>
        <w:rPr>
          <w:rFonts w:hint="eastAsia" w:ascii="宋体" w:hAnsi="宋体" w:cs="宋体"/>
          <w:szCs w:val="21"/>
        </w:rPr>
      </w:pPr>
      <w:r>
        <w:rPr>
          <w:rFonts w:hint="eastAsia" w:ascii="宋体" w:hAnsi="宋体" w:cs="宋体"/>
          <w:szCs w:val="21"/>
        </w:rPr>
        <w:t xml:space="preserve">⑤ 培训材料：需列出将提供的培训资料，并注明是否免费提供及提供份数；</w:t>
      </w:r>
      <w:r/>
    </w:p>
    <w:p>
      <w:pPr>
        <w:ind w:firstLine="420"/>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szCs w:val="21"/>
        </w:rPr>
        <w:t xml:space="preserve">⑥ 培训人员资质：需明确授课人员的姓名、相关认证、从业年限及同类项目培训经验。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7、投标供应商自2023年01月01日以来（以合同签订日期为准），具有类似项目业绩（合同至少应当包含核心产品）的优先。</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8、投标人提供有效的ISO9001质量管理体系认证证书、ISO20000信息技术服务管理体系认证证书的优先；</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9、投标人为本项目拟配备的项目负责人：具有信息系统项目管理师证书、计算机技术与软件专业技术资格（水平）考试软件评测师证书的优先。</w:t>
      </w:r>
      <w:r/>
    </w:p>
    <w:p>
      <w:pPr>
        <w:ind w:firstLine="422"/>
        <w:spacing w:line="360" w:lineRule="auto"/>
        <w:rPr>
          <w:rFonts w:hint="eastAsia" w:ascii="宋体" w:hAnsi="宋体" w:cs="宋体"/>
          <w:b/>
          <w:color w:val="auto"/>
          <w:szCs w:val="21"/>
        </w:rPr>
        <w:outlineLvl w:val="1"/>
      </w:pPr>
      <w:r>
        <w:rPr>
          <w:rFonts w:hint="eastAsia" w:ascii="宋体" w:hAnsi="宋体" w:cs="宋体"/>
          <w:b/>
          <w:color w:val="auto"/>
          <w:szCs w:val="21"/>
        </w:rPr>
        <w:t xml:space="preserve">七、履约保证金</w:t>
      </w:r>
      <w:r/>
    </w:p>
    <w:p>
      <w:pPr>
        <w:pStyle w:val="714"/>
        <w:ind w:firstLine="420"/>
        <w:spacing w:line="360" w:lineRule="auto"/>
        <w:rPr>
          <w:rFonts w:hint="eastAsia" w:ascii="宋体" w:hAnsi="宋体" w:cs="宋体"/>
          <w:szCs w:val="21"/>
        </w:rPr>
      </w:pPr>
      <w:r/>
      <w:bookmarkStart w:id="34" w:name="OLE_LINK11"/>
      <w:r>
        <w:rPr>
          <w:rFonts w:hint="eastAsia" w:ascii="宋体" w:hAnsi="宋体" w:cs="宋体"/>
          <w:szCs w:val="21"/>
        </w:rPr>
        <w:t xml:space="preserve">（1）供应商中标后7个工作日内，将中标合同金额10%的履约保证金以转账或支票、汇票、本票或者金融机构、担保机构出具的保函等方式支付至采购人指定账户，采购人凭付款凭证及到款情况办理合同签订相关手续。</w:t>
      </w:r>
      <w:r/>
    </w:p>
    <w:p>
      <w:pPr>
        <w:pStyle w:val="714"/>
        <w:ind w:firstLine="420"/>
        <w:spacing w:line="360" w:lineRule="auto"/>
        <w:rPr>
          <w:rFonts w:hint="eastAsia" w:ascii="宋体" w:hAnsi="宋体" w:cs="宋体"/>
          <w:szCs w:val="21"/>
        </w:rPr>
      </w:pPr>
      <w:r>
        <w:rPr>
          <w:rFonts w:hint="eastAsia" w:ascii="宋体" w:hAnsi="宋体" w:cs="宋体"/>
          <w:szCs w:val="21"/>
        </w:rPr>
        <w:t xml:space="preserve">南京工业职业技术大学指定账户信息具体如下：</w:t>
      </w:r>
      <w:r/>
    </w:p>
    <w:p>
      <w:pPr>
        <w:pStyle w:val="714"/>
        <w:ind w:firstLine="420"/>
        <w:spacing w:line="360" w:lineRule="auto"/>
        <w:rPr>
          <w:rFonts w:hint="eastAsia" w:ascii="宋体" w:hAnsi="宋体" w:cs="宋体"/>
          <w:szCs w:val="21"/>
        </w:rPr>
      </w:pPr>
      <w:r>
        <w:rPr>
          <w:rFonts w:hint="eastAsia" w:ascii="宋体" w:hAnsi="宋体" w:cs="宋体"/>
          <w:szCs w:val="21"/>
        </w:rPr>
        <w:t xml:space="preserve">单位名称：南京工业职业技术大学</w:t>
      </w:r>
      <w:r/>
    </w:p>
    <w:p>
      <w:pPr>
        <w:pStyle w:val="714"/>
        <w:ind w:firstLine="420"/>
        <w:spacing w:line="360" w:lineRule="auto"/>
        <w:rPr>
          <w:rFonts w:hint="eastAsia" w:ascii="宋体" w:hAnsi="宋体" w:cs="宋体"/>
          <w:szCs w:val="21"/>
        </w:rPr>
      </w:pPr>
      <w:r>
        <w:rPr>
          <w:rFonts w:hint="eastAsia" w:ascii="宋体" w:hAnsi="宋体" w:cs="宋体"/>
          <w:szCs w:val="21"/>
        </w:rPr>
        <w:t xml:space="preserve">开 户 行：工商银行南京汉府支行</w:t>
      </w:r>
      <w:r/>
    </w:p>
    <w:p>
      <w:pPr>
        <w:pStyle w:val="714"/>
        <w:ind w:firstLine="420"/>
        <w:spacing w:line="360" w:lineRule="auto"/>
        <w:rPr>
          <w:rFonts w:hint="eastAsia" w:ascii="宋体" w:hAnsi="宋体" w:cs="宋体"/>
          <w:szCs w:val="21"/>
        </w:rPr>
      </w:pPr>
      <w:r>
        <w:rPr>
          <w:rFonts w:hint="eastAsia" w:ascii="宋体" w:hAnsi="宋体" w:cs="宋体"/>
          <w:szCs w:val="21"/>
        </w:rPr>
        <w:t xml:space="preserve">账    号：4301015819100701644</w:t>
      </w:r>
      <w:r/>
    </w:p>
    <w:p>
      <w:pPr>
        <w:pStyle w:val="714"/>
        <w:ind w:firstLine="420"/>
        <w:spacing w:line="360" w:lineRule="auto"/>
        <w:rPr>
          <w:rFonts w:hint="eastAsia" w:ascii="宋体" w:hAnsi="宋体" w:cs="宋体"/>
          <w:szCs w:val="21"/>
        </w:rPr>
      </w:pPr>
      <w:r>
        <w:rPr>
          <w:rFonts w:hint="eastAsia" w:ascii="宋体" w:hAnsi="宋体" w:cs="宋体"/>
          <w:szCs w:val="21"/>
        </w:rPr>
        <w:t xml:space="preserve">注：请在转账时备注“项目名称+履约保证金”字样。</w:t>
      </w:r>
      <w:r/>
    </w:p>
    <w:p>
      <w:pPr>
        <w:pStyle w:val="714"/>
        <w:ind w:firstLine="420"/>
        <w:spacing w:line="360" w:lineRule="auto"/>
        <w:rPr>
          <w:rFonts w:hint="eastAsia" w:ascii="宋体" w:hAnsi="宋体" w:cs="宋体"/>
          <w:szCs w:val="21"/>
        </w:rPr>
      </w:pPr>
      <w:r>
        <w:rPr>
          <w:rFonts w:hint="eastAsia" w:ascii="宋体" w:hAnsi="宋体" w:cs="宋体"/>
          <w:szCs w:val="21"/>
        </w:rPr>
        <w:t xml:space="preserve">（2）合同履行过程中，若经采购人核实存在货物质量问题或供应商违约情形，采购人有权在通知供应商后，从履约保证金中抵扣相应的补偿或赔偿款项。</w:t>
      </w:r>
      <w:r/>
    </w:p>
    <w:p>
      <w:pPr>
        <w:pStyle w:val="714"/>
        <w:ind w:firstLine="420"/>
        <w:spacing w:line="360" w:lineRule="auto"/>
        <w:rPr>
          <w:rFonts w:hint="eastAsia" w:ascii="宋体" w:hAnsi="宋体" w:cs="宋体"/>
          <w:bCs/>
          <w:szCs w:val="21"/>
        </w:rPr>
      </w:pPr>
      <w:r>
        <w:rPr>
          <w:rFonts w:hint="eastAsia" w:ascii="宋体" w:hAnsi="宋体" w:cs="宋体"/>
          <w:szCs w:val="21"/>
        </w:rPr>
        <w:t xml:space="preserve">（3）履约保证金退还流程：自货物验收合格之日起满12个月，且货物运行正常，供应商可向采购人提交履约保证金退还申请及相关证明材料。经用户签字确认，核实无质量问题且供应商无违约情形后，采购人于确认完成后一个月内，无息退还履约保证金的50%；自货物验收合格之日起满24个月，经用户核实无质量问题、供应商无违约情形的，无息退还履约保证金的30%；免费质保期届满，经核实无遗留质量问题、供应商无违约情形的，无息退还剩余履约保证金。办理保证金退还相关手续遇寒暑假、法定节假日的，期限顺延。</w:t>
      </w:r>
      <w:bookmarkEnd w:id="34"/>
      <w:r/>
    </w:p>
    <w:p>
      <w:pPr>
        <w:ind w:firstLine="422"/>
        <w:spacing w:line="360" w:lineRule="auto"/>
        <w:rPr>
          <w:rFonts w:hint="eastAsia" w:ascii="宋体" w:hAnsi="宋体" w:cs="宋体"/>
          <w:b/>
          <w:color w:val="000000" w:themeColor="text1"/>
          <w:szCs w:val="21"/>
          <w14:textFill>
            <w14:solidFill>
              <w14:schemeClr w14:val="tx1"/>
            </w14:solidFill>
          </w14:textFill>
        </w:rPr>
        <w:outlineLvl w:val="1"/>
      </w:pPr>
      <w:r>
        <w:rPr>
          <w:rFonts w:hint="eastAsia" w:ascii="宋体" w:hAnsi="宋体" w:cs="宋体"/>
          <w:b/>
          <w:color w:val="000000" w:themeColor="text1"/>
          <w:szCs w:val="21"/>
          <w14:textFill>
            <w14:solidFill>
              <w14:schemeClr w14:val="tx1"/>
            </w14:solidFill>
          </w14:textFill>
        </w:rPr>
        <w:t xml:space="preserve">八、货款支付</w:t>
      </w:r>
      <w:r/>
    </w:p>
    <w:p>
      <w:pPr>
        <w:ind w:firstLine="420"/>
        <w:spacing w:line="360" w:lineRule="auto"/>
        <w:rPr>
          <w:rFonts w:hint="eastAsia" w:ascii="宋体" w:hAnsi="宋体" w:cs="宋体"/>
          <w:szCs w:val="21"/>
        </w:rPr>
      </w:pPr>
      <w:r>
        <w:rPr>
          <w:rFonts w:hint="eastAsia" w:ascii="宋体" w:hAnsi="宋体" w:cs="宋体"/>
          <w:szCs w:val="21"/>
        </w:rPr>
        <w:t xml:space="preserve">合同签订后支付30%合同款，货物交付、安装、调试且通过验收后（遇寒暑假和法定节假日顺延），支付至合同总金额的100%，付款之前需收到乙方开具的合法有效的相应全额发票。</w:t>
      </w:r>
      <w:r/>
    </w:p>
    <w:p>
      <w:pPr>
        <w:ind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pStyle w:val="689"/>
        <w:numPr>
          <w:ilvl w:val="0"/>
          <w:numId w:val="0"/>
        </w:numPr>
        <w:rPr>
          <w:rFonts w:hint="eastAsia" w:ascii="宋体" w:hAnsi="宋体" w:cs="宋体"/>
          <w:szCs w:val="32"/>
        </w:rPr>
      </w:pPr>
      <w:r>
        <w:rPr>
          <w:rFonts w:hint="eastAsia" w:ascii="宋体" w:hAnsi="宋体" w:cs="宋体"/>
        </w:rPr>
        <w:br w:type="page" w:clear="all"/>
      </w:r>
      <w:bookmarkStart w:id="35" w:name="_Toc18631"/>
      <w:r>
        <w:rPr>
          <w:rFonts w:hint="eastAsia" w:ascii="宋体" w:hAnsi="宋体" w:cs="宋体"/>
        </w:rPr>
        <w:t xml:space="preserve">第五章 合同主要条款及格式</w:t>
      </w:r>
      <w:bookmarkEnd w:id="23"/>
      <w:r>
        <w:rPr>
          <w:rFonts w:hint="eastAsia" w:ascii="宋体" w:hAnsi="宋体" w:cs="宋体"/>
          <w:szCs w:val="32"/>
        </w:rPr>
        <w:t xml:space="preserve"> </w:t>
      </w:r>
      <w:bookmarkEnd w:id="35"/>
      <w:r/>
      <w:r/>
    </w:p>
    <w:p>
      <w:pPr>
        <w:jc w:val="center"/>
        <w:spacing w:line="360" w:lineRule="auto"/>
        <w:rPr>
          <w:rFonts w:hint="eastAsia" w:ascii="宋体" w:hAnsi="宋体" w:cs="宋体"/>
          <w:b/>
          <w:bCs/>
          <w:sz w:val="24"/>
          <w:u w:val="single"/>
        </w:rPr>
      </w:pPr>
      <w:r>
        <w:rPr>
          <w:rFonts w:hint="eastAsia" w:ascii="宋体" w:hAnsi="宋体" w:cs="宋体"/>
          <w:b/>
          <w:bCs/>
          <w:sz w:val="32"/>
          <w:szCs w:val="32"/>
        </w:rPr>
        <w:t xml:space="preserve">南京工业职业技术大学XXX采购项目合同 </w:t>
      </w:r>
      <w:r/>
    </w:p>
    <w:p>
      <w:pPr>
        <w:pStyle w:val="714"/>
        <w:ind w:firstLine="420"/>
        <w:spacing w:line="360" w:lineRule="auto"/>
        <w:rPr>
          <w:rFonts w:hint="eastAsia" w:ascii="宋体" w:hAnsi="宋体" w:cs="宋体"/>
          <w:szCs w:val="21"/>
        </w:rPr>
      </w:pPr>
      <w:r>
        <w:rPr>
          <w:rFonts w:hint="eastAsia" w:ascii="宋体" w:hAnsi="宋体" w:cs="宋体"/>
          <w:szCs w:val="21"/>
        </w:rPr>
        <w:t xml:space="preserve">甲方：（买方）_________         乙方：（卖方）_________ </w:t>
      </w:r>
      <w:r/>
    </w:p>
    <w:p>
      <w:pPr>
        <w:pStyle w:val="714"/>
        <w:ind w:firstLine="420"/>
        <w:spacing w:line="360" w:lineRule="auto"/>
        <w:rPr>
          <w:rFonts w:hint="eastAsia" w:ascii="宋体" w:hAnsi="宋体" w:cs="宋体"/>
          <w:szCs w:val="21"/>
          <w:u w:val="single"/>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pStyle w:val="714"/>
        <w:ind w:firstLine="420"/>
        <w:spacing w:line="360" w:lineRule="auto"/>
        <w:rPr>
          <w:rFonts w:hint="eastAsia"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t xml:space="preserve">         地址：</w:t>
      </w:r>
      <w:r>
        <w:rPr>
          <w:rFonts w:hint="eastAsia" w:ascii="宋体" w:hAnsi="宋体" w:cs="宋体"/>
          <w:szCs w:val="21"/>
          <w:u w:val="single"/>
        </w:rPr>
        <w:t xml:space="preserve">                 </w:t>
      </w:r>
      <w:r/>
    </w:p>
    <w:p>
      <w:pPr>
        <w:pStyle w:val="714"/>
        <w:ind w:firstLine="420"/>
        <w:spacing w:line="360" w:lineRule="auto"/>
        <w:rPr>
          <w:rFonts w:hint="eastAsia" w:ascii="宋体" w:hAnsi="宋体" w:cs="宋体"/>
          <w:szCs w:val="21"/>
          <w:u w:val="single"/>
        </w:rPr>
      </w:pPr>
      <w:r>
        <w:rPr>
          <w:rFonts w:hint="eastAsia" w:ascii="宋体" w:hAnsi="宋体" w:cs="宋体"/>
          <w:szCs w:val="21"/>
        </w:rPr>
        <w:t xml:space="preserve">联系人：</w:t>
      </w:r>
      <w:r>
        <w:rPr>
          <w:rFonts w:hint="eastAsia" w:ascii="宋体" w:hAnsi="宋体" w:cs="宋体"/>
          <w:szCs w:val="21"/>
          <w:u w:val="single"/>
        </w:rPr>
        <w:t xml:space="preserve">              </w:t>
      </w:r>
      <w:r>
        <w:rPr>
          <w:rFonts w:hint="eastAsia" w:ascii="宋体" w:hAnsi="宋体" w:cs="宋体"/>
          <w:szCs w:val="21"/>
        </w:rPr>
        <w:t xml:space="preserve">         联系人：</w:t>
      </w:r>
      <w:r>
        <w:rPr>
          <w:rFonts w:hint="eastAsia" w:ascii="宋体" w:hAnsi="宋体" w:cs="宋体"/>
          <w:szCs w:val="21"/>
          <w:u w:val="single"/>
        </w:rPr>
        <w:t xml:space="preserve">                </w:t>
      </w:r>
      <w:r/>
    </w:p>
    <w:p>
      <w:pPr>
        <w:pStyle w:val="714"/>
        <w:ind w:firstLine="420"/>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u w:val="single"/>
        </w:rPr>
        <w:t xml:space="preserve">            </w:t>
      </w:r>
      <w:r>
        <w:rPr>
          <w:rFonts w:hint="eastAsia" w:ascii="宋体" w:hAnsi="宋体" w:cs="宋体"/>
          <w:szCs w:val="21"/>
        </w:rPr>
        <w:t xml:space="preserve">         联系方式：</w:t>
      </w:r>
      <w:r>
        <w:rPr>
          <w:rFonts w:hint="eastAsia" w:ascii="宋体" w:hAnsi="宋体" w:cs="宋体"/>
          <w:szCs w:val="21"/>
          <w:u w:val="single"/>
        </w:rPr>
        <w:t xml:space="preserve">             </w:t>
      </w:r>
      <w:r>
        <w:rPr>
          <w:rFonts w:hint="eastAsia" w:ascii="宋体" w:hAnsi="宋体" w:cs="宋体"/>
          <w:szCs w:val="21"/>
        </w:rPr>
        <w:t xml:space="preserve">  </w:t>
      </w:r>
      <w:r/>
    </w:p>
    <w:p>
      <w:pPr>
        <w:pStyle w:val="714"/>
        <w:ind w:firstLine="420"/>
        <w:spacing w:line="360" w:lineRule="auto"/>
        <w:rPr>
          <w:rFonts w:hint="eastAsia" w:ascii="宋体" w:hAnsi="宋体" w:cs="宋体"/>
          <w:szCs w:val="21"/>
        </w:rPr>
      </w:pPr>
      <w:r>
        <w:rPr>
          <w:rFonts w:hint="eastAsia" w:ascii="宋体" w:hAnsi="宋体" w:cs="宋体"/>
          <w:szCs w:val="21"/>
        </w:rPr>
        <w:t xml:space="preserve">甲、乙双方根据</w:t>
      </w:r>
      <w:r>
        <w:rPr>
          <w:rFonts w:hint="eastAsia" w:ascii="宋体" w:hAnsi="宋体" w:cs="宋体"/>
          <w:szCs w:val="21"/>
          <w:u w:val="single"/>
        </w:rPr>
        <w:t xml:space="preserve"> 南京工业职业技术大学XXX采购项目 </w:t>
      </w:r>
      <w:r>
        <w:rPr>
          <w:rFonts w:hint="eastAsia" w:ascii="宋体" w:hAnsi="宋体" w:cs="宋体"/>
          <w:szCs w:val="21"/>
        </w:rPr>
        <w:t xml:space="preserve">公开招标的结果，本着自愿及平等互利的原则，就甲方向乙方购买本合同约定的货物事宜，签署本合同。</w:t>
      </w:r>
      <w:r/>
    </w:p>
    <w:p>
      <w:pPr>
        <w:pStyle w:val="714"/>
        <w:ind w:firstLine="422"/>
        <w:spacing w:before="120" w:after="120" w:line="330" w:lineRule="atLeast"/>
        <w:rPr>
          <w:rFonts w:hint="eastAsia" w:ascii="宋体" w:hAnsi="宋体" w:cs="宋体"/>
          <w:b/>
          <w:szCs w:val="21"/>
        </w:rPr>
      </w:pPr>
      <w:r>
        <w:rPr>
          <w:rFonts w:hint="eastAsia" w:ascii="宋体" w:hAnsi="宋体" w:cs="宋体"/>
          <w:b/>
          <w:szCs w:val="21"/>
        </w:rPr>
        <w:t xml:space="preserve">一、货物内容、数量及金额</w:t>
      </w:r>
      <w:r/>
    </w:p>
    <w:tbl>
      <w:tblPr>
        <w:tblStyle w:val="699"/>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221"/>
        <w:gridCol w:w="864"/>
        <w:gridCol w:w="864"/>
        <w:gridCol w:w="864"/>
        <w:gridCol w:w="871"/>
        <w:gridCol w:w="1356"/>
        <w:gridCol w:w="1361"/>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总价（元）</w:t>
            </w:r>
            <w:r/>
          </w:p>
        </w:tc>
      </w:tr>
      <w:tr>
        <w:trPr>
          <w:jc w:val="center"/>
          <w:trHeight w:val="365"/>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szCs w:val="21"/>
              </w:rPr>
            </w:pPr>
            <w:r>
              <w:rPr>
                <w:rFonts w:hint="eastAsia" w:ascii="宋体" w:hAnsi="宋体" w:cs="宋体"/>
                <w:b/>
                <w:szCs w:val="21"/>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szCs w:val="21"/>
              </w:rPr>
            </w:pPr>
            <w:r>
              <w:rPr>
                <w:rFonts w:hint="eastAsia" w:ascii="宋体" w:hAnsi="宋体" w:cs="宋体"/>
                <w:b/>
                <w:szCs w:val="21"/>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hint="eastAsia" w:ascii="宋体" w:hAnsi="宋体" w:cs="宋体"/>
                <w:szCs w:val="21"/>
              </w:rPr>
            </w:pPr>
            <w:r>
              <w:rPr>
                <w:rFonts w:hint="eastAsia" w:ascii="宋体" w:hAnsi="宋体" w:cs="宋体"/>
                <w:b/>
                <w:szCs w:val="21"/>
              </w:rPr>
              <w:t xml:space="preserve">总价（人民币大写）：                         </w:t>
            </w:r>
            <w:r>
              <w:rPr>
                <w:rFonts w:hint="eastAsia" w:ascii="宋体" w:hAnsi="宋体" w:cs="宋体"/>
                <w:szCs w:val="21"/>
              </w:rPr>
              <w:t xml:space="preserve">合计（小写）：</w:t>
            </w:r>
            <w:r/>
          </w:p>
          <w:p>
            <w:pPr>
              <w:jc w:val="center"/>
              <w:spacing w:line="300" w:lineRule="exact"/>
              <w:rPr>
                <w:rFonts w:hint="eastAsia" w:ascii="宋体" w:hAnsi="宋体" w:cs="宋体"/>
                <w:szCs w:val="21"/>
              </w:rPr>
            </w:pPr>
            <w:r>
              <w:rPr>
                <w:rFonts w:hint="eastAsia" w:ascii="宋体" w:hAnsi="宋体" w:cs="宋体"/>
                <w:szCs w:val="21"/>
              </w:rPr>
            </w:r>
            <w:r/>
          </w:p>
          <w:p>
            <w:pPr>
              <w:jc w:val="center"/>
              <w:spacing w:line="300" w:lineRule="exact"/>
              <w:rPr>
                <w:rFonts w:hint="eastAsia" w:ascii="宋体" w:hAnsi="宋体" w:cs="宋体"/>
                <w:color w:val="000000"/>
                <w:szCs w:val="21"/>
              </w:rPr>
            </w:pPr>
            <w:r>
              <w:rPr>
                <w:rFonts w:hint="eastAsia" w:ascii="宋体" w:hAnsi="宋体" w:cs="宋体"/>
                <w:color w:val="000000"/>
                <w:szCs w:val="21"/>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说明：本合同总价款涵盖货物从设计、制造、包装、仓储、运输、安装直至验收合格之前的全部含税费用，以及保修期内备品备件相关的所有含税费用。乙方依约应提供的伴随服务及售后服务所涉费用，亦包含在本合同总价款内。</w:t>
            </w:r>
            <w:r/>
          </w:p>
        </w:tc>
      </w:tr>
    </w:tbl>
    <w:p>
      <w:pPr>
        <w:pStyle w:val="714"/>
        <w:ind w:firstLine="422"/>
        <w:spacing w:line="360" w:lineRule="auto"/>
        <w:rPr>
          <w:rFonts w:hint="eastAsia" w:ascii="宋体" w:hAnsi="宋体" w:cs="宋体"/>
          <w:b/>
          <w:szCs w:val="21"/>
        </w:rPr>
      </w:pPr>
      <w:r>
        <w:rPr>
          <w:rFonts w:hint="eastAsia" w:ascii="宋体" w:hAnsi="宋体" w:cs="宋体"/>
          <w:b/>
          <w:szCs w:val="21"/>
        </w:rPr>
        <w:t xml:space="preserve">二、结算方式</w:t>
      </w:r>
      <w:r/>
    </w:p>
    <w:p>
      <w:pPr>
        <w:ind w:firstLine="420"/>
        <w:spacing w:line="360" w:lineRule="auto"/>
        <w:rPr>
          <w:rFonts w:hint="eastAsia" w:ascii="宋体" w:hAnsi="宋体" w:cs="宋体"/>
          <w:szCs w:val="21"/>
        </w:rPr>
      </w:pPr>
      <w:r>
        <w:rPr>
          <w:rFonts w:hint="eastAsia" w:ascii="宋体" w:hAnsi="宋体" w:cs="宋体"/>
          <w:szCs w:val="21"/>
        </w:rPr>
        <w:t xml:space="preserve">2.1结算方式：合同签订后支付30%合同款，货物交付、安装、调试且通过验收后（遇寒暑假和法定节假日顺延），支付至合同总金额的100%，付款之前需收到乙方开具的合法有效的相应全额发票。</w:t>
      </w:r>
      <w:r/>
    </w:p>
    <w:p>
      <w:pPr>
        <w:pStyle w:val="714"/>
        <w:ind w:firstLine="420"/>
        <w:spacing w:line="360" w:lineRule="auto"/>
        <w:rPr>
          <w:rFonts w:hint="eastAsia" w:ascii="宋体" w:hAnsi="宋体" w:cs="宋体"/>
          <w:szCs w:val="21"/>
        </w:rPr>
      </w:pPr>
      <w:r>
        <w:rPr>
          <w:rFonts w:hint="eastAsia" w:ascii="宋体" w:hAnsi="宋体" w:cs="宋体"/>
          <w:szCs w:val="21"/>
        </w:rPr>
        <w:t xml:space="preserve">2.2履约保证金（根据招标文件要求选用）</w:t>
      </w:r>
      <w:r/>
    </w:p>
    <w:p>
      <w:pPr>
        <w:pStyle w:val="714"/>
        <w:ind w:firstLine="420"/>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本项目不需要缴纳履约保证金。</w:t>
      </w:r>
      <w:r/>
    </w:p>
    <w:p>
      <w:pPr>
        <w:pStyle w:val="714"/>
        <w:ind w:firstLine="420"/>
        <w:spacing w:line="360" w:lineRule="auto"/>
        <w:rPr>
          <w:rFonts w:hint="eastAsia" w:ascii="宋体" w:hAnsi="宋体" w:cs="宋体"/>
          <w:szCs w:val="21"/>
        </w:rPr>
      </w:pPr>
      <w:r>
        <w:rPr>
          <w:rFonts w:ascii="Wingdings 2" w:hAnsi="Wingdings 2" w:eastAsia="Wingdings 2" w:cs="Wingdings 2"/>
          <w:szCs w:val="21"/>
        </w:rPr>
        <w:t xml:space="preserve">R</w:t>
      </w:r>
      <w:r>
        <w:rPr>
          <w:rFonts w:hint="eastAsia" w:ascii="宋体" w:hAnsi="宋体" w:cs="宋体"/>
          <w:szCs w:val="21"/>
        </w:rPr>
        <w:t xml:space="preserve">本项目需要缴纳履约保证金，具体要求如下：</w:t>
      </w:r>
      <w:r/>
    </w:p>
    <w:p>
      <w:pPr>
        <w:ind w:firstLine="420"/>
        <w:spacing w:line="360" w:lineRule="auto"/>
        <w:rPr>
          <w:rFonts w:hint="eastAsia" w:ascii="宋体" w:hAnsi="宋体" w:cs="宋体"/>
        </w:rPr>
      </w:pPr>
      <w:r>
        <w:rPr>
          <w:rFonts w:hint="eastAsia" w:ascii="宋体" w:hAnsi="宋体" w:cs="宋体"/>
        </w:rPr>
        <w:t xml:space="preserve">（1）乙方中标后7个工作日内，将中标合同金额10%的履约保证金以转账或支票、汇票、本票或者金融机构、担保机构出具的保函等方式支付至甲方指定账户，甲方凭付款凭证及到款情况办理合同签订相关手续。</w:t>
      </w:r>
      <w:r/>
    </w:p>
    <w:p>
      <w:pPr>
        <w:ind w:firstLine="420"/>
        <w:spacing w:line="360" w:lineRule="auto"/>
        <w:rPr>
          <w:rFonts w:hint="eastAsia" w:ascii="宋体" w:hAnsi="宋体" w:cs="宋体"/>
        </w:rPr>
      </w:pPr>
      <w:r>
        <w:rPr>
          <w:rFonts w:hint="eastAsia" w:ascii="宋体" w:hAnsi="宋体" w:cs="宋体"/>
        </w:rPr>
        <w:t xml:space="preserve">南京工业职业技术大学指定账户信息具体如下：</w:t>
      </w:r>
      <w:r/>
    </w:p>
    <w:p>
      <w:pPr>
        <w:ind w:firstLine="420"/>
        <w:spacing w:line="360" w:lineRule="auto"/>
        <w:rPr>
          <w:rFonts w:hint="eastAsia" w:ascii="宋体" w:hAnsi="宋体" w:cs="宋体"/>
        </w:rPr>
      </w:pPr>
      <w:r>
        <w:rPr>
          <w:rFonts w:hint="eastAsia" w:ascii="宋体" w:hAnsi="宋体" w:cs="宋体"/>
        </w:rPr>
        <w:t xml:space="preserve">单位名称：南京工业职业技术大学</w:t>
      </w:r>
      <w:r/>
    </w:p>
    <w:p>
      <w:pPr>
        <w:ind w:firstLine="420"/>
        <w:spacing w:line="360" w:lineRule="auto"/>
        <w:rPr>
          <w:rFonts w:hint="eastAsia" w:ascii="宋体" w:hAnsi="宋体" w:cs="宋体"/>
        </w:rPr>
      </w:pPr>
      <w:r>
        <w:rPr>
          <w:rFonts w:hint="eastAsia" w:ascii="宋体" w:hAnsi="宋体" w:cs="宋体"/>
        </w:rPr>
        <w:t xml:space="preserve">开 户 行：工商银行南京汉府支行</w:t>
      </w:r>
      <w:r/>
    </w:p>
    <w:p>
      <w:pPr>
        <w:ind w:firstLine="420"/>
        <w:spacing w:line="360" w:lineRule="auto"/>
        <w:rPr>
          <w:rFonts w:hint="eastAsia" w:ascii="宋体" w:hAnsi="宋体" w:cs="宋体"/>
        </w:rPr>
      </w:pPr>
      <w:r>
        <w:rPr>
          <w:rFonts w:hint="eastAsia" w:ascii="宋体" w:hAnsi="宋体" w:cs="宋体"/>
        </w:rPr>
        <w:t xml:space="preserve">账    号：4301015819100701644</w:t>
      </w:r>
      <w:r/>
    </w:p>
    <w:p>
      <w:pPr>
        <w:ind w:firstLine="420"/>
        <w:spacing w:line="360" w:lineRule="auto"/>
        <w:rPr>
          <w:rFonts w:hint="eastAsia" w:ascii="宋体" w:hAnsi="宋体" w:cs="宋体"/>
        </w:rPr>
      </w:pPr>
      <w:r>
        <w:rPr>
          <w:rFonts w:hint="eastAsia" w:ascii="宋体" w:hAnsi="宋体" w:cs="宋体"/>
        </w:rPr>
        <w:t xml:space="preserve">注：请在转账时备注“项目名称+履约保证金”字样。</w:t>
      </w:r>
      <w:r/>
    </w:p>
    <w:p>
      <w:pPr>
        <w:ind w:firstLine="420"/>
        <w:spacing w:line="360" w:lineRule="auto"/>
        <w:rPr>
          <w:rFonts w:hint="eastAsia" w:ascii="宋体" w:hAnsi="宋体" w:cs="宋体"/>
        </w:rPr>
      </w:pPr>
      <w:r>
        <w:rPr>
          <w:rFonts w:hint="eastAsia" w:ascii="宋体" w:hAnsi="宋体" w:cs="宋体"/>
        </w:rPr>
        <w:t xml:space="preserve">（2）合同履行过程中，若经甲方核实存在货物质量问题或乙方违约情形，甲方有权在通知乙方后，从履约保证金中抵扣相应的补偿或赔偿款项。</w:t>
      </w:r>
      <w:r/>
    </w:p>
    <w:p>
      <w:pPr>
        <w:pStyle w:val="714"/>
        <w:ind w:firstLine="420"/>
        <w:spacing w:line="360" w:lineRule="auto"/>
        <w:rPr>
          <w:rFonts w:hint="eastAsia" w:ascii="宋体" w:hAnsi="宋体" w:cs="宋体"/>
          <w:szCs w:val="21"/>
        </w:rPr>
      </w:pPr>
      <w:r>
        <w:rPr>
          <w:rFonts w:hint="eastAsia" w:ascii="宋体" w:hAnsi="宋体" w:cs="宋体"/>
        </w:rPr>
        <w:t xml:space="preserve">（3）履约保证金退还流程：自货物验收合格之日起满12个月，且货物运行正常，乙方可向甲方提交履约保证金退还申请及相关证明材料。经用户签字确认，核实无质量问题且乙方无违约情形后，甲方于确认完成后一个月内，无息退还履约保证金的50%；自货物验收合格之日起满24个月，经用户核实无质量问题、乙方无违约情形的，无息退还履约保证金的30%；免费质保期届满，经核实无遗留质量问题、乙方无违约情形的，无息退还剩余履约保证金。办理保证金退还相关手续遇寒暑假、法定节假日的，期限顺延。</w:t>
      </w:r>
      <w:r/>
    </w:p>
    <w:p>
      <w:pPr>
        <w:pStyle w:val="714"/>
        <w:ind w:firstLine="420"/>
        <w:spacing w:line="360" w:lineRule="auto"/>
        <w:rPr>
          <w:rFonts w:hint="eastAsia" w:ascii="宋体" w:hAnsi="宋体" w:cs="宋体"/>
          <w:szCs w:val="21"/>
        </w:rPr>
      </w:pPr>
      <w:r>
        <w:rPr>
          <w:rFonts w:hint="eastAsia" w:ascii="宋体" w:hAnsi="宋体" w:cs="宋体"/>
          <w:szCs w:val="21"/>
        </w:rPr>
        <w:t xml:space="preserve">2.3当采购数量与实际使用数量不一致时，乙方应根据实际使用量供货，合同的最终结算金额按实际使用量乘以本合同约定的成交单价进行计算。</w:t>
      </w:r>
      <w:r/>
    </w:p>
    <w:p>
      <w:pPr>
        <w:pStyle w:val="714"/>
        <w:ind w:firstLine="420"/>
        <w:spacing w:line="360" w:lineRule="auto"/>
        <w:rPr>
          <w:rFonts w:hint="eastAsia" w:ascii="宋体" w:hAnsi="宋体" w:cs="宋体"/>
          <w:szCs w:val="21"/>
        </w:rPr>
      </w:pPr>
      <w:r>
        <w:rPr>
          <w:rFonts w:hint="eastAsia" w:ascii="宋体" w:hAnsi="宋体" w:cs="宋体"/>
          <w:szCs w:val="21"/>
        </w:rPr>
        <w:t xml:space="preserve">2.4乙方指定账户信息：</w:t>
      </w:r>
      <w:r/>
    </w:p>
    <w:p>
      <w:pPr>
        <w:pStyle w:val="714"/>
        <w:ind w:firstLine="420"/>
        <w:spacing w:line="360" w:lineRule="auto"/>
        <w:rPr>
          <w:rFonts w:hint="eastAsia" w:ascii="宋体" w:hAnsi="宋体" w:cs="宋体"/>
          <w:szCs w:val="21"/>
        </w:rPr>
      </w:pPr>
      <w:r>
        <w:rPr>
          <w:rFonts w:hint="eastAsia" w:ascii="宋体" w:hAnsi="宋体" w:cs="宋体"/>
          <w:szCs w:val="21"/>
        </w:rPr>
        <w:t xml:space="preserve">开户行：</w:t>
      </w:r>
      <w:r/>
    </w:p>
    <w:p>
      <w:pPr>
        <w:pStyle w:val="714"/>
        <w:ind w:firstLine="420"/>
        <w:spacing w:line="360" w:lineRule="auto"/>
        <w:rPr>
          <w:rFonts w:hint="eastAsia" w:ascii="宋体" w:hAnsi="宋体" w:cs="宋体"/>
          <w:szCs w:val="21"/>
        </w:rPr>
      </w:pPr>
      <w:r>
        <w:rPr>
          <w:rFonts w:hint="eastAsia" w:ascii="宋体" w:hAnsi="宋体" w:cs="宋体"/>
          <w:szCs w:val="21"/>
        </w:rPr>
        <w:t xml:space="preserve">户名：</w:t>
      </w:r>
      <w:r/>
    </w:p>
    <w:p>
      <w:pPr>
        <w:pStyle w:val="714"/>
        <w:ind w:firstLine="420"/>
        <w:spacing w:line="360" w:lineRule="auto"/>
        <w:rPr>
          <w:rFonts w:hint="eastAsia" w:ascii="宋体" w:hAnsi="宋体" w:cs="宋体"/>
          <w:szCs w:val="21"/>
        </w:rPr>
      </w:pPr>
      <w:r>
        <w:rPr>
          <w:rFonts w:hint="eastAsia" w:ascii="宋体" w:hAnsi="宋体" w:cs="宋体"/>
          <w:szCs w:val="21"/>
        </w:rPr>
        <w:t xml:space="preserve">账号：</w:t>
      </w:r>
      <w:r/>
    </w:p>
    <w:p>
      <w:pPr>
        <w:pStyle w:val="714"/>
        <w:ind w:firstLine="420"/>
        <w:spacing w:line="360" w:lineRule="auto"/>
        <w:rPr>
          <w:rFonts w:hint="eastAsia" w:ascii="宋体" w:hAnsi="宋体" w:cs="宋体"/>
          <w:szCs w:val="21"/>
        </w:rPr>
      </w:pPr>
      <w:r>
        <w:rPr>
          <w:rFonts w:hint="eastAsia" w:ascii="宋体" w:hAnsi="宋体" w:cs="宋体"/>
          <w:szCs w:val="21"/>
        </w:rPr>
        <w:t xml:space="preserve">上述账户信息，如有变更，乙方应在变更前3日内书面通知甲方。否则，由此产生的后果由乙方承担。</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三、交付方式、时间及地点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）交货期：合同签订生效后，</w:t>
      </w:r>
      <w:r>
        <w:rPr>
          <w:rFonts w:hint="eastAsia" w:ascii="宋体" w:hAnsi="宋体" w:cs="宋体"/>
          <w:szCs w:val="21"/>
        </w:rPr>
        <w:t xml:space="preserve">XX个日历日</w:t>
      </w:r>
      <w:r>
        <w:rPr>
          <w:rFonts w:hint="eastAsia" w:ascii="宋体" w:hAnsi="宋体" w:cs="宋体"/>
          <w:szCs w:val="21"/>
          <w:lang w:val="zh-CN"/>
        </w:rPr>
        <w:t xml:space="preserve">内全部设备、材料运抵现场，并安装、调试结束，验收合格，交付采购方使用。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）交货方式：</w:t>
      </w:r>
      <w:r>
        <w:rPr>
          <w:rFonts w:hint="eastAsia" w:ascii="宋体" w:hAnsi="宋体" w:cs="宋体"/>
          <w:szCs w:val="21"/>
        </w:rPr>
        <w:t xml:space="preserve">乙方</w:t>
      </w:r>
      <w:r>
        <w:rPr>
          <w:rFonts w:hint="eastAsia" w:ascii="宋体" w:hAnsi="宋体" w:cs="宋体"/>
          <w:szCs w:val="21"/>
          <w:lang w:val="zh-CN"/>
        </w:rPr>
        <w:t xml:space="preserve">在</w:t>
      </w:r>
      <w:r>
        <w:rPr>
          <w:rFonts w:hint="eastAsia" w:ascii="宋体" w:hAnsi="宋体" w:cs="宋体"/>
          <w:szCs w:val="21"/>
        </w:rPr>
        <w:t xml:space="preserve">甲方</w:t>
      </w:r>
      <w:r>
        <w:rPr>
          <w:rFonts w:hint="eastAsia" w:ascii="宋体" w:hAnsi="宋体" w:cs="宋体"/>
          <w:szCs w:val="21"/>
          <w:lang w:val="zh-CN"/>
        </w:rPr>
        <w:t xml:space="preserve">指定地点交货，并完成安装、调试。</w:t>
      </w:r>
      <w:r/>
    </w:p>
    <w:p>
      <w:pPr>
        <w:pStyle w:val="714"/>
        <w:ind w:firstLine="420"/>
        <w:spacing w:line="360" w:lineRule="auto"/>
        <w:rPr>
          <w:rFonts w:hint="eastAsia" w:ascii="宋体" w:hAnsi="宋体" w:cs="宋体"/>
          <w:b/>
          <w:bCs/>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）交货地点：</w:t>
      </w:r>
      <w:r>
        <w:rPr>
          <w:rFonts w:hint="eastAsia" w:ascii="宋体" w:hAnsi="宋体" w:cs="宋体"/>
          <w:szCs w:val="21"/>
        </w:rPr>
        <w:t xml:space="preserve">甲方</w:t>
      </w:r>
      <w:r>
        <w:rPr>
          <w:rFonts w:hint="eastAsia" w:ascii="宋体" w:hAnsi="宋体" w:cs="宋体"/>
          <w:szCs w:val="21"/>
          <w:lang w:val="zh-CN"/>
        </w:rPr>
        <w:t xml:space="preserve">指定地点。</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四、货物包装、发运及运输</w:t>
      </w:r>
      <w:r/>
    </w:p>
    <w:p>
      <w:pPr>
        <w:pStyle w:val="714"/>
        <w:ind w:firstLine="420"/>
        <w:spacing w:line="360" w:lineRule="auto"/>
        <w:rPr>
          <w:rFonts w:hint="eastAsia" w:ascii="宋体" w:hAnsi="宋体" w:cs="宋体"/>
          <w:szCs w:val="21"/>
        </w:rPr>
      </w:pPr>
      <w:r>
        <w:rPr>
          <w:rFonts w:hint="eastAsia" w:ascii="宋体" w:hAnsi="宋体" w:cs="宋体"/>
          <w:szCs w:val="21"/>
        </w:rPr>
        <w:t xml:space="preserve">4.1 乙方应在货物发运前根据运输距离、防潮、防震、防锈和防破损装卸等要求进行相应的包装，以保证货物安全运达甲方指定地点。</w:t>
      </w:r>
      <w:r/>
    </w:p>
    <w:p>
      <w:pPr>
        <w:pStyle w:val="714"/>
        <w:ind w:firstLine="420"/>
        <w:spacing w:line="360" w:lineRule="auto"/>
        <w:rPr>
          <w:rFonts w:hint="eastAsia" w:ascii="宋体" w:hAnsi="宋体" w:cs="宋体"/>
          <w:szCs w:val="21"/>
        </w:rPr>
      </w:pPr>
      <w:r>
        <w:rPr>
          <w:rFonts w:hint="eastAsia" w:ascii="宋体" w:hAnsi="宋体" w:cs="宋体"/>
          <w:szCs w:val="21"/>
        </w:rPr>
        <w:t xml:space="preserve">4.2 使用说明书、质量检验证明书、随配附件和工具以及清单一并附于货物内。</w:t>
      </w:r>
      <w:r/>
    </w:p>
    <w:p>
      <w:pPr>
        <w:pStyle w:val="714"/>
        <w:ind w:firstLine="420"/>
        <w:spacing w:line="360" w:lineRule="auto"/>
        <w:rPr>
          <w:rFonts w:hint="eastAsia" w:ascii="宋体" w:hAnsi="宋体" w:cs="宋体"/>
          <w:szCs w:val="21"/>
        </w:rPr>
      </w:pPr>
      <w:r>
        <w:rPr>
          <w:rFonts w:hint="eastAsia" w:ascii="宋体" w:hAnsi="宋体" w:cs="宋体"/>
          <w:szCs w:val="21"/>
        </w:rPr>
        <w:t xml:space="preserve">4.3 乙方在货物发运手续办理完毕后24小时内或货到甲方48小时前通知甲方，以准备接货。</w:t>
      </w:r>
      <w:r/>
    </w:p>
    <w:p>
      <w:pPr>
        <w:pStyle w:val="714"/>
        <w:ind w:firstLine="420"/>
        <w:spacing w:line="360" w:lineRule="auto"/>
        <w:rPr>
          <w:rFonts w:hint="eastAsia" w:ascii="宋体" w:hAnsi="宋体" w:cs="宋体"/>
          <w:szCs w:val="21"/>
        </w:rPr>
      </w:pPr>
      <w:r>
        <w:rPr>
          <w:rFonts w:hint="eastAsia" w:ascii="宋体" w:hAnsi="宋体" w:cs="宋体"/>
          <w:szCs w:val="21"/>
        </w:rPr>
        <w:t xml:space="preserve">4.4 货物在交付甲方前发生的风险均由乙方负责。</w:t>
      </w:r>
      <w:r/>
    </w:p>
    <w:p>
      <w:pPr>
        <w:pStyle w:val="714"/>
        <w:ind w:firstLine="422"/>
        <w:spacing w:line="360" w:lineRule="auto"/>
        <w:rPr>
          <w:rFonts w:hint="eastAsia" w:ascii="宋体" w:hAnsi="宋体" w:cs="宋体"/>
          <w:szCs w:val="21"/>
        </w:rPr>
      </w:pPr>
      <w:r>
        <w:rPr>
          <w:rFonts w:hint="eastAsia" w:ascii="宋体" w:hAnsi="宋体" w:cs="宋体"/>
          <w:b/>
          <w:szCs w:val="21"/>
        </w:rPr>
        <w:t xml:space="preserve">五、质量保证及售后服务</w:t>
      </w:r>
      <w:r/>
    </w:p>
    <w:p>
      <w:pPr>
        <w:pStyle w:val="714"/>
        <w:ind w:firstLine="420"/>
        <w:spacing w:line="360" w:lineRule="auto"/>
        <w:rPr>
          <w:rFonts w:hint="eastAsia" w:ascii="宋体" w:hAnsi="宋体" w:cs="宋体"/>
          <w:szCs w:val="21"/>
        </w:rPr>
      </w:pPr>
      <w:r>
        <w:rPr>
          <w:rFonts w:hint="eastAsia" w:ascii="宋体" w:hAnsi="宋体" w:cs="宋体"/>
          <w:szCs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714"/>
        <w:ind w:firstLine="420"/>
        <w:spacing w:line="360" w:lineRule="auto"/>
        <w:rPr>
          <w:rFonts w:hint="eastAsia" w:ascii="宋体" w:hAnsi="宋体" w:cs="宋体"/>
          <w:szCs w:val="21"/>
        </w:rPr>
      </w:pPr>
      <w:r>
        <w:rPr>
          <w:rFonts w:hint="eastAsia" w:ascii="宋体" w:hAnsi="宋体" w:cs="宋体"/>
          <w:szCs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714"/>
        <w:ind w:firstLine="420"/>
        <w:spacing w:line="360" w:lineRule="auto"/>
        <w:rPr>
          <w:rFonts w:hint="eastAsia" w:ascii="宋体" w:hAnsi="宋体" w:cs="宋体"/>
          <w:szCs w:val="21"/>
        </w:rPr>
      </w:pPr>
      <w:r>
        <w:rPr>
          <w:rFonts w:hint="eastAsia" w:ascii="宋体" w:hAnsi="宋体" w:cs="宋体"/>
          <w:szCs w:val="21"/>
        </w:rPr>
        <w:t xml:space="preserve">5.3上述货物的质保期</w:t>
      </w:r>
      <w:r>
        <w:rPr>
          <w:rFonts w:hint="eastAsia" w:ascii="宋体" w:hAnsi="宋体" w:cs="宋体"/>
          <w:szCs w:val="21"/>
          <w:u w:val="single"/>
        </w:rPr>
        <w:t xml:space="preserve">     </w:t>
      </w:r>
      <w:r>
        <w:rPr>
          <w:rFonts w:hint="eastAsia" w:ascii="宋体" w:hAnsi="宋体" w:cs="宋体"/>
          <w:szCs w:val="21"/>
        </w:rPr>
        <w:t xml:space="preserve">年。（自交货验收合格次日起计算），因人为因素出现的故障不在免费保修范围内。</w:t>
      </w:r>
      <w:r/>
    </w:p>
    <w:p>
      <w:pPr>
        <w:pStyle w:val="714"/>
        <w:ind w:firstLine="420"/>
        <w:spacing w:line="360" w:lineRule="auto"/>
        <w:rPr>
          <w:rFonts w:hint="eastAsia" w:ascii="宋体" w:hAnsi="宋体" w:cs="宋体"/>
          <w:szCs w:val="21"/>
        </w:rPr>
      </w:pPr>
      <w:r>
        <w:rPr>
          <w:rFonts w:hint="eastAsia" w:ascii="宋体" w:hAnsi="宋体" w:cs="宋体"/>
          <w:szCs w:val="21"/>
        </w:rPr>
        <w:t xml:space="preserve">5.4在质保期内，如在使用过程中发生质量问题，乙方在接到甲方通知后在_____小时内响应，并在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714"/>
        <w:ind w:firstLine="420"/>
        <w:spacing w:line="360" w:lineRule="auto"/>
        <w:rPr>
          <w:rFonts w:hint="eastAsia" w:ascii="宋体" w:hAnsi="宋体" w:cs="宋体"/>
          <w:szCs w:val="21"/>
        </w:rPr>
      </w:pPr>
      <w:r>
        <w:rPr>
          <w:rFonts w:hint="eastAsia" w:ascii="宋体" w:hAnsi="宋体" w:cs="宋体"/>
          <w:szCs w:val="21"/>
        </w:rPr>
        <w:t xml:space="preserve">5.5 在质保期内，乙方应对货物出现的质量及安全问题负责处理解决并承担一切费用。</w:t>
      </w:r>
      <w:r/>
    </w:p>
    <w:p>
      <w:pPr>
        <w:pStyle w:val="714"/>
        <w:ind w:firstLine="420"/>
        <w:spacing w:line="360" w:lineRule="auto"/>
        <w:rPr>
          <w:rFonts w:hint="eastAsia" w:ascii="宋体" w:hAnsi="宋体" w:cs="宋体"/>
          <w:szCs w:val="21"/>
        </w:rPr>
      </w:pPr>
      <w:r>
        <w:rPr>
          <w:rFonts w:hint="eastAsia" w:ascii="宋体" w:hAnsi="宋体" w:cs="宋体"/>
          <w:szCs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六、调试和验收</w:t>
      </w:r>
      <w:r/>
    </w:p>
    <w:p>
      <w:pPr>
        <w:pStyle w:val="714"/>
        <w:ind w:firstLine="420"/>
        <w:spacing w:line="360" w:lineRule="auto"/>
        <w:rPr>
          <w:rFonts w:hint="eastAsia" w:ascii="宋体" w:hAnsi="宋体" w:cs="宋体"/>
          <w:szCs w:val="21"/>
        </w:rPr>
      </w:pPr>
      <w:r>
        <w:rPr>
          <w:rFonts w:hint="eastAsia" w:ascii="宋体" w:hAnsi="宋体" w:cs="宋体"/>
          <w:szCs w:val="21"/>
        </w:rPr>
        <w:t xml:space="preserve">6.1 乙方交货前应对货物全面检查并对验收文件进行整理，列出清单提交甲方，检验的结果亦应随货物交甲方。</w:t>
      </w:r>
      <w:r/>
    </w:p>
    <w:p>
      <w:pPr>
        <w:pStyle w:val="714"/>
        <w:ind w:firstLine="420"/>
        <w:spacing w:line="360" w:lineRule="auto"/>
        <w:rPr>
          <w:rFonts w:hint="eastAsia" w:ascii="宋体" w:hAnsi="宋体" w:cs="宋体"/>
          <w:szCs w:val="21"/>
          <w:u w:val="single"/>
        </w:rPr>
      </w:pPr>
      <w:r>
        <w:rPr>
          <w:rFonts w:hint="eastAsia" w:ascii="宋体" w:hAnsi="宋体" w:cs="宋体"/>
          <w:szCs w:val="21"/>
        </w:rPr>
        <w:t xml:space="preserve">6.2 甲方对乙方提供的货物在使用前进行调试时，乙方需负责安装并培训甲方的使用操作人员，并协助甲方一起调试，直到符合技术要求。</w:t>
      </w:r>
      <w:r/>
    </w:p>
    <w:p>
      <w:pPr>
        <w:pStyle w:val="714"/>
        <w:ind w:firstLine="420"/>
        <w:spacing w:line="360" w:lineRule="auto"/>
        <w:rPr>
          <w:rFonts w:hint="eastAsia" w:ascii="宋体" w:hAnsi="宋体" w:cs="宋体"/>
          <w:szCs w:val="21"/>
        </w:rPr>
      </w:pPr>
      <w:r>
        <w:rPr>
          <w:rFonts w:hint="eastAsia" w:ascii="宋体" w:hAnsi="宋体" w:cs="宋体"/>
          <w:szCs w:val="21"/>
        </w:rPr>
        <w:t xml:space="preserve">6.3 在安装、调试和验收过程中，如发现有漏件、缺件，乙方应无条件、无偿补齐，所发生的一切费用，视为已包含在投标时的投标报价中，且并不因此而影响交付甲方使用的时间。</w:t>
      </w:r>
      <w:r/>
    </w:p>
    <w:p>
      <w:pPr>
        <w:pStyle w:val="714"/>
        <w:ind w:firstLine="420"/>
        <w:spacing w:line="360" w:lineRule="auto"/>
        <w:rPr>
          <w:rFonts w:hint="eastAsia" w:ascii="宋体" w:hAnsi="宋体" w:cs="宋体"/>
          <w:szCs w:val="21"/>
        </w:rPr>
      </w:pPr>
      <w:r>
        <w:rPr>
          <w:rFonts w:hint="eastAsia" w:ascii="宋体" w:hAnsi="宋体" w:cs="宋体"/>
          <w:szCs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714"/>
        <w:ind w:firstLine="420"/>
        <w:spacing w:line="360" w:lineRule="auto"/>
        <w:rPr>
          <w:rFonts w:hint="eastAsia" w:ascii="宋体" w:hAnsi="宋体" w:cs="宋体"/>
          <w:szCs w:val="21"/>
        </w:rPr>
      </w:pPr>
      <w:r>
        <w:rPr>
          <w:rFonts w:hint="eastAsia" w:ascii="宋体" w:hAnsi="宋体" w:cs="宋体"/>
          <w:szCs w:val="21"/>
        </w:rPr>
        <w:t xml:space="preserve">6.5 设备、材料安装、调试结束，甲、乙双方派员共同验收，达到验收标准则验收合格。验收完毕后出具验收结果报告并经双方签字确认；验收相关费用由乙方承担。</w:t>
      </w:r>
      <w:r/>
    </w:p>
    <w:p>
      <w:pPr>
        <w:pStyle w:val="714"/>
        <w:ind w:firstLine="420"/>
        <w:spacing w:line="360" w:lineRule="auto"/>
        <w:rPr>
          <w:rFonts w:hint="eastAsia" w:ascii="宋体" w:hAnsi="宋体" w:cs="宋体"/>
          <w:szCs w:val="21"/>
        </w:rPr>
      </w:pPr>
      <w:r>
        <w:rPr>
          <w:rFonts w:hint="eastAsia" w:ascii="宋体" w:hAnsi="宋体" w:cs="宋体"/>
          <w:szCs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七、技术资料</w:t>
      </w:r>
      <w:r/>
    </w:p>
    <w:p>
      <w:pPr>
        <w:pStyle w:val="714"/>
        <w:ind w:firstLine="420"/>
        <w:spacing w:line="360" w:lineRule="auto"/>
        <w:rPr>
          <w:rFonts w:hint="eastAsia" w:ascii="宋体" w:hAnsi="宋体" w:cs="宋体"/>
          <w:b/>
          <w:szCs w:val="21"/>
        </w:rPr>
      </w:pPr>
      <w:r>
        <w:rPr>
          <w:rFonts w:hint="eastAsia" w:ascii="宋体" w:hAnsi="宋体" w:cs="宋体"/>
          <w:szCs w:val="21"/>
        </w:rPr>
        <w:t xml:space="preserve">7.1乙方应按招标文件规定的时间向甲方提供使用货物的有关技术资料。</w:t>
      </w:r>
      <w:r/>
    </w:p>
    <w:p>
      <w:pPr>
        <w:pStyle w:val="714"/>
        <w:ind w:firstLine="420"/>
        <w:spacing w:line="360" w:lineRule="auto"/>
        <w:rPr>
          <w:rFonts w:hint="eastAsia" w:ascii="宋体" w:hAnsi="宋体" w:cs="宋体"/>
          <w:szCs w:val="21"/>
        </w:rPr>
      </w:pPr>
      <w:r>
        <w:rPr>
          <w:rFonts w:hint="eastAsia" w:ascii="宋体" w:hAnsi="宋体" w:cs="宋体"/>
          <w:szCs w:val="21"/>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八、知识产权</w:t>
      </w:r>
      <w:r/>
    </w:p>
    <w:p>
      <w:pPr>
        <w:ind w:firstLine="420"/>
        <w:spacing w:line="360" w:lineRule="auto"/>
        <w:rPr>
          <w:rFonts w:hint="eastAsia" w:ascii="宋体" w:hAnsi="宋体" w:cs="宋体"/>
          <w:szCs w:val="21"/>
        </w:rPr>
      </w:pPr>
      <w:r>
        <w:rPr>
          <w:rFonts w:hint="eastAsia" w:ascii="宋体" w:hAnsi="宋体" w:cs="宋体"/>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九、违约责任</w:t>
      </w:r>
      <w:r/>
    </w:p>
    <w:p>
      <w:pPr>
        <w:pStyle w:val="714"/>
        <w:ind w:firstLine="420"/>
        <w:spacing w:line="360" w:lineRule="auto"/>
        <w:rPr>
          <w:rFonts w:hint="eastAsia" w:ascii="宋体" w:hAnsi="宋体" w:cs="宋体"/>
          <w:szCs w:val="21"/>
        </w:rPr>
      </w:pPr>
      <w:r>
        <w:rPr>
          <w:rFonts w:hint="eastAsia" w:ascii="宋体" w:hAnsi="宋体" w:cs="宋体"/>
          <w:szCs w:val="21"/>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714"/>
        <w:ind w:firstLine="420"/>
        <w:spacing w:line="360" w:lineRule="auto"/>
        <w:rPr>
          <w:rFonts w:hint="eastAsia" w:ascii="宋体" w:hAnsi="宋体" w:cs="宋体"/>
          <w:szCs w:val="21"/>
        </w:rPr>
      </w:pPr>
      <w:r>
        <w:rPr>
          <w:rFonts w:hint="eastAsia" w:ascii="宋体" w:hAnsi="宋体" w:cs="宋体"/>
          <w:szCs w:val="21"/>
        </w:rPr>
        <w:t xml:space="preserve">9.2 乙方履约的前提下，甲方无故迟延支付货款的,甲方应按逾期付款总额每日万分之五向乙方支付违约金。</w:t>
      </w:r>
      <w:r/>
    </w:p>
    <w:p>
      <w:pPr>
        <w:pStyle w:val="714"/>
        <w:ind w:firstLine="420"/>
        <w:spacing w:line="360" w:lineRule="auto"/>
        <w:rPr>
          <w:rFonts w:hint="eastAsia" w:ascii="宋体" w:hAnsi="宋体" w:cs="宋体"/>
          <w:szCs w:val="21"/>
        </w:rPr>
      </w:pPr>
      <w:r>
        <w:rPr>
          <w:rFonts w:hint="eastAsia" w:ascii="宋体" w:hAnsi="宋体" w:cs="宋体"/>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714"/>
        <w:ind w:firstLine="420"/>
        <w:spacing w:line="360" w:lineRule="auto"/>
        <w:rPr>
          <w:rFonts w:hint="eastAsia" w:ascii="宋体" w:hAnsi="宋体" w:cs="宋体"/>
          <w:szCs w:val="21"/>
        </w:rPr>
      </w:pPr>
      <w:r>
        <w:rPr>
          <w:rFonts w:hint="eastAsia" w:ascii="宋体" w:hAnsi="宋体" w:cs="宋体"/>
          <w:szCs w:val="21"/>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714"/>
        <w:ind w:firstLine="420"/>
        <w:spacing w:line="360" w:lineRule="auto"/>
        <w:rPr>
          <w:rFonts w:hint="eastAsia" w:ascii="宋体" w:hAnsi="宋体" w:cs="宋体"/>
          <w:szCs w:val="21"/>
        </w:rPr>
      </w:pPr>
      <w:r>
        <w:rPr>
          <w:rFonts w:hint="eastAsia" w:ascii="宋体" w:hAnsi="宋体" w:cs="宋体"/>
          <w:szCs w:val="21"/>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14"/>
        <w:ind w:firstLine="420"/>
        <w:spacing w:line="360" w:lineRule="auto"/>
        <w:rPr>
          <w:rFonts w:hint="eastAsia" w:ascii="宋体" w:hAnsi="宋体" w:cs="宋体"/>
          <w:szCs w:val="21"/>
        </w:rPr>
      </w:pPr>
      <w:r>
        <w:rPr>
          <w:rFonts w:hint="eastAsia" w:ascii="宋体" w:hAnsi="宋体" w:cs="宋体"/>
          <w:szCs w:val="21"/>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714"/>
        <w:ind w:firstLine="420"/>
        <w:spacing w:line="360" w:lineRule="auto"/>
        <w:rPr>
          <w:rFonts w:hint="eastAsia" w:ascii="宋体" w:hAnsi="宋体" w:cs="宋体"/>
          <w:szCs w:val="21"/>
        </w:rPr>
      </w:pPr>
      <w:r>
        <w:rPr>
          <w:rFonts w:hint="eastAsia" w:ascii="宋体" w:hAnsi="宋体" w:cs="宋体"/>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714"/>
        <w:ind w:firstLine="420"/>
        <w:spacing w:line="360" w:lineRule="auto"/>
        <w:rPr>
          <w:rFonts w:hint="eastAsia" w:ascii="宋体" w:hAnsi="宋体" w:cs="宋体"/>
          <w:szCs w:val="21"/>
        </w:rPr>
      </w:pPr>
      <w:r>
        <w:rPr>
          <w:rFonts w:hint="eastAsia" w:ascii="宋体" w:hAnsi="宋体" w:cs="宋体"/>
          <w:szCs w:val="21"/>
        </w:rPr>
        <w:t xml:space="preserve">9.8 乙方履行义务不符合合同约定时，甲方有权扣减总货款的10%作为违约金。</w:t>
      </w:r>
      <w:r/>
    </w:p>
    <w:p>
      <w:pPr>
        <w:pStyle w:val="714"/>
        <w:ind w:firstLine="420"/>
        <w:spacing w:line="360" w:lineRule="auto"/>
        <w:rPr>
          <w:rFonts w:hint="eastAsia" w:ascii="宋体" w:hAnsi="宋体" w:cs="宋体"/>
          <w:szCs w:val="21"/>
        </w:rPr>
      </w:pPr>
      <w:r>
        <w:rPr>
          <w:rFonts w:hint="eastAsia" w:ascii="宋体" w:hAnsi="宋体" w:cs="宋体"/>
          <w:szCs w:val="21"/>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十、不可抗力事件处理</w:t>
      </w:r>
      <w:r/>
    </w:p>
    <w:p>
      <w:pPr>
        <w:pStyle w:val="714"/>
        <w:ind w:firstLine="420"/>
        <w:spacing w:line="360" w:lineRule="auto"/>
        <w:rPr>
          <w:rFonts w:hint="eastAsia" w:ascii="宋体" w:hAnsi="宋体" w:cs="宋体"/>
          <w:szCs w:val="21"/>
        </w:rPr>
      </w:pPr>
      <w:r>
        <w:rPr>
          <w:rFonts w:hint="eastAsia" w:ascii="宋体" w:hAnsi="宋体" w:cs="宋体"/>
          <w:szCs w:val="21"/>
        </w:rPr>
        <w:t xml:space="preserve">10.1 在合同有效期内，任何一方因不可抗力事件导致不能履行合同，则合同履行期可延长，其延长期与不可抗力影响期相同。</w:t>
      </w:r>
      <w:r/>
    </w:p>
    <w:p>
      <w:pPr>
        <w:pStyle w:val="714"/>
        <w:ind w:firstLine="420"/>
        <w:spacing w:line="360" w:lineRule="auto"/>
        <w:rPr>
          <w:rFonts w:hint="eastAsia" w:ascii="宋体" w:hAnsi="宋体" w:cs="宋体"/>
          <w:szCs w:val="21"/>
        </w:rPr>
      </w:pPr>
      <w:r>
        <w:rPr>
          <w:rFonts w:hint="eastAsia" w:ascii="宋体" w:hAnsi="宋体" w:cs="宋体"/>
          <w:szCs w:val="21"/>
        </w:rPr>
        <w:t xml:space="preserve">10.2 不可抗力事件发生后，应立即通知对方，并寄送有关权威机构出具的证明。</w:t>
      </w:r>
      <w:r/>
    </w:p>
    <w:p>
      <w:pPr>
        <w:pStyle w:val="714"/>
        <w:ind w:firstLine="420"/>
        <w:spacing w:line="360" w:lineRule="auto"/>
        <w:rPr>
          <w:rFonts w:hint="eastAsia" w:ascii="宋体" w:hAnsi="宋体" w:cs="宋体"/>
          <w:szCs w:val="21"/>
        </w:rPr>
      </w:pPr>
      <w:r>
        <w:rPr>
          <w:rFonts w:hint="eastAsia" w:ascii="宋体" w:hAnsi="宋体" w:cs="宋体"/>
          <w:szCs w:val="21"/>
        </w:rPr>
        <w:t xml:space="preserve">10.3 不可抗力事件延续30天以上，双方应通过友好协商，确定是否继续履行合同。</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十一、诉讼</w:t>
      </w:r>
      <w:r/>
    </w:p>
    <w:p>
      <w:pPr>
        <w:pStyle w:val="714"/>
        <w:ind w:firstLine="420"/>
        <w:spacing w:line="360" w:lineRule="auto"/>
        <w:rPr>
          <w:rFonts w:hint="eastAsia" w:ascii="宋体" w:hAnsi="宋体" w:cs="宋体"/>
          <w:szCs w:val="21"/>
        </w:rPr>
      </w:pPr>
      <w:r>
        <w:rPr>
          <w:rFonts w:hint="eastAsia" w:ascii="宋体" w:hAnsi="宋体" w:cs="宋体"/>
          <w:szCs w:val="21"/>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十二、合同生效及其它</w:t>
      </w:r>
      <w:r/>
    </w:p>
    <w:p>
      <w:pPr>
        <w:pStyle w:val="714"/>
        <w:ind w:firstLine="420"/>
        <w:spacing w:line="360" w:lineRule="auto"/>
        <w:rPr>
          <w:rFonts w:hint="eastAsia" w:ascii="宋体" w:hAnsi="宋体" w:cs="宋体"/>
          <w:szCs w:val="21"/>
        </w:rPr>
      </w:pPr>
      <w:r>
        <w:rPr>
          <w:rFonts w:hint="eastAsia" w:ascii="宋体" w:hAnsi="宋体" w:cs="宋体"/>
          <w:szCs w:val="21"/>
        </w:rPr>
        <w:t xml:space="preserve">12.1招投标文件、中标通知书作为合同的附件，与本合同具有同等法律效力。合同经双方法定代表人或授权委托代表人签字、盖章后生效。</w:t>
      </w:r>
      <w:r/>
    </w:p>
    <w:p>
      <w:pPr>
        <w:pStyle w:val="714"/>
        <w:ind w:firstLine="420"/>
        <w:spacing w:line="360" w:lineRule="auto"/>
        <w:rPr>
          <w:rFonts w:hint="eastAsia" w:ascii="宋体" w:hAnsi="宋体" w:cs="宋体"/>
          <w:szCs w:val="21"/>
        </w:rPr>
      </w:pPr>
      <w:r>
        <w:rPr>
          <w:rFonts w:hint="eastAsia" w:ascii="宋体" w:hAnsi="宋体" w:cs="宋体"/>
          <w:szCs w:val="21"/>
        </w:rPr>
        <w:t xml:space="preserve">12.2本合同未尽事宜，遵照《中华人民共和国民法典》有关条文执行。</w:t>
      </w:r>
      <w:r/>
    </w:p>
    <w:p>
      <w:pPr>
        <w:pStyle w:val="714"/>
        <w:ind w:firstLine="420"/>
        <w:spacing w:line="360" w:lineRule="auto"/>
        <w:rPr>
          <w:rFonts w:hint="eastAsia" w:ascii="宋体" w:hAnsi="宋体" w:cs="宋体"/>
          <w:szCs w:val="21"/>
        </w:rPr>
      </w:pPr>
      <w:r>
        <w:rPr>
          <w:rFonts w:hint="eastAsia" w:ascii="宋体" w:hAnsi="宋体" w:cs="宋体"/>
          <w:szCs w:val="21"/>
        </w:rPr>
        <w:t xml:space="preserve">12.3 本合同正本一式</w:t>
      </w:r>
      <w:r>
        <w:rPr>
          <w:rFonts w:hint="eastAsia" w:ascii="宋体" w:hAnsi="宋体" w:cs="宋体"/>
          <w:szCs w:val="21"/>
          <w:u w:val="single"/>
        </w:rPr>
        <w:t xml:space="preserve">     </w:t>
      </w:r>
      <w:r>
        <w:rPr>
          <w:rFonts w:hint="eastAsia" w:ascii="宋体" w:hAnsi="宋体" w:cs="宋体"/>
          <w:szCs w:val="21"/>
        </w:rPr>
        <w:t xml:space="preserve">份，甲方</w:t>
      </w:r>
      <w:r>
        <w:rPr>
          <w:rFonts w:hint="eastAsia" w:ascii="宋体" w:hAnsi="宋体" w:cs="宋体"/>
          <w:szCs w:val="21"/>
          <w:u w:val="single"/>
        </w:rPr>
        <w:t xml:space="preserve">     </w:t>
      </w:r>
      <w:r>
        <w:rPr>
          <w:rFonts w:hint="eastAsia" w:ascii="宋体" w:hAnsi="宋体" w:cs="宋体"/>
          <w:szCs w:val="21"/>
        </w:rPr>
        <w:t xml:space="preserve">份，乙方</w:t>
      </w:r>
      <w:r>
        <w:rPr>
          <w:rFonts w:hint="eastAsia" w:ascii="宋体" w:hAnsi="宋体" w:cs="宋体"/>
          <w:szCs w:val="21"/>
          <w:u w:val="single"/>
        </w:rPr>
        <w:t xml:space="preserve">    </w:t>
      </w:r>
      <w:r>
        <w:rPr>
          <w:rFonts w:hint="eastAsia" w:ascii="宋体" w:hAnsi="宋体" w:cs="宋体"/>
          <w:szCs w:val="21"/>
        </w:rPr>
        <w:t xml:space="preserve">份，具有同等法律效力。</w:t>
      </w:r>
      <w:r/>
    </w:p>
    <w:p>
      <w:pPr>
        <w:pStyle w:val="714"/>
        <w:ind w:firstLine="420"/>
        <w:spacing w:line="360" w:lineRule="auto"/>
        <w:rPr>
          <w:rFonts w:hint="eastAsia" w:ascii="宋体" w:hAnsi="宋体" w:cs="宋体"/>
          <w:szCs w:val="21"/>
        </w:rPr>
      </w:pPr>
      <w:r>
        <w:rPr>
          <w:rFonts w:hint="eastAsia" w:ascii="宋体" w:hAnsi="宋体" w:cs="宋体"/>
          <w:szCs w:val="21"/>
        </w:rPr>
        <w:t xml:space="preserve">12.4 其他：</w:t>
      </w:r>
      <w:r>
        <w:rPr>
          <w:rFonts w:hint="eastAsia" w:ascii="宋体" w:hAnsi="宋体" w:cs="宋体"/>
          <w:szCs w:val="21"/>
          <w:u w:val="single"/>
        </w:rPr>
        <w:t xml:space="preserve">                         </w:t>
      </w:r>
      <w:r>
        <w:rPr>
          <w:rFonts w:hint="eastAsia" w:ascii="宋体" w:hAnsi="宋体" w:cs="宋体"/>
          <w:szCs w:val="21"/>
        </w:rPr>
        <w:t xml:space="preserve">。 </w:t>
      </w:r>
      <w:r/>
    </w:p>
    <w:p>
      <w:pPr>
        <w:pStyle w:val="714"/>
        <w:ind w:firstLine="420"/>
        <w:spacing w:line="360" w:lineRule="auto"/>
        <w:rPr>
          <w:rFonts w:hint="eastAsia" w:ascii="宋体" w:hAnsi="宋体" w:cs="宋体"/>
          <w:szCs w:val="21"/>
        </w:rPr>
      </w:pPr>
      <w:r>
        <w:rPr>
          <w:rFonts w:hint="eastAsia" w:ascii="宋体" w:hAnsi="宋体" w:cs="宋体"/>
          <w:szCs w:val="21"/>
        </w:rPr>
        <w:t xml:space="preserve">（以下无正文，为签字盖章处）</w:t>
      </w:r>
      <w:r/>
    </w:p>
    <w:p>
      <w:pPr>
        <w:pStyle w:val="714"/>
        <w:ind w:firstLine="420"/>
        <w:spacing w:before="120" w:after="120"/>
        <w:rPr>
          <w:rFonts w:hint="eastAsia" w:ascii="宋体" w:hAnsi="宋体" w:cs="宋体"/>
          <w:szCs w:val="21"/>
        </w:rPr>
      </w:pPr>
      <w:r>
        <w:rPr>
          <w:rFonts w:hint="eastAsia" w:ascii="宋体" w:hAnsi="宋体" w:cs="宋体"/>
          <w:szCs w:val="21"/>
        </w:rPr>
        <w:t xml:space="preserve">   </w:t>
      </w:r>
      <w:r/>
    </w:p>
    <w:p>
      <w:pPr>
        <w:pStyle w:val="714"/>
        <w:spacing w:before="120" w:after="120" w:line="240" w:lineRule="atLeast"/>
        <w:rPr>
          <w:rFonts w:hint="eastAsia" w:ascii="宋体" w:hAnsi="宋体" w:cs="宋体"/>
          <w:szCs w:val="21"/>
        </w:rPr>
      </w:pPr>
      <w:r>
        <w:rPr>
          <w:rFonts w:hint="eastAsia" w:ascii="宋体" w:hAnsi="宋体" w:cs="宋体"/>
          <w:szCs w:val="21"/>
        </w:rPr>
      </w:r>
      <w:r/>
    </w:p>
    <w:p>
      <w:pPr>
        <w:pStyle w:val="714"/>
        <w:spacing w:before="120" w:after="120" w:line="300" w:lineRule="auto"/>
        <w:rPr>
          <w:rFonts w:hint="eastAsia" w:ascii="宋体" w:hAnsi="宋体" w:cs="宋体"/>
          <w:szCs w:val="21"/>
        </w:rPr>
      </w:pPr>
      <w:r>
        <w:rPr>
          <w:rFonts w:hint="eastAsia" w:ascii="宋体" w:hAnsi="宋体" w:cs="宋体"/>
          <w:szCs w:val="21"/>
        </w:rPr>
        <w:t xml:space="preserve">甲方： 南京工业职业技术大学（盖章）        乙方：（盖章）</w:t>
      </w:r>
      <w:r/>
    </w:p>
    <w:p>
      <w:pPr>
        <w:pStyle w:val="714"/>
        <w:spacing w:before="120" w:after="120" w:line="300" w:lineRule="auto"/>
        <w:rPr>
          <w:rFonts w:hint="eastAsia" w:ascii="宋体" w:hAnsi="宋体" w:cs="宋体"/>
          <w:szCs w:val="21"/>
        </w:rPr>
      </w:pPr>
      <w:r>
        <w:rPr>
          <w:rFonts w:hint="eastAsia" w:ascii="宋体" w:hAnsi="宋体" w:cs="宋体"/>
          <w:szCs w:val="21"/>
        </w:rPr>
        <w:t xml:space="preserve">地址：南京市栖霞区仙林大学城羊山北路1号   地址： </w:t>
      </w:r>
      <w:r/>
    </w:p>
    <w:p>
      <w:pPr>
        <w:pStyle w:val="714"/>
        <w:spacing w:before="120" w:after="120" w:line="300" w:lineRule="auto"/>
        <w:rPr>
          <w:rFonts w:hint="eastAsia" w:ascii="宋体" w:hAnsi="宋体" w:cs="宋体"/>
          <w:szCs w:val="21"/>
        </w:rPr>
      </w:pPr>
      <w:r>
        <w:rPr>
          <w:rFonts w:hint="eastAsia" w:ascii="宋体" w:hAnsi="宋体" w:cs="宋体"/>
          <w:szCs w:val="21"/>
        </w:rPr>
        <w:t xml:space="preserve">法定代表人/授权代表：（签字）              法定代表人/授权代表：（签字）</w:t>
      </w:r>
      <w:r/>
    </w:p>
    <w:p>
      <w:pPr>
        <w:pStyle w:val="714"/>
        <w:spacing w:before="120" w:after="120" w:line="300" w:lineRule="auto"/>
        <w:rPr>
          <w:rFonts w:hint="eastAsia" w:ascii="宋体" w:hAnsi="宋体" w:cs="宋体"/>
          <w:szCs w:val="21"/>
        </w:rPr>
      </w:pPr>
      <w:r>
        <w:rPr>
          <w:rFonts w:hint="eastAsia" w:ascii="宋体" w:hAnsi="宋体" w:cs="宋体"/>
          <w:szCs w:val="21"/>
        </w:rPr>
        <w:t xml:space="preserve">签订日期：   年    月    日                签订日期：   年    月    日</w:t>
      </w:r>
      <w:r/>
    </w:p>
    <w:p>
      <w:pPr>
        <w:pStyle w:val="714"/>
        <w:spacing w:before="120" w:after="120" w:line="30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附件1：</w:t>
      </w:r>
      <w:r>
        <w:rPr>
          <w:rFonts w:hint="eastAsia" w:ascii="宋体" w:hAnsi="宋体" w:cs="宋体"/>
          <w:szCs w:val="21"/>
          <w:lang w:val="zh-CN"/>
        </w:rPr>
        <w:t xml:space="preserve">分项报价表</w:t>
      </w:r>
      <w:r/>
    </w:p>
    <w:tbl>
      <w:tblPr>
        <w:tblStyle w:val="699"/>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78"/>
        <w:gridCol w:w="953"/>
        <w:gridCol w:w="887"/>
        <w:gridCol w:w="758"/>
        <w:gridCol w:w="968"/>
        <w:gridCol w:w="935"/>
        <w:gridCol w:w="1178"/>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rPr>
                <w:rFonts w:hint="eastAsia" w:ascii="宋体" w:hAnsi="宋体" w:cs="宋体"/>
              </w:rPr>
            </w:pPr>
            <w:r>
              <w:rPr>
                <w:rFonts w:hint="eastAsia" w:ascii="宋体" w:hAnsi="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hint="eastAsia" w:ascii="宋体" w:hAnsi="宋体" w:cs="宋体"/>
                <w:highlight w:val="green"/>
              </w:rPr>
            </w:pPr>
            <w:r>
              <w:rPr>
                <w:rFonts w:hint="eastAsia" w:ascii="宋体" w:hAnsi="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cs="宋体"/>
              </w:rPr>
            </w:pPr>
            <w:r>
              <w:rPr>
                <w:rFonts w:hint="eastAsia" w:ascii="宋体" w:hAnsi="宋体" w:cs="宋体"/>
              </w:rPr>
              <w:t xml:space="preserve">单位</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rPr>
                <w:rFonts w:hint="eastAsia" w:ascii="宋体" w:hAnsi="宋体" w:cs="宋体"/>
              </w:rPr>
            </w:pPr>
            <w:r>
              <w:rPr>
                <w:rFonts w:hint="eastAsia" w:ascii="宋体" w:hAnsi="宋体" w:cs="宋体"/>
              </w:rPr>
              <w:t xml:space="preserve">品牌</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rPr>
                <w:rFonts w:hint="eastAsia" w:ascii="宋体" w:hAnsi="宋体" w:cs="宋体"/>
              </w:rPr>
            </w:pPr>
            <w:r>
              <w:rPr>
                <w:rFonts w:hint="eastAsia" w:ascii="宋体" w:hAnsi="宋体" w:cs="宋体"/>
              </w:rPr>
              <w:t xml:space="preserve">规格型号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int="eastAsia" w:ascii="宋体" w:hAnsi="宋体" w:cs="宋体"/>
              </w:rPr>
            </w:pPr>
            <w:r>
              <w:rPr>
                <w:rFonts w:hint="eastAsia" w:ascii="宋体" w:hAnsi="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hint="eastAsia" w:ascii="宋体" w:hAnsi="宋体" w:cs="宋体"/>
              </w:rPr>
            </w:pPr>
            <w:r>
              <w:rPr>
                <w:rFonts w:hint="eastAsia" w:ascii="宋体" w:hAnsi="宋体" w:cs="宋体"/>
              </w:rPr>
              <w:t xml:space="preserve">单价</w:t>
            </w:r>
            <w:r/>
          </w:p>
          <w:p>
            <w:pPr>
              <w:jc w:val="center"/>
              <w:rPr>
                <w:rFonts w:hint="eastAsia" w:ascii="宋体" w:hAnsi="宋体" w:cs="宋体"/>
              </w:rPr>
            </w:pPr>
            <w:r>
              <w:rPr>
                <w:rFonts w:hint="eastAsia" w:ascii="宋体" w:hAnsi="宋体" w:cs="宋体"/>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rPr>
            </w:pPr>
            <w:r>
              <w:rPr>
                <w:rFonts w:hint="eastAsia" w:ascii="宋体" w:hAnsi="宋体" w:cs="宋体"/>
              </w:rPr>
              <w:t xml:space="preserve">总价</w:t>
            </w:r>
            <w:r/>
          </w:p>
          <w:p>
            <w:pPr>
              <w:jc w:val="center"/>
              <w:rPr>
                <w:rFonts w:hint="eastAsia" w:ascii="宋体" w:hAnsi="宋体" w:cs="宋体"/>
              </w:rPr>
            </w:pPr>
            <w:r>
              <w:rPr>
                <w:rFonts w:hint="eastAsia" w:ascii="宋体" w:hAnsi="宋体" w:cs="宋体"/>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383" w:type="dxa"/>
            <w:vAlign w:val="center"/>
            <w:textDirection w:val="lrTb"/>
            <w:noWrap w:val="false"/>
          </w:tcPr>
          <w:p>
            <w:pPr>
              <w:jc w:val="center"/>
              <w:rPr>
                <w:rFonts w:hint="eastAsia" w:ascii="宋体" w:hAnsi="宋体" w:cs="宋体"/>
                <w:highlight w:val="green"/>
              </w:rPr>
            </w:pPr>
            <w:r>
              <w:rPr>
                <w:rFonts w:hint="eastAsia" w:ascii="宋体" w:hAnsi="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附件2：货物配置清单</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Cs w:val="21"/>
        </w:rPr>
        <w:t xml:space="preserve">附件3：投标响应时的具体项目方案（包括但不限于①实施方案、②验收方案、③售后服务承诺方案、④培训方案等。）</w:t>
      </w:r>
      <w:r>
        <w:rPr>
          <w:rFonts w:hint="eastAsia" w:ascii="宋体" w:hAnsi="宋体" w:cs="宋体"/>
          <w:sz w:val="24"/>
        </w:rPr>
        <w:br w:type="page" w:clear="all"/>
      </w:r>
      <w:bookmarkEnd w:id="0"/>
      <w:bookmarkEnd w:id="1"/>
      <w:r/>
    </w:p>
    <w:p>
      <w:pPr>
        <w:pStyle w:val="689"/>
        <w:numPr>
          <w:ilvl w:val="0"/>
          <w:numId w:val="0"/>
        </w:numPr>
        <w:rPr>
          <w:rFonts w:hint="eastAsia" w:ascii="宋体" w:hAnsi="宋体" w:cs="宋体"/>
        </w:rPr>
      </w:pPr>
      <w:r/>
      <w:bookmarkStart w:id="36" w:name="_Toc7019"/>
      <w:r>
        <w:rPr>
          <w:rFonts w:hint="eastAsia" w:ascii="宋体" w:hAnsi="宋体" w:cs="宋体"/>
        </w:rPr>
        <w:t xml:space="preserve">第六章 附件</w:t>
      </w:r>
      <w:bookmarkEnd w:id="36"/>
      <w:r/>
      <w:r/>
    </w:p>
    <w:p>
      <w:pPr>
        <w:jc w:val="left"/>
        <w:spacing w:line="240" w:lineRule="atLeast"/>
        <w:widowControl/>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ind w:firstLine="720"/>
        <w:rPr>
          <w:rFonts w:hint="eastAsia" w:ascii="宋体" w:hAnsi="宋体" w:cs="宋体"/>
          <w:sz w:val="36"/>
          <w:szCs w:val="36"/>
        </w:rPr>
      </w:pPr>
      <w:r>
        <w:rPr>
          <w:rFonts w:hint="eastAsia" w:ascii="宋体" w:hAnsi="宋体" w:cs="宋体"/>
          <w:sz w:val="36"/>
          <w:szCs w:val="36"/>
        </w:rPr>
        <w:t xml:space="preserve">项目名称：</w:t>
      </w:r>
      <w:r/>
    </w:p>
    <w:p>
      <w:pPr>
        <w:ind w:firstLine="720"/>
        <w:rPr>
          <w:rFonts w:hint="eastAsia" w:ascii="宋体" w:hAnsi="宋体" w:cs="宋体"/>
          <w:sz w:val="36"/>
          <w:szCs w:val="36"/>
        </w:rPr>
      </w:pPr>
      <w:r>
        <w:rPr>
          <w:rFonts w:hint="eastAsia" w:ascii="宋体" w:hAnsi="宋体" w:cs="宋体"/>
          <w:sz w:val="36"/>
          <w:szCs w:val="36"/>
        </w:rPr>
        <w:t xml:space="preserve">招标编号：</w:t>
      </w:r>
      <w:r/>
    </w:p>
    <w:p>
      <w:pPr>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hint="eastAsia" w:ascii="宋体" w:hAnsi="宋体" w:cs="宋体"/>
          <w:sz w:val="28"/>
          <w:szCs w:val="28"/>
        </w:rPr>
      </w:pPr>
      <w:r>
        <w:rPr>
          <w:rFonts w:hint="eastAsia" w:ascii="宋体" w:hAnsi="宋体" w:cs="宋体"/>
          <w:sz w:val="36"/>
          <w:szCs w:val="36"/>
        </w:rPr>
        <w:t xml:space="preserve">日期：</w:t>
      </w:r>
      <w:r/>
    </w:p>
    <w:p>
      <w:pPr>
        <w:rPr>
          <w:rFonts w:hint="eastAsia" w:ascii="宋体" w:hAnsi="宋体" w:cs="宋体"/>
          <w:sz w:val="32"/>
          <w:szCs w:val="32"/>
        </w:rPr>
      </w:pPr>
      <w:r>
        <w:rPr>
          <w:rFonts w:hint="eastAsia" w:ascii="宋体" w:hAnsi="宋体" w:cs="宋体"/>
          <w:sz w:val="32"/>
          <w:szCs w:val="32"/>
        </w:rPr>
        <w:br w:type="page" w:clear="all"/>
      </w:r>
      <w:r/>
    </w:p>
    <w:p>
      <w:pPr>
        <w:jc w:val="center"/>
        <w:spacing w:before="317" w:after="317"/>
        <w:rPr>
          <w:rFonts w:hint="eastAsia" w:ascii="宋体" w:hAnsi="宋体" w:cs="宋体"/>
          <w:sz w:val="32"/>
          <w:szCs w:val="32"/>
        </w:rPr>
      </w:pPr>
      <w:r>
        <w:rPr>
          <w:rFonts w:hint="eastAsia" w:ascii="宋体" w:hAnsi="宋体" w:cs="宋体"/>
          <w:sz w:val="32"/>
          <w:szCs w:val="32"/>
        </w:rPr>
        <w:t xml:space="preserve">目录</w:t>
      </w:r>
      <w:r/>
    </w:p>
    <w:p>
      <w:pPr>
        <w:jc w:val="center"/>
        <w:rPr>
          <w:rFonts w:hint="eastAsia" w:ascii="宋体" w:hAnsi="宋体" w:cs="宋体"/>
          <w:szCs w:val="21"/>
        </w:rPr>
      </w:pPr>
      <w:r>
        <w:rPr>
          <w:rFonts w:hint="eastAsia" w:ascii="宋体" w:hAnsi="宋体" w:cs="宋体"/>
          <w:szCs w:val="21"/>
        </w:rPr>
        <w:t xml:space="preserve">（注：供应商根据附件顺序编制投标文件并制作目录（须生成页码））</w:t>
      </w:r>
      <w:r/>
    </w:p>
    <w:p>
      <w:pPr>
        <w:spacing w:line="460" w:lineRule="atLeast"/>
        <w:widowControl/>
        <w:rPr>
          <w:rFonts w:hint="eastAsia" w:ascii="宋体" w:hAnsi="宋体" w:cs="宋体"/>
          <w:szCs w:val="21"/>
        </w:rPr>
      </w:pPr>
      <w:r>
        <w:rPr>
          <w:rFonts w:hint="eastAsia" w:ascii="宋体" w:hAnsi="宋体" w:cs="宋体"/>
        </w:rPr>
        <w:br w:type="page" w:clear="all"/>
      </w:r>
      <w:r>
        <w:rPr>
          <w:rFonts w:hint="eastAsia" w:ascii="宋体" w:hAnsi="宋体" w:cs="宋体"/>
          <w:b/>
          <w:bCs/>
          <w:sz w:val="24"/>
        </w:rPr>
        <w:t xml:space="preserve">附件一、投标申请及声明格式</w:t>
      </w:r>
      <w:r/>
    </w:p>
    <w:p>
      <w:pPr>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hint="eastAsia" w:ascii="宋体" w:hAnsi="宋体" w:cs="宋体"/>
          <w:szCs w:val="21"/>
        </w:rPr>
      </w:pPr>
      <w:r>
        <w:rPr>
          <w:rFonts w:hint="eastAsia" w:ascii="宋体" w:hAnsi="宋体" w:cs="宋体"/>
          <w:szCs w:val="21"/>
        </w:rPr>
        <w:t xml:space="preserve"> 致：</w:t>
      </w:r>
      <w:r>
        <w:rPr>
          <w:rFonts w:hint="eastAsia" w:ascii="宋体" w:hAnsi="宋体" w:cs="宋体"/>
          <w:bCs/>
          <w:szCs w:val="21"/>
          <w:lang w:val="zh-CN"/>
        </w:rPr>
        <w:t xml:space="preserve">南京汇采项目管理有限公司</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(姓名和职务)代表供应商</w:t>
      </w:r>
      <w:r>
        <w:rPr>
          <w:rFonts w:hint="eastAsia" w:ascii="宋体" w:hAnsi="宋体" w:cs="宋体"/>
          <w:szCs w:val="21"/>
          <w:u w:val="single"/>
        </w:rPr>
        <w:t xml:space="preserve">     </w:t>
      </w:r>
      <w:r>
        <w:rPr>
          <w:rFonts w:hint="eastAsia" w:ascii="宋体" w:hAnsi="宋体" w:cs="宋体"/>
          <w:szCs w:val="21"/>
        </w:rPr>
        <w:t xml:space="preserve">（供应商名称），提交投标文件。</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2、按招标要求，我们的投标总报价详见开标一览表。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3、本项目交付时间为：满足采购文件要求。</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60" w:lineRule="atLeast"/>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 w:val="24"/>
        </w:rPr>
        <w:t xml:space="preserve">附件二、法定代表人授权委托书格式</w:t>
      </w:r>
      <w:r/>
    </w:p>
    <w:p>
      <w:pPr>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480" w:lineRule="exact"/>
        <w:rPr>
          <w:rFonts w:hint="eastAsia"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            </w:t>
      </w:r>
      <w:r>
        <w:rPr>
          <w:rFonts w:hint="eastAsia" w:ascii="宋体" w:hAnsi="宋体" w:cs="宋体"/>
          <w:szCs w:val="21"/>
        </w:rPr>
        <w:t xml:space="preserve">（投标人名称）授权</w:t>
      </w:r>
      <w:r>
        <w:rPr>
          <w:rFonts w:hint="eastAsia" w:ascii="宋体" w:hAnsi="宋体" w:cs="宋体"/>
          <w:szCs w:val="21"/>
          <w:u w:val="single"/>
        </w:rPr>
        <w:t xml:space="preserve">                 </w:t>
      </w:r>
      <w:r>
        <w:rPr>
          <w:rFonts w:hint="eastAsia" w:ascii="宋体" w:hAnsi="宋体" w:cs="宋体"/>
          <w:szCs w:val="21"/>
        </w:rPr>
        <w:t xml:space="preserve">（被授权人姓名）作为我方参加编号为</w:t>
      </w:r>
      <w:r>
        <w:rPr>
          <w:rFonts w:hint="eastAsia" w:ascii="宋体" w:hAnsi="宋体" w:cs="宋体"/>
          <w:szCs w:val="21"/>
          <w:u w:val="single"/>
        </w:rPr>
        <w:t xml:space="preserve">                             </w:t>
      </w:r>
      <w:r>
        <w:rPr>
          <w:rFonts w:hint="eastAsia" w:ascii="宋体" w:hAnsi="宋体" w:cs="宋体"/>
          <w:szCs w:val="21"/>
        </w:rPr>
        <w:t xml:space="preserve">项目采购活动的合法代理人，以本单位名义全权处理一切与该项目采购有关的事务。</w:t>
      </w:r>
      <w:r/>
    </w:p>
    <w:p>
      <w:pPr>
        <w:ind w:firstLine="480"/>
        <w:spacing w:line="480" w:lineRule="exact"/>
        <w:rPr>
          <w:rFonts w:hint="eastAsia" w:ascii="宋体" w:hAnsi="宋体" w:cs="宋体"/>
          <w:szCs w:val="21"/>
        </w:rPr>
      </w:pPr>
      <w:r>
        <w:rPr>
          <w:rFonts w:hint="eastAsia" w:ascii="宋体" w:hAnsi="宋体" w:cs="宋体"/>
          <w:szCs w:val="21"/>
        </w:rPr>
        <w:t xml:space="preserve">本授权书自______年____月____日起生效，特此声明。</w:t>
      </w:r>
      <w:r/>
    </w:p>
    <w:p>
      <w:pPr>
        <w:ind w:firstLine="480"/>
        <w:spacing w:line="480" w:lineRule="exact"/>
        <w:rPr>
          <w:rFonts w:hint="eastAsia" w:ascii="宋体" w:hAnsi="宋体" w:cs="宋体"/>
          <w:szCs w:val="21"/>
        </w:rPr>
      </w:pPr>
      <w:r>
        <w:rPr>
          <w:rFonts w:hint="eastAsia" w:ascii="宋体" w:hAnsi="宋体" w:cs="宋体"/>
          <w:szCs w:val="21"/>
        </w:rPr>
        <w:t xml:space="preserve">被授权人身份证号码：</w:t>
      </w:r>
      <w:r/>
    </w:p>
    <w:p>
      <w:pPr>
        <w:ind w:firstLine="480"/>
        <w:spacing w:line="480" w:lineRule="exact"/>
        <w:rPr>
          <w:rFonts w:hint="eastAsia" w:ascii="宋体" w:hAnsi="宋体" w:cs="宋体"/>
          <w:szCs w:val="21"/>
          <w:u w:val="single"/>
        </w:rPr>
      </w:pPr>
      <w:r>
        <w:rPr>
          <w:rFonts w:hint="eastAsia" w:ascii="宋体" w:hAnsi="宋体" w:cs="宋体"/>
          <w:szCs w:val="21"/>
        </w:rPr>
        <w:t xml:space="preserve">被授权人联系电话：           （手机）</w:t>
      </w:r>
      <w:r/>
    </w:p>
    <w:p>
      <w:pPr>
        <w:ind w:firstLine="480"/>
        <w:spacing w:line="480" w:lineRule="exact"/>
        <w:rPr>
          <w:rFonts w:hint="eastAsia" w:ascii="宋体" w:hAnsi="宋体" w:cs="宋体"/>
          <w:szCs w:val="21"/>
          <w:u w:val="single"/>
        </w:rPr>
      </w:pPr>
      <w:r>
        <w:rPr>
          <w:rFonts w:hint="eastAsia" w:ascii="宋体" w:hAnsi="宋体" w:cs="宋体"/>
          <w:szCs w:val="21"/>
        </w:rPr>
        <w:t xml:space="preserve">投标人名称：              （加盖电子公章）</w:t>
      </w:r>
      <w:r/>
    </w:p>
    <w:p>
      <w:pPr>
        <w:ind w:firstLine="480"/>
        <w:spacing w:line="480" w:lineRule="exact"/>
        <w:rPr>
          <w:rFonts w:hint="eastAsia" w:ascii="宋体" w:hAnsi="宋体" w:cs="宋体"/>
          <w:szCs w:val="21"/>
          <w:u w:val="single"/>
        </w:rPr>
      </w:pPr>
      <w:r>
        <w:rPr>
          <w:rFonts w:hint="eastAsia" w:ascii="宋体" w:hAnsi="宋体" w:cs="宋体"/>
          <w:szCs w:val="21"/>
        </w:rPr>
        <w:t xml:space="preserve">单位地址：</w:t>
      </w:r>
      <w:r/>
    </w:p>
    <w:p>
      <w:pPr>
        <w:ind w:firstLine="480"/>
        <w:spacing w:line="480" w:lineRule="exact"/>
        <w:rPr>
          <w:rFonts w:hint="eastAsia" w:ascii="宋体" w:hAnsi="宋体" w:cs="宋体"/>
          <w:szCs w:val="21"/>
        </w:rPr>
      </w:pPr>
      <w:r>
        <w:rPr>
          <w:rFonts w:hint="eastAsia" w:ascii="宋体" w:hAnsi="宋体" w:cs="宋体"/>
          <w:szCs w:val="21"/>
        </w:rPr>
        <w:t xml:space="preserve">日    期：</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spacing w:line="460" w:lineRule="atLeast"/>
        <w:widowControl/>
        <w:rPr>
          <w:rFonts w:hint="eastAsia" w:ascii="宋体" w:hAnsi="宋体" w:cs="宋体"/>
          <w:lang w:val="zh-CN"/>
        </w:rPr>
      </w:pPr>
      <w:r>
        <w:rPr>
          <w:rFonts w:hint="eastAsia" w:ascii="宋体" w:hAnsi="宋体" w:cs="宋体"/>
          <w:b/>
          <w:bCs/>
          <w:szCs w:val="21"/>
        </w:rPr>
        <w:br w:type="page" w:clear="all"/>
      </w:r>
      <w:r>
        <w:rPr>
          <w:rFonts w:hint="eastAsia" w:ascii="宋体" w:hAnsi="宋体" w:cs="宋体"/>
          <w:b/>
          <w:bCs/>
          <w:sz w:val="24"/>
          <w:lang w:val="zh-CN"/>
        </w:rPr>
        <w:t xml:space="preserve">附件三、</w:t>
      </w:r>
      <w:r>
        <w:rPr>
          <w:rFonts w:hint="eastAsia" w:ascii="宋体" w:hAnsi="宋体" w:cs="宋体"/>
          <w:b/>
          <w:bCs/>
          <w:sz w:val="24"/>
        </w:rPr>
        <w:t xml:space="preserve">开标一览</w:t>
      </w:r>
      <w:r>
        <w:rPr>
          <w:rFonts w:hint="eastAsia" w:ascii="宋体" w:hAnsi="宋体" w:cs="宋体"/>
          <w:b/>
          <w:bCs/>
          <w:sz w:val="24"/>
          <w:lang w:val="zh-CN"/>
        </w:rPr>
        <w:t xml:space="preserve">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t xml:space="preserve">详见苏采云系统开标一览表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说明：</w:t>
      </w:r>
      <w:r>
        <w:rPr>
          <w:rFonts w:hint="eastAsia" w:ascii="宋体" w:hAnsi="宋体" w:cs="宋体"/>
          <w:b/>
          <w:bCs/>
          <w:szCs w:val="21"/>
        </w:rPr>
        <w:t xml:space="preserve">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br w:type="page" w:clear="all"/>
      </w:r>
      <w:r/>
    </w:p>
    <w:p>
      <w:pPr>
        <w:spacing w:line="460" w:lineRule="atLeast"/>
        <w:widowControl/>
        <w:rPr>
          <w:rFonts w:hint="eastAsia" w:ascii="宋体" w:hAnsi="宋体" w:cs="宋体"/>
          <w:b/>
          <w:bCs/>
          <w:sz w:val="24"/>
          <w:lang w:val="zh-CN"/>
        </w:rPr>
      </w:pPr>
      <w:r>
        <w:rPr>
          <w:rFonts w:hint="eastAsia" w:ascii="宋体" w:hAnsi="宋体" w:cs="宋体"/>
          <w:b/>
          <w:bCs/>
          <w:sz w:val="24"/>
          <w:lang w:val="zh-CN"/>
        </w:rPr>
        <w:t xml:space="preserve">附件四、分项报价表</w:t>
      </w:r>
      <w:r/>
    </w:p>
    <w:p>
      <w:pPr>
        <w:pStyle w:val="708"/>
        <w:rPr>
          <w:rFonts w:hint="eastAsia" w:ascii="宋体" w:hAnsi="宋体" w:eastAsia="宋体" w:cs="宋体"/>
          <w:lang w:val="zh-CN"/>
        </w:rPr>
      </w:pPr>
      <w:r>
        <w:rPr>
          <w:rFonts w:hint="eastAsia" w:ascii="宋体" w:hAnsi="宋体" w:eastAsia="宋体" w:cs="宋体"/>
          <w:lang w:val="zh-CN"/>
        </w:rPr>
      </w:r>
      <w:r/>
    </w:p>
    <w:tbl>
      <w:tblPr>
        <w:tblStyle w:val="699"/>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278"/>
        <w:gridCol w:w="953"/>
        <w:gridCol w:w="887"/>
        <w:gridCol w:w="685"/>
        <w:gridCol w:w="1183"/>
        <w:gridCol w:w="982"/>
        <w:gridCol w:w="989"/>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rPr>
                <w:rFonts w:hint="eastAsia" w:ascii="宋体" w:hAnsi="宋体" w:cs="宋体"/>
              </w:rPr>
            </w:pPr>
            <w:r>
              <w:rPr>
                <w:rFonts w:hint="eastAsia" w:ascii="宋体" w:hAnsi="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hint="eastAsia" w:ascii="宋体" w:hAnsi="宋体" w:cs="宋体"/>
                <w:highlight w:val="green"/>
              </w:rPr>
            </w:pPr>
            <w:r>
              <w:rPr>
                <w:rFonts w:hint="eastAsia" w:ascii="宋体" w:hAnsi="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cs="宋体"/>
              </w:rPr>
            </w:pPr>
            <w:r>
              <w:rPr>
                <w:rFonts w:hint="eastAsia" w:ascii="宋体" w:hAnsi="宋体" w:cs="宋体"/>
              </w:rPr>
              <w:t xml:space="preserve">单位</w:t>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hint="eastAsia" w:ascii="宋体" w:hAnsi="宋体" w:cs="宋体"/>
              </w:rPr>
            </w:pPr>
            <w:r>
              <w:rPr>
                <w:rFonts w:hint="eastAsia" w:ascii="宋体" w:hAnsi="宋体" w:cs="宋体"/>
              </w:rPr>
              <w:t xml:space="preserve">品牌</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hint="eastAsia" w:ascii="宋体" w:hAnsi="宋体" w:cs="宋体"/>
              </w:rPr>
            </w:pPr>
            <w:r>
              <w:rPr>
                <w:rFonts w:hint="eastAsia" w:ascii="宋体" w:hAnsi="宋体" w:cs="宋体"/>
              </w:rPr>
              <w:t xml:space="preserve">规格型号</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rPr>
                <w:rFonts w:hint="eastAsia" w:ascii="宋体" w:hAnsi="宋体" w:cs="宋体"/>
              </w:rPr>
            </w:pPr>
            <w:r>
              <w:rPr>
                <w:rFonts w:hint="eastAsia" w:ascii="宋体" w:hAnsi="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rPr>
            </w:pPr>
            <w:r>
              <w:rPr>
                <w:rFonts w:hint="eastAsia" w:ascii="宋体" w:hAnsi="宋体" w:cs="宋体"/>
              </w:rPr>
              <w:t xml:space="preserve">单价</w:t>
            </w:r>
            <w:r/>
          </w:p>
          <w:p>
            <w:pPr>
              <w:jc w:val="center"/>
              <w:rPr>
                <w:rFonts w:hint="eastAsia" w:ascii="宋体" w:hAnsi="宋体" w:cs="宋体"/>
              </w:rPr>
            </w:pPr>
            <w:r>
              <w:rPr>
                <w:rFonts w:hint="eastAsia" w:ascii="宋体" w:hAnsi="宋体" w:cs="宋体"/>
              </w:rPr>
              <w:t xml:space="preserve">（元）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rPr>
            </w:pPr>
            <w:r>
              <w:rPr>
                <w:rFonts w:hint="eastAsia" w:ascii="宋体" w:hAnsi="宋体" w:cs="宋体"/>
              </w:rPr>
              <w:t xml:space="preserve">总价</w:t>
            </w:r>
            <w:r/>
          </w:p>
          <w:p>
            <w:pPr>
              <w:jc w:val="center"/>
              <w:rPr>
                <w:rFonts w:hint="eastAsia" w:ascii="宋体" w:hAnsi="宋体" w:cs="宋体"/>
              </w:rPr>
            </w:pPr>
            <w:r>
              <w:rPr>
                <w:rFonts w:hint="eastAsia" w:ascii="宋体" w:hAnsi="宋体" w:cs="宋体"/>
              </w:rPr>
              <w:t xml:space="preserve">（元）</w:t>
            </w:r>
            <w:r/>
          </w:p>
        </w:tc>
      </w:tr>
      <w:tr>
        <w:trPr>
          <w:jc w:val="center"/>
          <w:trHeight w:val="54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rFonts w:hint="eastAsia" w:ascii="宋体" w:hAnsi="宋体" w:cs="宋体"/>
                <w:highlight w:val="green"/>
              </w:rPr>
            </w:pPr>
            <w:r>
              <w:rPr>
                <w:rFonts w:hint="eastAsia" w:ascii="宋体" w:hAnsi="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cs="宋体"/>
                <w:highlight w:val="green"/>
              </w:rPr>
            </w:pPr>
            <w:r>
              <w:rPr>
                <w:rFonts w:hint="eastAsia" w:ascii="宋体" w:hAnsi="宋体" w:cs="宋体"/>
                <w:highlight w:val="green"/>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pStyle w:val="756"/>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说明：</w:t>
      </w:r>
      <w:r>
        <w:rPr>
          <w:rFonts w:hint="eastAsia" w:ascii="宋体" w:hAnsi="宋体" w:cs="宋体"/>
          <w:b/>
          <w:bCs/>
          <w:szCs w:val="21"/>
        </w:rPr>
        <w:t xml:space="preserve">本项目仅接受一个价格，不得填报有选择性报价方案。若有优惠条款须注明，但不得影响报价，影响产品整体功能；</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widowControl/>
        <w:rPr>
          <w:rFonts w:hint="eastAsia" w:ascii="宋体" w:hAnsi="宋体" w:cs="宋体"/>
          <w:szCs w:val="21"/>
        </w:rPr>
      </w:pPr>
      <w:r>
        <w:rPr>
          <w:rFonts w:hint="eastAsia" w:ascii="宋体" w:hAnsi="宋体" w:cs="宋体"/>
          <w:szCs w:val="21"/>
        </w:rPr>
        <w:br w:type="page" w:clear="all"/>
      </w:r>
      <w:r/>
    </w:p>
    <w:p>
      <w:pPr>
        <w:spacing w:line="460" w:lineRule="atLeast"/>
        <w:widowControl/>
        <w:rPr>
          <w:rFonts w:hint="eastAsia" w:ascii="宋体" w:hAnsi="宋体" w:cs="宋体"/>
          <w:b/>
          <w:bCs/>
          <w:sz w:val="24"/>
        </w:rPr>
      </w:pPr>
      <w:r>
        <w:rPr>
          <w:rFonts w:hint="eastAsia" w:ascii="宋体" w:hAnsi="宋体" w:cs="宋体"/>
          <w:b/>
          <w:bCs/>
          <w:sz w:val="24"/>
        </w:rPr>
        <w:t xml:space="preserve"> 附件五、技术条款偏离表</w:t>
      </w:r>
      <w:r/>
    </w:p>
    <w:p>
      <w:pPr>
        <w:ind w:left="435"/>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技术条款偏离表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69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1858"/>
        <w:gridCol w:w="2139"/>
        <w:gridCol w:w="2417"/>
        <w:gridCol w:w="1162"/>
      </w:tblGrid>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1161"/>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w:t>
            </w:r>
            <w:r/>
          </w:p>
        </w:tc>
        <w:tc>
          <w:tcPr>
            <w:gridSpan w:val="2"/>
            <w:tcMar>
              <w:left w:w="10" w:type="dxa"/>
              <w:top w:w="0" w:type="dxa"/>
              <w:right w:w="10" w:type="dxa"/>
              <w:bottom w:w="0" w:type="dxa"/>
            </w:tcMar>
            <w:tcW w:w="241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我单位承诺，其余普通条款（除了要求证明材料的）均满足采购文件要求，无偏离</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均满足采购文件要求，无偏离</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无偏离</w:t>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“▲”的技术参数响应需提供支撑资料（提供相关证明材料并加盖投标单位公章,包括但不限于明确说明该技术内容的公开发行的产品彩页或产品说明书或第三方检测机构的检测报告，自拟无效。</w:t>
      </w:r>
      <w:r>
        <w:rPr>
          <w:rFonts w:ascii="宋体" w:hAnsi="宋体" w:cs="宋体"/>
          <w:b/>
          <w:bCs/>
          <w:szCs w:val="21"/>
        </w:rPr>
        <w:t xml:space="preserve">若</w:t>
      </w:r>
      <w:r>
        <w:rPr>
          <w:rFonts w:hint="eastAsia" w:ascii="宋体" w:hAnsi="宋体" w:cs="宋体"/>
          <w:b/>
          <w:bCs/>
          <w:szCs w:val="21"/>
        </w:rPr>
        <w:t xml:space="preserve">需求中</w:t>
      </w:r>
      <w:r>
        <w:rPr>
          <w:rFonts w:ascii="宋体" w:hAnsi="宋体" w:cs="宋体"/>
          <w:b/>
          <w:bCs/>
          <w:szCs w:val="21"/>
        </w:rPr>
        <w:t xml:space="preserve">具体参数有明确证明</w:t>
      </w:r>
      <w:r>
        <w:rPr>
          <w:rFonts w:hint="eastAsia" w:ascii="宋体" w:hAnsi="宋体" w:cs="宋体"/>
          <w:b/>
          <w:bCs/>
          <w:szCs w:val="21"/>
        </w:rPr>
        <w:t xml:space="preserve">材料</w:t>
      </w:r>
      <w:r>
        <w:rPr>
          <w:rFonts w:ascii="宋体" w:hAnsi="宋体" w:cs="宋体"/>
          <w:b/>
          <w:bCs/>
          <w:szCs w:val="21"/>
        </w:rPr>
        <w:t xml:space="preserve">要求</w:t>
      </w:r>
      <w:r>
        <w:rPr>
          <w:rFonts w:hint="eastAsia" w:ascii="宋体" w:hAnsi="宋体" w:cs="宋体"/>
          <w:b/>
          <w:bCs/>
          <w:szCs w:val="21"/>
        </w:rPr>
        <w:t xml:space="preserve">的</w:t>
      </w:r>
      <w:r>
        <w:rPr>
          <w:rFonts w:ascii="宋体" w:hAnsi="宋体" w:cs="宋体"/>
          <w:b/>
          <w:bCs/>
          <w:szCs w:val="21"/>
        </w:rPr>
        <w:t xml:space="preserve">，以具体要求为准。</w:t>
      </w:r>
      <w:r>
        <w:rPr>
          <w:rFonts w:hint="eastAsia" w:ascii="宋体" w:hAnsi="宋体" w:cs="宋体"/>
          <w:b/>
          <w:bCs/>
          <w:szCs w:val="21"/>
        </w:rPr>
        <w:t xml:space="preserve">），如未附有效支撑材料或者所附的支撑材料由评标委员会认为不能佐证技术指标的有效性的，则视为负偏离。）</w:t>
      </w:r>
      <w:r>
        <w:rPr>
          <w:rFonts w:hint="eastAsia" w:ascii="宋体" w:hAnsi="宋体" w:cs="宋体"/>
          <w:b/>
          <w:bCs/>
          <w:i/>
          <w:iCs/>
          <w:szCs w:val="21"/>
          <w:u w:val="single"/>
        </w:rPr>
        <w:t xml:space="preserve">如文件中要求提供证明材料，建议采用箭头、标红、下划线或页码等进行明显标注，方便评委查看。</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2、如果行数不够，请自行增加。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3、“偏离”栏应注明“无偏离”或“正偏离”或“负偏离”。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rPr>
          <w:rFonts w:hint="eastAsia" w:ascii="宋体" w:hAnsi="宋体" w:cs="宋体"/>
          <w:szCs w:val="21"/>
        </w:rPr>
      </w:pPr>
      <w:r>
        <w:rPr>
          <w:rFonts w:hint="eastAsia" w:ascii="宋体" w:hAnsi="宋体" w:cs="宋体"/>
          <w:szCs w:val="21"/>
        </w:rPr>
        <w:br w:type="page" w:clear="all"/>
      </w:r>
      <w:r/>
    </w:p>
    <w:p>
      <w:pPr>
        <w:spacing w:line="460" w:lineRule="atLeast"/>
        <w:widowControl/>
        <w:rPr>
          <w:rFonts w:hint="eastAsia" w:ascii="宋体" w:hAnsi="宋体" w:cs="宋体"/>
          <w:b/>
          <w:bCs/>
          <w:sz w:val="24"/>
        </w:rPr>
      </w:pPr>
      <w:r>
        <w:rPr>
          <w:rFonts w:hint="eastAsia" w:ascii="宋体" w:hAnsi="宋体" w:cs="宋体"/>
          <w:b/>
          <w:bCs/>
          <w:sz w:val="24"/>
        </w:rPr>
        <w:t xml:space="preserve">附件六、商务条款偏离表格式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69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2、“偏离”栏应注明“无偏离”或“正偏离”或“负偏离”。</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spacing w:line="460" w:lineRule="atLeast"/>
        <w:widowControl/>
        <w:rPr>
          <w:rFonts w:hint="eastAsia" w:ascii="宋体" w:hAnsi="宋体" w:cs="宋体"/>
          <w:b/>
          <w:szCs w:val="21"/>
        </w:rPr>
      </w:pPr>
      <w:r>
        <w:rPr>
          <w:rFonts w:hint="eastAsia" w:ascii="宋体" w:hAnsi="宋体" w:cs="宋体"/>
          <w:b/>
          <w:bCs/>
          <w:szCs w:val="21"/>
        </w:rPr>
        <w:br w:type="page" w:clear="all"/>
      </w:r>
      <w:r>
        <w:rPr>
          <w:rFonts w:hint="eastAsia" w:ascii="宋体" w:hAnsi="宋体" w:cs="宋体"/>
          <w:b/>
          <w:bCs/>
          <w:sz w:val="24"/>
        </w:rPr>
        <w:t xml:space="preserve">附件七、方案</w:t>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pStyle w:val="884"/>
        <w:ind w:firstLine="0"/>
        <w:spacing w:before="0" w:after="0"/>
        <w:rPr>
          <w:rFonts w:hint="eastAsia"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p>
    <w:p>
      <w:pPr>
        <w:pStyle w:val="884"/>
        <w:ind w:firstLine="420"/>
        <w:spacing w:before="0" w:after="0"/>
        <w:rPr>
          <w:rFonts w:hint="eastAsia" w:ascii="宋体" w:hAnsi="宋体" w:cs="宋体"/>
          <w:sz w:val="21"/>
          <w:szCs w:val="21"/>
        </w:rPr>
      </w:pPr>
      <w:r>
        <w:rPr>
          <w:rFonts w:hint="eastAsia" w:ascii="宋体" w:hAnsi="宋体" w:cs="宋体"/>
          <w:sz w:val="21"/>
          <w:szCs w:val="21"/>
        </w:rPr>
      </w:r>
      <w:r/>
    </w:p>
    <w:p>
      <w:pPr>
        <w:jc w:val="left"/>
        <w:spacing w:line="360" w:lineRule="auto"/>
        <w:shd w:val="clear" w:color="auto" w:fill="ffffff"/>
        <w:widowControl/>
        <w:rPr>
          <w:rFonts w:ascii="Arial" w:hAnsi="Arial" w:cs="Arial"/>
          <w:b/>
          <w:bCs/>
          <w:sz w:val="22"/>
          <w:szCs w:val="22"/>
        </w:rPr>
      </w:pPr>
      <w:r>
        <w:rPr>
          <w:rFonts w:hint="eastAsia" w:ascii="Arial" w:hAnsi="Arial" w:cs="Arial"/>
          <w:b/>
          <w:bCs/>
          <w:sz w:val="22"/>
          <w:szCs w:val="22"/>
        </w:rPr>
        <w:t xml:space="preserve">相关内容请在苏采云平台对应模块填写！</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 </w:t>
      </w:r>
      <w:r/>
    </w:p>
    <w:p>
      <w:pPr>
        <w:spacing w:line="460" w:lineRule="atLeast"/>
        <w:widowControl/>
        <w:rPr>
          <w:rFonts w:hint="eastAsia"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hint="eastAsia" w:ascii="宋体" w:hAnsi="宋体" w:cs="宋体"/>
          <w:b/>
          <w:bCs/>
          <w:sz w:val="24"/>
        </w:rPr>
      </w:pPr>
      <w:r>
        <w:rPr>
          <w:rFonts w:hint="eastAsia" w:ascii="宋体" w:hAnsi="宋体" w:cs="宋体"/>
          <w:b/>
          <w:bCs/>
          <w:sz w:val="24"/>
        </w:rPr>
      </w:r>
      <w:r/>
    </w:p>
    <w:p>
      <w:pPr>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p>
    <w:p>
      <w:pPr>
        <w:jc w:val="center"/>
        <w:widowControl/>
        <w:rPr>
          <w:rFonts w:hint="eastAsia" w:ascii="宋体" w:hAnsi="宋体" w:cs="宋体"/>
          <w:b/>
          <w:bCs/>
          <w:sz w:val="24"/>
        </w:rPr>
      </w:pPr>
      <w:r>
        <w:rPr>
          <w:rFonts w:hint="eastAsia" w:ascii="宋体" w:hAnsi="宋体" w:cs="宋体"/>
          <w:b/>
          <w:bCs/>
          <w:sz w:val="24"/>
        </w:rPr>
      </w:r>
      <w:r/>
    </w:p>
    <w:p>
      <w:pPr>
        <w:widowControl/>
        <w:rPr>
          <w:rFonts w:hint="eastAsia" w:ascii="宋体" w:hAnsi="宋体" w:cs="宋体"/>
          <w:szCs w:val="21"/>
        </w:rPr>
      </w:pPr>
      <w:r>
        <w:rPr>
          <w:rFonts w:hint="eastAsia" w:ascii="宋体" w:hAnsi="宋体" w:cs="宋体"/>
          <w:szCs w:val="21"/>
        </w:rPr>
        <w:t xml:space="preserve">项目名称：                    项目编号：</w:t>
      </w:r>
      <w:r/>
    </w:p>
    <w:tbl>
      <w:tblPr>
        <w:tblStyle w:val="69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执业</w:t>
            </w:r>
            <w:r/>
          </w:p>
          <w:p>
            <w:pPr>
              <w:jc w:val="center"/>
              <w:widowControl/>
              <w:rPr>
                <w:rFonts w:hint="eastAsia"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hint="eastAsia" w:ascii="宋体" w:hAnsi="宋体" w:cs="宋体"/>
          <w:szCs w:val="21"/>
        </w:rPr>
      </w:pPr>
      <w:r>
        <w:rPr>
          <w:rFonts w:hint="eastAsia" w:ascii="宋体" w:hAnsi="宋体" w:cs="宋体"/>
          <w:szCs w:val="21"/>
        </w:rPr>
      </w:r>
      <w:r/>
    </w:p>
    <w:p>
      <w:pPr>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附件九、供应商类似业绩情况表</w:t>
      </w:r>
      <w:r/>
    </w:p>
    <w:p>
      <w:pPr>
        <w:jc w:val="center"/>
        <w:spacing w:line="360" w:lineRule="auto"/>
        <w:widowControl/>
        <w:rPr>
          <w:rFonts w:hint="eastAsia" w:ascii="宋体" w:hAnsi="宋体" w:cs="宋体"/>
          <w:b/>
          <w:bCs/>
          <w:sz w:val="24"/>
        </w:rPr>
      </w:pPr>
      <w:r>
        <w:rPr>
          <w:rFonts w:hint="eastAsia" w:ascii="宋体" w:hAnsi="宋体" w:cs="宋体"/>
          <w:b/>
          <w:bCs/>
          <w:sz w:val="24"/>
        </w:rPr>
      </w:r>
      <w:r/>
    </w:p>
    <w:p>
      <w:pPr>
        <w:jc w:val="center"/>
        <w:spacing w:line="360" w:lineRule="auto"/>
        <w:widowControl/>
        <w:rPr>
          <w:rFonts w:hint="eastAsia" w:ascii="宋体" w:hAnsi="宋体" w:cs="宋体"/>
          <w:b/>
          <w:bCs/>
          <w:sz w:val="24"/>
        </w:rPr>
      </w:pPr>
      <w:r>
        <w:rPr>
          <w:rFonts w:hint="eastAsia" w:ascii="宋体" w:hAnsi="宋体" w:cs="宋体"/>
          <w:b/>
          <w:bCs/>
          <w:sz w:val="24"/>
        </w:rPr>
        <w:t xml:space="preserve">供应商类似业绩情况表</w:t>
      </w:r>
      <w:r/>
    </w:p>
    <w:tbl>
      <w:tblPr>
        <w:tblStyle w:val="69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签约及服务</w:t>
            </w:r>
            <w:r/>
          </w:p>
          <w:p>
            <w:pPr>
              <w:jc w:val="center"/>
              <w:spacing w:line="400" w:lineRule="atLeast"/>
              <w:widowControl/>
              <w:rPr>
                <w:rFonts w:hint="eastAsia"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460" w:lineRule="atLeast"/>
        <w:widowControl/>
        <w:rPr>
          <w:rFonts w:hint="eastAsia" w:ascii="宋体" w:hAnsi="宋体" w:cs="宋体"/>
          <w:b/>
          <w:bCs/>
        </w:rPr>
      </w:pPr>
      <w:r>
        <w:rPr>
          <w:rFonts w:hint="eastAsia" w:ascii="宋体" w:hAnsi="宋体" w:cs="宋体"/>
          <w:szCs w:val="21"/>
          <w:u w:val="single"/>
        </w:rPr>
        <w:br w:type="page" w:clear="all"/>
      </w:r>
      <w:r>
        <w:rPr>
          <w:rFonts w:hint="eastAsia" w:ascii="宋体" w:hAnsi="宋体" w:cs="宋体"/>
          <w:b/>
          <w:bCs/>
          <w:sz w:val="24"/>
        </w:rPr>
        <w:t xml:space="preserve">附件十、企业声明函格式</w:t>
      </w:r>
      <w:r/>
    </w:p>
    <w:p>
      <w:pPr>
        <w:jc w:val="center"/>
        <w:spacing w:line="300" w:lineRule="exact"/>
        <w:rPr>
          <w:rFonts w:hint="eastAsia" w:ascii="宋体" w:hAnsi="宋体" w:cs="宋体"/>
          <w:b/>
          <w:bCs/>
          <w:sz w:val="28"/>
        </w:rPr>
      </w:pPr>
      <w:r>
        <w:rPr>
          <w:rFonts w:hint="eastAsia" w:ascii="宋体" w:hAnsi="宋体" w:cs="宋体"/>
          <w:b/>
          <w:bCs/>
          <w:sz w:val="28"/>
        </w:rPr>
      </w:r>
      <w:r/>
    </w:p>
    <w:p>
      <w:pPr>
        <w:jc w:val="center"/>
        <w:spacing w:line="360" w:lineRule="auto"/>
        <w:rPr>
          <w:rFonts w:hint="eastAsia" w:ascii="宋体" w:hAnsi="宋体" w:cs="宋体"/>
          <w:b/>
          <w:bCs/>
          <w:sz w:val="28"/>
        </w:rPr>
      </w:pPr>
      <w:r>
        <w:rPr>
          <w:rFonts w:hint="eastAsia" w:ascii="宋体" w:hAnsi="宋体" w:cs="宋体"/>
          <w:b/>
          <w:bCs/>
          <w:sz w:val="28"/>
        </w:rPr>
        <w:t xml:space="preserve">中小企业声明函（货物）</w:t>
      </w:r>
      <w:r/>
    </w:p>
    <w:p>
      <w:pPr>
        <w:ind w:firstLine="420"/>
        <w:jc w:val="left"/>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left"/>
        <w:spacing w:line="360" w:lineRule="auto"/>
        <w:rPr>
          <w:rFonts w:hint="eastAsia" w:ascii="宋体" w:hAnsi="宋体" w:cs="宋体"/>
          <w:szCs w:val="21"/>
        </w:rPr>
      </w:pPr>
      <w:r>
        <w:rPr>
          <w:rFonts w:hint="eastAsia" w:ascii="宋体" w:hAnsi="宋体" w:cs="宋体"/>
          <w:szCs w:val="21"/>
        </w:rPr>
        <w:t xml:space="preserve">1.（标的名称），属于（采购文件中明确的所属行业）行业；制造商为（企业名称），从业人员</w:t>
      </w:r>
      <w:r>
        <w:rPr>
          <w:rFonts w:hint="eastAsia" w:ascii="宋体" w:hAnsi="宋体" w:cs="宋体"/>
          <w:szCs w:val="21"/>
        </w:rPr>
        <w:tab/>
      </w:r>
      <w:r>
        <w:rPr>
          <w:rFonts w:hint="eastAsia" w:ascii="宋体" w:hAnsi="宋体" w:cs="宋体"/>
          <w:szCs w:val="21"/>
        </w:rPr>
        <w:t xml:space="preserve">人，营业收入为</w:t>
      </w:r>
      <w:r>
        <w:rPr>
          <w:rFonts w:hint="eastAsia" w:ascii="宋体" w:hAnsi="宋体" w:cs="宋体"/>
          <w:szCs w:val="21"/>
        </w:rPr>
        <w:tab/>
      </w:r>
      <w:r>
        <w:rPr>
          <w:rFonts w:hint="eastAsia" w:ascii="宋体" w:hAnsi="宋体" w:cs="宋体"/>
          <w:szCs w:val="21"/>
        </w:rPr>
        <w:t xml:space="preserve">万元，资产总额为</w:t>
      </w:r>
      <w:r>
        <w:rPr>
          <w:rFonts w:hint="eastAsia" w:ascii="宋体" w:hAnsi="宋体" w:cs="宋体"/>
          <w:szCs w:val="21"/>
        </w:rPr>
        <w:tab/>
      </w:r>
      <w:r>
        <w:rPr>
          <w:rFonts w:hint="eastAsia" w:ascii="宋体" w:hAnsi="宋体" w:cs="宋体"/>
          <w:szCs w:val="21"/>
        </w:rPr>
        <w:t xml:space="preserve">万元，属于（中型企业、小型企业、微型企业）；</w:t>
      </w:r>
      <w:r/>
    </w:p>
    <w:p>
      <w:pPr>
        <w:jc w:val="left"/>
        <w:spacing w:line="360" w:lineRule="auto"/>
        <w:rPr>
          <w:rFonts w:hint="eastAsia" w:ascii="宋体" w:hAnsi="宋体" w:cs="宋体"/>
          <w:szCs w:val="21"/>
        </w:rPr>
      </w:pPr>
      <w:r>
        <w:rPr>
          <w:rFonts w:hint="eastAsia" w:ascii="宋体" w:hAnsi="宋体" w:cs="宋体"/>
          <w:szCs w:val="21"/>
        </w:rPr>
        <w:t xml:space="preserve">2.（标的名称），属于（采购文件中明确的所属行业）行业；制造商为（企业名称），从业人员</w:t>
      </w:r>
      <w:r>
        <w:rPr>
          <w:rFonts w:hint="eastAsia" w:ascii="宋体" w:hAnsi="宋体" w:cs="宋体"/>
          <w:szCs w:val="21"/>
        </w:rPr>
        <w:tab/>
      </w:r>
      <w:r>
        <w:rPr>
          <w:rFonts w:hint="eastAsia" w:ascii="宋体" w:hAnsi="宋体" w:cs="宋体"/>
          <w:szCs w:val="21"/>
        </w:rPr>
        <w:t xml:space="preserve">人，营业收入为</w:t>
      </w:r>
      <w:r>
        <w:rPr>
          <w:rFonts w:hint="eastAsia" w:ascii="宋体" w:hAnsi="宋体" w:cs="宋体"/>
          <w:szCs w:val="21"/>
        </w:rPr>
        <w:tab/>
      </w:r>
      <w:r>
        <w:rPr>
          <w:rFonts w:hint="eastAsia" w:ascii="宋体" w:hAnsi="宋体" w:cs="宋体"/>
          <w:szCs w:val="21"/>
        </w:rPr>
        <w:t xml:space="preserve">万元，资产总额为</w:t>
      </w:r>
      <w:r>
        <w:rPr>
          <w:rFonts w:hint="eastAsia" w:ascii="宋体" w:hAnsi="宋体" w:cs="宋体"/>
          <w:szCs w:val="21"/>
        </w:rPr>
        <w:tab/>
      </w:r>
      <w:r>
        <w:rPr>
          <w:rFonts w:hint="eastAsia" w:ascii="宋体" w:hAnsi="宋体" w:cs="宋体"/>
          <w:szCs w:val="21"/>
        </w:rPr>
        <w:t xml:space="preserve">万元，属于（中型企业、小型企业、微型企业）；</w:t>
      </w:r>
      <w:r/>
    </w:p>
    <w:p>
      <w:pPr>
        <w:jc w:val="left"/>
        <w:spacing w:line="360" w:lineRule="auto"/>
        <w:rPr>
          <w:rFonts w:hint="eastAsia" w:ascii="宋体" w:hAnsi="宋体" w:cs="宋体"/>
          <w:szCs w:val="21"/>
        </w:rPr>
      </w:pP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jc w:val="righ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right"/>
        <w:spacing w:line="360" w:lineRule="auto"/>
        <w:shd w:val="clear" w:color="auto" w:fill="ffffff"/>
        <w:widowControl/>
        <w:rPr>
          <w:rFonts w:hint="eastAsia"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jc w:val="righ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w:t>
      </w:r>
      <w:r/>
    </w:p>
    <w:p>
      <w:pPr>
        <w:keepLines/>
        <w:keepNext/>
        <w:rPr>
          <w:rFonts w:hint="eastAsia" w:ascii="宋体" w:hAnsi="宋体" w:cs="宋体"/>
        </w:rPr>
      </w:pPr>
      <w:r>
        <w:rPr>
          <w:rFonts w:hint="eastAsia" w:ascii="宋体" w:hAnsi="宋体" w:cs="宋体"/>
        </w:rPr>
      </w:r>
      <w:r/>
    </w:p>
    <w:p>
      <w:pPr>
        <w:ind w:firstLine="420"/>
        <w:keepLines/>
        <w:keepNext/>
        <w:rPr>
          <w:rFonts w:hint="eastAsia" w:ascii="宋体" w:hAnsi="宋体" w:cs="宋体"/>
        </w:rPr>
      </w:pPr>
      <w:r>
        <w:rPr>
          <w:rFonts w:hint="eastAsia" w:ascii="宋体" w:hAnsi="宋体" w:cs="宋体"/>
        </w:rPr>
        <w:t xml:space="preserve">备注：</w:t>
      </w:r>
      <w:r/>
    </w:p>
    <w:p>
      <w:pPr>
        <w:ind w:firstLine="420"/>
        <w:keepLines/>
        <w:keepNext/>
        <w:rPr>
          <w:rFonts w:hint="eastAsia"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420"/>
        <w:keepLines/>
        <w:keepNext/>
        <w:rPr>
          <w:rFonts w:hint="eastAsia" w:ascii="宋体" w:hAnsi="宋体" w:cs="宋体"/>
          <w:b/>
          <w:bCs/>
        </w:rPr>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420"/>
        <w:keepLines/>
        <w:keepNext/>
        <w:rPr>
          <w:rFonts w:hint="eastAsia" w:ascii="宋体" w:hAnsi="宋体" w:cs="宋体"/>
          <w:b/>
          <w:bCs/>
        </w:rPr>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422"/>
        <w:keepLines/>
        <w:keepNext/>
        <w:rPr>
          <w:rFonts w:hint="eastAsia" w:ascii="宋体" w:hAnsi="宋体" w:cs="宋体"/>
          <w:b/>
          <w:bCs/>
        </w:rPr>
      </w:pPr>
      <w:r>
        <w:rPr>
          <w:rFonts w:hint="eastAsia" w:ascii="宋体" w:hAnsi="宋体" w:cs="宋体"/>
          <w:b/>
          <w:bCs/>
        </w:rPr>
        <w:t xml:space="preserve">4.如未对（中型企业、小型企业、微型企业）进行勾选，视同非中小微企业，不可享受相应扶持政策。</w:t>
      </w:r>
      <w:r/>
    </w:p>
    <w:p>
      <w:pPr>
        <w:ind w:firstLine="420"/>
        <w:spacing w:line="360" w:lineRule="auto"/>
        <w:rPr>
          <w:rFonts w:hint="eastAsia" w:ascii="宋体" w:hAnsi="宋体" w:cs="宋体"/>
          <w:lang w:val="zh-CN"/>
        </w:rPr>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p>
    <w:p>
      <w:pPr>
        <w:rPr>
          <w:rFonts w:hint="eastAsia" w:ascii="宋体" w:hAnsi="宋体" w:cs="宋体"/>
          <w:b/>
        </w:rPr>
      </w:pPr>
      <w:r>
        <w:rPr>
          <w:rFonts w:hint="eastAsia" w:ascii="宋体" w:hAnsi="宋体" w:cs="宋体"/>
          <w:b/>
        </w:rPr>
        <w:br w:type="page" w:clear="all"/>
      </w:r>
      <w:r/>
    </w:p>
    <w:p>
      <w:pPr>
        <w:rPr>
          <w:rFonts w:hint="eastAsia" w:ascii="宋体" w:hAnsi="宋体" w:cs="宋体"/>
          <w:b/>
        </w:rPr>
      </w:pPr>
      <w:r>
        <w:rPr>
          <w:rFonts w:hint="eastAsia" w:ascii="宋体" w:hAnsi="宋体" w:cs="宋体"/>
          <w:b/>
        </w:rPr>
        <w:t xml:space="preserve">附：中小企业划型标准规定</w:t>
      </w:r>
      <w:r/>
    </w:p>
    <w:p>
      <w:pPr>
        <w:ind w:firstLine="422"/>
        <w:rPr>
          <w:rFonts w:hint="eastAsia"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cs="宋体"/>
        </w:rPr>
      </w:pPr>
      <w:r>
        <w:rPr>
          <w:rFonts w:hint="eastAsia" w:ascii="宋体" w:hAnsi="宋体" w:cs="宋体"/>
          <w:b/>
        </w:rPr>
        <w:t xml:space="preserve">（十六）其他未列明行业。</w:t>
      </w:r>
      <w:r>
        <w:rPr>
          <w:rFonts w:hint="eastAsia" w:ascii="宋体" w:hAnsi="宋体" w:cs="宋体"/>
        </w:rPr>
        <w:t xml:space="preserve">从业人员300人以下的为中小微型企业。其中，从业人员100人及以上的为中型企业；从业人员10人及以上的为小型企业；从业人员10人以下的为微型企业。</w:t>
      </w:r>
      <w:r/>
    </w:p>
    <w:p>
      <w:pPr>
        <w:jc w:val="left"/>
        <w:widowControl/>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b/>
          <w:bCs/>
          <w:sz w:val="28"/>
        </w:rPr>
      </w:pPr>
      <w:r>
        <w:rPr>
          <w:rFonts w:hint="eastAsia" w:ascii="宋体" w:hAnsi="宋体" w:cs="宋体"/>
          <w:b/>
          <w:bCs/>
          <w:sz w:val="28"/>
        </w:rPr>
      </w:r>
      <w:r/>
    </w:p>
    <w:p>
      <w:pPr>
        <w:rPr>
          <w:rFonts w:hint="eastAsia" w:ascii="宋体" w:hAnsi="宋体" w:cs="宋体"/>
          <w:b/>
          <w:bCs/>
          <w:sz w:val="28"/>
        </w:rPr>
      </w:pPr>
      <w:r>
        <w:rPr>
          <w:rFonts w:hint="eastAsia" w:ascii="宋体" w:hAnsi="宋体" w:cs="宋体"/>
          <w:b/>
          <w:bCs/>
          <w:sz w:val="28"/>
        </w:rPr>
        <w:br w:type="page" w:clear="all"/>
      </w:r>
      <w:r/>
    </w:p>
    <w:p>
      <w:pPr>
        <w:jc w:val="center"/>
        <w:spacing w:line="360" w:lineRule="auto"/>
        <w:rPr>
          <w:rFonts w:hint="eastAsia" w:ascii="宋体" w:hAnsi="宋体" w:cs="宋体"/>
          <w:b/>
          <w:bCs/>
          <w:sz w:val="28"/>
        </w:rPr>
      </w:pPr>
      <w:r>
        <w:rPr>
          <w:rFonts w:hint="eastAsia" w:ascii="宋体" w:hAnsi="宋体" w:cs="宋体"/>
          <w:b/>
          <w:bCs/>
          <w:sz w:val="28"/>
        </w:rPr>
        <w:t xml:space="preserve">关于符合本国产品标准的声明函</w:t>
      </w:r>
      <w:r/>
    </w:p>
    <w:p>
      <w:pPr>
        <w:pStyle w:val="730"/>
        <w:ind w:firstLine="420"/>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0"/>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w:t>
      </w:r>
      <w:r>
        <w:rPr>
          <w:rStyle w:val="740"/>
          <w:rFonts w:hint="eastAsia"/>
          <w:color w:val="000000" w:themeColor="text1"/>
          <w:sz w:val="21"/>
          <w:szCs w:val="21"/>
          <w:u w:val="single"/>
          <w:shd w:val="clear" w:color="auto" w:fill="ffffff"/>
          <w14:textFill>
            <w14:solidFill>
              <w14:schemeClr w14:val="tx1"/>
            </w14:solidFill>
          </w14:textFill>
        </w:rPr>
        <w:t xml:space="preserve">（产品名称1）</w:t>
      </w:r>
      <w:r>
        <w:rPr>
          <w:rStyle w:val="740"/>
          <w:rFonts w:hint="eastAsia"/>
          <w:color w:val="000000" w:themeColor="text1"/>
          <w:sz w:val="21"/>
          <w:szCs w:val="21"/>
          <w:shd w:val="clear" w:color="auto" w:fill="ffffff"/>
          <w:vertAlign w:val="superscript"/>
          <w14:textFill>
            <w14:solidFill>
              <w14:schemeClr w14:val="tx1"/>
            </w14:solidFill>
          </w14:textFill>
        </w:rPr>
        <w:t xml:space="preserve">1</w:t>
      </w:r>
      <w:r>
        <w:rPr>
          <w:rFonts w:hint="eastAsia"/>
          <w:color w:val="000000" w:themeColor="text1"/>
          <w:sz w:val="21"/>
          <w:szCs w:val="21"/>
          <w:shd w:val="clear" w:color="auto" w:fill="ffffff"/>
          <w14:textFill>
            <w14:solidFill>
              <w14:schemeClr w14:val="tx1"/>
            </w14:solidFill>
          </w14:textFill>
        </w:rPr>
        <w:t xml:space="preserve">，生产厂为</w:t>
      </w:r>
      <w:r>
        <w:rPr>
          <w:rStyle w:val="740"/>
          <w:rFonts w:hint="eastAsia"/>
          <w:color w:val="000000" w:themeColor="text1"/>
          <w:sz w:val="21"/>
          <w:szCs w:val="21"/>
          <w:u w:val="single"/>
          <w:shd w:val="clear" w:color="auto" w:fill="ffffff"/>
          <w14:textFill>
            <w14:solidFill>
              <w14:schemeClr w14:val="tx1"/>
            </w14:solidFill>
          </w14:textFill>
        </w:rPr>
        <w:t xml:space="preserve">（厂名）</w:t>
      </w:r>
      <w:r>
        <w:rPr>
          <w:rStyle w:val="740"/>
          <w:rFonts w:hint="eastAsia"/>
          <w:color w:val="000000" w:themeColor="text1"/>
          <w:sz w:val="21"/>
          <w:szCs w:val="21"/>
          <w:shd w:val="clear" w:color="auto" w:fill="ffffff"/>
          <w:vertAlign w:val="superscript"/>
          <w14:textFill>
            <w14:solidFill>
              <w14:schemeClr w14:val="tx1"/>
            </w14:solidFill>
          </w14:textFill>
        </w:rPr>
        <w:t xml:space="preserve">2</w:t>
      </w:r>
      <w:r>
        <w:rPr>
          <w:rFonts w:hint="eastAsia"/>
          <w:color w:val="000000" w:themeColor="text1"/>
          <w:sz w:val="21"/>
          <w:szCs w:val="21"/>
          <w:shd w:val="clear" w:color="auto" w:fill="ffffff"/>
          <w14:textFill>
            <w14:solidFill>
              <w14:schemeClr w14:val="tx1"/>
            </w14:solidFill>
          </w14:textFill>
        </w:rPr>
        <w:t xml:space="preserve">，厂址为</w:t>
      </w:r>
      <w:r>
        <w:rPr>
          <w:rStyle w:val="740"/>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4</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5</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730"/>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w:t>
      </w:r>
      <w:r>
        <w:rPr>
          <w:rStyle w:val="740"/>
          <w:rFonts w:hint="eastAsia"/>
          <w:color w:val="000000" w:themeColor="text1"/>
          <w:sz w:val="21"/>
          <w:szCs w:val="21"/>
          <w:u w:val="single"/>
          <w:shd w:val="clear" w:color="auto" w:fill="ffffff"/>
          <w14:textFill>
            <w14:solidFill>
              <w14:schemeClr w14:val="tx1"/>
            </w14:solidFill>
          </w14:textFill>
        </w:rPr>
        <w:t xml:space="preserve">（产品名称2）</w:t>
      </w:r>
      <w:r>
        <w:rPr>
          <w:rFonts w:hint="eastAsia"/>
          <w:color w:val="000000" w:themeColor="text1"/>
          <w:sz w:val="21"/>
          <w:szCs w:val="21"/>
          <w:shd w:val="clear" w:color="auto" w:fill="ffffff"/>
          <w14:textFill>
            <w14:solidFill>
              <w14:schemeClr w14:val="tx1"/>
            </w14:solidFill>
          </w14:textFill>
        </w:rPr>
        <w:t xml:space="preserve">，生产厂为</w:t>
      </w:r>
      <w:r>
        <w:rPr>
          <w:rStyle w:val="740"/>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740"/>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730"/>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w:t>
      </w:r>
      <w:r/>
    </w:p>
    <w:p>
      <w:pPr>
        <w:pStyle w:val="730"/>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730"/>
        <w:ind w:firstLine="420"/>
        <w:jc w:val="both"/>
        <w:spacing w:before="0" w:beforeAutospacing="0" w:after="0" w:afterAutospacing="0" w:line="360" w:lineRule="auto"/>
        <w:shd w:val="clear" w:color="auto" w:fill="ffffff"/>
        <w:rPr>
          <w:rFonts w:hint="eastAsia"/>
          <w:color w:val="333333"/>
          <w:sz w:val="21"/>
          <w:szCs w:val="21"/>
          <w:shd w:val="clear" w:color="auto" w:fill="ffffff"/>
        </w:rPr>
      </w:pPr>
      <w:r>
        <w:rPr>
          <w:rFonts w:hint="eastAsia"/>
          <w:color w:val="333333"/>
          <w:sz w:val="21"/>
          <w:szCs w:val="21"/>
          <w:shd w:val="clear" w:color="auto" w:fill="ffffff"/>
        </w:rPr>
      </w:r>
      <w:r/>
    </w:p>
    <w:p>
      <w:pPr>
        <w:pStyle w:val="730"/>
        <w:ind w:firstLine="480"/>
        <w:jc w:val="right"/>
        <w:spacing w:before="0" w:beforeAutospacing="0" w:after="0" w:afterAutospacing="0" w:line="360" w:lineRule="auto"/>
        <w:shd w:val="clear" w:color="auto" w:fill="ffffff"/>
        <w:rPr>
          <w:rFonts w:hint="eastAsia"/>
          <w:color w:val="333333"/>
          <w:sz w:val="21"/>
          <w:szCs w:val="21"/>
        </w:rPr>
      </w:pPr>
      <w:r>
        <w:rPr>
          <w:rFonts w:hint="eastAsia"/>
          <w:szCs w:val="21"/>
        </w:rPr>
        <w:t xml:space="preserve">     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w:t>
      </w:r>
      <w:r/>
    </w:p>
    <w:p>
      <w:pPr>
        <w:pStyle w:val="730"/>
        <w:ind w:firstLine="420"/>
        <w:jc w:val="right"/>
        <w:spacing w:before="0" w:beforeAutospacing="0" w:after="0"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                                        日期：　　　年　　月　日</w:t>
      </w:r>
      <w:r/>
    </w:p>
    <w:p>
      <w:pPr>
        <w:pStyle w:val="730"/>
        <w:ind w:firstLine="420"/>
        <w:spacing w:before="0" w:beforeAutospacing="0" w:after="0" w:afterAutospacing="0"/>
        <w:shd w:val="clear" w:color="auto" w:fill="ffffff"/>
        <w:rPr>
          <w:rFonts w:hint="eastAsia"/>
          <w:color w:val="333333"/>
          <w:sz w:val="21"/>
          <w:szCs w:val="21"/>
          <w:shd w:val="clear" w:color="auto" w:fill="ffffff"/>
        </w:rPr>
      </w:pPr>
      <w:r>
        <w:rPr>
          <w:rFonts w:hint="eastAsia"/>
          <w:color w:val="333333"/>
          <w:sz w:val="21"/>
          <w:szCs w:val="21"/>
          <w:shd w:val="clear" w:color="auto" w:fill="ffffff"/>
        </w:rPr>
      </w:r>
      <w:r/>
    </w:p>
    <w:p>
      <w:pPr>
        <w:pStyle w:val="730"/>
        <w:ind w:firstLine="420"/>
        <w:spacing w:before="0" w:beforeAutospacing="0" w:after="0" w:afterAutospacing="0"/>
        <w:shd w:val="clear" w:color="auto" w:fill="ffffff"/>
        <w:rPr>
          <w:rFonts w:hint="eastAsia"/>
          <w:color w:val="333333"/>
          <w:sz w:val="21"/>
          <w:szCs w:val="21"/>
          <w:shd w:val="clear" w:color="auto" w:fill="ffffff"/>
        </w:rPr>
      </w:pPr>
      <w:r>
        <w:rPr>
          <w:rFonts w:hint="eastAsia"/>
          <w:color w:val="333333"/>
          <w:sz w:val="21"/>
          <w:szCs w:val="21"/>
          <w:shd w:val="clear" w:color="auto" w:fill="ffffff"/>
        </w:rPr>
        <w:t xml:space="preserve">备注：</w:t>
      </w:r>
      <w:r/>
    </w:p>
    <w:p>
      <w:pPr>
        <w:pStyle w:val="730"/>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1.产品如有型号，请在“产品名称”栏一并填写。</w:t>
      </w:r>
      <w:r/>
    </w:p>
    <w:p>
      <w:pPr>
        <w:pStyle w:val="730"/>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730"/>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730"/>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730"/>
        <w:ind w:firstLine="420"/>
        <w:jc w:val="both"/>
        <w:spacing w:before="0" w:beforeAutospacing="0" w:after="0" w:afterAutospacing="0" w:line="360" w:lineRule="auto"/>
        <w:rPr>
          <w:rFonts w:hint="eastAsia"/>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730"/>
        <w:ind w:firstLine="420"/>
        <w:jc w:val="both"/>
        <w:spacing w:before="0" w:beforeAutospacing="0" w:after="0" w:afterAutospacing="0" w:line="360" w:lineRule="auto"/>
        <w:rPr>
          <w:rFonts w:hint="eastAsia"/>
          <w:b/>
          <w:bCs/>
          <w:sz w:val="21"/>
          <w:szCs w:val="21"/>
        </w:rPr>
      </w:pPr>
      <w:r>
        <w:rPr>
          <w:rFonts w:hint="eastAsia"/>
          <w:color w:val="000000" w:themeColor="text1"/>
          <w:sz w:val="21"/>
          <w:szCs w:val="21"/>
          <w:shd w:val="clear" w:color="auto" w:fill="ffffff"/>
          <w14:textFill>
            <w14:solidFill>
              <w14:schemeClr w14:val="tx1"/>
            </w14:solidFill>
          </w14:textFill>
        </w:rPr>
        <w:t xml:space="preserve">6.《声明函》中标注“</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”的地方无需填写。</w:t>
      </w:r>
      <w:r/>
    </w:p>
    <w:p>
      <w:pPr>
        <w:jc w:val="center"/>
        <w:spacing w:line="360" w:lineRule="auto"/>
        <w:rPr>
          <w:rStyle w:val="737"/>
          <w:rFonts w:hint="eastAsia" w:ascii="宋体" w:hAnsi="宋体" w:cs="宋体"/>
          <w:sz w:val="36"/>
          <w:szCs w:val="36"/>
        </w:rPr>
      </w:pPr>
      <w:r>
        <w:rPr>
          <w:rFonts w:hint="eastAsia" w:ascii="宋体" w:hAnsi="宋体" w:cs="宋体"/>
          <w:b/>
          <w:bCs/>
          <w:sz w:val="28"/>
        </w:rPr>
        <w:br w:type="page" w:clear="all"/>
      </w:r>
      <w:r>
        <w:rPr>
          <w:rFonts w:hint="eastAsia" w:ascii="宋体" w:hAnsi="宋体" w:cs="宋体"/>
          <w:b/>
          <w:bCs/>
          <w:sz w:val="28"/>
        </w:rPr>
        <w:t xml:space="preserve">产品成本占比承诺函</w:t>
      </w:r>
      <w:r/>
    </w:p>
    <w:p>
      <w:pPr>
        <w:ind w:firstLine="420"/>
        <w:jc w:val="left"/>
        <w:spacing w:line="360" w:lineRule="auto"/>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我公司（单位）郑重承诺，我公司已阅读并理解《国务院办公厅关于在政府采购中实施本国产品标准及相关政策的通知》（国办发〔2025〕34号）的规定。据此承诺如下：</w:t>
      </w:r>
      <w:r/>
    </w:p>
    <w:p>
      <w:pPr>
        <w:ind w:firstLine="420"/>
        <w:jc w:val="left"/>
        <w:spacing w:line="360" w:lineRule="auto"/>
        <w:widowControl/>
        <w:rPr>
          <w:rFonts w:hint="eastAsia" w:ascii="宋体" w:hAnsi="宋体" w:cs="宋体"/>
          <w:spacing w:val="6"/>
          <w:szCs w:val="21"/>
        </w:rPr>
      </w:pPr>
      <w:r>
        <w:rPr>
          <w:rFonts w:hint="eastAsia" w:ascii="宋体" w:hAnsi="宋体" w:cs="宋体"/>
          <w:color w:val="333333"/>
          <w:szCs w:val="21"/>
          <w:shd w:val="clear" w:color="auto" w:fill="ffffff"/>
        </w:rPr>
        <w:t xml:space="preserve">为本采购项目或者采购包提供的符合本国产品标准的产品成本之和占提供的全部产品成本之和的比例为</w:t>
      </w:r>
      <w:r>
        <w:rPr>
          <w:rFonts w:hint="eastAsia" w:ascii="宋体" w:hAnsi="宋体" w:cs="宋体"/>
          <w:spacing w:val="6"/>
          <w:szCs w:val="21"/>
        </w:rPr>
        <w:t xml:space="preserve">______%。</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730"/>
        <w:jc w:val="right"/>
        <w:spacing w:before="0" w:beforeAutospacing="0" w:after="0" w:afterAutospacing="0" w:line="360" w:lineRule="auto"/>
        <w:shd w:val="clear" w:color="auto" w:fill="ffffff"/>
        <w:rPr>
          <w:rFonts w:hint="eastAsia"/>
          <w:color w:val="333333"/>
          <w:sz w:val="21"/>
          <w:szCs w:val="21"/>
        </w:rPr>
      </w:pPr>
      <w:r>
        <w:rPr>
          <w:rFonts w:hint="eastAsia"/>
          <w:szCs w:val="21"/>
        </w:rPr>
        <w:t xml:space="preserve">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　</w:t>
      </w:r>
      <w:r/>
    </w:p>
    <w:p>
      <w:pPr>
        <w:jc w:val="right"/>
        <w:rPr>
          <w:rFonts w:hint="eastAsia" w:ascii="宋体" w:hAnsi="宋体" w:cs="宋体"/>
          <w:b/>
          <w:bCs/>
          <w:szCs w:val="21"/>
        </w:rPr>
      </w:pPr>
      <w:r>
        <w:rPr>
          <w:rFonts w:hint="eastAsia" w:ascii="宋体" w:hAnsi="宋体" w:cs="宋体"/>
          <w:color w:val="333333"/>
          <w:szCs w:val="21"/>
          <w:shd w:val="clear" w:color="auto" w:fill="ffffff"/>
        </w:rPr>
        <w:t xml:space="preserve">                                       日期：　     年　  月　  日 </w:t>
      </w:r>
      <w:r/>
    </w:p>
    <w:p>
      <w:pPr>
        <w:spacing w:line="400" w:lineRule="exact"/>
        <w:rPr>
          <w:rFonts w:hint="eastAsia" w:ascii="宋体" w:hAnsi="宋体" w:cs="宋体"/>
          <w:sz w:val="28"/>
        </w:rPr>
      </w:pPr>
      <w:r>
        <w:rPr>
          <w:rFonts w:hint="eastAsia" w:ascii="宋体" w:hAnsi="宋体" w:cs="宋体"/>
          <w:sz w:val="28"/>
        </w:rPr>
      </w:r>
      <w:r/>
    </w:p>
    <w:p>
      <w:pPr>
        <w:ind w:firstLine="420"/>
        <w:spacing w:line="360" w:lineRule="auto"/>
        <w:rPr>
          <w:rFonts w:hint="eastAsia" w:ascii="宋体" w:hAnsi="宋体" w:cs="宋体"/>
          <w:szCs w:val="21"/>
        </w:rPr>
      </w:pPr>
      <w:r>
        <w:rPr>
          <w:rFonts w:hint="eastAsia" w:ascii="宋体" w:hAnsi="宋体" w:cs="宋体"/>
          <w:szCs w:val="21"/>
        </w:rPr>
        <w:t xml:space="preserve">备注：采购本国产品的支持政策</w:t>
      </w:r>
      <w:r/>
    </w:p>
    <w:p>
      <w:pPr>
        <w:ind w:firstLine="420"/>
        <w:spacing w:line="360" w:lineRule="auto"/>
        <w:rPr>
          <w:rFonts w:hint="eastAsia" w:ascii="宋体" w:hAnsi="宋体" w:cs="宋体"/>
          <w:szCs w:val="21"/>
        </w:rPr>
      </w:pPr>
      <w:r>
        <w:rPr>
          <w:rFonts w:hint="eastAsia" w:ascii="宋体" w:hAnsi="宋体" w:cs="宋体"/>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spacing w:line="360" w:lineRule="auto"/>
        <w:rPr>
          <w:rFonts w:hint="eastAsia" w:ascii="宋体" w:hAnsi="宋体" w:cs="宋体"/>
          <w:szCs w:val="21"/>
        </w:rPr>
      </w:pPr>
      <w:r>
        <w:rPr>
          <w:rFonts w:hint="eastAsia" w:ascii="宋体" w:hAnsi="宋体" w:cs="宋体"/>
          <w:szCs w:val="21"/>
        </w:rPr>
        <w:t xml:space="preserve">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szCs w:val="21"/>
        </w:rPr>
      </w:pPr>
      <w:r>
        <w:rPr>
          <w:rFonts w:hint="eastAsia" w:ascii="宋体" w:hAnsi="宋体" w:cs="宋体"/>
          <w:szCs w:val="21"/>
        </w:rPr>
        <w:t xml:space="preserve">4.供应商需在《声明函》中逐一、准确填写产品名称、厂名、生产厂址三项信息（《声明函》中标注“/ ”的地方无需填写）。</w:t>
      </w:r>
      <w:r/>
    </w:p>
    <w:p>
      <w:pPr>
        <w:ind w:firstLine="420"/>
        <w:spacing w:line="360" w:lineRule="auto"/>
        <w:rPr>
          <w:rFonts w:hint="eastAsia" w:ascii="宋体" w:hAnsi="宋体" w:cs="宋体"/>
          <w:b/>
          <w:bCs/>
          <w:sz w:val="28"/>
        </w:rPr>
      </w:pPr>
      <w:r>
        <w:rPr>
          <w:rFonts w:hint="eastAsia" w:ascii="宋体" w:hAnsi="宋体" w:cs="宋体"/>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bCs/>
          <w:sz w:val="28"/>
        </w:rPr>
        <w:br w:type="page" w:clear="all"/>
      </w:r>
      <w:r/>
    </w:p>
    <w:p>
      <w:pPr>
        <w:jc w:val="center"/>
        <w:spacing w:line="360" w:lineRule="auto"/>
        <w:rPr>
          <w:rFonts w:hint="eastAsia" w:ascii="宋体" w:hAnsi="宋体" w:cs="宋体"/>
          <w:b/>
          <w:bCs/>
          <w:sz w:val="28"/>
        </w:rPr>
      </w:pPr>
      <w:r>
        <w:rPr>
          <w:rFonts w:hint="eastAsia" w:ascii="宋体" w:hAnsi="宋体" w:cs="宋体"/>
          <w:b/>
          <w:bCs/>
          <w:sz w:val="28"/>
        </w:rPr>
        <w:t xml:space="preserve">残疾人福利性单位声明函</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日期：</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属于监狱企业的证明文件</w:t>
      </w:r>
      <w:r/>
    </w:p>
    <w:p>
      <w:pP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节能产品认证证书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rPr>
          <w:rFonts w:hint="eastAsia" w:ascii="宋体" w:hAnsi="宋体" w:cs="宋体"/>
          <w:b/>
          <w:bCs/>
          <w:sz w:val="28"/>
        </w:rPr>
      </w:pPr>
      <w:r>
        <w:rPr>
          <w:rFonts w:hint="eastAsia" w:ascii="宋体" w:hAnsi="宋体" w:cs="宋体"/>
          <w:b/>
          <w:bCs/>
          <w:sz w:val="28"/>
        </w:rPr>
      </w:r>
      <w:r/>
    </w:p>
    <w:p>
      <w:pPr>
        <w:jc w:val="center"/>
        <w:spacing w:line="360" w:lineRule="auto"/>
        <w:rPr>
          <w:rFonts w:hint="eastAsia" w:ascii="宋体" w:hAnsi="宋体" w:cs="宋体"/>
          <w:b/>
          <w:bCs/>
        </w:rPr>
      </w:pPr>
      <w:r>
        <w:rPr>
          <w:rFonts w:hint="eastAsia" w:ascii="宋体" w:hAnsi="宋体" w:cs="宋体"/>
          <w:b/>
          <w:bCs/>
          <w:sz w:val="28"/>
        </w:rPr>
        <w:t xml:space="preserve">环境标志产品认证证书</w:t>
      </w:r>
      <w:r/>
    </w:p>
    <w:p>
      <w:pPr>
        <w:spacing w:line="360" w:lineRule="auto"/>
        <w:rPr>
          <w:rFonts w:hint="eastAsia" w:ascii="宋体" w:hAnsi="宋体" w:cs="宋体"/>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hint="eastAsia" w:ascii="宋体" w:hAnsi="宋体" w:cs="宋体"/>
          <w:bCs/>
        </w:rPr>
      </w:pPr>
      <w:r>
        <w:rPr>
          <w:rFonts w:hint="eastAsia" w:ascii="宋体" w:hAnsi="宋体" w:cs="宋体"/>
          <w:bCs/>
        </w:rPr>
        <w:t xml:space="preserve">（对于允许进口产品参加的项目）</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rPr>
      </w:pPr>
      <w:r>
        <w:rPr>
          <w:rFonts w:hint="eastAsia" w:ascii="宋体" w:hAnsi="宋体" w:cs="宋体"/>
          <w:b/>
          <w:szCs w:val="21"/>
          <w:lang w:val="zh-CN"/>
        </w:rPr>
        <w:br w:type="page" w:clear="all"/>
      </w:r>
      <w:r>
        <w:rPr>
          <w:rFonts w:hint="eastAsia" w:ascii="宋体" w:hAnsi="宋体" w:cs="宋体"/>
          <w:b/>
        </w:rPr>
        <w:t xml:space="preserve">附件十一、无重大违法记录声明格式</w:t>
      </w:r>
      <w:r/>
    </w:p>
    <w:p>
      <w:pPr>
        <w:jc w:val="center"/>
        <w:spacing w:line="240" w:lineRule="atLeast"/>
        <w:rPr>
          <w:rFonts w:hint="eastAsia" w:ascii="宋体" w:hAnsi="宋体" w:cs="宋体"/>
          <w:sz w:val="28"/>
          <w:szCs w:val="36"/>
        </w:rPr>
      </w:pPr>
      <w:r>
        <w:rPr>
          <w:rFonts w:hint="eastAsia" w:ascii="宋体" w:hAnsi="宋体" w:cs="宋体"/>
          <w:sz w:val="28"/>
          <w:szCs w:val="36"/>
        </w:rPr>
      </w:r>
      <w:r/>
    </w:p>
    <w:p>
      <w:pPr>
        <w:jc w:val="center"/>
        <w:spacing w:line="240" w:lineRule="atLeast"/>
        <w:rPr>
          <w:rFonts w:hint="eastAsia" w:ascii="宋体" w:hAnsi="宋体" w:cs="宋体"/>
          <w:sz w:val="28"/>
          <w:szCs w:val="36"/>
        </w:rPr>
      </w:pPr>
      <w:r>
        <w:rPr>
          <w:rFonts w:hint="eastAsia" w:ascii="宋体" w:hAnsi="宋体" w:cs="宋体"/>
          <w:sz w:val="28"/>
          <w:szCs w:val="36"/>
        </w:rPr>
        <w:t xml:space="preserve">无重大违法记录声明</w:t>
      </w:r>
      <w:r/>
    </w:p>
    <w:p>
      <w:pPr>
        <w:spacing w:line="360" w:lineRule="auto"/>
        <w:rPr>
          <w:rFonts w:hint="eastAsia" w:ascii="宋体" w:hAnsi="宋体" w:cs="宋体"/>
          <w:szCs w:val="21"/>
        </w:rPr>
      </w:pPr>
      <w:r>
        <w:rPr>
          <w:rFonts w:hint="eastAsia" w:ascii="宋体" w:hAnsi="宋体" w:cs="宋体"/>
          <w:bCs/>
          <w:szCs w:val="21"/>
          <w:lang w:val="zh-CN"/>
        </w:rPr>
        <w:t xml:space="preserve">南京汇采项目管理有限公司</w:t>
      </w:r>
      <w:r>
        <w:rPr>
          <w:rFonts w:hint="eastAsia" w:ascii="宋体" w:hAnsi="宋体" w:cs="宋体"/>
          <w:szCs w:val="21"/>
        </w:rPr>
        <w:t xml:space="preserve">：</w:t>
      </w:r>
      <w:r/>
    </w:p>
    <w:p>
      <w:pPr>
        <w:ind w:firstLine="336"/>
        <w:spacing w:line="360" w:lineRule="auto"/>
        <w:rPr>
          <w:rFonts w:hint="eastAsia" w:ascii="宋体" w:hAnsi="宋体" w:cs="宋体"/>
        </w:rPr>
      </w:pPr>
      <w:r>
        <w:rPr>
          <w:rFonts w:hint="eastAsia" w:ascii="宋体" w:hAnsi="宋体" w:cs="宋体"/>
        </w:rPr>
        <w:t xml:space="preserve">我单位（供应商名称）郑重声明：</w:t>
      </w:r>
      <w:r/>
    </w:p>
    <w:p>
      <w:pPr>
        <w:ind w:firstLine="308"/>
        <w:spacing w:line="360" w:lineRule="auto"/>
        <w:shd w:val="clear" w:color="auto" w:fill="ffffff"/>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，且不是失信被执行人、重大税收违法失信主体名单、政府采购严重违法失信行为记录名单的供应商。</w:t>
      </w:r>
      <w:r/>
    </w:p>
    <w:p>
      <w:pPr>
        <w:ind w:firstLine="420"/>
        <w:spacing w:line="360" w:lineRule="auto"/>
        <w:rPr>
          <w:rFonts w:hint="eastAsia" w:ascii="宋体" w:hAnsi="宋体" w:cs="宋体"/>
        </w:rPr>
      </w:pPr>
      <w:r>
        <w:rPr>
          <w:rFonts w:hint="eastAsia" w:ascii="宋体" w:hAnsi="宋体" w:cs="宋体"/>
        </w:rPr>
      </w:r>
      <w:r/>
    </w:p>
    <w:p>
      <w:pPr>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jc w:val="right"/>
        <w:spacing w:line="360" w:lineRule="auto"/>
        <w:rPr>
          <w:rFonts w:hint="eastAsia" w:ascii="宋体" w:hAnsi="宋体" w:cs="宋体"/>
        </w:rPr>
      </w:pPr>
      <w:r>
        <w:rPr>
          <w:rFonts w:hint="eastAsia" w:ascii="宋体" w:hAnsi="宋体" w:cs="宋体"/>
        </w:rPr>
        <w:t xml:space="preserve">声明人：（</w:t>
      </w:r>
      <w:r>
        <w:rPr>
          <w:rFonts w:hint="eastAsia" w:ascii="宋体" w:hAnsi="宋体" w:cs="宋体"/>
          <w:szCs w:val="21"/>
        </w:rPr>
        <w:t xml:space="preserve">加盖电子公章</w:t>
      </w:r>
      <w:r>
        <w:rPr>
          <w:rFonts w:hint="eastAsia" w:ascii="宋体" w:hAnsi="宋体" w:cs="宋体"/>
        </w:rPr>
        <w:t xml:space="preserve">）</w:t>
      </w:r>
      <w:r/>
    </w:p>
    <w:p>
      <w:pPr>
        <w:ind w:firstLine="5103"/>
        <w:jc w:val="right"/>
        <w:spacing w:line="360" w:lineRule="auto"/>
        <w:rPr>
          <w:rFonts w:hint="eastAsia"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p>
    <w:p>
      <w:pPr>
        <w:jc w:val="left"/>
        <w:spacing w:line="360" w:lineRule="auto"/>
        <w:rPr>
          <w:rFonts w:hint="eastAsia" w:ascii="宋体" w:hAnsi="宋体" w:cs="宋体"/>
          <w:b/>
        </w:rPr>
      </w:pPr>
      <w:r>
        <w:rPr>
          <w:rFonts w:hint="eastAsia" w:ascii="宋体" w:hAnsi="宋体" w:cs="宋体"/>
          <w:b/>
        </w:rPr>
      </w:r>
      <w:r/>
    </w:p>
    <w:p>
      <w:pPr>
        <w:jc w:val="left"/>
        <w:spacing w:line="360" w:lineRule="auto"/>
        <w:rPr>
          <w:rFonts w:hint="eastAsia" w:ascii="宋体" w:hAnsi="宋体" w:cs="宋体"/>
          <w:b/>
        </w:rPr>
      </w:pPr>
      <w:r>
        <w:rPr>
          <w:rFonts w:hint="eastAsia" w:ascii="宋体" w:hAnsi="宋体" w:cs="宋体"/>
          <w:b/>
        </w:rPr>
      </w:r>
      <w:r/>
    </w:p>
    <w:p>
      <w:pPr>
        <w:jc w:val="left"/>
        <w:spacing w:line="360" w:lineRule="auto"/>
        <w:rPr>
          <w:rFonts w:hint="eastAsia" w:ascii="宋体" w:hAnsi="宋体" w:cs="宋体"/>
          <w:b/>
        </w:rPr>
      </w:pPr>
      <w:r>
        <w:rPr>
          <w:rFonts w:hint="eastAsia" w:ascii="宋体" w:hAnsi="宋体" w:cs="宋体"/>
          <w:b/>
        </w:rPr>
      </w:r>
      <w:r/>
    </w:p>
    <w:p>
      <w:pPr>
        <w:jc w:val="left"/>
        <w:spacing w:line="360" w:lineRule="auto"/>
        <w:rPr>
          <w:rFonts w:hint="eastAsia" w:ascii="宋体" w:hAnsi="宋体" w:cs="宋体"/>
          <w:b/>
        </w:rPr>
      </w:pPr>
      <w:r>
        <w:rPr>
          <w:rFonts w:hint="eastAsia" w:ascii="宋体" w:hAnsi="宋体" w:cs="宋体"/>
          <w:b/>
        </w:rPr>
        <w:t xml:space="preserve">附件十二、资格资信证明文件</w:t>
      </w:r>
      <w:r/>
    </w:p>
    <w:p>
      <w:pPr>
        <w:jc w:val="center"/>
        <w:spacing w:line="360" w:lineRule="auto"/>
        <w:rPr>
          <w:rFonts w:hint="eastAsia" w:ascii="宋体" w:hAnsi="宋体" w:cs="宋体"/>
          <w:b/>
        </w:rPr>
      </w:pPr>
      <w:r>
        <w:rPr>
          <w:rFonts w:hint="eastAsia" w:ascii="宋体" w:hAnsi="宋体" w:cs="宋体"/>
          <w:b/>
        </w:rPr>
      </w:r>
      <w:r/>
    </w:p>
    <w:p>
      <w:pPr>
        <w:jc w:val="center"/>
        <w:spacing w:line="360" w:lineRule="auto"/>
        <w:rPr>
          <w:rFonts w:ascii="Arial" w:hAnsi="Arial" w:cs="Arial"/>
          <w:b/>
        </w:rPr>
      </w:pPr>
      <w:r>
        <w:rPr>
          <w:rFonts w:hint="eastAsia" w:ascii="Arial" w:hAnsi="Arial" w:cs="Arial"/>
          <w:b/>
        </w:rPr>
        <w:t xml:space="preserve">根据采购公告中“二、申请人的资格要求”在苏采云平台对应模块填写</w:t>
      </w:r>
      <w:r/>
    </w:p>
    <w:p>
      <w:pPr>
        <w:spacing w:line="360" w:lineRule="auto"/>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t xml:space="preserve">附件十三、其他</w:t>
      </w:r>
      <w:r/>
    </w:p>
    <w:p>
      <w:pPr>
        <w:jc w:val="center"/>
        <w:spacing w:line="360" w:lineRule="auto"/>
        <w:rPr>
          <w:rFonts w:hint="eastAsia" w:ascii="宋体" w:hAnsi="宋体" w:cs="宋体"/>
          <w:b/>
        </w:rPr>
      </w:pPr>
      <w:r>
        <w:rPr>
          <w:rFonts w:hint="eastAsia" w:ascii="宋体" w:hAnsi="宋体" w:cs="宋体"/>
          <w:b/>
        </w:rPr>
      </w:r>
      <w:r/>
    </w:p>
    <w:p>
      <w:pPr>
        <w:jc w:val="center"/>
        <w:spacing w:line="360" w:lineRule="auto"/>
        <w:rPr>
          <w:rFonts w:hint="eastAsia" w:ascii="宋体" w:hAnsi="宋体" w:cs="宋体"/>
          <w:b/>
          <w:bCs/>
          <w:szCs w:val="21"/>
        </w:rPr>
      </w:pPr>
      <w:r>
        <w:rPr>
          <w:rFonts w:hint="eastAsia" w:ascii="宋体" w:hAnsi="宋体" w:cs="宋体"/>
          <w:b/>
        </w:rPr>
        <w:t xml:space="preserve">供应商需要补充的其他内容</w:t>
      </w:r>
      <w:r/>
    </w:p>
    <w:p>
      <w:pPr>
        <w:spacing w:line="440" w:lineRule="exact"/>
        <w:rPr>
          <w:rFonts w:hint="eastAsia" w:ascii="宋体" w:hAnsi="宋体" w:cs="宋体"/>
          <w:b/>
          <w:bCs/>
          <w:szCs w:val="21"/>
        </w:rPr>
      </w:pPr>
      <w:r>
        <w:rPr>
          <w:rFonts w:hint="eastAsia" w:ascii="宋体" w:hAnsi="宋体" w:cs="宋体"/>
          <w:b/>
          <w:bCs/>
          <w:szCs w:val="21"/>
        </w:rPr>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PingFang SC">
    <w:panose1 w:val="020B0503020202020204"/>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Helvetica Neue">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72"/>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689"/>
      <w:isLgl w:val="false"/>
      <w:suff w:val="nothing"/>
      <w:lvlText w:val="第%1章"/>
      <w:lvlJc w:val="left"/>
      <w:pPr>
        <w:ind w:left="0" w:firstLine="0"/>
      </w:pPr>
    </w:lvl>
    <w:lvl w:ilvl="1">
      <w:start w:val="1"/>
      <w:numFmt w:val="none"/>
      <w:pStyle w:val="690"/>
      <w:isLgl w:val="false"/>
      <w:suff w:val="nothing"/>
      <w:lvlText w:val=""/>
      <w:lvlJc w:val="left"/>
      <w:pPr>
        <w:ind w:left="0" w:firstLine="0"/>
      </w:pPr>
    </w:lvl>
    <w:lvl w:ilvl="2">
      <w:start w:val="1"/>
      <w:numFmt w:val="none"/>
      <w:pStyle w:val="691"/>
      <w:isLgl w:val="false"/>
      <w:suff w:val="nothing"/>
      <w:lvlText w:val=""/>
      <w:lvlJc w:val="left"/>
      <w:pPr>
        <w:ind w:left="0" w:firstLine="0"/>
      </w:pPr>
    </w:lvl>
    <w:lvl w:ilvl="3">
      <w:start w:val="1"/>
      <w:numFmt w:val="none"/>
      <w:pStyle w:val="692"/>
      <w:isLgl w:val="false"/>
      <w:suff w:val="nothing"/>
      <w:lvlText w:val=""/>
      <w:lvlJc w:val="left"/>
      <w:pPr>
        <w:ind w:left="0" w:firstLine="0"/>
      </w:pPr>
    </w:lvl>
    <w:lvl w:ilvl="4">
      <w:start w:val="1"/>
      <w:numFmt w:val="none"/>
      <w:pStyle w:val="693"/>
      <w:isLgl w:val="false"/>
      <w:suff w:val="nothing"/>
      <w:lvlText w:val=""/>
      <w:lvlJc w:val="left"/>
      <w:pPr>
        <w:ind w:left="0" w:firstLine="0"/>
      </w:pPr>
    </w:lvl>
    <w:lvl w:ilvl="5">
      <w:start w:val="1"/>
      <w:numFmt w:val="none"/>
      <w:pStyle w:val="694"/>
      <w:isLgl w:val="false"/>
      <w:suff w:val="nothing"/>
      <w:lvlText w:val=""/>
      <w:lvlJc w:val="left"/>
      <w:pPr>
        <w:ind w:left="0" w:firstLine="0"/>
      </w:pPr>
    </w:lvl>
    <w:lvl w:ilvl="6">
      <w:start w:val="1"/>
      <w:numFmt w:val="none"/>
      <w:pStyle w:val="695"/>
      <w:isLgl w:val="false"/>
      <w:suff w:val="nothing"/>
      <w:lvlText w:val=""/>
      <w:lvlJc w:val="left"/>
      <w:pPr>
        <w:ind w:left="0" w:firstLine="0"/>
      </w:pPr>
    </w:lvl>
    <w:lvl w:ilvl="7">
      <w:start w:val="1"/>
      <w:numFmt w:val="none"/>
      <w:pStyle w:val="696"/>
      <w:isLgl w:val="false"/>
      <w:suff w:val="nothing"/>
      <w:lvlText w:val=""/>
      <w:lvlJc w:val="left"/>
      <w:pPr>
        <w:ind w:left="0" w:firstLine="0"/>
      </w:pPr>
    </w:lvl>
    <w:lvl w:ilvl="8">
      <w:start w:val="1"/>
      <w:numFmt w:val="none"/>
      <w:pStyle w:val="697"/>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85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68"/>
      <w:isLgl/>
      <w:suff w:val="tab"/>
      <w:lvlText w:val="%1.%2"/>
      <w:lvlJc w:val="left"/>
      <w:pPr>
        <w:ind w:left="425" w:hanging="425"/>
      </w:pPr>
      <w:rPr>
        <w:rFonts w:hint="eastAsia" w:ascii="Arial Unicode MS" w:hAnsi="Arial Unicode MS" w:eastAsia="微软雅黑"/>
        <w:b/>
        <w:i w:val="0"/>
      </w:rPr>
    </w:lvl>
    <w:lvl w:ilvl="2">
      <w:start w:val="1"/>
      <w:numFmt w:val="decimal"/>
      <w:pStyle w:val="881"/>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70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89"/>
    <w:uiPriority w:val="9"/>
    <w:rPr>
      <w:rFonts w:ascii="Arial" w:hAnsi="Arial" w:eastAsia="Arial" w:cs="Arial"/>
      <w:sz w:val="40"/>
      <w:szCs w:val="40"/>
    </w:rPr>
  </w:style>
  <w:style w:type="character" w:styleId="15">
    <w:name w:val="Heading 2 Char"/>
    <w:basedOn w:val="698"/>
    <w:link w:val="690"/>
    <w:uiPriority w:val="9"/>
    <w:rPr>
      <w:rFonts w:ascii="Arial" w:hAnsi="Arial" w:eastAsia="Arial" w:cs="Arial"/>
      <w:sz w:val="34"/>
    </w:rPr>
  </w:style>
  <w:style w:type="character" w:styleId="17">
    <w:name w:val="Heading 3 Char"/>
    <w:basedOn w:val="698"/>
    <w:link w:val="691"/>
    <w:uiPriority w:val="9"/>
    <w:rPr>
      <w:rFonts w:ascii="Arial" w:hAnsi="Arial" w:eastAsia="Arial" w:cs="Arial"/>
      <w:sz w:val="30"/>
      <w:szCs w:val="30"/>
    </w:rPr>
  </w:style>
  <w:style w:type="character" w:styleId="19">
    <w:name w:val="Heading 4 Char"/>
    <w:basedOn w:val="698"/>
    <w:link w:val="692"/>
    <w:uiPriority w:val="9"/>
    <w:rPr>
      <w:rFonts w:ascii="Arial" w:hAnsi="Arial" w:eastAsia="Arial" w:cs="Arial"/>
      <w:b/>
      <w:bCs/>
      <w:sz w:val="26"/>
      <w:szCs w:val="26"/>
    </w:rPr>
  </w:style>
  <w:style w:type="character" w:styleId="21">
    <w:name w:val="Heading 5 Char"/>
    <w:basedOn w:val="698"/>
    <w:link w:val="693"/>
    <w:uiPriority w:val="9"/>
    <w:rPr>
      <w:rFonts w:ascii="Arial" w:hAnsi="Arial" w:eastAsia="Arial" w:cs="Arial"/>
      <w:b/>
      <w:bCs/>
      <w:sz w:val="24"/>
      <w:szCs w:val="24"/>
    </w:rPr>
  </w:style>
  <w:style w:type="character" w:styleId="23">
    <w:name w:val="Heading 6 Char"/>
    <w:basedOn w:val="698"/>
    <w:link w:val="694"/>
    <w:uiPriority w:val="9"/>
    <w:rPr>
      <w:rFonts w:ascii="Arial" w:hAnsi="Arial" w:eastAsia="Arial" w:cs="Arial"/>
      <w:b/>
      <w:bCs/>
      <w:sz w:val="22"/>
      <w:szCs w:val="22"/>
    </w:rPr>
  </w:style>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8"/>
    <w:link w:val="732"/>
    <w:uiPriority w:val="10"/>
    <w:rPr>
      <w:sz w:val="48"/>
      <w:szCs w:val="48"/>
    </w:rPr>
  </w:style>
  <w:style w:type="character" w:styleId="36">
    <w:name w:val="Subtitle Char"/>
    <w:basedOn w:val="698"/>
    <w:link w:val="724"/>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8"/>
    <w:link w:val="721"/>
    <w:uiPriority w:val="99"/>
  </w:style>
  <w:style w:type="character" w:styleId="44">
    <w:name w:val="Footer Char"/>
    <w:basedOn w:val="698"/>
    <w:link w:val="719"/>
    <w:uiPriority w:val="99"/>
  </w:style>
  <w:style w:type="character" w:styleId="46">
    <w:name w:val="Caption Char"/>
    <w:basedOn w:val="704"/>
    <w:link w:val="719"/>
    <w:uiPriority w:val="99"/>
  </w:style>
  <w:style w:type="table" w:styleId="48">
    <w:name w:val="Table Grid Light"/>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8"/>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8"/>
    <w:uiPriority w:val="99"/>
    <w:semiHidden/>
    <w:unhideWhenUsed/>
    <w:rPr>
      <w:vertAlign w:val="superscript"/>
    </w:r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9">
    <w:name w:val="Heading 1"/>
    <w:basedOn w:val="688"/>
    <w:next w:val="688"/>
    <w:link w:val="836"/>
    <w:uiPriority w:val="0"/>
    <w:qFormat/>
    <w:pPr>
      <w:numPr>
        <w:ilvl w:val="0"/>
        <w:numId w:val="1"/>
      </w:numPr>
      <w:jc w:val="center"/>
      <w:keepLines/>
      <w:keepNext/>
      <w:spacing w:before="340" w:after="330" w:line="578" w:lineRule="auto"/>
      <w:outlineLvl w:val="0"/>
    </w:pPr>
    <w:rPr>
      <w:b/>
      <w:bCs/>
      <w:sz w:val="32"/>
      <w:szCs w:val="44"/>
    </w:rPr>
  </w:style>
  <w:style w:type="paragraph" w:styleId="690">
    <w:name w:val="Heading 2"/>
    <w:basedOn w:val="688"/>
    <w:next w:val="688"/>
    <w:link w:val="76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91">
    <w:name w:val="Heading 3"/>
    <w:basedOn w:val="688"/>
    <w:next w:val="688"/>
    <w:link w:val="804"/>
    <w:uiPriority w:val="0"/>
    <w:qFormat/>
    <w:pPr>
      <w:numPr>
        <w:ilvl w:val="2"/>
        <w:numId w:val="1"/>
      </w:numPr>
      <w:keepLines/>
      <w:keepNext/>
      <w:spacing w:before="260" w:after="260" w:line="416" w:lineRule="auto"/>
      <w:outlineLvl w:val="2"/>
    </w:pPr>
    <w:rPr>
      <w:b/>
      <w:bCs/>
      <w:sz w:val="32"/>
      <w:szCs w:val="32"/>
    </w:rPr>
  </w:style>
  <w:style w:type="paragraph" w:styleId="692">
    <w:name w:val="Heading 4"/>
    <w:basedOn w:val="688"/>
    <w:next w:val="688"/>
    <w:link w:val="84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93">
    <w:name w:val="Heading 5"/>
    <w:basedOn w:val="688"/>
    <w:next w:val="688"/>
    <w:link w:val="794"/>
    <w:uiPriority w:val="0"/>
    <w:qFormat/>
    <w:pPr>
      <w:numPr>
        <w:ilvl w:val="4"/>
        <w:numId w:val="1"/>
      </w:numPr>
      <w:keepLines/>
      <w:keepNext/>
      <w:spacing w:before="280" w:after="290" w:line="376" w:lineRule="auto"/>
      <w:outlineLvl w:val="4"/>
    </w:pPr>
    <w:rPr>
      <w:b/>
      <w:bCs/>
      <w:sz w:val="28"/>
      <w:szCs w:val="28"/>
    </w:rPr>
  </w:style>
  <w:style w:type="paragraph" w:styleId="694">
    <w:name w:val="Heading 6"/>
    <w:basedOn w:val="688"/>
    <w:next w:val="688"/>
    <w:link w:val="780"/>
    <w:uiPriority w:val="0"/>
    <w:qFormat/>
    <w:pPr>
      <w:numPr>
        <w:ilvl w:val="5"/>
        <w:numId w:val="1"/>
      </w:numPr>
      <w:keepLines/>
      <w:keepNext/>
      <w:spacing w:before="240" w:after="64" w:line="320" w:lineRule="auto"/>
      <w:outlineLvl w:val="5"/>
    </w:pPr>
    <w:rPr>
      <w:rFonts w:ascii="Cambria" w:hAnsi="Cambria"/>
      <w:b/>
      <w:bCs/>
      <w:sz w:val="24"/>
    </w:rPr>
  </w:style>
  <w:style w:type="paragraph" w:styleId="695">
    <w:name w:val="Heading 7"/>
    <w:basedOn w:val="688"/>
    <w:next w:val="688"/>
    <w:link w:val="835"/>
    <w:uiPriority w:val="0"/>
    <w:qFormat/>
    <w:pPr>
      <w:numPr>
        <w:ilvl w:val="6"/>
        <w:numId w:val="1"/>
      </w:numPr>
      <w:keepLines/>
      <w:keepNext/>
      <w:spacing w:before="240" w:after="64" w:line="320" w:lineRule="auto"/>
      <w:outlineLvl w:val="6"/>
    </w:pPr>
    <w:rPr>
      <w:b/>
      <w:bCs/>
      <w:sz w:val="24"/>
    </w:rPr>
  </w:style>
  <w:style w:type="paragraph" w:styleId="696">
    <w:name w:val="Heading 8"/>
    <w:basedOn w:val="688"/>
    <w:next w:val="688"/>
    <w:link w:val="820"/>
    <w:uiPriority w:val="0"/>
    <w:qFormat/>
    <w:pPr>
      <w:numPr>
        <w:ilvl w:val="7"/>
        <w:numId w:val="1"/>
      </w:numPr>
      <w:keepLines/>
      <w:keepNext/>
      <w:spacing w:before="240" w:after="64" w:line="320" w:lineRule="auto"/>
      <w:outlineLvl w:val="7"/>
    </w:pPr>
    <w:rPr>
      <w:rFonts w:ascii="Cambria" w:hAnsi="Cambria"/>
      <w:sz w:val="24"/>
    </w:rPr>
  </w:style>
  <w:style w:type="paragraph" w:styleId="697">
    <w:name w:val="Heading 9"/>
    <w:basedOn w:val="688"/>
    <w:next w:val="688"/>
    <w:link w:val="798"/>
    <w:uiPriority w:val="0"/>
    <w:qFormat/>
    <w:pPr>
      <w:numPr>
        <w:ilvl w:val="8"/>
        <w:numId w:val="1"/>
      </w:numPr>
      <w:keepLines/>
      <w:keepNext/>
      <w:spacing w:before="240" w:after="64" w:line="320" w:lineRule="auto"/>
      <w:outlineLvl w:val="8"/>
    </w:pPr>
    <w:rPr>
      <w:rFonts w:ascii="Cambria" w:hAnsi="Cambria"/>
      <w:szCs w:val="21"/>
    </w:rPr>
  </w:style>
  <w:style w:type="character" w:styleId="698" w:default="1">
    <w:name w:val="Default Paragraph Font"/>
    <w:uiPriority w:val="1"/>
    <w:semiHidden/>
    <w:unhideWhenUsed/>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List 3"/>
    <w:basedOn w:val="688"/>
    <w:uiPriority w:val="99"/>
    <w:unhideWhenUsed/>
    <w:qFormat/>
    <w:pPr>
      <w:ind w:left="1260" w:hanging="420"/>
      <w:spacing w:before="100" w:beforeAutospacing="1" w:after="100" w:afterAutospacing="1"/>
    </w:pPr>
    <w:rPr>
      <w:szCs w:val="21"/>
    </w:rPr>
  </w:style>
  <w:style w:type="paragraph" w:styleId="701">
    <w:name w:val="toc 7"/>
    <w:basedOn w:val="688"/>
    <w:next w:val="688"/>
    <w:uiPriority w:val="39"/>
    <w:unhideWhenUsed/>
    <w:qFormat/>
    <w:pPr>
      <w:ind w:left="2520"/>
    </w:pPr>
    <w:rPr>
      <w:rFonts w:ascii="Calibri" w:hAnsi="Calibri"/>
      <w:szCs w:val="22"/>
    </w:rPr>
  </w:style>
  <w:style w:type="paragraph" w:styleId="702">
    <w:name w:val="List Number"/>
    <w:basedOn w:val="688"/>
    <w:uiPriority w:val="0"/>
    <w:qFormat/>
    <w:pPr>
      <w:numPr>
        <w:ilvl w:val="0"/>
        <w:numId w:val="2"/>
      </w:numPr>
      <w:contextualSpacing/>
    </w:pPr>
    <w:rPr>
      <w:rFonts w:ascii="Calibri" w:hAnsi="Calibri"/>
    </w:rPr>
  </w:style>
  <w:style w:type="paragraph" w:styleId="703">
    <w:name w:val="Normal Indent"/>
    <w:basedOn w:val="688"/>
    <w:link w:val="922"/>
    <w:uiPriority w:val="0"/>
    <w:qFormat/>
    <w:pPr>
      <w:ind w:firstLine="420"/>
    </w:pPr>
    <w:rPr>
      <w:b/>
      <w:sz w:val="24"/>
      <w:szCs w:val="20"/>
    </w:rPr>
  </w:style>
  <w:style w:type="paragraph" w:styleId="704">
    <w:name w:val="Caption"/>
    <w:basedOn w:val="688"/>
    <w:next w:val="688"/>
    <w:uiPriority w:val="0"/>
    <w:qFormat/>
    <w:rPr>
      <w:rFonts w:ascii="Cambria" w:hAnsi="Cambria" w:eastAsia="黑体"/>
      <w:sz w:val="20"/>
      <w:szCs w:val="22"/>
    </w:rPr>
  </w:style>
  <w:style w:type="paragraph" w:styleId="705">
    <w:name w:val="Document Map"/>
    <w:basedOn w:val="688"/>
    <w:link w:val="788"/>
    <w:uiPriority w:val="0"/>
    <w:qFormat/>
    <w:rPr>
      <w:rFonts w:ascii="宋体"/>
      <w:sz w:val="18"/>
      <w:szCs w:val="18"/>
    </w:rPr>
  </w:style>
  <w:style w:type="paragraph" w:styleId="706">
    <w:name w:val="annotation text"/>
    <w:basedOn w:val="688"/>
    <w:link w:val="812"/>
    <w:uiPriority w:val="0"/>
    <w:qFormat/>
    <w:pPr>
      <w:jc w:val="left"/>
    </w:pPr>
  </w:style>
  <w:style w:type="paragraph" w:styleId="707">
    <w:name w:val="Body Text 3"/>
    <w:basedOn w:val="688"/>
    <w:link w:val="831"/>
    <w:uiPriority w:val="0"/>
    <w:qFormat/>
    <w:rPr>
      <w:rFonts w:ascii="宋体"/>
      <w:sz w:val="24"/>
      <w:szCs w:val="20"/>
    </w:rPr>
  </w:style>
  <w:style w:type="paragraph" w:styleId="708">
    <w:name w:val="Body Text"/>
    <w:basedOn w:val="688"/>
    <w:next w:val="688"/>
    <w:link w:val="819"/>
    <w:uiPriority w:val="0"/>
    <w:qFormat/>
    <w:pPr>
      <w:jc w:val="center"/>
    </w:pPr>
    <w:rPr>
      <w:rFonts w:eastAsia="幼圆"/>
      <w:b/>
      <w:bCs/>
      <w:sz w:val="44"/>
    </w:rPr>
  </w:style>
  <w:style w:type="paragraph" w:styleId="709">
    <w:name w:val="Body Text Indent"/>
    <w:basedOn w:val="688"/>
    <w:link w:val="775"/>
    <w:uiPriority w:val="0"/>
    <w:qFormat/>
    <w:pPr>
      <w:ind w:left="420"/>
      <w:spacing w:after="120"/>
    </w:pPr>
  </w:style>
  <w:style w:type="paragraph" w:styleId="710">
    <w:name w:val="Block Text"/>
    <w:basedOn w:val="688"/>
    <w:next w:val="688"/>
    <w:uiPriority w:val="99"/>
    <w:unhideWhenUsed/>
    <w:qFormat/>
    <w:pPr>
      <w:ind w:left="1440" w:right="1440"/>
      <w:spacing w:after="120"/>
    </w:pPr>
  </w:style>
  <w:style w:type="paragraph" w:styleId="711">
    <w:name w:val="index 4"/>
    <w:basedOn w:val="688"/>
    <w:next w:val="688"/>
    <w:uiPriority w:val="0"/>
    <w:qFormat/>
    <w:pPr>
      <w:ind w:left="600"/>
    </w:pPr>
    <w:rPr>
      <w:rFonts w:ascii="Calibri" w:hAnsi="Calibri"/>
    </w:rPr>
  </w:style>
  <w:style w:type="paragraph" w:styleId="712">
    <w:name w:val="toc 5"/>
    <w:basedOn w:val="688"/>
    <w:next w:val="688"/>
    <w:uiPriority w:val="39"/>
    <w:unhideWhenUsed/>
    <w:qFormat/>
    <w:pPr>
      <w:ind w:left="1680"/>
    </w:pPr>
    <w:rPr>
      <w:rFonts w:ascii="Calibri" w:hAnsi="Calibri"/>
      <w:szCs w:val="22"/>
    </w:rPr>
  </w:style>
  <w:style w:type="paragraph" w:styleId="713">
    <w:name w:val="toc 3"/>
    <w:basedOn w:val="688"/>
    <w:next w:val="688"/>
    <w:uiPriority w:val="39"/>
    <w:qFormat/>
    <w:pPr>
      <w:ind w:left="840"/>
    </w:pPr>
    <w:rPr>
      <w:rFonts w:ascii="Calibri" w:hAnsi="Calibri"/>
      <w:szCs w:val="22"/>
    </w:rPr>
  </w:style>
  <w:style w:type="paragraph" w:styleId="714">
    <w:name w:val="Plain Text"/>
    <w:basedOn w:val="688"/>
    <w:link w:val="781"/>
    <w:uiPriority w:val="0"/>
    <w:qFormat/>
    <w:rPr>
      <w:rFonts w:ascii="Ari"/>
    </w:rPr>
  </w:style>
  <w:style w:type="paragraph" w:styleId="715">
    <w:name w:val="toc 8"/>
    <w:basedOn w:val="688"/>
    <w:next w:val="688"/>
    <w:uiPriority w:val="39"/>
    <w:unhideWhenUsed/>
    <w:qFormat/>
    <w:pPr>
      <w:ind w:left="2940"/>
    </w:pPr>
    <w:rPr>
      <w:rFonts w:ascii="Calibri" w:hAnsi="Calibri"/>
      <w:szCs w:val="22"/>
    </w:rPr>
  </w:style>
  <w:style w:type="paragraph" w:styleId="716">
    <w:name w:val="Date"/>
    <w:basedOn w:val="688"/>
    <w:next w:val="688"/>
    <w:link w:val="789"/>
    <w:uiPriority w:val="0"/>
    <w:unhideWhenUsed/>
    <w:qFormat/>
  </w:style>
  <w:style w:type="paragraph" w:styleId="717">
    <w:name w:val="Body Text Indent 2"/>
    <w:basedOn w:val="688"/>
    <w:link w:val="811"/>
    <w:uiPriority w:val="99"/>
    <w:unhideWhenUsed/>
    <w:qFormat/>
    <w:pPr>
      <w:ind w:firstLine="525"/>
      <w:spacing w:line="420" w:lineRule="exact"/>
    </w:pPr>
    <w:rPr>
      <w:rFonts w:ascii="宋体"/>
      <w:sz w:val="20"/>
      <w:szCs w:val="20"/>
    </w:rPr>
  </w:style>
  <w:style w:type="paragraph" w:styleId="718">
    <w:name w:val="Balloon Text"/>
    <w:basedOn w:val="688"/>
    <w:link w:val="834"/>
    <w:uiPriority w:val="0"/>
    <w:qFormat/>
    <w:rPr>
      <w:sz w:val="18"/>
      <w:szCs w:val="18"/>
    </w:rPr>
  </w:style>
  <w:style w:type="paragraph" w:styleId="719">
    <w:name w:val="Footer"/>
    <w:basedOn w:val="688"/>
    <w:link w:val="824"/>
    <w:uiPriority w:val="99"/>
    <w:qFormat/>
    <w:pPr>
      <w:jc w:val="left"/>
      <w:tabs>
        <w:tab w:val="center" w:pos="4153" w:leader="none"/>
        <w:tab w:val="right" w:pos="8306" w:leader="none"/>
      </w:tabs>
    </w:pPr>
    <w:rPr>
      <w:sz w:val="18"/>
      <w:szCs w:val="18"/>
    </w:rPr>
  </w:style>
  <w:style w:type="paragraph" w:styleId="720">
    <w:name w:val="envelope return"/>
    <w:basedOn w:val="688"/>
    <w:uiPriority w:val="0"/>
    <w:qFormat/>
    <w:rPr>
      <w:rFonts w:ascii="Arial" w:hAnsi="Arial"/>
    </w:rPr>
  </w:style>
  <w:style w:type="paragraph" w:styleId="721">
    <w:name w:val="Header"/>
    <w:basedOn w:val="688"/>
    <w:link w:val="779"/>
    <w:uiPriority w:val="0"/>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88"/>
    <w:next w:val="688"/>
    <w:uiPriority w:val="39"/>
    <w:qFormat/>
  </w:style>
  <w:style w:type="paragraph" w:styleId="723">
    <w:name w:val="toc 4"/>
    <w:basedOn w:val="688"/>
    <w:next w:val="688"/>
    <w:uiPriority w:val="39"/>
    <w:unhideWhenUsed/>
    <w:qFormat/>
    <w:pPr>
      <w:ind w:left="1260"/>
    </w:pPr>
    <w:rPr>
      <w:rFonts w:ascii="Calibri" w:hAnsi="Calibri"/>
      <w:szCs w:val="22"/>
    </w:rPr>
  </w:style>
  <w:style w:type="paragraph" w:styleId="724">
    <w:name w:val="Subtitle"/>
    <w:basedOn w:val="688"/>
    <w:next w:val="688"/>
    <w:link w:val="807"/>
    <w:uiPriority w:val="0"/>
    <w:qFormat/>
    <w:pPr>
      <w:jc w:val="center"/>
      <w:spacing w:before="240" w:after="60" w:line="312" w:lineRule="auto"/>
      <w:outlineLvl w:val="1"/>
    </w:pPr>
    <w:rPr>
      <w:rFonts w:ascii="Cambria" w:hAnsi="Cambria"/>
      <w:b/>
      <w:bCs/>
      <w:sz w:val="32"/>
      <w:szCs w:val="32"/>
    </w:rPr>
  </w:style>
  <w:style w:type="paragraph" w:styleId="725">
    <w:name w:val="toc 6"/>
    <w:basedOn w:val="688"/>
    <w:next w:val="688"/>
    <w:uiPriority w:val="39"/>
    <w:unhideWhenUsed/>
    <w:qFormat/>
    <w:pPr>
      <w:ind w:left="2100"/>
    </w:pPr>
    <w:rPr>
      <w:rFonts w:ascii="Calibri" w:hAnsi="Calibri"/>
      <w:szCs w:val="22"/>
    </w:rPr>
  </w:style>
  <w:style w:type="paragraph" w:styleId="726">
    <w:name w:val="Body Text Indent 3"/>
    <w:basedOn w:val="688"/>
    <w:link w:val="832"/>
    <w:uiPriority w:val="0"/>
    <w:qFormat/>
    <w:pPr>
      <w:ind w:left="420"/>
      <w:spacing w:after="120"/>
    </w:pPr>
    <w:rPr>
      <w:sz w:val="16"/>
      <w:szCs w:val="20"/>
    </w:rPr>
  </w:style>
  <w:style w:type="paragraph" w:styleId="727">
    <w:name w:val="toc 2"/>
    <w:basedOn w:val="688"/>
    <w:next w:val="688"/>
    <w:uiPriority w:val="39"/>
    <w:qFormat/>
    <w:pPr>
      <w:ind w:left="420"/>
    </w:pPr>
    <w:rPr>
      <w:rFonts w:ascii="Calibri" w:hAnsi="Calibri"/>
      <w:szCs w:val="22"/>
    </w:rPr>
  </w:style>
  <w:style w:type="paragraph" w:styleId="728">
    <w:name w:val="toc 9"/>
    <w:basedOn w:val="688"/>
    <w:next w:val="688"/>
    <w:uiPriority w:val="39"/>
    <w:unhideWhenUsed/>
    <w:qFormat/>
    <w:pPr>
      <w:ind w:left="3360"/>
    </w:pPr>
    <w:rPr>
      <w:rFonts w:ascii="Calibri" w:hAnsi="Calibri"/>
      <w:szCs w:val="22"/>
    </w:rPr>
  </w:style>
  <w:style w:type="paragraph" w:styleId="729">
    <w:name w:val="HTML Preformatted"/>
    <w:basedOn w:val="688"/>
    <w:link w:val="91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0">
    <w:name w:val="Normal (Web)"/>
    <w:basedOn w:val="688"/>
    <w:uiPriority w:val="0"/>
    <w:qFormat/>
    <w:pPr>
      <w:jc w:val="left"/>
      <w:spacing w:before="100" w:beforeAutospacing="1" w:after="100" w:afterAutospacing="1"/>
      <w:widowControl/>
    </w:pPr>
    <w:rPr>
      <w:rFonts w:ascii="宋体" w:hAnsi="宋体" w:cs="宋体"/>
      <w:sz w:val="24"/>
    </w:rPr>
  </w:style>
  <w:style w:type="paragraph" w:styleId="731">
    <w:name w:val="index 1"/>
    <w:basedOn w:val="688"/>
    <w:next w:val="688"/>
    <w:uiPriority w:val="0"/>
    <w:qFormat/>
    <w:pPr>
      <w:jc w:val="center"/>
      <w:spacing w:line="220" w:lineRule="exact"/>
    </w:pPr>
    <w:rPr>
      <w:rFonts w:ascii="仿宋_GB2312" w:hAnsi="Calibri" w:eastAsia="仿宋_GB2312"/>
      <w:szCs w:val="22"/>
    </w:rPr>
  </w:style>
  <w:style w:type="paragraph" w:styleId="732">
    <w:name w:val="Title"/>
    <w:basedOn w:val="688"/>
    <w:link w:val="784"/>
    <w:uiPriority w:val="0"/>
    <w:qFormat/>
    <w:pPr>
      <w:jc w:val="center"/>
      <w:spacing w:before="240" w:after="60" w:line="420" w:lineRule="atLeast"/>
      <w:outlineLvl w:val="0"/>
    </w:pPr>
    <w:rPr>
      <w:rFonts w:ascii="Arial" w:hAnsi="Arial"/>
      <w:b/>
      <w:sz w:val="32"/>
      <w:szCs w:val="20"/>
    </w:rPr>
  </w:style>
  <w:style w:type="paragraph" w:styleId="733">
    <w:name w:val="annotation subject"/>
    <w:basedOn w:val="706"/>
    <w:next w:val="706"/>
    <w:link w:val="822"/>
    <w:uiPriority w:val="0"/>
    <w:qFormat/>
    <w:rPr>
      <w:b/>
      <w:bCs/>
    </w:rPr>
  </w:style>
  <w:style w:type="paragraph" w:styleId="734">
    <w:name w:val="Body Text First Indent"/>
    <w:basedOn w:val="708"/>
    <w:uiPriority w:val="99"/>
    <w:unhideWhenUsed/>
    <w:qFormat/>
    <w:pPr>
      <w:ind w:firstLine="426"/>
      <w:spacing w:line="400" w:lineRule="atLeast"/>
    </w:pPr>
    <w:rPr>
      <w:sz w:val="24"/>
      <w:szCs w:val="20"/>
    </w:rPr>
  </w:style>
  <w:style w:type="paragraph" w:styleId="735">
    <w:name w:val="Body Text First Indent 2"/>
    <w:basedOn w:val="709"/>
    <w:uiPriority w:val="99"/>
    <w:unhideWhenUsed/>
    <w:qFormat/>
    <w:pPr>
      <w:ind w:firstLine="420"/>
    </w:pPr>
  </w:style>
  <w:style w:type="table" w:styleId="736">
    <w:name w:val="Table Grid"/>
    <w:basedOn w:val="6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698"/>
    <w:uiPriority w:val="0"/>
    <w:qFormat/>
    <w:rPr>
      <w:rFonts w:cs="Times New Roman"/>
      <w:b/>
    </w:rPr>
  </w:style>
  <w:style w:type="character" w:styleId="738">
    <w:name w:val="page number"/>
    <w:uiPriority w:val="0"/>
    <w:qFormat/>
    <w:rPr>
      <w:rFonts w:eastAsia="宋体"/>
      <w:b/>
      <w:spacing w:val="0"/>
      <w:sz w:val="24"/>
      <w:szCs w:val="24"/>
      <w:vertAlign w:val="baseline"/>
      <w:lang w:val="en-US" w:eastAsia="zh-CN" w:bidi="ar-SA"/>
    </w:rPr>
  </w:style>
  <w:style w:type="character" w:styleId="739">
    <w:name w:val="FollowedHyperlink"/>
    <w:uiPriority w:val="0"/>
    <w:qFormat/>
    <w:rPr>
      <w:color w:val="800080"/>
      <w:u w:val="single"/>
    </w:rPr>
  </w:style>
  <w:style w:type="character" w:styleId="740">
    <w:name w:val="Emphasis"/>
    <w:basedOn w:val="698"/>
    <w:uiPriority w:val="0"/>
    <w:qFormat/>
    <w:rPr>
      <w:color w:val="cc0000"/>
    </w:rPr>
  </w:style>
  <w:style w:type="character" w:styleId="741">
    <w:name w:val="Hyperlink"/>
    <w:uiPriority w:val="99"/>
    <w:qFormat/>
    <w:rPr>
      <w:color w:val="0000ff"/>
      <w:u w:val="single"/>
    </w:rPr>
  </w:style>
  <w:style w:type="character" w:styleId="742">
    <w:name w:val="annotation reference"/>
    <w:uiPriority w:val="0"/>
    <w:qFormat/>
    <w:rPr>
      <w:sz w:val="21"/>
      <w:szCs w:val="21"/>
    </w:rPr>
  </w:style>
  <w:style w:type="character" w:styleId="743">
    <w:name w:val="HTML Cite"/>
    <w:uiPriority w:val="0"/>
    <w:qFormat/>
    <w:rPr>
      <w:color w:val="008000"/>
    </w:rPr>
  </w:style>
  <w:style w:type="paragraph" w:styleId="744" w:customStyle="1">
    <w:name w:val="一级条标题"/>
    <w:basedOn w:val="745"/>
    <w:next w:val="7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5" w:customStyle="1">
    <w:name w:val="章标题"/>
    <w:next w:val="68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46" w:customStyle="1">
    <w:name w:val="段"/>
    <w:basedOn w:val="747"/>
    <w:next w:val="688"/>
    <w:uiPriority w:val="0"/>
    <w:qFormat/>
    <w:pPr>
      <w:ind w:firstLine="200"/>
      <w:widowControl/>
    </w:pPr>
    <w:rPr>
      <w:rFonts w:hint="eastAsia" w:ascii="宋体"/>
    </w:rPr>
  </w:style>
  <w:style w:type="paragraph" w:styleId="747" w:customStyle="1">
    <w:name w:val="正文1"/>
    <w:next w:val="748"/>
    <w:uiPriority w:val="0"/>
    <w:qFormat/>
    <w:pPr>
      <w:jc w:val="both"/>
      <w:widowControl w:val="off"/>
    </w:pPr>
    <w:rPr>
      <w:rFonts w:ascii="Calibri" w:hAnsi="Calibri" w:eastAsia="宋体" w:cs="Times New Roman"/>
      <w:lang w:val="en-US" w:eastAsia="zh-CN" w:bidi="ar-SA"/>
    </w:rPr>
  </w:style>
  <w:style w:type="paragraph" w:styleId="748" w:customStyle="1">
    <w:name w:val="正文文本1"/>
    <w:basedOn w:val="749"/>
    <w:next w:val="744"/>
    <w:uiPriority w:val="0"/>
    <w:qFormat/>
    <w:rPr>
      <w:rFonts w:ascii="楷体_GB2312" w:hAnsi="Arial" w:eastAsia="楷体_GB2312"/>
      <w:sz w:val="28"/>
      <w:szCs w:val="28"/>
    </w:rPr>
  </w:style>
  <w:style w:type="paragraph" w:styleId="749" w:customStyle="1">
    <w:name w:val="正文111"/>
    <w:next w:val="750"/>
    <w:uiPriority w:val="0"/>
    <w:qFormat/>
    <w:pPr>
      <w:jc w:val="both"/>
      <w:widowControl w:val="off"/>
    </w:pPr>
    <w:rPr>
      <w:rFonts w:ascii="Times New Roman" w:hAnsi="Times New Roman" w:eastAsia="宋体" w:cs="Times New Roman"/>
      <w:sz w:val="21"/>
      <w:szCs w:val="24"/>
      <w:lang w:val="en-US" w:eastAsia="zh-CN" w:bidi="ar-SA"/>
    </w:rPr>
  </w:style>
  <w:style w:type="paragraph" w:styleId="750" w:customStyle="1">
    <w:name w:val="正文文本缩进1"/>
    <w:basedOn w:val="751"/>
    <w:next w:val="754"/>
    <w:uiPriority w:val="0"/>
    <w:qFormat/>
    <w:pPr>
      <w:ind w:left="420"/>
      <w:spacing w:after="120"/>
    </w:pPr>
  </w:style>
  <w:style w:type="paragraph" w:styleId="751" w:customStyle="1">
    <w:name w:val="正文11"/>
    <w:next w:val="752"/>
    <w:uiPriority w:val="0"/>
    <w:qFormat/>
    <w:rPr>
      <w:rFonts w:ascii="Calibri" w:hAnsi="Calibri" w:eastAsia="宋体" w:cs="Calibri"/>
      <w:sz w:val="24"/>
      <w:szCs w:val="24"/>
      <w:lang w:val="en-US" w:eastAsia="zh-CN" w:bidi="ar-SA"/>
    </w:rPr>
  </w:style>
  <w:style w:type="paragraph" w:styleId="752" w:customStyle="1">
    <w:name w:val="文本块1"/>
    <w:basedOn w:val="749"/>
    <w:next w:val="753"/>
    <w:uiPriority w:val="0"/>
    <w:qFormat/>
    <w:pPr>
      <w:ind w:left="256" w:right="6" w:firstLine="624"/>
    </w:pPr>
    <w:rPr>
      <w:rFonts w:eastAsia="仿宋_GB2312"/>
      <w:sz w:val="28"/>
    </w:rPr>
  </w:style>
  <w:style w:type="paragraph" w:styleId="753" w:customStyle="1">
    <w:name w:val="标题 41"/>
    <w:basedOn w:val="751"/>
    <w:next w:val="751"/>
    <w:uiPriority w:val="0"/>
    <w:qFormat/>
    <w:pPr>
      <w:keepLines/>
      <w:keepNext/>
      <w:spacing w:before="280" w:after="290" w:line="376" w:lineRule="auto"/>
      <w:outlineLvl w:val="3"/>
    </w:pPr>
    <w:rPr>
      <w:rFonts w:ascii="Cambria" w:hAnsi="Cambria"/>
      <w:b/>
      <w:bCs/>
      <w:sz w:val="28"/>
      <w:szCs w:val="28"/>
    </w:rPr>
  </w:style>
  <w:style w:type="paragraph" w:styleId="754" w:customStyle="1">
    <w:name w:val="寄信人地址1"/>
    <w:basedOn w:val="688"/>
    <w:uiPriority w:val="0"/>
    <w:qFormat/>
    <w:rPr>
      <w:rFonts w:ascii="Arial" w:hAnsi="Arial"/>
    </w:rPr>
  </w:style>
  <w:style w:type="paragraph" w:styleId="75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5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57" w:customStyle="1">
    <w:name w:val="Body Text First Indent 21"/>
    <w:basedOn w:val="758"/>
    <w:uiPriority w:val="0"/>
    <w:qFormat/>
    <w:pPr>
      <w:ind w:firstLine="420"/>
    </w:pPr>
  </w:style>
  <w:style w:type="paragraph" w:styleId="758" w:customStyle="1">
    <w:name w:val="Body Text Indent1"/>
    <w:basedOn w:val="688"/>
    <w:uiPriority w:val="0"/>
    <w:qFormat/>
    <w:pPr>
      <w:ind w:left="420"/>
    </w:pPr>
  </w:style>
  <w:style w:type="paragraph" w:styleId="759">
    <w:name w:val="List Paragraph"/>
    <w:basedOn w:val="688"/>
    <w:link w:val="939"/>
    <w:uiPriority w:val="99"/>
    <w:qFormat/>
    <w:pPr>
      <w:ind w:firstLine="420"/>
    </w:pPr>
  </w:style>
  <w:style w:type="character" w:styleId="760" w:customStyle="1">
    <w:name w:val="明显强调1"/>
    <w:uiPriority w:val="0"/>
    <w:qFormat/>
    <w:rPr>
      <w:b/>
      <w:bCs/>
      <w:i/>
      <w:iCs/>
      <w:color w:val="4f81bd"/>
    </w:rPr>
  </w:style>
  <w:style w:type="character" w:styleId="761" w:customStyle="1">
    <w:name w:val="批注文字 Char2"/>
    <w:uiPriority w:val="0"/>
    <w:qFormat/>
    <w:rPr>
      <w:sz w:val="21"/>
    </w:rPr>
  </w:style>
  <w:style w:type="character" w:styleId="762" w:customStyle="1">
    <w:name w:val="标题 3 Char_0"/>
    <w:link w:val="763"/>
    <w:uiPriority w:val="0"/>
    <w:qFormat/>
    <w:rPr>
      <w:b/>
      <w:bCs/>
      <w:sz w:val="32"/>
      <w:szCs w:val="32"/>
    </w:rPr>
  </w:style>
  <w:style w:type="paragraph" w:styleId="763" w:customStyle="1">
    <w:name w:val="标题 3_0"/>
    <w:basedOn w:val="764"/>
    <w:next w:val="764"/>
    <w:link w:val="762"/>
    <w:uiPriority w:val="0"/>
    <w:qFormat/>
    <w:pPr>
      <w:keepLines/>
      <w:keepNext/>
      <w:spacing w:before="260" w:after="260" w:line="416" w:lineRule="auto"/>
      <w:outlineLvl w:val="2"/>
    </w:pPr>
    <w:rPr>
      <w:b/>
      <w:bCs/>
      <w:sz w:val="32"/>
      <w:szCs w:val="32"/>
    </w:rPr>
  </w:style>
  <w:style w:type="paragraph" w:styleId="76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765" w:customStyle="1">
    <w:name w:val="标题 2 字符"/>
    <w:link w:val="690"/>
    <w:uiPriority w:val="0"/>
    <w:qFormat/>
    <w:rPr>
      <w:rFonts w:ascii="Cambria" w:hAnsi="Cambria"/>
      <w:b/>
      <w:bCs/>
      <w:sz w:val="32"/>
      <w:szCs w:val="32"/>
    </w:rPr>
  </w:style>
  <w:style w:type="character" w:styleId="766" w:customStyle="1">
    <w:name w:val="正文文本 Char2"/>
    <w:uiPriority w:val="99"/>
    <w:semiHidden/>
    <w:qFormat/>
    <w:rPr>
      <w:rFonts w:ascii="Calibri" w:hAnsi="Calibri" w:eastAsia="宋体" w:cs="Times New Roman"/>
    </w:rPr>
  </w:style>
  <w:style w:type="character" w:styleId="767" w:customStyle="1">
    <w:name w:val="页脚 Char1"/>
    <w:uiPriority w:val="99"/>
    <w:semiHidden/>
    <w:qFormat/>
    <w:rPr>
      <w:rFonts w:ascii="Calibri" w:hAnsi="Calibri" w:eastAsia="宋体" w:cs="Times New Roman"/>
      <w:sz w:val="18"/>
      <w:szCs w:val="18"/>
    </w:rPr>
  </w:style>
  <w:style w:type="character" w:styleId="768" w:customStyle="1">
    <w:name w:val="明显引用 Char2"/>
    <w:uiPriority w:val="99"/>
    <w:qFormat/>
    <w:rPr>
      <w:b/>
      <w:bCs/>
      <w:i/>
      <w:iCs/>
      <w:color w:val="4f81bd"/>
      <w:sz w:val="21"/>
      <w:szCs w:val="24"/>
    </w:rPr>
  </w:style>
  <w:style w:type="character" w:styleId="769" w:customStyle="1">
    <w:name w:val="引用 Char"/>
    <w:link w:val="770"/>
    <w:uiPriority w:val="0"/>
    <w:qFormat/>
    <w:rPr>
      <w:i/>
      <w:iCs/>
      <w:color w:val="000000"/>
    </w:rPr>
  </w:style>
  <w:style w:type="paragraph" w:styleId="770" w:customStyle="1">
    <w:name w:val="引用1"/>
    <w:basedOn w:val="688"/>
    <w:next w:val="688"/>
    <w:link w:val="769"/>
    <w:uiPriority w:val="0"/>
    <w:qFormat/>
    <w:rPr>
      <w:i/>
      <w:iCs/>
      <w:color w:val="000000"/>
      <w:sz w:val="20"/>
      <w:szCs w:val="20"/>
    </w:rPr>
  </w:style>
  <w:style w:type="character" w:styleId="771" w:customStyle="1">
    <w:name w:val="标题 1 Char_0"/>
    <w:link w:val="772"/>
    <w:uiPriority w:val="0"/>
    <w:qFormat/>
    <w:rPr>
      <w:b/>
      <w:bCs/>
      <w:sz w:val="44"/>
      <w:szCs w:val="44"/>
    </w:rPr>
  </w:style>
  <w:style w:type="paragraph" w:styleId="772" w:customStyle="1">
    <w:name w:val="标题 1_0"/>
    <w:basedOn w:val="764"/>
    <w:next w:val="764"/>
    <w:link w:val="771"/>
    <w:uiPriority w:val="0"/>
    <w:qFormat/>
    <w:pPr>
      <w:keepLines/>
      <w:keepNext/>
      <w:spacing w:before="340" w:after="330" w:line="578" w:lineRule="auto"/>
      <w:outlineLvl w:val="0"/>
    </w:pPr>
    <w:rPr>
      <w:b/>
      <w:bCs/>
      <w:sz w:val="44"/>
      <w:szCs w:val="44"/>
    </w:rPr>
  </w:style>
  <w:style w:type="character" w:styleId="773" w:customStyle="1">
    <w:name w:val="正文文本缩进 3 Char1"/>
    <w:uiPriority w:val="99"/>
    <w:semiHidden/>
    <w:qFormat/>
    <w:rPr>
      <w:sz w:val="16"/>
      <w:szCs w:val="16"/>
    </w:rPr>
  </w:style>
  <w:style w:type="character" w:styleId="774" w:customStyle="1">
    <w:name w:val="引用 Char1"/>
    <w:uiPriority w:val="29"/>
    <w:qFormat/>
    <w:rPr>
      <w:i/>
      <w:iCs/>
      <w:color w:val="000000"/>
      <w:sz w:val="21"/>
    </w:rPr>
  </w:style>
  <w:style w:type="character" w:styleId="775" w:customStyle="1">
    <w:name w:val="正文文本缩进 字符"/>
    <w:link w:val="709"/>
    <w:uiPriority w:val="0"/>
    <w:qFormat/>
    <w:rPr>
      <w:sz w:val="21"/>
      <w:szCs w:val="24"/>
    </w:rPr>
  </w:style>
  <w:style w:type="character" w:styleId="776" w:customStyle="1">
    <w:name w:val="font161"/>
    <w:uiPriority w:val="0"/>
    <w:qFormat/>
    <w:rPr>
      <w:b/>
      <w:sz w:val="32"/>
    </w:rPr>
  </w:style>
  <w:style w:type="character" w:styleId="777" w:customStyle="1">
    <w:name w:val="标题 4 Char_0"/>
    <w:link w:val="778"/>
    <w:uiPriority w:val="0"/>
    <w:qFormat/>
    <w:rPr>
      <w:rFonts w:ascii="Arial" w:hAnsi="Arial" w:eastAsia="黑体"/>
      <w:b/>
      <w:bCs/>
      <w:sz w:val="28"/>
      <w:szCs w:val="28"/>
    </w:rPr>
  </w:style>
  <w:style w:type="paragraph" w:styleId="778" w:customStyle="1">
    <w:name w:val="标题 4_0"/>
    <w:basedOn w:val="764"/>
    <w:next w:val="764"/>
    <w:link w:val="777"/>
    <w:uiPriority w:val="0"/>
    <w:qFormat/>
    <w:pPr>
      <w:keepLines/>
      <w:keepNext/>
      <w:spacing w:before="280" w:after="290" w:line="376" w:lineRule="auto"/>
      <w:outlineLvl w:val="3"/>
    </w:pPr>
    <w:rPr>
      <w:rFonts w:ascii="Arial" w:hAnsi="Arial" w:eastAsia="黑体"/>
      <w:b/>
      <w:bCs/>
      <w:sz w:val="28"/>
      <w:szCs w:val="28"/>
    </w:rPr>
  </w:style>
  <w:style w:type="character" w:styleId="779" w:customStyle="1">
    <w:name w:val="页眉 字符"/>
    <w:link w:val="721"/>
    <w:uiPriority w:val="0"/>
    <w:qFormat/>
    <w:rPr>
      <w:sz w:val="18"/>
      <w:szCs w:val="18"/>
    </w:rPr>
  </w:style>
  <w:style w:type="character" w:styleId="780" w:customStyle="1">
    <w:name w:val="标题 6 字符"/>
    <w:link w:val="694"/>
    <w:uiPriority w:val="0"/>
    <w:qFormat/>
    <w:rPr>
      <w:rFonts w:ascii="Cambria" w:hAnsi="Cambria"/>
      <w:b/>
      <w:bCs/>
      <w:sz w:val="24"/>
      <w:szCs w:val="24"/>
    </w:rPr>
  </w:style>
  <w:style w:type="character" w:styleId="781" w:customStyle="1">
    <w:name w:val="纯文本 字符"/>
    <w:link w:val="714"/>
    <w:uiPriority w:val="99"/>
    <w:qFormat/>
    <w:rPr>
      <w:rFonts w:ascii="Ari"/>
      <w:lang w:val="en-US" w:eastAsia="zh-CN" w:bidi="ar-SA"/>
    </w:rPr>
  </w:style>
  <w:style w:type="character" w:styleId="782" w:customStyle="1">
    <w:name w:val="引用 Char2"/>
    <w:uiPriority w:val="99"/>
    <w:qFormat/>
    <w:rPr>
      <w:i/>
      <w:iCs/>
      <w:color w:val="000000"/>
      <w:sz w:val="21"/>
      <w:szCs w:val="24"/>
    </w:rPr>
  </w:style>
  <w:style w:type="character" w:styleId="783" w:customStyle="1">
    <w:name w:val="rvts11"/>
    <w:uiPriority w:val="0"/>
    <w:qFormat/>
    <w:rPr>
      <w:rFonts w:hint="default" w:ascii="KNLe" w:hAnsi="KNLe"/>
      <w:sz w:val="24"/>
      <w:szCs w:val="24"/>
      <w:u w:val="single"/>
    </w:rPr>
  </w:style>
  <w:style w:type="character" w:styleId="784" w:customStyle="1">
    <w:name w:val="标题 字符"/>
    <w:link w:val="732"/>
    <w:uiPriority w:val="0"/>
    <w:qFormat/>
    <w:rPr>
      <w:rFonts w:ascii="Arial" w:hAnsi="Arial"/>
      <w:b/>
      <w:sz w:val="32"/>
    </w:rPr>
  </w:style>
  <w:style w:type="character" w:styleId="785" w:customStyle="1">
    <w:name w:val="标题5 Char Char"/>
    <w:link w:val="786"/>
    <w:uiPriority w:val="0"/>
    <w:qFormat/>
    <w:rPr>
      <w:rFonts w:ascii="Arial" w:hAnsi="Arial"/>
      <w:b/>
      <w:bCs/>
      <w:sz w:val="24"/>
      <w:szCs w:val="32"/>
    </w:rPr>
  </w:style>
  <w:style w:type="paragraph" w:styleId="786" w:customStyle="1">
    <w:name w:val="标题5"/>
    <w:basedOn w:val="691"/>
    <w:link w:val="785"/>
    <w:uiPriority w:val="0"/>
    <w:qFormat/>
    <w:pPr>
      <w:numPr>
        <w:ilvl w:val="0"/>
        <w:numId w:val="0"/>
      </w:numPr>
      <w:spacing w:line="413" w:lineRule="auto"/>
    </w:pPr>
    <w:rPr>
      <w:rFonts w:ascii="Arial" w:hAnsi="Arial"/>
      <w:sz w:val="24"/>
    </w:rPr>
  </w:style>
  <w:style w:type="character" w:styleId="787" w:customStyle="1">
    <w:name w:val="副标题 Char2"/>
    <w:uiPriority w:val="11"/>
    <w:qFormat/>
    <w:rPr>
      <w:rFonts w:ascii="Cambria" w:hAnsi="Cambria" w:cs="Times New Roman"/>
      <w:b/>
      <w:bCs/>
      <w:sz w:val="32"/>
      <w:szCs w:val="32"/>
    </w:rPr>
  </w:style>
  <w:style w:type="character" w:styleId="788" w:customStyle="1">
    <w:name w:val="文档结构图 字符"/>
    <w:link w:val="705"/>
    <w:uiPriority w:val="0"/>
    <w:qFormat/>
    <w:rPr>
      <w:rFonts w:ascii="宋体"/>
      <w:sz w:val="18"/>
      <w:szCs w:val="18"/>
    </w:rPr>
  </w:style>
  <w:style w:type="character" w:styleId="789" w:customStyle="1">
    <w:name w:val="日期 字符"/>
    <w:link w:val="716"/>
    <w:uiPriority w:val="0"/>
    <w:qFormat/>
    <w:rPr>
      <w:sz w:val="21"/>
      <w:szCs w:val="24"/>
    </w:rPr>
  </w:style>
  <w:style w:type="character" w:styleId="790" w:customStyle="1">
    <w:name w:val="批注主题 Char1"/>
    <w:uiPriority w:val="0"/>
    <w:qFormat/>
    <w:rPr>
      <w:b/>
      <w:bCs/>
      <w:sz w:val="21"/>
      <w:szCs w:val="22"/>
    </w:rPr>
  </w:style>
  <w:style w:type="character" w:styleId="791" w:customStyle="1">
    <w:name w:val="font31"/>
    <w:uiPriority w:val="0"/>
    <w:qFormat/>
    <w:rPr>
      <w:rFonts w:hint="eastAsia" w:ascii="宋体" w:hAnsi="宋体" w:eastAsia="宋体" w:cs="宋体"/>
      <w:color w:val="000000"/>
      <w:sz w:val="20"/>
      <w:szCs w:val="20"/>
      <w:u w:val="none"/>
    </w:rPr>
  </w:style>
  <w:style w:type="character" w:styleId="792" w:customStyle="1">
    <w:name w:val="明显引用 Char"/>
    <w:link w:val="793"/>
    <w:uiPriority w:val="0"/>
    <w:qFormat/>
    <w:rPr>
      <w:b/>
      <w:bCs/>
      <w:i/>
      <w:iCs/>
      <w:color w:val="4f81bd"/>
    </w:rPr>
  </w:style>
  <w:style w:type="paragraph" w:styleId="793" w:customStyle="1">
    <w:name w:val="明显引用1"/>
    <w:basedOn w:val="688"/>
    <w:next w:val="688"/>
    <w:link w:val="792"/>
    <w:uiPriority w:val="0"/>
    <w:qFormat/>
    <w:pPr>
      <w:ind w:left="936" w:right="936"/>
      <w:spacing w:before="200" w:after="280"/>
      <w:pBdr>
        <w:bottom w:val="single" w:color="4F81BD" w:sz="4" w:space="4"/>
      </w:pBdr>
    </w:pPr>
    <w:rPr>
      <w:b/>
      <w:bCs/>
      <w:i/>
      <w:iCs/>
      <w:color w:val="4f81bd"/>
      <w:sz w:val="20"/>
      <w:szCs w:val="20"/>
    </w:rPr>
  </w:style>
  <w:style w:type="character" w:styleId="794" w:customStyle="1">
    <w:name w:val="标题 5 字符"/>
    <w:link w:val="693"/>
    <w:uiPriority w:val="0"/>
    <w:qFormat/>
    <w:rPr>
      <w:b/>
      <w:bCs/>
      <w:sz w:val="28"/>
      <w:szCs w:val="28"/>
    </w:rPr>
  </w:style>
  <w:style w:type="character" w:styleId="795" w:customStyle="1">
    <w:name w:val="日期 Char1"/>
    <w:uiPriority w:val="0"/>
    <w:qFormat/>
    <w:rPr>
      <w:rFonts w:ascii="Calibri" w:hAnsi="Calibri" w:eastAsia="宋体" w:cs="Times New Roman"/>
    </w:rPr>
  </w:style>
  <w:style w:type="character" w:styleId="796" w:customStyle="1">
    <w:name w:val="批注框文本 Char1"/>
    <w:uiPriority w:val="0"/>
    <w:qFormat/>
    <w:rPr>
      <w:sz w:val="18"/>
      <w:szCs w:val="18"/>
    </w:rPr>
  </w:style>
  <w:style w:type="character" w:styleId="797" w:customStyle="1">
    <w:name w:val="标题 Char1"/>
    <w:uiPriority w:val="10"/>
    <w:qFormat/>
    <w:rPr>
      <w:rFonts w:ascii="Cambria" w:hAnsi="Cambria" w:eastAsia="宋体" w:cs="Times New Roman"/>
      <w:b/>
      <w:bCs/>
      <w:sz w:val="32"/>
      <w:szCs w:val="32"/>
    </w:rPr>
  </w:style>
  <w:style w:type="character" w:styleId="798" w:customStyle="1">
    <w:name w:val="标题 9 字符"/>
    <w:link w:val="697"/>
    <w:uiPriority w:val="0"/>
    <w:qFormat/>
    <w:rPr>
      <w:rFonts w:ascii="Cambria" w:hAnsi="Cambria"/>
      <w:sz w:val="21"/>
      <w:szCs w:val="21"/>
    </w:rPr>
  </w:style>
  <w:style w:type="character" w:styleId="799" w:customStyle="1">
    <w:name w:val="不明显参考1"/>
    <w:uiPriority w:val="0"/>
    <w:qFormat/>
    <w:rPr>
      <w:smallCaps/>
      <w:color w:val="c0504d"/>
      <w:u w:val="single"/>
    </w:rPr>
  </w:style>
  <w:style w:type="character" w:styleId="800" w:customStyle="1">
    <w:name w:val="批注文字 Char1"/>
    <w:uiPriority w:val="0"/>
    <w:qFormat/>
    <w:rPr>
      <w:rFonts w:ascii="Calibri" w:hAnsi="Calibri" w:eastAsia="宋体" w:cs="Times New Roman"/>
    </w:rPr>
  </w:style>
  <w:style w:type="character" w:styleId="801" w:customStyle="1">
    <w:name w:val="标题 Char2"/>
    <w:uiPriority w:val="10"/>
    <w:qFormat/>
    <w:rPr>
      <w:rFonts w:ascii="Cambria" w:hAnsi="Cambria" w:cs="Times New Roman"/>
      <w:b/>
      <w:bCs/>
      <w:sz w:val="32"/>
      <w:szCs w:val="32"/>
    </w:rPr>
  </w:style>
  <w:style w:type="character" w:styleId="802" w:customStyle="1">
    <w:name w:val="正文文本 3 Char1"/>
    <w:uiPriority w:val="99"/>
    <w:semiHidden/>
    <w:qFormat/>
    <w:rPr>
      <w:sz w:val="16"/>
      <w:szCs w:val="16"/>
    </w:rPr>
  </w:style>
  <w:style w:type="character" w:styleId="803" w:customStyle="1">
    <w:name w:val="批注主题 Char2"/>
    <w:uiPriority w:val="0"/>
    <w:qFormat/>
    <w:rPr>
      <w:b/>
      <w:bCs/>
      <w:sz w:val="21"/>
    </w:rPr>
  </w:style>
  <w:style w:type="character" w:styleId="804" w:customStyle="1">
    <w:name w:val="标题 3 字符"/>
    <w:link w:val="691"/>
    <w:uiPriority w:val="0"/>
    <w:qFormat/>
    <w:rPr>
      <w:b/>
      <w:bCs/>
      <w:sz w:val="32"/>
      <w:szCs w:val="32"/>
    </w:rPr>
  </w:style>
  <w:style w:type="character" w:styleId="805" w:customStyle="1">
    <w:name w:val="正文文本 Char_0"/>
    <w:link w:val="806"/>
    <w:uiPriority w:val="0"/>
    <w:qFormat/>
    <w:rPr>
      <w:szCs w:val="24"/>
    </w:rPr>
  </w:style>
  <w:style w:type="paragraph" w:styleId="806" w:customStyle="1">
    <w:name w:val="正文文本_0"/>
    <w:basedOn w:val="764"/>
    <w:link w:val="805"/>
    <w:uiPriority w:val="0"/>
    <w:qFormat/>
    <w:pPr>
      <w:spacing w:after="120"/>
    </w:pPr>
    <w:rPr>
      <w:sz w:val="20"/>
    </w:rPr>
  </w:style>
  <w:style w:type="character" w:styleId="807" w:customStyle="1">
    <w:name w:val="副标题 字符"/>
    <w:link w:val="724"/>
    <w:uiPriority w:val="0"/>
    <w:qFormat/>
    <w:rPr>
      <w:rFonts w:ascii="Cambria" w:hAnsi="Cambria"/>
      <w:b/>
      <w:bCs/>
      <w:sz w:val="32"/>
      <w:szCs w:val="32"/>
    </w:rPr>
  </w:style>
  <w:style w:type="character" w:styleId="808" w:customStyle="1">
    <w:name w:val="bookmark"/>
    <w:basedOn w:val="698"/>
    <w:uiPriority w:val="0"/>
    <w:qFormat/>
  </w:style>
  <w:style w:type="character" w:styleId="809" w:customStyle="1">
    <w:name w:val="标题 5 Char_0"/>
    <w:link w:val="810"/>
    <w:uiPriority w:val="0"/>
    <w:qFormat/>
    <w:rPr>
      <w:rFonts w:ascii="Calibri" w:hAnsi="Calibri"/>
      <w:b/>
      <w:bCs/>
      <w:sz w:val="28"/>
      <w:szCs w:val="28"/>
    </w:rPr>
  </w:style>
  <w:style w:type="paragraph" w:styleId="810" w:customStyle="1">
    <w:name w:val="标题 5_0"/>
    <w:basedOn w:val="764"/>
    <w:next w:val="764"/>
    <w:link w:val="809"/>
    <w:uiPriority w:val="0"/>
    <w:qFormat/>
    <w:pPr>
      <w:keepLines/>
      <w:keepNext/>
      <w:spacing w:before="280" w:after="290" w:line="372" w:lineRule="auto"/>
      <w:outlineLvl w:val="4"/>
    </w:pPr>
    <w:rPr>
      <w:rFonts w:ascii="Calibri" w:hAnsi="Calibri"/>
      <w:b/>
      <w:bCs/>
      <w:sz w:val="28"/>
      <w:szCs w:val="28"/>
    </w:rPr>
  </w:style>
  <w:style w:type="character" w:styleId="811" w:customStyle="1">
    <w:name w:val="正文文本缩进 2 字符"/>
    <w:link w:val="717"/>
    <w:uiPriority w:val="99"/>
    <w:qFormat/>
    <w:rPr>
      <w:rFonts w:ascii="宋体"/>
    </w:rPr>
  </w:style>
  <w:style w:type="character" w:styleId="812" w:customStyle="1">
    <w:name w:val="批注文字 字符"/>
    <w:link w:val="706"/>
    <w:uiPriority w:val="0"/>
    <w:qFormat/>
    <w:rPr>
      <w:sz w:val="21"/>
      <w:szCs w:val="24"/>
    </w:rPr>
  </w:style>
  <w:style w:type="character" w:styleId="813" w:customStyle="1">
    <w:name w:val="font11"/>
    <w:uiPriority w:val="0"/>
    <w:qFormat/>
    <w:rPr>
      <w:rFonts w:hint="eastAsia" w:ascii="宋体" w:hAnsi="宋体" w:eastAsia="宋体" w:cs="宋体"/>
      <w:color w:val="000000"/>
      <w:sz w:val="20"/>
      <w:szCs w:val="20"/>
      <w:u w:val="none"/>
    </w:rPr>
  </w:style>
  <w:style w:type="character" w:styleId="814" w:customStyle="1">
    <w:name w:val="明显参考1"/>
    <w:uiPriority w:val="0"/>
    <w:qFormat/>
    <w:rPr>
      <w:b/>
      <w:bCs/>
      <w:smallCaps/>
      <w:color w:val="c0504d"/>
      <w:spacing w:val="5"/>
      <w:u w:val="single"/>
    </w:rPr>
  </w:style>
  <w:style w:type="character" w:styleId="815" w:customStyle="1">
    <w:name w:val="超链接_0"/>
    <w:uiPriority w:val="99"/>
    <w:qFormat/>
    <w:rPr>
      <w:rFonts w:ascii="Calibri" w:hAnsi="Calibri"/>
      <w:color w:val="0000ff"/>
      <w:u w:val="single"/>
    </w:rPr>
  </w:style>
  <w:style w:type="character" w:styleId="816" w:customStyle="1">
    <w:name w:val="文档结构图 Char2"/>
    <w:uiPriority w:val="99"/>
    <w:semiHidden/>
    <w:qFormat/>
    <w:rPr>
      <w:rFonts w:ascii="宋体" w:hAnsi="Calibri" w:eastAsia="宋体" w:cs="Times New Roman"/>
      <w:sz w:val="18"/>
      <w:szCs w:val="18"/>
    </w:rPr>
  </w:style>
  <w:style w:type="character" w:styleId="817" w:customStyle="1">
    <w:name w:val="textcontents"/>
    <w:uiPriority w:val="0"/>
    <w:qFormat/>
    <w:rPr>
      <w:rFonts w:cs="Times New Roman"/>
    </w:rPr>
  </w:style>
  <w:style w:type="character" w:styleId="818" w:customStyle="1">
    <w:name w:val="标题 1 Char"/>
    <w:uiPriority w:val="0"/>
    <w:qFormat/>
    <w:rPr>
      <w:b/>
      <w:bCs/>
      <w:sz w:val="32"/>
      <w:szCs w:val="44"/>
    </w:rPr>
  </w:style>
  <w:style w:type="character" w:styleId="819" w:customStyle="1">
    <w:name w:val="正文文本 字符"/>
    <w:link w:val="708"/>
    <w:uiPriority w:val="0"/>
    <w:qFormat/>
    <w:rPr>
      <w:rFonts w:eastAsia="幼圆"/>
      <w:b/>
      <w:bCs/>
      <w:sz w:val="44"/>
      <w:szCs w:val="24"/>
    </w:rPr>
  </w:style>
  <w:style w:type="character" w:styleId="820" w:customStyle="1">
    <w:name w:val="标题 8 字符"/>
    <w:link w:val="696"/>
    <w:uiPriority w:val="0"/>
    <w:qFormat/>
    <w:rPr>
      <w:rFonts w:ascii="Cambria" w:hAnsi="Cambria"/>
      <w:sz w:val="24"/>
      <w:szCs w:val="24"/>
    </w:rPr>
  </w:style>
  <w:style w:type="character" w:styleId="821" w:customStyle="1">
    <w:name w:val="副标题 Char1"/>
    <w:uiPriority w:val="11"/>
    <w:qFormat/>
    <w:rPr>
      <w:rFonts w:ascii="Cambria" w:hAnsi="Cambria" w:cs="Times New Roman"/>
      <w:b/>
      <w:bCs/>
      <w:sz w:val="32"/>
      <w:szCs w:val="32"/>
    </w:rPr>
  </w:style>
  <w:style w:type="character" w:styleId="822" w:customStyle="1">
    <w:name w:val="批注主题 字符"/>
    <w:link w:val="733"/>
    <w:uiPriority w:val="0"/>
    <w:qFormat/>
    <w:rPr>
      <w:b/>
      <w:bCs/>
      <w:sz w:val="21"/>
      <w:szCs w:val="24"/>
    </w:rPr>
  </w:style>
  <w:style w:type="character" w:styleId="823" w:customStyle="1">
    <w:name w:val="书籍标题1"/>
    <w:uiPriority w:val="0"/>
    <w:qFormat/>
    <w:rPr>
      <w:b/>
      <w:bCs/>
      <w:smallCaps/>
      <w:spacing w:val="5"/>
    </w:rPr>
  </w:style>
  <w:style w:type="character" w:styleId="824" w:customStyle="1">
    <w:name w:val="页脚 字符"/>
    <w:link w:val="719"/>
    <w:uiPriority w:val="99"/>
    <w:qFormat/>
    <w:rPr>
      <w:sz w:val="18"/>
      <w:szCs w:val="18"/>
    </w:rPr>
  </w:style>
  <w:style w:type="character" w:styleId="825" w:customStyle="1">
    <w:name w:val="标题4 Char Char"/>
    <w:link w:val="826"/>
    <w:uiPriority w:val="0"/>
    <w:qFormat/>
    <w:rPr>
      <w:rFonts w:ascii="Arial" w:hAnsi="Arial"/>
      <w:b/>
      <w:bCs/>
      <w:sz w:val="24"/>
      <w:szCs w:val="32"/>
    </w:rPr>
  </w:style>
  <w:style w:type="paragraph" w:styleId="826" w:customStyle="1">
    <w:name w:val="标题4"/>
    <w:basedOn w:val="690"/>
    <w:next w:val="711"/>
    <w:link w:val="825"/>
    <w:uiPriority w:val="0"/>
    <w:qFormat/>
    <w:pPr>
      <w:numPr>
        <w:ilvl w:val="0"/>
        <w:numId w:val="0"/>
      </w:numPr>
      <w:spacing w:line="413" w:lineRule="auto"/>
    </w:pPr>
    <w:rPr>
      <w:rFonts w:ascii="Arial" w:hAnsi="Arial"/>
      <w:sz w:val="24"/>
    </w:rPr>
  </w:style>
  <w:style w:type="character" w:styleId="827" w:customStyle="1">
    <w:name w:val="正文文本 Char1"/>
    <w:uiPriority w:val="0"/>
    <w:qFormat/>
    <w:rPr>
      <w:rFonts w:ascii="Calibri" w:hAnsi="Calibri" w:eastAsia="宋体" w:cs="Times New Roman"/>
    </w:rPr>
  </w:style>
  <w:style w:type="character" w:styleId="828" w:customStyle="1">
    <w:name w:val="明显引用 Char1"/>
    <w:uiPriority w:val="30"/>
    <w:qFormat/>
    <w:rPr>
      <w:b/>
      <w:bCs/>
      <w:i/>
      <w:iCs/>
      <w:color w:val="4f81bd"/>
      <w:sz w:val="21"/>
    </w:rPr>
  </w:style>
  <w:style w:type="character" w:styleId="829" w:customStyle="1">
    <w:name w:val="页眉 Char1"/>
    <w:uiPriority w:val="99"/>
    <w:semiHidden/>
    <w:qFormat/>
    <w:rPr>
      <w:rFonts w:ascii="Calibri" w:hAnsi="Calibri" w:eastAsia="宋体" w:cs="Times New Roman"/>
      <w:sz w:val="18"/>
      <w:szCs w:val="18"/>
    </w:rPr>
  </w:style>
  <w:style w:type="character" w:styleId="830" w:customStyle="1">
    <w:name w:val="不明显强调1"/>
    <w:uiPriority w:val="0"/>
    <w:qFormat/>
    <w:rPr>
      <w:i/>
      <w:iCs/>
      <w:color w:val="808080"/>
    </w:rPr>
  </w:style>
  <w:style w:type="character" w:styleId="831" w:customStyle="1">
    <w:name w:val="正文文本 3 字符"/>
    <w:link w:val="707"/>
    <w:uiPriority w:val="0"/>
    <w:qFormat/>
    <w:rPr>
      <w:rFonts w:ascii="宋体"/>
      <w:sz w:val="24"/>
    </w:rPr>
  </w:style>
  <w:style w:type="character" w:styleId="832" w:customStyle="1">
    <w:name w:val="正文文本缩进 3 字符"/>
    <w:link w:val="726"/>
    <w:uiPriority w:val="0"/>
    <w:qFormat/>
    <w:rPr>
      <w:sz w:val="16"/>
    </w:rPr>
  </w:style>
  <w:style w:type="character" w:styleId="833" w:customStyle="1">
    <w:name w:val="font21"/>
    <w:uiPriority w:val="0"/>
    <w:qFormat/>
    <w:rPr>
      <w:rFonts w:hint="eastAsia" w:ascii="宋体" w:hAnsi="宋体" w:eastAsia="宋体" w:cs="宋体"/>
      <w:color w:val="000000"/>
      <w:sz w:val="20"/>
      <w:szCs w:val="20"/>
      <w:u w:val="none"/>
    </w:rPr>
  </w:style>
  <w:style w:type="character" w:styleId="834" w:customStyle="1">
    <w:name w:val="批注框文本 字符"/>
    <w:link w:val="718"/>
    <w:uiPriority w:val="0"/>
    <w:qFormat/>
    <w:rPr>
      <w:sz w:val="18"/>
      <w:szCs w:val="18"/>
    </w:rPr>
  </w:style>
  <w:style w:type="character" w:styleId="835" w:customStyle="1">
    <w:name w:val="标题 7 字符"/>
    <w:link w:val="695"/>
    <w:uiPriority w:val="0"/>
    <w:qFormat/>
    <w:rPr>
      <w:b/>
      <w:bCs/>
      <w:sz w:val="24"/>
      <w:szCs w:val="24"/>
    </w:rPr>
  </w:style>
  <w:style w:type="character" w:styleId="836" w:customStyle="1">
    <w:name w:val="标题 1 字符"/>
    <w:link w:val="689"/>
    <w:uiPriority w:val="0"/>
    <w:qFormat/>
    <w:rPr>
      <w:b/>
      <w:bCs/>
      <w:sz w:val="32"/>
      <w:szCs w:val="44"/>
    </w:rPr>
  </w:style>
  <w:style w:type="character" w:styleId="837" w:customStyle="1">
    <w:name w:val="文档结构图 Char1"/>
    <w:uiPriority w:val="0"/>
    <w:qFormat/>
    <w:rPr>
      <w:rFonts w:ascii="宋体" w:hAnsi="Calibri" w:eastAsia="宋体" w:cs="Times New Roman"/>
      <w:sz w:val="18"/>
      <w:szCs w:val="18"/>
    </w:rPr>
  </w:style>
  <w:style w:type="character" w:styleId="838" w:customStyle="1">
    <w:name w:val="标题 2 Char_0"/>
    <w:link w:val="839"/>
    <w:uiPriority w:val="0"/>
    <w:qFormat/>
    <w:rPr>
      <w:rFonts w:ascii="Cambria" w:hAnsi="Cambria"/>
      <w:b/>
      <w:bCs/>
      <w:sz w:val="32"/>
      <w:szCs w:val="32"/>
    </w:rPr>
  </w:style>
  <w:style w:type="paragraph" w:styleId="839" w:customStyle="1">
    <w:name w:val="标题 2_0"/>
    <w:basedOn w:val="764"/>
    <w:next w:val="764"/>
    <w:link w:val="838"/>
    <w:uiPriority w:val="0"/>
    <w:unhideWhenUsed/>
    <w:qFormat/>
    <w:pPr>
      <w:keepLines/>
      <w:keepNext/>
      <w:spacing w:before="260" w:after="260" w:line="416" w:lineRule="auto"/>
      <w:outlineLvl w:val="1"/>
    </w:pPr>
    <w:rPr>
      <w:rFonts w:ascii="Cambria" w:hAnsi="Cambria"/>
      <w:b/>
      <w:bCs/>
      <w:sz w:val="32"/>
      <w:szCs w:val="32"/>
    </w:rPr>
  </w:style>
  <w:style w:type="character" w:styleId="840" w:customStyle="1">
    <w:name w:val="日期 Char2"/>
    <w:uiPriority w:val="99"/>
    <w:semiHidden/>
    <w:qFormat/>
    <w:rPr>
      <w:rFonts w:ascii="Calibri" w:hAnsi="Calibri" w:eastAsia="宋体" w:cs="Times New Roman"/>
    </w:rPr>
  </w:style>
  <w:style w:type="character" w:styleId="841" w:customStyle="1">
    <w:name w:val="批注框文本 Char2"/>
    <w:uiPriority w:val="99"/>
    <w:semiHidden/>
    <w:qFormat/>
    <w:rPr>
      <w:rFonts w:ascii="Calibri" w:hAnsi="Calibri" w:eastAsia="宋体" w:cs="Times New Roman"/>
      <w:sz w:val="18"/>
      <w:szCs w:val="18"/>
    </w:rPr>
  </w:style>
  <w:style w:type="character" w:styleId="842" w:customStyle="1">
    <w:name w:val="标题 4 字符"/>
    <w:link w:val="692"/>
    <w:uiPriority w:val="0"/>
    <w:qFormat/>
    <w:rPr>
      <w:rFonts w:ascii="Cambria" w:hAnsi="Cambria"/>
      <w:b/>
      <w:bCs/>
      <w:sz w:val="28"/>
      <w:szCs w:val="28"/>
    </w:rPr>
  </w:style>
  <w:style w:type="character" w:styleId="843" w:customStyle="1">
    <w:name w:val="列出段落 Char"/>
    <w:link w:val="844"/>
    <w:uiPriority w:val="34"/>
    <w:qFormat/>
    <w:rPr>
      <w:sz w:val="21"/>
      <w:szCs w:val="24"/>
    </w:rPr>
  </w:style>
  <w:style w:type="paragraph" w:styleId="844" w:customStyle="1">
    <w:name w:val="List Paragraph1"/>
    <w:basedOn w:val="688"/>
    <w:link w:val="843"/>
    <w:uiPriority w:val="34"/>
    <w:qFormat/>
    <w:pPr>
      <w:ind w:firstLine="420"/>
    </w:pPr>
  </w:style>
  <w:style w:type="paragraph" w:styleId="845" w:customStyle="1">
    <w:name w:val="样式 标题 3 + (中文) 黑体 小四 非加粗 段前: 7.8 磅 段后: 0 磅 行距: 固定值 20 磅"/>
    <w:basedOn w:val="691"/>
    <w:next w:val="688"/>
    <w:uiPriority w:val="0"/>
    <w:qFormat/>
    <w:pPr>
      <w:spacing w:before="0" w:after="0" w:line="400" w:lineRule="exact"/>
    </w:pPr>
    <w:rPr>
      <w:rFonts w:eastAsia="黑体" w:cs="宋体"/>
      <w:b w:val="0"/>
      <w:bCs w:val="0"/>
      <w:sz w:val="24"/>
      <w:szCs w:val="20"/>
    </w:rPr>
  </w:style>
  <w:style w:type="paragraph" w:styleId="846" w:customStyle="1">
    <w:name w:val="_Style 34"/>
    <w:next w:val="688"/>
    <w:uiPriority w:val="0"/>
    <w:qFormat/>
    <w:pPr>
      <w:jc w:val="both"/>
      <w:widowControl w:val="off"/>
    </w:pPr>
    <w:rPr>
      <w:rFonts w:ascii="Times New Roman" w:hAnsi="Times New Roman" w:eastAsia="宋体" w:cs="Times New Roman"/>
      <w:sz w:val="21"/>
      <w:lang w:val="en-US" w:eastAsia="zh-CN" w:bidi="ar-SA"/>
    </w:rPr>
  </w:style>
  <w:style w:type="paragraph" w:styleId="84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48" w:customStyle="1">
    <w:name w:val="_Style 36"/>
    <w:next w:val="688"/>
    <w:uiPriority w:val="0"/>
    <w:qFormat/>
    <w:pPr>
      <w:jc w:val="both"/>
      <w:widowControl w:val="off"/>
    </w:pPr>
    <w:rPr>
      <w:rFonts w:ascii="Times New Roman" w:hAnsi="Times New Roman" w:eastAsia="宋体" w:cs="Times New Roman"/>
      <w:sz w:val="21"/>
      <w:lang w:val="en-US" w:eastAsia="zh-CN" w:bidi="ar-SA"/>
    </w:rPr>
  </w:style>
  <w:style w:type="paragraph" w:styleId="849" w:customStyle="1">
    <w:name w:val="空半行"/>
    <w:basedOn w:val="688"/>
    <w:uiPriority w:val="0"/>
    <w:qFormat/>
    <w:pPr>
      <w:spacing w:line="120" w:lineRule="exact"/>
    </w:pPr>
    <w:rPr>
      <w:rFonts w:ascii="Calibri" w:hAnsi="Calibri" w:eastAsia="仿宋_GB2312"/>
      <w:color w:val="ffffff"/>
      <w:sz w:val="30"/>
      <w:szCs w:val="22"/>
    </w:rPr>
  </w:style>
  <w:style w:type="paragraph" w:styleId="850" w:customStyle="1">
    <w:name w:val="1方案格式1"/>
    <w:basedOn w:val="689"/>
    <w:uiPriority w:val="0"/>
    <w:qFormat/>
    <w:pPr>
      <w:numPr>
        <w:numId w:val="3"/>
      </w:numPr>
      <w:ind w:left="0" w:firstLine="0"/>
      <w:spacing w:line="360" w:lineRule="auto"/>
      <w:tabs>
        <w:tab w:val="left" w:pos="360" w:leader="none"/>
      </w:tabs>
    </w:pPr>
    <w:rPr>
      <w:rFonts w:eastAsia="微软雅黑"/>
      <w:bCs w:val="0"/>
      <w:sz w:val="48"/>
    </w:rPr>
  </w:style>
  <w:style w:type="paragraph" w:styleId="851" w:customStyle="1">
    <w:name w:val="格式３"/>
    <w:basedOn w:val="688"/>
    <w:uiPriority w:val="0"/>
    <w:qFormat/>
    <w:pPr>
      <w:ind w:left="600" w:hanging="600"/>
      <w:spacing w:line="420" w:lineRule="exact"/>
    </w:pPr>
    <w:rPr>
      <w:rFonts w:ascii="宋体" w:hAnsi="宋体"/>
      <w:color w:val="000000"/>
      <w:sz w:val="24"/>
      <w:szCs w:val="20"/>
    </w:rPr>
  </w:style>
  <w:style w:type="paragraph" w:styleId="852" w:customStyle="1">
    <w:name w:val="列出段落1"/>
    <w:basedOn w:val="688"/>
    <w:uiPriority w:val="99"/>
    <w:qFormat/>
    <w:pPr>
      <w:contextualSpacing/>
      <w:ind w:left="720"/>
      <w:jc w:val="left"/>
      <w:widowControl/>
    </w:pPr>
    <w:rPr>
      <w:rFonts w:ascii="Arial" w:hAnsi="Arial" w:eastAsia="黑体"/>
      <w:sz w:val="24"/>
      <w:lang w:eastAsia="en-US"/>
    </w:rPr>
  </w:style>
  <w:style w:type="paragraph" w:styleId="853" w:customStyle="1">
    <w:name w:val="正文空2字"/>
    <w:basedOn w:val="688"/>
    <w:uiPriority w:val="0"/>
    <w:qFormat/>
    <w:pPr>
      <w:ind w:firstLine="200"/>
      <w:spacing w:line="360" w:lineRule="auto"/>
    </w:pPr>
    <w:rPr>
      <w:sz w:val="24"/>
      <w:lang w:bidi="en-US"/>
    </w:rPr>
  </w:style>
  <w:style w:type="paragraph" w:styleId="85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55" w:customStyle="1">
    <w:name w:val="目录 5_0"/>
    <w:basedOn w:val="764"/>
    <w:next w:val="764"/>
    <w:uiPriority w:val="39"/>
    <w:qFormat/>
    <w:pPr>
      <w:ind w:left="1680"/>
    </w:pPr>
    <w:rPr>
      <w:rFonts w:ascii="Calibri" w:hAnsi="Calibri"/>
    </w:rPr>
  </w:style>
  <w:style w:type="paragraph" w:styleId="856" w:customStyle="1">
    <w:name w:val="修订1"/>
    <w:uiPriority w:val="0"/>
    <w:qFormat/>
    <w:rPr>
      <w:rFonts w:ascii="Times New Roman" w:hAnsi="Times New Roman" w:eastAsia="宋体" w:cs="Times New Roman"/>
      <w:sz w:val="21"/>
      <w:szCs w:val="24"/>
      <w:lang w:val="en-US" w:eastAsia="zh-CN" w:bidi="ar-SA"/>
    </w:rPr>
  </w:style>
  <w:style w:type="paragraph" w:styleId="857" w:customStyle="1">
    <w:name w:val="标题 11"/>
    <w:basedOn w:val="747"/>
    <w:next w:val="74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58" w:customStyle="1">
    <w:name w:val="正文 + 行距: 固定值 20 磅"/>
    <w:basedOn w:val="688"/>
    <w:uiPriority w:val="0"/>
    <w:qFormat/>
    <w:pPr>
      <w:ind w:firstLine="716"/>
      <w:spacing w:line="400" w:lineRule="exact"/>
    </w:pPr>
    <w:rPr>
      <w:rFonts w:ascii="Calibri" w:hAnsi="Calibri"/>
      <w:szCs w:val="22"/>
    </w:rPr>
  </w:style>
  <w:style w:type="paragraph" w:styleId="859" w:customStyle="1">
    <w:name w:val="TOC 标题1"/>
    <w:basedOn w:val="689"/>
    <w:next w:val="68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60" w:customStyle="1">
    <w:name w:val="表格文字"/>
    <w:basedOn w:val="688"/>
    <w:link w:val="888"/>
    <w:uiPriority w:val="0"/>
    <w:qFormat/>
    <w:pPr>
      <w:jc w:val="left"/>
      <w:spacing w:line="420" w:lineRule="atLeast"/>
    </w:pPr>
    <w:rPr>
      <w:rFonts w:ascii="Calibri" w:hAnsi="Calibri"/>
      <w:szCs w:val="22"/>
    </w:rPr>
  </w:style>
  <w:style w:type="paragraph" w:styleId="861" w:customStyle="1">
    <w:name w:val="flNote"/>
    <w:basedOn w:val="688"/>
    <w:uiPriority w:val="0"/>
    <w:qFormat/>
    <w:pPr>
      <w:jc w:val="center"/>
      <w:spacing w:before="320" w:after="160" w:line="360" w:lineRule="atLeast"/>
    </w:pPr>
    <w:rPr>
      <w:rFonts w:ascii="Arial" w:hAnsi="Calibri" w:eastAsia="黑体"/>
      <w:sz w:val="30"/>
      <w:szCs w:val="22"/>
    </w:rPr>
  </w:style>
  <w:style w:type="paragraph" w:styleId="862" w:customStyle="1">
    <w:name w:val="文章正文"/>
    <w:basedOn w:val="688"/>
    <w:uiPriority w:val="99"/>
    <w:qFormat/>
    <w:pPr>
      <w:ind w:firstLine="480"/>
      <w:spacing w:line="360" w:lineRule="auto"/>
    </w:pPr>
    <w:rPr>
      <w:rFonts w:ascii="仿宋_GB2312" w:hAnsi="宋体" w:eastAsia="仿宋_GB2312"/>
      <w:color w:val="ff0000"/>
      <w:sz w:val="24"/>
    </w:rPr>
  </w:style>
  <w:style w:type="paragraph" w:styleId="863" w:customStyle="1">
    <w:name w:val="表格"/>
    <w:basedOn w:val="688"/>
    <w:uiPriority w:val="0"/>
    <w:qFormat/>
    <w:pPr>
      <w:jc w:val="center"/>
    </w:pPr>
    <w:rPr>
      <w:rFonts w:ascii="华文细黑" w:hAnsi="华文细黑"/>
      <w:szCs w:val="22"/>
    </w:rPr>
  </w:style>
  <w:style w:type="paragraph" w:styleId="864" w:customStyle="1">
    <w:name w:val="Char"/>
    <w:basedOn w:val="688"/>
    <w:uiPriority w:val="0"/>
    <w:qFormat/>
    <w:pPr>
      <w:jc w:val="left"/>
      <w:spacing w:after="160" w:line="240" w:lineRule="exact"/>
      <w:widowControl/>
    </w:pPr>
    <w:rPr>
      <w:rFonts w:ascii="Verdana" w:hAnsi="Verdana"/>
      <w:sz w:val="20"/>
      <w:szCs w:val="20"/>
      <w:lang w:eastAsia="en-US"/>
    </w:rPr>
  </w:style>
  <w:style w:type="paragraph" w:styleId="865" w:customStyle="1">
    <w:name w:val="列出段落2"/>
    <w:basedOn w:val="688"/>
    <w:uiPriority w:val="34"/>
    <w:qFormat/>
    <w:pPr>
      <w:ind w:firstLine="420"/>
    </w:pPr>
  </w:style>
  <w:style w:type="paragraph" w:styleId="866" w:customStyle="1">
    <w:name w:val="6'"/>
    <w:basedOn w:val="688"/>
    <w:uiPriority w:val="0"/>
    <w:qFormat/>
    <w:pPr>
      <w:jc w:val="center"/>
      <w:spacing w:line="320" w:lineRule="exact"/>
    </w:pPr>
    <w:rPr>
      <w:rFonts w:ascii="Calibri" w:hAnsi="Calibri"/>
      <w:spacing w:val="20"/>
      <w:szCs w:val="22"/>
    </w:rPr>
  </w:style>
  <w:style w:type="paragraph" w:styleId="867" w:customStyle="1">
    <w:name w:val="Char Char Char Char Char Char Char"/>
    <w:basedOn w:val="688"/>
    <w:uiPriority w:val="0"/>
    <w:qFormat/>
    <w:pPr>
      <w:spacing w:line="360" w:lineRule="auto"/>
    </w:pPr>
    <w:rPr>
      <w:sz w:val="24"/>
      <w:szCs w:val="20"/>
    </w:rPr>
  </w:style>
  <w:style w:type="paragraph" w:styleId="868" w:customStyle="1">
    <w:name w:val="2方案格式2"/>
    <w:basedOn w:val="850"/>
    <w:uiPriority w:val="0"/>
    <w:qFormat/>
    <w:pPr>
      <w:numPr>
        <w:ilvl w:val="1"/>
      </w:numPr>
      <w:spacing w:before="50" w:after="50" w:line="240" w:lineRule="auto"/>
      <w:outlineLvl w:val="1"/>
    </w:pPr>
    <w:rPr>
      <w:sz w:val="44"/>
    </w:rPr>
  </w:style>
  <w:style w:type="paragraph" w:styleId="869" w:customStyle="1">
    <w:name w:val="文档正文"/>
    <w:basedOn w:val="688"/>
    <w:uiPriority w:val="0"/>
    <w:qFormat/>
    <w:pPr>
      <w:ind w:firstLine="567"/>
      <w:spacing w:line="480" w:lineRule="atLeast"/>
    </w:pPr>
    <w:rPr>
      <w:rFonts w:ascii="Ari" w:eastAsia="Ari"/>
      <w:sz w:val="28"/>
      <w:szCs w:val="20"/>
    </w:rPr>
  </w:style>
  <w:style w:type="paragraph" w:styleId="870" w:customStyle="1">
    <w:name w:val="txt"/>
    <w:basedOn w:val="688"/>
    <w:uiPriority w:val="0"/>
    <w:qFormat/>
    <w:pPr>
      <w:jc w:val="left"/>
      <w:spacing w:before="100" w:beforeAutospacing="1" w:after="100" w:afterAutospacing="1"/>
      <w:widowControl/>
    </w:pPr>
    <w:rPr>
      <w:rFonts w:ascii="宋体" w:hAnsi="宋体" w:cs="宋体"/>
      <w:sz w:val="24"/>
    </w:rPr>
  </w:style>
  <w:style w:type="paragraph" w:styleId="871" w:customStyle="1">
    <w:name w:val="目录 4_0"/>
    <w:basedOn w:val="764"/>
    <w:next w:val="764"/>
    <w:uiPriority w:val="39"/>
    <w:qFormat/>
    <w:pPr>
      <w:ind w:left="1260"/>
    </w:pPr>
    <w:rPr>
      <w:rFonts w:ascii="Calibri" w:hAnsi="Calibri"/>
    </w:rPr>
  </w:style>
  <w:style w:type="paragraph" w:styleId="872" w:customStyle="1">
    <w:name w:val="目录 3_0"/>
    <w:basedOn w:val="764"/>
    <w:next w:val="764"/>
    <w:uiPriority w:val="39"/>
    <w:qFormat/>
    <w:pPr>
      <w:ind w:left="840"/>
    </w:pPr>
    <w:rPr>
      <w:rFonts w:ascii="Calibri" w:hAnsi="Calibri"/>
    </w:rPr>
  </w:style>
  <w:style w:type="paragraph" w:styleId="873" w:customStyle="1">
    <w:name w:val="样式 标题 1 + 黑体 三号 非加粗 居中 段前: 6 磅 段后: 6 磅 行距: 固定值 20 磅"/>
    <w:basedOn w:val="689"/>
    <w:uiPriority w:val="0"/>
    <w:qFormat/>
    <w:pPr>
      <w:numPr>
        <w:numId w:val="0"/>
      </w:numPr>
      <w:spacing w:before="120" w:after="120" w:line="400" w:lineRule="exact"/>
    </w:pPr>
    <w:rPr>
      <w:rFonts w:ascii="黑体" w:hAnsi="黑体" w:eastAsia="黑体"/>
      <w:b w:val="0"/>
      <w:bCs w:val="0"/>
      <w:szCs w:val="20"/>
    </w:rPr>
  </w:style>
  <w:style w:type="paragraph" w:styleId="874" w:customStyle="1">
    <w:name w:val="1"/>
    <w:basedOn w:val="688"/>
    <w:next w:val="688"/>
    <w:uiPriority w:val="0"/>
    <w:qFormat/>
    <w:rPr>
      <w:rFonts w:ascii="Calibri" w:hAnsi="Calibri"/>
      <w:szCs w:val="22"/>
    </w:rPr>
  </w:style>
  <w:style w:type="paragraph" w:styleId="875" w:customStyle="1">
    <w:name w:val="Blockquote_0"/>
    <w:basedOn w:val="764"/>
    <w:uiPriority w:val="0"/>
    <w:qFormat/>
    <w:pPr>
      <w:ind w:left="360" w:right="360"/>
      <w:jc w:val="left"/>
      <w:spacing w:before="100" w:after="100"/>
    </w:pPr>
    <w:rPr>
      <w:rFonts w:ascii="Calibri" w:hAnsi="Calibri" w:eastAsia="Times New Roman"/>
      <w:sz w:val="24"/>
      <w:szCs w:val="20"/>
    </w:rPr>
  </w:style>
  <w:style w:type="paragraph" w:styleId="876" w:customStyle="1">
    <w:name w:val="列出段落11"/>
    <w:basedOn w:val="688"/>
    <w:uiPriority w:val="0"/>
    <w:qFormat/>
    <w:pPr>
      <w:contextualSpacing/>
      <w:ind w:left="720"/>
      <w:jc w:val="left"/>
      <w:widowControl/>
    </w:pPr>
    <w:rPr>
      <w:rFonts w:ascii="Arial" w:hAnsi="Arial" w:eastAsia="黑体"/>
      <w:sz w:val="24"/>
      <w:lang w:eastAsia="en-US"/>
    </w:rPr>
  </w:style>
  <w:style w:type="paragraph" w:styleId="877" w:customStyle="1">
    <w:name w:val="样式 标题 2 + Times New Roman 四号 非加粗 段前: 5 磅 段后: 0 磅 行距: 固定值 20..._0"/>
    <w:basedOn w:val="688"/>
    <w:uiPriority w:val="0"/>
    <w:qFormat/>
    <w:pPr>
      <w:keepLines/>
      <w:keepNext/>
      <w:spacing w:before="100" w:line="360" w:lineRule="auto"/>
      <w:outlineLvl w:val="1"/>
    </w:pPr>
    <w:rPr>
      <w:rFonts w:eastAsia="Times New Roman" w:cs="宋体"/>
      <w:sz w:val="28"/>
      <w:szCs w:val="20"/>
    </w:rPr>
  </w:style>
  <w:style w:type="paragraph" w:styleId="878" w:customStyle="1">
    <w:name w:val="op_mapdots_left"/>
    <w:basedOn w:val="688"/>
    <w:uiPriority w:val="0"/>
    <w:qFormat/>
    <w:pPr>
      <w:jc w:val="left"/>
      <w:spacing w:before="100" w:beforeAutospacing="1" w:after="100" w:afterAutospacing="1"/>
      <w:widowControl/>
    </w:pPr>
    <w:rPr>
      <w:rFonts w:ascii="宋体" w:hAnsi="宋体" w:cs="宋体"/>
      <w:sz w:val="24"/>
    </w:rPr>
  </w:style>
  <w:style w:type="paragraph" w:styleId="879" w:customStyle="1">
    <w:name w:val="p0"/>
    <w:basedOn w:val="688"/>
    <w:uiPriority w:val="0"/>
    <w:qFormat/>
    <w:pPr>
      <w:widowControl/>
    </w:pPr>
    <w:rPr>
      <w:b/>
      <w:bCs/>
      <w:sz w:val="24"/>
    </w:rPr>
  </w:style>
  <w:style w:type="paragraph" w:styleId="880" w:customStyle="1">
    <w:name w:val="Blockquote"/>
    <w:basedOn w:val="688"/>
    <w:uiPriority w:val="0"/>
    <w:qFormat/>
    <w:pPr>
      <w:ind w:left="360" w:right="360"/>
      <w:jc w:val="left"/>
      <w:spacing w:before="100" w:after="100"/>
    </w:pPr>
    <w:rPr>
      <w:rFonts w:ascii="Calibri" w:hAnsi="Calibri"/>
      <w:sz w:val="24"/>
      <w:szCs w:val="22"/>
    </w:rPr>
  </w:style>
  <w:style w:type="paragraph" w:styleId="881" w:customStyle="1">
    <w:name w:val="3方案格式3"/>
    <w:basedOn w:val="868"/>
    <w:uiPriority w:val="0"/>
    <w:qFormat/>
    <w:pPr>
      <w:numPr>
        <w:ilvl w:val="2"/>
      </w:numPr>
      <w:outlineLvl w:val="2"/>
    </w:pPr>
    <w:rPr>
      <w:sz w:val="32"/>
    </w:rPr>
  </w:style>
  <w:style w:type="paragraph" w:styleId="882" w:customStyle="1">
    <w:name w:val="样式 标题 2 + Times New Roman 四号 非加粗 段前: 5 磅 段后: 0 磅 行距: 固定值 20..."/>
    <w:basedOn w:val="69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83" w:customStyle="1">
    <w:name w:val="标题2"/>
    <w:basedOn w:val="690"/>
    <w:next w:val="708"/>
    <w:uiPriority w:val="0"/>
    <w:qFormat/>
    <w:pPr>
      <w:spacing w:before="156" w:after="156" w:line="360" w:lineRule="auto"/>
    </w:pPr>
    <w:rPr>
      <w:bCs w:val="0"/>
      <w:sz w:val="24"/>
    </w:rPr>
  </w:style>
  <w:style w:type="paragraph" w:styleId="884" w:customStyle="1">
    <w:name w:val="普通正文"/>
    <w:basedOn w:val="688"/>
    <w:uiPriority w:val="0"/>
    <w:qFormat/>
    <w:pPr>
      <w:ind w:firstLine="480"/>
      <w:jc w:val="left"/>
      <w:spacing w:before="120" w:after="120" w:line="360" w:lineRule="auto"/>
    </w:pPr>
    <w:rPr>
      <w:rFonts w:ascii="Arial" w:hAnsi="Arial"/>
      <w:sz w:val="24"/>
    </w:rPr>
  </w:style>
  <w:style w:type="paragraph" w:styleId="885" w:customStyle="1">
    <w:name w:val="正文2"/>
    <w:uiPriority w:val="0"/>
    <w:qFormat/>
    <w:rPr>
      <w:rFonts w:ascii="Times New Roman" w:hAnsi="Times New Roman" w:eastAsia="微软雅黑" w:cs="Times New Roman"/>
      <w:sz w:val="24"/>
      <w:szCs w:val="24"/>
      <w:lang w:val="en-US" w:eastAsia="zh-CN" w:bidi="ar-SA"/>
    </w:rPr>
  </w:style>
  <w:style w:type="paragraph" w:styleId="886" w:customStyle="1">
    <w:name w:val="列出段落3"/>
    <w:basedOn w:val="688"/>
    <w:uiPriority w:val="0"/>
    <w:qFormat/>
    <w:pPr>
      <w:ind w:firstLine="420"/>
      <w:jc w:val="left"/>
      <w:spacing w:after="200"/>
      <w:widowControl/>
    </w:pPr>
    <w:rPr>
      <w:rFonts w:ascii="Tahoma" w:hAnsi="Tahoma" w:eastAsia="微软雅黑"/>
      <w:sz w:val="22"/>
      <w:szCs w:val="22"/>
    </w:rPr>
  </w:style>
  <w:style w:type="paragraph" w:styleId="887" w:customStyle="1">
    <w:name w:val="纯文本2"/>
    <w:basedOn w:val="688"/>
    <w:uiPriority w:val="0"/>
    <w:qFormat/>
    <w:pPr>
      <w:jc w:val="left"/>
    </w:pPr>
    <w:rPr>
      <w:rFonts w:hint="eastAsia" w:ascii="宋体" w:hAnsi="宋体" w:cs="Courier New"/>
      <w:sz w:val="24"/>
      <w:szCs w:val="20"/>
      <w:lang w:bidi="hi-IN"/>
    </w:rPr>
  </w:style>
  <w:style w:type="character" w:styleId="888" w:customStyle="1">
    <w:name w:val="表格文字 字符"/>
    <w:link w:val="860"/>
    <w:uiPriority w:val="0"/>
    <w:qFormat/>
    <w:rPr>
      <w:rFonts w:ascii="Calibri" w:hAnsi="Calibri" w:eastAsia="宋体" w:cs="Times New Roman"/>
      <w:sz w:val="21"/>
      <w:szCs w:val="22"/>
    </w:rPr>
  </w:style>
  <w:style w:type="paragraph" w:styleId="889" w:customStyle="1">
    <w:name w:val="trs_editor"/>
    <w:basedOn w:val="688"/>
    <w:uiPriority w:val="0"/>
    <w:qFormat/>
    <w:pPr>
      <w:jc w:val="left"/>
      <w:spacing w:before="100" w:beforeAutospacing="1" w:after="100" w:afterAutospacing="1"/>
      <w:widowControl/>
    </w:pPr>
    <w:rPr>
      <w:rFonts w:ascii="宋体" w:hAnsi="宋体" w:cs="宋体"/>
      <w:sz w:val="24"/>
    </w:rPr>
  </w:style>
  <w:style w:type="character" w:styleId="890" w:customStyle="1">
    <w:name w:val="未处理的提及1"/>
    <w:basedOn w:val="698"/>
    <w:uiPriority w:val="99"/>
    <w:semiHidden/>
    <w:unhideWhenUsed/>
    <w:qFormat/>
    <w:rPr>
      <w:color w:val="605e5c"/>
      <w:shd w:val="clear" w:color="auto" w:fill="e1dfdd"/>
    </w:rPr>
  </w:style>
  <w:style w:type="paragraph" w:styleId="891" w:customStyle="1">
    <w:name w:val="_Style 3"/>
    <w:basedOn w:val="688"/>
    <w:uiPriority w:val="99"/>
    <w:qFormat/>
    <w:pPr>
      <w:ind w:firstLine="420"/>
    </w:pPr>
    <w:rPr>
      <w:szCs w:val="22"/>
    </w:rPr>
  </w:style>
  <w:style w:type="table" w:styleId="892" w:customStyle="1">
    <w:name w:val="网格型1"/>
    <w:basedOn w:val="69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3" w:customStyle="1">
    <w:name w:val="批注文字 字符1"/>
    <w:uiPriority w:val="99"/>
    <w:qFormat/>
    <w:rPr>
      <w:sz w:val="24"/>
      <w:szCs w:val="22"/>
    </w:rPr>
  </w:style>
  <w:style w:type="character" w:styleId="894" w:customStyle="1">
    <w:name w:val="f141"/>
    <w:uiPriority w:val="0"/>
    <w:qFormat/>
    <w:rPr>
      <w:sz w:val="21"/>
      <w:szCs w:val="21"/>
    </w:rPr>
  </w:style>
  <w:style w:type="character" w:styleId="895" w:customStyle="1">
    <w:name w:val="p141"/>
    <w:uiPriority w:val="0"/>
    <w:qFormat/>
    <w:rPr>
      <w:sz w:val="21"/>
      <w:szCs w:val="21"/>
    </w:rPr>
  </w:style>
  <w:style w:type="character" w:styleId="896" w:customStyle="1">
    <w:name w:val="s10pv000000"/>
    <w:basedOn w:val="698"/>
    <w:uiPriority w:val="0"/>
    <w:qFormat/>
  </w:style>
  <w:style w:type="paragraph" w:styleId="897" w:customStyle="1">
    <w:name w:val="样式 标题 4 + 段前: 5 磅 段后: 5 磅 行距: 单倍行距"/>
    <w:basedOn w:val="692"/>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898" w:customStyle="1">
    <w:name w:val="基准标题"/>
    <w:basedOn w:val="708"/>
    <w:next w:val="708"/>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899" w:customStyle="1">
    <w:name w:val="font6"/>
    <w:basedOn w:val="688"/>
    <w:uiPriority w:val="0"/>
    <w:qFormat/>
    <w:pPr>
      <w:jc w:val="left"/>
      <w:spacing w:before="100" w:beforeAutospacing="1" w:after="100" w:afterAutospacing="1"/>
      <w:widowControl/>
    </w:pPr>
    <w:rPr>
      <w:rFonts w:hint="eastAsia" w:ascii="宋体" w:hAnsi="宋体"/>
      <w:sz w:val="24"/>
    </w:rPr>
  </w:style>
  <w:style w:type="paragraph" w:styleId="900" w:customStyle="1">
    <w:name w:val="样式4"/>
    <w:basedOn w:val="688"/>
    <w:uiPriority w:val="0"/>
    <w:qFormat/>
    <w:pPr>
      <w:ind w:left="2328" w:hanging="708"/>
      <w:tabs>
        <w:tab w:val="left" w:pos="2328" w:leader="none"/>
      </w:tabs>
    </w:pPr>
  </w:style>
  <w:style w:type="paragraph" w:styleId="901" w:customStyle="1">
    <w:name w:val="font5"/>
    <w:basedOn w:val="688"/>
    <w:uiPriority w:val="0"/>
    <w:qFormat/>
    <w:pPr>
      <w:jc w:val="left"/>
      <w:spacing w:before="100" w:beforeAutospacing="1" w:after="100" w:afterAutospacing="1"/>
      <w:widowControl/>
    </w:pPr>
    <w:rPr>
      <w:rFonts w:hint="eastAsia" w:ascii="宋体" w:hAnsi="宋体"/>
      <w:sz w:val="18"/>
      <w:szCs w:val="18"/>
    </w:rPr>
  </w:style>
  <w:style w:type="paragraph" w:styleId="902" w:customStyle="1">
    <w:name w:val="3 Char"/>
    <w:basedOn w:val="688"/>
    <w:uiPriority w:val="0"/>
    <w:qFormat/>
    <w:pPr>
      <w:jc w:val="center"/>
      <w:spacing w:line="400" w:lineRule="exact"/>
      <w:widowControl/>
    </w:pPr>
    <w:rPr>
      <w:rFonts w:ascii="Verdana" w:hAnsi="Verdana"/>
      <w:szCs w:val="20"/>
      <w:lang w:eastAsia="en-US"/>
    </w:rPr>
  </w:style>
  <w:style w:type="paragraph" w:styleId="903" w:customStyle="1">
    <w:name w:val="样式 标题 2 + 宋体 五号 非加粗 黑色"/>
    <w:basedOn w:val="690"/>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904" w:customStyle="1">
    <w:name w:val="xl29"/>
    <w:basedOn w:val="688"/>
    <w:uiPriority w:val="0"/>
    <w:qFormat/>
    <w:pPr>
      <w:jc w:val="center"/>
      <w:spacing w:before="100" w:beforeAutospacing="1" w:after="100" w:afterAutospacing="1"/>
      <w:widowControl/>
    </w:pPr>
    <w:rPr>
      <w:rFonts w:ascii="宋体" w:hAnsi="宋体"/>
      <w:sz w:val="28"/>
      <w:szCs w:val="28"/>
    </w:rPr>
  </w:style>
  <w:style w:type="paragraph" w:styleId="905" w:customStyle="1">
    <w:name w:val="图"/>
    <w:basedOn w:val="688"/>
    <w:uiPriority w:val="0"/>
    <w:qFormat/>
    <w:pPr>
      <w:jc w:val="center"/>
      <w:keepNext/>
      <w:spacing w:before="60" w:after="60" w:line="300" w:lineRule="auto"/>
    </w:pPr>
    <w:rPr>
      <w:spacing w:val="20"/>
      <w:sz w:val="24"/>
      <w:szCs w:val="20"/>
    </w:rPr>
  </w:style>
  <w:style w:type="paragraph" w:styleId="906" w:customStyle="1">
    <w:name w:val="设计方案"/>
    <w:basedOn w:val="688"/>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907" w:customStyle="1">
    <w:name w:val="xl24"/>
    <w:basedOn w:val="6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08" w:customStyle="1">
    <w:name w:val="样式1"/>
    <w:basedOn w:val="688"/>
    <w:uiPriority w:val="0"/>
    <w:qFormat/>
    <w:pPr>
      <w:ind w:left="425" w:hanging="425"/>
      <w:tabs>
        <w:tab w:val="left" w:pos="425" w:leader="none"/>
        <w:tab w:val="left" w:pos="709" w:leader="none"/>
      </w:tabs>
    </w:pPr>
    <w:rPr>
      <w:rFonts w:ascii="宋体" w:hAnsi="宋体"/>
      <w:szCs w:val="20"/>
    </w:rPr>
  </w:style>
  <w:style w:type="paragraph" w:styleId="909" w:customStyle="1">
    <w:name w:val="head"/>
    <w:basedOn w:val="688"/>
    <w:uiPriority w:val="0"/>
    <w:qFormat/>
    <w:pPr>
      <w:jc w:val="center"/>
      <w:spacing w:before="100" w:beforeAutospacing="1" w:after="100" w:afterAutospacing="1"/>
      <w:widowControl/>
    </w:pPr>
    <w:rPr>
      <w:rFonts w:hint="eastAsia" w:ascii="黑体" w:hAnsi="宋体" w:eastAsia="黑体"/>
      <w:b/>
      <w:bCs/>
      <w:sz w:val="28"/>
      <w:szCs w:val="28"/>
    </w:rPr>
  </w:style>
  <w:style w:type="paragraph" w:styleId="910" w:customStyle="1">
    <w:name w:val="默认段落字体 Para Char Char Char Char"/>
    <w:basedOn w:val="688"/>
    <w:uiPriority w:val="0"/>
    <w:qFormat/>
    <w:rPr>
      <w:szCs w:val="20"/>
    </w:rPr>
  </w:style>
  <w:style w:type="paragraph" w:styleId="911" w:customStyle="1">
    <w:name w:val="Char Char Char Char"/>
    <w:basedOn w:val="688"/>
    <w:uiPriority w:val="0"/>
    <w:qFormat/>
    <w:pPr>
      <w:jc w:val="left"/>
      <w:spacing w:after="160" w:line="240" w:lineRule="exact"/>
      <w:widowControl/>
    </w:pPr>
    <w:rPr>
      <w:rFonts w:ascii="Verdana" w:hAnsi="Verdana" w:eastAsia="仿宋_GB2312"/>
      <w:sz w:val="24"/>
      <w:szCs w:val="20"/>
      <w:lang w:eastAsia="en-US"/>
    </w:rPr>
  </w:style>
  <w:style w:type="paragraph" w:styleId="912" w:customStyle="1">
    <w:name w:val="font0"/>
    <w:basedOn w:val="688"/>
    <w:uiPriority w:val="0"/>
    <w:qFormat/>
    <w:pPr>
      <w:jc w:val="left"/>
      <w:spacing w:before="100" w:beforeAutospacing="1" w:after="100" w:afterAutospacing="1"/>
      <w:widowControl/>
    </w:pPr>
    <w:rPr>
      <w:rFonts w:hint="eastAsia" w:ascii="宋体" w:hAnsi="宋体"/>
      <w:sz w:val="24"/>
    </w:rPr>
  </w:style>
  <w:style w:type="paragraph" w:styleId="913" w:customStyle="1">
    <w:name w:val="样式 标题 3h3H3sect1.2.3 + 五号 段前: 6 磅 段后: 6 磅 行距: 单倍行距"/>
    <w:basedOn w:val="691"/>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914" w:customStyle="1">
    <w:name w:val="纯文本 Char1"/>
    <w:basedOn w:val="698"/>
    <w:uiPriority w:val="0"/>
    <w:qFormat/>
    <w:rPr>
      <w:rFonts w:ascii="宋体" w:hAnsi="Courier New" w:eastAsia="宋体" w:cs="Courier New"/>
      <w:szCs w:val="21"/>
    </w:rPr>
  </w:style>
  <w:style w:type="character" w:styleId="915" w:customStyle="1">
    <w:name w:val="HTML 预设格式 字符"/>
    <w:basedOn w:val="698"/>
    <w:link w:val="729"/>
    <w:uiPriority w:val="99"/>
    <w:qFormat/>
    <w:rPr>
      <w:rFonts w:ascii="宋体" w:hAnsi="宋体"/>
      <w:sz w:val="24"/>
      <w:szCs w:val="24"/>
    </w:rPr>
  </w:style>
  <w:style w:type="paragraph" w:styleId="916" w:customStyle="1">
    <w:name w:val="Char1 Char Char Char"/>
    <w:basedOn w:val="688"/>
    <w:uiPriority w:val="0"/>
    <w:qFormat/>
    <w:rPr>
      <w:szCs w:val="20"/>
    </w:rPr>
  </w:style>
  <w:style w:type="paragraph" w:styleId="917" w:customStyle="1">
    <w:name w:val="Char1"/>
    <w:basedOn w:val="688"/>
    <w:uiPriority w:val="0"/>
    <w:qFormat/>
    <w:pPr>
      <w:jc w:val="left"/>
      <w:spacing w:after="160" w:line="240" w:lineRule="exact"/>
      <w:widowControl/>
    </w:pPr>
    <w:rPr>
      <w:sz w:val="24"/>
    </w:rPr>
  </w:style>
  <w:style w:type="paragraph" w:styleId="918" w:customStyle="1">
    <w:name w:val="默认段落字体 Para Char"/>
    <w:basedOn w:val="688"/>
    <w:uiPriority w:val="0"/>
    <w:qFormat/>
  </w:style>
  <w:style w:type="paragraph" w:styleId="919" w:customStyle="1">
    <w:name w:val="Char1 Char Char Char Char Char Char Char Char Char"/>
    <w:basedOn w:val="688"/>
    <w:uiPriority w:val="0"/>
    <w:qFormat/>
    <w:pPr>
      <w:jc w:val="center"/>
      <w:spacing w:line="400" w:lineRule="exact"/>
      <w:widowControl/>
    </w:pPr>
    <w:rPr>
      <w:rFonts w:ascii="Verdana" w:hAnsi="Verdana"/>
      <w:szCs w:val="20"/>
      <w:lang w:eastAsia="en-US"/>
    </w:rPr>
  </w:style>
  <w:style w:type="paragraph" w:styleId="920" w:customStyle="1">
    <w:name w:val="普通(网站)1"/>
    <w:basedOn w:val="688"/>
    <w:uiPriority w:val="0"/>
    <w:qFormat/>
    <w:pPr>
      <w:jc w:val="left"/>
      <w:spacing w:before="100" w:beforeAutospacing="1" w:after="100" w:afterAutospacing="1"/>
      <w:widowControl/>
    </w:pPr>
    <w:rPr>
      <w:rFonts w:ascii="宋体" w:hAnsi="宋体"/>
      <w:sz w:val="24"/>
    </w:rPr>
  </w:style>
  <w:style w:type="paragraph" w:styleId="921" w:customStyle="1">
    <w:name w:val="Char Char2 Char"/>
    <w:basedOn w:val="688"/>
    <w:uiPriority w:val="0"/>
    <w:qFormat/>
    <w:rPr>
      <w:rFonts w:ascii="宋体" w:hAnsi="宋体"/>
      <w:b/>
      <w:sz w:val="28"/>
      <w:szCs w:val="28"/>
    </w:rPr>
  </w:style>
  <w:style w:type="character" w:styleId="922" w:customStyle="1">
    <w:name w:val="正文缩进 字符"/>
    <w:link w:val="703"/>
    <w:uiPriority w:val="0"/>
    <w:qFormat/>
    <w:rPr>
      <w:b/>
      <w:sz w:val="24"/>
    </w:rPr>
  </w:style>
  <w:style w:type="paragraph" w:styleId="923" w:customStyle="1">
    <w:name w:val="Char Char Char"/>
    <w:basedOn w:val="688"/>
    <w:uiPriority w:val="0"/>
    <w:qFormat/>
    <w:rPr>
      <w:rFonts w:ascii="宋体" w:hAnsi="宋体"/>
      <w:b/>
      <w:sz w:val="28"/>
      <w:szCs w:val="28"/>
    </w:rPr>
  </w:style>
  <w:style w:type="paragraph" w:styleId="924" w:customStyle="1">
    <w:name w:val="Char2"/>
    <w:basedOn w:val="688"/>
    <w:uiPriority w:val="0"/>
    <w:qFormat/>
    <w:pPr>
      <w:jc w:val="left"/>
      <w:spacing w:after="160" w:line="240" w:lineRule="exact"/>
      <w:widowControl/>
    </w:pPr>
    <w:rPr>
      <w:szCs w:val="20"/>
    </w:rPr>
  </w:style>
  <w:style w:type="paragraph" w:styleId="925" w:customStyle="1">
    <w:name w:val="a"/>
    <w:basedOn w:val="688"/>
    <w:uiPriority w:val="0"/>
    <w:qFormat/>
    <w:pPr>
      <w:jc w:val="left"/>
      <w:spacing w:before="100" w:beforeAutospacing="1" w:after="100" w:afterAutospacing="1"/>
      <w:widowControl/>
    </w:pPr>
    <w:rPr>
      <w:rFonts w:ascii="宋体" w:hAnsi="宋体" w:cs="宋体"/>
      <w:sz w:val="24"/>
    </w:rPr>
  </w:style>
  <w:style w:type="character" w:styleId="926" w:customStyle="1">
    <w:name w:val="description5"/>
    <w:basedOn w:val="698"/>
    <w:uiPriority w:val="0"/>
    <w:qFormat/>
  </w:style>
  <w:style w:type="character" w:styleId="927">
    <w:name w:val="Placeholder Text"/>
    <w:uiPriority w:val="99"/>
    <w:semiHidden/>
    <w:qFormat/>
    <w:rPr>
      <w:color w:val="808080"/>
    </w:rPr>
  </w:style>
  <w:style w:type="paragraph" w:styleId="928" w:customStyle="1">
    <w:name w:val="Table Paragraph"/>
    <w:basedOn w:val="688"/>
    <w:uiPriority w:val="1"/>
    <w:qFormat/>
    <w:pPr>
      <w:jc w:val="left"/>
    </w:pPr>
    <w:rPr>
      <w:sz w:val="24"/>
    </w:rPr>
  </w:style>
  <w:style w:type="character" w:styleId="929" w:customStyle="1">
    <w:name w:val="Char Char7"/>
    <w:uiPriority w:val="0"/>
    <w:qFormat/>
    <w:rPr>
      <w:rFonts w:ascii="Tahoma" w:hAnsi="Tahoma" w:eastAsia="微软雅黑"/>
      <w:b/>
      <w:bCs/>
      <w:sz w:val="32"/>
      <w:szCs w:val="32"/>
      <w:lang w:val="en-US" w:eastAsia="zh-CN" w:bidi="ar-SA"/>
    </w:rPr>
  </w:style>
  <w:style w:type="character" w:styleId="930" w:customStyle="1">
    <w:name w:val="font01"/>
    <w:uiPriority w:val="0"/>
    <w:qFormat/>
    <w:rPr>
      <w:rFonts w:hint="eastAsia" w:ascii="宋体" w:hAnsi="宋体" w:eastAsia="宋体" w:cs="宋体"/>
      <w:color w:val="000000"/>
      <w:sz w:val="20"/>
      <w:szCs w:val="20"/>
      <w:u w:val="none"/>
    </w:rPr>
  </w:style>
  <w:style w:type="character" w:styleId="931" w:customStyle="1">
    <w:name w:val="font81"/>
    <w:uiPriority w:val="0"/>
    <w:qFormat/>
    <w:rPr>
      <w:rFonts w:hint="eastAsia" w:ascii="宋体" w:hAnsi="宋体" w:eastAsia="宋体" w:cs="宋体"/>
      <w:color w:val="000000"/>
      <w:sz w:val="22"/>
      <w:szCs w:val="22"/>
      <w:u w:val="none"/>
    </w:rPr>
  </w:style>
  <w:style w:type="character" w:styleId="932" w:customStyle="1">
    <w:name w:val="font71"/>
    <w:uiPriority w:val="0"/>
    <w:qFormat/>
    <w:rPr>
      <w:rFonts w:hint="eastAsia" w:ascii="宋体" w:hAnsi="宋体" w:eastAsia="宋体" w:cs="宋体"/>
      <w:color w:val="000000"/>
      <w:sz w:val="22"/>
      <w:szCs w:val="22"/>
      <w:u w:val="none"/>
    </w:rPr>
  </w:style>
  <w:style w:type="character" w:styleId="933" w:customStyle="1">
    <w:name w:val="font51"/>
    <w:uiPriority w:val="0"/>
    <w:qFormat/>
    <w:rPr>
      <w:rFonts w:hint="default" w:ascii="Calibri" w:hAnsi="Calibri" w:cs="Calibri"/>
      <w:color w:val="000000"/>
      <w:sz w:val="22"/>
      <w:szCs w:val="22"/>
      <w:u w:val="none"/>
    </w:rPr>
  </w:style>
  <w:style w:type="character" w:styleId="934" w:customStyle="1">
    <w:name w:val="font61"/>
    <w:uiPriority w:val="0"/>
    <w:qFormat/>
    <w:rPr>
      <w:rFonts w:hint="default" w:ascii="Calibri" w:hAnsi="Calibri" w:cs="Calibri"/>
      <w:color w:val="000000"/>
      <w:sz w:val="22"/>
      <w:szCs w:val="22"/>
      <w:u w:val="none"/>
    </w:rPr>
  </w:style>
  <w:style w:type="character" w:styleId="935" w:customStyle="1">
    <w:name w:val="font41"/>
    <w:uiPriority w:val="0"/>
    <w:qFormat/>
    <w:rPr>
      <w:rFonts w:hint="eastAsia" w:ascii="宋体" w:hAnsi="宋体" w:eastAsia="宋体" w:cs="宋体"/>
      <w:color w:val="000000"/>
      <w:sz w:val="22"/>
      <w:szCs w:val="22"/>
      <w:u w:val="none"/>
    </w:rPr>
  </w:style>
  <w:style w:type="character" w:styleId="936" w:customStyle="1">
    <w:name w:val="未处理的提及2"/>
    <w:basedOn w:val="698"/>
    <w:uiPriority w:val="99"/>
    <w:semiHidden/>
    <w:unhideWhenUsed/>
    <w:qFormat/>
    <w:rPr>
      <w:color w:val="605e5c"/>
      <w:shd w:val="clear" w:color="auto" w:fill="e1dfdd"/>
    </w:rPr>
  </w:style>
  <w:style w:type="character" w:styleId="937" w:customStyle="1">
    <w:name w:val="未处理的提及3"/>
    <w:basedOn w:val="698"/>
    <w:uiPriority w:val="99"/>
    <w:semiHidden/>
    <w:unhideWhenUsed/>
    <w:qFormat/>
    <w:rPr>
      <w:color w:val="605e5c"/>
      <w:shd w:val="clear" w:color="auto" w:fill="e1dfdd"/>
    </w:rPr>
  </w:style>
  <w:style w:type="paragraph" w:styleId="938" w:customStyle="1">
    <w:name w:val="_Style 234"/>
    <w:basedOn w:val="688"/>
    <w:next w:val="759"/>
    <w:uiPriority w:val="34"/>
    <w:qFormat/>
    <w:pPr>
      <w:ind w:left="420" w:firstLine="420"/>
      <w:spacing w:line="400" w:lineRule="exact"/>
    </w:pPr>
    <w:rPr>
      <w:rFonts w:ascii="Calibri" w:hAnsi="Calibri"/>
    </w:rPr>
  </w:style>
  <w:style w:type="character" w:styleId="939" w:customStyle="1">
    <w:name w:val="列表段落 字符"/>
    <w:link w:val="759"/>
    <w:uiPriority w:val="99"/>
    <w:qFormat/>
    <w:rPr>
      <w:sz w:val="21"/>
      <w:szCs w:val="24"/>
    </w:rPr>
  </w:style>
  <w:style w:type="character" w:styleId="940" w:customStyle="1">
    <w:name w:val="彩色列表 - 强调文字颜色 1字符"/>
    <w:uiPriority w:val="34"/>
    <w:qFormat/>
    <w:rPr>
      <w:rFonts w:ascii="Calibri" w:hAnsi="Calibri"/>
      <w:sz w:val="21"/>
      <w:szCs w:val="24"/>
    </w:rPr>
  </w:style>
  <w:style w:type="character" w:styleId="941" w:customStyle="1">
    <w:name w:val="批注主题 字符1"/>
    <w:basedOn w:val="893"/>
    <w:uiPriority w:val="99"/>
    <w:semiHidden/>
    <w:qFormat/>
    <w:rPr>
      <w:rFonts w:ascii="Calibri" w:hAnsi="Calibri" w:eastAsia="宋体" w:cs="Times New Roman"/>
      <w:b/>
      <w:bCs/>
      <w:sz w:val="24"/>
      <w:szCs w:val="24"/>
    </w:rPr>
  </w:style>
  <w:style w:type="character" w:styleId="942" w:customStyle="1">
    <w:name w:val="正文文本缩进 2 字符1"/>
    <w:basedOn w:val="698"/>
    <w:uiPriority w:val="99"/>
    <w:semiHidden/>
    <w:qFormat/>
    <w:rPr>
      <w:rFonts w:ascii="Calibri" w:hAnsi="Calibri" w:eastAsia="宋体" w:cs="Times New Roman"/>
      <w:szCs w:val="24"/>
    </w:rPr>
  </w:style>
  <w:style w:type="character" w:styleId="943" w:customStyle="1">
    <w:name w:val="标题 字符1"/>
    <w:basedOn w:val="698"/>
    <w:uiPriority w:val="10"/>
    <w:qFormat/>
    <w:rPr>
      <w:rFonts w:asciiTheme="majorHAnsi" w:hAnsiTheme="majorHAnsi" w:eastAsiaTheme="majorEastAsia" w:cstheme="majorBidi"/>
      <w:b/>
      <w:bCs/>
      <w:sz w:val="32"/>
      <w:szCs w:val="32"/>
    </w:rPr>
  </w:style>
  <w:style w:type="character" w:styleId="944" w:customStyle="1">
    <w:name w:val="正文文本缩进 字符1"/>
    <w:basedOn w:val="698"/>
    <w:uiPriority w:val="99"/>
    <w:semiHidden/>
    <w:qFormat/>
    <w:rPr>
      <w:rFonts w:ascii="Calibri" w:hAnsi="Calibri" w:eastAsia="宋体" w:cs="Times New Roman"/>
      <w:szCs w:val="24"/>
    </w:rPr>
  </w:style>
  <w:style w:type="character" w:styleId="945" w:customStyle="1">
    <w:name w:val="副标题 字符1"/>
    <w:basedOn w:val="698"/>
    <w:uiPriority w:val="11"/>
    <w:qFormat/>
    <w:rPr>
      <w:b/>
      <w:bCs/>
      <w:sz w:val="32"/>
      <w:szCs w:val="32"/>
    </w:rPr>
  </w:style>
  <w:style w:type="character" w:styleId="946" w:customStyle="1">
    <w:name w:val="日期 字符1"/>
    <w:basedOn w:val="698"/>
    <w:uiPriority w:val="99"/>
    <w:semiHidden/>
    <w:qFormat/>
    <w:rPr>
      <w:rFonts w:ascii="Calibri" w:hAnsi="Calibri" w:eastAsia="宋体" w:cs="Times New Roman"/>
      <w:szCs w:val="24"/>
    </w:rPr>
  </w:style>
  <w:style w:type="paragraph" w:styleId="947" w:customStyle="1">
    <w:name w:val="修订2"/>
    <w:uiPriority w:val="99"/>
    <w:unhideWhenUsed/>
    <w:qFormat/>
    <w:rPr>
      <w:rFonts w:ascii="Calibri" w:hAnsi="Calibri" w:eastAsia="宋体" w:cs="Times New Roman"/>
      <w:sz w:val="21"/>
      <w:szCs w:val="24"/>
      <w:lang w:val="en-US" w:eastAsia="zh-CN" w:bidi="ar-SA"/>
    </w:rPr>
  </w:style>
  <w:style w:type="character" w:styleId="948" w:customStyle="1">
    <w:name w:val="正文文本 字符1"/>
    <w:basedOn w:val="698"/>
    <w:uiPriority w:val="99"/>
    <w:semiHidden/>
    <w:qFormat/>
    <w:rPr>
      <w:rFonts w:ascii="Calibri" w:hAnsi="Calibri" w:eastAsia="宋体" w:cs="Times New Roman"/>
      <w:szCs w:val="24"/>
    </w:rPr>
  </w:style>
  <w:style w:type="character" w:styleId="949" w:customStyle="1">
    <w:name w:val="批注框文本 字符1"/>
    <w:basedOn w:val="698"/>
    <w:uiPriority w:val="99"/>
    <w:semiHidden/>
    <w:qFormat/>
    <w:rPr>
      <w:rFonts w:ascii="Calibri" w:hAnsi="Calibri" w:eastAsia="宋体" w:cs="Times New Roman"/>
      <w:sz w:val="18"/>
      <w:szCs w:val="18"/>
    </w:rPr>
  </w:style>
  <w:style w:type="paragraph" w:styleId="950" w:customStyle="1">
    <w:name w:val="小四 段落 宋体 Char Char Char"/>
    <w:basedOn w:val="702"/>
    <w:uiPriority w:val="0"/>
    <w:qFormat/>
    <w:pPr>
      <w:numPr>
        <w:ilvl w:val="0"/>
        <w:numId w:val="0"/>
      </w:numPr>
      <w:ind w:right="-33" w:firstLine="480"/>
      <w:jc w:val="left"/>
      <w:spacing w:line="360" w:lineRule="auto"/>
    </w:pPr>
    <w:rPr>
      <w:rFonts w:ascii="Times New Roman" w:hAnsi="Times New Roman"/>
      <w:sz w:val="24"/>
      <w:szCs w:val="20"/>
    </w:rPr>
  </w:style>
  <w:style w:type="character" w:styleId="951" w:customStyle="1">
    <w:name w:val="纯文本 字符1"/>
    <w:basedOn w:val="698"/>
    <w:uiPriority w:val="99"/>
    <w:semiHidden/>
    <w:qFormat/>
    <w:rPr>
      <w:rFonts w:hAnsi="Courier New" w:cs="Courier New" w:asciiTheme="minorEastAsia"/>
      <w:szCs w:val="24"/>
    </w:rPr>
  </w:style>
  <w:style w:type="character" w:styleId="952" w:customStyle="1">
    <w:name w:val="文档结构图 字符1"/>
    <w:basedOn w:val="698"/>
    <w:uiPriority w:val="99"/>
    <w:semiHidden/>
    <w:qFormat/>
    <w:rPr>
      <w:rFonts w:ascii="Microsoft YaHei UI" w:hAnsi="Calibri" w:eastAsia="Microsoft YaHei UI" w:cs="Times New Roman"/>
      <w:sz w:val="18"/>
      <w:szCs w:val="18"/>
    </w:rPr>
  </w:style>
  <w:style w:type="character" w:styleId="953" w:customStyle="1">
    <w:name w:val="正文文本 3 字符1"/>
    <w:basedOn w:val="698"/>
    <w:uiPriority w:val="99"/>
    <w:semiHidden/>
    <w:qFormat/>
    <w:rPr>
      <w:rFonts w:ascii="Calibri" w:hAnsi="Calibri" w:eastAsia="宋体" w:cs="Times New Roman"/>
      <w:sz w:val="16"/>
      <w:szCs w:val="16"/>
    </w:rPr>
  </w:style>
  <w:style w:type="paragraph" w:styleId="954" w:customStyle="1">
    <w:name w:val="_Style 106"/>
    <w:basedOn w:val="688"/>
    <w:next w:val="759"/>
    <w:uiPriority w:val="34"/>
    <w:qFormat/>
    <w:pPr>
      <w:ind w:left="420" w:firstLine="420"/>
      <w:spacing w:line="400" w:lineRule="exact"/>
    </w:pPr>
    <w:rPr>
      <w:rFonts w:ascii="Calibri" w:hAnsi="Calibri"/>
    </w:rPr>
  </w:style>
  <w:style w:type="character" w:styleId="955" w:customStyle="1">
    <w:name w:val="正文文本缩进 3 字符1"/>
    <w:basedOn w:val="698"/>
    <w:uiPriority w:val="99"/>
    <w:semiHidden/>
    <w:qFormat/>
    <w:rPr>
      <w:rFonts w:ascii="Calibri" w:hAnsi="Calibri" w:eastAsia="宋体" w:cs="Times New Roman"/>
      <w:sz w:val="16"/>
      <w:szCs w:val="16"/>
    </w:rPr>
  </w:style>
  <w:style w:type="character" w:styleId="956" w:customStyle="1">
    <w:name w:val="未处理的提及4"/>
    <w:basedOn w:val="698"/>
    <w:uiPriority w:val="99"/>
    <w:semiHidden/>
    <w:unhideWhenUsed/>
    <w:qFormat/>
    <w:rPr>
      <w:color w:val="605e5c"/>
      <w:shd w:val="clear" w:color="auto" w:fill="e1dfdd"/>
    </w:rPr>
  </w:style>
  <w:style w:type="character" w:styleId="957" w:customStyle="1">
    <w:name w:val="未处理的提及5"/>
    <w:basedOn w:val="698"/>
    <w:uiPriority w:val="99"/>
    <w:semiHidden/>
    <w:unhideWhenUsed/>
    <w:qFormat/>
    <w:rPr>
      <w:color w:val="605e5c"/>
      <w:shd w:val="clear" w:color="auto" w:fill="e1dfdd"/>
    </w:rPr>
  </w:style>
  <w:style w:type="character" w:styleId="958" w:customStyle="1">
    <w:name w:val="未处理的提及6"/>
    <w:basedOn w:val="698"/>
    <w:uiPriority w:val="99"/>
    <w:semiHidden/>
    <w:unhideWhenUsed/>
    <w:qFormat/>
    <w:rPr>
      <w:color w:val="605e5c"/>
      <w:shd w:val="clear" w:color="auto" w:fill="e1dfdd"/>
    </w:rPr>
  </w:style>
  <w:style w:type="character" w:styleId="959" w:customStyle="1">
    <w:name w:val="font101"/>
    <w:uiPriority w:val="0"/>
    <w:qFormat/>
    <w:rPr>
      <w:rFonts w:ascii="PingFangTC-light" w:hAnsi="PingFangTC-light" w:eastAsia="PingFangTC-light" w:cs="PingFangTC-light"/>
      <w:color w:val="ff0000"/>
      <w:sz w:val="22"/>
      <w:szCs w:val="22"/>
      <w:u w:val="none"/>
    </w:rPr>
  </w:style>
  <w:style w:type="character" w:styleId="960" w:customStyle="1">
    <w:name w:val="font112"/>
    <w:uiPriority w:val="0"/>
    <w:qFormat/>
    <w:rPr>
      <w:rFonts w:ascii="Calibri" w:hAnsi="Calibri" w:cs="Calibri"/>
      <w:color w:val="ff0000"/>
      <w:sz w:val="21"/>
      <w:szCs w:val="21"/>
      <w:u w:val="none"/>
    </w:rPr>
  </w:style>
  <w:style w:type="character" w:styleId="961" w:customStyle="1">
    <w:name w:val="font121"/>
    <w:uiPriority w:val="0"/>
    <w:qFormat/>
    <w:rPr>
      <w:rFonts w:hint="eastAsia" w:ascii="宋体" w:hAnsi="宋体" w:eastAsia="宋体" w:cs="宋体"/>
      <w:color w:val="000000"/>
      <w:sz w:val="20"/>
      <w:szCs w:val="20"/>
      <w:u w:val="none"/>
    </w:rPr>
  </w:style>
  <w:style w:type="character" w:styleId="962" w:customStyle="1">
    <w:name w:val="纯文本 Char"/>
    <w:uiPriority w:val="0"/>
    <w:qFormat/>
    <w:rPr>
      <w:rFonts w:ascii="宋体" w:hAnsi="Courier New" w:eastAsia="宋体" w:cs="Courier New"/>
      <w:szCs w:val="21"/>
    </w:rPr>
  </w:style>
  <w:style w:type="character" w:styleId="963" w:customStyle="1">
    <w:name w:val="NormalCharacter"/>
    <w:uiPriority w:val="0"/>
    <w:qFormat/>
    <w:rPr>
      <w:rFonts w:ascii="Times New Roman" w:hAnsi="Times New Roman" w:eastAsia="宋体" w:cs="Times New Roman"/>
      <w:sz w:val="21"/>
      <w:szCs w:val="22"/>
      <w:lang w:val="en-US" w:eastAsia="zh-CN" w:bidi="ar-SA"/>
    </w:rPr>
  </w:style>
  <w:style w:type="paragraph" w:styleId="964" w:customStyle="1">
    <w:name w:val="样式 宋体 五号 行距: 单倍行距"/>
    <w:basedOn w:val="688"/>
    <w:uiPriority w:val="0"/>
    <w:qFormat/>
    <w:pPr>
      <w:jc w:val="left"/>
    </w:pPr>
    <w:rPr>
      <w:rFonts w:ascii="宋体" w:hAnsi="宋体"/>
      <w:szCs w:val="20"/>
    </w:rPr>
  </w:style>
  <w:style w:type="paragraph" w:styleId="965" w:customStyle="1">
    <w:name w:val="列表段落1"/>
    <w:basedOn w:val="688"/>
    <w:uiPriority w:val="99"/>
    <w:qFormat/>
    <w:pPr>
      <w:ind w:firstLine="420"/>
    </w:pPr>
    <w:rPr>
      <w:szCs w:val="20"/>
    </w:rPr>
  </w:style>
  <w:style w:type="character" w:styleId="966" w:customStyle="1">
    <w:name w:val="fontstyle31"/>
    <w:uiPriority w:val="0"/>
    <w:qFormat/>
    <w:rPr>
      <w:rFonts w:hint="default" w:ascii="TimesNewRomanPS-BoldMT" w:hAnsi="TimesNewRomanPS-BoldMT"/>
      <w:b/>
      <w:bCs/>
      <w:color w:val="000000"/>
      <w:sz w:val="22"/>
      <w:szCs w:val="22"/>
    </w:rPr>
  </w:style>
  <w:style w:type="paragraph" w:styleId="967"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968"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969" w:customStyle="1">
    <w:name w:val="表格非标题文字"/>
    <w:uiPriority w:val="0"/>
    <w:qFormat/>
    <w:pPr>
      <w:spacing w:before="80" w:after="40"/>
    </w:pPr>
    <w:rPr>
      <w:rFonts w:ascii="Arial" w:hAnsi="Arial" w:eastAsia="宋体" w:cs="Arial"/>
      <w:sz w:val="18"/>
      <w:szCs w:val="21"/>
      <w:lang w:val="en-US" w:eastAsia="zh-CN" w:bidi="ar-SA"/>
    </w:rPr>
  </w:style>
  <w:style w:type="paragraph" w:styleId="970" w:customStyle="1">
    <w:name w:val="招标"/>
    <w:basedOn w:val="688"/>
    <w:uiPriority w:val="0"/>
    <w:qFormat/>
    <w:pPr>
      <w:ind w:firstLine="420"/>
      <w:jc w:val="left"/>
      <w:spacing w:line="400" w:lineRule="exact"/>
    </w:pPr>
    <w:rPr>
      <w:rFonts w:ascii="宋体" w:hAnsi="宋体"/>
    </w:rPr>
  </w:style>
  <w:style w:type="paragraph" w:styleId="971"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72" w:customStyle="1">
    <w:name w:val="二级目录"/>
    <w:next w:val="688"/>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973"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74"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75"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976" w:customStyle="1">
    <w:name w:val="p1"/>
    <w:basedOn w:val="688"/>
    <w:uiPriority w:val="0"/>
    <w:qFormat/>
    <w:pPr>
      <w:jc w:val="left"/>
    </w:pPr>
    <w:rPr>
      <w:rFonts w:ascii="Helvetica Neue" w:hAnsi="Helvetica Neue" w:eastAsia="Helvetica Neue"/>
      <w:sz w:val="26"/>
      <w:szCs w:val="26"/>
    </w:rPr>
  </w:style>
  <w:style w:type="paragraph" w:styleId="977" w:customStyle="1">
    <w:name w:val="p2"/>
    <w:basedOn w:val="688"/>
    <w:uiPriority w:val="0"/>
    <w:qFormat/>
    <w:pPr>
      <w:jc w:val="left"/>
    </w:pPr>
    <w:rPr>
      <w:rFonts w:ascii="PingFang SC" w:hAnsi="PingFang SC" w:eastAsia="PingFang SC"/>
      <w:sz w:val="26"/>
      <w:szCs w:val="26"/>
    </w:rPr>
  </w:style>
  <w:style w:type="paragraph" w:styleId="978"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979" w:customStyle="1">
    <w:name w:val="修订8"/>
    <w:hidden/>
    <w:uiPriority w:val="99"/>
    <w:unhideWhenUsed/>
    <w:qFormat/>
    <w:rPr>
      <w:rFonts w:ascii="Times New Roman" w:hAnsi="Times New Roman" w:eastAsia="宋体" w:cs="Times New Roman"/>
      <w:sz w:val="21"/>
      <w:szCs w:val="24"/>
      <w:lang w:val="en-US" w:eastAsia="zh-CN" w:bidi="ar-SA"/>
    </w:rPr>
  </w:style>
  <w:style w:type="paragraph" w:styleId="980" w:customStyle="1">
    <w:name w:val="修订9"/>
    <w:hidden/>
    <w:uiPriority w:val="99"/>
    <w:unhideWhenUsed/>
    <w:qFormat/>
    <w:rPr>
      <w:rFonts w:ascii="Times New Roman" w:hAnsi="Times New Roman" w:eastAsia="宋体" w:cs="Times New Roman"/>
      <w:sz w:val="21"/>
      <w:szCs w:val="24"/>
      <w:lang w:val="en-US" w:eastAsia="zh-CN" w:bidi="ar-SA"/>
    </w:rPr>
  </w:style>
  <w:style w:type="paragraph" w:styleId="981" w:customStyle="1">
    <w:name w:val="修订10"/>
    <w:hidden/>
    <w:uiPriority w:val="99"/>
    <w:unhideWhenUsed/>
    <w:qFormat/>
    <w:rPr>
      <w:rFonts w:ascii="Times New Roman" w:hAnsi="Times New Roman" w:eastAsia="宋体" w:cs="Times New Roman"/>
      <w:sz w:val="21"/>
      <w:szCs w:val="24"/>
      <w:lang w:val="en-US" w:eastAsia="zh-CN" w:bidi="ar-SA"/>
    </w:rPr>
  </w:style>
  <w:style w:type="paragraph" w:styleId="982"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9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924F092-B797-45F5-8BAB-EEC1BE0B762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汇采-66</cp:lastModifiedBy>
  <cp:revision>33</cp:revision>
  <dcterms:created xsi:type="dcterms:W3CDTF">2026-04-24T15:10:00Z</dcterms:created>
  <dcterms:modified xsi:type="dcterms:W3CDTF">2026-10-30T05:50:16Z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7DC0A77F4FE1B130DECBB96AC0C7327A_43</vt:lpwstr>
  </property>
  <property fmtid="{D5CDD505-2E9C-101B-9397-08002B2CF9AE}" pid="4" name="KSOTemplateDocerSaveRecord">
    <vt:lpwstr>eyJoZGlkIjoiYWY4OTBiYjhjN2Q3ZTI0YzlmNDQ0YmRkNDdkNTQzNTMiLCJ1c2VySWQiOiI3MDM0Mzc4MzAifQ==</vt:lpwstr>
  </property>
</Properties>
</file>