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B6F7C">
      <w:pPr>
        <w:widowControl/>
        <w:shd w:val="clear" w:color="auto" w:fill="FFFFFF"/>
        <w:spacing w:line="360" w:lineRule="auto"/>
        <w:jc w:val="center"/>
        <w:rPr>
          <w:rFonts w:ascii="宋体" w:hAnsi="宋体" w:cs="宋体"/>
          <w:b/>
          <w:kern w:val="0"/>
          <w:sz w:val="48"/>
          <w:szCs w:val="48"/>
          <w:highlight w:val="none"/>
        </w:rPr>
      </w:pPr>
      <w:bookmarkStart w:id="0" w:name="_Hlk74841385"/>
      <w:bookmarkStart w:id="1" w:name="_Hlk77778371"/>
    </w:p>
    <w:p w14:paraId="75FEC93E">
      <w:pPr>
        <w:pStyle w:val="58"/>
        <w:rPr>
          <w:rFonts w:ascii="宋体" w:hAnsi="宋体" w:cs="宋体"/>
          <w:highlight w:val="none"/>
        </w:rPr>
      </w:pPr>
    </w:p>
    <w:p w14:paraId="794A56C3">
      <w:pPr>
        <w:widowControl/>
        <w:spacing w:line="360" w:lineRule="auto"/>
        <w:jc w:val="center"/>
        <w:rPr>
          <w:rFonts w:ascii="宋体" w:hAnsi="宋体" w:cs="宋体"/>
          <w:b/>
          <w:kern w:val="0"/>
          <w:sz w:val="52"/>
          <w:szCs w:val="52"/>
          <w:highlight w:val="none"/>
        </w:rPr>
      </w:pPr>
      <w:r>
        <w:rPr>
          <w:rFonts w:hint="eastAsia" w:ascii="宋体" w:hAnsi="宋体" w:cs="宋体"/>
          <w:b/>
          <w:bCs/>
          <w:sz w:val="52"/>
          <w:szCs w:val="52"/>
          <w:highlight w:val="none"/>
        </w:rPr>
        <w:t>南京师范大学师范生AI素养提升与教学智能应用创新实训平台项目</w:t>
      </w:r>
    </w:p>
    <w:p w14:paraId="1F6B8D2E">
      <w:pPr>
        <w:pStyle w:val="58"/>
        <w:rPr>
          <w:rFonts w:ascii="宋体" w:hAnsi="宋体" w:cs="宋体"/>
          <w:highlight w:val="none"/>
        </w:rPr>
      </w:pPr>
    </w:p>
    <w:p w14:paraId="06E0FED9">
      <w:pPr>
        <w:pStyle w:val="58"/>
        <w:rPr>
          <w:rFonts w:ascii="宋体" w:hAnsi="宋体" w:cs="宋体"/>
          <w:highlight w:val="none"/>
        </w:rPr>
      </w:pPr>
    </w:p>
    <w:p w14:paraId="3691BA24">
      <w:pPr>
        <w:pStyle w:val="58"/>
        <w:rPr>
          <w:rFonts w:ascii="宋体" w:hAnsi="宋体" w:cs="宋体"/>
          <w:highlight w:val="none"/>
        </w:rPr>
      </w:pPr>
    </w:p>
    <w:p w14:paraId="71FCEA5E">
      <w:pPr>
        <w:pStyle w:val="58"/>
        <w:rPr>
          <w:rFonts w:ascii="宋体" w:hAnsi="宋体" w:cs="宋体"/>
          <w:highlight w:val="none"/>
        </w:rPr>
      </w:pPr>
    </w:p>
    <w:p w14:paraId="649CD1BE">
      <w:pPr>
        <w:pStyle w:val="58"/>
        <w:rPr>
          <w:rFonts w:ascii="宋体" w:hAnsi="宋体" w:cs="宋体"/>
          <w:highlight w:val="none"/>
        </w:rPr>
      </w:pPr>
    </w:p>
    <w:p w14:paraId="1DEA9948">
      <w:pPr>
        <w:widowControl/>
        <w:spacing w:line="360" w:lineRule="auto"/>
        <w:jc w:val="center"/>
        <w:rPr>
          <w:rFonts w:ascii="宋体" w:hAnsi="宋体" w:cs="宋体"/>
          <w:b/>
          <w:kern w:val="0"/>
          <w:sz w:val="72"/>
          <w:szCs w:val="72"/>
          <w:highlight w:val="none"/>
        </w:rPr>
      </w:pPr>
      <w:r>
        <w:rPr>
          <w:rFonts w:hint="eastAsia" w:ascii="宋体" w:hAnsi="宋体" w:cs="宋体"/>
          <w:b/>
          <w:kern w:val="0"/>
          <w:sz w:val="72"/>
          <w:szCs w:val="72"/>
          <w:highlight w:val="none"/>
        </w:rPr>
        <w:t>采购文件</w:t>
      </w:r>
    </w:p>
    <w:p w14:paraId="7EF2F9C9">
      <w:pPr>
        <w:widowControl/>
        <w:spacing w:line="360" w:lineRule="auto"/>
        <w:jc w:val="center"/>
        <w:rPr>
          <w:rFonts w:ascii="宋体" w:hAnsi="宋体" w:cs="宋体"/>
          <w:b/>
          <w:kern w:val="0"/>
          <w:sz w:val="36"/>
          <w:szCs w:val="36"/>
          <w:highlight w:val="none"/>
        </w:rPr>
      </w:pPr>
    </w:p>
    <w:p w14:paraId="6DEC2C21">
      <w:pPr>
        <w:widowControl/>
        <w:spacing w:line="360" w:lineRule="auto"/>
        <w:jc w:val="center"/>
        <w:rPr>
          <w:rFonts w:ascii="宋体" w:hAnsi="宋体" w:cs="宋体"/>
          <w:b/>
          <w:kern w:val="0"/>
          <w:sz w:val="32"/>
          <w:szCs w:val="32"/>
          <w:highlight w:val="none"/>
        </w:rPr>
      </w:pPr>
      <w:r>
        <w:rPr>
          <w:rFonts w:hint="eastAsia" w:ascii="宋体" w:hAnsi="宋体" w:cs="宋体"/>
          <w:b/>
          <w:kern w:val="0"/>
          <w:sz w:val="32"/>
          <w:szCs w:val="32"/>
          <w:highlight w:val="none"/>
        </w:rPr>
        <w:t>项目编号：</w:t>
      </w:r>
      <w:r>
        <w:rPr>
          <w:rFonts w:hint="eastAsia" w:ascii="宋体" w:hAnsi="宋体" w:cs="宋体"/>
          <w:b/>
          <w:kern w:val="0"/>
          <w:sz w:val="32"/>
          <w:szCs w:val="32"/>
          <w:highlight w:val="none"/>
        </w:rPr>
        <w:tab/>
      </w:r>
      <w:r>
        <w:rPr>
          <w:rFonts w:hint="eastAsia" w:ascii="宋体" w:hAnsi="宋体" w:cs="宋体"/>
          <w:b/>
          <w:kern w:val="0"/>
          <w:sz w:val="32"/>
          <w:szCs w:val="32"/>
          <w:highlight w:val="none"/>
        </w:rPr>
        <w:t>JSZC-320000-JCEC-G2026-0384</w:t>
      </w:r>
    </w:p>
    <w:p w14:paraId="3E34D889">
      <w:pPr>
        <w:widowControl/>
        <w:spacing w:line="360" w:lineRule="auto"/>
        <w:jc w:val="center"/>
        <w:rPr>
          <w:rFonts w:ascii="宋体" w:hAnsi="宋体" w:cs="宋体"/>
          <w:b/>
          <w:kern w:val="0"/>
          <w:sz w:val="32"/>
          <w:szCs w:val="32"/>
          <w:highlight w:val="none"/>
        </w:rPr>
      </w:pPr>
    </w:p>
    <w:p w14:paraId="0A5C1FC2">
      <w:pPr>
        <w:widowControl/>
        <w:spacing w:line="360" w:lineRule="auto"/>
        <w:jc w:val="center"/>
        <w:rPr>
          <w:rFonts w:ascii="宋体" w:hAnsi="宋体" w:cs="宋体"/>
          <w:b/>
          <w:kern w:val="0"/>
          <w:sz w:val="32"/>
          <w:szCs w:val="32"/>
          <w:highlight w:val="none"/>
        </w:rPr>
      </w:pPr>
    </w:p>
    <w:p w14:paraId="470DF750">
      <w:pPr>
        <w:widowControl/>
        <w:spacing w:line="360" w:lineRule="auto"/>
        <w:jc w:val="center"/>
        <w:rPr>
          <w:rFonts w:ascii="宋体" w:hAnsi="宋体" w:cs="宋体"/>
          <w:b/>
          <w:kern w:val="0"/>
          <w:sz w:val="36"/>
          <w:szCs w:val="36"/>
          <w:highlight w:val="none"/>
        </w:rPr>
      </w:pPr>
    </w:p>
    <w:p w14:paraId="777EAEA3">
      <w:pPr>
        <w:widowControl/>
        <w:spacing w:line="360" w:lineRule="auto"/>
        <w:jc w:val="center"/>
        <w:rPr>
          <w:rFonts w:ascii="宋体" w:hAnsi="宋体" w:cs="宋体"/>
          <w:b/>
          <w:kern w:val="0"/>
          <w:sz w:val="28"/>
          <w:szCs w:val="28"/>
          <w:highlight w:val="none"/>
        </w:rPr>
      </w:pPr>
    </w:p>
    <w:p w14:paraId="7A89C8A0">
      <w:pPr>
        <w:widowControl/>
        <w:shd w:val="clear" w:color="auto" w:fill="FFFFFF"/>
        <w:spacing w:line="360" w:lineRule="auto"/>
        <w:rPr>
          <w:rFonts w:ascii="宋体" w:hAnsi="宋体" w:cs="宋体"/>
          <w:b/>
          <w:kern w:val="0"/>
          <w:sz w:val="36"/>
          <w:szCs w:val="36"/>
          <w:highlight w:val="none"/>
        </w:rPr>
      </w:pPr>
      <w:r>
        <w:rPr>
          <w:rFonts w:hint="eastAsia" w:ascii="宋体" w:hAnsi="宋体" w:cs="宋体"/>
          <w:kern w:val="0"/>
          <w:sz w:val="32"/>
          <w:szCs w:val="32"/>
          <w:highlight w:val="none"/>
        </w:rPr>
        <w:t>  </w:t>
      </w:r>
    </w:p>
    <w:p w14:paraId="3BE93756">
      <w:pPr>
        <w:widowControl/>
        <w:spacing w:line="360" w:lineRule="auto"/>
        <w:jc w:val="center"/>
        <w:rPr>
          <w:rFonts w:ascii="宋体" w:hAnsi="宋体" w:cs="宋体"/>
          <w:b/>
          <w:kern w:val="0"/>
          <w:sz w:val="36"/>
          <w:szCs w:val="36"/>
          <w:highlight w:val="none"/>
        </w:rPr>
      </w:pPr>
    </w:p>
    <w:p w14:paraId="31E1AB67">
      <w:pPr>
        <w:spacing w:line="360" w:lineRule="auto"/>
        <w:jc w:val="center"/>
        <w:rPr>
          <w:rFonts w:ascii="Arial" w:hAnsi="宋体" w:cs="Arial"/>
          <w:b/>
          <w:color w:val="000000"/>
          <w:sz w:val="32"/>
          <w:szCs w:val="32"/>
          <w:highlight w:val="none"/>
        </w:rPr>
      </w:pPr>
      <w:r>
        <w:rPr>
          <w:rFonts w:hint="eastAsia" w:ascii="Arial" w:hAnsi="宋体" w:cs="Arial"/>
          <w:b/>
          <w:color w:val="000000"/>
          <w:sz w:val="32"/>
          <w:szCs w:val="32"/>
          <w:highlight w:val="none"/>
        </w:rPr>
        <w:t>采购人：南京师范大学</w:t>
      </w:r>
    </w:p>
    <w:p w14:paraId="13E99D6D">
      <w:pPr>
        <w:spacing w:line="360" w:lineRule="auto"/>
        <w:jc w:val="center"/>
        <w:rPr>
          <w:rFonts w:ascii="Arial" w:hAnsi="宋体" w:cs="Arial"/>
          <w:b/>
          <w:color w:val="000000"/>
          <w:sz w:val="32"/>
          <w:szCs w:val="32"/>
          <w:highlight w:val="none"/>
        </w:rPr>
      </w:pPr>
      <w:r>
        <w:rPr>
          <w:rFonts w:hint="eastAsia" w:ascii="Arial" w:hAnsi="宋体" w:cs="Arial"/>
          <w:b/>
          <w:color w:val="000000"/>
          <w:sz w:val="32"/>
          <w:szCs w:val="32"/>
          <w:highlight w:val="none"/>
        </w:rPr>
        <w:t>采购代理机构：</w:t>
      </w:r>
      <w:r>
        <w:rPr>
          <w:rFonts w:ascii="Arial" w:hAnsi="宋体" w:cs="Arial"/>
          <w:b/>
          <w:color w:val="000000"/>
          <w:sz w:val="32"/>
          <w:szCs w:val="32"/>
          <w:highlight w:val="none"/>
        </w:rPr>
        <w:t>江苏省设备成套股份有限公司</w:t>
      </w:r>
    </w:p>
    <w:p w14:paraId="3005F476">
      <w:pPr>
        <w:spacing w:line="360" w:lineRule="auto"/>
        <w:jc w:val="center"/>
        <w:rPr>
          <w:rFonts w:ascii="Arial" w:hAnsi="宋体" w:cs="Arial"/>
          <w:b/>
          <w:color w:val="000000"/>
          <w:sz w:val="32"/>
          <w:szCs w:val="32"/>
          <w:highlight w:val="none"/>
        </w:rPr>
      </w:pPr>
      <w:r>
        <w:rPr>
          <w:rFonts w:hint="eastAsia" w:ascii="Arial" w:hAnsi="宋体" w:cs="Arial"/>
          <w:b/>
          <w:color w:val="000000"/>
          <w:sz w:val="32"/>
          <w:szCs w:val="32"/>
          <w:highlight w:val="none"/>
        </w:rPr>
        <w:t>2026年9月</w:t>
      </w:r>
      <w:r>
        <w:rPr>
          <w:rFonts w:hint="eastAsia" w:ascii="Arial" w:hAnsi="宋体" w:cs="Arial"/>
          <w:b/>
          <w:color w:val="000000"/>
          <w:sz w:val="32"/>
          <w:szCs w:val="32"/>
          <w:highlight w:val="none"/>
          <w:lang w:val="en-US" w:eastAsia="zh-CN"/>
        </w:rPr>
        <w:t>30</w:t>
      </w:r>
      <w:r>
        <w:rPr>
          <w:rFonts w:hint="eastAsia" w:ascii="Arial" w:hAnsi="宋体" w:cs="Arial"/>
          <w:b/>
          <w:color w:val="000000"/>
          <w:sz w:val="32"/>
          <w:szCs w:val="32"/>
          <w:highlight w:val="none"/>
        </w:rPr>
        <w:t>日</w:t>
      </w:r>
    </w:p>
    <w:p w14:paraId="0E2158FB">
      <w:pPr>
        <w:widowControl/>
        <w:shd w:val="clear" w:color="auto" w:fill="FFFFFF"/>
        <w:spacing w:line="360" w:lineRule="auto"/>
        <w:jc w:val="center"/>
        <w:rPr>
          <w:rFonts w:ascii="宋体" w:hAnsi="宋体" w:cs="宋体"/>
          <w:b/>
          <w:kern w:val="0"/>
          <w:sz w:val="36"/>
          <w:szCs w:val="36"/>
          <w:highlight w:val="none"/>
        </w:rPr>
      </w:pPr>
      <w:r>
        <w:rPr>
          <w:rFonts w:hint="eastAsia" w:ascii="宋体" w:hAnsi="宋体" w:cs="宋体"/>
          <w:b/>
          <w:kern w:val="0"/>
          <w:sz w:val="36"/>
          <w:szCs w:val="36"/>
          <w:highlight w:val="none"/>
        </w:rPr>
        <w:br w:type="page"/>
      </w:r>
    </w:p>
    <w:p w14:paraId="45A8A51F">
      <w:pPr>
        <w:pStyle w:val="162"/>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46EEFC26">
      <w:pPr>
        <w:pStyle w:val="32"/>
        <w:tabs>
          <w:tab w:val="right" w:leader="dot" w:pos="8296"/>
        </w:tabs>
        <w:rPr>
          <w:rFonts w:ascii="宋体" w:hAnsi="宋体" w:cs="宋体"/>
          <w:sz w:val="28"/>
          <w:szCs w:val="28"/>
          <w:highlight w:val="none"/>
        </w:rPr>
      </w:pPr>
    </w:p>
    <w:p w14:paraId="37E99D9C">
      <w:pPr>
        <w:pStyle w:val="32"/>
        <w:tabs>
          <w:tab w:val="right" w:leader="dot" w:pos="8299"/>
        </w:tabs>
        <w:rPr>
          <w:highlight w:val="none"/>
        </w:rPr>
      </w:pPr>
      <w:r>
        <w:rPr>
          <w:rFonts w:hint="eastAsia" w:ascii="宋体" w:hAnsi="宋体" w:cs="宋体"/>
          <w:sz w:val="52"/>
          <w:szCs w:val="52"/>
          <w:highlight w:val="none"/>
        </w:rPr>
        <w:fldChar w:fldCharType="begin"/>
      </w:r>
      <w:r>
        <w:rPr>
          <w:rFonts w:hint="eastAsia" w:ascii="宋体" w:hAnsi="宋体" w:cs="宋体"/>
          <w:sz w:val="52"/>
          <w:szCs w:val="52"/>
          <w:highlight w:val="none"/>
        </w:rPr>
        <w:instrText xml:space="preserve">TOC \o "1-1" \h \u </w:instrText>
      </w:r>
      <w:r>
        <w:rPr>
          <w:rFonts w:hint="eastAsia" w:ascii="宋体" w:hAnsi="宋体" w:cs="宋体"/>
          <w:sz w:val="52"/>
          <w:szCs w:val="52"/>
          <w:highlight w:val="none"/>
        </w:rPr>
        <w:fldChar w:fldCharType="separate"/>
      </w:r>
      <w:r>
        <w:rPr>
          <w:highlight w:val="none"/>
        </w:rPr>
        <w:fldChar w:fldCharType="begin"/>
      </w:r>
      <w:r>
        <w:rPr>
          <w:highlight w:val="none"/>
        </w:rPr>
        <w:instrText xml:space="preserve"> HYPERLINK \l "_Toc21405" </w:instrText>
      </w:r>
      <w:r>
        <w:rPr>
          <w:highlight w:val="none"/>
        </w:rPr>
        <w:fldChar w:fldCharType="separate"/>
      </w:r>
      <w:r>
        <w:rPr>
          <w:rFonts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_Toc21405 \h </w:instrText>
      </w:r>
      <w:r>
        <w:rPr>
          <w:highlight w:val="none"/>
        </w:rPr>
        <w:fldChar w:fldCharType="separate"/>
      </w:r>
      <w:r>
        <w:rPr>
          <w:highlight w:val="none"/>
        </w:rPr>
        <w:t>1</w:t>
      </w:r>
      <w:r>
        <w:rPr>
          <w:highlight w:val="none"/>
        </w:rPr>
        <w:fldChar w:fldCharType="end"/>
      </w:r>
      <w:r>
        <w:rPr>
          <w:highlight w:val="none"/>
        </w:rPr>
        <w:fldChar w:fldCharType="end"/>
      </w:r>
    </w:p>
    <w:p w14:paraId="632A2E0E">
      <w:pPr>
        <w:pStyle w:val="32"/>
        <w:tabs>
          <w:tab w:val="right" w:leader="dot" w:pos="8299"/>
        </w:tabs>
        <w:rPr>
          <w:highlight w:val="none"/>
        </w:rPr>
      </w:pPr>
      <w:r>
        <w:rPr>
          <w:highlight w:val="none"/>
        </w:rPr>
        <w:fldChar w:fldCharType="begin"/>
      </w:r>
      <w:r>
        <w:rPr>
          <w:highlight w:val="none"/>
        </w:rPr>
        <w:instrText xml:space="preserve"> HYPERLINK \l "_Toc27024" </w:instrText>
      </w:r>
      <w:r>
        <w:rPr>
          <w:highlight w:val="none"/>
        </w:rPr>
        <w:fldChar w:fldCharType="separate"/>
      </w:r>
      <w:r>
        <w:rPr>
          <w:rFonts w:hint="eastAsia" w:ascii="宋体" w:hAnsi="宋体" w:cs="宋体"/>
          <w:highlight w:val="none"/>
        </w:rPr>
        <w:t>第二章 供应商须知</w:t>
      </w:r>
      <w:r>
        <w:rPr>
          <w:highlight w:val="none"/>
        </w:rPr>
        <w:tab/>
      </w:r>
      <w:r>
        <w:rPr>
          <w:highlight w:val="none"/>
        </w:rPr>
        <w:fldChar w:fldCharType="begin"/>
      </w:r>
      <w:r>
        <w:rPr>
          <w:highlight w:val="none"/>
        </w:rPr>
        <w:instrText xml:space="preserve"> PAGEREF _Toc27024 \h </w:instrText>
      </w:r>
      <w:r>
        <w:rPr>
          <w:highlight w:val="none"/>
        </w:rPr>
        <w:fldChar w:fldCharType="separate"/>
      </w:r>
      <w:r>
        <w:rPr>
          <w:highlight w:val="none"/>
        </w:rPr>
        <w:t>5</w:t>
      </w:r>
      <w:r>
        <w:rPr>
          <w:highlight w:val="none"/>
        </w:rPr>
        <w:fldChar w:fldCharType="end"/>
      </w:r>
      <w:r>
        <w:rPr>
          <w:highlight w:val="none"/>
        </w:rPr>
        <w:fldChar w:fldCharType="end"/>
      </w:r>
    </w:p>
    <w:p w14:paraId="4D5A8CB2">
      <w:pPr>
        <w:pStyle w:val="32"/>
        <w:tabs>
          <w:tab w:val="right" w:leader="dot" w:pos="8299"/>
        </w:tabs>
        <w:rPr>
          <w:highlight w:val="none"/>
        </w:rPr>
      </w:pPr>
      <w:r>
        <w:rPr>
          <w:highlight w:val="none"/>
        </w:rPr>
        <w:fldChar w:fldCharType="begin"/>
      </w:r>
      <w:r>
        <w:rPr>
          <w:highlight w:val="none"/>
        </w:rPr>
        <w:instrText xml:space="preserve"> HYPERLINK \l "_Toc1644" </w:instrText>
      </w:r>
      <w:r>
        <w:rPr>
          <w:highlight w:val="none"/>
        </w:rPr>
        <w:fldChar w:fldCharType="separate"/>
      </w:r>
      <w:r>
        <w:rPr>
          <w:rFonts w:hint="eastAsia" w:ascii="宋体" w:hAnsi="宋体" w:cs="宋体"/>
          <w:kern w:val="0"/>
          <w:highlight w:val="none"/>
        </w:rPr>
        <w:t>第三章 采购需求</w:t>
      </w:r>
      <w:r>
        <w:rPr>
          <w:highlight w:val="none"/>
        </w:rPr>
        <w:tab/>
      </w:r>
      <w:r>
        <w:rPr>
          <w:highlight w:val="none"/>
        </w:rPr>
        <w:fldChar w:fldCharType="begin"/>
      </w:r>
      <w:r>
        <w:rPr>
          <w:highlight w:val="none"/>
        </w:rPr>
        <w:instrText xml:space="preserve"> PAGEREF _Toc1644 \h </w:instrText>
      </w:r>
      <w:r>
        <w:rPr>
          <w:highlight w:val="none"/>
        </w:rPr>
        <w:fldChar w:fldCharType="separate"/>
      </w:r>
      <w:r>
        <w:rPr>
          <w:highlight w:val="none"/>
        </w:rPr>
        <w:t>20</w:t>
      </w:r>
      <w:r>
        <w:rPr>
          <w:highlight w:val="none"/>
        </w:rPr>
        <w:fldChar w:fldCharType="end"/>
      </w:r>
      <w:r>
        <w:rPr>
          <w:highlight w:val="none"/>
        </w:rPr>
        <w:fldChar w:fldCharType="end"/>
      </w:r>
    </w:p>
    <w:p w14:paraId="09FCA859">
      <w:pPr>
        <w:pStyle w:val="32"/>
        <w:tabs>
          <w:tab w:val="right" w:leader="dot" w:pos="8299"/>
        </w:tabs>
        <w:rPr>
          <w:highlight w:val="none"/>
        </w:rPr>
      </w:pPr>
      <w:r>
        <w:rPr>
          <w:highlight w:val="none"/>
        </w:rPr>
        <w:fldChar w:fldCharType="begin"/>
      </w:r>
      <w:r>
        <w:rPr>
          <w:highlight w:val="none"/>
        </w:rPr>
        <w:instrText xml:space="preserve"> HYPERLINK \l "_Toc30891" </w:instrText>
      </w:r>
      <w:r>
        <w:rPr>
          <w:highlight w:val="none"/>
        </w:rPr>
        <w:fldChar w:fldCharType="separate"/>
      </w:r>
      <w:r>
        <w:rPr>
          <w:rFonts w:hint="eastAsia" w:ascii="宋体" w:hAnsi="宋体" w:cs="宋体"/>
          <w:kern w:val="0"/>
          <w:highlight w:val="none"/>
        </w:rPr>
        <w:t>第四章 评标标准</w:t>
      </w:r>
      <w:r>
        <w:rPr>
          <w:highlight w:val="none"/>
        </w:rPr>
        <w:tab/>
      </w:r>
      <w:r>
        <w:rPr>
          <w:highlight w:val="none"/>
        </w:rPr>
        <w:fldChar w:fldCharType="begin"/>
      </w:r>
      <w:r>
        <w:rPr>
          <w:highlight w:val="none"/>
        </w:rPr>
        <w:instrText xml:space="preserve"> PAGEREF _Toc30891 \h </w:instrText>
      </w:r>
      <w:r>
        <w:rPr>
          <w:highlight w:val="none"/>
        </w:rPr>
        <w:fldChar w:fldCharType="separate"/>
      </w:r>
      <w:r>
        <w:rPr>
          <w:highlight w:val="none"/>
        </w:rPr>
        <w:t>40</w:t>
      </w:r>
      <w:r>
        <w:rPr>
          <w:highlight w:val="none"/>
        </w:rPr>
        <w:fldChar w:fldCharType="end"/>
      </w:r>
      <w:r>
        <w:rPr>
          <w:highlight w:val="none"/>
        </w:rPr>
        <w:fldChar w:fldCharType="end"/>
      </w:r>
    </w:p>
    <w:p w14:paraId="7CCBEBCB">
      <w:pPr>
        <w:pStyle w:val="32"/>
        <w:tabs>
          <w:tab w:val="right" w:leader="dot" w:pos="8299"/>
        </w:tabs>
        <w:rPr>
          <w:highlight w:val="none"/>
        </w:rPr>
      </w:pPr>
      <w:r>
        <w:rPr>
          <w:highlight w:val="none"/>
        </w:rPr>
        <w:fldChar w:fldCharType="begin"/>
      </w:r>
      <w:r>
        <w:rPr>
          <w:highlight w:val="none"/>
        </w:rPr>
        <w:instrText xml:space="preserve"> HYPERLINK \l "_Toc22696" </w:instrText>
      </w:r>
      <w:r>
        <w:rPr>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_Toc22696 \h </w:instrText>
      </w:r>
      <w:r>
        <w:rPr>
          <w:highlight w:val="none"/>
        </w:rPr>
        <w:fldChar w:fldCharType="separate"/>
      </w:r>
      <w:r>
        <w:rPr>
          <w:highlight w:val="none"/>
        </w:rPr>
        <w:t>44</w:t>
      </w:r>
      <w:r>
        <w:rPr>
          <w:highlight w:val="none"/>
        </w:rPr>
        <w:fldChar w:fldCharType="end"/>
      </w:r>
      <w:r>
        <w:rPr>
          <w:highlight w:val="none"/>
        </w:rPr>
        <w:fldChar w:fldCharType="end"/>
      </w:r>
    </w:p>
    <w:p w14:paraId="5589966D">
      <w:pPr>
        <w:pStyle w:val="32"/>
        <w:tabs>
          <w:tab w:val="right" w:leader="dot" w:pos="8299"/>
        </w:tabs>
        <w:rPr>
          <w:highlight w:val="none"/>
        </w:rPr>
      </w:pPr>
      <w:r>
        <w:rPr>
          <w:highlight w:val="none"/>
        </w:rPr>
        <w:fldChar w:fldCharType="begin"/>
      </w:r>
      <w:r>
        <w:rPr>
          <w:highlight w:val="none"/>
        </w:rPr>
        <w:instrText xml:space="preserve"> HYPERLINK \l "_Toc8438" </w:instrText>
      </w:r>
      <w:r>
        <w:rPr>
          <w:highlight w:val="none"/>
        </w:rPr>
        <w:fldChar w:fldCharType="separate"/>
      </w:r>
      <w:r>
        <w:rPr>
          <w:rFonts w:hint="eastAsia" w:ascii="宋体" w:hAnsi="宋体" w:cs="宋体"/>
          <w:highlight w:val="none"/>
        </w:rPr>
        <w:t>第六章 附件</w:t>
      </w:r>
      <w:r>
        <w:rPr>
          <w:highlight w:val="none"/>
        </w:rPr>
        <w:tab/>
      </w:r>
      <w:r>
        <w:rPr>
          <w:highlight w:val="none"/>
        </w:rPr>
        <w:fldChar w:fldCharType="begin"/>
      </w:r>
      <w:r>
        <w:rPr>
          <w:highlight w:val="none"/>
        </w:rPr>
        <w:instrText xml:space="preserve"> PAGEREF _Toc8438 \h </w:instrText>
      </w:r>
      <w:r>
        <w:rPr>
          <w:highlight w:val="none"/>
        </w:rPr>
        <w:fldChar w:fldCharType="separate"/>
      </w:r>
      <w:r>
        <w:rPr>
          <w:highlight w:val="none"/>
        </w:rPr>
        <w:t>52</w:t>
      </w:r>
      <w:r>
        <w:rPr>
          <w:highlight w:val="none"/>
        </w:rPr>
        <w:fldChar w:fldCharType="end"/>
      </w:r>
      <w:r>
        <w:rPr>
          <w:highlight w:val="none"/>
        </w:rPr>
        <w:fldChar w:fldCharType="end"/>
      </w:r>
    </w:p>
    <w:p w14:paraId="40170DE4">
      <w:pPr>
        <w:pStyle w:val="32"/>
        <w:tabs>
          <w:tab w:val="right" w:leader="dot" w:pos="8299"/>
        </w:tabs>
        <w:rPr>
          <w:highlight w:val="none"/>
        </w:rPr>
      </w:pPr>
    </w:p>
    <w:p w14:paraId="0D6D3179">
      <w:pPr>
        <w:spacing w:line="360" w:lineRule="auto"/>
        <w:rPr>
          <w:rFonts w:ascii="宋体" w:hAnsi="宋体" w:cs="宋体"/>
          <w:b/>
          <w:kern w:val="0"/>
          <w:sz w:val="36"/>
          <w:szCs w:val="36"/>
          <w:highlight w:val="none"/>
        </w:rPr>
      </w:pPr>
      <w:r>
        <w:rPr>
          <w:rFonts w:hint="eastAsia" w:ascii="宋体" w:hAnsi="宋体" w:cs="宋体"/>
          <w:szCs w:val="52"/>
          <w:highlight w:val="none"/>
        </w:rPr>
        <w:fldChar w:fldCharType="end"/>
      </w:r>
    </w:p>
    <w:p w14:paraId="0E02A392">
      <w:pPr>
        <w:pStyle w:val="2"/>
        <w:rPr>
          <w:rFonts w:ascii="宋体" w:hAnsi="宋体" w:cs="宋体"/>
          <w:kern w:val="0"/>
          <w:szCs w:val="21"/>
          <w:highlight w:val="none"/>
        </w:rPr>
        <w:sectPr>
          <w:headerReference r:id="rId5" w:type="first"/>
          <w:footerReference r:id="rId8" w:type="first"/>
          <w:headerReference r:id="rId3" w:type="default"/>
          <w:footerReference r:id="rId6" w:type="default"/>
          <w:headerReference r:id="rId4" w:type="even"/>
          <w:footerReference r:id="rId7" w:type="even"/>
          <w:pgSz w:w="11905" w:h="16838"/>
          <w:pgMar w:top="1440" w:right="1803" w:bottom="1440" w:left="1803" w:header="850" w:footer="992" w:gutter="0"/>
          <w:cols w:space="0" w:num="1"/>
          <w:titlePg/>
          <w:docGrid w:type="lines" w:linePitch="317" w:charSpace="0"/>
        </w:sectPr>
      </w:pPr>
      <w:bookmarkStart w:id="2" w:name="_Toc481057143"/>
    </w:p>
    <w:p w14:paraId="3300BCE4">
      <w:pPr>
        <w:pStyle w:val="2"/>
        <w:rPr>
          <w:rFonts w:ascii="宋体" w:hAnsi="宋体" w:cs="宋体"/>
          <w:kern w:val="0"/>
          <w:szCs w:val="21"/>
          <w:highlight w:val="none"/>
        </w:rPr>
      </w:pPr>
      <w:r>
        <w:rPr>
          <w:rFonts w:hint="eastAsia" w:ascii="宋体" w:hAnsi="宋体" w:cs="宋体"/>
          <w:kern w:val="0"/>
          <w:sz w:val="36"/>
          <w:szCs w:val="36"/>
          <w:highlight w:val="none"/>
          <w:shd w:val="clear" w:color="auto" w:fill="FFFFFF"/>
        </w:rPr>
        <w:t xml:space="preserve"> </w:t>
      </w:r>
      <w:bookmarkStart w:id="3" w:name="_Toc21405"/>
      <w:bookmarkStart w:id="4" w:name="_Hlk85716974"/>
      <w:r>
        <w:rPr>
          <w:rFonts w:hint="eastAsia" w:ascii="宋体" w:hAnsi="宋体" w:cs="宋体"/>
          <w:highlight w:val="none"/>
        </w:rPr>
        <w:t>招标公告</w:t>
      </w:r>
      <w:bookmarkEnd w:id="2"/>
      <w:bookmarkEnd w:id="3"/>
      <w:bookmarkStart w:id="5" w:name="OLE_LINK1"/>
      <w:bookmarkStart w:id="6" w:name="OLE_LINK7"/>
      <w:bookmarkStart w:id="7" w:name="OLE_LINK6"/>
      <w:bookmarkStart w:id="8" w:name="OLE_LINK5"/>
      <w:bookmarkStart w:id="9" w:name="_Hlk74842529"/>
    </w:p>
    <w:p w14:paraId="113A9955">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highlight w:val="none"/>
        </w:rPr>
      </w:pPr>
      <w:bookmarkStart w:id="10" w:name="OLE_LINK3"/>
      <w:bookmarkStart w:id="11" w:name="OLE_LINK2"/>
      <w:bookmarkStart w:id="12" w:name="OLE_LINK4"/>
      <w:bookmarkStart w:id="13" w:name="_Hlk74841176"/>
      <w:r>
        <w:rPr>
          <w:rFonts w:hint="eastAsia" w:ascii="宋体" w:hAnsi="宋体" w:cs="宋体"/>
          <w:b/>
          <w:bCs/>
          <w:spacing w:val="8"/>
          <w:kern w:val="0"/>
          <w:szCs w:val="21"/>
          <w:highlight w:val="none"/>
        </w:rPr>
        <w:t>项目概况</w:t>
      </w:r>
    </w:p>
    <w:p w14:paraId="0D6AF4B6">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highlight w:val="none"/>
        </w:rPr>
      </w:pPr>
      <w:r>
        <w:rPr>
          <w:rFonts w:hint="eastAsia" w:ascii="宋体" w:hAnsi="宋体" w:cs="宋体"/>
          <w:b/>
          <w:bCs/>
          <w:kern w:val="0"/>
          <w:szCs w:val="21"/>
          <w:highlight w:val="none"/>
          <w:u w:val="single"/>
        </w:rPr>
        <w:t>南京师范大学师范生AI素养提升与教学智能应用创新实训平台项目</w:t>
      </w:r>
      <w:r>
        <w:rPr>
          <w:rFonts w:hint="eastAsia" w:ascii="宋体" w:hAnsi="宋体" w:cs="宋体"/>
          <w:spacing w:val="8"/>
          <w:kern w:val="0"/>
          <w:szCs w:val="21"/>
          <w:highlight w:val="none"/>
        </w:rPr>
        <w:t>招标项目的潜在供应商应在</w:t>
      </w:r>
      <w:r>
        <w:rPr>
          <w:rFonts w:hint="eastAsia" w:ascii="宋体" w:hAnsi="宋体" w:cs="宋体"/>
          <w:b/>
          <w:bCs/>
          <w:spacing w:val="8"/>
          <w:kern w:val="0"/>
          <w:szCs w:val="21"/>
          <w:highlight w:val="none"/>
        </w:rPr>
        <w:t>江苏政府采购网苏采云系统注册登记成功后系统内免费下载</w:t>
      </w:r>
      <w:r>
        <w:rPr>
          <w:rFonts w:hint="eastAsia" w:ascii="宋体" w:hAnsi="宋体" w:cs="宋体"/>
          <w:spacing w:val="8"/>
          <w:kern w:val="0"/>
          <w:szCs w:val="21"/>
          <w:highlight w:val="none"/>
        </w:rPr>
        <w:t>获取招标文件，并于</w:t>
      </w:r>
      <w:r>
        <w:rPr>
          <w:rFonts w:hint="eastAsia" w:ascii="宋体" w:hAnsi="宋体" w:cs="宋体"/>
          <w:b/>
          <w:bCs/>
          <w:kern w:val="0"/>
          <w:szCs w:val="21"/>
          <w:highlight w:val="none"/>
          <w:u w:val="single"/>
          <w:lang w:eastAsia="zh-CN"/>
        </w:rPr>
        <w:t>2026年10月26日</w:t>
      </w:r>
      <w:r>
        <w:rPr>
          <w:rFonts w:hint="eastAsia" w:ascii="宋体" w:hAnsi="宋体" w:cs="宋体"/>
          <w:b/>
          <w:bCs/>
          <w:kern w:val="0"/>
          <w:szCs w:val="21"/>
          <w:highlight w:val="none"/>
          <w:u w:val="single"/>
        </w:rPr>
        <w:t>9点30分</w:t>
      </w:r>
      <w:r>
        <w:rPr>
          <w:rFonts w:hint="eastAsia" w:ascii="宋体" w:hAnsi="宋体" w:cs="宋体"/>
          <w:spacing w:val="8"/>
          <w:kern w:val="0"/>
          <w:szCs w:val="21"/>
          <w:highlight w:val="none"/>
        </w:rPr>
        <w:t>（北京时间）前递交投标文件。</w:t>
      </w:r>
    </w:p>
    <w:p w14:paraId="7346F5E0">
      <w:pPr>
        <w:rPr>
          <w:rFonts w:ascii="宋体" w:hAnsi="宋体" w:cs="宋体"/>
          <w:highlight w:val="none"/>
        </w:rPr>
      </w:pPr>
    </w:p>
    <w:p w14:paraId="01409D19">
      <w:pPr>
        <w:widowControl/>
        <w:shd w:val="clear" w:color="auto" w:fill="FFFFFF" w:themeFill="background1"/>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一、项目基本情况</w:t>
      </w:r>
    </w:p>
    <w:p w14:paraId="4B3BAABF">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1.1项目编号：</w:t>
      </w:r>
      <w:r>
        <w:rPr>
          <w:rFonts w:hint="eastAsia" w:ascii="宋体" w:hAnsi="宋体" w:cs="宋体"/>
          <w:spacing w:val="8"/>
          <w:kern w:val="0"/>
          <w:szCs w:val="21"/>
          <w:highlight w:val="none"/>
        </w:rPr>
        <w:tab/>
      </w:r>
      <w:r>
        <w:rPr>
          <w:rFonts w:hint="eastAsia" w:ascii="宋体" w:hAnsi="宋体" w:cs="宋体"/>
          <w:spacing w:val="8"/>
          <w:kern w:val="0"/>
          <w:szCs w:val="21"/>
          <w:highlight w:val="none"/>
        </w:rPr>
        <w:t>JSZC-320000-JCEC-G2026-0384</w:t>
      </w:r>
    </w:p>
    <w:p w14:paraId="68B47370">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1.2项目名称：南京师范大学师范生AI素养提升与教学智能应用创新实训平台项目</w:t>
      </w:r>
    </w:p>
    <w:p w14:paraId="2C29002B">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1.3预算金额：220万元</w:t>
      </w:r>
    </w:p>
    <w:p w14:paraId="4F08E24A">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1.4最高限价：220万元</w:t>
      </w:r>
    </w:p>
    <w:p w14:paraId="6065015C">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1.5采购需求：师范生AI素养提升与教学智能应用创新实训平台为师范生智慧教学能力训练和数智教学素养提升提供智算基座平台。通过建设专用硬件平台，以“AI大模型＋RAG知识库”的方式构建垂域大模型，为师范生智慧教学能力训练提供基础设施和算力支撑。详见采购文件第三章采购需求。</w:t>
      </w:r>
    </w:p>
    <w:p w14:paraId="1D58FC2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1.6合同履行期限：</w:t>
      </w:r>
      <w:r>
        <w:rPr>
          <w:rFonts w:hint="eastAsia" w:ascii="宋体" w:hAnsi="宋体" w:cs="宋体"/>
          <w:spacing w:val="8"/>
          <w:kern w:val="0"/>
          <w:szCs w:val="21"/>
          <w:highlight w:val="none"/>
        </w:rPr>
        <w:t>至所有合同内容履行完毕。</w:t>
      </w:r>
    </w:p>
    <w:p w14:paraId="79CD8BD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1.7行业划分</w:t>
      </w:r>
      <w:r>
        <w:rPr>
          <w:rFonts w:hint="eastAsia" w:ascii="Arial" w:hAnsi="Arial" w:cs="Arial"/>
          <w:spacing w:val="8"/>
          <w:kern w:val="0"/>
          <w:szCs w:val="21"/>
          <w:highlight w:val="none"/>
        </w:rPr>
        <w:t>：工业。</w:t>
      </w:r>
    </w:p>
    <w:p w14:paraId="5D7A17E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1.8本项目非专门面向中小企业（或监狱企业或残疾人福利性单位），执行价格扣除优惠政策，详见第四章评标标准。</w:t>
      </w:r>
    </w:p>
    <w:p w14:paraId="2FF5167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1.9本项目不接受联合体投标。</w:t>
      </w:r>
    </w:p>
    <w:p w14:paraId="686AFF75">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1.10本项目不接受进口产品投标。</w:t>
      </w:r>
    </w:p>
    <w:p w14:paraId="69206ACE">
      <w:pPr>
        <w:spacing w:line="360" w:lineRule="auto"/>
        <w:ind w:firstLine="420" w:firstLineChars="200"/>
        <w:rPr>
          <w:rFonts w:ascii="宋体" w:hAnsi="宋体" w:cs="宋体"/>
          <w:bCs/>
          <w:szCs w:val="21"/>
          <w:highlight w:val="none"/>
        </w:rPr>
      </w:pPr>
    </w:p>
    <w:p w14:paraId="05ED3534">
      <w:pPr>
        <w:widowControl/>
        <w:shd w:val="clear" w:color="auto" w:fill="FFFFFF" w:themeFill="background1"/>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二、申请人的资格要求</w:t>
      </w:r>
    </w:p>
    <w:p w14:paraId="0F869FF9">
      <w:pPr>
        <w:widowControl/>
        <w:shd w:val="clear" w:color="auto" w:fill="FFFFFF" w:themeFill="background1"/>
        <w:spacing w:line="360" w:lineRule="auto"/>
        <w:ind w:firstLine="454" w:firstLineChars="200"/>
        <w:rPr>
          <w:rFonts w:ascii="宋体" w:hAnsi="宋体" w:cs="宋体"/>
          <w:b/>
          <w:bCs/>
          <w:spacing w:val="8"/>
          <w:kern w:val="0"/>
          <w:szCs w:val="21"/>
          <w:highlight w:val="none"/>
        </w:rPr>
      </w:pPr>
      <w:r>
        <w:rPr>
          <w:rFonts w:hint="eastAsia" w:ascii="宋体" w:hAnsi="宋体" w:cs="宋体"/>
          <w:b/>
          <w:bCs/>
          <w:spacing w:val="8"/>
          <w:kern w:val="0"/>
          <w:szCs w:val="21"/>
          <w:highlight w:val="none"/>
        </w:rPr>
        <w:t>2.1满足《中华人民共和国政府采购法》第二十二条规定；</w:t>
      </w:r>
    </w:p>
    <w:p w14:paraId="106196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0AD4D87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2025年度的财务报告）；</w:t>
      </w:r>
    </w:p>
    <w:p w14:paraId="22806921">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334DD70E">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4C3FF32D">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（5）参加采购活动前三年内，在经营活动中没有重大违法记录（提供承诺书）；</w:t>
      </w:r>
    </w:p>
    <w:p w14:paraId="5289162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0176B368">
      <w:pPr>
        <w:widowControl/>
        <w:shd w:val="clear" w:color="auto" w:fill="FFFFFF" w:themeFill="background1"/>
        <w:spacing w:line="360" w:lineRule="auto"/>
        <w:ind w:firstLine="454" w:firstLineChars="200"/>
        <w:rPr>
          <w:rFonts w:ascii="宋体" w:hAnsi="宋体" w:cs="宋体"/>
          <w:b/>
          <w:bCs/>
          <w:spacing w:val="8"/>
          <w:kern w:val="0"/>
          <w:szCs w:val="21"/>
          <w:highlight w:val="none"/>
        </w:rPr>
      </w:pPr>
      <w:r>
        <w:rPr>
          <w:rFonts w:hint="eastAsia" w:ascii="宋体" w:hAnsi="宋体" w:cs="宋体"/>
          <w:b/>
          <w:bCs/>
          <w:spacing w:val="8"/>
          <w:kern w:val="0"/>
          <w:szCs w:val="21"/>
          <w:highlight w:val="none"/>
        </w:rPr>
        <w:t>2.2落实政府采购政策需满足的资格要求：无。</w:t>
      </w:r>
    </w:p>
    <w:p w14:paraId="3C8F3E57">
      <w:pPr>
        <w:spacing w:line="360" w:lineRule="auto"/>
        <w:ind w:firstLine="454" w:firstLineChars="200"/>
        <w:rPr>
          <w:rFonts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2.3采购人根据采购项目的特殊要求规定的特定条件，并提供符合特殊要求的证明材料或者情况说明：</w:t>
      </w:r>
      <w:r>
        <w:rPr>
          <w:rFonts w:hint="eastAsia" w:ascii="宋体" w:hAnsi="宋体" w:cs="宋体"/>
          <w:b/>
          <w:bCs/>
          <w:spacing w:val="8"/>
          <w:kern w:val="0"/>
          <w:szCs w:val="21"/>
          <w:highlight w:val="none"/>
        </w:rPr>
        <w:t>无。</w:t>
      </w:r>
    </w:p>
    <w:p w14:paraId="1AA8A95E">
      <w:pPr>
        <w:spacing w:line="360" w:lineRule="auto"/>
        <w:ind w:firstLine="454" w:firstLineChars="200"/>
        <w:rPr>
          <w:rFonts w:ascii="宋体" w:hAnsi="宋体" w:cs="宋体"/>
          <w:b/>
          <w:spacing w:val="8"/>
          <w:kern w:val="0"/>
          <w:szCs w:val="21"/>
          <w:highlight w:val="none"/>
        </w:rPr>
      </w:pPr>
      <w:r>
        <w:rPr>
          <w:rFonts w:hint="eastAsia" w:ascii="宋体" w:hAnsi="宋体" w:cs="宋体"/>
          <w:b/>
          <w:spacing w:val="8"/>
          <w:kern w:val="0"/>
          <w:szCs w:val="21"/>
          <w:highlight w:val="none"/>
        </w:rPr>
        <w:t>2.4 拒绝下述供应商参加本次招标活动：</w:t>
      </w:r>
    </w:p>
    <w:p w14:paraId="417662E2">
      <w:pPr>
        <w:spacing w:line="360" w:lineRule="auto"/>
        <w:ind w:firstLine="452" w:firstLineChars="200"/>
        <w:rPr>
          <w:rFonts w:ascii="宋体" w:hAnsi="宋体" w:cs="宋体"/>
          <w:bCs/>
          <w:spacing w:val="8"/>
          <w:kern w:val="0"/>
          <w:szCs w:val="21"/>
          <w:highlight w:val="none"/>
        </w:rPr>
      </w:pPr>
      <w:r>
        <w:rPr>
          <w:rFonts w:hint="eastAsia" w:ascii="宋体" w:hAnsi="宋体" w:cs="宋体"/>
          <w:bCs/>
          <w:spacing w:val="8"/>
          <w:kern w:val="0"/>
          <w:szCs w:val="21"/>
          <w:highlight w:val="none"/>
        </w:rPr>
        <w:t>（1）单位负责人为同一人或者存在直接控股、管理关系的不同供应商，不得参加同一合同项下的政府采购活动。</w:t>
      </w:r>
    </w:p>
    <w:p w14:paraId="36126BE4">
      <w:pPr>
        <w:spacing w:line="360" w:lineRule="auto"/>
        <w:ind w:firstLine="452" w:firstLineChars="200"/>
        <w:rPr>
          <w:rFonts w:ascii="宋体" w:hAnsi="宋体" w:cs="宋体"/>
          <w:bCs/>
          <w:spacing w:val="8"/>
          <w:kern w:val="0"/>
          <w:szCs w:val="21"/>
          <w:highlight w:val="none"/>
        </w:rPr>
      </w:pPr>
      <w:r>
        <w:rPr>
          <w:rFonts w:hint="eastAsia" w:ascii="宋体" w:hAnsi="宋体" w:cs="宋体"/>
          <w:bCs/>
          <w:spacing w:val="8"/>
          <w:kern w:val="0"/>
          <w:szCs w:val="21"/>
          <w:highlight w:val="none"/>
        </w:rPr>
        <w:t>（2）为采购项目提供整体设计、规范编制或者项目管理、监理、检测等服务的供应商，不得参加本项目的采购活动。</w:t>
      </w:r>
    </w:p>
    <w:p w14:paraId="79DEDA75">
      <w:pPr>
        <w:spacing w:line="360" w:lineRule="auto"/>
        <w:ind w:firstLine="452" w:firstLineChars="200"/>
        <w:rPr>
          <w:rFonts w:ascii="宋体" w:hAnsi="宋体" w:cs="宋体"/>
          <w:bCs/>
          <w:szCs w:val="21"/>
          <w:highlight w:val="none"/>
        </w:rPr>
      </w:pPr>
      <w:r>
        <w:rPr>
          <w:rFonts w:hint="eastAsia" w:ascii="宋体" w:hAnsi="宋体" w:cs="宋体"/>
          <w:bCs/>
          <w:spacing w:val="8"/>
          <w:kern w:val="0"/>
          <w:szCs w:val="21"/>
          <w:highlight w:val="none"/>
        </w:rPr>
        <w:t>（3）供应商被“信用中国”网站（www.creditchina.gov.cn）、“中国政府采购网”(www.ccgp.gov.cn)列入失信被执行人、重大税收违法失信主体名单、政府采购严重违法失信行为记录名单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highlight w:val="none"/>
        </w:rPr>
        <w:t>。</w:t>
      </w:r>
    </w:p>
    <w:p w14:paraId="75DCA291">
      <w:pPr>
        <w:widowControl/>
        <w:shd w:val="clear" w:color="auto" w:fill="FFFFFF" w:themeFill="background1"/>
        <w:spacing w:line="360" w:lineRule="auto"/>
        <w:rPr>
          <w:rFonts w:ascii="宋体" w:hAnsi="宋体" w:cs="宋体"/>
          <w:b/>
          <w:spacing w:val="8"/>
          <w:kern w:val="0"/>
          <w:sz w:val="24"/>
          <w:highlight w:val="none"/>
        </w:rPr>
      </w:pPr>
    </w:p>
    <w:p w14:paraId="23D364F3">
      <w:pPr>
        <w:widowControl/>
        <w:shd w:val="clear" w:color="auto" w:fill="FFFFFF" w:themeFill="background1"/>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30273334">
      <w:pPr>
        <w:widowControl/>
        <w:shd w:val="clear" w:color="auto" w:fill="FFFFFF" w:themeFill="background1"/>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3.1时间：自招标文件公告发布之日起5个工作日</w:t>
      </w:r>
    </w:p>
    <w:p w14:paraId="273CCAF9">
      <w:pPr>
        <w:widowControl/>
        <w:shd w:val="clear" w:color="auto" w:fill="FFFFFF" w:themeFill="background1"/>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3.2地点：江苏政府采购网苏采云系统注册登记成功后系统内免费下载</w:t>
      </w:r>
    </w:p>
    <w:p w14:paraId="2E943688">
      <w:pPr>
        <w:widowControl/>
        <w:shd w:val="clear" w:color="auto" w:fill="FFFFFF" w:themeFill="background1"/>
        <w:spacing w:line="360" w:lineRule="auto"/>
        <w:ind w:firstLine="420" w:firstLineChars="200"/>
        <w:rPr>
          <w:rFonts w:ascii="宋体" w:hAnsi="宋体" w:cs="宋体"/>
          <w:spacing w:val="15"/>
          <w:szCs w:val="21"/>
          <w:highlight w:val="none"/>
          <w:shd w:val="clear" w:color="auto" w:fill="FFFFFF"/>
        </w:rPr>
      </w:pPr>
      <w:r>
        <w:rPr>
          <w:rFonts w:hint="eastAsia" w:ascii="宋体" w:hAnsi="宋体" w:cs="宋体"/>
          <w:bCs/>
          <w:szCs w:val="21"/>
          <w:highlight w:val="none"/>
        </w:rPr>
        <w:t>3.3方式：</w:t>
      </w:r>
      <w:r>
        <w:rPr>
          <w:rFonts w:hint="eastAsia" w:ascii="宋体" w:hAnsi="宋体" w:cs="宋体"/>
          <w:szCs w:val="21"/>
          <w:highlight w:val="none"/>
        </w:rPr>
        <w:t>采用网上注册登记方式 </w:t>
      </w:r>
    </w:p>
    <w:p w14:paraId="5B18D3CF">
      <w:pPr>
        <w:spacing w:line="360" w:lineRule="auto"/>
        <w:ind w:firstLine="424" w:firstLineChars="202"/>
        <w:rPr>
          <w:rFonts w:ascii="宋体" w:hAnsi="宋体" w:cs="宋体"/>
          <w:bCs/>
          <w:szCs w:val="21"/>
          <w:highlight w:val="none"/>
        </w:rPr>
      </w:pPr>
      <w:r>
        <w:rPr>
          <w:rFonts w:hint="eastAsia" w:ascii="宋体" w:hAnsi="宋体" w:cs="宋体"/>
          <w:bCs/>
          <w:szCs w:val="21"/>
          <w:highlight w:val="none"/>
        </w:rPr>
        <w:t>3.4</w:t>
      </w:r>
      <w:r>
        <w:rPr>
          <w:rFonts w:hint="eastAsia" w:ascii="宋体" w:hAnsi="宋体" w:cs="宋体"/>
          <w:spacing w:val="8"/>
          <w:kern w:val="0"/>
          <w:szCs w:val="21"/>
          <w:highlight w:val="none"/>
        </w:rPr>
        <w:t>售价：0.00元</w:t>
      </w:r>
    </w:p>
    <w:p w14:paraId="6FBAEE5E">
      <w:pPr>
        <w:widowControl/>
        <w:shd w:val="clear" w:color="auto" w:fill="FFFFFF" w:themeFill="background1"/>
        <w:spacing w:line="360" w:lineRule="auto"/>
        <w:rPr>
          <w:rFonts w:ascii="宋体" w:hAnsi="宋体" w:cs="宋体"/>
          <w:b/>
          <w:spacing w:val="8"/>
          <w:kern w:val="0"/>
          <w:sz w:val="24"/>
          <w:highlight w:val="none"/>
        </w:rPr>
      </w:pPr>
    </w:p>
    <w:p w14:paraId="108FC1FE">
      <w:pPr>
        <w:widowControl/>
        <w:shd w:val="clear" w:color="auto" w:fill="FFFFFF" w:themeFill="background1"/>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四、提交投标文件开始时间、截止时间、地点和开标时间、地点</w:t>
      </w:r>
    </w:p>
    <w:p w14:paraId="219EB91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4.1提交投标文件截止时间、开标时间：</w:t>
      </w:r>
      <w:r>
        <w:rPr>
          <w:rFonts w:hint="eastAsia" w:ascii="宋体" w:hAnsi="宋体" w:cs="宋体"/>
          <w:bCs/>
          <w:szCs w:val="21"/>
          <w:highlight w:val="none"/>
          <w:lang w:eastAsia="zh-CN"/>
        </w:rPr>
        <w:t>2026年10月26日</w:t>
      </w:r>
      <w:r>
        <w:rPr>
          <w:rFonts w:hint="eastAsia" w:ascii="宋体" w:hAnsi="宋体" w:cs="宋体"/>
          <w:bCs/>
          <w:szCs w:val="21"/>
          <w:highlight w:val="none"/>
        </w:rPr>
        <w:t>09点30分（北京时间）</w:t>
      </w:r>
    </w:p>
    <w:p w14:paraId="302CF27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4.2提交投标文件地点：江苏省政府采购管理交易系统（苏采云）（以下简称“苏采云”）</w:t>
      </w:r>
    </w:p>
    <w:p w14:paraId="31EC8FC5">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4.3开标地点：“苏采云”网上开标大厅。</w:t>
      </w:r>
    </w:p>
    <w:p w14:paraId="1C48DFDE">
      <w:pPr>
        <w:widowControl/>
        <w:shd w:val="clear" w:color="auto" w:fill="FFFFFF" w:themeFill="background1"/>
        <w:spacing w:line="360" w:lineRule="auto"/>
        <w:rPr>
          <w:rFonts w:ascii="宋体" w:hAnsi="宋体" w:cs="宋体"/>
          <w:b/>
          <w:spacing w:val="8"/>
          <w:kern w:val="0"/>
          <w:sz w:val="24"/>
          <w:highlight w:val="none"/>
        </w:rPr>
      </w:pPr>
    </w:p>
    <w:p w14:paraId="21A03BFD">
      <w:pPr>
        <w:widowControl/>
        <w:shd w:val="clear" w:color="auto" w:fill="FFFFFF" w:themeFill="background1"/>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五、公告期限</w:t>
      </w:r>
    </w:p>
    <w:p w14:paraId="3DA9395F">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6264BD4A">
      <w:pPr>
        <w:widowControl/>
        <w:shd w:val="clear" w:color="auto" w:fill="FFFFFF" w:themeFill="background1"/>
        <w:spacing w:line="360" w:lineRule="auto"/>
        <w:rPr>
          <w:rFonts w:ascii="宋体" w:hAnsi="宋体" w:cs="宋体"/>
          <w:b/>
          <w:spacing w:val="8"/>
          <w:kern w:val="0"/>
          <w:sz w:val="24"/>
          <w:highlight w:val="none"/>
        </w:rPr>
      </w:pPr>
    </w:p>
    <w:p w14:paraId="0BA5B87E">
      <w:pPr>
        <w:widowControl/>
        <w:shd w:val="clear" w:color="auto" w:fill="FFFFFF" w:themeFill="background1"/>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4E06DA50">
      <w:pPr>
        <w:widowControl/>
        <w:shd w:val="clear" w:color="auto" w:fill="FFFFFF"/>
        <w:spacing w:line="360" w:lineRule="auto"/>
        <w:ind w:firstLine="420" w:firstLineChars="200"/>
        <w:rPr>
          <w:rFonts w:ascii="宋体" w:hAnsi="宋体" w:cs="宋体"/>
          <w:kern w:val="0"/>
          <w:highlight w:val="none"/>
          <w:shd w:val="clear" w:color="auto" w:fill="FFFFFF"/>
          <w:lang w:val="zh-CN"/>
        </w:rPr>
      </w:pPr>
      <w:r>
        <w:rPr>
          <w:rFonts w:hint="eastAsia" w:ascii="宋体" w:hAnsi="宋体" w:cs="宋体"/>
          <w:kern w:val="0"/>
          <w:highlight w:val="none"/>
          <w:shd w:val="clear" w:color="auto" w:fill="FFFFFF"/>
          <w:lang w:val="zh-CN"/>
        </w:rPr>
        <w:t>6.1本项目在</w:t>
      </w:r>
      <w:r>
        <w:rPr>
          <w:rFonts w:hint="eastAsia" w:ascii="Arial" w:hAnsi="Arial" w:cs="Arial"/>
          <w:b/>
          <w:szCs w:val="21"/>
          <w:highlight w:val="none"/>
          <w:u w:val="single"/>
        </w:rPr>
        <w:t>江苏政府采购网、中国政府采购网</w:t>
      </w:r>
      <w:r>
        <w:rPr>
          <w:rFonts w:hint="eastAsia" w:ascii="宋体" w:hAnsi="宋体" w:cs="宋体"/>
          <w:kern w:val="0"/>
          <w:highlight w:val="none"/>
          <w:shd w:val="clear" w:color="auto" w:fill="FFFFFF"/>
          <w:lang w:val="zh-CN"/>
        </w:rPr>
        <w:t>发布公告。</w:t>
      </w:r>
    </w:p>
    <w:p w14:paraId="26A1F030">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6.2勘察现场：无。</w:t>
      </w:r>
    </w:p>
    <w:p w14:paraId="1917D79A">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6.3潜在供应商访问电子招标响应交易平台的网络地址和方法：</w:t>
      </w:r>
    </w:p>
    <w:p w14:paraId="6B5B269D">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0BB1508">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②潜在供应商访问“苏采云”系统的网络地址和方法：“苏采云”系统的网址：https://jszfcg.jsczt.cn/jszc/login。</w:t>
      </w:r>
    </w:p>
    <w:p w14:paraId="11BD0F65">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③“CA数字证书”的获取：</w:t>
      </w:r>
    </w:p>
    <w:p w14:paraId="3C773895">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响应供应商需办理“CA 数字证书”，CA办理指南及“苏采云”操作手册可至江苏省政府采购网―办事指南-资料下载中心下载。</w:t>
      </w:r>
    </w:p>
    <w:p w14:paraId="5921A172">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通过苏采云系统首页（https://jszfcg.jsczt.cn/jszc/login）的“苏采云控件驱动下载”，选择“政务CA、方正签章控件驱动安装包及安装说明”下载安装，具体安装方法详见下载文件内的《安装说明》。</w:t>
      </w:r>
    </w:p>
    <w:p w14:paraId="0008E15E">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④采购文件（后缀名为“.kedt”）、供应商操作手册及政府采购客户端工具可通过“苏采云”系统--已报名项目--报名详情页面内相应链接进行下载。</w:t>
      </w:r>
    </w:p>
    <w:p w14:paraId="44325D17">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⑤采购人或采购代理机构将数据电文形式的采购文件加载至“苏采云”系统，供潜在供应商下载或者查阅。</w:t>
      </w:r>
    </w:p>
    <w:p w14:paraId="0A174CB5">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⑥请潜在供应商提前安装相应的控件（详见《江苏省政府采购管理交易系统（苏采云）供应商操作手册》）并使用谷歌浏览器登录“苏采云”系统参与不见面开评标。</w:t>
      </w:r>
    </w:p>
    <w:p w14:paraId="05B66339">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注：如潜在供应商未按上述要求操作，将自行承担所产生的风险。</w:t>
      </w:r>
    </w:p>
    <w:p w14:paraId="17C371B2">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“苏采云”江苏省客服热线025-83633744、025-83633743。</w:t>
      </w:r>
    </w:p>
    <w:p w14:paraId="71A945B0">
      <w:pPr>
        <w:widowControl/>
        <w:shd w:val="clear" w:color="auto" w:fill="FFFFFF"/>
        <w:spacing w:line="360" w:lineRule="auto"/>
        <w:ind w:firstLine="420" w:firstLineChars="200"/>
        <w:rPr>
          <w:rFonts w:ascii="宋体" w:hAnsi="宋体" w:cs="宋体"/>
          <w:kern w:val="0"/>
          <w:highlight w:val="none"/>
          <w:shd w:val="clear" w:color="auto" w:fill="FFFFFF"/>
        </w:rPr>
      </w:pPr>
      <w:r>
        <w:rPr>
          <w:rFonts w:hint="eastAsia" w:ascii="宋体" w:hAnsi="宋体" w:cs="宋体"/>
          <w:kern w:val="0"/>
          <w:highlight w:val="none"/>
          <w:shd w:val="clear" w:color="auto" w:fill="FFFFFF"/>
        </w:rPr>
        <w:t>有关本次招标的事项若存在变动或修改，请及时关注“江苏政府采购网”（www.ccgp-jiangsu.gov.cn）更正公告。</w:t>
      </w:r>
    </w:p>
    <w:p w14:paraId="5B83F19A">
      <w:pPr>
        <w:widowControl/>
        <w:shd w:val="clear" w:color="auto" w:fill="FFFFFF" w:themeFill="background1"/>
        <w:spacing w:line="360" w:lineRule="auto"/>
        <w:rPr>
          <w:rFonts w:ascii="宋体" w:hAnsi="宋体" w:cs="宋体"/>
          <w:b/>
          <w:spacing w:val="8"/>
          <w:kern w:val="0"/>
          <w:sz w:val="24"/>
          <w:highlight w:val="none"/>
        </w:rPr>
      </w:pPr>
    </w:p>
    <w:p w14:paraId="6FA3F3D1">
      <w:pPr>
        <w:widowControl/>
        <w:shd w:val="clear" w:color="auto" w:fill="FFFFFF" w:themeFill="background1"/>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bookmarkEnd w:id="5"/>
    <w:bookmarkEnd w:id="6"/>
    <w:bookmarkEnd w:id="7"/>
    <w:bookmarkEnd w:id="8"/>
    <w:bookmarkEnd w:id="10"/>
    <w:bookmarkEnd w:id="11"/>
    <w:bookmarkEnd w:id="12"/>
    <w:p w14:paraId="6708B46B">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7.1采购人信息</w:t>
      </w:r>
    </w:p>
    <w:bookmarkEnd w:id="4"/>
    <w:bookmarkEnd w:id="9"/>
    <w:bookmarkEnd w:id="13"/>
    <w:p w14:paraId="594A9E0B">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名称：南京师范大学</w:t>
      </w:r>
    </w:p>
    <w:p w14:paraId="3279F3E7">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地    址：南京师范大学仙林校区</w:t>
      </w:r>
    </w:p>
    <w:p w14:paraId="562E9C3A">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联系人：董老师</w:t>
      </w:r>
    </w:p>
    <w:p w14:paraId="5272270E">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联系电话：025-83598970</w:t>
      </w:r>
    </w:p>
    <w:p w14:paraId="06374305">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7.2采购代理机构信息</w:t>
      </w:r>
    </w:p>
    <w:p w14:paraId="569ED49C">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名称：江苏省设备成套股份有限公司</w:t>
      </w:r>
    </w:p>
    <w:p w14:paraId="39750675">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联 系 人：褚晶晶 左卢成</w:t>
      </w:r>
    </w:p>
    <w:p w14:paraId="08223E85">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电    话：025-83314167</w:t>
      </w:r>
    </w:p>
    <w:p w14:paraId="2AB31B77">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电子邮箱：chujj@jcec.cn</w:t>
      </w:r>
    </w:p>
    <w:p w14:paraId="65F70B0A">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 xml:space="preserve">地址：江苏省南京市鼓楼区清江南路18号鼓楼创新广场D栋10楼1001室 </w:t>
      </w:r>
    </w:p>
    <w:p w14:paraId="54043C10">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7.3项目联系方式</w:t>
      </w:r>
    </w:p>
    <w:p w14:paraId="01D088DE">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项目联系人：褚晶晶 左卢成</w:t>
      </w:r>
    </w:p>
    <w:p w14:paraId="4611A712">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电话：025-83314167</w:t>
      </w:r>
    </w:p>
    <w:p w14:paraId="5FEC717B">
      <w:pPr>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br w:type="page"/>
      </w:r>
    </w:p>
    <w:p w14:paraId="7724664C">
      <w:pPr>
        <w:widowControl/>
        <w:shd w:val="clear" w:color="auto" w:fill="FFFFFF"/>
        <w:spacing w:line="360" w:lineRule="auto"/>
        <w:ind w:firstLine="480" w:firstLineChars="200"/>
        <w:rPr>
          <w:rFonts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 xml:space="preserve"> </w:t>
      </w:r>
    </w:p>
    <w:p w14:paraId="070D4276">
      <w:pPr>
        <w:pStyle w:val="2"/>
        <w:numPr>
          <w:ilvl w:val="0"/>
          <w:numId w:val="0"/>
        </w:numPr>
        <w:rPr>
          <w:rFonts w:ascii="宋体" w:hAnsi="宋体" w:cs="宋体"/>
          <w:highlight w:val="none"/>
        </w:rPr>
      </w:pPr>
      <w:bookmarkStart w:id="14" w:name="_Toc27024"/>
      <w:r>
        <w:rPr>
          <w:rFonts w:hint="eastAsia" w:ascii="宋体" w:hAnsi="宋体" w:cs="宋体"/>
          <w:highlight w:val="none"/>
        </w:rPr>
        <w:t>第二章</w:t>
      </w:r>
      <w:bookmarkStart w:id="15" w:name="_Toc452625218"/>
      <w:r>
        <w:rPr>
          <w:rFonts w:hint="eastAsia" w:ascii="宋体" w:hAnsi="宋体" w:cs="宋体"/>
          <w:highlight w:val="none"/>
        </w:rPr>
        <w:t xml:space="preserve"> 供应商须知</w:t>
      </w:r>
      <w:bookmarkEnd w:id="14"/>
      <w:bookmarkEnd w:id="15"/>
    </w:p>
    <w:p w14:paraId="255AB8D8">
      <w:pPr>
        <w:widowControl/>
        <w:shd w:val="clear" w:color="auto" w:fill="FFFFFF"/>
        <w:spacing w:line="360" w:lineRule="auto"/>
        <w:ind w:firstLine="424" w:firstLineChars="201"/>
        <w:rPr>
          <w:rFonts w:ascii="宋体" w:hAnsi="宋体" w:cs="宋体"/>
          <w:kern w:val="0"/>
          <w:szCs w:val="21"/>
          <w:highlight w:val="none"/>
        </w:rPr>
      </w:pPr>
      <w:bookmarkStart w:id="16" w:name="_Toc25340"/>
      <w:bookmarkStart w:id="17" w:name="_Toc481057145"/>
      <w:r>
        <w:rPr>
          <w:rFonts w:hint="eastAsia" w:ascii="宋体" w:hAnsi="宋体" w:cs="宋体"/>
          <w:b/>
          <w:bCs/>
          <w:kern w:val="0"/>
          <w:szCs w:val="21"/>
          <w:highlight w:val="none"/>
        </w:rPr>
        <w:t>一、总 则</w:t>
      </w:r>
    </w:p>
    <w:p w14:paraId="2471F3B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1、适用法律</w:t>
      </w:r>
    </w:p>
    <w:p w14:paraId="429E69C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24CABA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2、定义</w:t>
      </w:r>
    </w:p>
    <w:p w14:paraId="626297A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7B62093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B093BE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2C4B14F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576FDC5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7964A73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3、政策功能</w:t>
      </w:r>
    </w:p>
    <w:p w14:paraId="256F7F8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417C782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F1AFBC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93B2D83">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四章。参加政府采购活动的节能产品、环境标志产品投标人应当提供国家确定的认证机构出具的、处于有效期之内的节能产品、环境标志产品认证证书。</w:t>
      </w:r>
    </w:p>
    <w:p w14:paraId="5E4DB0F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658BAEC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3.6进口产品政策</w:t>
      </w:r>
    </w:p>
    <w:p w14:paraId="3ABDE6F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225221D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43E910F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D730C6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3.7 本国产品支持政策</w:t>
      </w:r>
    </w:p>
    <w:p w14:paraId="41E08A8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0F85B6D3">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B8522A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39D51DEE">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
          <w:bCs/>
          <w:kern w:val="0"/>
          <w:szCs w:val="21"/>
          <w:highlight w:val="none"/>
        </w:rPr>
        <w:t>二、招标文件构成</w:t>
      </w:r>
    </w:p>
    <w:p w14:paraId="3FEA0BC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4、招标文件组成</w:t>
      </w:r>
    </w:p>
    <w:p w14:paraId="10D3973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4.1招标文件包括以下主要内容：</w:t>
      </w:r>
    </w:p>
    <w:p w14:paraId="205D918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（1）招标公告；</w:t>
      </w:r>
    </w:p>
    <w:p w14:paraId="40A4620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（2）投标人须知；</w:t>
      </w:r>
    </w:p>
    <w:p w14:paraId="7D52522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（3）采购需求；</w:t>
      </w:r>
    </w:p>
    <w:p w14:paraId="5A27972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（4）评标标准；</w:t>
      </w:r>
    </w:p>
    <w:p w14:paraId="3BDEE1D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（5）合同主要条款及格式；</w:t>
      </w:r>
    </w:p>
    <w:p w14:paraId="708A450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（6）投标文件格式及附件。</w:t>
      </w:r>
    </w:p>
    <w:p w14:paraId="0385F9A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5C8323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2C3C70E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25C43BD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74386C7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5、招标文件的澄清或者修改</w:t>
      </w:r>
    </w:p>
    <w:p w14:paraId="33A6D8E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2DB88C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B1C28D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6257B06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三、投标文件的编制</w:t>
      </w:r>
    </w:p>
    <w:p w14:paraId="591803C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09562D1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A0C4A2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5485BDF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29D599FA">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0280DF3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25002131">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DA5DFD0">
      <w:pPr>
        <w:widowControl/>
        <w:numPr>
          <w:ilvl w:val="0"/>
          <w:numId w:val="4"/>
        </w:numPr>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联合体投标（本项目不接受）</w:t>
      </w:r>
    </w:p>
    <w:p w14:paraId="0BD272C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50EC4CC6">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3C6D96E6">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3050AB2A">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30C5E578">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
          <w:bCs/>
          <w:kern w:val="0"/>
          <w:szCs w:val="21"/>
          <w:highlight w:val="none"/>
        </w:rPr>
        <w:t>8、投标文件的组成</w:t>
      </w:r>
    </w:p>
    <w:p w14:paraId="3300EB3C">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ascii="宋体" w:hAnsi="宋体" w:cs="宋体"/>
          <w:szCs w:val="21"/>
          <w:highlight w:val="none"/>
        </w:rPr>
        <w:t>★</w:t>
      </w:r>
      <w:r>
        <w:rPr>
          <w:rFonts w:hint="eastAsia" w:ascii="宋体" w:hAnsi="宋体" w:cs="宋体"/>
          <w:b/>
          <w:bCs/>
          <w:kern w:val="0"/>
          <w:szCs w:val="21"/>
          <w:highlight w:val="none"/>
        </w:rPr>
        <w:t>”）的技术条款在投标文件中提供技术支持资料（如白皮书、彩页、手册、检测报告等），具体以招标</w:t>
      </w:r>
      <w:r>
        <w:rPr>
          <w:rFonts w:hint="eastAsia" w:ascii="宋体" w:hAnsi="宋体" w:cs="宋体"/>
          <w:b/>
          <w:bCs/>
          <w:kern w:val="0"/>
          <w:szCs w:val="21"/>
          <w:highlight w:val="none"/>
          <w:lang w:val="en-US" w:eastAsia="zh-CN"/>
        </w:rPr>
        <w:t>文件</w:t>
      </w:r>
      <w:r>
        <w:rPr>
          <w:rFonts w:hint="eastAsia" w:ascii="宋体" w:hAnsi="宋体" w:cs="宋体"/>
          <w:b/>
          <w:bCs/>
          <w:kern w:val="0"/>
          <w:szCs w:val="21"/>
          <w:highlight w:val="none"/>
        </w:rPr>
        <w:t>需求为准，未提供技术支持资料的，视为未对招标文件实质性要求作出响应，评审时不予认可。</w:t>
      </w:r>
    </w:p>
    <w:p w14:paraId="454D30F1">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3D5B66B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9、投标文件的商务内容</w:t>
      </w:r>
    </w:p>
    <w:p w14:paraId="76805A2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（1）-（4）所述材料不得有缺失或提供不全或不满足招标文件的实质性要求</w:t>
      </w:r>
      <w:r>
        <w:rPr>
          <w:rFonts w:hint="eastAsia" w:ascii="宋体" w:hAnsi="宋体" w:cs="宋体"/>
          <w:kern w:val="0"/>
          <w:szCs w:val="21"/>
          <w:highlight w:val="none"/>
        </w:rPr>
        <w:t>）：</w:t>
      </w:r>
    </w:p>
    <w:p w14:paraId="350FD560">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3B798EBB">
      <w:pPr>
        <w:widowControl/>
        <w:shd w:val="clear" w:color="auto" w:fill="FFFFFF"/>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4165610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（3）投标人资格资信证明文件：</w:t>
      </w:r>
    </w:p>
    <w:p w14:paraId="6947C26C">
      <w:pPr>
        <w:numPr>
          <w:ilvl w:val="1"/>
          <w:numId w:val="5"/>
        </w:numPr>
        <w:tabs>
          <w:tab w:val="left" w:pos="840"/>
        </w:tabs>
        <w:spacing w:line="360" w:lineRule="auto"/>
        <w:ind w:left="0" w:firstLine="367" w:firstLineChars="175"/>
        <w:rPr>
          <w:rFonts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00FA9FA0">
      <w:pPr>
        <w:numPr>
          <w:ilvl w:val="1"/>
          <w:numId w:val="5"/>
        </w:numPr>
        <w:tabs>
          <w:tab w:val="left" w:pos="840"/>
        </w:tabs>
        <w:spacing w:line="360" w:lineRule="auto"/>
        <w:ind w:left="0" w:firstLine="367" w:firstLineChars="175"/>
        <w:rPr>
          <w:rFonts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29CA704D">
      <w:pPr>
        <w:numPr>
          <w:ilvl w:val="1"/>
          <w:numId w:val="5"/>
        </w:numPr>
        <w:tabs>
          <w:tab w:val="left" w:pos="840"/>
        </w:tabs>
        <w:spacing w:line="360" w:lineRule="auto"/>
        <w:ind w:left="0" w:firstLine="367" w:firstLineChars="175"/>
        <w:rPr>
          <w:rFonts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56431622">
      <w:pPr>
        <w:widowControl/>
        <w:shd w:val="clear" w:color="auto" w:fill="FFFFFF"/>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4A8FB9FC">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（5）《商务条款偏离表》；</w:t>
      </w:r>
    </w:p>
    <w:p w14:paraId="06DEC31B">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（6）第四章评标标准中对应的所需证明材料（如有自行添加）；</w:t>
      </w:r>
    </w:p>
    <w:p w14:paraId="2AEF8C05">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（7）要求采购人提供的配合（如有自拟并自行添加）；</w:t>
      </w:r>
    </w:p>
    <w:p w14:paraId="42DB71E9">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（8）其他（投标人认为有必要提供的声明和文件，如有，自行拟定并添加）。</w:t>
      </w:r>
    </w:p>
    <w:p w14:paraId="086C425D">
      <w:pPr>
        <w:widowControl/>
        <w:shd w:val="clear" w:color="auto" w:fill="FFFFFF"/>
        <w:spacing w:line="360" w:lineRule="auto"/>
        <w:ind w:firstLine="420"/>
        <w:jc w:val="left"/>
        <w:rPr>
          <w:rFonts w:hint="eastAsia" w:ascii="宋体" w:hAnsi="宋体" w:cs="宋体"/>
          <w:b w:val="0"/>
          <w:bCs w:val="0"/>
          <w:kern w:val="0"/>
          <w:szCs w:val="21"/>
          <w:highlight w:val="none"/>
          <w:lang w:val="en-US" w:eastAsia="zh-CN"/>
        </w:rPr>
      </w:pPr>
      <w:r>
        <w:rPr>
          <w:rFonts w:hint="eastAsia" w:ascii="宋体" w:hAnsi="宋体" w:cs="宋体"/>
          <w:b w:val="0"/>
          <w:bCs w:val="0"/>
          <w:kern w:val="0"/>
          <w:szCs w:val="21"/>
          <w:highlight w:val="none"/>
          <w:lang w:val="en-US" w:eastAsia="zh-CN"/>
        </w:rPr>
        <w:t>注：资格要求中所指“其他组织”不包括法人的分支机构，由于法人分支机构不能独立承担民事责任，不能以分支机构的身份参加政府采购，只能以法人身份参加。但由于银行、保险、石油石化、电力、电信等行业具有其特殊性。可以分支机构身份参加政府采购。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77ADC62B">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10、投标文件的技术内容</w:t>
      </w:r>
    </w:p>
    <w:p w14:paraId="6098473F">
      <w:pPr>
        <w:widowControl/>
        <w:adjustRightInd w:val="0"/>
        <w:spacing w:line="360" w:lineRule="auto"/>
        <w:ind w:firstLine="420"/>
        <w:jc w:val="left"/>
        <w:rPr>
          <w:rFonts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4CF21DD1">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（1）技术说明或服务方案</w:t>
      </w:r>
      <w:bookmarkStart w:id="59" w:name="_GoBack"/>
      <w:bookmarkEnd w:id="59"/>
      <w:r>
        <w:rPr>
          <w:rFonts w:hint="eastAsia" w:ascii="宋体" w:hAnsi="宋体" w:cs="宋体"/>
          <w:kern w:val="0"/>
          <w:szCs w:val="21"/>
          <w:highlight w:val="none"/>
          <w:lang w:val="zh-CN"/>
        </w:rPr>
        <w:t>；</w:t>
      </w:r>
    </w:p>
    <w:p w14:paraId="7F6EC445">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76C9A1A">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（3）服务承诺；</w:t>
      </w:r>
    </w:p>
    <w:p w14:paraId="7C60CE34">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28D39D46">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59454DF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11、投标文件的价格内容</w:t>
      </w:r>
    </w:p>
    <w:p w14:paraId="52CDA84B">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36BE26B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货物设计、制造、包装、仓储、运输装卸、保险、安装、调试及其材料</w:t>
      </w:r>
      <w:r>
        <w:rPr>
          <w:rFonts w:hint="eastAsia" w:ascii="宋体" w:hAnsi="宋体" w:cs="宋体"/>
          <w:szCs w:val="21"/>
          <w:highlight w:val="none"/>
          <w:lang w:eastAsia="zh-CN"/>
        </w:rPr>
        <w:t>、</w:t>
      </w:r>
      <w:r>
        <w:rPr>
          <w:rFonts w:hint="eastAsia" w:ascii="宋体" w:hAnsi="宋体" w:cs="宋体"/>
          <w:szCs w:val="21"/>
          <w:highlight w:val="none"/>
        </w:rPr>
        <w:t>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37E0937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3D8663F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67B6FBB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39E58CD4">
      <w:pPr>
        <w:widowControl/>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3658812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12、投标文件的其他部分</w:t>
      </w:r>
    </w:p>
    <w:p w14:paraId="7C5F6A5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738070A3">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rPr>
        <w:t>采购</w:t>
      </w:r>
      <w:r>
        <w:rPr>
          <w:rFonts w:hint="eastAsia" w:ascii="Arial" w:hAnsi="Arial"/>
          <w:color w:val="000000"/>
          <w:szCs w:val="21"/>
          <w:highlight w:val="none"/>
          <w:lang w:val="zh-CN"/>
        </w:rPr>
        <w:t>文件为准。</w:t>
      </w:r>
    </w:p>
    <w:p w14:paraId="216E0AFD">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15A8436F">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14、投标有效期</w:t>
      </w:r>
    </w:p>
    <w:p w14:paraId="732FC3A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0A71BEB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48ADBB8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15、投标文件签署</w:t>
      </w:r>
    </w:p>
    <w:p w14:paraId="4C01315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15.1 投标文件应按照招标文件要求加盖电子公章。</w:t>
      </w:r>
    </w:p>
    <w:p w14:paraId="64CDDE7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16、投标费用</w:t>
      </w:r>
    </w:p>
    <w:p w14:paraId="48DD817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B68092B">
      <w:pPr>
        <w:widowControl/>
        <w:shd w:val="clear" w:color="auto" w:fill="FFFFFF"/>
        <w:spacing w:line="360" w:lineRule="auto"/>
        <w:ind w:firstLine="420"/>
        <w:rPr>
          <w:rFonts w:ascii="新宋体" w:hAnsi="新宋体" w:eastAsia="新宋体" w:cs="新宋体"/>
          <w:bCs/>
          <w:kern w:val="0"/>
          <w:szCs w:val="21"/>
          <w:highlight w:val="none"/>
        </w:rPr>
      </w:pPr>
      <w:r>
        <w:rPr>
          <w:rFonts w:hint="eastAsia" w:ascii="宋体" w:hAnsi="宋体" w:cs="宋体"/>
          <w:bCs/>
          <w:kern w:val="0"/>
          <w:szCs w:val="21"/>
          <w:highlight w:val="none"/>
        </w:rPr>
        <w:t>16.2 招标代理服务费：</w:t>
      </w:r>
      <w:r>
        <w:rPr>
          <w:rFonts w:hint="eastAsia" w:ascii="新宋体" w:hAnsi="新宋体" w:eastAsia="新宋体" w:cs="新宋体"/>
          <w:bCs/>
          <w:kern w:val="0"/>
          <w:szCs w:val="21"/>
          <w:highlight w:val="none"/>
        </w:rPr>
        <w:t>本次招标，中标人依据中标金额按照《国家计委关于印发〈招标代理服务收费管理暂行办法〉的通知》（计价格〔2002〕1980 号）所列收费标准差额累进计算后的6折收取。单个项目按照以上标准计算低于4000元时，按照保底代理费4000元/项目收取。单个项目按照以上标准计算高于25000元，按照最高代理费25000元/项目收取。由中标人向招标代理机构支付中标服务费。本项费用无需在投标报价表中单列。</w:t>
      </w:r>
    </w:p>
    <w:p w14:paraId="09E9B62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本项目供应商报价应包含完成本项目工作所需的全部费用，包括但不限于提供合同约定产品的报酬及乙方提供合同中产品所支出的必要的税、运输费、安装费用等税金、利润及采购代理费等。根据采购文件及采购代理合同的约定，本项目采购代理费由中标供应商支付，相关费用已纳入项目采购预算，供应商应在报价中一并考虑。</w:t>
      </w:r>
    </w:p>
    <w:p w14:paraId="00DAF1F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四、投标文件的递交</w:t>
      </w:r>
    </w:p>
    <w:p w14:paraId="6A827683">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17、投标文件的递交</w:t>
      </w:r>
    </w:p>
    <w:p w14:paraId="2A09663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45A437FB">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18、投标文件的解密</w:t>
      </w:r>
    </w:p>
    <w:p w14:paraId="480481C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6FF2C6B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4FBD5EA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19、投标文件的修改和撤回</w:t>
      </w:r>
    </w:p>
    <w:p w14:paraId="2EE3F06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9895AF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19.2 投标截止时间之后，投标文件不得撤回；如撤回，投标保证金不予退还。</w:t>
      </w:r>
    </w:p>
    <w:p w14:paraId="257338C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20、诚实信用</w:t>
      </w:r>
    </w:p>
    <w:p w14:paraId="5056FB8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33FCF2F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A02B88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五、开标、评标与定标</w:t>
      </w:r>
    </w:p>
    <w:p w14:paraId="256E5DC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21、开标</w:t>
      </w:r>
    </w:p>
    <w:p w14:paraId="161148E2">
      <w:pPr>
        <w:spacing w:line="360" w:lineRule="auto"/>
        <w:ind w:firstLine="420" w:firstLineChars="200"/>
        <w:rPr>
          <w:rFonts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32E58D96">
      <w:pPr>
        <w:spacing w:line="360" w:lineRule="auto"/>
        <w:ind w:firstLine="420" w:firstLineChars="200"/>
        <w:rPr>
          <w:rFonts w:ascii="宋体" w:hAnsi="宋体" w:cs="宋体"/>
          <w:highlight w:val="none"/>
        </w:rPr>
      </w:pPr>
      <w:r>
        <w:rPr>
          <w:rFonts w:hint="eastAsia" w:ascii="宋体" w:hAnsi="宋体" w:cs="宋体"/>
          <w:highlight w:val="none"/>
        </w:rPr>
        <w:t>21.3投标人不足3家的，不得开标。</w:t>
      </w:r>
      <w:r>
        <w:rPr>
          <w:rFonts w:hint="eastAsia" w:ascii="Arial" w:hAnsi="宋体" w:cs="Arial"/>
          <w:kern w:val="0"/>
          <w:szCs w:val="21"/>
          <w:highlight w:val="none"/>
        </w:rPr>
        <w:t>（苏教法〔2017〕14号</w:t>
      </w:r>
      <w:r>
        <w:rPr>
          <w:rFonts w:ascii="Arial" w:hAnsi="宋体" w:cs="Arial"/>
          <w:kern w:val="0"/>
          <w:szCs w:val="21"/>
          <w:highlight w:val="none"/>
        </w:rPr>
        <w:t xml:space="preserve"> </w:t>
      </w:r>
      <w:r>
        <w:rPr>
          <w:rFonts w:hint="eastAsia" w:ascii="Arial" w:hAnsi="宋体" w:cs="Arial"/>
          <w:kern w:val="0"/>
          <w:szCs w:val="21"/>
          <w:highlight w:val="none"/>
        </w:rPr>
        <w:t>江苏省深化高等教育领域简政放权放管结合优化服务改革实施办法，第四条完善高校经费和资产使用管理制度（十三）优化高校办学设备招标采购流程。急需设备首次招标如不足</w:t>
      </w:r>
      <w:r>
        <w:rPr>
          <w:rFonts w:ascii="Arial" w:hAnsi="宋体" w:cs="Arial"/>
          <w:kern w:val="0"/>
          <w:szCs w:val="21"/>
          <w:highlight w:val="none"/>
        </w:rPr>
        <w:t>3</w:t>
      </w:r>
      <w:r>
        <w:rPr>
          <w:rFonts w:hint="eastAsia" w:ascii="Arial" w:hAnsi="宋体" w:cs="Arial"/>
          <w:kern w:val="0"/>
          <w:szCs w:val="21"/>
          <w:highlight w:val="none"/>
        </w:rPr>
        <w:t>家供应商的，可依据专家评委意见，并经得采购人同意，现场采用竞争性谈判或单一来源采购方式。简化科研仪器设备采购管理，高校对集中采购目录内的项目可自行采购和选择评审专家。对进口仪器设备实行备案制。</w:t>
      </w:r>
    </w:p>
    <w:p w14:paraId="2B757249">
      <w:pPr>
        <w:spacing w:line="360" w:lineRule="auto"/>
        <w:ind w:firstLine="420" w:firstLineChars="200"/>
        <w:rPr>
          <w:rFonts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58554D0F">
      <w:pPr>
        <w:spacing w:line="360" w:lineRule="auto"/>
        <w:ind w:firstLine="420" w:firstLineChars="200"/>
        <w:rPr>
          <w:rFonts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5B7A2FE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22、评标</w:t>
      </w:r>
    </w:p>
    <w:p w14:paraId="798BDF7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22.1 评标委员会</w:t>
      </w:r>
    </w:p>
    <w:p w14:paraId="0608EDCB">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1F972724">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4C551DE">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0E2778F">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2B116E7C">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6C8541A">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5E4F471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2267B299">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22.2  评标程序</w:t>
      </w:r>
    </w:p>
    <w:p w14:paraId="7F3B5E9C">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23A98E5E">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5C919C24">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（1）同一投标人提交两个（含两个）以上不同的投标报价的；</w:t>
      </w:r>
    </w:p>
    <w:p w14:paraId="591FFCAD">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（2）投标文件未按照招标文件要求加盖电子公章的或者签字；</w:t>
      </w:r>
    </w:p>
    <w:p w14:paraId="53D88679">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（3）报价超过招标文件中规定的预算金额或者最高限价的；</w:t>
      </w:r>
    </w:p>
    <w:p w14:paraId="34ABAA3F">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（4）投标文件含有采购人不能接受的附加条件的；</w:t>
      </w:r>
    </w:p>
    <w:p w14:paraId="38AF0802">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（5）投标文件内容不全或不符合招标文件中规定的其他实质性要求的；</w:t>
      </w:r>
    </w:p>
    <w:p w14:paraId="2DD2F564">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（6）现行法律、法规、规章和招标文件规定的其他无效情形。</w:t>
      </w:r>
    </w:p>
    <w:p w14:paraId="111CCDCE">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ascii="宋体" w:hAnsi="宋体" w:cs="宋体"/>
          <w:b/>
          <w:bCs/>
          <w:highlight w:val="none"/>
        </w:rPr>
        <w:t>*</w:t>
      </w:r>
      <w:r>
        <w:rPr>
          <w:rFonts w:hint="eastAsia" w:ascii="宋体" w:hAnsi="宋体" w:cs="宋体"/>
          <w:b/>
          <w:bCs/>
          <w:kern w:val="0"/>
          <w:szCs w:val="21"/>
          <w:highlight w:val="none"/>
        </w:rPr>
        <w:t>”）等其他文字说明的商务和技术要求。</w:t>
      </w:r>
    </w:p>
    <w:p w14:paraId="19100E76">
      <w:pPr>
        <w:widowControl/>
        <w:shd w:val="clear" w:color="auto" w:fill="FFFFFF"/>
        <w:spacing w:line="360" w:lineRule="auto"/>
        <w:ind w:firstLine="420"/>
        <w:rPr>
          <w:rFonts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1807884E">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7404DE17">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79C91CAD">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335E10A9">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3AB1E7F4">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561C5D32">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（5）因重大变故，采购任务取消的。</w:t>
      </w:r>
    </w:p>
    <w:p w14:paraId="1930340A">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6949142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339843E3">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22.2.3.1 评标期间，</w:t>
      </w:r>
      <w:r>
        <w:rPr>
          <w:rFonts w:hint="eastAsia" w:ascii="宋体" w:hAnsi="宋体" w:cs="宋体"/>
          <w:kern w:val="0"/>
          <w:szCs w:val="21"/>
          <w:highlight w:val="none"/>
          <w:lang w:val="en-US" w:eastAsia="zh-CN"/>
        </w:rPr>
        <w:t>评标委员会</w:t>
      </w:r>
      <w:r>
        <w:rPr>
          <w:rFonts w:hint="eastAsia" w:ascii="宋体" w:hAnsi="宋体" w:cs="宋体"/>
          <w:kern w:val="0"/>
          <w:szCs w:val="21"/>
          <w:highlight w:val="none"/>
        </w:rPr>
        <w:t>对投标文件中含义不明确、同类问题表述不一致或者有明显文字和计算错误的内容，有权要求投标人作出必要的澄清、说明或者补正。</w:t>
      </w:r>
    </w:p>
    <w:p w14:paraId="73713C1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5A1C573D">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lang w:val="en-US" w:eastAsia="zh-CN"/>
        </w:rPr>
        <w:t>评标委员会</w:t>
      </w:r>
      <w:r>
        <w:rPr>
          <w:rFonts w:hint="eastAsia" w:ascii="宋体" w:hAnsi="宋体" w:cs="宋体"/>
          <w:kern w:val="0"/>
          <w:szCs w:val="21"/>
          <w:highlight w:val="none"/>
        </w:rPr>
        <w:t>并非对每个投标人都做澄清要求。</w:t>
      </w:r>
    </w:p>
    <w:p w14:paraId="0C4BA13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22.2.3.2 需要供应商进行澄清、说明和补正的，</w:t>
      </w:r>
      <w:r>
        <w:rPr>
          <w:rFonts w:hint="eastAsia" w:ascii="宋体" w:hAnsi="宋体" w:cs="宋体"/>
          <w:kern w:val="0"/>
          <w:szCs w:val="21"/>
          <w:highlight w:val="none"/>
          <w:lang w:eastAsia="zh-CN"/>
        </w:rPr>
        <w:t>评标委员会</w:t>
      </w:r>
      <w:r>
        <w:rPr>
          <w:rFonts w:hint="eastAsia" w:ascii="宋体" w:hAnsi="宋体" w:cs="宋体"/>
          <w:kern w:val="0"/>
          <w:szCs w:val="21"/>
          <w:highlight w:val="none"/>
        </w:rPr>
        <w:t>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C759872">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22.2.3.3 接到</w:t>
      </w:r>
      <w:r>
        <w:rPr>
          <w:rFonts w:hint="eastAsia" w:ascii="宋体" w:hAnsi="宋体" w:cs="宋体"/>
          <w:kern w:val="0"/>
          <w:szCs w:val="21"/>
          <w:highlight w:val="none"/>
          <w:lang w:eastAsia="zh-CN"/>
        </w:rPr>
        <w:t>评标委员会</w:t>
      </w:r>
      <w:r>
        <w:rPr>
          <w:rFonts w:hint="eastAsia" w:ascii="宋体" w:hAnsi="宋体" w:cs="宋体"/>
          <w:kern w:val="0"/>
          <w:szCs w:val="21"/>
          <w:highlight w:val="none"/>
        </w:rPr>
        <w:t>澄清、说明和补正要求的，投标人如未按规定作出澄清、说明和补正，其风险由投标人自行承担。</w:t>
      </w:r>
    </w:p>
    <w:p w14:paraId="56662DD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28F9AEE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0DB7C24A">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5DA559B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2B6F8A3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711707F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lang w:eastAsia="zh-CN"/>
        </w:rPr>
        <w:t>评标委员会</w:t>
      </w:r>
      <w:r>
        <w:rPr>
          <w:rFonts w:hint="eastAsia" w:ascii="宋体" w:hAnsi="宋体" w:cs="宋体"/>
          <w:kern w:val="0"/>
          <w:szCs w:val="21"/>
          <w:highlight w:val="none"/>
        </w:rPr>
        <w:t>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1B98BB30">
      <w:pPr>
        <w:widowControl/>
        <w:shd w:val="clear" w:color="auto" w:fill="FFFFFF"/>
        <w:spacing w:line="360" w:lineRule="auto"/>
        <w:ind w:firstLine="420"/>
        <w:rPr>
          <w:rFonts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w:t>
      </w:r>
      <w:r>
        <w:rPr>
          <w:rFonts w:hint="eastAsia" w:ascii="宋体" w:hAnsi="宋体" w:cs="宋体"/>
          <w:kern w:val="0"/>
          <w:szCs w:val="21"/>
          <w:highlight w:val="none"/>
          <w:lang w:eastAsia="zh-CN"/>
        </w:rPr>
        <w:t>评标委员会</w:t>
      </w:r>
      <w:r>
        <w:rPr>
          <w:rFonts w:hint="eastAsia" w:ascii="宋体" w:hAnsi="宋体" w:cs="宋体"/>
          <w:kern w:val="0"/>
          <w:szCs w:val="21"/>
          <w:highlight w:val="none"/>
        </w:rPr>
        <w:t>联系。</w:t>
      </w:r>
    </w:p>
    <w:p w14:paraId="4D51E60C">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59F32A62">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25B85B41">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22.2.5相同品牌产品的投标</w:t>
      </w:r>
    </w:p>
    <w:p w14:paraId="7BA5D71D">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132F312C">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5B34CE4A">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非单一产品采购项目，确定核心产品的方法在招标文件技术需求中载明。多家供应商提供的核心产品品牌相同的，按前两款规定处理。</w:t>
      </w:r>
    </w:p>
    <w:p w14:paraId="60ADCB24">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22.3 评标方法和标准</w:t>
      </w:r>
    </w:p>
    <w:p w14:paraId="0657003E">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22.3.1评标方法分为最低评标价法和综合评分法。本次招标的评标方法和标准，详见本招标文件第四章。</w:t>
      </w:r>
    </w:p>
    <w:p w14:paraId="52B10E08">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6D743BFE">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1F2E7F7A">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55DD3D11">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评审因素，包括价格、技术、商务等。</w:t>
      </w:r>
    </w:p>
    <w:p w14:paraId="237C9589">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7D8172D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6A20C780">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评标总得分＝F1×A1＋F2×A2＋……＋Fn×An</w:t>
      </w:r>
    </w:p>
    <w:p w14:paraId="06926853">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F1、F2……Fn分别为各项评审因素的得分；</w:t>
      </w:r>
    </w:p>
    <w:p w14:paraId="39B8DE11">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042C0892">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67950A9A">
      <w:pPr>
        <w:widowControl/>
        <w:shd w:val="clear" w:color="auto" w:fill="FFFFFF"/>
        <w:spacing w:line="360" w:lineRule="auto"/>
        <w:ind w:firstLine="422" w:firstLineChars="200"/>
        <w:jc w:val="left"/>
        <w:rPr>
          <w:rFonts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6F028432">
      <w:pPr>
        <w:widowControl/>
        <w:shd w:val="clear" w:color="auto" w:fill="FFFFFF"/>
        <w:spacing w:line="360" w:lineRule="auto"/>
        <w:ind w:firstLine="422" w:firstLineChars="200"/>
        <w:jc w:val="left"/>
        <w:rPr>
          <w:rFonts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181AB894">
      <w:pPr>
        <w:widowControl/>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（1）投标报价低于全部通过符合性审查投标人投标报价平均值50%的，即投标报价&lt;全部通过符合性审查投标人投标报价平均值×50%；</w:t>
      </w:r>
    </w:p>
    <w:p w14:paraId="0E239CED">
      <w:pPr>
        <w:widowControl/>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（2）投标报价低于通过符合性审查的次低报价投标人投标报价50%的，即投标报价&lt;通过符合性审查的次低报价投标人投标报价×50%；</w:t>
      </w:r>
    </w:p>
    <w:p w14:paraId="6056FA2E">
      <w:pPr>
        <w:widowControl/>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（3）投标报价低于本项目最高限价45%的，即投标报价&lt;本项目最高限价×45%；</w:t>
      </w:r>
    </w:p>
    <w:p w14:paraId="254B70F3">
      <w:pPr>
        <w:widowControl/>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CCBCB45">
      <w:pPr>
        <w:widowControl/>
        <w:spacing w:line="360" w:lineRule="auto"/>
        <w:ind w:firstLine="420"/>
        <w:rPr>
          <w:rFonts w:ascii="宋体" w:hAnsi="宋体" w:cs="宋体"/>
          <w:kern w:val="0"/>
          <w:szCs w:val="21"/>
          <w:highlight w:val="none"/>
        </w:rPr>
      </w:pPr>
      <w:r>
        <w:rPr>
          <w:rFonts w:hint="eastAsia" w:ascii="宋体" w:hAnsi="宋体" w:cs="宋体"/>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813535C">
      <w:pPr>
        <w:widowControl/>
        <w:spacing w:line="360" w:lineRule="auto"/>
        <w:ind w:firstLine="420"/>
        <w:rPr>
          <w:rFonts w:ascii="宋体" w:hAnsi="宋体" w:cs="宋体"/>
          <w:kern w:val="0"/>
          <w:szCs w:val="21"/>
          <w:highlight w:val="none"/>
        </w:rPr>
      </w:pPr>
      <w:r>
        <w:rPr>
          <w:rFonts w:hint="eastAsia" w:ascii="宋体" w:hAnsi="宋体" w:cs="宋体"/>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kern w:val="0"/>
          <w:szCs w:val="21"/>
          <w:highlight w:val="none"/>
        </w:rPr>
        <w:t>投标人不能提供书面说明、证明材料，或者提供的书面说明、证明材料不能证明其报价合理性的，评审委员会应当将其作为无效投标处理。</w:t>
      </w:r>
    </w:p>
    <w:p w14:paraId="2E0224F3">
      <w:pPr>
        <w:widowControl/>
        <w:spacing w:line="360" w:lineRule="auto"/>
        <w:ind w:firstLine="420"/>
        <w:rPr>
          <w:rFonts w:ascii="宋体" w:hAnsi="宋体" w:cs="宋体"/>
          <w:b/>
          <w:bCs/>
          <w:kern w:val="0"/>
          <w:szCs w:val="21"/>
          <w:highlight w:val="none"/>
        </w:rPr>
      </w:pPr>
      <w:r>
        <w:rPr>
          <w:rFonts w:hint="eastAsia" w:ascii="宋体" w:hAnsi="宋体" w:cs="宋体"/>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28518D13">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5B9DE90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4022E5A">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B906F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F4DFF03">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2E3CED88">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7271534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0094683E">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
          <w:bCs/>
          <w:kern w:val="0"/>
          <w:szCs w:val="21"/>
          <w:highlight w:val="none"/>
        </w:rPr>
        <w:t>24、编写评标报告</w:t>
      </w:r>
    </w:p>
    <w:p w14:paraId="586FD4D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5544E61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25、评标过程的保密性</w:t>
      </w:r>
    </w:p>
    <w:p w14:paraId="4F3AF4B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23C9EDF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14BAD10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5DF1F18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六、签订合同</w:t>
      </w:r>
    </w:p>
    <w:p w14:paraId="25CAB44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26、签订合同</w:t>
      </w:r>
    </w:p>
    <w:p w14:paraId="6C7326D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18A6DE07">
      <w:pPr>
        <w:widowControl/>
        <w:shd w:val="clear" w:color="auto" w:fill="FFFFFF"/>
        <w:spacing w:line="360" w:lineRule="auto"/>
        <w:ind w:firstLine="420"/>
        <w:rPr>
          <w:rFonts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54A0823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2CAF6ED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613CDEB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737EDE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37AFEE8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七、质疑和投诉</w:t>
      </w:r>
    </w:p>
    <w:p w14:paraId="735E588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27、质疑</w:t>
      </w:r>
    </w:p>
    <w:p w14:paraId="48A19D2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155F543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2CBF465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27.3供应商认为采购文件、采购过程和中标结果使自己的合法权益受到损害的，可以在知道或者应知其权益受到损害之日起七个工作日内，以书面形式向采购人或采购代理机构提出质疑。</w:t>
      </w:r>
    </w:p>
    <w:p w14:paraId="3BF4E44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363CF5B">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0634C61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0BDCA3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3D29A07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（二）质疑项目的名称、编号；</w:t>
      </w:r>
    </w:p>
    <w:p w14:paraId="79D7916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44F4459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（四）事实依据（具体条款）；</w:t>
      </w:r>
    </w:p>
    <w:p w14:paraId="0E4903C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（五）必要的法律依据（具体条款）；</w:t>
      </w:r>
    </w:p>
    <w:p w14:paraId="096FE59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（六）提出质疑的日期。</w:t>
      </w:r>
    </w:p>
    <w:p w14:paraId="302203A9">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6218427">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50D0918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p>
    <w:p w14:paraId="7B7F70A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27.6采购代理机构在收到投标人的书面质疑后将及时组织调查核实，在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ascii="宋体" w:hAnsi="宋体" w:cs="宋体"/>
          <w:kern w:val="0"/>
          <w:szCs w:val="21"/>
          <w:highlight w:val="none"/>
        </w:rPr>
      </w:pPr>
      <w:r>
        <w:rPr>
          <w:rFonts w:hint="eastAsia" w:ascii="宋体" w:hAnsi="宋体" w:cs="宋体"/>
          <w:b/>
          <w:bCs/>
          <w:kern w:val="0"/>
          <w:szCs w:val="21"/>
          <w:highlight w:val="none"/>
        </w:rPr>
        <w:t>28、投诉</w:t>
      </w:r>
    </w:p>
    <w:p w14:paraId="297E6CB8">
      <w:pPr>
        <w:spacing w:line="420" w:lineRule="exact"/>
        <w:ind w:firstLine="420" w:firstLineChars="200"/>
        <w:rPr>
          <w:rFonts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76A95592">
      <w:pPr>
        <w:spacing w:line="420" w:lineRule="exact"/>
        <w:ind w:firstLine="420" w:firstLineChars="200"/>
        <w:rPr>
          <w:rFonts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3D699B72">
      <w:pPr>
        <w:spacing w:line="420" w:lineRule="exact"/>
        <w:ind w:firstLine="420" w:firstLineChars="200"/>
        <w:rPr>
          <w:rFonts w:ascii="宋体" w:hAnsi="宋体" w:cs="宋体"/>
          <w:highlight w:val="none"/>
        </w:rPr>
      </w:pPr>
      <w:r>
        <w:rPr>
          <w:rFonts w:hint="eastAsia" w:ascii="宋体" w:hAnsi="宋体" w:cs="宋体"/>
          <w:highlight w:val="none"/>
        </w:rPr>
        <w:t>（1）投诉人在全国范围12个月内三次以上投诉查无实据的；</w:t>
      </w:r>
    </w:p>
    <w:p w14:paraId="177D29CD">
      <w:pPr>
        <w:spacing w:line="420" w:lineRule="exact"/>
        <w:ind w:firstLine="420" w:firstLineChars="200"/>
        <w:rPr>
          <w:rFonts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37B95898">
      <w:pPr>
        <w:spacing w:line="420" w:lineRule="exact"/>
        <w:ind w:firstLine="420" w:firstLineChars="200"/>
        <w:rPr>
          <w:rFonts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ascii="宋体" w:hAnsi="宋体" w:cs="宋体"/>
          <w:b/>
          <w:bCs/>
          <w:kern w:val="0"/>
          <w:szCs w:val="21"/>
          <w:highlight w:val="none"/>
        </w:rPr>
      </w:pPr>
      <w:r>
        <w:rPr>
          <w:rFonts w:hint="eastAsia" w:ascii="宋体" w:hAnsi="宋体" w:cs="宋体"/>
          <w:b/>
          <w:bCs/>
          <w:kern w:val="0"/>
          <w:szCs w:val="21"/>
          <w:highlight w:val="none"/>
        </w:rPr>
        <w:t>29、其他</w:t>
      </w:r>
    </w:p>
    <w:p w14:paraId="7B73B383">
      <w:pPr>
        <w:spacing w:line="360" w:lineRule="auto"/>
        <w:ind w:firstLine="420" w:firstLineChars="200"/>
        <w:rPr>
          <w:rFonts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43F13141">
      <w:pPr>
        <w:spacing w:line="360" w:lineRule="auto"/>
        <w:ind w:firstLine="420" w:firstLineChars="200"/>
        <w:rPr>
          <w:rFonts w:ascii="宋体" w:hAnsi="宋体" w:cs="宋体"/>
          <w:szCs w:val="20"/>
          <w:highlight w:val="none"/>
        </w:rPr>
      </w:pPr>
    </w:p>
    <w:p w14:paraId="49A45AB6">
      <w:pPr>
        <w:rPr>
          <w:rFonts w:ascii="宋体" w:hAnsi="宋体" w:cs="宋体"/>
          <w:kern w:val="0"/>
          <w:highlight w:val="none"/>
        </w:rPr>
      </w:pPr>
      <w:r>
        <w:rPr>
          <w:rFonts w:hint="eastAsia" w:ascii="宋体" w:hAnsi="宋体" w:cs="宋体"/>
          <w:kern w:val="0"/>
          <w:highlight w:val="none"/>
        </w:rPr>
        <w:br w:type="page"/>
      </w:r>
    </w:p>
    <w:bookmarkEnd w:id="16"/>
    <w:bookmarkEnd w:id="17"/>
    <w:p w14:paraId="610C36BC">
      <w:pPr>
        <w:pStyle w:val="2"/>
        <w:numPr>
          <w:ilvl w:val="0"/>
          <w:numId w:val="0"/>
        </w:numPr>
        <w:rPr>
          <w:rFonts w:ascii="宋体" w:hAnsi="宋体" w:cs="宋体"/>
          <w:kern w:val="0"/>
          <w:highlight w:val="none"/>
        </w:rPr>
      </w:pPr>
      <w:bookmarkStart w:id="18" w:name="_Toc1644"/>
      <w:r>
        <w:rPr>
          <w:rFonts w:hint="eastAsia" w:ascii="宋体" w:hAnsi="宋体" w:cs="宋体"/>
          <w:kern w:val="0"/>
          <w:highlight w:val="none"/>
        </w:rPr>
        <w:t>第三章 采购需求</w:t>
      </w:r>
      <w:bookmarkEnd w:id="18"/>
    </w:p>
    <w:p w14:paraId="6E4DA71C">
      <w:pPr>
        <w:spacing w:line="500" w:lineRule="exact"/>
        <w:rPr>
          <w:rFonts w:ascii="宋体" w:hAnsi="宋体" w:cs="宋体"/>
          <w:b/>
          <w:szCs w:val="21"/>
          <w:highlight w:val="none"/>
        </w:rPr>
      </w:pPr>
      <w:bookmarkStart w:id="19" w:name="_Toc481057147"/>
      <w:r>
        <w:rPr>
          <w:rFonts w:hint="eastAsia" w:ascii="宋体" w:hAnsi="宋体" w:cs="宋体"/>
          <w:b/>
          <w:szCs w:val="21"/>
          <w:highlight w:val="none"/>
        </w:rPr>
        <w:t>一、项目需求</w:t>
      </w:r>
    </w:p>
    <w:p w14:paraId="0D456631">
      <w:pPr>
        <w:spacing w:line="500" w:lineRule="exact"/>
        <w:rPr>
          <w:rFonts w:ascii="宋体" w:hAnsi="宋体" w:cs="宋体"/>
          <w:b/>
          <w:szCs w:val="21"/>
          <w:highlight w:val="none"/>
        </w:rPr>
      </w:pPr>
      <w:r>
        <w:rPr>
          <w:rFonts w:hint="eastAsia" w:ascii="宋体" w:hAnsi="宋体" w:cs="宋体"/>
          <w:b/>
          <w:szCs w:val="21"/>
          <w:highlight w:val="none"/>
        </w:rPr>
        <w:t>（一）采购标的需实现的功能或者目标</w:t>
      </w:r>
    </w:p>
    <w:p w14:paraId="11BA5AA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师范生AI素养提升与教学智能应用创新实训平台为师范生智慧教学能力训练和数智教学素养提升提供智算基座平台。通过建设专用硬件平台，以“AI大模型＋RAG知识库”的方式构建垂域大模型，为师范生智慧教学能力训练提供基础设施和算力支撑。</w:t>
      </w:r>
    </w:p>
    <w:p w14:paraId="2E92C57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建设内容包括三部分：</w:t>
      </w:r>
    </w:p>
    <w:p w14:paraId="5CBE703B">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1.智算基座引擎。为平台的智能评价反馈提供硬件算力支撑。</w:t>
      </w:r>
    </w:p>
    <w:p w14:paraId="318055A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2.本地化部署的教师教育大模型。模型采用混合专家（MoE）架构，总参数量不少于300亿，依托国产算力完成训练，部署于中心推理服务器节点上，实现数据不出校、全链路自主可控。</w:t>
      </w:r>
    </w:p>
    <w:p w14:paraId="542D8FBD">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3.TPCK教师教育知识库。按学科知识、教学法知识、技术知识组织课标、教材、教案、教学案例等教师教育资源，通过RAG知识库方式构建支持师范生能力训练的垂域大模型。</w:t>
      </w:r>
    </w:p>
    <w:p w14:paraId="0E8142D0">
      <w:pPr>
        <w:spacing w:line="500" w:lineRule="exact"/>
        <w:rPr>
          <w:rFonts w:ascii="宋体" w:hAnsi="宋体" w:cs="宋体"/>
          <w:b/>
          <w:szCs w:val="21"/>
          <w:highlight w:val="none"/>
        </w:rPr>
      </w:pPr>
      <w:r>
        <w:rPr>
          <w:rFonts w:hint="eastAsia" w:ascii="宋体" w:hAnsi="宋体" w:cs="宋体"/>
          <w:b/>
          <w:szCs w:val="21"/>
          <w:highlight w:val="none"/>
        </w:rPr>
        <w:t>（二）采购清单</w:t>
      </w: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269"/>
        <w:gridCol w:w="1843"/>
        <w:gridCol w:w="2268"/>
      </w:tblGrid>
      <w:tr w14:paraId="3FE5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40FE8106">
            <w:pPr>
              <w:spacing w:line="500" w:lineRule="exact"/>
              <w:ind w:left="368" w:hanging="367" w:hangingChars="175"/>
              <w:jc w:val="center"/>
              <w:rPr>
                <w:rFonts w:ascii="宋体" w:hAnsi="宋体"/>
                <w:szCs w:val="21"/>
                <w:highlight w:val="none"/>
              </w:rPr>
            </w:pPr>
            <w:r>
              <w:rPr>
                <w:rFonts w:hint="eastAsia" w:ascii="宋体" w:hAnsi="宋体"/>
                <w:szCs w:val="21"/>
                <w:highlight w:val="none"/>
              </w:rPr>
              <w:t>序号</w:t>
            </w:r>
          </w:p>
        </w:tc>
        <w:tc>
          <w:tcPr>
            <w:tcW w:w="2269" w:type="dxa"/>
            <w:vAlign w:val="center"/>
          </w:tcPr>
          <w:p w14:paraId="7EA894A0">
            <w:pPr>
              <w:spacing w:line="500" w:lineRule="exact"/>
              <w:ind w:left="368" w:hanging="367" w:hangingChars="175"/>
              <w:jc w:val="center"/>
              <w:rPr>
                <w:rFonts w:ascii="宋体" w:hAnsi="宋体"/>
                <w:szCs w:val="21"/>
                <w:highlight w:val="none"/>
              </w:rPr>
            </w:pPr>
            <w:r>
              <w:rPr>
                <w:rFonts w:hint="eastAsia" w:ascii="宋体" w:hAnsi="宋体"/>
                <w:szCs w:val="21"/>
                <w:highlight w:val="none"/>
              </w:rPr>
              <w:t>设备名称</w:t>
            </w:r>
          </w:p>
        </w:tc>
        <w:tc>
          <w:tcPr>
            <w:tcW w:w="1843" w:type="dxa"/>
            <w:vAlign w:val="center"/>
          </w:tcPr>
          <w:p w14:paraId="245AA8FA">
            <w:pPr>
              <w:spacing w:line="500" w:lineRule="exact"/>
              <w:ind w:left="368" w:hanging="367" w:hangingChars="175"/>
              <w:jc w:val="center"/>
              <w:rPr>
                <w:rFonts w:ascii="宋体" w:hAnsi="宋体"/>
                <w:szCs w:val="21"/>
                <w:highlight w:val="none"/>
              </w:rPr>
            </w:pPr>
            <w:r>
              <w:rPr>
                <w:rFonts w:hint="eastAsia" w:ascii="宋体" w:hAnsi="宋体"/>
                <w:szCs w:val="21"/>
                <w:highlight w:val="none"/>
              </w:rPr>
              <w:t>数量</w:t>
            </w:r>
          </w:p>
        </w:tc>
        <w:tc>
          <w:tcPr>
            <w:tcW w:w="2268" w:type="dxa"/>
            <w:vAlign w:val="center"/>
          </w:tcPr>
          <w:p w14:paraId="45113332">
            <w:pPr>
              <w:spacing w:line="500" w:lineRule="exact"/>
              <w:ind w:left="368" w:hanging="367" w:hangingChars="175"/>
              <w:jc w:val="center"/>
              <w:rPr>
                <w:rFonts w:ascii="宋体" w:hAnsi="宋体"/>
                <w:szCs w:val="21"/>
                <w:highlight w:val="none"/>
              </w:rPr>
            </w:pPr>
            <w:r>
              <w:rPr>
                <w:rFonts w:hint="eastAsia" w:ascii="宋体" w:hAnsi="宋体"/>
                <w:szCs w:val="21"/>
                <w:highlight w:val="none"/>
              </w:rPr>
              <w:t>备注</w:t>
            </w:r>
          </w:p>
        </w:tc>
      </w:tr>
      <w:tr w14:paraId="59D3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70781D3B">
            <w:pPr>
              <w:pStyle w:val="279"/>
              <w:jc w:val="center"/>
              <w:rPr>
                <w:rFonts w:ascii="宋体" w:hAnsi="宋体"/>
                <w:sz w:val="21"/>
                <w:szCs w:val="21"/>
                <w:highlight w:val="none"/>
              </w:rPr>
            </w:pPr>
            <w:r>
              <w:rPr>
                <w:sz w:val="21"/>
                <w:szCs w:val="21"/>
                <w:highlight w:val="none"/>
              </w:rPr>
              <w:t>1</w:t>
            </w:r>
          </w:p>
        </w:tc>
        <w:tc>
          <w:tcPr>
            <w:tcW w:w="2269" w:type="dxa"/>
            <w:vAlign w:val="center"/>
          </w:tcPr>
          <w:p w14:paraId="4B065984">
            <w:pPr>
              <w:pStyle w:val="279"/>
              <w:rPr>
                <w:rFonts w:ascii="宋体" w:hAnsi="宋体"/>
                <w:sz w:val="21"/>
                <w:szCs w:val="21"/>
                <w:highlight w:val="none"/>
              </w:rPr>
            </w:pPr>
            <w:r>
              <w:rPr>
                <w:rFonts w:hint="eastAsia"/>
                <w:sz w:val="21"/>
                <w:szCs w:val="21"/>
                <w:highlight w:val="none"/>
              </w:rPr>
              <w:t>智算基座引擎</w:t>
            </w:r>
          </w:p>
        </w:tc>
        <w:tc>
          <w:tcPr>
            <w:tcW w:w="1843" w:type="dxa"/>
            <w:vAlign w:val="center"/>
          </w:tcPr>
          <w:p w14:paraId="4DA50B2C">
            <w:pPr>
              <w:pStyle w:val="279"/>
              <w:jc w:val="center"/>
              <w:rPr>
                <w:rFonts w:ascii="宋体" w:hAnsi="宋体"/>
                <w:sz w:val="21"/>
                <w:szCs w:val="21"/>
                <w:highlight w:val="none"/>
              </w:rPr>
            </w:pPr>
            <w:r>
              <w:rPr>
                <w:sz w:val="21"/>
                <w:szCs w:val="21"/>
                <w:highlight w:val="none"/>
              </w:rPr>
              <w:t>1套</w:t>
            </w:r>
          </w:p>
        </w:tc>
        <w:tc>
          <w:tcPr>
            <w:tcW w:w="2268" w:type="dxa"/>
            <w:vAlign w:val="center"/>
          </w:tcPr>
          <w:p w14:paraId="4FAA783E">
            <w:pPr>
              <w:spacing w:line="500" w:lineRule="exact"/>
              <w:ind w:left="368" w:hanging="367" w:hangingChars="175"/>
              <w:jc w:val="center"/>
              <w:rPr>
                <w:rFonts w:ascii="宋体" w:hAnsi="宋体"/>
                <w:szCs w:val="21"/>
                <w:highlight w:val="none"/>
              </w:rPr>
            </w:pPr>
          </w:p>
        </w:tc>
      </w:tr>
      <w:tr w14:paraId="49C8C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299ADCB8">
            <w:pPr>
              <w:pStyle w:val="279"/>
              <w:jc w:val="center"/>
              <w:rPr>
                <w:rFonts w:ascii="宋体" w:hAnsi="宋体"/>
                <w:sz w:val="21"/>
                <w:szCs w:val="21"/>
                <w:highlight w:val="none"/>
              </w:rPr>
            </w:pPr>
            <w:r>
              <w:rPr>
                <w:sz w:val="21"/>
                <w:szCs w:val="21"/>
                <w:highlight w:val="none"/>
              </w:rPr>
              <w:t>2</w:t>
            </w:r>
          </w:p>
        </w:tc>
        <w:tc>
          <w:tcPr>
            <w:tcW w:w="2269" w:type="dxa"/>
            <w:vAlign w:val="center"/>
          </w:tcPr>
          <w:p w14:paraId="35124BCC">
            <w:pPr>
              <w:pStyle w:val="279"/>
              <w:rPr>
                <w:rFonts w:ascii="宋体" w:hAnsi="宋体"/>
                <w:sz w:val="21"/>
                <w:szCs w:val="21"/>
                <w:highlight w:val="none"/>
              </w:rPr>
            </w:pPr>
            <w:r>
              <w:rPr>
                <w:sz w:val="21"/>
                <w:szCs w:val="21"/>
                <w:highlight w:val="none"/>
              </w:rPr>
              <w:t>教师教育大模型</w:t>
            </w:r>
          </w:p>
        </w:tc>
        <w:tc>
          <w:tcPr>
            <w:tcW w:w="1843" w:type="dxa"/>
            <w:vAlign w:val="center"/>
          </w:tcPr>
          <w:p w14:paraId="19F2997E">
            <w:pPr>
              <w:pStyle w:val="279"/>
              <w:jc w:val="center"/>
              <w:rPr>
                <w:rFonts w:ascii="宋体" w:hAnsi="宋体"/>
                <w:sz w:val="21"/>
                <w:szCs w:val="21"/>
                <w:highlight w:val="none"/>
              </w:rPr>
            </w:pPr>
            <w:r>
              <w:rPr>
                <w:sz w:val="21"/>
                <w:szCs w:val="21"/>
                <w:highlight w:val="none"/>
              </w:rPr>
              <w:t>1套</w:t>
            </w:r>
          </w:p>
        </w:tc>
        <w:tc>
          <w:tcPr>
            <w:tcW w:w="2268" w:type="dxa"/>
            <w:vAlign w:val="center"/>
          </w:tcPr>
          <w:p w14:paraId="0AF73C16">
            <w:pPr>
              <w:spacing w:line="500" w:lineRule="exact"/>
              <w:ind w:left="369" w:hanging="369" w:hangingChars="175"/>
              <w:jc w:val="center"/>
              <w:rPr>
                <w:rFonts w:ascii="宋体" w:hAnsi="宋体"/>
                <w:szCs w:val="21"/>
                <w:highlight w:val="none"/>
              </w:rPr>
            </w:pPr>
            <w:r>
              <w:rPr>
                <w:rFonts w:hint="eastAsia" w:ascii="宋体" w:hAnsi="宋体"/>
                <w:b/>
                <w:bCs/>
                <w:szCs w:val="21"/>
                <w:highlight w:val="none"/>
              </w:rPr>
              <w:t>核心产品</w:t>
            </w:r>
          </w:p>
        </w:tc>
      </w:tr>
      <w:tr w14:paraId="70D4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374C6B1A">
            <w:pPr>
              <w:pStyle w:val="279"/>
              <w:jc w:val="center"/>
              <w:rPr>
                <w:rFonts w:ascii="宋体" w:hAnsi="宋体"/>
                <w:sz w:val="21"/>
                <w:szCs w:val="21"/>
                <w:highlight w:val="none"/>
              </w:rPr>
            </w:pPr>
            <w:r>
              <w:rPr>
                <w:sz w:val="21"/>
                <w:szCs w:val="21"/>
                <w:highlight w:val="none"/>
              </w:rPr>
              <w:t>3</w:t>
            </w:r>
          </w:p>
        </w:tc>
        <w:tc>
          <w:tcPr>
            <w:tcW w:w="2269" w:type="dxa"/>
            <w:vAlign w:val="center"/>
          </w:tcPr>
          <w:p w14:paraId="09B59F1D">
            <w:pPr>
              <w:pStyle w:val="279"/>
              <w:rPr>
                <w:rFonts w:ascii="宋体" w:hAnsi="宋体"/>
                <w:sz w:val="21"/>
                <w:szCs w:val="21"/>
                <w:highlight w:val="none"/>
              </w:rPr>
            </w:pPr>
            <w:r>
              <w:rPr>
                <w:rFonts w:hint="eastAsia"/>
                <w:sz w:val="21"/>
                <w:szCs w:val="21"/>
                <w:highlight w:val="none"/>
              </w:rPr>
              <w:t>TPCK</w:t>
            </w:r>
            <w:r>
              <w:rPr>
                <w:sz w:val="21"/>
                <w:szCs w:val="21"/>
                <w:highlight w:val="none"/>
              </w:rPr>
              <w:t>教师教育知识库</w:t>
            </w:r>
          </w:p>
        </w:tc>
        <w:tc>
          <w:tcPr>
            <w:tcW w:w="1843" w:type="dxa"/>
            <w:vAlign w:val="center"/>
          </w:tcPr>
          <w:p w14:paraId="17A5C6C6">
            <w:pPr>
              <w:pStyle w:val="279"/>
              <w:jc w:val="center"/>
              <w:rPr>
                <w:rFonts w:ascii="宋体" w:hAnsi="宋体"/>
                <w:sz w:val="21"/>
                <w:szCs w:val="21"/>
                <w:highlight w:val="none"/>
              </w:rPr>
            </w:pPr>
            <w:r>
              <w:rPr>
                <w:sz w:val="21"/>
                <w:szCs w:val="21"/>
                <w:highlight w:val="none"/>
              </w:rPr>
              <w:t>1套</w:t>
            </w:r>
          </w:p>
        </w:tc>
        <w:tc>
          <w:tcPr>
            <w:tcW w:w="2268" w:type="dxa"/>
            <w:vAlign w:val="center"/>
          </w:tcPr>
          <w:p w14:paraId="4DC745FD">
            <w:pPr>
              <w:spacing w:line="500" w:lineRule="exact"/>
              <w:ind w:left="368" w:hanging="367" w:hangingChars="175"/>
              <w:jc w:val="center"/>
              <w:rPr>
                <w:rFonts w:ascii="宋体" w:hAnsi="宋体"/>
                <w:szCs w:val="21"/>
                <w:highlight w:val="none"/>
              </w:rPr>
            </w:pPr>
          </w:p>
        </w:tc>
      </w:tr>
      <w:tr w14:paraId="37CE2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2ED3285B">
            <w:pPr>
              <w:pStyle w:val="279"/>
              <w:jc w:val="center"/>
              <w:rPr>
                <w:rFonts w:ascii="宋体" w:hAnsi="宋体"/>
                <w:sz w:val="21"/>
                <w:szCs w:val="21"/>
                <w:highlight w:val="none"/>
              </w:rPr>
            </w:pPr>
            <w:r>
              <w:rPr>
                <w:rFonts w:hint="eastAsia"/>
                <w:sz w:val="21"/>
                <w:szCs w:val="21"/>
                <w:highlight w:val="none"/>
              </w:rPr>
              <w:t>4</w:t>
            </w:r>
          </w:p>
        </w:tc>
        <w:tc>
          <w:tcPr>
            <w:tcW w:w="2269" w:type="dxa"/>
            <w:vAlign w:val="center"/>
          </w:tcPr>
          <w:p w14:paraId="75BFFAB4">
            <w:pPr>
              <w:pStyle w:val="279"/>
              <w:rPr>
                <w:rFonts w:ascii="宋体" w:hAnsi="宋体"/>
                <w:sz w:val="21"/>
                <w:szCs w:val="21"/>
                <w:highlight w:val="none"/>
              </w:rPr>
            </w:pPr>
            <w:r>
              <w:rPr>
                <w:rFonts w:hint="eastAsia"/>
                <w:sz w:val="21"/>
                <w:szCs w:val="21"/>
                <w:highlight w:val="none"/>
              </w:rPr>
              <w:t>大模型运营与接口要求</w:t>
            </w:r>
          </w:p>
        </w:tc>
        <w:tc>
          <w:tcPr>
            <w:tcW w:w="1843" w:type="dxa"/>
            <w:vAlign w:val="center"/>
          </w:tcPr>
          <w:p w14:paraId="6101CED0">
            <w:pPr>
              <w:pStyle w:val="279"/>
              <w:jc w:val="center"/>
              <w:rPr>
                <w:rFonts w:ascii="宋体" w:hAnsi="宋体"/>
                <w:sz w:val="21"/>
                <w:szCs w:val="21"/>
                <w:highlight w:val="none"/>
              </w:rPr>
            </w:pPr>
            <w:r>
              <w:rPr>
                <w:rFonts w:hint="eastAsia"/>
                <w:sz w:val="21"/>
                <w:szCs w:val="21"/>
                <w:highlight w:val="none"/>
              </w:rPr>
              <w:t>1套</w:t>
            </w:r>
          </w:p>
        </w:tc>
        <w:tc>
          <w:tcPr>
            <w:tcW w:w="2268" w:type="dxa"/>
            <w:vAlign w:val="center"/>
          </w:tcPr>
          <w:p w14:paraId="1D67F27B">
            <w:pPr>
              <w:spacing w:line="500" w:lineRule="exact"/>
              <w:ind w:left="368" w:hanging="367" w:hangingChars="175"/>
              <w:jc w:val="center"/>
              <w:rPr>
                <w:rFonts w:ascii="宋体" w:hAnsi="宋体"/>
                <w:szCs w:val="21"/>
                <w:highlight w:val="none"/>
              </w:rPr>
            </w:pPr>
          </w:p>
        </w:tc>
      </w:tr>
    </w:tbl>
    <w:p w14:paraId="0B959F07">
      <w:pPr>
        <w:spacing w:line="360" w:lineRule="auto"/>
        <w:rPr>
          <w:rFonts w:ascii="宋体" w:hAnsi="宋体" w:cs="宋体"/>
          <w:b/>
          <w:szCs w:val="21"/>
          <w:highlight w:val="none"/>
        </w:rPr>
      </w:pPr>
    </w:p>
    <w:p w14:paraId="6F4DCD6E">
      <w:pPr>
        <w:spacing w:line="360" w:lineRule="auto"/>
        <w:rPr>
          <w:rFonts w:ascii="宋体" w:hAnsi="宋体" w:cs="宋体"/>
          <w:b/>
          <w:szCs w:val="21"/>
          <w:highlight w:val="none"/>
        </w:rPr>
      </w:pPr>
      <w:r>
        <w:rPr>
          <w:rFonts w:hint="eastAsia" w:ascii="宋体" w:hAnsi="宋体" w:cs="宋体"/>
          <w:b/>
          <w:szCs w:val="21"/>
          <w:highlight w:val="none"/>
        </w:rPr>
        <w:t>二、采购标的需执行的国家相关标准、行业标准、地方标准或者其他标准、规范</w:t>
      </w:r>
    </w:p>
    <w:p w14:paraId="2313687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1.国家课程标准及教育部师范类专业认证相关标准；</w:t>
      </w:r>
    </w:p>
    <w:p w14:paraId="6447679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2.教育信息化相关标准规范（CELTS教育资源建设规范等）；</w:t>
      </w:r>
    </w:p>
    <w:p w14:paraId="3BE4013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3.GB 4943.1‑2022《音视频、信息技术和通信技术设备 第1部分：安全要求》；</w:t>
      </w:r>
    </w:p>
    <w:p w14:paraId="6BFAA322">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4.GB/T 9813 系列《计算机通用规范》（各对应部分现行版本）；</w:t>
      </w:r>
    </w:p>
    <w:p w14:paraId="3ECE227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5.信息安全等级保护相关要求（GB/T 22239等）；</w:t>
      </w:r>
    </w:p>
    <w:p w14:paraId="4455190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6.国家及行业有关软件工程与系统集成的标准规范。</w:t>
      </w:r>
    </w:p>
    <w:p w14:paraId="34D8B7AB">
      <w:pPr>
        <w:spacing w:line="360" w:lineRule="auto"/>
        <w:rPr>
          <w:rFonts w:ascii="宋体" w:hAnsi="宋体" w:cs="宋体"/>
          <w:b/>
          <w:szCs w:val="21"/>
          <w:highlight w:val="none"/>
        </w:rPr>
      </w:pPr>
      <w:bookmarkStart w:id="20" w:name="_Hlk229300957"/>
      <w:r>
        <w:rPr>
          <w:rFonts w:hint="eastAsia" w:ascii="宋体" w:hAnsi="宋体" w:cs="宋体"/>
          <w:b/>
          <w:szCs w:val="21"/>
          <w:highlight w:val="none"/>
        </w:rPr>
        <w:t>三、采购标的需满足的质量、安全、技术规格、物理特性等要求（“★”的指标技术偏离为实质性条款，如出现负偏离，视为无效投标响应）</w:t>
      </w:r>
    </w:p>
    <w:p w14:paraId="264507DC">
      <w:pPr>
        <w:spacing w:line="360" w:lineRule="auto"/>
        <w:ind w:firstLine="630" w:firstLineChars="300"/>
        <w:rPr>
          <w:rFonts w:ascii="宋体" w:hAnsi="宋体" w:cs="宋体"/>
          <w:b/>
          <w:color w:val="000000"/>
          <w:szCs w:val="21"/>
          <w:highlight w:val="none"/>
        </w:rPr>
      </w:pPr>
      <w:r>
        <w:rPr>
          <w:rFonts w:hint="eastAsia" w:ascii="Segoe UI Symbol" w:hAnsi="Segoe UI Symbol" w:cs="Segoe UI Symbol"/>
          <w:bCs/>
          <w:szCs w:val="21"/>
          <w:highlight w:val="none"/>
        </w:rPr>
        <w:t xml:space="preserve"> </w:t>
      </w:r>
      <w:bookmarkEnd w:id="20"/>
    </w:p>
    <w:tbl>
      <w:tblPr>
        <w:tblStyle w:val="45"/>
        <w:tblW w:w="5256" w:type="pct"/>
        <w:jc w:val="center"/>
        <w:tblLayout w:type="autofit"/>
        <w:tblCellMar>
          <w:top w:w="0" w:type="dxa"/>
          <w:left w:w="108" w:type="dxa"/>
          <w:bottom w:w="0" w:type="dxa"/>
          <w:right w:w="108" w:type="dxa"/>
        </w:tblCellMar>
      </w:tblPr>
      <w:tblGrid>
        <w:gridCol w:w="645"/>
        <w:gridCol w:w="2547"/>
        <w:gridCol w:w="4784"/>
        <w:gridCol w:w="633"/>
        <w:gridCol w:w="427"/>
        <w:gridCol w:w="133"/>
      </w:tblGrid>
      <w:tr w14:paraId="5C2D1235">
        <w:tblPrEx>
          <w:tblCellMar>
            <w:top w:w="0" w:type="dxa"/>
            <w:left w:w="108" w:type="dxa"/>
            <w:bottom w:w="0" w:type="dxa"/>
            <w:right w:w="108" w:type="dxa"/>
          </w:tblCellMar>
        </w:tblPrEx>
        <w:trPr>
          <w:gridAfter w:val="1"/>
          <w:wAfter w:w="72" w:type="pct"/>
          <w:trHeight w:val="567" w:hRule="atLeas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043127D1">
            <w:pPr>
              <w:pStyle w:val="5"/>
              <w:spacing w:before="0" w:line="240" w:lineRule="auto"/>
              <w:jc w:val="center"/>
              <w:rPr>
                <w:rFonts w:ascii="宋体" w:hAnsi="宋体" w:cs="宋体"/>
                <w:bCs w:val="0"/>
                <w:sz w:val="21"/>
                <w:szCs w:val="21"/>
                <w:highlight w:val="none"/>
              </w:rPr>
            </w:pPr>
            <w:r>
              <w:rPr>
                <w:rFonts w:hint="eastAsia" w:ascii="宋体" w:hAnsi="宋体" w:cs="宋体"/>
                <w:bCs w:val="0"/>
                <w:sz w:val="21"/>
                <w:szCs w:val="21"/>
                <w:highlight w:val="none"/>
              </w:rPr>
              <w:t>序号</w:t>
            </w:r>
          </w:p>
        </w:tc>
        <w:tc>
          <w:tcPr>
            <w:tcW w:w="1389" w:type="pct"/>
            <w:tcBorders>
              <w:top w:val="single" w:color="000000" w:sz="4" w:space="0"/>
              <w:left w:val="single" w:color="000000" w:sz="4" w:space="0"/>
              <w:bottom w:val="single" w:color="000000" w:sz="4" w:space="0"/>
              <w:right w:val="single" w:color="000000" w:sz="4" w:space="0"/>
            </w:tcBorders>
            <w:vAlign w:val="center"/>
          </w:tcPr>
          <w:p w14:paraId="61F6BF2A">
            <w:pPr>
              <w:pStyle w:val="5"/>
              <w:spacing w:before="0" w:line="240" w:lineRule="auto"/>
              <w:jc w:val="center"/>
              <w:rPr>
                <w:rFonts w:ascii="宋体" w:hAnsi="宋体" w:cs="宋体"/>
                <w:bCs w:val="0"/>
                <w:sz w:val="21"/>
                <w:szCs w:val="21"/>
                <w:highlight w:val="none"/>
              </w:rPr>
            </w:pPr>
            <w:r>
              <w:rPr>
                <w:rFonts w:hint="eastAsia" w:ascii="宋体" w:hAnsi="宋体" w:cs="宋体"/>
                <w:bCs w:val="0"/>
                <w:sz w:val="21"/>
                <w:szCs w:val="21"/>
                <w:highlight w:val="none"/>
              </w:rPr>
              <w:t>名称</w:t>
            </w:r>
          </w:p>
        </w:tc>
        <w:tc>
          <w:tcPr>
            <w:tcW w:w="2609" w:type="pct"/>
            <w:tcBorders>
              <w:top w:val="single" w:color="000000" w:sz="4" w:space="0"/>
              <w:left w:val="single" w:color="000000" w:sz="4" w:space="0"/>
              <w:bottom w:val="single" w:color="000000" w:sz="4" w:space="0"/>
              <w:right w:val="single" w:color="000000" w:sz="4" w:space="0"/>
            </w:tcBorders>
            <w:vAlign w:val="center"/>
          </w:tcPr>
          <w:p w14:paraId="3CA87437">
            <w:pPr>
              <w:pStyle w:val="5"/>
              <w:spacing w:before="0" w:line="240" w:lineRule="auto"/>
              <w:jc w:val="center"/>
              <w:rPr>
                <w:rFonts w:ascii="宋体" w:hAnsi="宋体" w:cs="宋体"/>
                <w:bCs w:val="0"/>
                <w:sz w:val="21"/>
                <w:szCs w:val="21"/>
                <w:highlight w:val="none"/>
              </w:rPr>
            </w:pPr>
            <w:r>
              <w:rPr>
                <w:rFonts w:hint="eastAsia" w:ascii="宋体" w:hAnsi="宋体" w:cs="宋体"/>
                <w:bCs w:val="0"/>
                <w:sz w:val="21"/>
                <w:szCs w:val="21"/>
                <w:highlight w:val="none"/>
              </w:rPr>
              <w:t>技术参数</w:t>
            </w:r>
          </w:p>
        </w:tc>
        <w:tc>
          <w:tcPr>
            <w:tcW w:w="345" w:type="pct"/>
            <w:tcBorders>
              <w:top w:val="single" w:color="000000" w:sz="4" w:space="0"/>
              <w:left w:val="single" w:color="000000" w:sz="4" w:space="0"/>
              <w:bottom w:val="single" w:color="000000" w:sz="4" w:space="0"/>
              <w:right w:val="single" w:color="000000" w:sz="4" w:space="0"/>
            </w:tcBorders>
            <w:vAlign w:val="center"/>
          </w:tcPr>
          <w:p w14:paraId="73DB2C9A">
            <w:pPr>
              <w:pStyle w:val="5"/>
              <w:spacing w:before="0" w:line="240" w:lineRule="auto"/>
              <w:jc w:val="center"/>
              <w:rPr>
                <w:rFonts w:ascii="宋体" w:hAnsi="宋体" w:cs="宋体"/>
                <w:bCs w:val="0"/>
                <w:sz w:val="21"/>
                <w:szCs w:val="21"/>
                <w:highlight w:val="none"/>
              </w:rPr>
            </w:pPr>
            <w:r>
              <w:rPr>
                <w:rFonts w:hint="eastAsia" w:ascii="宋体" w:hAnsi="宋体" w:cs="宋体"/>
                <w:bCs w:val="0"/>
                <w:sz w:val="21"/>
                <w:szCs w:val="21"/>
                <w:highlight w:val="none"/>
              </w:rPr>
              <w:t>数量</w:t>
            </w:r>
          </w:p>
        </w:tc>
        <w:tc>
          <w:tcPr>
            <w:tcW w:w="233" w:type="pct"/>
            <w:tcBorders>
              <w:top w:val="single" w:color="000000" w:sz="4" w:space="0"/>
              <w:left w:val="single" w:color="000000" w:sz="4" w:space="0"/>
              <w:bottom w:val="single" w:color="000000" w:sz="4" w:space="0"/>
              <w:right w:val="single" w:color="000000" w:sz="4" w:space="0"/>
            </w:tcBorders>
            <w:vAlign w:val="center"/>
          </w:tcPr>
          <w:p w14:paraId="7E97FBDD">
            <w:pPr>
              <w:pStyle w:val="5"/>
              <w:spacing w:before="0" w:line="240" w:lineRule="auto"/>
              <w:jc w:val="center"/>
              <w:rPr>
                <w:rFonts w:ascii="宋体" w:hAnsi="宋体" w:cs="宋体"/>
                <w:bCs w:val="0"/>
                <w:sz w:val="21"/>
                <w:szCs w:val="21"/>
                <w:highlight w:val="none"/>
              </w:rPr>
            </w:pPr>
            <w:r>
              <w:rPr>
                <w:rFonts w:hint="eastAsia" w:ascii="宋体" w:hAnsi="宋体" w:cs="宋体"/>
                <w:bCs w:val="0"/>
                <w:sz w:val="21"/>
                <w:szCs w:val="21"/>
                <w:highlight w:val="none"/>
              </w:rPr>
              <w:t>单位</w:t>
            </w:r>
          </w:p>
        </w:tc>
      </w:tr>
      <w:tr w14:paraId="2DEDEADB">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139491E5">
            <w:pPr>
              <w:rPr>
                <w:rFonts w:ascii="宋体" w:hAnsi="宋体" w:cs="宋体"/>
                <w:szCs w:val="21"/>
                <w:highlight w:val="none"/>
              </w:rPr>
            </w:pPr>
            <w:r>
              <w:rPr>
                <w:rFonts w:hint="eastAsia" w:ascii="宋体" w:hAnsi="宋体" w:cs="宋体"/>
                <w:b/>
                <w:szCs w:val="21"/>
                <w:highlight w:val="none"/>
              </w:rPr>
              <w:t>一、智算基座引擎</w:t>
            </w:r>
          </w:p>
        </w:tc>
      </w:tr>
      <w:tr w14:paraId="37581C62">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26355918">
            <w:pPr>
              <w:jc w:val="center"/>
              <w:rPr>
                <w:rFonts w:ascii="宋体" w:hAnsi="宋体" w:cs="宋体"/>
                <w:szCs w:val="21"/>
                <w:highlight w:val="none"/>
              </w:rPr>
            </w:pPr>
            <w:r>
              <w:rPr>
                <w:rFonts w:hint="eastAsia" w:ascii="宋体" w:hAnsi="宋体" w:cs="宋体"/>
                <w:szCs w:val="21"/>
                <w:highlight w:val="none"/>
              </w:rPr>
              <w:t>1</w:t>
            </w:r>
          </w:p>
        </w:tc>
        <w:tc>
          <w:tcPr>
            <w:tcW w:w="1389" w:type="pct"/>
            <w:tcBorders>
              <w:top w:val="single" w:color="000000" w:sz="4" w:space="0"/>
              <w:left w:val="single" w:color="000000" w:sz="4" w:space="0"/>
              <w:bottom w:val="single" w:color="000000" w:sz="4" w:space="0"/>
              <w:right w:val="single" w:color="000000" w:sz="4" w:space="0"/>
            </w:tcBorders>
            <w:vAlign w:val="center"/>
          </w:tcPr>
          <w:p w14:paraId="734F0EAA">
            <w:pPr>
              <w:pStyle w:val="279"/>
              <w:spacing w:line="360" w:lineRule="exact"/>
              <w:rPr>
                <w:rFonts w:ascii="宋体" w:hAnsi="宋体" w:cs="宋体"/>
                <w:sz w:val="21"/>
                <w:szCs w:val="21"/>
                <w:highlight w:val="none"/>
              </w:rPr>
            </w:pPr>
            <w:r>
              <w:rPr>
                <w:rFonts w:hint="eastAsia" w:ascii="宋体" w:hAnsi="宋体" w:cs="宋体"/>
                <w:sz w:val="21"/>
                <w:szCs w:val="21"/>
                <w:highlight w:val="none"/>
              </w:rPr>
              <w:t>智算基座引擎</w:t>
            </w:r>
          </w:p>
        </w:tc>
        <w:tc>
          <w:tcPr>
            <w:tcW w:w="2609" w:type="pct"/>
            <w:tcBorders>
              <w:top w:val="single" w:color="000000" w:sz="4" w:space="0"/>
              <w:left w:val="single" w:color="000000" w:sz="4" w:space="0"/>
              <w:bottom w:val="single" w:color="000000" w:sz="4" w:space="0"/>
              <w:right w:val="single" w:color="000000" w:sz="4" w:space="0"/>
            </w:tcBorders>
            <w:vAlign w:val="center"/>
          </w:tcPr>
          <w:p w14:paraId="435CAF41">
            <w:pPr>
              <w:pStyle w:val="279"/>
              <w:spacing w:line="360" w:lineRule="exact"/>
              <w:rPr>
                <w:rFonts w:ascii="宋体" w:hAnsi="宋体" w:cs="宋体"/>
                <w:b/>
                <w:bCs/>
                <w:sz w:val="21"/>
                <w:szCs w:val="21"/>
                <w:highlight w:val="none"/>
              </w:rPr>
            </w:pPr>
            <w:r>
              <w:rPr>
                <w:rFonts w:hint="eastAsia" w:ascii="宋体" w:hAnsi="宋体" w:cs="宋体"/>
                <w:sz w:val="21"/>
                <w:szCs w:val="21"/>
                <w:highlight w:val="none"/>
              </w:rPr>
              <w:t>1.▲处理器：配置≥4颗国产化ARM架构CPU处理器，单颗处理器物理核心数≥48核，主频≥2.6GHz，CPU符合安全可靠测评要求</w:t>
            </w:r>
            <w:r>
              <w:rPr>
                <w:rFonts w:hint="eastAsia" w:ascii="宋体" w:hAnsi="宋体" w:cs="宋体"/>
                <w:b/>
                <w:bCs/>
                <w:sz w:val="21"/>
                <w:szCs w:val="21"/>
                <w:highlight w:val="none"/>
              </w:rPr>
              <w:t>。（需提供中国信息安全测评中心或国家保密科技测评中心发布的安全可靠测评结果公告，同时提供能体现上述参数指标的产品彩页或者产品白皮书或者制造商官方网页（提供查询网址）截图；）</w:t>
            </w:r>
          </w:p>
          <w:p w14:paraId="3DCB5EC1">
            <w:pPr>
              <w:pStyle w:val="279"/>
              <w:spacing w:line="360" w:lineRule="exact"/>
              <w:rPr>
                <w:rFonts w:ascii="宋体" w:hAnsi="宋体" w:cs="宋体"/>
                <w:sz w:val="21"/>
                <w:szCs w:val="21"/>
                <w:highlight w:val="none"/>
              </w:rPr>
            </w:pPr>
            <w:r>
              <w:rPr>
                <w:rFonts w:hint="eastAsia" w:ascii="宋体" w:hAnsi="宋体" w:cs="宋体"/>
                <w:sz w:val="21"/>
                <w:szCs w:val="21"/>
                <w:highlight w:val="none"/>
              </w:rPr>
              <w:t>2.</w:t>
            </w:r>
            <w:r>
              <w:rPr>
                <w:rFonts w:hint="eastAsia" w:ascii="宋体" w:hAnsi="宋体" w:cs="宋体"/>
                <w:color w:val="000000"/>
                <w:kern w:val="0"/>
                <w:sz w:val="21"/>
                <w:szCs w:val="21"/>
                <w:highlight w:val="none"/>
                <w:lang w:bidi="ar"/>
              </w:rPr>
              <w:t>★</w:t>
            </w:r>
            <w:r>
              <w:rPr>
                <w:rFonts w:hint="eastAsia" w:ascii="宋体" w:hAnsi="宋体" w:cs="宋体"/>
                <w:sz w:val="21"/>
                <w:szCs w:val="21"/>
                <w:highlight w:val="none"/>
              </w:rPr>
              <w:t>内存：配置≥1024GB DDR4内存 RDIMM DDR4 3200 MHz；</w:t>
            </w:r>
          </w:p>
          <w:p w14:paraId="3551674F">
            <w:pPr>
              <w:pStyle w:val="279"/>
              <w:spacing w:line="360" w:lineRule="exact"/>
              <w:rPr>
                <w:rFonts w:ascii="宋体" w:hAnsi="宋体" w:cs="宋体"/>
                <w:sz w:val="21"/>
                <w:szCs w:val="21"/>
                <w:highlight w:val="none"/>
              </w:rPr>
            </w:pPr>
            <w:r>
              <w:rPr>
                <w:rFonts w:hint="eastAsia" w:ascii="宋体" w:hAnsi="宋体" w:cs="宋体"/>
                <w:sz w:val="21"/>
                <w:szCs w:val="21"/>
                <w:highlight w:val="none"/>
              </w:rPr>
              <w:t>3.硬盘：支持热插拔SATA/NVMe/SSD硬盘，硬盘配置：2块≥480G SSD企业级硬盘，2块≥3840G NVMe SSD企业级硬盘；</w:t>
            </w:r>
          </w:p>
          <w:p w14:paraId="2417D509">
            <w:pPr>
              <w:pStyle w:val="279"/>
              <w:spacing w:line="360" w:lineRule="exact"/>
              <w:rPr>
                <w:rFonts w:ascii="宋体" w:hAnsi="宋体" w:cs="宋体"/>
                <w:sz w:val="21"/>
                <w:szCs w:val="21"/>
                <w:highlight w:val="none"/>
              </w:rPr>
            </w:pPr>
            <w:r>
              <w:rPr>
                <w:rFonts w:hint="eastAsia" w:ascii="宋体" w:hAnsi="宋体" w:cs="宋体"/>
                <w:sz w:val="21"/>
                <w:szCs w:val="21"/>
                <w:highlight w:val="none"/>
              </w:rPr>
              <w:t>4.▲AI处理器：配置≥8块AI处理器，单AI处理器显存配置≥64GB HBM，单AI处理器的FP16算力 ≥ 280TFLOPS，FP32算力 ≥ 70TFLOPS，AI处理器间互联带宽≥390GB/s。</w:t>
            </w:r>
            <w:r>
              <w:rPr>
                <w:rFonts w:hint="eastAsia" w:ascii="宋体" w:hAnsi="宋体" w:cs="宋体"/>
                <w:b/>
                <w:bCs/>
                <w:sz w:val="21"/>
                <w:szCs w:val="21"/>
                <w:highlight w:val="none"/>
              </w:rPr>
              <w:t>（需提供能体现上述参数指标的产品彩页或者产品白皮书或者制造商官方网页（提供查询网址）截图）；</w:t>
            </w:r>
          </w:p>
          <w:p w14:paraId="0EE617A4">
            <w:pPr>
              <w:pStyle w:val="279"/>
              <w:spacing w:line="360" w:lineRule="exact"/>
              <w:rPr>
                <w:rFonts w:ascii="宋体" w:hAnsi="宋体" w:cs="宋体"/>
                <w:sz w:val="21"/>
                <w:szCs w:val="21"/>
                <w:highlight w:val="none"/>
              </w:rPr>
            </w:pPr>
            <w:r>
              <w:rPr>
                <w:rFonts w:hint="eastAsia" w:ascii="宋体" w:hAnsi="宋体" w:cs="宋体"/>
                <w:sz w:val="21"/>
                <w:szCs w:val="21"/>
                <w:highlight w:val="none"/>
              </w:rPr>
              <w:t>5.▲AI处理器：AI处理器间支持8卡full</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mesh全互联；</w:t>
            </w:r>
            <w:r>
              <w:rPr>
                <w:rFonts w:hint="eastAsia" w:ascii="宋体" w:hAnsi="宋体" w:cs="宋体"/>
                <w:b/>
                <w:bCs/>
                <w:sz w:val="21"/>
                <w:szCs w:val="21"/>
                <w:highlight w:val="none"/>
              </w:rPr>
              <w:t>（需提供能体现上述参数指标的产品彩页或者产品白皮书或者制造商官方网页（提供查询网址）截图）；</w:t>
            </w:r>
          </w:p>
          <w:p w14:paraId="6B8ECD39">
            <w:pPr>
              <w:pStyle w:val="279"/>
              <w:spacing w:line="360" w:lineRule="exact"/>
              <w:rPr>
                <w:rFonts w:ascii="宋体" w:hAnsi="宋体" w:cs="宋体"/>
                <w:sz w:val="21"/>
                <w:szCs w:val="21"/>
                <w:highlight w:val="none"/>
              </w:rPr>
            </w:pPr>
            <w:r>
              <w:rPr>
                <w:rFonts w:hint="eastAsia" w:ascii="宋体" w:hAnsi="宋体" w:cs="宋体"/>
                <w:sz w:val="21"/>
                <w:szCs w:val="21"/>
                <w:highlight w:val="none"/>
              </w:rPr>
              <w:t>6.网络：内置≥200GE×8（含8个200G光模块），板载网卡≥2×1GE，板载网卡≥4×25GE（含4个25G光模块）；</w:t>
            </w:r>
          </w:p>
          <w:p w14:paraId="7817F54B">
            <w:pPr>
              <w:pStyle w:val="279"/>
              <w:spacing w:line="360" w:lineRule="exact"/>
              <w:rPr>
                <w:rFonts w:ascii="宋体" w:hAnsi="宋体" w:cs="宋体"/>
                <w:sz w:val="21"/>
                <w:szCs w:val="21"/>
                <w:highlight w:val="none"/>
              </w:rPr>
            </w:pPr>
            <w:r>
              <w:rPr>
                <w:rFonts w:hint="eastAsia" w:ascii="宋体" w:hAnsi="宋体" w:cs="宋体"/>
                <w:sz w:val="21"/>
                <w:szCs w:val="21"/>
                <w:highlight w:val="none"/>
              </w:rPr>
              <w:t>7.RAID卡：支持RAID 0, 1, 5, 6, 10, 50, 60；4GB Cache，配置超级电容掉电保护；</w:t>
            </w:r>
          </w:p>
          <w:p w14:paraId="174639AE">
            <w:pPr>
              <w:pStyle w:val="279"/>
              <w:spacing w:line="360" w:lineRule="exact"/>
              <w:rPr>
                <w:rFonts w:ascii="宋体" w:hAnsi="宋体" w:cs="宋体"/>
                <w:sz w:val="21"/>
                <w:szCs w:val="21"/>
                <w:highlight w:val="none"/>
              </w:rPr>
            </w:pPr>
            <w:r>
              <w:rPr>
                <w:rFonts w:hint="eastAsia" w:ascii="宋体" w:hAnsi="宋体" w:cs="宋体"/>
                <w:sz w:val="21"/>
                <w:szCs w:val="21"/>
                <w:highlight w:val="none"/>
              </w:rPr>
              <w:t>8.可管理性：智算基座管理系统支持国产自研管理芯片，管理芯片厂家为国产厂家；</w:t>
            </w:r>
          </w:p>
          <w:p w14:paraId="3A2A2923">
            <w:pPr>
              <w:pStyle w:val="279"/>
              <w:spacing w:line="360" w:lineRule="exact"/>
              <w:rPr>
                <w:rFonts w:ascii="宋体" w:hAnsi="宋体" w:cs="宋体"/>
                <w:sz w:val="21"/>
                <w:szCs w:val="21"/>
                <w:highlight w:val="none"/>
              </w:rPr>
            </w:pPr>
            <w:r>
              <w:rPr>
                <w:rFonts w:hint="eastAsia" w:ascii="宋体" w:hAnsi="宋体" w:cs="宋体"/>
                <w:sz w:val="21"/>
                <w:szCs w:val="21"/>
                <w:highlight w:val="none"/>
              </w:rPr>
              <w:t>9.▲安全性要求：</w:t>
            </w:r>
          </w:p>
          <w:p w14:paraId="60BADBF4">
            <w:pPr>
              <w:pStyle w:val="279"/>
              <w:spacing w:line="360" w:lineRule="exact"/>
              <w:rPr>
                <w:rFonts w:ascii="宋体" w:hAnsi="宋体" w:cs="宋体"/>
                <w:sz w:val="21"/>
                <w:szCs w:val="21"/>
                <w:highlight w:val="none"/>
              </w:rPr>
            </w:pPr>
            <w:r>
              <w:rPr>
                <w:rFonts w:hint="eastAsia" w:ascii="宋体" w:hAnsi="宋体" w:cs="宋体"/>
                <w:sz w:val="21"/>
                <w:szCs w:val="21"/>
                <w:highlight w:val="none"/>
              </w:rPr>
              <w:t>1)智算基座服务器管理软件通过完善的信息安全评估，包括保密性、完善性、抗抵赖性、可核查性测试，</w:t>
            </w:r>
            <w:r>
              <w:rPr>
                <w:rFonts w:hint="eastAsia" w:ascii="宋体" w:hAnsi="宋体" w:cs="宋体"/>
                <w:b/>
                <w:bCs/>
                <w:sz w:val="21"/>
                <w:szCs w:val="21"/>
                <w:highlight w:val="none"/>
              </w:rPr>
              <w:t>提供由具备相应检测资质的第三方检测机构出具的信息安全性测试报告复印件，加盖供应商公章；</w:t>
            </w:r>
          </w:p>
          <w:p w14:paraId="27F8A77F">
            <w:pPr>
              <w:pStyle w:val="279"/>
              <w:spacing w:line="360" w:lineRule="exact"/>
              <w:rPr>
                <w:rFonts w:ascii="宋体" w:hAnsi="宋体" w:cs="宋体"/>
                <w:sz w:val="21"/>
                <w:szCs w:val="21"/>
                <w:highlight w:val="none"/>
              </w:rPr>
            </w:pPr>
            <w:r>
              <w:rPr>
                <w:rFonts w:hint="eastAsia" w:ascii="宋体" w:hAnsi="宋体" w:cs="宋体"/>
                <w:sz w:val="21"/>
                <w:szCs w:val="21"/>
                <w:highlight w:val="none"/>
              </w:rPr>
              <w:t>2)智算基座管理软件通过安全渗透测试，包含认证安全、权限管理安全、会话安全、信息泄露安全、输入输出合法性安全性测试，</w:t>
            </w:r>
            <w:r>
              <w:rPr>
                <w:rFonts w:hint="eastAsia" w:ascii="宋体" w:hAnsi="宋体" w:cs="宋体"/>
                <w:b/>
                <w:bCs/>
                <w:sz w:val="21"/>
                <w:szCs w:val="21"/>
                <w:highlight w:val="none"/>
              </w:rPr>
              <w:t>提供由具备相应检测资质的第三方检测机构出具的安全渗透性测试报告复印件，加盖供应商公章；</w:t>
            </w:r>
          </w:p>
          <w:p w14:paraId="4EF0F9CE">
            <w:pPr>
              <w:pStyle w:val="279"/>
              <w:spacing w:line="360" w:lineRule="exact"/>
              <w:rPr>
                <w:rFonts w:ascii="宋体" w:hAnsi="宋体" w:cs="宋体"/>
                <w:sz w:val="21"/>
                <w:szCs w:val="21"/>
                <w:highlight w:val="none"/>
              </w:rPr>
            </w:pPr>
            <w:r>
              <w:rPr>
                <w:rFonts w:hint="eastAsia" w:ascii="宋体" w:hAnsi="宋体" w:cs="宋体"/>
                <w:sz w:val="21"/>
                <w:szCs w:val="21"/>
                <w:highlight w:val="none"/>
              </w:rPr>
              <w:t>10.▲稳定性要求：应提供智算基座MTBF≥300000小时，</w:t>
            </w:r>
            <w:r>
              <w:rPr>
                <w:rFonts w:hint="eastAsia" w:ascii="宋体" w:hAnsi="宋体" w:cs="宋体"/>
                <w:b/>
                <w:bCs/>
                <w:sz w:val="21"/>
                <w:szCs w:val="21"/>
                <w:highlight w:val="none"/>
              </w:rPr>
              <w:t>具备第三方检测机构出具的检测报告或证书复印件，加盖供应商公章；</w:t>
            </w:r>
          </w:p>
          <w:p w14:paraId="48D857F8">
            <w:pPr>
              <w:pStyle w:val="279"/>
              <w:spacing w:line="360" w:lineRule="exact"/>
              <w:rPr>
                <w:rFonts w:ascii="宋体" w:hAnsi="宋体" w:cs="宋体"/>
                <w:sz w:val="21"/>
                <w:szCs w:val="21"/>
                <w:highlight w:val="none"/>
              </w:rPr>
            </w:pPr>
            <w:r>
              <w:rPr>
                <w:rFonts w:hint="eastAsia" w:ascii="宋体" w:hAnsi="宋体" w:cs="宋体"/>
                <w:sz w:val="21"/>
                <w:szCs w:val="21"/>
                <w:highlight w:val="none"/>
              </w:rPr>
              <w:t>11.电源：配置≥4块2600W交流电源模块，支持冗余，整机最大输入功耗不超过5.2KW；</w:t>
            </w:r>
          </w:p>
          <w:p w14:paraId="3000287B">
            <w:pPr>
              <w:pStyle w:val="279"/>
              <w:spacing w:line="360" w:lineRule="exact"/>
              <w:rPr>
                <w:rFonts w:ascii="宋体" w:hAnsi="宋体" w:cs="宋体"/>
                <w:sz w:val="21"/>
                <w:szCs w:val="21"/>
                <w:highlight w:val="none"/>
              </w:rPr>
            </w:pPr>
            <w:r>
              <w:rPr>
                <w:rFonts w:hint="eastAsia" w:ascii="宋体" w:hAnsi="宋体" w:cs="宋体"/>
                <w:sz w:val="21"/>
                <w:szCs w:val="21"/>
                <w:highlight w:val="none"/>
              </w:rPr>
              <w:t>12.售后服务：提供3年原厂质保服务。</w:t>
            </w:r>
          </w:p>
        </w:tc>
        <w:tc>
          <w:tcPr>
            <w:tcW w:w="345" w:type="pct"/>
            <w:tcBorders>
              <w:top w:val="single" w:color="000000" w:sz="4" w:space="0"/>
              <w:left w:val="single" w:color="000000" w:sz="4" w:space="0"/>
              <w:bottom w:val="single" w:color="000000" w:sz="4" w:space="0"/>
              <w:right w:val="single" w:color="000000" w:sz="4" w:space="0"/>
            </w:tcBorders>
            <w:vAlign w:val="center"/>
          </w:tcPr>
          <w:p w14:paraId="46BA9B3B">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1839156E">
            <w:pPr>
              <w:jc w:val="center"/>
              <w:rPr>
                <w:rFonts w:ascii="宋体" w:hAnsi="宋体" w:cs="宋体"/>
                <w:szCs w:val="21"/>
                <w:highlight w:val="none"/>
              </w:rPr>
            </w:pPr>
            <w:r>
              <w:rPr>
                <w:rFonts w:hint="eastAsia" w:ascii="宋体" w:hAnsi="宋体" w:cs="宋体"/>
                <w:szCs w:val="21"/>
                <w:highlight w:val="none"/>
              </w:rPr>
              <w:t>套</w:t>
            </w:r>
          </w:p>
        </w:tc>
      </w:tr>
      <w:tr w14:paraId="7E1E4920">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24ADC2CF">
            <w:pPr>
              <w:rPr>
                <w:rFonts w:ascii="宋体" w:hAnsi="宋体" w:cs="宋体"/>
                <w:szCs w:val="21"/>
                <w:highlight w:val="none"/>
              </w:rPr>
            </w:pPr>
            <w:r>
              <w:rPr>
                <w:rFonts w:hint="eastAsia" w:ascii="宋体" w:hAnsi="宋体" w:cs="宋体"/>
                <w:b/>
                <w:szCs w:val="21"/>
                <w:highlight w:val="none"/>
              </w:rPr>
              <w:t>二、教师教育大模型（1套）</w:t>
            </w:r>
          </w:p>
        </w:tc>
      </w:tr>
      <w:tr w14:paraId="21C9F58D">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7CC499B3">
            <w:pPr>
              <w:rPr>
                <w:rFonts w:ascii="宋体" w:hAnsi="宋体" w:cs="宋体"/>
                <w:szCs w:val="21"/>
                <w:highlight w:val="none"/>
              </w:rPr>
            </w:pPr>
            <w:r>
              <w:rPr>
                <w:rFonts w:hint="eastAsia" w:ascii="宋体" w:hAnsi="宋体" w:cs="宋体"/>
                <w:b/>
                <w:szCs w:val="21"/>
                <w:highlight w:val="none"/>
              </w:rPr>
              <w:t>（一）基础信息</w:t>
            </w:r>
          </w:p>
        </w:tc>
      </w:tr>
      <w:tr w14:paraId="351C5C08">
        <w:tblPrEx>
          <w:tblCellMar>
            <w:top w:w="0" w:type="dxa"/>
            <w:left w:w="108" w:type="dxa"/>
            <w:bottom w:w="0" w:type="dxa"/>
            <w:right w:w="108" w:type="dxa"/>
          </w:tblCellMar>
        </w:tblPrEx>
        <w:trPr>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3E97A8B3">
            <w:pPr>
              <w:pStyle w:val="154"/>
              <w:jc w:val="center"/>
              <w:rPr>
                <w:rFonts w:ascii="宋体" w:hAnsi="宋体" w:cs="宋体"/>
                <w:sz w:val="21"/>
                <w:szCs w:val="21"/>
                <w:highlight w:val="none"/>
              </w:rPr>
            </w:pPr>
            <w:r>
              <w:rPr>
                <w:rFonts w:hint="eastAsia" w:ascii="宋体" w:hAnsi="宋体" w:cs="宋体"/>
                <w:sz w:val="21"/>
                <w:szCs w:val="21"/>
                <w:highlight w:val="none"/>
              </w:rPr>
              <w:t>2</w:t>
            </w:r>
          </w:p>
        </w:tc>
        <w:tc>
          <w:tcPr>
            <w:tcW w:w="1389" w:type="pct"/>
            <w:tcBorders>
              <w:top w:val="single" w:color="000000" w:sz="4" w:space="0"/>
              <w:left w:val="single" w:color="000000" w:sz="4" w:space="0"/>
              <w:bottom w:val="single" w:color="000000" w:sz="4" w:space="0"/>
              <w:right w:val="single" w:color="000000" w:sz="4" w:space="0"/>
            </w:tcBorders>
            <w:vAlign w:val="center"/>
          </w:tcPr>
          <w:p w14:paraId="420270BE">
            <w:pPr>
              <w:pStyle w:val="154"/>
              <w:rPr>
                <w:rFonts w:ascii="宋体" w:hAnsi="宋体" w:cs="宋体"/>
                <w:sz w:val="21"/>
                <w:szCs w:val="21"/>
                <w:highlight w:val="none"/>
              </w:rPr>
            </w:pPr>
            <w:r>
              <w:rPr>
                <w:rFonts w:hint="eastAsia" w:ascii="宋体" w:hAnsi="宋体" w:cs="宋体"/>
                <w:sz w:val="21"/>
                <w:szCs w:val="21"/>
                <w:highlight w:val="none"/>
              </w:rPr>
              <w:t>基础信息-大模型参数信息</w:t>
            </w:r>
          </w:p>
        </w:tc>
        <w:tc>
          <w:tcPr>
            <w:tcW w:w="2609" w:type="pct"/>
            <w:tcBorders>
              <w:top w:val="single" w:color="000000" w:sz="4" w:space="0"/>
              <w:left w:val="single" w:color="000000" w:sz="4" w:space="0"/>
              <w:bottom w:val="single" w:color="000000" w:sz="4" w:space="0"/>
              <w:right w:val="single" w:color="000000" w:sz="4" w:space="0"/>
            </w:tcBorders>
            <w:vAlign w:val="center"/>
          </w:tcPr>
          <w:p w14:paraId="1A207C5D">
            <w:pPr>
              <w:pStyle w:val="154"/>
              <w:rPr>
                <w:rFonts w:ascii="宋体" w:hAnsi="宋体" w:cs="宋体"/>
                <w:sz w:val="21"/>
                <w:szCs w:val="21"/>
                <w:highlight w:val="none"/>
              </w:rPr>
            </w:pPr>
            <w:r>
              <w:rPr>
                <w:rFonts w:hint="eastAsia" w:ascii="宋体" w:hAnsi="宋体" w:cs="宋体"/>
                <w:sz w:val="21"/>
                <w:szCs w:val="21"/>
                <w:highlight w:val="none"/>
              </w:rPr>
              <w:t>采用混合专家（MoE）架构的大模型，总参数量不少于300亿。</w:t>
            </w:r>
          </w:p>
        </w:tc>
        <w:tc>
          <w:tcPr>
            <w:tcW w:w="345" w:type="pct"/>
            <w:tcBorders>
              <w:top w:val="single" w:color="000000" w:sz="4" w:space="0"/>
              <w:left w:val="single" w:color="000000" w:sz="4" w:space="0"/>
              <w:bottom w:val="single" w:color="000000" w:sz="4" w:space="0"/>
              <w:right w:val="single" w:color="000000" w:sz="4" w:space="0"/>
            </w:tcBorders>
            <w:vAlign w:val="center"/>
          </w:tcPr>
          <w:p w14:paraId="188A53FD">
            <w:pPr>
              <w:pStyle w:val="154"/>
              <w:rPr>
                <w:rFonts w:ascii="宋体" w:hAnsi="宋体" w:cs="宋体"/>
                <w:sz w:val="21"/>
                <w:szCs w:val="21"/>
                <w:highlight w:val="none"/>
              </w:rPr>
            </w:pPr>
            <w:r>
              <w:rPr>
                <w:rFonts w:hint="eastAsia" w:ascii="宋体" w:hAnsi="宋体" w:cs="宋体"/>
                <w:sz w:val="21"/>
                <w:szCs w:val="21"/>
                <w:highlight w:val="none"/>
              </w:rPr>
              <w:t>1</w:t>
            </w:r>
          </w:p>
        </w:tc>
        <w:tc>
          <w:tcPr>
            <w:tcW w:w="305" w:type="pct"/>
            <w:gridSpan w:val="2"/>
            <w:tcBorders>
              <w:top w:val="single" w:color="000000" w:sz="4" w:space="0"/>
              <w:left w:val="single" w:color="000000" w:sz="4" w:space="0"/>
              <w:bottom w:val="single" w:color="000000" w:sz="4" w:space="0"/>
              <w:right w:val="single" w:color="000000" w:sz="4" w:space="0"/>
            </w:tcBorders>
            <w:vAlign w:val="center"/>
          </w:tcPr>
          <w:p w14:paraId="66FCEB63">
            <w:pPr>
              <w:pStyle w:val="154"/>
              <w:rPr>
                <w:rFonts w:ascii="宋体" w:hAnsi="宋体" w:cs="宋体"/>
                <w:sz w:val="21"/>
                <w:szCs w:val="21"/>
                <w:highlight w:val="none"/>
              </w:rPr>
            </w:pPr>
            <w:r>
              <w:rPr>
                <w:rFonts w:hint="eastAsia" w:ascii="宋体" w:hAnsi="宋体" w:cs="宋体"/>
                <w:sz w:val="21"/>
                <w:szCs w:val="21"/>
                <w:highlight w:val="none"/>
              </w:rPr>
              <w:t>套</w:t>
            </w:r>
          </w:p>
        </w:tc>
      </w:tr>
      <w:tr w14:paraId="4602A867">
        <w:tblPrEx>
          <w:tblCellMar>
            <w:top w:w="0" w:type="dxa"/>
            <w:left w:w="108" w:type="dxa"/>
            <w:bottom w:w="0" w:type="dxa"/>
            <w:right w:w="108" w:type="dxa"/>
          </w:tblCellMar>
        </w:tblPrEx>
        <w:trPr>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2C0207FE">
            <w:pPr>
              <w:pStyle w:val="154"/>
              <w:jc w:val="center"/>
              <w:rPr>
                <w:rFonts w:ascii="宋体" w:hAnsi="宋体" w:cs="宋体"/>
                <w:sz w:val="21"/>
                <w:szCs w:val="21"/>
                <w:highlight w:val="none"/>
              </w:rPr>
            </w:pPr>
            <w:r>
              <w:rPr>
                <w:rFonts w:hint="eastAsia" w:ascii="宋体" w:hAnsi="宋体" w:cs="宋体"/>
                <w:sz w:val="21"/>
                <w:szCs w:val="21"/>
                <w:highlight w:val="none"/>
              </w:rPr>
              <w:t>3</w:t>
            </w:r>
          </w:p>
        </w:tc>
        <w:tc>
          <w:tcPr>
            <w:tcW w:w="1389" w:type="pct"/>
            <w:tcBorders>
              <w:top w:val="single" w:color="000000" w:sz="4" w:space="0"/>
              <w:left w:val="single" w:color="000000" w:sz="4" w:space="0"/>
              <w:bottom w:val="single" w:color="000000" w:sz="4" w:space="0"/>
              <w:right w:val="single" w:color="000000" w:sz="4" w:space="0"/>
            </w:tcBorders>
            <w:vAlign w:val="center"/>
          </w:tcPr>
          <w:p w14:paraId="34E2F089">
            <w:pPr>
              <w:pStyle w:val="154"/>
              <w:rPr>
                <w:rFonts w:ascii="宋体" w:hAnsi="宋体" w:cs="宋体"/>
                <w:sz w:val="21"/>
                <w:szCs w:val="21"/>
                <w:highlight w:val="none"/>
              </w:rPr>
            </w:pPr>
            <w:r>
              <w:rPr>
                <w:rFonts w:hint="eastAsia" w:ascii="宋体" w:hAnsi="宋体" w:cs="宋体"/>
                <w:sz w:val="21"/>
                <w:szCs w:val="21"/>
                <w:highlight w:val="none"/>
              </w:rPr>
              <w:t>基础信息-国产化适配</w:t>
            </w:r>
          </w:p>
        </w:tc>
        <w:tc>
          <w:tcPr>
            <w:tcW w:w="2609" w:type="pct"/>
            <w:tcBorders>
              <w:top w:val="single" w:color="000000" w:sz="4" w:space="0"/>
              <w:left w:val="single" w:color="000000" w:sz="4" w:space="0"/>
              <w:bottom w:val="single" w:color="000000" w:sz="4" w:space="0"/>
              <w:right w:val="single" w:color="000000" w:sz="4" w:space="0"/>
            </w:tcBorders>
            <w:vAlign w:val="center"/>
          </w:tcPr>
          <w:p w14:paraId="2296D8DB">
            <w:pPr>
              <w:pStyle w:val="154"/>
              <w:rPr>
                <w:rFonts w:ascii="宋体" w:hAnsi="宋体" w:cs="宋体"/>
                <w:sz w:val="21"/>
                <w:szCs w:val="21"/>
                <w:highlight w:val="none"/>
              </w:rPr>
            </w:pPr>
            <w:r>
              <w:rPr>
                <w:rFonts w:hint="eastAsia" w:ascii="宋体" w:hAnsi="宋体" w:cs="宋体"/>
                <w:sz w:val="21"/>
                <w:szCs w:val="21"/>
                <w:highlight w:val="none"/>
              </w:rPr>
              <w:t>满足大模型的高适配性，大模型训练平台框架应适配国产化环境。</w:t>
            </w:r>
          </w:p>
        </w:tc>
        <w:tc>
          <w:tcPr>
            <w:tcW w:w="345" w:type="pct"/>
            <w:tcBorders>
              <w:top w:val="single" w:color="000000" w:sz="4" w:space="0"/>
              <w:left w:val="single" w:color="000000" w:sz="4" w:space="0"/>
              <w:bottom w:val="single" w:color="000000" w:sz="4" w:space="0"/>
              <w:right w:val="single" w:color="000000" w:sz="4" w:space="0"/>
            </w:tcBorders>
            <w:vAlign w:val="center"/>
          </w:tcPr>
          <w:p w14:paraId="6E5D0937">
            <w:pPr>
              <w:pStyle w:val="154"/>
              <w:rPr>
                <w:rFonts w:ascii="宋体" w:hAnsi="宋体" w:cs="宋体"/>
                <w:sz w:val="21"/>
                <w:szCs w:val="21"/>
                <w:highlight w:val="none"/>
              </w:rPr>
            </w:pPr>
            <w:r>
              <w:rPr>
                <w:rFonts w:hint="eastAsia" w:ascii="宋体" w:hAnsi="宋体" w:cs="宋体"/>
                <w:sz w:val="21"/>
                <w:szCs w:val="21"/>
                <w:highlight w:val="none"/>
              </w:rPr>
              <w:t>1</w:t>
            </w:r>
          </w:p>
        </w:tc>
        <w:tc>
          <w:tcPr>
            <w:tcW w:w="305" w:type="pct"/>
            <w:gridSpan w:val="2"/>
            <w:tcBorders>
              <w:top w:val="single" w:color="000000" w:sz="4" w:space="0"/>
              <w:left w:val="single" w:color="000000" w:sz="4" w:space="0"/>
              <w:bottom w:val="single" w:color="000000" w:sz="4" w:space="0"/>
              <w:right w:val="single" w:color="000000" w:sz="4" w:space="0"/>
            </w:tcBorders>
            <w:vAlign w:val="center"/>
          </w:tcPr>
          <w:p w14:paraId="616F67AC">
            <w:pPr>
              <w:pStyle w:val="154"/>
              <w:rPr>
                <w:rFonts w:ascii="宋体" w:hAnsi="宋体" w:cs="宋体"/>
                <w:sz w:val="21"/>
                <w:szCs w:val="21"/>
                <w:highlight w:val="none"/>
              </w:rPr>
            </w:pPr>
            <w:r>
              <w:rPr>
                <w:rFonts w:hint="eastAsia" w:ascii="宋体" w:hAnsi="宋体" w:cs="宋体"/>
                <w:sz w:val="21"/>
                <w:szCs w:val="21"/>
                <w:highlight w:val="none"/>
              </w:rPr>
              <w:t>套</w:t>
            </w:r>
          </w:p>
        </w:tc>
      </w:tr>
      <w:tr w14:paraId="405FBDF9">
        <w:tblPrEx>
          <w:tblCellMar>
            <w:top w:w="0" w:type="dxa"/>
            <w:left w:w="108" w:type="dxa"/>
            <w:bottom w:w="0" w:type="dxa"/>
            <w:right w:w="108" w:type="dxa"/>
          </w:tblCellMar>
        </w:tblPrEx>
        <w:trPr>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0B369188">
            <w:pPr>
              <w:pStyle w:val="154"/>
              <w:jc w:val="center"/>
              <w:rPr>
                <w:rFonts w:ascii="宋体" w:hAnsi="宋体" w:cs="宋体"/>
                <w:sz w:val="21"/>
                <w:szCs w:val="21"/>
                <w:highlight w:val="none"/>
              </w:rPr>
            </w:pPr>
            <w:r>
              <w:rPr>
                <w:rFonts w:hint="eastAsia" w:ascii="宋体" w:hAnsi="宋体" w:cs="宋体"/>
                <w:sz w:val="21"/>
                <w:szCs w:val="21"/>
                <w:highlight w:val="none"/>
              </w:rPr>
              <w:t>4</w:t>
            </w:r>
          </w:p>
        </w:tc>
        <w:tc>
          <w:tcPr>
            <w:tcW w:w="1389" w:type="pct"/>
            <w:tcBorders>
              <w:top w:val="single" w:color="000000" w:sz="4" w:space="0"/>
              <w:left w:val="single" w:color="000000" w:sz="4" w:space="0"/>
              <w:bottom w:val="single" w:color="000000" w:sz="4" w:space="0"/>
              <w:right w:val="single" w:color="000000" w:sz="4" w:space="0"/>
            </w:tcBorders>
            <w:vAlign w:val="center"/>
          </w:tcPr>
          <w:p w14:paraId="23E69AED">
            <w:pPr>
              <w:pStyle w:val="154"/>
              <w:rPr>
                <w:rFonts w:ascii="宋体" w:hAnsi="宋体" w:cs="宋体"/>
                <w:sz w:val="21"/>
                <w:szCs w:val="21"/>
                <w:highlight w:val="none"/>
              </w:rPr>
            </w:pPr>
            <w:r>
              <w:rPr>
                <w:rFonts w:hint="eastAsia" w:ascii="宋体" w:hAnsi="宋体" w:cs="宋体"/>
                <w:sz w:val="21"/>
                <w:szCs w:val="21"/>
                <w:highlight w:val="none"/>
              </w:rPr>
              <w:t>基础信息-国产化适配</w:t>
            </w:r>
          </w:p>
        </w:tc>
        <w:tc>
          <w:tcPr>
            <w:tcW w:w="2609" w:type="pct"/>
            <w:tcBorders>
              <w:top w:val="single" w:color="000000" w:sz="4" w:space="0"/>
              <w:left w:val="single" w:color="000000" w:sz="4" w:space="0"/>
              <w:bottom w:val="single" w:color="000000" w:sz="4" w:space="0"/>
              <w:right w:val="single" w:color="000000" w:sz="4" w:space="0"/>
            </w:tcBorders>
            <w:vAlign w:val="center"/>
          </w:tcPr>
          <w:p w14:paraId="2BCA4E9A">
            <w:pPr>
              <w:pStyle w:val="154"/>
              <w:rPr>
                <w:rFonts w:ascii="宋体" w:hAnsi="宋体" w:cs="宋体"/>
                <w:sz w:val="21"/>
                <w:szCs w:val="21"/>
                <w:highlight w:val="none"/>
              </w:rPr>
            </w:pPr>
            <w:r>
              <w:rPr>
                <w:rFonts w:hint="eastAsia" w:ascii="宋体" w:hAnsi="宋体" w:cs="宋体"/>
                <w:sz w:val="21"/>
                <w:szCs w:val="21"/>
                <w:highlight w:val="none"/>
              </w:rPr>
              <w:t>▲大模型平台完成与国产AI芯片的适配，</w:t>
            </w:r>
            <w:r>
              <w:rPr>
                <w:rFonts w:hint="eastAsia" w:ascii="宋体" w:hAnsi="宋体" w:cs="宋体"/>
                <w:b/>
                <w:bCs/>
                <w:sz w:val="21"/>
                <w:szCs w:val="21"/>
                <w:highlight w:val="none"/>
              </w:rPr>
              <w:t>提供芯片厂商出具的兼容性证明或互认证证书</w:t>
            </w:r>
            <w:r>
              <w:rPr>
                <w:rFonts w:hint="eastAsia" w:ascii="宋体" w:hAnsi="宋体" w:cs="宋体"/>
                <w:sz w:val="21"/>
                <w:szCs w:val="21"/>
                <w:highlight w:val="none"/>
              </w:rPr>
              <w:t>。</w:t>
            </w:r>
          </w:p>
        </w:tc>
        <w:tc>
          <w:tcPr>
            <w:tcW w:w="345" w:type="pct"/>
            <w:tcBorders>
              <w:top w:val="single" w:color="000000" w:sz="4" w:space="0"/>
              <w:left w:val="single" w:color="000000" w:sz="4" w:space="0"/>
              <w:bottom w:val="single" w:color="000000" w:sz="4" w:space="0"/>
              <w:right w:val="single" w:color="000000" w:sz="4" w:space="0"/>
            </w:tcBorders>
            <w:vAlign w:val="center"/>
          </w:tcPr>
          <w:p w14:paraId="2EA792F3">
            <w:pPr>
              <w:pStyle w:val="154"/>
              <w:rPr>
                <w:rFonts w:ascii="宋体" w:hAnsi="宋体" w:cs="宋体"/>
                <w:sz w:val="21"/>
                <w:szCs w:val="21"/>
                <w:highlight w:val="none"/>
              </w:rPr>
            </w:pPr>
            <w:r>
              <w:rPr>
                <w:rFonts w:hint="eastAsia" w:ascii="宋体" w:hAnsi="宋体" w:cs="宋体"/>
                <w:sz w:val="21"/>
                <w:szCs w:val="21"/>
                <w:highlight w:val="none"/>
              </w:rPr>
              <w:t>1</w:t>
            </w:r>
          </w:p>
        </w:tc>
        <w:tc>
          <w:tcPr>
            <w:tcW w:w="305" w:type="pct"/>
            <w:gridSpan w:val="2"/>
            <w:tcBorders>
              <w:top w:val="single" w:color="000000" w:sz="4" w:space="0"/>
              <w:left w:val="single" w:color="000000" w:sz="4" w:space="0"/>
              <w:bottom w:val="single" w:color="000000" w:sz="4" w:space="0"/>
              <w:right w:val="single" w:color="000000" w:sz="4" w:space="0"/>
            </w:tcBorders>
            <w:vAlign w:val="center"/>
          </w:tcPr>
          <w:p w14:paraId="70A91BFD">
            <w:pPr>
              <w:pStyle w:val="154"/>
              <w:rPr>
                <w:rFonts w:ascii="宋体" w:hAnsi="宋体" w:cs="宋体"/>
                <w:sz w:val="21"/>
                <w:szCs w:val="21"/>
                <w:highlight w:val="none"/>
              </w:rPr>
            </w:pPr>
            <w:r>
              <w:rPr>
                <w:rFonts w:hint="eastAsia" w:ascii="宋体" w:hAnsi="宋体" w:cs="宋体"/>
                <w:sz w:val="21"/>
                <w:szCs w:val="21"/>
                <w:highlight w:val="none"/>
              </w:rPr>
              <w:t>套</w:t>
            </w:r>
          </w:p>
        </w:tc>
      </w:tr>
      <w:tr w14:paraId="277C3A12">
        <w:tblPrEx>
          <w:tblCellMar>
            <w:top w:w="0" w:type="dxa"/>
            <w:left w:w="108" w:type="dxa"/>
            <w:bottom w:w="0" w:type="dxa"/>
            <w:right w:w="108" w:type="dxa"/>
          </w:tblCellMar>
        </w:tblPrEx>
        <w:trPr>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315EC308">
            <w:pPr>
              <w:pStyle w:val="154"/>
              <w:jc w:val="center"/>
              <w:rPr>
                <w:rFonts w:ascii="宋体" w:hAnsi="宋体" w:cs="宋体"/>
                <w:sz w:val="21"/>
                <w:szCs w:val="21"/>
                <w:highlight w:val="none"/>
              </w:rPr>
            </w:pPr>
            <w:r>
              <w:rPr>
                <w:rFonts w:hint="eastAsia" w:ascii="宋体" w:hAnsi="宋体" w:cs="宋体"/>
                <w:sz w:val="21"/>
                <w:szCs w:val="21"/>
                <w:highlight w:val="none"/>
              </w:rPr>
              <w:t>5</w:t>
            </w:r>
          </w:p>
        </w:tc>
        <w:tc>
          <w:tcPr>
            <w:tcW w:w="1389" w:type="pct"/>
            <w:tcBorders>
              <w:top w:val="single" w:color="000000" w:sz="4" w:space="0"/>
              <w:left w:val="single" w:color="000000" w:sz="4" w:space="0"/>
              <w:bottom w:val="single" w:color="000000" w:sz="4" w:space="0"/>
              <w:right w:val="single" w:color="000000" w:sz="4" w:space="0"/>
            </w:tcBorders>
            <w:vAlign w:val="center"/>
          </w:tcPr>
          <w:p w14:paraId="519323B8">
            <w:pPr>
              <w:pStyle w:val="154"/>
              <w:ind w:right="42" w:rightChars="20"/>
              <w:rPr>
                <w:rFonts w:ascii="宋体" w:hAnsi="宋体" w:cs="宋体"/>
                <w:sz w:val="21"/>
                <w:szCs w:val="21"/>
                <w:highlight w:val="none"/>
              </w:rPr>
            </w:pPr>
            <w:r>
              <w:rPr>
                <w:rFonts w:hint="eastAsia" w:ascii="宋体" w:hAnsi="宋体" w:cs="宋体"/>
                <w:sz w:val="21"/>
                <w:szCs w:val="21"/>
                <w:highlight w:val="none"/>
              </w:rPr>
              <w:t>基础信息-全链路自主可控</w:t>
            </w:r>
          </w:p>
        </w:tc>
        <w:tc>
          <w:tcPr>
            <w:tcW w:w="2609" w:type="pct"/>
            <w:tcBorders>
              <w:top w:val="single" w:color="000000" w:sz="4" w:space="0"/>
              <w:left w:val="single" w:color="000000" w:sz="4" w:space="0"/>
              <w:bottom w:val="single" w:color="000000" w:sz="4" w:space="0"/>
              <w:right w:val="single" w:color="000000" w:sz="4" w:space="0"/>
            </w:tcBorders>
            <w:vAlign w:val="center"/>
          </w:tcPr>
          <w:p w14:paraId="02B9D7F7">
            <w:pPr>
              <w:pStyle w:val="154"/>
              <w:rPr>
                <w:rFonts w:ascii="宋体" w:hAnsi="宋体" w:cs="宋体"/>
                <w:sz w:val="21"/>
                <w:szCs w:val="21"/>
                <w:highlight w:val="none"/>
              </w:rPr>
            </w:pPr>
            <w:r>
              <w:rPr>
                <w:rFonts w:hint="eastAsia" w:ascii="宋体" w:hAnsi="宋体" w:cs="宋体"/>
                <w:sz w:val="21"/>
                <w:szCs w:val="21"/>
                <w:highlight w:val="none"/>
              </w:rPr>
              <w:t>基础大模型的训练需依托国产算力完成。</w:t>
            </w:r>
          </w:p>
        </w:tc>
        <w:tc>
          <w:tcPr>
            <w:tcW w:w="345" w:type="pct"/>
            <w:tcBorders>
              <w:top w:val="single" w:color="000000" w:sz="4" w:space="0"/>
              <w:left w:val="single" w:color="000000" w:sz="4" w:space="0"/>
              <w:bottom w:val="single" w:color="000000" w:sz="4" w:space="0"/>
              <w:right w:val="single" w:color="000000" w:sz="4" w:space="0"/>
            </w:tcBorders>
            <w:vAlign w:val="center"/>
          </w:tcPr>
          <w:p w14:paraId="093F1D76">
            <w:pPr>
              <w:pStyle w:val="154"/>
              <w:rPr>
                <w:rFonts w:ascii="宋体" w:hAnsi="宋体" w:cs="宋体"/>
                <w:sz w:val="21"/>
                <w:szCs w:val="21"/>
                <w:highlight w:val="none"/>
              </w:rPr>
            </w:pPr>
            <w:r>
              <w:rPr>
                <w:rFonts w:hint="eastAsia" w:ascii="宋体" w:hAnsi="宋体" w:cs="宋体"/>
                <w:sz w:val="21"/>
                <w:szCs w:val="21"/>
                <w:highlight w:val="none"/>
              </w:rPr>
              <w:t>1</w:t>
            </w:r>
          </w:p>
        </w:tc>
        <w:tc>
          <w:tcPr>
            <w:tcW w:w="305" w:type="pct"/>
            <w:gridSpan w:val="2"/>
            <w:tcBorders>
              <w:top w:val="single" w:color="000000" w:sz="4" w:space="0"/>
              <w:left w:val="single" w:color="000000" w:sz="4" w:space="0"/>
              <w:bottom w:val="single" w:color="000000" w:sz="4" w:space="0"/>
              <w:right w:val="single" w:color="000000" w:sz="4" w:space="0"/>
            </w:tcBorders>
            <w:vAlign w:val="center"/>
          </w:tcPr>
          <w:p w14:paraId="1652019E">
            <w:pPr>
              <w:pStyle w:val="154"/>
              <w:rPr>
                <w:rFonts w:ascii="宋体" w:hAnsi="宋体" w:cs="宋体"/>
                <w:sz w:val="21"/>
                <w:szCs w:val="21"/>
                <w:highlight w:val="none"/>
              </w:rPr>
            </w:pPr>
            <w:r>
              <w:rPr>
                <w:rFonts w:hint="eastAsia" w:ascii="宋体" w:hAnsi="宋体" w:cs="宋体"/>
                <w:sz w:val="21"/>
                <w:szCs w:val="21"/>
                <w:highlight w:val="none"/>
              </w:rPr>
              <w:t>套</w:t>
            </w:r>
          </w:p>
        </w:tc>
      </w:tr>
      <w:tr w14:paraId="0CB6B26C">
        <w:tblPrEx>
          <w:tblCellMar>
            <w:top w:w="0" w:type="dxa"/>
            <w:left w:w="108" w:type="dxa"/>
            <w:bottom w:w="0" w:type="dxa"/>
            <w:right w:w="108" w:type="dxa"/>
          </w:tblCellMar>
        </w:tblPrEx>
        <w:trPr>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29BF2039">
            <w:pPr>
              <w:pStyle w:val="154"/>
              <w:jc w:val="center"/>
              <w:rPr>
                <w:rFonts w:ascii="宋体" w:hAnsi="宋体" w:cs="宋体"/>
                <w:sz w:val="21"/>
                <w:szCs w:val="21"/>
                <w:highlight w:val="none"/>
              </w:rPr>
            </w:pPr>
            <w:r>
              <w:rPr>
                <w:rFonts w:hint="eastAsia" w:ascii="宋体" w:hAnsi="宋体" w:cs="宋体"/>
                <w:sz w:val="21"/>
                <w:szCs w:val="21"/>
                <w:highlight w:val="none"/>
              </w:rPr>
              <w:t>6</w:t>
            </w:r>
          </w:p>
        </w:tc>
        <w:tc>
          <w:tcPr>
            <w:tcW w:w="1389" w:type="pct"/>
            <w:tcBorders>
              <w:top w:val="single" w:color="000000" w:sz="4" w:space="0"/>
              <w:left w:val="single" w:color="000000" w:sz="4" w:space="0"/>
              <w:bottom w:val="single" w:color="000000" w:sz="4" w:space="0"/>
              <w:right w:val="single" w:color="000000" w:sz="4" w:space="0"/>
            </w:tcBorders>
            <w:vAlign w:val="center"/>
          </w:tcPr>
          <w:p w14:paraId="39EE34A5">
            <w:pPr>
              <w:pStyle w:val="154"/>
              <w:rPr>
                <w:rFonts w:ascii="宋体" w:hAnsi="宋体" w:cs="宋体"/>
                <w:sz w:val="21"/>
                <w:szCs w:val="21"/>
                <w:highlight w:val="none"/>
              </w:rPr>
            </w:pPr>
            <w:r>
              <w:rPr>
                <w:rFonts w:hint="eastAsia" w:ascii="宋体" w:hAnsi="宋体" w:cs="宋体"/>
                <w:sz w:val="21"/>
                <w:szCs w:val="21"/>
                <w:highlight w:val="none"/>
              </w:rPr>
              <w:t>基础信息-自主研发要求</w:t>
            </w:r>
          </w:p>
        </w:tc>
        <w:tc>
          <w:tcPr>
            <w:tcW w:w="2609" w:type="pct"/>
            <w:tcBorders>
              <w:top w:val="single" w:color="000000" w:sz="4" w:space="0"/>
              <w:left w:val="single" w:color="000000" w:sz="4" w:space="0"/>
              <w:bottom w:val="single" w:color="000000" w:sz="4" w:space="0"/>
              <w:right w:val="single" w:color="000000" w:sz="4" w:space="0"/>
            </w:tcBorders>
            <w:vAlign w:val="center"/>
          </w:tcPr>
          <w:p w14:paraId="4845BCBD">
            <w:pPr>
              <w:pStyle w:val="154"/>
              <w:rPr>
                <w:rFonts w:ascii="宋体" w:hAnsi="宋体" w:cs="宋体"/>
                <w:sz w:val="21"/>
                <w:szCs w:val="21"/>
                <w:highlight w:val="none"/>
              </w:rPr>
            </w:pPr>
            <w:r>
              <w:rPr>
                <w:rFonts w:hint="eastAsia" w:ascii="宋体" w:hAnsi="宋体" w:cs="宋体"/>
                <w:sz w:val="21"/>
                <w:szCs w:val="21"/>
                <w:highlight w:val="none"/>
              </w:rPr>
              <w:t>▲</w:t>
            </w:r>
            <w:r>
              <w:rPr>
                <w:rFonts w:ascii="宋体" w:hAnsi="宋体" w:cs="宋体"/>
                <w:sz w:val="21"/>
                <w:szCs w:val="16"/>
                <w:highlight w:val="none"/>
              </w:rPr>
              <w:t>供应商所投部署的基础大模型须为</w:t>
            </w:r>
            <w:r>
              <w:rPr>
                <w:rStyle w:val="48"/>
                <w:rFonts w:ascii="宋体" w:hAnsi="宋体" w:cs="宋体"/>
                <w:sz w:val="21"/>
                <w:szCs w:val="16"/>
                <w:highlight w:val="none"/>
              </w:rPr>
              <w:t>产品原厂自主研发的国产大模型</w:t>
            </w:r>
            <w:r>
              <w:rPr>
                <w:rFonts w:ascii="宋体" w:hAnsi="宋体" w:cs="宋体"/>
                <w:sz w:val="21"/>
                <w:szCs w:val="16"/>
                <w:highlight w:val="none"/>
              </w:rPr>
              <w:t>，该大模型算法已完成国家网信办深度合成服务算法备案</w:t>
            </w:r>
            <w:r>
              <w:rPr>
                <w:rFonts w:hint="eastAsia" w:ascii="宋体" w:hAnsi="宋体" w:cs="宋体"/>
                <w:sz w:val="21"/>
                <w:szCs w:val="16"/>
                <w:highlight w:val="none"/>
              </w:rPr>
              <w:t>，</w:t>
            </w:r>
            <w:r>
              <w:rPr>
                <w:rFonts w:ascii="宋体" w:hAnsi="宋体" w:cs="宋体"/>
                <w:sz w:val="21"/>
                <w:szCs w:val="16"/>
                <w:highlight w:val="none"/>
              </w:rPr>
              <w:t>需提供</w:t>
            </w:r>
            <w:r>
              <w:rPr>
                <w:rStyle w:val="48"/>
                <w:rFonts w:ascii="宋体" w:hAnsi="宋体" w:cs="宋体"/>
                <w:sz w:val="21"/>
                <w:szCs w:val="16"/>
                <w:highlight w:val="none"/>
              </w:rPr>
              <w:t>备案证明材料</w:t>
            </w:r>
            <w:r>
              <w:rPr>
                <w:rStyle w:val="48"/>
                <w:rFonts w:hint="eastAsia" w:ascii="宋体" w:hAnsi="宋体" w:cs="宋体"/>
                <w:sz w:val="21"/>
                <w:szCs w:val="16"/>
                <w:highlight w:val="none"/>
              </w:rPr>
              <w:t>。</w:t>
            </w:r>
            <w:r>
              <w:rPr>
                <w:rStyle w:val="48"/>
                <w:rFonts w:ascii="宋体" w:hAnsi="宋体" w:cs="宋体"/>
                <w:sz w:val="21"/>
                <w:szCs w:val="16"/>
                <w:highlight w:val="none"/>
              </w:rPr>
              <w:t>若供应商为集成商，可提供大模型原厂备案材料，同时提供</w:t>
            </w:r>
            <w:r>
              <w:rPr>
                <w:rStyle w:val="48"/>
                <w:rFonts w:hint="eastAsia" w:ascii="宋体" w:hAnsi="宋体" w:cs="宋体"/>
                <w:sz w:val="21"/>
                <w:szCs w:val="16"/>
                <w:highlight w:val="none"/>
              </w:rPr>
              <w:t>合作协议或产品许可等相关合法使用证明材料，证明该大模型可合法用于本项目。</w:t>
            </w:r>
          </w:p>
        </w:tc>
        <w:tc>
          <w:tcPr>
            <w:tcW w:w="345" w:type="pct"/>
            <w:tcBorders>
              <w:top w:val="single" w:color="000000" w:sz="4" w:space="0"/>
              <w:left w:val="single" w:color="000000" w:sz="4" w:space="0"/>
              <w:bottom w:val="single" w:color="000000" w:sz="4" w:space="0"/>
              <w:right w:val="single" w:color="000000" w:sz="4" w:space="0"/>
            </w:tcBorders>
            <w:vAlign w:val="center"/>
          </w:tcPr>
          <w:p w14:paraId="0D4BE4DB">
            <w:pPr>
              <w:pStyle w:val="154"/>
              <w:rPr>
                <w:rFonts w:ascii="宋体" w:hAnsi="宋体" w:cs="宋体"/>
                <w:sz w:val="21"/>
                <w:szCs w:val="21"/>
                <w:highlight w:val="none"/>
              </w:rPr>
            </w:pPr>
            <w:r>
              <w:rPr>
                <w:rFonts w:hint="eastAsia" w:ascii="宋体" w:hAnsi="宋体" w:cs="宋体"/>
                <w:sz w:val="21"/>
                <w:szCs w:val="21"/>
                <w:highlight w:val="none"/>
              </w:rPr>
              <w:t>1</w:t>
            </w:r>
          </w:p>
        </w:tc>
        <w:tc>
          <w:tcPr>
            <w:tcW w:w="305" w:type="pct"/>
            <w:gridSpan w:val="2"/>
            <w:tcBorders>
              <w:top w:val="single" w:color="000000" w:sz="4" w:space="0"/>
              <w:left w:val="single" w:color="000000" w:sz="4" w:space="0"/>
              <w:bottom w:val="single" w:color="000000" w:sz="4" w:space="0"/>
              <w:right w:val="single" w:color="000000" w:sz="4" w:space="0"/>
            </w:tcBorders>
            <w:vAlign w:val="center"/>
          </w:tcPr>
          <w:p w14:paraId="47EC6BB9">
            <w:pPr>
              <w:pStyle w:val="154"/>
              <w:rPr>
                <w:rFonts w:ascii="宋体" w:hAnsi="宋体" w:cs="宋体"/>
                <w:sz w:val="21"/>
                <w:szCs w:val="21"/>
                <w:highlight w:val="none"/>
              </w:rPr>
            </w:pPr>
            <w:r>
              <w:rPr>
                <w:rFonts w:hint="eastAsia" w:ascii="宋体" w:hAnsi="宋体" w:cs="宋体"/>
                <w:sz w:val="21"/>
                <w:szCs w:val="21"/>
                <w:highlight w:val="none"/>
              </w:rPr>
              <w:t>套</w:t>
            </w:r>
          </w:p>
        </w:tc>
      </w:tr>
      <w:tr w14:paraId="72679F67">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4A1B23F4">
            <w:pPr>
              <w:rPr>
                <w:rFonts w:ascii="宋体" w:hAnsi="宋体" w:cs="宋体"/>
                <w:szCs w:val="21"/>
                <w:highlight w:val="none"/>
              </w:rPr>
            </w:pPr>
            <w:r>
              <w:rPr>
                <w:rFonts w:hint="eastAsia" w:ascii="宋体" w:hAnsi="宋体" w:cs="宋体"/>
                <w:b/>
                <w:szCs w:val="21"/>
                <w:highlight w:val="none"/>
              </w:rPr>
              <w:t>（二）大模型基本能力</w:t>
            </w:r>
          </w:p>
        </w:tc>
      </w:tr>
      <w:tr w14:paraId="2BEB80A6">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0E2FBB28">
            <w:pPr>
              <w:jc w:val="center"/>
              <w:rPr>
                <w:rFonts w:ascii="宋体" w:hAnsi="宋体" w:cs="宋体"/>
                <w:szCs w:val="21"/>
                <w:highlight w:val="none"/>
              </w:rPr>
            </w:pPr>
            <w:r>
              <w:rPr>
                <w:rFonts w:hint="eastAsia" w:ascii="宋体" w:hAnsi="宋体" w:cs="宋体"/>
                <w:szCs w:val="21"/>
                <w:highlight w:val="none"/>
              </w:rPr>
              <w:t>7</w:t>
            </w:r>
          </w:p>
        </w:tc>
        <w:tc>
          <w:tcPr>
            <w:tcW w:w="1389" w:type="pct"/>
            <w:tcBorders>
              <w:top w:val="single" w:color="000000" w:sz="4" w:space="0"/>
              <w:left w:val="single" w:color="000000" w:sz="4" w:space="0"/>
              <w:bottom w:val="single" w:color="000000" w:sz="4" w:space="0"/>
              <w:right w:val="single" w:color="000000" w:sz="4" w:space="0"/>
            </w:tcBorders>
            <w:vAlign w:val="center"/>
          </w:tcPr>
          <w:p w14:paraId="1C22037B">
            <w:pPr>
              <w:rPr>
                <w:rFonts w:ascii="宋体" w:hAnsi="宋体" w:cs="宋体"/>
                <w:szCs w:val="21"/>
                <w:highlight w:val="none"/>
              </w:rPr>
            </w:pPr>
            <w:r>
              <w:rPr>
                <w:rFonts w:hint="eastAsia" w:ascii="宋体" w:hAnsi="宋体" w:cs="宋体"/>
                <w:szCs w:val="21"/>
                <w:highlight w:val="none"/>
              </w:rPr>
              <w:t>大模型基本能力-生成能力</w:t>
            </w:r>
          </w:p>
        </w:tc>
        <w:tc>
          <w:tcPr>
            <w:tcW w:w="2609" w:type="pct"/>
            <w:tcBorders>
              <w:top w:val="single" w:color="000000" w:sz="4" w:space="0"/>
              <w:left w:val="single" w:color="000000" w:sz="4" w:space="0"/>
              <w:bottom w:val="single" w:color="000000" w:sz="4" w:space="0"/>
              <w:right w:val="single" w:color="000000" w:sz="4" w:space="0"/>
            </w:tcBorders>
            <w:vAlign w:val="center"/>
          </w:tcPr>
          <w:p w14:paraId="30D5C844">
            <w:pPr>
              <w:rPr>
                <w:rFonts w:ascii="宋体" w:hAnsi="宋体" w:cs="宋体"/>
                <w:szCs w:val="21"/>
                <w:highlight w:val="none"/>
              </w:rPr>
            </w:pPr>
            <w:r>
              <w:rPr>
                <w:rFonts w:hint="eastAsia" w:ascii="宋体" w:hAnsi="宋体" w:cs="宋体"/>
                <w:szCs w:val="21"/>
                <w:highlight w:val="none"/>
              </w:rPr>
              <w:t>支持面向教育教学场景的多风格、多任务长文本内容生成能力：模型须具备教学设计方案、教案、说课稿、课件大纲与脚本、课堂提问与互动设计、作业与试题命制、教学评价与评语、教学反思、教研报告、教育案例分析、班级管理文案、家校沟通文本等教师教育相关任务的内容生成能力，并具备调研问卷、发言稿、邮件、英文写作、公文写作、结构化文本、续写等通用写作任务的内容生成能力。</w:t>
            </w:r>
          </w:p>
        </w:tc>
        <w:tc>
          <w:tcPr>
            <w:tcW w:w="345" w:type="pct"/>
            <w:tcBorders>
              <w:top w:val="single" w:color="000000" w:sz="4" w:space="0"/>
              <w:left w:val="single" w:color="000000" w:sz="4" w:space="0"/>
              <w:bottom w:val="single" w:color="000000" w:sz="4" w:space="0"/>
              <w:right w:val="single" w:color="000000" w:sz="4" w:space="0"/>
            </w:tcBorders>
            <w:vAlign w:val="center"/>
          </w:tcPr>
          <w:p w14:paraId="57769AF7">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137625D1">
            <w:pPr>
              <w:jc w:val="center"/>
              <w:rPr>
                <w:rFonts w:ascii="宋体" w:hAnsi="宋体" w:cs="宋体"/>
                <w:szCs w:val="21"/>
                <w:highlight w:val="none"/>
              </w:rPr>
            </w:pPr>
            <w:r>
              <w:rPr>
                <w:rFonts w:hint="eastAsia" w:ascii="宋体" w:hAnsi="宋体" w:cs="宋体"/>
                <w:szCs w:val="21"/>
                <w:highlight w:val="none"/>
              </w:rPr>
              <w:t>套</w:t>
            </w:r>
          </w:p>
        </w:tc>
      </w:tr>
      <w:tr w14:paraId="05444ECA">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3E296AE6">
            <w:pPr>
              <w:jc w:val="center"/>
              <w:rPr>
                <w:rFonts w:ascii="宋体" w:hAnsi="宋体" w:cs="宋体"/>
                <w:szCs w:val="21"/>
                <w:highlight w:val="none"/>
              </w:rPr>
            </w:pPr>
            <w:r>
              <w:rPr>
                <w:rFonts w:hint="eastAsia" w:ascii="宋体" w:hAnsi="宋体" w:cs="宋体"/>
                <w:szCs w:val="21"/>
                <w:highlight w:val="none"/>
              </w:rPr>
              <w:t>8</w:t>
            </w:r>
          </w:p>
        </w:tc>
        <w:tc>
          <w:tcPr>
            <w:tcW w:w="1389" w:type="pct"/>
            <w:tcBorders>
              <w:top w:val="single" w:color="000000" w:sz="4" w:space="0"/>
              <w:left w:val="single" w:color="000000" w:sz="4" w:space="0"/>
              <w:bottom w:val="single" w:color="000000" w:sz="4" w:space="0"/>
              <w:right w:val="single" w:color="000000" w:sz="4" w:space="0"/>
            </w:tcBorders>
            <w:vAlign w:val="center"/>
          </w:tcPr>
          <w:p w14:paraId="068FF54D">
            <w:pPr>
              <w:rPr>
                <w:rFonts w:ascii="宋体" w:hAnsi="宋体" w:cs="宋体"/>
                <w:szCs w:val="21"/>
                <w:highlight w:val="none"/>
              </w:rPr>
            </w:pPr>
            <w:r>
              <w:rPr>
                <w:rFonts w:hint="eastAsia" w:ascii="宋体" w:hAnsi="宋体" w:cs="宋体"/>
                <w:szCs w:val="21"/>
                <w:highlight w:val="none"/>
              </w:rPr>
              <w:t>大模型基本能力-多语种语言理解能力</w:t>
            </w:r>
          </w:p>
        </w:tc>
        <w:tc>
          <w:tcPr>
            <w:tcW w:w="2609" w:type="pct"/>
            <w:tcBorders>
              <w:top w:val="single" w:color="000000" w:sz="4" w:space="0"/>
              <w:left w:val="single" w:color="000000" w:sz="4" w:space="0"/>
              <w:bottom w:val="single" w:color="000000" w:sz="4" w:space="0"/>
              <w:right w:val="single" w:color="000000" w:sz="4" w:space="0"/>
            </w:tcBorders>
            <w:vAlign w:val="center"/>
          </w:tcPr>
          <w:p w14:paraId="329EF857">
            <w:pPr>
              <w:rPr>
                <w:rFonts w:ascii="宋体" w:hAnsi="宋体" w:cs="宋体"/>
                <w:szCs w:val="21"/>
                <w:highlight w:val="none"/>
              </w:rPr>
            </w:pPr>
            <w:r>
              <w:rPr>
                <w:rFonts w:hint="eastAsia" w:ascii="宋体" w:hAnsi="宋体" w:cs="宋体"/>
                <w:szCs w:val="21"/>
                <w:highlight w:val="none"/>
              </w:rPr>
              <w:t>支持多层次跨语种语言理解能力：模型须具备文本摘要、语法检查、机器翻译、信息抽取、情感分析、阅读理解、态势分析、观点聚合、对话理解、画像分析、中英文理解、古诗词理解、歧义理解、扩写、要素抽取、语篇规整等任务的语言理解能力。</w:t>
            </w:r>
          </w:p>
        </w:tc>
        <w:tc>
          <w:tcPr>
            <w:tcW w:w="345" w:type="pct"/>
            <w:tcBorders>
              <w:top w:val="single" w:color="000000" w:sz="4" w:space="0"/>
              <w:left w:val="single" w:color="000000" w:sz="4" w:space="0"/>
              <w:bottom w:val="single" w:color="000000" w:sz="4" w:space="0"/>
              <w:right w:val="single" w:color="000000" w:sz="4" w:space="0"/>
            </w:tcBorders>
            <w:vAlign w:val="center"/>
          </w:tcPr>
          <w:p w14:paraId="35C5F67F">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20AB02CF">
            <w:pPr>
              <w:jc w:val="center"/>
              <w:rPr>
                <w:rFonts w:ascii="宋体" w:hAnsi="宋体" w:cs="宋体"/>
                <w:szCs w:val="21"/>
                <w:highlight w:val="none"/>
              </w:rPr>
            </w:pPr>
            <w:r>
              <w:rPr>
                <w:rFonts w:hint="eastAsia" w:ascii="宋体" w:hAnsi="宋体" w:cs="宋体"/>
                <w:szCs w:val="21"/>
                <w:highlight w:val="none"/>
              </w:rPr>
              <w:t>套</w:t>
            </w:r>
          </w:p>
        </w:tc>
      </w:tr>
      <w:tr w14:paraId="1DAD713C">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7386FD61">
            <w:pPr>
              <w:jc w:val="center"/>
              <w:rPr>
                <w:rFonts w:ascii="宋体" w:hAnsi="宋体" w:cs="宋体"/>
                <w:szCs w:val="21"/>
                <w:highlight w:val="none"/>
              </w:rPr>
            </w:pPr>
            <w:r>
              <w:rPr>
                <w:rFonts w:hint="eastAsia" w:ascii="宋体" w:hAnsi="宋体" w:cs="宋体"/>
                <w:szCs w:val="21"/>
                <w:highlight w:val="none"/>
              </w:rPr>
              <w:t>9</w:t>
            </w:r>
          </w:p>
        </w:tc>
        <w:tc>
          <w:tcPr>
            <w:tcW w:w="1389" w:type="pct"/>
            <w:tcBorders>
              <w:top w:val="single" w:color="000000" w:sz="4" w:space="0"/>
              <w:left w:val="single" w:color="000000" w:sz="4" w:space="0"/>
              <w:bottom w:val="single" w:color="000000" w:sz="4" w:space="0"/>
              <w:right w:val="single" w:color="000000" w:sz="4" w:space="0"/>
            </w:tcBorders>
            <w:vAlign w:val="center"/>
          </w:tcPr>
          <w:p w14:paraId="464C269E">
            <w:pPr>
              <w:rPr>
                <w:rFonts w:ascii="宋体" w:hAnsi="宋体" w:cs="宋体"/>
                <w:szCs w:val="21"/>
                <w:highlight w:val="none"/>
              </w:rPr>
            </w:pPr>
            <w:r>
              <w:rPr>
                <w:rFonts w:hint="eastAsia" w:ascii="宋体" w:hAnsi="宋体" w:cs="宋体"/>
                <w:szCs w:val="21"/>
                <w:highlight w:val="none"/>
              </w:rPr>
              <w:t>大模型基本能力-知识问答能力</w:t>
            </w:r>
          </w:p>
        </w:tc>
        <w:tc>
          <w:tcPr>
            <w:tcW w:w="2609" w:type="pct"/>
            <w:tcBorders>
              <w:top w:val="single" w:color="000000" w:sz="4" w:space="0"/>
              <w:left w:val="single" w:color="000000" w:sz="4" w:space="0"/>
              <w:bottom w:val="single" w:color="000000" w:sz="4" w:space="0"/>
              <w:right w:val="single" w:color="000000" w:sz="4" w:space="0"/>
            </w:tcBorders>
            <w:vAlign w:val="center"/>
          </w:tcPr>
          <w:p w14:paraId="74427373">
            <w:pPr>
              <w:rPr>
                <w:rFonts w:ascii="宋体" w:hAnsi="宋体" w:cs="宋体"/>
                <w:szCs w:val="21"/>
                <w:highlight w:val="none"/>
              </w:rPr>
            </w:pPr>
            <w:r>
              <w:rPr>
                <w:rFonts w:hint="eastAsia" w:ascii="宋体" w:hAnsi="宋体" w:cs="宋体"/>
                <w:szCs w:val="21"/>
                <w:highlight w:val="none"/>
              </w:rPr>
              <w:t>模型须具备基础教育学科、教育教学知识、课程标注、教学管理、协同育人等任务和知识的问答能力。基于RAG知识增强检索技术，应可根据知识库内数据对应学科的教学和训练等师范生技能训练提供所需专业知识的问答能力。</w:t>
            </w:r>
          </w:p>
        </w:tc>
        <w:tc>
          <w:tcPr>
            <w:tcW w:w="345" w:type="pct"/>
            <w:tcBorders>
              <w:top w:val="single" w:color="000000" w:sz="4" w:space="0"/>
              <w:left w:val="single" w:color="000000" w:sz="4" w:space="0"/>
              <w:bottom w:val="single" w:color="000000" w:sz="4" w:space="0"/>
              <w:right w:val="single" w:color="000000" w:sz="4" w:space="0"/>
            </w:tcBorders>
            <w:vAlign w:val="center"/>
          </w:tcPr>
          <w:p w14:paraId="1DAFBA9F">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679AC270">
            <w:pPr>
              <w:jc w:val="center"/>
              <w:rPr>
                <w:rFonts w:ascii="宋体" w:hAnsi="宋体" w:cs="宋体"/>
                <w:szCs w:val="21"/>
                <w:highlight w:val="none"/>
              </w:rPr>
            </w:pPr>
            <w:r>
              <w:rPr>
                <w:rFonts w:hint="eastAsia" w:ascii="宋体" w:hAnsi="宋体" w:cs="宋体"/>
                <w:szCs w:val="21"/>
                <w:highlight w:val="none"/>
              </w:rPr>
              <w:t>套</w:t>
            </w:r>
          </w:p>
        </w:tc>
      </w:tr>
      <w:tr w14:paraId="58274F24">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215DCB6">
            <w:pPr>
              <w:jc w:val="center"/>
              <w:rPr>
                <w:rFonts w:ascii="宋体" w:hAnsi="宋体" w:cs="宋体"/>
                <w:szCs w:val="21"/>
                <w:highlight w:val="none"/>
              </w:rPr>
            </w:pPr>
            <w:r>
              <w:rPr>
                <w:rFonts w:hint="eastAsia" w:ascii="宋体" w:hAnsi="宋体" w:cs="宋体"/>
                <w:szCs w:val="21"/>
                <w:highlight w:val="none"/>
              </w:rPr>
              <w:t>10</w:t>
            </w:r>
          </w:p>
        </w:tc>
        <w:tc>
          <w:tcPr>
            <w:tcW w:w="1389" w:type="pct"/>
            <w:tcBorders>
              <w:top w:val="single" w:color="000000" w:sz="4" w:space="0"/>
              <w:left w:val="single" w:color="000000" w:sz="4" w:space="0"/>
              <w:bottom w:val="single" w:color="000000" w:sz="4" w:space="0"/>
              <w:right w:val="single" w:color="000000" w:sz="4" w:space="0"/>
            </w:tcBorders>
            <w:vAlign w:val="center"/>
          </w:tcPr>
          <w:p w14:paraId="0737D899">
            <w:pPr>
              <w:rPr>
                <w:rFonts w:ascii="宋体" w:hAnsi="宋体" w:cs="宋体"/>
                <w:szCs w:val="21"/>
                <w:highlight w:val="none"/>
              </w:rPr>
            </w:pPr>
            <w:r>
              <w:rPr>
                <w:rFonts w:hint="eastAsia" w:ascii="宋体" w:hAnsi="宋体" w:cs="宋体"/>
                <w:szCs w:val="21"/>
                <w:highlight w:val="none"/>
              </w:rPr>
              <w:t>大模型基本能力-逻辑推理能力</w:t>
            </w:r>
          </w:p>
        </w:tc>
        <w:tc>
          <w:tcPr>
            <w:tcW w:w="2609" w:type="pct"/>
            <w:tcBorders>
              <w:top w:val="single" w:color="000000" w:sz="4" w:space="0"/>
              <w:left w:val="single" w:color="000000" w:sz="4" w:space="0"/>
              <w:bottom w:val="single" w:color="000000" w:sz="4" w:space="0"/>
              <w:right w:val="single" w:color="000000" w:sz="4" w:space="0"/>
            </w:tcBorders>
            <w:vAlign w:val="center"/>
          </w:tcPr>
          <w:p w14:paraId="142ADF5D">
            <w:pPr>
              <w:rPr>
                <w:rFonts w:ascii="宋体" w:hAnsi="宋体" w:cs="宋体"/>
                <w:szCs w:val="21"/>
                <w:highlight w:val="none"/>
              </w:rPr>
            </w:pPr>
            <w:r>
              <w:rPr>
                <w:rFonts w:hint="eastAsia" w:ascii="宋体" w:hAnsi="宋体" w:cs="宋体"/>
                <w:szCs w:val="21"/>
                <w:highlight w:val="none"/>
              </w:rPr>
              <w:t>模型须具备常识推理、科学推理、时空推理、推理联想能力。</w:t>
            </w:r>
          </w:p>
          <w:p w14:paraId="2A983DAC">
            <w:pPr>
              <w:rPr>
                <w:rFonts w:ascii="宋体" w:hAnsi="宋体" w:cs="宋体"/>
                <w:szCs w:val="21"/>
                <w:highlight w:val="none"/>
              </w:rPr>
            </w:pPr>
            <w:r>
              <w:rPr>
                <w:rFonts w:hint="eastAsia" w:ascii="宋体" w:hAnsi="宋体" w:cs="宋体"/>
                <w:szCs w:val="21"/>
                <w:highlight w:val="none"/>
              </w:rPr>
              <w:t>1）常识推理包括生活常识推理、社会常识推理、科学常识推理。</w:t>
            </w:r>
          </w:p>
          <w:p w14:paraId="1B73D62F">
            <w:pPr>
              <w:rPr>
                <w:rFonts w:ascii="宋体" w:hAnsi="宋体" w:cs="宋体"/>
                <w:szCs w:val="21"/>
                <w:highlight w:val="none"/>
              </w:rPr>
            </w:pPr>
            <w:r>
              <w:rPr>
                <w:rFonts w:hint="eastAsia" w:ascii="宋体" w:hAnsi="宋体" w:cs="宋体"/>
                <w:szCs w:val="21"/>
                <w:highlight w:val="none"/>
              </w:rPr>
              <w:t>2）科学推理包括物理知识推理、化学知识推理、生物知识推理、地理知识推理等。</w:t>
            </w:r>
          </w:p>
          <w:p w14:paraId="35FC6792">
            <w:pPr>
              <w:rPr>
                <w:rFonts w:ascii="宋体" w:hAnsi="宋体" w:cs="宋体"/>
                <w:szCs w:val="21"/>
                <w:highlight w:val="none"/>
              </w:rPr>
            </w:pPr>
            <w:r>
              <w:rPr>
                <w:rFonts w:hint="eastAsia" w:ascii="宋体" w:hAnsi="宋体" w:cs="宋体"/>
                <w:szCs w:val="21"/>
                <w:highlight w:val="none"/>
              </w:rPr>
              <w:t>3）时空推理包括空间推理、时间推理、时空交错推理。</w:t>
            </w:r>
          </w:p>
          <w:p w14:paraId="1D5E155C">
            <w:pPr>
              <w:rPr>
                <w:rFonts w:ascii="宋体" w:hAnsi="宋体" w:cs="宋体"/>
                <w:szCs w:val="21"/>
                <w:highlight w:val="none"/>
              </w:rPr>
            </w:pPr>
            <w:r>
              <w:rPr>
                <w:rFonts w:hint="eastAsia" w:ascii="宋体" w:hAnsi="宋体" w:cs="宋体"/>
                <w:szCs w:val="21"/>
                <w:highlight w:val="none"/>
              </w:rPr>
              <w:t>4）推理联想包括逻辑关系推理、自然语言推理、符号推理、图形推理、事实核查、演绎推理、归纳推理、类比推理、排除推理。</w:t>
            </w:r>
          </w:p>
        </w:tc>
        <w:tc>
          <w:tcPr>
            <w:tcW w:w="345" w:type="pct"/>
            <w:tcBorders>
              <w:top w:val="single" w:color="000000" w:sz="4" w:space="0"/>
              <w:left w:val="single" w:color="000000" w:sz="4" w:space="0"/>
              <w:bottom w:val="single" w:color="000000" w:sz="4" w:space="0"/>
              <w:right w:val="single" w:color="000000" w:sz="4" w:space="0"/>
            </w:tcBorders>
            <w:vAlign w:val="center"/>
          </w:tcPr>
          <w:p w14:paraId="5E407207">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744CA3A6">
            <w:pPr>
              <w:jc w:val="center"/>
              <w:rPr>
                <w:rFonts w:ascii="宋体" w:hAnsi="宋体" w:cs="宋体"/>
                <w:szCs w:val="21"/>
                <w:highlight w:val="none"/>
              </w:rPr>
            </w:pPr>
            <w:r>
              <w:rPr>
                <w:rFonts w:hint="eastAsia" w:ascii="宋体" w:hAnsi="宋体" w:cs="宋体"/>
                <w:szCs w:val="21"/>
                <w:highlight w:val="none"/>
              </w:rPr>
              <w:t>套</w:t>
            </w:r>
          </w:p>
        </w:tc>
      </w:tr>
      <w:tr w14:paraId="216AD09B">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C1B1E66">
            <w:pPr>
              <w:jc w:val="center"/>
              <w:rPr>
                <w:rFonts w:ascii="宋体" w:hAnsi="宋体" w:cs="宋体"/>
                <w:szCs w:val="21"/>
                <w:highlight w:val="none"/>
              </w:rPr>
            </w:pPr>
            <w:r>
              <w:rPr>
                <w:rFonts w:hint="eastAsia" w:ascii="宋体" w:hAnsi="宋体" w:cs="宋体"/>
                <w:szCs w:val="21"/>
                <w:highlight w:val="none"/>
              </w:rPr>
              <w:t>11</w:t>
            </w:r>
          </w:p>
        </w:tc>
        <w:tc>
          <w:tcPr>
            <w:tcW w:w="1389" w:type="pct"/>
            <w:tcBorders>
              <w:top w:val="single" w:color="000000" w:sz="4" w:space="0"/>
              <w:left w:val="single" w:color="000000" w:sz="4" w:space="0"/>
              <w:bottom w:val="single" w:color="000000" w:sz="4" w:space="0"/>
              <w:right w:val="single" w:color="000000" w:sz="4" w:space="0"/>
            </w:tcBorders>
            <w:vAlign w:val="center"/>
          </w:tcPr>
          <w:p w14:paraId="7611F9A8">
            <w:pPr>
              <w:rPr>
                <w:rFonts w:ascii="宋体" w:hAnsi="宋体" w:cs="宋体"/>
                <w:szCs w:val="21"/>
                <w:highlight w:val="none"/>
              </w:rPr>
            </w:pPr>
            <w:r>
              <w:rPr>
                <w:rFonts w:hint="eastAsia" w:ascii="宋体" w:hAnsi="宋体" w:cs="宋体"/>
                <w:szCs w:val="21"/>
                <w:highlight w:val="none"/>
              </w:rPr>
              <w:t>大模型基本能力-数学计算能力</w:t>
            </w:r>
          </w:p>
        </w:tc>
        <w:tc>
          <w:tcPr>
            <w:tcW w:w="2609" w:type="pct"/>
            <w:tcBorders>
              <w:top w:val="single" w:color="000000" w:sz="4" w:space="0"/>
              <w:left w:val="single" w:color="000000" w:sz="4" w:space="0"/>
              <w:bottom w:val="single" w:color="000000" w:sz="4" w:space="0"/>
              <w:right w:val="single" w:color="000000" w:sz="4" w:space="0"/>
            </w:tcBorders>
            <w:vAlign w:val="center"/>
          </w:tcPr>
          <w:p w14:paraId="13188EF8">
            <w:pPr>
              <w:rPr>
                <w:rFonts w:ascii="宋体" w:hAnsi="宋体" w:cs="宋体"/>
                <w:szCs w:val="21"/>
                <w:highlight w:val="none"/>
              </w:rPr>
            </w:pPr>
            <w:r>
              <w:rPr>
                <w:rFonts w:hint="eastAsia" w:ascii="宋体" w:hAnsi="宋体" w:cs="宋体"/>
                <w:szCs w:val="21"/>
                <w:highlight w:val="none"/>
              </w:rPr>
              <w:t>具备计算、代数、几何、解方程、情景应用数学领域任务的计算能力。</w:t>
            </w:r>
          </w:p>
          <w:p w14:paraId="532AE9C3">
            <w:pPr>
              <w:rPr>
                <w:rFonts w:ascii="宋体" w:hAnsi="宋体" w:cs="宋体"/>
                <w:szCs w:val="21"/>
                <w:highlight w:val="none"/>
              </w:rPr>
            </w:pPr>
            <w:r>
              <w:rPr>
                <w:rFonts w:hint="eastAsia" w:ascii="宋体" w:hAnsi="宋体" w:cs="宋体"/>
                <w:szCs w:val="21"/>
                <w:highlight w:val="none"/>
              </w:rPr>
              <w:t>1）计算任务包含四则运算、有理数计算、整式加减、实数计算、不等式计算、整式乘法、因式分解、二次根式计算、导数计算、函数求值、函数最值计算、一元一次不等式化简、一元二次不等式化简、概率计算、复数计算、向量运算、比例换算、单位换算。</w:t>
            </w:r>
          </w:p>
          <w:p w14:paraId="19D1C338">
            <w:pPr>
              <w:rPr>
                <w:rFonts w:ascii="宋体" w:hAnsi="宋体" w:cs="宋体"/>
                <w:szCs w:val="21"/>
                <w:highlight w:val="none"/>
              </w:rPr>
            </w:pPr>
            <w:r>
              <w:rPr>
                <w:rFonts w:hint="eastAsia" w:ascii="宋体" w:hAnsi="宋体" w:cs="宋体"/>
                <w:szCs w:val="21"/>
                <w:highlight w:val="none"/>
              </w:rPr>
              <w:t>2）代数任务包含小学代数、分式、一次函数、二次函数、反比例函数、三角函数、等差/比数列、极限、指数函数、对数函数、函数属性（定义域、周期、奇偶性）、线性代数、矩阵、高阶导数、偏导数。</w:t>
            </w:r>
          </w:p>
          <w:p w14:paraId="47C69898">
            <w:pPr>
              <w:rPr>
                <w:rFonts w:ascii="宋体" w:hAnsi="宋体" w:cs="宋体"/>
                <w:szCs w:val="21"/>
                <w:highlight w:val="none"/>
              </w:rPr>
            </w:pPr>
            <w:r>
              <w:rPr>
                <w:rFonts w:hint="eastAsia" w:ascii="宋体" w:hAnsi="宋体" w:cs="宋体"/>
                <w:szCs w:val="21"/>
                <w:highlight w:val="none"/>
              </w:rPr>
              <w:t>3）几何任务包含初中几何初步、相交线与平行线、平面直角坐标系、三角形、轴对称、勾股定理、平行四边形、梯形、矩形、菱形、正方形、旋转、圆、相似、全等、投影与视图、空间几何、解析几何、立体几何、空间解析几何、微分几何、黎曼几何。</w:t>
            </w:r>
          </w:p>
          <w:p w14:paraId="1F588887">
            <w:pPr>
              <w:rPr>
                <w:rFonts w:ascii="宋体" w:hAnsi="宋体" w:cs="宋体"/>
                <w:szCs w:val="21"/>
                <w:highlight w:val="none"/>
              </w:rPr>
            </w:pPr>
            <w:r>
              <w:rPr>
                <w:rFonts w:hint="eastAsia" w:ascii="宋体" w:hAnsi="宋体" w:cs="宋体"/>
                <w:szCs w:val="21"/>
                <w:highlight w:val="none"/>
              </w:rPr>
              <w:t>4）方程任务包含一元一次方程、一元二次方程、二元一次方程组、二元二次方程组、三角方程组、一元高次方程、一元多次方程、一元一次不等式、一元二次不等式、一阶微分方程、二阶微分方程、常微分方程、偏微分方程。</w:t>
            </w:r>
          </w:p>
          <w:p w14:paraId="5ED4FF35">
            <w:pPr>
              <w:rPr>
                <w:rFonts w:ascii="宋体" w:hAnsi="宋体" w:cs="宋体"/>
                <w:szCs w:val="21"/>
                <w:highlight w:val="none"/>
              </w:rPr>
            </w:pPr>
            <w:r>
              <w:rPr>
                <w:rFonts w:hint="eastAsia" w:ascii="宋体" w:hAnsi="宋体" w:cs="宋体"/>
                <w:szCs w:val="21"/>
                <w:highlight w:val="none"/>
              </w:rPr>
              <w:t>5）情景应用包含几何应用、代数应用、数理统计应用、概率应用、物理应用、工程应用、优化问题、规划应用。</w:t>
            </w:r>
          </w:p>
        </w:tc>
        <w:tc>
          <w:tcPr>
            <w:tcW w:w="345" w:type="pct"/>
            <w:tcBorders>
              <w:top w:val="single" w:color="000000" w:sz="4" w:space="0"/>
              <w:left w:val="single" w:color="000000" w:sz="4" w:space="0"/>
              <w:bottom w:val="single" w:color="000000" w:sz="4" w:space="0"/>
              <w:right w:val="single" w:color="000000" w:sz="4" w:space="0"/>
            </w:tcBorders>
            <w:vAlign w:val="center"/>
          </w:tcPr>
          <w:p w14:paraId="7B58A2B4">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6AA26329">
            <w:pPr>
              <w:jc w:val="center"/>
              <w:rPr>
                <w:rFonts w:ascii="宋体" w:hAnsi="宋体" w:cs="宋体"/>
                <w:szCs w:val="21"/>
                <w:highlight w:val="none"/>
              </w:rPr>
            </w:pPr>
            <w:r>
              <w:rPr>
                <w:rFonts w:hint="eastAsia" w:ascii="宋体" w:hAnsi="宋体" w:cs="宋体"/>
                <w:szCs w:val="21"/>
                <w:highlight w:val="none"/>
              </w:rPr>
              <w:t>套</w:t>
            </w:r>
          </w:p>
        </w:tc>
      </w:tr>
      <w:tr w14:paraId="51CAE269">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713DCE8">
            <w:pPr>
              <w:jc w:val="center"/>
              <w:rPr>
                <w:rFonts w:ascii="宋体" w:hAnsi="宋体" w:cs="宋体"/>
                <w:szCs w:val="21"/>
                <w:highlight w:val="none"/>
              </w:rPr>
            </w:pPr>
            <w:r>
              <w:rPr>
                <w:rFonts w:hint="eastAsia" w:ascii="宋体" w:hAnsi="宋体" w:cs="宋体"/>
                <w:szCs w:val="21"/>
                <w:highlight w:val="none"/>
              </w:rPr>
              <w:t>12</w:t>
            </w:r>
          </w:p>
        </w:tc>
        <w:tc>
          <w:tcPr>
            <w:tcW w:w="1389" w:type="pct"/>
            <w:tcBorders>
              <w:top w:val="single" w:color="000000" w:sz="4" w:space="0"/>
              <w:left w:val="single" w:color="000000" w:sz="4" w:space="0"/>
              <w:bottom w:val="single" w:color="000000" w:sz="4" w:space="0"/>
              <w:right w:val="single" w:color="000000" w:sz="4" w:space="0"/>
            </w:tcBorders>
            <w:vAlign w:val="center"/>
          </w:tcPr>
          <w:p w14:paraId="2192431B">
            <w:pPr>
              <w:rPr>
                <w:rFonts w:ascii="宋体" w:hAnsi="宋体" w:cs="宋体"/>
                <w:szCs w:val="21"/>
                <w:highlight w:val="none"/>
              </w:rPr>
            </w:pPr>
            <w:r>
              <w:rPr>
                <w:rFonts w:hint="eastAsia" w:ascii="宋体" w:hAnsi="宋体" w:cs="宋体"/>
                <w:szCs w:val="21"/>
                <w:highlight w:val="none"/>
              </w:rPr>
              <w:t>大模型基本能力-代码编程能力</w:t>
            </w:r>
          </w:p>
        </w:tc>
        <w:tc>
          <w:tcPr>
            <w:tcW w:w="2609" w:type="pct"/>
            <w:tcBorders>
              <w:top w:val="single" w:color="000000" w:sz="4" w:space="0"/>
              <w:left w:val="single" w:color="000000" w:sz="4" w:space="0"/>
              <w:bottom w:val="single" w:color="000000" w:sz="4" w:space="0"/>
              <w:right w:val="single" w:color="000000" w:sz="4" w:space="0"/>
            </w:tcBorders>
            <w:vAlign w:val="center"/>
          </w:tcPr>
          <w:p w14:paraId="44E828D7">
            <w:pPr>
              <w:rPr>
                <w:rFonts w:ascii="宋体" w:hAnsi="宋体" w:cs="宋体"/>
                <w:szCs w:val="21"/>
                <w:highlight w:val="none"/>
              </w:rPr>
            </w:pPr>
            <w:r>
              <w:rPr>
                <w:rFonts w:hint="eastAsia" w:ascii="宋体" w:hAnsi="宋体" w:cs="宋体"/>
                <w:szCs w:val="21"/>
                <w:highlight w:val="none"/>
              </w:rPr>
              <w:t>具备Python、Java、JS、C++等代码中实现代码理解、代码生成、代码修改、步骤编译、测试用例、程序文档、代码压缩、代码翻译等能力。</w:t>
            </w:r>
          </w:p>
        </w:tc>
        <w:tc>
          <w:tcPr>
            <w:tcW w:w="345" w:type="pct"/>
            <w:tcBorders>
              <w:top w:val="single" w:color="000000" w:sz="4" w:space="0"/>
              <w:left w:val="single" w:color="000000" w:sz="4" w:space="0"/>
              <w:bottom w:val="single" w:color="000000" w:sz="4" w:space="0"/>
              <w:right w:val="single" w:color="000000" w:sz="4" w:space="0"/>
            </w:tcBorders>
            <w:vAlign w:val="center"/>
          </w:tcPr>
          <w:p w14:paraId="16CF3318">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1A5DA688">
            <w:pPr>
              <w:jc w:val="center"/>
              <w:rPr>
                <w:rFonts w:ascii="宋体" w:hAnsi="宋体" w:cs="宋体"/>
                <w:szCs w:val="21"/>
                <w:highlight w:val="none"/>
              </w:rPr>
            </w:pPr>
            <w:r>
              <w:rPr>
                <w:rFonts w:hint="eastAsia" w:ascii="宋体" w:hAnsi="宋体" w:cs="宋体"/>
                <w:szCs w:val="21"/>
                <w:highlight w:val="none"/>
              </w:rPr>
              <w:t>套</w:t>
            </w:r>
          </w:p>
        </w:tc>
      </w:tr>
      <w:tr w14:paraId="50D16CC5">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2FD594FE">
            <w:pPr>
              <w:jc w:val="center"/>
              <w:rPr>
                <w:rFonts w:ascii="宋体" w:hAnsi="宋体" w:cs="宋体"/>
                <w:szCs w:val="21"/>
                <w:highlight w:val="none"/>
              </w:rPr>
            </w:pPr>
            <w:r>
              <w:rPr>
                <w:rFonts w:hint="eastAsia" w:ascii="宋体" w:hAnsi="宋体" w:cs="宋体"/>
                <w:szCs w:val="21"/>
                <w:highlight w:val="none"/>
              </w:rPr>
              <w:t>13</w:t>
            </w:r>
          </w:p>
        </w:tc>
        <w:tc>
          <w:tcPr>
            <w:tcW w:w="1389" w:type="pct"/>
            <w:tcBorders>
              <w:top w:val="single" w:color="000000" w:sz="4" w:space="0"/>
              <w:left w:val="single" w:color="000000" w:sz="4" w:space="0"/>
              <w:bottom w:val="single" w:color="000000" w:sz="4" w:space="0"/>
              <w:right w:val="single" w:color="000000" w:sz="4" w:space="0"/>
            </w:tcBorders>
            <w:vAlign w:val="center"/>
          </w:tcPr>
          <w:p w14:paraId="56E0D424">
            <w:pPr>
              <w:rPr>
                <w:rFonts w:ascii="宋体" w:hAnsi="宋体" w:cs="宋体"/>
                <w:szCs w:val="21"/>
                <w:highlight w:val="none"/>
              </w:rPr>
            </w:pPr>
            <w:r>
              <w:rPr>
                <w:rFonts w:hint="eastAsia" w:ascii="宋体" w:hAnsi="宋体" w:cs="宋体"/>
                <w:szCs w:val="21"/>
                <w:highlight w:val="none"/>
              </w:rPr>
              <w:t>大模型基本能力-开发能力</w:t>
            </w:r>
          </w:p>
        </w:tc>
        <w:tc>
          <w:tcPr>
            <w:tcW w:w="2609" w:type="pct"/>
            <w:tcBorders>
              <w:top w:val="single" w:color="000000" w:sz="4" w:space="0"/>
              <w:left w:val="single" w:color="000000" w:sz="4" w:space="0"/>
              <w:bottom w:val="single" w:color="000000" w:sz="4" w:space="0"/>
              <w:right w:val="single" w:color="000000" w:sz="4" w:space="0"/>
            </w:tcBorders>
            <w:vAlign w:val="center"/>
          </w:tcPr>
          <w:p w14:paraId="476CF0CE">
            <w:pPr>
              <w:rPr>
                <w:rFonts w:ascii="宋体" w:hAnsi="宋体" w:cs="宋体"/>
                <w:szCs w:val="21"/>
                <w:highlight w:val="none"/>
              </w:rPr>
            </w:pPr>
            <w:r>
              <w:rPr>
                <w:rFonts w:hint="eastAsia" w:ascii="宋体" w:hAnsi="宋体" w:cs="宋体"/>
                <w:szCs w:val="21"/>
                <w:highlight w:val="none"/>
              </w:rPr>
              <w:t>1.▲所投大模型应具备本地化部署环境下覆盖模型开发全生命周期的能力，具体表现为：功能范围至少包括</w:t>
            </w:r>
            <w:r>
              <w:rPr>
                <w:rFonts w:hint="eastAsia" w:ascii="宋体" w:hAnsi="宋体" w:cs="宋体"/>
                <w:b/>
                <w:bCs/>
                <w:szCs w:val="21"/>
                <w:highlight w:val="none"/>
              </w:rPr>
              <w:t>数据管理、模型训练、模型管理、模型部署和开发流程一体化</w:t>
            </w:r>
            <w:r>
              <w:rPr>
                <w:rFonts w:hint="eastAsia" w:ascii="宋体" w:hAnsi="宋体" w:cs="宋体"/>
                <w:szCs w:val="21"/>
                <w:highlight w:val="none"/>
              </w:rPr>
              <w:t>五个模块。</w:t>
            </w:r>
          </w:p>
          <w:p w14:paraId="48A78952">
            <w:pPr>
              <w:rPr>
                <w:rFonts w:ascii="宋体" w:hAnsi="宋体" w:cs="宋体"/>
                <w:b/>
                <w:bCs/>
                <w:szCs w:val="21"/>
                <w:highlight w:val="none"/>
              </w:rPr>
            </w:pPr>
            <w:r>
              <w:rPr>
                <w:rFonts w:hint="eastAsia" w:ascii="宋体" w:hAnsi="宋体" w:cs="宋体"/>
                <w:szCs w:val="21"/>
                <w:highlight w:val="none"/>
              </w:rPr>
              <w:t>注：</w:t>
            </w:r>
            <w:r>
              <w:rPr>
                <w:rFonts w:hint="eastAsia" w:ascii="宋体" w:hAnsi="宋体" w:cs="宋体"/>
                <w:b/>
                <w:bCs/>
                <w:szCs w:val="21"/>
                <w:highlight w:val="none"/>
              </w:rPr>
              <w:t>供应商须提供官方认可的第三方实验室或检验机构出具的有效期内的检验报告复印件并加盖供应商公章，检验范围应覆盖上述五个模块，模型开发模块综合评级不低于4级或综合得分不低于4.0分（5分制），否则不予认可。</w:t>
            </w:r>
          </w:p>
          <w:p w14:paraId="4E0F3D11">
            <w:pPr>
              <w:rPr>
                <w:rFonts w:ascii="宋体" w:hAnsi="宋体" w:cs="宋体"/>
                <w:szCs w:val="21"/>
                <w:highlight w:val="none"/>
              </w:rPr>
            </w:pPr>
          </w:p>
        </w:tc>
        <w:tc>
          <w:tcPr>
            <w:tcW w:w="345" w:type="pct"/>
            <w:tcBorders>
              <w:top w:val="single" w:color="000000" w:sz="4" w:space="0"/>
              <w:left w:val="single" w:color="000000" w:sz="4" w:space="0"/>
              <w:bottom w:val="single" w:color="000000" w:sz="4" w:space="0"/>
              <w:right w:val="single" w:color="000000" w:sz="4" w:space="0"/>
            </w:tcBorders>
            <w:vAlign w:val="center"/>
          </w:tcPr>
          <w:p w14:paraId="44FBFF13">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30F83DBA">
            <w:pPr>
              <w:jc w:val="center"/>
              <w:rPr>
                <w:rFonts w:ascii="宋体" w:hAnsi="宋体" w:cs="宋体"/>
                <w:szCs w:val="21"/>
                <w:highlight w:val="none"/>
              </w:rPr>
            </w:pPr>
            <w:r>
              <w:rPr>
                <w:rFonts w:hint="eastAsia" w:ascii="宋体" w:hAnsi="宋体" w:cs="宋体"/>
                <w:szCs w:val="21"/>
                <w:highlight w:val="none"/>
              </w:rPr>
              <w:t>套</w:t>
            </w:r>
          </w:p>
        </w:tc>
      </w:tr>
      <w:tr w14:paraId="1D936347">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4EE18DE">
            <w:pPr>
              <w:jc w:val="center"/>
              <w:rPr>
                <w:rFonts w:ascii="宋体" w:hAnsi="宋体" w:cs="宋体"/>
                <w:szCs w:val="21"/>
                <w:highlight w:val="none"/>
              </w:rPr>
            </w:pPr>
            <w:r>
              <w:rPr>
                <w:rFonts w:hint="eastAsia" w:ascii="宋体" w:hAnsi="宋体" w:cs="宋体"/>
                <w:szCs w:val="21"/>
                <w:highlight w:val="none"/>
              </w:rPr>
              <w:t>14</w:t>
            </w:r>
          </w:p>
        </w:tc>
        <w:tc>
          <w:tcPr>
            <w:tcW w:w="1389" w:type="pct"/>
            <w:tcBorders>
              <w:top w:val="single" w:color="000000" w:sz="4" w:space="0"/>
              <w:left w:val="single" w:color="000000" w:sz="4" w:space="0"/>
              <w:bottom w:val="single" w:color="000000" w:sz="4" w:space="0"/>
              <w:right w:val="single" w:color="000000" w:sz="4" w:space="0"/>
            </w:tcBorders>
            <w:vAlign w:val="center"/>
          </w:tcPr>
          <w:p w14:paraId="3818A77E">
            <w:pPr>
              <w:rPr>
                <w:rFonts w:ascii="宋体" w:hAnsi="宋体" w:cs="宋体"/>
                <w:szCs w:val="21"/>
                <w:highlight w:val="none"/>
              </w:rPr>
            </w:pPr>
            <w:r>
              <w:rPr>
                <w:rFonts w:hint="eastAsia" w:ascii="宋体" w:hAnsi="宋体" w:cs="宋体"/>
                <w:szCs w:val="21"/>
                <w:highlight w:val="none"/>
              </w:rPr>
              <w:t>大模型基本能力-综合能力</w:t>
            </w:r>
          </w:p>
        </w:tc>
        <w:tc>
          <w:tcPr>
            <w:tcW w:w="2609" w:type="pct"/>
            <w:tcBorders>
              <w:top w:val="single" w:color="000000" w:sz="4" w:space="0"/>
              <w:left w:val="single" w:color="000000" w:sz="4" w:space="0"/>
              <w:bottom w:val="single" w:color="000000" w:sz="4" w:space="0"/>
              <w:right w:val="single" w:color="000000" w:sz="4" w:space="0"/>
            </w:tcBorders>
            <w:vAlign w:val="center"/>
          </w:tcPr>
          <w:p w14:paraId="08418B4F">
            <w:pPr>
              <w:rPr>
                <w:rFonts w:ascii="宋体" w:hAnsi="宋体" w:cs="宋体"/>
                <w:szCs w:val="21"/>
                <w:highlight w:val="none"/>
              </w:rPr>
            </w:pPr>
            <w:r>
              <w:rPr>
                <w:rFonts w:hint="eastAsia" w:ascii="宋体" w:hAnsi="宋体" w:cs="宋体"/>
                <w:szCs w:val="21"/>
                <w:highlight w:val="none"/>
              </w:rPr>
              <w:t>1.▲所投大模型应具备多任务、多模态处理能力，能力范围至少覆盖</w:t>
            </w:r>
            <w:r>
              <w:rPr>
                <w:rFonts w:hint="eastAsia" w:ascii="宋体" w:hAnsi="宋体" w:cs="宋体"/>
                <w:b/>
                <w:bCs/>
                <w:szCs w:val="21"/>
                <w:highlight w:val="none"/>
              </w:rPr>
              <w:t>智能语义、智能视觉、智能语音及跨模态</w:t>
            </w:r>
            <w:r>
              <w:rPr>
                <w:rFonts w:hint="eastAsia" w:ascii="宋体" w:hAnsi="宋体" w:cs="宋体"/>
                <w:szCs w:val="21"/>
                <w:highlight w:val="none"/>
              </w:rPr>
              <w:t>四类能力域，支持文本理解与生成、对话交互、知识问答、图像识别与生成、语音识别与合成、图文生成等应用能力。</w:t>
            </w:r>
          </w:p>
          <w:p w14:paraId="10463F3D">
            <w:pPr>
              <w:rPr>
                <w:rFonts w:ascii="宋体" w:hAnsi="宋体" w:cs="宋体"/>
                <w:b/>
                <w:bCs/>
                <w:szCs w:val="21"/>
                <w:highlight w:val="none"/>
              </w:rPr>
            </w:pPr>
            <w:r>
              <w:rPr>
                <w:rFonts w:hint="eastAsia" w:ascii="宋体" w:hAnsi="宋体" w:cs="宋体"/>
                <w:b/>
                <w:bCs/>
                <w:szCs w:val="21"/>
                <w:highlight w:val="none"/>
              </w:rPr>
              <w:t>注：供应商须提供官方认可的第三方实验室或检验机构出具的有效期内的检验报告复印件并加盖供应商公章，检验范围应覆盖上述四类能力域，模型能力综合评级不低于4级或综合得分不低于4.0分（5分制），否则不予认可。</w:t>
            </w:r>
          </w:p>
          <w:p w14:paraId="1545BBD5">
            <w:pPr>
              <w:rPr>
                <w:rFonts w:ascii="宋体" w:hAnsi="宋体" w:cs="宋体"/>
                <w:szCs w:val="21"/>
                <w:highlight w:val="none"/>
              </w:rPr>
            </w:pPr>
          </w:p>
        </w:tc>
        <w:tc>
          <w:tcPr>
            <w:tcW w:w="345" w:type="pct"/>
            <w:tcBorders>
              <w:top w:val="single" w:color="000000" w:sz="4" w:space="0"/>
              <w:left w:val="single" w:color="000000" w:sz="4" w:space="0"/>
              <w:bottom w:val="single" w:color="000000" w:sz="4" w:space="0"/>
              <w:right w:val="single" w:color="000000" w:sz="4" w:space="0"/>
            </w:tcBorders>
            <w:vAlign w:val="center"/>
          </w:tcPr>
          <w:p w14:paraId="45BC6625">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2D0CD2CA">
            <w:pPr>
              <w:jc w:val="center"/>
              <w:rPr>
                <w:rFonts w:ascii="宋体" w:hAnsi="宋体" w:cs="宋体"/>
                <w:szCs w:val="21"/>
                <w:highlight w:val="none"/>
              </w:rPr>
            </w:pPr>
            <w:r>
              <w:rPr>
                <w:rFonts w:hint="eastAsia" w:ascii="宋体" w:hAnsi="宋体" w:cs="宋体"/>
                <w:szCs w:val="21"/>
                <w:highlight w:val="none"/>
              </w:rPr>
              <w:t>套</w:t>
            </w:r>
          </w:p>
        </w:tc>
      </w:tr>
      <w:tr w14:paraId="22321D9F">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28110273">
            <w:pPr>
              <w:numPr>
                <w:ilvl w:val="255"/>
                <w:numId w:val="0"/>
              </w:numPr>
              <w:rPr>
                <w:rFonts w:ascii="宋体" w:hAnsi="宋体" w:cs="宋体"/>
                <w:szCs w:val="21"/>
                <w:highlight w:val="none"/>
              </w:rPr>
            </w:pPr>
            <w:r>
              <w:rPr>
                <w:rFonts w:hint="eastAsia" w:ascii="宋体" w:hAnsi="宋体" w:cs="宋体"/>
                <w:b/>
                <w:szCs w:val="21"/>
                <w:highlight w:val="none"/>
              </w:rPr>
              <w:t>（三）大模型应用能力</w:t>
            </w:r>
          </w:p>
        </w:tc>
      </w:tr>
      <w:tr w14:paraId="310E4AD3">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1AC47CB0">
            <w:pPr>
              <w:jc w:val="center"/>
              <w:rPr>
                <w:rFonts w:ascii="宋体" w:hAnsi="宋体" w:cs="宋体"/>
                <w:szCs w:val="21"/>
                <w:highlight w:val="none"/>
              </w:rPr>
            </w:pPr>
            <w:r>
              <w:rPr>
                <w:rFonts w:hint="eastAsia" w:ascii="宋体" w:hAnsi="宋体" w:cs="宋体"/>
                <w:szCs w:val="21"/>
                <w:highlight w:val="none"/>
              </w:rPr>
              <w:t>15</w:t>
            </w:r>
          </w:p>
        </w:tc>
        <w:tc>
          <w:tcPr>
            <w:tcW w:w="1389" w:type="pct"/>
            <w:tcBorders>
              <w:top w:val="single" w:color="000000" w:sz="4" w:space="0"/>
              <w:left w:val="single" w:color="000000" w:sz="4" w:space="0"/>
              <w:bottom w:val="single" w:color="000000" w:sz="4" w:space="0"/>
              <w:right w:val="single" w:color="000000" w:sz="4" w:space="0"/>
            </w:tcBorders>
            <w:vAlign w:val="center"/>
          </w:tcPr>
          <w:p w14:paraId="05D409B5">
            <w:pPr>
              <w:rPr>
                <w:rFonts w:ascii="宋体" w:hAnsi="宋体" w:cs="宋体"/>
                <w:szCs w:val="21"/>
                <w:highlight w:val="none"/>
              </w:rPr>
            </w:pPr>
            <w:r>
              <w:rPr>
                <w:rFonts w:hint="eastAsia" w:ascii="宋体" w:hAnsi="宋体" w:cs="宋体"/>
                <w:szCs w:val="21"/>
                <w:highlight w:val="none"/>
              </w:rPr>
              <w:t>大模型应用能力-应用丰富度</w:t>
            </w:r>
          </w:p>
        </w:tc>
        <w:tc>
          <w:tcPr>
            <w:tcW w:w="2609" w:type="pct"/>
            <w:tcBorders>
              <w:top w:val="single" w:color="000000" w:sz="4" w:space="0"/>
              <w:left w:val="single" w:color="000000" w:sz="4" w:space="0"/>
              <w:bottom w:val="single" w:color="000000" w:sz="4" w:space="0"/>
              <w:right w:val="single" w:color="000000" w:sz="4" w:space="0"/>
            </w:tcBorders>
            <w:vAlign w:val="center"/>
          </w:tcPr>
          <w:p w14:paraId="1F382B83">
            <w:pPr>
              <w:rPr>
                <w:rFonts w:ascii="宋体" w:hAnsi="宋体" w:cs="宋体"/>
                <w:szCs w:val="21"/>
                <w:highlight w:val="none"/>
              </w:rPr>
            </w:pPr>
            <w:r>
              <w:rPr>
                <w:rFonts w:hint="eastAsia" w:ascii="宋体" w:hAnsi="宋体" w:cs="宋体"/>
                <w:szCs w:val="21"/>
                <w:highlight w:val="none"/>
              </w:rPr>
              <w:t>1.▲所投大模型应具备多模态、多任务、多行业、多场景应用能力，支持不少于3种模态，行业覆盖不少于5个行业，典型应用场景适配不少于10类且应包含教育场景。</w:t>
            </w:r>
          </w:p>
          <w:p w14:paraId="2E27098A">
            <w:pPr>
              <w:rPr>
                <w:rFonts w:ascii="宋体" w:hAnsi="宋体" w:cs="宋体"/>
                <w:b/>
                <w:bCs/>
                <w:szCs w:val="21"/>
                <w:highlight w:val="none"/>
              </w:rPr>
            </w:pPr>
            <w:r>
              <w:rPr>
                <w:rFonts w:hint="eastAsia" w:ascii="宋体" w:hAnsi="宋体" w:cs="宋体"/>
                <w:b/>
                <w:bCs/>
                <w:szCs w:val="21"/>
                <w:highlight w:val="none"/>
              </w:rPr>
              <w:t>注：供应商须提供官方认可的第三方实验室或检验机构出具的有效期内的检验报告复印件并加盖供应商公章，检验范围应覆盖模态支持度、任务支持度、行业覆盖度和场景适配度，相关能力项评分均不低于3分（5分制），模型应用模块综合评级不低于4级，否则不予认可。</w:t>
            </w:r>
          </w:p>
          <w:p w14:paraId="3B0D5B69">
            <w:pPr>
              <w:rPr>
                <w:rFonts w:ascii="宋体" w:hAnsi="宋体" w:cs="宋体"/>
                <w:szCs w:val="21"/>
                <w:highlight w:val="none"/>
              </w:rPr>
            </w:pPr>
          </w:p>
        </w:tc>
        <w:tc>
          <w:tcPr>
            <w:tcW w:w="345" w:type="pct"/>
            <w:tcBorders>
              <w:top w:val="single" w:color="000000" w:sz="4" w:space="0"/>
              <w:left w:val="single" w:color="000000" w:sz="4" w:space="0"/>
              <w:bottom w:val="single" w:color="000000" w:sz="4" w:space="0"/>
              <w:right w:val="single" w:color="000000" w:sz="4" w:space="0"/>
            </w:tcBorders>
            <w:vAlign w:val="center"/>
          </w:tcPr>
          <w:p w14:paraId="756149AD">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72049263">
            <w:pPr>
              <w:jc w:val="center"/>
              <w:rPr>
                <w:rFonts w:ascii="宋体" w:hAnsi="宋体" w:cs="宋体"/>
                <w:szCs w:val="21"/>
                <w:highlight w:val="none"/>
              </w:rPr>
            </w:pPr>
            <w:r>
              <w:rPr>
                <w:rFonts w:hint="eastAsia" w:ascii="宋体" w:hAnsi="宋体" w:cs="宋体"/>
                <w:szCs w:val="21"/>
                <w:highlight w:val="none"/>
              </w:rPr>
              <w:t>套</w:t>
            </w:r>
          </w:p>
        </w:tc>
      </w:tr>
      <w:tr w14:paraId="7CF42230">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2E47219C">
            <w:pPr>
              <w:jc w:val="center"/>
              <w:rPr>
                <w:rFonts w:ascii="宋体" w:hAnsi="宋体" w:cs="宋体"/>
                <w:szCs w:val="21"/>
                <w:highlight w:val="none"/>
              </w:rPr>
            </w:pPr>
            <w:r>
              <w:rPr>
                <w:rFonts w:hint="eastAsia" w:ascii="宋体" w:hAnsi="宋体" w:cs="宋体"/>
                <w:szCs w:val="21"/>
                <w:highlight w:val="none"/>
              </w:rPr>
              <w:t>16</w:t>
            </w:r>
          </w:p>
        </w:tc>
        <w:tc>
          <w:tcPr>
            <w:tcW w:w="1389" w:type="pct"/>
            <w:tcBorders>
              <w:top w:val="single" w:color="000000" w:sz="4" w:space="0"/>
              <w:left w:val="single" w:color="000000" w:sz="4" w:space="0"/>
              <w:bottom w:val="single" w:color="000000" w:sz="4" w:space="0"/>
              <w:right w:val="single" w:color="000000" w:sz="4" w:space="0"/>
            </w:tcBorders>
            <w:vAlign w:val="center"/>
          </w:tcPr>
          <w:p w14:paraId="084FC022">
            <w:pPr>
              <w:rPr>
                <w:rFonts w:ascii="宋体" w:hAnsi="宋体" w:cs="宋体"/>
                <w:szCs w:val="21"/>
                <w:highlight w:val="none"/>
              </w:rPr>
            </w:pPr>
            <w:r>
              <w:rPr>
                <w:rFonts w:hint="eastAsia" w:ascii="宋体" w:hAnsi="宋体" w:cs="宋体"/>
                <w:szCs w:val="21"/>
                <w:highlight w:val="none"/>
              </w:rPr>
              <w:t>大模型应用能力-应用灵活度</w:t>
            </w:r>
          </w:p>
        </w:tc>
        <w:tc>
          <w:tcPr>
            <w:tcW w:w="2609" w:type="pct"/>
            <w:tcBorders>
              <w:top w:val="single" w:color="000000" w:sz="4" w:space="0"/>
              <w:left w:val="single" w:color="000000" w:sz="4" w:space="0"/>
              <w:bottom w:val="single" w:color="000000" w:sz="4" w:space="0"/>
              <w:right w:val="single" w:color="000000" w:sz="4" w:space="0"/>
            </w:tcBorders>
            <w:vAlign w:val="center"/>
          </w:tcPr>
          <w:p w14:paraId="088607C4">
            <w:pPr>
              <w:rPr>
                <w:rFonts w:ascii="宋体" w:hAnsi="宋体" w:cs="宋体"/>
                <w:szCs w:val="21"/>
                <w:highlight w:val="none"/>
              </w:rPr>
            </w:pPr>
            <w:r>
              <w:rPr>
                <w:rFonts w:hint="eastAsia" w:ascii="宋体" w:hAnsi="宋体" w:cs="宋体"/>
                <w:szCs w:val="21"/>
                <w:highlight w:val="none"/>
              </w:rPr>
              <w:t>1.▲所投大模型应支持个性化服务和多样化管理能力，能够根据采购人需求提供相应的部署方式、计量方式和服务模式，并支持数据管理、模型管理、资源管理和用户管理能力。</w:t>
            </w:r>
          </w:p>
          <w:p w14:paraId="763737F9">
            <w:pPr>
              <w:rPr>
                <w:rFonts w:ascii="宋体" w:hAnsi="宋体" w:cs="宋体"/>
                <w:b/>
                <w:bCs/>
                <w:szCs w:val="21"/>
                <w:highlight w:val="none"/>
              </w:rPr>
            </w:pPr>
            <w:r>
              <w:rPr>
                <w:rFonts w:hint="eastAsia" w:ascii="宋体" w:hAnsi="宋体" w:cs="宋体"/>
                <w:b/>
                <w:bCs/>
                <w:szCs w:val="21"/>
                <w:highlight w:val="none"/>
              </w:rPr>
              <w:t>注：供应商须提供官方认可的第三方实验室或检验机构出具的有效期内的检验报告复印件并加盖供应商公章，报告应覆盖部署方式、计量方式、服务模式、数据管理、模型管理、资源管理和用户管理等能力项，上述能力项均应达到“全面支持”或评分不低于4分（5分制），模型应用模块综合评级不低于4级，否则不予认可。</w:t>
            </w:r>
          </w:p>
          <w:p w14:paraId="4A8576B7">
            <w:pPr>
              <w:rPr>
                <w:rFonts w:ascii="宋体" w:hAnsi="宋体" w:cs="宋体"/>
                <w:szCs w:val="21"/>
                <w:highlight w:val="none"/>
              </w:rPr>
            </w:pPr>
          </w:p>
        </w:tc>
        <w:tc>
          <w:tcPr>
            <w:tcW w:w="345" w:type="pct"/>
            <w:tcBorders>
              <w:top w:val="single" w:color="000000" w:sz="4" w:space="0"/>
              <w:left w:val="single" w:color="000000" w:sz="4" w:space="0"/>
              <w:bottom w:val="single" w:color="000000" w:sz="4" w:space="0"/>
              <w:right w:val="single" w:color="000000" w:sz="4" w:space="0"/>
            </w:tcBorders>
            <w:vAlign w:val="center"/>
          </w:tcPr>
          <w:p w14:paraId="0BAD6639">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39DC74F8">
            <w:pPr>
              <w:jc w:val="center"/>
              <w:rPr>
                <w:rFonts w:ascii="宋体" w:hAnsi="宋体" w:cs="宋体"/>
                <w:szCs w:val="21"/>
                <w:highlight w:val="none"/>
              </w:rPr>
            </w:pPr>
            <w:r>
              <w:rPr>
                <w:rFonts w:hint="eastAsia" w:ascii="宋体" w:hAnsi="宋体" w:cs="宋体"/>
                <w:szCs w:val="21"/>
                <w:highlight w:val="none"/>
              </w:rPr>
              <w:t>套</w:t>
            </w:r>
          </w:p>
        </w:tc>
      </w:tr>
      <w:tr w14:paraId="3EB16A02">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FC82028">
            <w:pPr>
              <w:jc w:val="center"/>
              <w:rPr>
                <w:rFonts w:ascii="宋体" w:hAnsi="宋体" w:cs="宋体"/>
                <w:szCs w:val="21"/>
                <w:highlight w:val="none"/>
              </w:rPr>
            </w:pPr>
            <w:r>
              <w:rPr>
                <w:rFonts w:hint="eastAsia" w:ascii="宋体" w:hAnsi="宋体" w:cs="宋体"/>
                <w:szCs w:val="21"/>
                <w:highlight w:val="none"/>
              </w:rPr>
              <w:t>17</w:t>
            </w:r>
          </w:p>
        </w:tc>
        <w:tc>
          <w:tcPr>
            <w:tcW w:w="1389" w:type="pct"/>
            <w:tcBorders>
              <w:top w:val="single" w:color="000000" w:sz="4" w:space="0"/>
              <w:left w:val="single" w:color="000000" w:sz="4" w:space="0"/>
              <w:bottom w:val="single" w:color="000000" w:sz="4" w:space="0"/>
              <w:right w:val="single" w:color="000000" w:sz="4" w:space="0"/>
            </w:tcBorders>
            <w:vAlign w:val="center"/>
          </w:tcPr>
          <w:p w14:paraId="4930350B">
            <w:pPr>
              <w:rPr>
                <w:rFonts w:ascii="宋体" w:hAnsi="宋体" w:cs="宋体"/>
                <w:szCs w:val="21"/>
                <w:highlight w:val="none"/>
              </w:rPr>
            </w:pPr>
            <w:r>
              <w:rPr>
                <w:rFonts w:hint="eastAsia" w:ascii="宋体" w:hAnsi="宋体" w:cs="宋体"/>
                <w:szCs w:val="21"/>
                <w:highlight w:val="none"/>
              </w:rPr>
              <w:t>大模型应用能力-应用成熟度</w:t>
            </w:r>
          </w:p>
        </w:tc>
        <w:tc>
          <w:tcPr>
            <w:tcW w:w="2609" w:type="pct"/>
            <w:tcBorders>
              <w:top w:val="single" w:color="000000" w:sz="4" w:space="0"/>
              <w:left w:val="single" w:color="000000" w:sz="4" w:space="0"/>
              <w:bottom w:val="single" w:color="000000" w:sz="4" w:space="0"/>
              <w:right w:val="single" w:color="000000" w:sz="4" w:space="0"/>
            </w:tcBorders>
            <w:vAlign w:val="center"/>
          </w:tcPr>
          <w:p w14:paraId="70EC3AB2">
            <w:pPr>
              <w:rPr>
                <w:rFonts w:ascii="宋体" w:hAnsi="宋体" w:cs="宋体"/>
                <w:szCs w:val="21"/>
                <w:highlight w:val="none"/>
              </w:rPr>
            </w:pPr>
            <w:r>
              <w:rPr>
                <w:rFonts w:hint="eastAsia" w:ascii="宋体" w:hAnsi="宋体" w:cs="宋体"/>
                <w:szCs w:val="21"/>
                <w:highlight w:val="none"/>
              </w:rPr>
              <w:t>1.▲所投大模型应具备一定的效果优越性、服务可靠性和服务配套性。</w:t>
            </w:r>
          </w:p>
          <w:p w14:paraId="38B43DBB">
            <w:pPr>
              <w:rPr>
                <w:rFonts w:ascii="宋体" w:hAnsi="宋体" w:cs="宋体"/>
                <w:b/>
                <w:bCs/>
                <w:szCs w:val="21"/>
                <w:highlight w:val="none"/>
              </w:rPr>
            </w:pPr>
            <w:r>
              <w:rPr>
                <w:rFonts w:hint="eastAsia" w:ascii="宋体" w:hAnsi="宋体" w:cs="宋体"/>
                <w:b/>
                <w:bCs/>
                <w:szCs w:val="21"/>
                <w:highlight w:val="none"/>
              </w:rPr>
              <w:t>注：供应商须提供官方认可的第三方实验室或检验机构出具的有效期内的检验报告复印件并加盖供应商公章，报告检验范围应覆盖效果优越性、服务可靠性和服务配套性，至少包含响应实时性、稳定性、可维护性、配套工具和技术支撑等能力项，相关能力项评分均不低于4分，模型应用模块综合评级不低于4级。否则不予认可。</w:t>
            </w:r>
          </w:p>
          <w:p w14:paraId="76785E80">
            <w:pPr>
              <w:rPr>
                <w:rFonts w:ascii="宋体" w:hAnsi="宋体" w:cs="宋体"/>
                <w:szCs w:val="21"/>
                <w:highlight w:val="none"/>
              </w:rPr>
            </w:pPr>
          </w:p>
        </w:tc>
        <w:tc>
          <w:tcPr>
            <w:tcW w:w="345" w:type="pct"/>
            <w:tcBorders>
              <w:top w:val="single" w:color="000000" w:sz="4" w:space="0"/>
              <w:left w:val="single" w:color="000000" w:sz="4" w:space="0"/>
              <w:bottom w:val="single" w:color="000000" w:sz="4" w:space="0"/>
              <w:right w:val="single" w:color="000000" w:sz="4" w:space="0"/>
            </w:tcBorders>
            <w:vAlign w:val="center"/>
          </w:tcPr>
          <w:p w14:paraId="61ACE3FA">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633BF0A3">
            <w:pPr>
              <w:jc w:val="center"/>
              <w:rPr>
                <w:rFonts w:ascii="宋体" w:hAnsi="宋体" w:cs="宋体"/>
                <w:szCs w:val="21"/>
                <w:highlight w:val="none"/>
              </w:rPr>
            </w:pPr>
            <w:r>
              <w:rPr>
                <w:rFonts w:hint="eastAsia" w:ascii="宋体" w:hAnsi="宋体" w:cs="宋体"/>
                <w:szCs w:val="21"/>
                <w:highlight w:val="none"/>
              </w:rPr>
              <w:t>套</w:t>
            </w:r>
          </w:p>
        </w:tc>
      </w:tr>
      <w:tr w14:paraId="5420B9CC">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34F39783">
            <w:pPr>
              <w:numPr>
                <w:ilvl w:val="255"/>
                <w:numId w:val="0"/>
              </w:numPr>
              <w:rPr>
                <w:rFonts w:ascii="宋体" w:hAnsi="宋体" w:cs="宋体"/>
                <w:szCs w:val="21"/>
                <w:highlight w:val="none"/>
              </w:rPr>
            </w:pPr>
            <w:r>
              <w:rPr>
                <w:rFonts w:hint="eastAsia" w:ascii="宋体" w:hAnsi="宋体" w:cs="宋体"/>
                <w:b/>
                <w:szCs w:val="21"/>
                <w:highlight w:val="none"/>
              </w:rPr>
              <w:t>（四）大模型平台能力</w:t>
            </w:r>
          </w:p>
        </w:tc>
      </w:tr>
      <w:tr w14:paraId="14A8B634">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7D349B9E">
            <w:pPr>
              <w:jc w:val="center"/>
              <w:rPr>
                <w:rFonts w:ascii="宋体" w:hAnsi="宋体" w:cs="宋体"/>
                <w:szCs w:val="21"/>
                <w:highlight w:val="none"/>
              </w:rPr>
            </w:pPr>
            <w:r>
              <w:rPr>
                <w:rFonts w:hint="eastAsia" w:ascii="宋体" w:hAnsi="宋体" w:cs="宋体"/>
                <w:szCs w:val="21"/>
                <w:highlight w:val="none"/>
              </w:rPr>
              <w:t>18</w:t>
            </w:r>
          </w:p>
        </w:tc>
        <w:tc>
          <w:tcPr>
            <w:tcW w:w="1389" w:type="pct"/>
            <w:tcBorders>
              <w:top w:val="single" w:color="000000" w:sz="4" w:space="0"/>
              <w:left w:val="single" w:color="000000" w:sz="4" w:space="0"/>
              <w:bottom w:val="single" w:color="000000" w:sz="4" w:space="0"/>
              <w:right w:val="single" w:color="000000" w:sz="4" w:space="0"/>
            </w:tcBorders>
            <w:vAlign w:val="center"/>
          </w:tcPr>
          <w:p w14:paraId="6642FBB3">
            <w:pPr>
              <w:rPr>
                <w:rFonts w:ascii="宋体" w:hAnsi="宋体" w:cs="宋体"/>
                <w:szCs w:val="21"/>
                <w:highlight w:val="none"/>
              </w:rPr>
            </w:pPr>
            <w:r>
              <w:rPr>
                <w:rFonts w:hint="eastAsia" w:ascii="宋体" w:hAnsi="宋体" w:cs="宋体"/>
                <w:szCs w:val="21"/>
                <w:highlight w:val="none"/>
              </w:rPr>
              <w:t>大模型平台能力-安全管理（模型安全）</w:t>
            </w:r>
          </w:p>
        </w:tc>
        <w:tc>
          <w:tcPr>
            <w:tcW w:w="2609" w:type="pct"/>
            <w:tcBorders>
              <w:top w:val="single" w:color="000000" w:sz="4" w:space="0"/>
              <w:left w:val="single" w:color="000000" w:sz="4" w:space="0"/>
              <w:bottom w:val="single" w:color="000000" w:sz="4" w:space="0"/>
              <w:right w:val="single" w:color="000000" w:sz="4" w:space="0"/>
            </w:tcBorders>
            <w:vAlign w:val="center"/>
          </w:tcPr>
          <w:p w14:paraId="145BF8F0">
            <w:pPr>
              <w:rPr>
                <w:rFonts w:ascii="宋体" w:hAnsi="宋体" w:cs="宋体"/>
                <w:szCs w:val="21"/>
                <w:highlight w:val="none"/>
              </w:rPr>
            </w:pPr>
            <w:r>
              <w:rPr>
                <w:rFonts w:hint="eastAsia" w:ascii="宋体" w:hAnsi="宋体" w:cs="宋体"/>
                <w:szCs w:val="21"/>
                <w:highlight w:val="none"/>
              </w:rPr>
              <w:t>1.▲所投大模型应具备模型访问控制、模型文件加密存储和传输、审计功能、环境隔离、模型服务输入和输出内容风险筛查等能力；具备模型防攻击能力，以及模型安全风险量化评估能力。</w:t>
            </w:r>
          </w:p>
          <w:p w14:paraId="6089AA27">
            <w:pPr>
              <w:rPr>
                <w:rFonts w:ascii="宋体" w:hAnsi="宋体" w:cs="宋体"/>
                <w:b/>
                <w:bCs/>
                <w:szCs w:val="21"/>
                <w:highlight w:val="none"/>
              </w:rPr>
            </w:pPr>
          </w:p>
          <w:p w14:paraId="37336B9C">
            <w:pPr>
              <w:rPr>
                <w:rFonts w:ascii="宋体" w:hAnsi="宋体" w:cs="宋体"/>
                <w:b/>
                <w:bCs/>
                <w:szCs w:val="21"/>
                <w:highlight w:val="none"/>
              </w:rPr>
            </w:pPr>
            <w:r>
              <w:rPr>
                <w:rFonts w:hint="eastAsia" w:ascii="宋体" w:hAnsi="宋体" w:cs="宋体"/>
                <w:b/>
                <w:bCs/>
                <w:szCs w:val="21"/>
                <w:highlight w:val="none"/>
              </w:rPr>
              <w:t>注：供应商须提供官方认可的第三方实验室或检验机构出具的有效期内的检验报告复印件并加盖供应商公章，报告检验范围应覆盖“安全管理（模型安全）”，其中基本功能通过项不少于5项、高级功能通过项不少于2项，否则不予认可。</w:t>
            </w:r>
          </w:p>
          <w:p w14:paraId="32BEF33F">
            <w:pPr>
              <w:rPr>
                <w:rFonts w:ascii="宋体" w:hAnsi="宋体" w:cs="宋体"/>
                <w:szCs w:val="21"/>
                <w:highlight w:val="none"/>
              </w:rPr>
            </w:pPr>
          </w:p>
        </w:tc>
        <w:tc>
          <w:tcPr>
            <w:tcW w:w="345" w:type="pct"/>
            <w:tcBorders>
              <w:top w:val="single" w:color="000000" w:sz="4" w:space="0"/>
              <w:left w:val="single" w:color="000000" w:sz="4" w:space="0"/>
              <w:bottom w:val="single" w:color="000000" w:sz="4" w:space="0"/>
              <w:right w:val="single" w:color="000000" w:sz="4" w:space="0"/>
            </w:tcBorders>
            <w:vAlign w:val="center"/>
          </w:tcPr>
          <w:p w14:paraId="62867CF8">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5C752210">
            <w:pPr>
              <w:jc w:val="center"/>
              <w:rPr>
                <w:rFonts w:ascii="宋体" w:hAnsi="宋体" w:cs="宋体"/>
                <w:szCs w:val="21"/>
                <w:highlight w:val="none"/>
              </w:rPr>
            </w:pPr>
            <w:r>
              <w:rPr>
                <w:rFonts w:hint="eastAsia" w:ascii="宋体" w:hAnsi="宋体" w:cs="宋体"/>
                <w:szCs w:val="21"/>
                <w:highlight w:val="none"/>
              </w:rPr>
              <w:t>套</w:t>
            </w:r>
          </w:p>
        </w:tc>
      </w:tr>
      <w:tr w14:paraId="0D5B65A2">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36E4E034">
            <w:pPr>
              <w:jc w:val="center"/>
              <w:rPr>
                <w:rFonts w:hint="eastAsia" w:ascii="宋体" w:hAnsi="宋体" w:cs="宋体"/>
                <w:szCs w:val="21"/>
                <w:highlight w:val="none"/>
              </w:rPr>
            </w:pPr>
            <w:r>
              <w:rPr>
                <w:rFonts w:hint="eastAsia" w:ascii="宋体" w:hAnsi="宋体" w:cs="宋体"/>
                <w:szCs w:val="21"/>
                <w:highlight w:val="none"/>
              </w:rPr>
              <w:t>19</w:t>
            </w:r>
          </w:p>
        </w:tc>
        <w:tc>
          <w:tcPr>
            <w:tcW w:w="1389" w:type="pct"/>
            <w:tcBorders>
              <w:top w:val="single" w:color="000000" w:sz="4" w:space="0"/>
              <w:left w:val="single" w:color="000000" w:sz="4" w:space="0"/>
              <w:bottom w:val="single" w:color="000000" w:sz="4" w:space="0"/>
              <w:right w:val="single" w:color="000000" w:sz="4" w:space="0"/>
            </w:tcBorders>
            <w:vAlign w:val="center"/>
          </w:tcPr>
          <w:p w14:paraId="265000A2">
            <w:pPr>
              <w:rPr>
                <w:rFonts w:ascii="宋体" w:hAnsi="宋体" w:cs="宋体"/>
                <w:szCs w:val="21"/>
                <w:highlight w:val="none"/>
              </w:rPr>
            </w:pPr>
            <w:r>
              <w:rPr>
                <w:rFonts w:hint="eastAsia" w:ascii="宋体" w:hAnsi="宋体" w:cs="宋体"/>
                <w:szCs w:val="21"/>
                <w:highlight w:val="none"/>
              </w:rPr>
              <w:t>大模型平台能力-安全管理（模型可解释性）</w:t>
            </w:r>
          </w:p>
        </w:tc>
        <w:tc>
          <w:tcPr>
            <w:tcW w:w="2609" w:type="pct"/>
            <w:tcBorders>
              <w:top w:val="single" w:color="000000" w:sz="4" w:space="0"/>
              <w:left w:val="single" w:color="000000" w:sz="4" w:space="0"/>
              <w:bottom w:val="single" w:color="000000" w:sz="4" w:space="0"/>
              <w:right w:val="single" w:color="000000" w:sz="4" w:space="0"/>
            </w:tcBorders>
            <w:vAlign w:val="center"/>
          </w:tcPr>
          <w:p w14:paraId="67629959">
            <w:pPr>
              <w:rPr>
                <w:rFonts w:ascii="宋体" w:hAnsi="宋体" w:cs="宋体"/>
                <w:b/>
                <w:bCs/>
                <w:szCs w:val="21"/>
                <w:highlight w:val="none"/>
              </w:rPr>
            </w:pPr>
            <w:r>
              <w:rPr>
                <w:rFonts w:hint="eastAsia" w:ascii="宋体" w:hAnsi="宋体" w:cs="宋体"/>
                <w:szCs w:val="21"/>
                <w:highlight w:val="none"/>
              </w:rPr>
              <w:t>▲所投大模型应支持特征重要性分析和排序、分析结果可视化；支持模型卡片功能，能够记录模型适用范围、使用限制等信息；同时具备神经元归因功能。</w:t>
            </w:r>
          </w:p>
          <w:p w14:paraId="7168D86B">
            <w:pPr>
              <w:rPr>
                <w:rFonts w:ascii="宋体" w:hAnsi="宋体" w:cs="宋体"/>
                <w:szCs w:val="21"/>
                <w:highlight w:val="none"/>
              </w:rPr>
            </w:pPr>
            <w:r>
              <w:rPr>
                <w:rFonts w:hint="eastAsia" w:ascii="宋体" w:hAnsi="宋体" w:cs="宋体"/>
                <w:b/>
                <w:bCs/>
                <w:szCs w:val="21"/>
                <w:highlight w:val="none"/>
              </w:rPr>
              <w:t>注：供应商须提供官方认可的第三方实验室或检验机构出具的有效期内的检验报告或系统功能截图或产品白皮书等证明材料并加盖供应商公章，报告检验范围应覆盖“安全管理（模型可解释性）”，其中基本功能通过项不少于2项、高级功能通过项不少于1项。否则不予认可。</w:t>
            </w:r>
          </w:p>
        </w:tc>
        <w:tc>
          <w:tcPr>
            <w:tcW w:w="345" w:type="pct"/>
            <w:tcBorders>
              <w:top w:val="single" w:color="000000" w:sz="4" w:space="0"/>
              <w:left w:val="single" w:color="000000" w:sz="4" w:space="0"/>
              <w:bottom w:val="single" w:color="000000" w:sz="4" w:space="0"/>
              <w:right w:val="single" w:color="000000" w:sz="4" w:space="0"/>
            </w:tcBorders>
            <w:vAlign w:val="center"/>
          </w:tcPr>
          <w:p w14:paraId="2C1961A9">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6407A880">
            <w:pPr>
              <w:jc w:val="center"/>
              <w:rPr>
                <w:rFonts w:ascii="宋体" w:hAnsi="宋体" w:cs="宋体"/>
                <w:szCs w:val="21"/>
                <w:highlight w:val="none"/>
              </w:rPr>
            </w:pPr>
            <w:r>
              <w:rPr>
                <w:rFonts w:hint="eastAsia" w:ascii="宋体" w:hAnsi="宋体" w:cs="宋体"/>
                <w:szCs w:val="21"/>
                <w:highlight w:val="none"/>
              </w:rPr>
              <w:t>套</w:t>
            </w:r>
          </w:p>
        </w:tc>
      </w:tr>
      <w:tr w14:paraId="54F43C4C">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578850E">
            <w:pPr>
              <w:jc w:val="center"/>
              <w:rPr>
                <w:rFonts w:ascii="宋体" w:hAnsi="宋体" w:cs="宋体"/>
                <w:szCs w:val="21"/>
                <w:highlight w:val="none"/>
              </w:rPr>
            </w:pPr>
            <w:r>
              <w:rPr>
                <w:rFonts w:hint="eastAsia" w:ascii="宋体" w:hAnsi="宋体" w:cs="宋体"/>
                <w:szCs w:val="21"/>
                <w:highlight w:val="none"/>
              </w:rPr>
              <w:t>20</w:t>
            </w:r>
          </w:p>
        </w:tc>
        <w:tc>
          <w:tcPr>
            <w:tcW w:w="1389" w:type="pct"/>
            <w:tcBorders>
              <w:top w:val="single" w:color="000000" w:sz="4" w:space="0"/>
              <w:left w:val="single" w:color="000000" w:sz="4" w:space="0"/>
              <w:bottom w:val="single" w:color="000000" w:sz="4" w:space="0"/>
              <w:right w:val="single" w:color="000000" w:sz="4" w:space="0"/>
            </w:tcBorders>
            <w:vAlign w:val="center"/>
          </w:tcPr>
          <w:p w14:paraId="54694D42">
            <w:pPr>
              <w:rPr>
                <w:rFonts w:ascii="宋体" w:hAnsi="宋体" w:cs="宋体"/>
                <w:szCs w:val="21"/>
                <w:highlight w:val="none"/>
              </w:rPr>
            </w:pPr>
            <w:r>
              <w:rPr>
                <w:rFonts w:hint="eastAsia" w:ascii="宋体" w:hAnsi="宋体" w:cs="宋体"/>
                <w:szCs w:val="21"/>
                <w:highlight w:val="none"/>
              </w:rPr>
              <w:t>大模型平台能力-安全管理（模型公平性）</w:t>
            </w:r>
          </w:p>
        </w:tc>
        <w:tc>
          <w:tcPr>
            <w:tcW w:w="2609" w:type="pct"/>
            <w:tcBorders>
              <w:top w:val="single" w:color="000000" w:sz="4" w:space="0"/>
              <w:left w:val="single" w:color="000000" w:sz="4" w:space="0"/>
              <w:bottom w:val="single" w:color="000000" w:sz="4" w:space="0"/>
              <w:right w:val="single" w:color="000000" w:sz="4" w:space="0"/>
            </w:tcBorders>
            <w:vAlign w:val="center"/>
          </w:tcPr>
          <w:p w14:paraId="1E1E37A9">
            <w:pPr>
              <w:rPr>
                <w:rFonts w:ascii="宋体" w:hAnsi="宋体" w:cs="宋体"/>
                <w:szCs w:val="21"/>
                <w:highlight w:val="none"/>
              </w:rPr>
            </w:pPr>
            <w:r>
              <w:rPr>
                <w:rFonts w:hint="eastAsia" w:ascii="宋体" w:hAnsi="宋体" w:cs="宋体"/>
                <w:szCs w:val="21"/>
                <w:highlight w:val="none"/>
              </w:rPr>
              <w:t>1.▲所投大模型应支持检验训练数据偏见性及检测模型偏见性；具备偏见缓解能力，支持对运行时的模型及数据进行持续监控。</w:t>
            </w:r>
          </w:p>
          <w:p w14:paraId="20F29CBD">
            <w:pPr>
              <w:rPr>
                <w:rFonts w:ascii="宋体" w:hAnsi="宋体" w:cs="宋体"/>
                <w:b/>
                <w:bCs/>
                <w:szCs w:val="21"/>
                <w:highlight w:val="none"/>
              </w:rPr>
            </w:pPr>
            <w:r>
              <w:rPr>
                <w:rFonts w:hint="eastAsia" w:ascii="宋体" w:hAnsi="宋体" w:cs="宋体"/>
                <w:b/>
                <w:bCs/>
                <w:szCs w:val="21"/>
                <w:highlight w:val="none"/>
              </w:rPr>
              <w:t>注：供应商须提供官方认可的第三方实验室或检验机构出具的有效期内的检验报告复印件并加盖供应商公章，报告检验范围应覆盖“安全管理（模型公平性）”，其中基本功能通过项不少于2项、高级功能通过项不少于2项，否则不予认可。</w:t>
            </w:r>
          </w:p>
          <w:p w14:paraId="072C50C6">
            <w:pPr>
              <w:rPr>
                <w:rFonts w:ascii="宋体" w:hAnsi="宋体" w:cs="宋体"/>
                <w:szCs w:val="21"/>
                <w:highlight w:val="none"/>
              </w:rPr>
            </w:pPr>
          </w:p>
        </w:tc>
        <w:tc>
          <w:tcPr>
            <w:tcW w:w="345" w:type="pct"/>
            <w:tcBorders>
              <w:top w:val="single" w:color="000000" w:sz="4" w:space="0"/>
              <w:left w:val="single" w:color="000000" w:sz="4" w:space="0"/>
              <w:bottom w:val="single" w:color="000000" w:sz="4" w:space="0"/>
              <w:right w:val="single" w:color="000000" w:sz="4" w:space="0"/>
            </w:tcBorders>
            <w:vAlign w:val="center"/>
          </w:tcPr>
          <w:p w14:paraId="59D9F688">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404898BB">
            <w:pPr>
              <w:jc w:val="center"/>
              <w:rPr>
                <w:rFonts w:ascii="宋体" w:hAnsi="宋体" w:cs="宋体"/>
                <w:szCs w:val="21"/>
                <w:highlight w:val="none"/>
              </w:rPr>
            </w:pPr>
            <w:r>
              <w:rPr>
                <w:rFonts w:hint="eastAsia" w:ascii="宋体" w:hAnsi="宋体" w:cs="宋体"/>
                <w:szCs w:val="21"/>
                <w:highlight w:val="none"/>
              </w:rPr>
              <w:t>套</w:t>
            </w:r>
          </w:p>
        </w:tc>
      </w:tr>
      <w:tr w14:paraId="66FFC258">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726148D3">
            <w:pPr>
              <w:numPr>
                <w:ilvl w:val="255"/>
                <w:numId w:val="0"/>
              </w:numPr>
              <w:rPr>
                <w:rFonts w:ascii="宋体" w:hAnsi="宋体" w:cs="宋体"/>
                <w:szCs w:val="21"/>
                <w:highlight w:val="none"/>
              </w:rPr>
            </w:pPr>
            <w:r>
              <w:rPr>
                <w:rFonts w:hint="eastAsia" w:ascii="宋体" w:hAnsi="宋体" w:cs="宋体"/>
                <w:b/>
                <w:szCs w:val="21"/>
                <w:highlight w:val="none"/>
              </w:rPr>
              <w:t>三、TPCK教师教育知识库（1套）</w:t>
            </w:r>
          </w:p>
        </w:tc>
      </w:tr>
      <w:tr w14:paraId="597A37A4">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497AAF4A">
            <w:pPr>
              <w:numPr>
                <w:ilvl w:val="255"/>
                <w:numId w:val="0"/>
              </w:numPr>
              <w:rPr>
                <w:rFonts w:ascii="宋体" w:hAnsi="宋体" w:cs="宋体"/>
                <w:szCs w:val="21"/>
                <w:highlight w:val="none"/>
              </w:rPr>
            </w:pPr>
            <w:r>
              <w:rPr>
                <w:rFonts w:hint="eastAsia" w:ascii="宋体" w:hAnsi="宋体" w:cs="宋体"/>
                <w:b/>
                <w:szCs w:val="21"/>
                <w:highlight w:val="none"/>
              </w:rPr>
              <w:t>（一）知识库体系总体要求</w:t>
            </w:r>
          </w:p>
        </w:tc>
      </w:tr>
      <w:tr w14:paraId="667F8C54">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C527911">
            <w:pPr>
              <w:jc w:val="center"/>
              <w:rPr>
                <w:rFonts w:ascii="宋体" w:hAnsi="宋体" w:cs="宋体"/>
                <w:szCs w:val="21"/>
                <w:highlight w:val="none"/>
              </w:rPr>
            </w:pPr>
            <w:r>
              <w:rPr>
                <w:rFonts w:hint="eastAsia" w:ascii="宋体" w:hAnsi="宋体" w:cs="宋体"/>
                <w:szCs w:val="21"/>
                <w:highlight w:val="none"/>
              </w:rPr>
              <w:t>21</w:t>
            </w:r>
          </w:p>
        </w:tc>
        <w:tc>
          <w:tcPr>
            <w:tcW w:w="1389" w:type="pct"/>
            <w:tcBorders>
              <w:top w:val="single" w:color="000000" w:sz="4" w:space="0"/>
              <w:left w:val="single" w:color="000000" w:sz="4" w:space="0"/>
              <w:bottom w:val="single" w:color="000000" w:sz="4" w:space="0"/>
              <w:right w:val="single" w:color="000000" w:sz="4" w:space="0"/>
            </w:tcBorders>
            <w:vAlign w:val="center"/>
          </w:tcPr>
          <w:p w14:paraId="34260BC3">
            <w:pPr>
              <w:rPr>
                <w:rFonts w:ascii="宋体" w:hAnsi="宋体" w:cs="宋体"/>
                <w:szCs w:val="21"/>
                <w:highlight w:val="none"/>
              </w:rPr>
            </w:pPr>
            <w:r>
              <w:rPr>
                <w:rFonts w:hint="eastAsia" w:ascii="宋体" w:hAnsi="宋体" w:cs="宋体"/>
                <w:szCs w:val="21"/>
                <w:highlight w:val="none"/>
              </w:rPr>
              <w:t>知识库体系总体要求</w:t>
            </w:r>
          </w:p>
        </w:tc>
        <w:tc>
          <w:tcPr>
            <w:tcW w:w="2609" w:type="pct"/>
            <w:tcBorders>
              <w:top w:val="single" w:color="000000" w:sz="4" w:space="0"/>
              <w:left w:val="single" w:color="000000" w:sz="4" w:space="0"/>
              <w:bottom w:val="single" w:color="000000" w:sz="4" w:space="0"/>
              <w:right w:val="single" w:color="000000" w:sz="4" w:space="0"/>
            </w:tcBorders>
            <w:vAlign w:val="center"/>
          </w:tcPr>
          <w:p w14:paraId="04CB7CBD">
            <w:pPr>
              <w:rPr>
                <w:rFonts w:ascii="宋体" w:hAnsi="宋体" w:cs="宋体"/>
                <w:szCs w:val="21"/>
                <w:highlight w:val="none"/>
              </w:rPr>
            </w:pPr>
            <w:r>
              <w:rPr>
                <w:rFonts w:hint="eastAsia" w:ascii="宋体" w:hAnsi="宋体" w:cs="宋体"/>
                <w:szCs w:val="21"/>
                <w:highlight w:val="none"/>
              </w:rPr>
              <w:t>知识库平台应面向师范生教学能力培养，按TPCK框架分库建设，至少包括学科知识库、教学法知识库、技术知识库三个专业知识分库，支持按学科/学段组织教师教育知识资源，支持知识检索与RAG问答服务。</w:t>
            </w:r>
          </w:p>
        </w:tc>
        <w:tc>
          <w:tcPr>
            <w:tcW w:w="345" w:type="pct"/>
            <w:tcBorders>
              <w:top w:val="single" w:color="000000" w:sz="4" w:space="0"/>
              <w:left w:val="single" w:color="000000" w:sz="4" w:space="0"/>
              <w:bottom w:val="single" w:color="000000" w:sz="4" w:space="0"/>
              <w:right w:val="single" w:color="000000" w:sz="4" w:space="0"/>
            </w:tcBorders>
            <w:vAlign w:val="center"/>
          </w:tcPr>
          <w:p w14:paraId="76F2A40E">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2442DCA1">
            <w:pPr>
              <w:jc w:val="center"/>
              <w:rPr>
                <w:rFonts w:ascii="宋体" w:hAnsi="宋体" w:cs="宋体"/>
                <w:szCs w:val="21"/>
                <w:highlight w:val="none"/>
              </w:rPr>
            </w:pPr>
            <w:r>
              <w:rPr>
                <w:rFonts w:hint="eastAsia" w:ascii="宋体" w:hAnsi="宋体" w:cs="宋体"/>
                <w:szCs w:val="21"/>
                <w:highlight w:val="none"/>
              </w:rPr>
              <w:t>套</w:t>
            </w:r>
          </w:p>
        </w:tc>
      </w:tr>
      <w:tr w14:paraId="4E799B45">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254430D3">
            <w:pPr>
              <w:numPr>
                <w:ilvl w:val="255"/>
                <w:numId w:val="0"/>
              </w:numPr>
              <w:rPr>
                <w:rFonts w:ascii="宋体" w:hAnsi="宋体" w:cs="宋体"/>
                <w:szCs w:val="21"/>
                <w:highlight w:val="none"/>
              </w:rPr>
            </w:pPr>
            <w:r>
              <w:rPr>
                <w:rFonts w:hint="eastAsia" w:ascii="宋体" w:hAnsi="宋体" w:cs="宋体"/>
                <w:b/>
                <w:szCs w:val="21"/>
                <w:highlight w:val="none"/>
              </w:rPr>
              <w:t>（二）专业知识库管理平台</w:t>
            </w:r>
          </w:p>
        </w:tc>
      </w:tr>
      <w:tr w14:paraId="760D983F">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29D976F">
            <w:pPr>
              <w:jc w:val="center"/>
              <w:rPr>
                <w:rFonts w:ascii="宋体" w:hAnsi="宋体" w:cs="宋体"/>
                <w:szCs w:val="21"/>
                <w:highlight w:val="none"/>
              </w:rPr>
            </w:pPr>
            <w:r>
              <w:rPr>
                <w:rFonts w:hint="eastAsia" w:ascii="宋体" w:hAnsi="宋体" w:cs="宋体"/>
                <w:szCs w:val="21"/>
                <w:highlight w:val="none"/>
              </w:rPr>
              <w:t>22</w:t>
            </w:r>
          </w:p>
        </w:tc>
        <w:tc>
          <w:tcPr>
            <w:tcW w:w="1389" w:type="pct"/>
            <w:tcBorders>
              <w:top w:val="single" w:color="000000" w:sz="4" w:space="0"/>
              <w:left w:val="single" w:color="000000" w:sz="4" w:space="0"/>
              <w:bottom w:val="single" w:color="000000" w:sz="4" w:space="0"/>
              <w:right w:val="single" w:color="000000" w:sz="4" w:space="0"/>
            </w:tcBorders>
            <w:vAlign w:val="center"/>
          </w:tcPr>
          <w:p w14:paraId="52FE66EE">
            <w:pPr>
              <w:rPr>
                <w:rFonts w:ascii="宋体" w:hAnsi="宋体" w:cs="宋体"/>
                <w:szCs w:val="21"/>
                <w:highlight w:val="none"/>
              </w:rPr>
            </w:pPr>
            <w:r>
              <w:rPr>
                <w:rFonts w:hint="eastAsia" w:ascii="宋体" w:hAnsi="宋体" w:cs="宋体"/>
                <w:szCs w:val="21"/>
                <w:highlight w:val="none"/>
              </w:rPr>
              <w:t>专业知识库管理平台-知识库创建与管理</w:t>
            </w:r>
          </w:p>
        </w:tc>
        <w:tc>
          <w:tcPr>
            <w:tcW w:w="2609" w:type="pct"/>
            <w:tcBorders>
              <w:top w:val="single" w:color="000000" w:sz="4" w:space="0"/>
              <w:left w:val="single" w:color="000000" w:sz="4" w:space="0"/>
              <w:bottom w:val="single" w:color="000000" w:sz="4" w:space="0"/>
              <w:right w:val="single" w:color="000000" w:sz="4" w:space="0"/>
            </w:tcBorders>
            <w:vAlign w:val="center"/>
          </w:tcPr>
          <w:p w14:paraId="1B08C9E8">
            <w:pPr>
              <w:rPr>
                <w:rFonts w:ascii="宋体" w:hAnsi="宋体" w:cs="宋体"/>
                <w:szCs w:val="21"/>
                <w:highlight w:val="none"/>
              </w:rPr>
            </w:pPr>
            <w:r>
              <w:rPr>
                <w:rFonts w:hint="eastAsia" w:ascii="宋体" w:hAnsi="宋体" w:cs="宋体"/>
                <w:szCs w:val="21"/>
                <w:highlight w:val="none"/>
              </w:rPr>
              <w:t>1.应支持创建师范生/教师个人知识库、教研团队知识库、校级教师教育共享知识库三种类型，满足师范生个人学习沉淀、教研团队协作共建、校级资源共享等不同层级的知识管理需求；</w:t>
            </w:r>
          </w:p>
          <w:p w14:paraId="29ABDEC8">
            <w:pPr>
              <w:rPr>
                <w:rFonts w:ascii="宋体" w:hAnsi="宋体" w:cs="宋体"/>
                <w:szCs w:val="21"/>
                <w:highlight w:val="none"/>
              </w:rPr>
            </w:pPr>
            <w:r>
              <w:rPr>
                <w:rFonts w:hint="eastAsia" w:ascii="宋体" w:hAnsi="宋体" w:cs="宋体"/>
                <w:szCs w:val="21"/>
                <w:highlight w:val="none"/>
              </w:rPr>
              <w:t>2.应支持知识库基本信息配置，包括但不限于名称（≤30字）、描述、封面图标、标签分类，便于标识分库的TPCK知识类别属性；</w:t>
            </w:r>
          </w:p>
          <w:p w14:paraId="306CE60B">
            <w:pPr>
              <w:rPr>
                <w:rFonts w:ascii="宋体" w:hAnsi="宋体" w:cs="宋体"/>
                <w:szCs w:val="21"/>
                <w:highlight w:val="none"/>
              </w:rPr>
            </w:pPr>
            <w:r>
              <w:rPr>
                <w:rFonts w:hint="eastAsia" w:ascii="宋体" w:hAnsi="宋体" w:cs="宋体"/>
                <w:szCs w:val="21"/>
                <w:highlight w:val="none"/>
              </w:rPr>
              <w:t>3.应支持知识库公开/私有切换，公开后可被全校师范生与指导教师在知识广场发现和加入；</w:t>
            </w:r>
          </w:p>
          <w:p w14:paraId="5B96E1DF">
            <w:pPr>
              <w:rPr>
                <w:rFonts w:ascii="宋体" w:hAnsi="宋体" w:cs="宋体"/>
                <w:szCs w:val="21"/>
                <w:highlight w:val="none"/>
              </w:rPr>
            </w:pPr>
            <w:r>
              <w:rPr>
                <w:rFonts w:hint="eastAsia" w:ascii="宋体" w:hAnsi="宋体" w:cs="宋体"/>
                <w:szCs w:val="21"/>
                <w:highlight w:val="none"/>
              </w:rPr>
              <w:t>4.应支持知识库列表的多维度查询，可按个人创建、已加入、公开广场、教研团队等维度分类浏览；</w:t>
            </w:r>
          </w:p>
          <w:p w14:paraId="542DBC4C">
            <w:pPr>
              <w:rPr>
                <w:rFonts w:ascii="宋体" w:hAnsi="宋体" w:cs="宋体"/>
                <w:szCs w:val="21"/>
                <w:highlight w:val="none"/>
              </w:rPr>
            </w:pPr>
            <w:r>
              <w:rPr>
                <w:rFonts w:hint="eastAsia" w:ascii="宋体" w:hAnsi="宋体" w:cs="宋体"/>
                <w:szCs w:val="21"/>
                <w:highlight w:val="none"/>
              </w:rPr>
              <w:t>5.应支持知识库搜索与排序（创建时间、修改时间、名称）；</w:t>
            </w:r>
          </w:p>
          <w:p w14:paraId="4801B7FA">
            <w:pPr>
              <w:rPr>
                <w:rFonts w:ascii="宋体" w:hAnsi="宋体" w:cs="宋体"/>
                <w:szCs w:val="21"/>
                <w:highlight w:val="none"/>
              </w:rPr>
            </w:pPr>
            <w:r>
              <w:rPr>
                <w:rFonts w:hint="eastAsia" w:ascii="宋体" w:hAnsi="宋体" w:cs="宋体"/>
                <w:szCs w:val="21"/>
                <w:highlight w:val="none"/>
              </w:rPr>
              <w:t>6.应支持知识库删除操作，删除后关联资源同步清理；</w:t>
            </w:r>
          </w:p>
          <w:p w14:paraId="6885E566">
            <w:pPr>
              <w:rPr>
                <w:rFonts w:ascii="宋体" w:hAnsi="宋体" w:cs="宋体"/>
                <w:szCs w:val="21"/>
                <w:highlight w:val="none"/>
              </w:rPr>
            </w:pPr>
            <w:r>
              <w:rPr>
                <w:rFonts w:hint="eastAsia" w:ascii="宋体" w:hAnsi="宋体" w:cs="宋体"/>
                <w:szCs w:val="21"/>
                <w:highlight w:val="none"/>
              </w:rPr>
              <w:t>7.应支持校级教师教育共享知识库的独立查询入口，面向全校师范生与指导教师沉淀共享TPCK知识。</w:t>
            </w:r>
          </w:p>
          <w:p w14:paraId="492A9CFB">
            <w:pPr>
              <w:rPr>
                <w:rFonts w:ascii="宋体" w:hAnsi="宋体" w:cs="宋体"/>
                <w:szCs w:val="21"/>
                <w:highlight w:val="none"/>
              </w:rPr>
            </w:pPr>
            <w:r>
              <w:rPr>
                <w:rFonts w:hint="eastAsia" w:ascii="宋体" w:hAnsi="宋体" w:cs="宋体"/>
                <w:szCs w:val="21"/>
                <w:highlight w:val="none"/>
              </w:rPr>
              <w:t>8.知识库详情页面应支持查看知识库名称、知识库更新时间、检索算法、向量模型基础信息，并支持修改知识库名称、介绍、分类、向量模型、检索算法、系统标签信息，检索算法应支持选择FLAT、IVF_FLAT、IVF_SQ8、DISKANN；知识库应支持设置5级分类，选中分类，需可查看该分类下所有文档资源，资源列表需展示各文档资源名称、资源状态、篇章数量、资源大小、系统标签、自定义标签、更新时间字段，资源列表页面需支持根据状态、类型、标签进行筛选，也需支持通过资源关键字进行检索；单个文件需支持进行资源名称编辑，每个资源名称可支持编辑100字符，并可选择自定义标签，也可对文件进行下载、删除、查看、移动至其他分类操作。</w:t>
            </w:r>
          </w:p>
        </w:tc>
        <w:tc>
          <w:tcPr>
            <w:tcW w:w="345" w:type="pct"/>
            <w:tcBorders>
              <w:top w:val="single" w:color="000000" w:sz="4" w:space="0"/>
              <w:left w:val="single" w:color="000000" w:sz="4" w:space="0"/>
              <w:bottom w:val="single" w:color="000000" w:sz="4" w:space="0"/>
              <w:right w:val="single" w:color="000000" w:sz="4" w:space="0"/>
            </w:tcBorders>
            <w:vAlign w:val="center"/>
          </w:tcPr>
          <w:p w14:paraId="26AD892D">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040D01ED">
            <w:pPr>
              <w:jc w:val="center"/>
              <w:rPr>
                <w:rFonts w:ascii="宋体" w:hAnsi="宋体" w:cs="宋体"/>
                <w:szCs w:val="21"/>
                <w:highlight w:val="none"/>
              </w:rPr>
            </w:pPr>
            <w:r>
              <w:rPr>
                <w:rFonts w:hint="eastAsia" w:ascii="宋体" w:hAnsi="宋体" w:cs="宋体"/>
                <w:szCs w:val="21"/>
                <w:highlight w:val="none"/>
              </w:rPr>
              <w:t>套</w:t>
            </w:r>
          </w:p>
        </w:tc>
      </w:tr>
      <w:tr w14:paraId="1F0F88FD">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5C0B5AE">
            <w:pPr>
              <w:jc w:val="center"/>
              <w:rPr>
                <w:rFonts w:ascii="宋体" w:hAnsi="宋体" w:cs="宋体"/>
                <w:szCs w:val="21"/>
                <w:highlight w:val="none"/>
              </w:rPr>
            </w:pPr>
            <w:r>
              <w:rPr>
                <w:rFonts w:hint="eastAsia" w:ascii="宋体" w:hAnsi="宋体" w:cs="宋体"/>
                <w:szCs w:val="21"/>
                <w:highlight w:val="none"/>
              </w:rPr>
              <w:t>23</w:t>
            </w:r>
          </w:p>
        </w:tc>
        <w:tc>
          <w:tcPr>
            <w:tcW w:w="1389" w:type="pct"/>
            <w:tcBorders>
              <w:top w:val="single" w:color="000000" w:sz="4" w:space="0"/>
              <w:left w:val="single" w:color="000000" w:sz="4" w:space="0"/>
              <w:bottom w:val="single" w:color="000000" w:sz="4" w:space="0"/>
              <w:right w:val="single" w:color="000000" w:sz="4" w:space="0"/>
            </w:tcBorders>
            <w:vAlign w:val="center"/>
          </w:tcPr>
          <w:p w14:paraId="6E629F4A">
            <w:pPr>
              <w:rPr>
                <w:rFonts w:ascii="宋体" w:hAnsi="宋体" w:cs="宋体"/>
                <w:szCs w:val="21"/>
                <w:highlight w:val="none"/>
              </w:rPr>
            </w:pPr>
            <w:r>
              <w:rPr>
                <w:rFonts w:hint="eastAsia" w:ascii="宋体" w:hAnsi="宋体" w:cs="宋体"/>
                <w:szCs w:val="21"/>
                <w:highlight w:val="none"/>
              </w:rPr>
              <w:t>专业知识库管理平台-知识库成员协作</w:t>
            </w:r>
          </w:p>
        </w:tc>
        <w:tc>
          <w:tcPr>
            <w:tcW w:w="2609" w:type="pct"/>
            <w:tcBorders>
              <w:top w:val="single" w:color="000000" w:sz="4" w:space="0"/>
              <w:left w:val="single" w:color="000000" w:sz="4" w:space="0"/>
              <w:bottom w:val="single" w:color="000000" w:sz="4" w:space="0"/>
              <w:right w:val="single" w:color="000000" w:sz="4" w:space="0"/>
            </w:tcBorders>
            <w:vAlign w:val="center"/>
          </w:tcPr>
          <w:p w14:paraId="32CC97A9">
            <w:pPr>
              <w:rPr>
                <w:rFonts w:ascii="宋体" w:hAnsi="宋体" w:cs="宋体"/>
                <w:szCs w:val="21"/>
                <w:highlight w:val="none"/>
              </w:rPr>
            </w:pPr>
            <w:r>
              <w:rPr>
                <w:rFonts w:hint="eastAsia" w:ascii="宋体" w:hAnsi="宋体" w:cs="宋体"/>
                <w:szCs w:val="21"/>
                <w:highlight w:val="none"/>
              </w:rPr>
              <w:t>1.应支持知识库成员批量添加和移除，便于教研团队快速组建协作空间；</w:t>
            </w:r>
          </w:p>
          <w:p w14:paraId="09893A8B">
            <w:pPr>
              <w:rPr>
                <w:rFonts w:ascii="宋体" w:hAnsi="宋体" w:cs="宋体"/>
                <w:szCs w:val="21"/>
                <w:highlight w:val="none"/>
              </w:rPr>
            </w:pPr>
            <w:r>
              <w:rPr>
                <w:rFonts w:hint="eastAsia" w:ascii="宋体" w:hAnsi="宋体" w:cs="宋体"/>
                <w:szCs w:val="21"/>
                <w:highlight w:val="none"/>
              </w:rPr>
              <w:t>2.应支持知识库成员列表查询，展示成员名称、加入时间等信息；</w:t>
            </w:r>
          </w:p>
          <w:p w14:paraId="5F92CC39">
            <w:pPr>
              <w:rPr>
                <w:rFonts w:ascii="宋体" w:hAnsi="宋体" w:cs="宋体"/>
                <w:szCs w:val="21"/>
                <w:highlight w:val="none"/>
              </w:rPr>
            </w:pPr>
            <w:r>
              <w:rPr>
                <w:rFonts w:hint="eastAsia" w:ascii="宋体" w:hAnsi="宋体" w:cs="宋体"/>
                <w:szCs w:val="21"/>
                <w:highlight w:val="none"/>
              </w:rPr>
              <w:t>3.应支持区分知识库所有者和普通成员权限：所有者（如指导教师）可管理资源、配置对话参数；普通成员（如师范生）可浏览资源和问答。</w:t>
            </w:r>
          </w:p>
        </w:tc>
        <w:tc>
          <w:tcPr>
            <w:tcW w:w="345" w:type="pct"/>
            <w:tcBorders>
              <w:top w:val="single" w:color="000000" w:sz="4" w:space="0"/>
              <w:left w:val="single" w:color="000000" w:sz="4" w:space="0"/>
              <w:bottom w:val="single" w:color="000000" w:sz="4" w:space="0"/>
              <w:right w:val="single" w:color="000000" w:sz="4" w:space="0"/>
            </w:tcBorders>
            <w:vAlign w:val="center"/>
          </w:tcPr>
          <w:p w14:paraId="1098DCB3">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47E1F253">
            <w:pPr>
              <w:jc w:val="center"/>
              <w:rPr>
                <w:rFonts w:ascii="宋体" w:hAnsi="宋体" w:cs="宋体"/>
                <w:szCs w:val="21"/>
                <w:highlight w:val="none"/>
              </w:rPr>
            </w:pPr>
            <w:r>
              <w:rPr>
                <w:rFonts w:hint="eastAsia" w:ascii="宋体" w:hAnsi="宋体" w:cs="宋体"/>
                <w:szCs w:val="21"/>
                <w:highlight w:val="none"/>
              </w:rPr>
              <w:t>套</w:t>
            </w:r>
          </w:p>
        </w:tc>
      </w:tr>
      <w:tr w14:paraId="19D221E4">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61B3033A">
            <w:pPr>
              <w:jc w:val="center"/>
              <w:rPr>
                <w:rFonts w:ascii="宋体" w:hAnsi="宋体" w:cs="宋体"/>
                <w:szCs w:val="21"/>
                <w:highlight w:val="none"/>
              </w:rPr>
            </w:pPr>
            <w:r>
              <w:rPr>
                <w:rFonts w:hint="eastAsia" w:ascii="宋体" w:hAnsi="宋体" w:cs="宋体"/>
                <w:szCs w:val="21"/>
                <w:highlight w:val="none"/>
              </w:rPr>
              <w:t>24</w:t>
            </w:r>
          </w:p>
        </w:tc>
        <w:tc>
          <w:tcPr>
            <w:tcW w:w="1389" w:type="pct"/>
            <w:tcBorders>
              <w:top w:val="single" w:color="000000" w:sz="4" w:space="0"/>
              <w:left w:val="single" w:color="000000" w:sz="4" w:space="0"/>
              <w:bottom w:val="single" w:color="000000" w:sz="4" w:space="0"/>
              <w:right w:val="single" w:color="000000" w:sz="4" w:space="0"/>
            </w:tcBorders>
            <w:vAlign w:val="center"/>
          </w:tcPr>
          <w:p w14:paraId="00F0E859">
            <w:pPr>
              <w:rPr>
                <w:rFonts w:ascii="宋体" w:hAnsi="宋体" w:cs="宋体"/>
                <w:szCs w:val="21"/>
                <w:highlight w:val="none"/>
              </w:rPr>
            </w:pPr>
            <w:r>
              <w:rPr>
                <w:rFonts w:hint="eastAsia" w:ascii="宋体" w:hAnsi="宋体" w:cs="宋体"/>
                <w:szCs w:val="21"/>
                <w:highlight w:val="none"/>
              </w:rPr>
              <w:t>专业知识库管理平台-分类目录管理</w:t>
            </w:r>
          </w:p>
        </w:tc>
        <w:tc>
          <w:tcPr>
            <w:tcW w:w="2609" w:type="pct"/>
            <w:tcBorders>
              <w:top w:val="single" w:color="000000" w:sz="4" w:space="0"/>
              <w:left w:val="single" w:color="000000" w:sz="4" w:space="0"/>
              <w:bottom w:val="single" w:color="000000" w:sz="4" w:space="0"/>
              <w:right w:val="single" w:color="000000" w:sz="4" w:space="0"/>
            </w:tcBorders>
            <w:vAlign w:val="center"/>
          </w:tcPr>
          <w:p w14:paraId="4B601113">
            <w:pPr>
              <w:rPr>
                <w:rFonts w:ascii="宋体" w:hAnsi="宋体" w:cs="宋体"/>
                <w:szCs w:val="21"/>
                <w:highlight w:val="none"/>
              </w:rPr>
            </w:pPr>
            <w:r>
              <w:rPr>
                <w:rFonts w:hint="eastAsia" w:ascii="宋体" w:hAnsi="宋体" w:cs="宋体"/>
                <w:szCs w:val="21"/>
                <w:highlight w:val="none"/>
              </w:rPr>
              <w:t>1.应支持知识库内创建多级分类目录，支持按TPCK框架（学科知识、教学法知识、技术知识）、学科、学段组织资源，实现教师教育资源的结构化管理；</w:t>
            </w:r>
          </w:p>
          <w:p w14:paraId="181C1F8C">
            <w:pPr>
              <w:rPr>
                <w:rFonts w:ascii="宋体" w:hAnsi="宋体" w:cs="宋体"/>
                <w:szCs w:val="21"/>
                <w:highlight w:val="none"/>
              </w:rPr>
            </w:pPr>
            <w:r>
              <w:rPr>
                <w:rFonts w:hint="eastAsia" w:ascii="宋体" w:hAnsi="宋体" w:cs="宋体"/>
                <w:szCs w:val="21"/>
                <w:highlight w:val="none"/>
              </w:rPr>
              <w:t>2.应支持分类目录的创建、重命名、删除操作；</w:t>
            </w:r>
          </w:p>
          <w:p w14:paraId="58958458">
            <w:pPr>
              <w:rPr>
                <w:rFonts w:ascii="宋体" w:hAnsi="宋体" w:cs="宋体"/>
                <w:szCs w:val="21"/>
                <w:highlight w:val="none"/>
              </w:rPr>
            </w:pPr>
            <w:r>
              <w:rPr>
                <w:rFonts w:hint="eastAsia" w:ascii="宋体" w:hAnsi="宋体" w:cs="宋体"/>
                <w:szCs w:val="21"/>
                <w:highlight w:val="none"/>
              </w:rPr>
              <w:t>3.应支持资源和子分类的批量移动，实现跨目录整理；</w:t>
            </w:r>
          </w:p>
          <w:p w14:paraId="7F7AAF53">
            <w:pPr>
              <w:rPr>
                <w:rFonts w:ascii="宋体" w:hAnsi="宋体" w:cs="宋体"/>
                <w:szCs w:val="21"/>
                <w:highlight w:val="none"/>
              </w:rPr>
            </w:pPr>
            <w:r>
              <w:rPr>
                <w:rFonts w:hint="eastAsia" w:ascii="宋体" w:hAnsi="宋体" w:cs="宋体"/>
                <w:szCs w:val="21"/>
                <w:highlight w:val="none"/>
              </w:rPr>
              <w:t>4.应支持文件夹视图浏览，按层级展示资源目录结构。</w:t>
            </w:r>
          </w:p>
        </w:tc>
        <w:tc>
          <w:tcPr>
            <w:tcW w:w="345" w:type="pct"/>
            <w:tcBorders>
              <w:top w:val="single" w:color="000000" w:sz="4" w:space="0"/>
              <w:left w:val="single" w:color="000000" w:sz="4" w:space="0"/>
              <w:bottom w:val="single" w:color="000000" w:sz="4" w:space="0"/>
              <w:right w:val="single" w:color="000000" w:sz="4" w:space="0"/>
            </w:tcBorders>
            <w:vAlign w:val="center"/>
          </w:tcPr>
          <w:p w14:paraId="6003220F">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27043E0D">
            <w:pPr>
              <w:jc w:val="center"/>
              <w:rPr>
                <w:rFonts w:ascii="宋体" w:hAnsi="宋体" w:cs="宋体"/>
                <w:szCs w:val="21"/>
                <w:highlight w:val="none"/>
              </w:rPr>
            </w:pPr>
            <w:r>
              <w:rPr>
                <w:rFonts w:hint="eastAsia" w:ascii="宋体" w:hAnsi="宋体" w:cs="宋体"/>
                <w:szCs w:val="21"/>
                <w:highlight w:val="none"/>
              </w:rPr>
              <w:t>套</w:t>
            </w:r>
          </w:p>
        </w:tc>
      </w:tr>
      <w:tr w14:paraId="3F41446A">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7E69660C">
            <w:pPr>
              <w:jc w:val="center"/>
              <w:rPr>
                <w:rFonts w:ascii="宋体" w:hAnsi="宋体" w:cs="宋体"/>
                <w:szCs w:val="21"/>
                <w:highlight w:val="none"/>
              </w:rPr>
            </w:pPr>
            <w:r>
              <w:rPr>
                <w:rFonts w:hint="eastAsia" w:ascii="宋体" w:hAnsi="宋体" w:cs="宋体"/>
                <w:szCs w:val="21"/>
                <w:highlight w:val="none"/>
              </w:rPr>
              <w:t>25</w:t>
            </w:r>
          </w:p>
        </w:tc>
        <w:tc>
          <w:tcPr>
            <w:tcW w:w="1389" w:type="pct"/>
            <w:tcBorders>
              <w:top w:val="single" w:color="000000" w:sz="4" w:space="0"/>
              <w:left w:val="single" w:color="000000" w:sz="4" w:space="0"/>
              <w:bottom w:val="single" w:color="000000" w:sz="4" w:space="0"/>
              <w:right w:val="single" w:color="000000" w:sz="4" w:space="0"/>
            </w:tcBorders>
            <w:vAlign w:val="center"/>
          </w:tcPr>
          <w:p w14:paraId="754D40DF">
            <w:pPr>
              <w:rPr>
                <w:rFonts w:ascii="宋体" w:hAnsi="宋体" w:cs="宋体"/>
                <w:szCs w:val="21"/>
                <w:highlight w:val="none"/>
              </w:rPr>
            </w:pPr>
            <w:r>
              <w:rPr>
                <w:rFonts w:hint="eastAsia" w:ascii="宋体" w:hAnsi="宋体" w:cs="宋体"/>
                <w:szCs w:val="21"/>
                <w:highlight w:val="none"/>
              </w:rPr>
              <w:t>专业知识库管理平台-标签管理</w:t>
            </w:r>
          </w:p>
        </w:tc>
        <w:tc>
          <w:tcPr>
            <w:tcW w:w="2609" w:type="pct"/>
            <w:tcBorders>
              <w:top w:val="single" w:color="000000" w:sz="4" w:space="0"/>
              <w:left w:val="single" w:color="000000" w:sz="4" w:space="0"/>
              <w:bottom w:val="single" w:color="000000" w:sz="4" w:space="0"/>
              <w:right w:val="single" w:color="000000" w:sz="4" w:space="0"/>
            </w:tcBorders>
            <w:vAlign w:val="center"/>
          </w:tcPr>
          <w:p w14:paraId="0427B3E1">
            <w:pPr>
              <w:rPr>
                <w:rFonts w:ascii="宋体" w:hAnsi="宋体" w:cs="宋体"/>
                <w:szCs w:val="21"/>
                <w:highlight w:val="none"/>
              </w:rPr>
            </w:pPr>
            <w:r>
              <w:rPr>
                <w:rFonts w:hint="eastAsia" w:ascii="宋体" w:hAnsi="宋体" w:cs="宋体"/>
                <w:szCs w:val="21"/>
                <w:highlight w:val="none"/>
              </w:rPr>
              <w:t>1.应支持自定义标签体系，对知识库和资源进行学科、学段、知识类别（学科知识/教学法知识/技术知识）等多维度标注；</w:t>
            </w:r>
          </w:p>
          <w:p w14:paraId="572BB4B8">
            <w:pPr>
              <w:rPr>
                <w:rFonts w:ascii="宋体" w:hAnsi="宋体" w:cs="宋体"/>
                <w:szCs w:val="21"/>
                <w:highlight w:val="none"/>
              </w:rPr>
            </w:pPr>
            <w:r>
              <w:rPr>
                <w:rFonts w:hint="eastAsia" w:ascii="宋体" w:hAnsi="宋体" w:cs="宋体"/>
                <w:szCs w:val="21"/>
                <w:highlight w:val="none"/>
              </w:rPr>
              <w:t>2.应支持标签的创建、编辑、删除、批量创建；</w:t>
            </w:r>
          </w:p>
          <w:p w14:paraId="0A7DF9D2">
            <w:pPr>
              <w:rPr>
                <w:rFonts w:ascii="宋体" w:hAnsi="宋体" w:cs="宋体"/>
                <w:szCs w:val="21"/>
                <w:highlight w:val="none"/>
              </w:rPr>
            </w:pPr>
            <w:r>
              <w:rPr>
                <w:rFonts w:hint="eastAsia" w:ascii="宋体" w:hAnsi="宋体" w:cs="宋体"/>
                <w:szCs w:val="21"/>
                <w:highlight w:val="none"/>
              </w:rPr>
              <w:t>3.应支持按标签筛选和统计知识库及资源。</w:t>
            </w:r>
          </w:p>
        </w:tc>
        <w:tc>
          <w:tcPr>
            <w:tcW w:w="345" w:type="pct"/>
            <w:tcBorders>
              <w:top w:val="single" w:color="000000" w:sz="4" w:space="0"/>
              <w:left w:val="single" w:color="000000" w:sz="4" w:space="0"/>
              <w:bottom w:val="single" w:color="000000" w:sz="4" w:space="0"/>
              <w:right w:val="single" w:color="000000" w:sz="4" w:space="0"/>
            </w:tcBorders>
            <w:vAlign w:val="center"/>
          </w:tcPr>
          <w:p w14:paraId="17CB29AD">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59171246">
            <w:pPr>
              <w:jc w:val="center"/>
              <w:rPr>
                <w:rFonts w:ascii="宋体" w:hAnsi="宋体" w:cs="宋体"/>
                <w:szCs w:val="21"/>
                <w:highlight w:val="none"/>
              </w:rPr>
            </w:pPr>
            <w:r>
              <w:rPr>
                <w:rFonts w:hint="eastAsia" w:ascii="宋体" w:hAnsi="宋体" w:cs="宋体"/>
                <w:szCs w:val="21"/>
                <w:highlight w:val="none"/>
              </w:rPr>
              <w:t>套</w:t>
            </w:r>
          </w:p>
        </w:tc>
      </w:tr>
      <w:tr w14:paraId="11BAAA25">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42D2CDAC">
            <w:pPr>
              <w:numPr>
                <w:ilvl w:val="255"/>
                <w:numId w:val="0"/>
              </w:numPr>
              <w:rPr>
                <w:rFonts w:ascii="宋体" w:hAnsi="宋体" w:cs="宋体"/>
                <w:szCs w:val="21"/>
                <w:highlight w:val="none"/>
              </w:rPr>
            </w:pPr>
            <w:r>
              <w:rPr>
                <w:rFonts w:hint="eastAsia" w:ascii="宋体" w:hAnsi="宋体" w:cs="宋体"/>
                <w:b/>
                <w:szCs w:val="21"/>
                <w:highlight w:val="none"/>
              </w:rPr>
              <w:t>（三）资源管理与文档处理</w:t>
            </w:r>
          </w:p>
        </w:tc>
      </w:tr>
      <w:tr w14:paraId="703C4E96">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4EA45D3">
            <w:pPr>
              <w:jc w:val="center"/>
              <w:rPr>
                <w:rFonts w:ascii="宋体" w:hAnsi="宋体" w:cs="宋体"/>
                <w:szCs w:val="21"/>
                <w:highlight w:val="none"/>
              </w:rPr>
            </w:pPr>
            <w:r>
              <w:rPr>
                <w:rFonts w:hint="eastAsia" w:ascii="宋体" w:hAnsi="宋体" w:cs="宋体"/>
                <w:szCs w:val="21"/>
                <w:highlight w:val="none"/>
              </w:rPr>
              <w:t>26</w:t>
            </w:r>
          </w:p>
        </w:tc>
        <w:tc>
          <w:tcPr>
            <w:tcW w:w="1389" w:type="pct"/>
            <w:tcBorders>
              <w:top w:val="single" w:color="000000" w:sz="4" w:space="0"/>
              <w:left w:val="single" w:color="000000" w:sz="4" w:space="0"/>
              <w:bottom w:val="single" w:color="000000" w:sz="4" w:space="0"/>
              <w:right w:val="single" w:color="000000" w:sz="4" w:space="0"/>
            </w:tcBorders>
            <w:vAlign w:val="center"/>
          </w:tcPr>
          <w:p w14:paraId="4BE08450">
            <w:pPr>
              <w:rPr>
                <w:rFonts w:ascii="宋体" w:hAnsi="宋体" w:cs="宋体"/>
                <w:szCs w:val="21"/>
                <w:highlight w:val="none"/>
              </w:rPr>
            </w:pPr>
            <w:r>
              <w:rPr>
                <w:rFonts w:hint="eastAsia" w:ascii="宋体" w:hAnsi="宋体" w:cs="宋体"/>
                <w:szCs w:val="21"/>
                <w:highlight w:val="none"/>
              </w:rPr>
              <w:t>资源管理与文档处理-资源上传</w:t>
            </w:r>
          </w:p>
        </w:tc>
        <w:tc>
          <w:tcPr>
            <w:tcW w:w="2609" w:type="pct"/>
            <w:tcBorders>
              <w:top w:val="single" w:color="000000" w:sz="4" w:space="0"/>
              <w:left w:val="single" w:color="000000" w:sz="4" w:space="0"/>
              <w:bottom w:val="single" w:color="000000" w:sz="4" w:space="0"/>
              <w:right w:val="single" w:color="000000" w:sz="4" w:space="0"/>
            </w:tcBorders>
            <w:vAlign w:val="center"/>
          </w:tcPr>
          <w:p w14:paraId="18F48F1A">
            <w:pPr>
              <w:rPr>
                <w:rFonts w:ascii="宋体" w:hAnsi="宋体" w:cs="宋体"/>
                <w:szCs w:val="21"/>
                <w:highlight w:val="none"/>
              </w:rPr>
            </w:pPr>
            <w:r>
              <w:rPr>
                <w:rFonts w:hint="eastAsia" w:ascii="宋体" w:hAnsi="宋体" w:cs="宋体"/>
                <w:szCs w:val="21"/>
                <w:highlight w:val="none"/>
              </w:rPr>
              <w:t>1.上传资源格式需支持doc、docx、xls、xlsx 、txt、ppt、pptx、pdf，单次上传需支持上传20个文件，对于pdf格式文件，需支持1-500页文件的上传；在资源上传页面，需支持查看切片后的片段，可查看每个片段的内容以及字符数，如单次上传多个文件，需支持在页面切换查看各文件切片片段，支持FAQ问答对构建，系统需提供可下载的FAQ模板；</w:t>
            </w:r>
          </w:p>
          <w:p w14:paraId="49F81F4E">
            <w:pPr>
              <w:rPr>
                <w:rFonts w:ascii="宋体" w:hAnsi="宋体" w:cs="宋体"/>
                <w:szCs w:val="21"/>
                <w:highlight w:val="none"/>
              </w:rPr>
            </w:pPr>
            <w:r>
              <w:rPr>
                <w:rFonts w:hint="eastAsia" w:ascii="宋体" w:hAnsi="宋体" w:cs="宋体"/>
                <w:szCs w:val="21"/>
                <w:highlight w:val="none"/>
              </w:rPr>
              <w:t>2.应支持批量文件上传，单文件大小≤20MB；</w:t>
            </w:r>
          </w:p>
          <w:p w14:paraId="4E605B03">
            <w:pPr>
              <w:rPr>
                <w:rFonts w:ascii="宋体" w:hAnsi="宋体" w:cs="宋体"/>
                <w:szCs w:val="21"/>
                <w:highlight w:val="none"/>
              </w:rPr>
            </w:pPr>
            <w:r>
              <w:rPr>
                <w:rFonts w:hint="eastAsia" w:ascii="宋体" w:hAnsi="宋体" w:cs="宋体"/>
                <w:szCs w:val="21"/>
                <w:highlight w:val="none"/>
              </w:rPr>
              <w:t>3.应支持本地直传和对象存储两种上传方式；</w:t>
            </w:r>
          </w:p>
          <w:p w14:paraId="5E5E4402">
            <w:pPr>
              <w:rPr>
                <w:rFonts w:ascii="宋体" w:hAnsi="宋体" w:cs="宋体"/>
                <w:szCs w:val="21"/>
                <w:highlight w:val="none"/>
              </w:rPr>
            </w:pPr>
            <w:r>
              <w:rPr>
                <w:rFonts w:hint="eastAsia" w:ascii="宋体" w:hAnsi="宋体" w:cs="宋体"/>
                <w:szCs w:val="21"/>
                <w:highlight w:val="none"/>
              </w:rPr>
              <w:t>4.应支持网页链接导入，自动抓取网页内容转为知识资源，便于引入课程标准发布页面、教研资源网页等在线资源；</w:t>
            </w:r>
          </w:p>
          <w:p w14:paraId="69B2D5DD">
            <w:pPr>
              <w:rPr>
                <w:rFonts w:ascii="宋体" w:hAnsi="宋体" w:cs="宋体"/>
                <w:szCs w:val="21"/>
                <w:highlight w:val="none"/>
              </w:rPr>
            </w:pPr>
            <w:r>
              <w:rPr>
                <w:rFonts w:hint="eastAsia" w:ascii="宋体" w:hAnsi="宋体" w:cs="宋体"/>
                <w:szCs w:val="21"/>
                <w:highlight w:val="none"/>
              </w:rPr>
              <w:t>5.应支持上传前文件校验，包括格式校验、大小校验、重复文件深度检测（内容级去重）。</w:t>
            </w:r>
          </w:p>
        </w:tc>
        <w:tc>
          <w:tcPr>
            <w:tcW w:w="345" w:type="pct"/>
            <w:tcBorders>
              <w:top w:val="single" w:color="000000" w:sz="4" w:space="0"/>
              <w:left w:val="single" w:color="000000" w:sz="4" w:space="0"/>
              <w:bottom w:val="single" w:color="000000" w:sz="4" w:space="0"/>
              <w:right w:val="single" w:color="000000" w:sz="4" w:space="0"/>
            </w:tcBorders>
            <w:vAlign w:val="center"/>
          </w:tcPr>
          <w:p w14:paraId="2697319C">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14609E97">
            <w:pPr>
              <w:jc w:val="center"/>
              <w:rPr>
                <w:rFonts w:ascii="宋体" w:hAnsi="宋体" w:cs="宋体"/>
                <w:szCs w:val="21"/>
                <w:highlight w:val="none"/>
              </w:rPr>
            </w:pPr>
            <w:r>
              <w:rPr>
                <w:rFonts w:hint="eastAsia" w:ascii="宋体" w:hAnsi="宋体" w:cs="宋体"/>
                <w:szCs w:val="21"/>
                <w:highlight w:val="none"/>
              </w:rPr>
              <w:t>套</w:t>
            </w:r>
          </w:p>
        </w:tc>
      </w:tr>
      <w:tr w14:paraId="4DBEEACB">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7A96785">
            <w:pPr>
              <w:jc w:val="center"/>
              <w:rPr>
                <w:rFonts w:ascii="宋体" w:hAnsi="宋体" w:cs="宋体"/>
                <w:szCs w:val="21"/>
                <w:highlight w:val="none"/>
              </w:rPr>
            </w:pPr>
            <w:r>
              <w:rPr>
                <w:rFonts w:hint="eastAsia" w:ascii="宋体" w:hAnsi="宋体" w:cs="宋体"/>
                <w:szCs w:val="21"/>
                <w:highlight w:val="none"/>
              </w:rPr>
              <w:t>27</w:t>
            </w:r>
          </w:p>
        </w:tc>
        <w:tc>
          <w:tcPr>
            <w:tcW w:w="1389" w:type="pct"/>
            <w:tcBorders>
              <w:top w:val="single" w:color="000000" w:sz="4" w:space="0"/>
              <w:left w:val="single" w:color="000000" w:sz="4" w:space="0"/>
              <w:bottom w:val="single" w:color="000000" w:sz="4" w:space="0"/>
              <w:right w:val="single" w:color="000000" w:sz="4" w:space="0"/>
            </w:tcBorders>
            <w:vAlign w:val="center"/>
          </w:tcPr>
          <w:p w14:paraId="75F0C119">
            <w:pPr>
              <w:rPr>
                <w:rFonts w:ascii="宋体" w:hAnsi="宋体" w:cs="宋体"/>
                <w:szCs w:val="21"/>
                <w:highlight w:val="none"/>
              </w:rPr>
            </w:pPr>
            <w:r>
              <w:rPr>
                <w:rFonts w:hint="eastAsia" w:ascii="宋体" w:hAnsi="宋体" w:cs="宋体"/>
                <w:szCs w:val="21"/>
                <w:highlight w:val="none"/>
              </w:rPr>
              <w:t>资源管理与文档处理-资源构建与向量化</w:t>
            </w:r>
          </w:p>
        </w:tc>
        <w:tc>
          <w:tcPr>
            <w:tcW w:w="2609" w:type="pct"/>
            <w:tcBorders>
              <w:top w:val="single" w:color="000000" w:sz="4" w:space="0"/>
              <w:left w:val="single" w:color="000000" w:sz="4" w:space="0"/>
              <w:bottom w:val="single" w:color="000000" w:sz="4" w:space="0"/>
              <w:right w:val="single" w:color="000000" w:sz="4" w:space="0"/>
            </w:tcBorders>
            <w:vAlign w:val="center"/>
          </w:tcPr>
          <w:p w14:paraId="02C9A15B">
            <w:pPr>
              <w:rPr>
                <w:rFonts w:ascii="宋体" w:hAnsi="宋体" w:cs="宋体"/>
                <w:szCs w:val="21"/>
                <w:highlight w:val="none"/>
              </w:rPr>
            </w:pPr>
            <w:r>
              <w:rPr>
                <w:rFonts w:hint="eastAsia" w:ascii="宋体" w:hAnsi="宋体" w:cs="宋体"/>
                <w:szCs w:val="21"/>
                <w:highlight w:val="none"/>
              </w:rPr>
              <w:t>1.应支持上传资源自动构建流程：文件转换→文档分片→向量化→入库，全程自动化处理；</w:t>
            </w:r>
          </w:p>
          <w:p w14:paraId="38BAF214">
            <w:pPr>
              <w:rPr>
                <w:rFonts w:ascii="宋体" w:hAnsi="宋体" w:cs="宋体"/>
                <w:szCs w:val="21"/>
                <w:highlight w:val="none"/>
              </w:rPr>
            </w:pPr>
            <w:r>
              <w:rPr>
                <w:rFonts w:hint="eastAsia" w:ascii="宋体" w:hAnsi="宋体" w:cs="宋体"/>
                <w:szCs w:val="21"/>
                <w:highlight w:val="none"/>
              </w:rPr>
              <w:t>2.应支持资源构建状态实时追踪，包括未构建、构建中、构建成功、构建失败四种状态；</w:t>
            </w:r>
          </w:p>
          <w:p w14:paraId="5C03C87E">
            <w:pPr>
              <w:rPr>
                <w:rFonts w:ascii="宋体" w:hAnsi="宋体" w:cs="宋体"/>
                <w:szCs w:val="21"/>
                <w:highlight w:val="none"/>
              </w:rPr>
            </w:pPr>
            <w:r>
              <w:rPr>
                <w:rFonts w:hint="eastAsia" w:ascii="宋体" w:hAnsi="宋体" w:cs="宋体"/>
                <w:szCs w:val="21"/>
                <w:highlight w:val="none"/>
              </w:rPr>
              <w:t>3.应支持构建失败资源的手动重试操作；</w:t>
            </w:r>
          </w:p>
          <w:p w14:paraId="2A8C8D0E">
            <w:pPr>
              <w:rPr>
                <w:rFonts w:ascii="宋体" w:hAnsi="宋体" w:cs="宋体"/>
                <w:szCs w:val="21"/>
                <w:highlight w:val="none"/>
              </w:rPr>
            </w:pPr>
            <w:r>
              <w:rPr>
                <w:rFonts w:hint="eastAsia" w:ascii="宋体" w:hAnsi="宋体" w:cs="宋体"/>
                <w:szCs w:val="21"/>
                <w:highlight w:val="none"/>
              </w:rPr>
              <w:t>4.应支持资源有效期管理，可设置资源生效时间和过期时间，适配教材版本更新、课标修订等时效性管理需求。</w:t>
            </w:r>
          </w:p>
        </w:tc>
        <w:tc>
          <w:tcPr>
            <w:tcW w:w="345" w:type="pct"/>
            <w:tcBorders>
              <w:top w:val="single" w:color="000000" w:sz="4" w:space="0"/>
              <w:left w:val="single" w:color="000000" w:sz="4" w:space="0"/>
              <w:bottom w:val="single" w:color="000000" w:sz="4" w:space="0"/>
              <w:right w:val="single" w:color="000000" w:sz="4" w:space="0"/>
            </w:tcBorders>
            <w:vAlign w:val="center"/>
          </w:tcPr>
          <w:p w14:paraId="66377D7F">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6C832FCF">
            <w:pPr>
              <w:jc w:val="center"/>
              <w:rPr>
                <w:rFonts w:ascii="宋体" w:hAnsi="宋体" w:cs="宋体"/>
                <w:szCs w:val="21"/>
                <w:highlight w:val="none"/>
              </w:rPr>
            </w:pPr>
            <w:r>
              <w:rPr>
                <w:rFonts w:hint="eastAsia" w:ascii="宋体" w:hAnsi="宋体" w:cs="宋体"/>
                <w:szCs w:val="21"/>
                <w:highlight w:val="none"/>
              </w:rPr>
              <w:t>套</w:t>
            </w:r>
          </w:p>
        </w:tc>
      </w:tr>
      <w:tr w14:paraId="62E84FCC">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760FF815">
            <w:pPr>
              <w:jc w:val="center"/>
              <w:rPr>
                <w:rFonts w:ascii="宋体" w:hAnsi="宋体" w:cs="宋体"/>
                <w:szCs w:val="21"/>
                <w:highlight w:val="none"/>
              </w:rPr>
            </w:pPr>
            <w:r>
              <w:rPr>
                <w:rFonts w:hint="eastAsia" w:ascii="宋体" w:hAnsi="宋体" w:cs="宋体"/>
                <w:szCs w:val="21"/>
                <w:highlight w:val="none"/>
              </w:rPr>
              <w:t>28</w:t>
            </w:r>
          </w:p>
        </w:tc>
        <w:tc>
          <w:tcPr>
            <w:tcW w:w="1389" w:type="pct"/>
            <w:tcBorders>
              <w:top w:val="single" w:color="000000" w:sz="4" w:space="0"/>
              <w:left w:val="single" w:color="000000" w:sz="4" w:space="0"/>
              <w:bottom w:val="single" w:color="000000" w:sz="4" w:space="0"/>
              <w:right w:val="single" w:color="000000" w:sz="4" w:space="0"/>
            </w:tcBorders>
            <w:vAlign w:val="center"/>
          </w:tcPr>
          <w:p w14:paraId="66034BAE">
            <w:pPr>
              <w:rPr>
                <w:rFonts w:ascii="宋体" w:hAnsi="宋体" w:cs="宋体"/>
                <w:szCs w:val="21"/>
                <w:highlight w:val="none"/>
              </w:rPr>
            </w:pPr>
            <w:r>
              <w:rPr>
                <w:rFonts w:hint="eastAsia" w:ascii="宋体" w:hAnsi="宋体" w:cs="宋体"/>
                <w:szCs w:val="21"/>
                <w:highlight w:val="none"/>
              </w:rPr>
              <w:t>资源管理与文档处理-文档分片</w:t>
            </w:r>
          </w:p>
        </w:tc>
        <w:tc>
          <w:tcPr>
            <w:tcW w:w="2609" w:type="pct"/>
            <w:tcBorders>
              <w:top w:val="single" w:color="000000" w:sz="4" w:space="0"/>
              <w:left w:val="single" w:color="000000" w:sz="4" w:space="0"/>
              <w:bottom w:val="single" w:color="000000" w:sz="4" w:space="0"/>
              <w:right w:val="single" w:color="000000" w:sz="4" w:space="0"/>
            </w:tcBorders>
            <w:vAlign w:val="center"/>
          </w:tcPr>
          <w:p w14:paraId="02F9742B">
            <w:pPr>
              <w:rPr>
                <w:rFonts w:ascii="宋体" w:hAnsi="宋体" w:cs="宋体"/>
                <w:szCs w:val="21"/>
                <w:highlight w:val="none"/>
              </w:rPr>
            </w:pPr>
            <w:r>
              <w:rPr>
                <w:rFonts w:hint="eastAsia" w:ascii="宋体" w:hAnsi="宋体" w:cs="宋体"/>
                <w:szCs w:val="21"/>
                <w:highlight w:val="none"/>
              </w:rPr>
              <w:t>1.应支持不少于5种分片模式，包括固定大小分片、章节级分片、自定义分隔符分片、智能分片、行级分片，适配课标、教材等文档的章节结构特点；</w:t>
            </w:r>
          </w:p>
          <w:p w14:paraId="20E4FC61">
            <w:pPr>
              <w:rPr>
                <w:rFonts w:ascii="宋体" w:hAnsi="宋体" w:cs="宋体"/>
                <w:szCs w:val="21"/>
                <w:highlight w:val="none"/>
              </w:rPr>
            </w:pPr>
            <w:r>
              <w:rPr>
                <w:rFonts w:hint="eastAsia" w:ascii="宋体" w:hAnsi="宋体" w:cs="宋体"/>
                <w:szCs w:val="21"/>
                <w:highlight w:val="none"/>
              </w:rPr>
              <w:t>2.应支持自定义分片参数，包括分片大小、重叠区间配置；</w:t>
            </w:r>
          </w:p>
          <w:p w14:paraId="2A6CEF5A">
            <w:pPr>
              <w:rPr>
                <w:rFonts w:ascii="宋体" w:hAnsi="宋体" w:cs="宋体"/>
                <w:szCs w:val="21"/>
                <w:highlight w:val="none"/>
              </w:rPr>
            </w:pPr>
            <w:r>
              <w:rPr>
                <w:rFonts w:hint="eastAsia" w:ascii="宋体" w:hAnsi="宋体" w:cs="宋体"/>
                <w:szCs w:val="21"/>
                <w:highlight w:val="none"/>
              </w:rPr>
              <w:t>3.应支持自定义分隔符列表，满足不同文档结构的分片需求；</w:t>
            </w:r>
          </w:p>
          <w:p w14:paraId="4891839C">
            <w:pPr>
              <w:rPr>
                <w:rFonts w:ascii="宋体" w:hAnsi="宋体" w:cs="宋体"/>
                <w:szCs w:val="21"/>
                <w:highlight w:val="none"/>
              </w:rPr>
            </w:pPr>
            <w:r>
              <w:rPr>
                <w:rFonts w:hint="eastAsia" w:ascii="宋体" w:hAnsi="宋体" w:cs="宋体"/>
                <w:szCs w:val="21"/>
                <w:highlight w:val="none"/>
              </w:rPr>
              <w:t>4.应支持章节层级标记配置，实现按课标、教材等文档的标题层级进行分片；</w:t>
            </w:r>
          </w:p>
          <w:p w14:paraId="5AC0DD5D">
            <w:pPr>
              <w:rPr>
                <w:rFonts w:ascii="宋体" w:hAnsi="宋体" w:cs="宋体"/>
                <w:szCs w:val="21"/>
                <w:highlight w:val="none"/>
              </w:rPr>
            </w:pPr>
            <w:r>
              <w:rPr>
                <w:rFonts w:hint="eastAsia" w:ascii="宋体" w:hAnsi="宋体" w:cs="宋体"/>
                <w:szCs w:val="21"/>
                <w:highlight w:val="none"/>
              </w:rPr>
              <w:t>5.应支持FAQ专用分片模式，针对教学常见问题问答对格式文档进行结构化抽取；</w:t>
            </w:r>
          </w:p>
          <w:p w14:paraId="6ABCAE2C">
            <w:pPr>
              <w:rPr>
                <w:rFonts w:ascii="宋体" w:hAnsi="宋体" w:cs="宋体"/>
                <w:szCs w:val="21"/>
                <w:highlight w:val="none"/>
              </w:rPr>
            </w:pPr>
            <w:r>
              <w:rPr>
                <w:rFonts w:hint="eastAsia" w:ascii="宋体" w:hAnsi="宋体" w:cs="宋体"/>
                <w:szCs w:val="21"/>
                <w:highlight w:val="none"/>
              </w:rPr>
              <w:t>6. 对于解析成功的文档，应支持查看原文与切片，原文预览需支持关键字查找、并可设置关键词高亮显示与是否区分大小写；需支持查看该文档的知识切片，并且每段切片需展示切片摘要、正文、字数相关信息，并支持对切片进行上方插入知识块、下方插入知识块、向下合并、添加问答、编辑、删除操作。</w:t>
            </w:r>
          </w:p>
        </w:tc>
        <w:tc>
          <w:tcPr>
            <w:tcW w:w="345" w:type="pct"/>
            <w:tcBorders>
              <w:top w:val="single" w:color="000000" w:sz="4" w:space="0"/>
              <w:left w:val="single" w:color="000000" w:sz="4" w:space="0"/>
              <w:bottom w:val="single" w:color="000000" w:sz="4" w:space="0"/>
              <w:right w:val="single" w:color="000000" w:sz="4" w:space="0"/>
            </w:tcBorders>
            <w:vAlign w:val="center"/>
          </w:tcPr>
          <w:p w14:paraId="753689A8">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5D593DC9">
            <w:pPr>
              <w:jc w:val="center"/>
              <w:rPr>
                <w:rFonts w:ascii="宋体" w:hAnsi="宋体" w:cs="宋体"/>
                <w:szCs w:val="21"/>
                <w:highlight w:val="none"/>
              </w:rPr>
            </w:pPr>
            <w:r>
              <w:rPr>
                <w:rFonts w:hint="eastAsia" w:ascii="宋体" w:hAnsi="宋体" w:cs="宋体"/>
                <w:szCs w:val="21"/>
                <w:highlight w:val="none"/>
              </w:rPr>
              <w:t>套</w:t>
            </w:r>
          </w:p>
        </w:tc>
      </w:tr>
      <w:tr w14:paraId="052D7DC2">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63ED7393">
            <w:pPr>
              <w:jc w:val="center"/>
              <w:rPr>
                <w:rFonts w:hint="eastAsia" w:ascii="宋体" w:hAnsi="宋体" w:cs="宋体"/>
                <w:szCs w:val="21"/>
                <w:highlight w:val="none"/>
              </w:rPr>
            </w:pPr>
            <w:r>
              <w:rPr>
                <w:rFonts w:hint="eastAsia" w:ascii="宋体" w:hAnsi="宋体" w:cs="宋体"/>
                <w:szCs w:val="21"/>
                <w:highlight w:val="none"/>
              </w:rPr>
              <w:t>29</w:t>
            </w:r>
          </w:p>
        </w:tc>
        <w:tc>
          <w:tcPr>
            <w:tcW w:w="1389" w:type="pct"/>
            <w:tcBorders>
              <w:top w:val="single" w:color="000000" w:sz="4" w:space="0"/>
              <w:left w:val="single" w:color="000000" w:sz="4" w:space="0"/>
              <w:bottom w:val="single" w:color="000000" w:sz="4" w:space="0"/>
              <w:right w:val="single" w:color="000000" w:sz="4" w:space="0"/>
            </w:tcBorders>
            <w:vAlign w:val="center"/>
          </w:tcPr>
          <w:p w14:paraId="40C5EF23">
            <w:pPr>
              <w:rPr>
                <w:rFonts w:ascii="宋体" w:hAnsi="宋体" w:cs="宋体"/>
                <w:szCs w:val="21"/>
                <w:highlight w:val="none"/>
              </w:rPr>
            </w:pPr>
            <w:r>
              <w:rPr>
                <w:rFonts w:hint="eastAsia" w:ascii="宋体" w:hAnsi="宋体" w:cs="宋体"/>
                <w:szCs w:val="21"/>
                <w:highlight w:val="none"/>
              </w:rPr>
              <w:t>资源管理与文档处理-OCR识别</w:t>
            </w:r>
          </w:p>
        </w:tc>
        <w:tc>
          <w:tcPr>
            <w:tcW w:w="2609" w:type="pct"/>
            <w:tcBorders>
              <w:top w:val="single" w:color="000000" w:sz="4" w:space="0"/>
              <w:left w:val="single" w:color="000000" w:sz="4" w:space="0"/>
              <w:bottom w:val="single" w:color="000000" w:sz="4" w:space="0"/>
              <w:right w:val="single" w:color="000000" w:sz="4" w:space="0"/>
            </w:tcBorders>
            <w:vAlign w:val="center"/>
          </w:tcPr>
          <w:p w14:paraId="4B62E96B">
            <w:pPr>
              <w:rPr>
                <w:rFonts w:ascii="宋体" w:hAnsi="宋体" w:cs="宋体"/>
                <w:szCs w:val="21"/>
                <w:highlight w:val="none"/>
              </w:rPr>
            </w:pPr>
            <w:r>
              <w:rPr>
                <w:rFonts w:hint="eastAsia" w:ascii="宋体" w:hAnsi="宋体" w:cs="宋体"/>
                <w:szCs w:val="21"/>
                <w:highlight w:val="none"/>
              </w:rPr>
              <w:t>1.应支持多种OCR引擎，对扫描版教材、扫描件、图片型PDF进行文字识别；</w:t>
            </w:r>
          </w:p>
          <w:p w14:paraId="50F65FAF">
            <w:pPr>
              <w:rPr>
                <w:rFonts w:ascii="宋体" w:hAnsi="宋体" w:cs="宋体"/>
                <w:szCs w:val="21"/>
                <w:highlight w:val="none"/>
              </w:rPr>
            </w:pPr>
            <w:r>
              <w:rPr>
                <w:rFonts w:hint="eastAsia" w:ascii="宋体" w:hAnsi="宋体" w:cs="宋体"/>
                <w:szCs w:val="21"/>
                <w:highlight w:val="none"/>
              </w:rPr>
              <w:t>2.应支持OCR引擎类型选择，适配不同文档质量。</w:t>
            </w:r>
          </w:p>
        </w:tc>
        <w:tc>
          <w:tcPr>
            <w:tcW w:w="345" w:type="pct"/>
            <w:tcBorders>
              <w:top w:val="single" w:color="000000" w:sz="4" w:space="0"/>
              <w:left w:val="single" w:color="000000" w:sz="4" w:space="0"/>
              <w:bottom w:val="single" w:color="000000" w:sz="4" w:space="0"/>
              <w:right w:val="single" w:color="000000" w:sz="4" w:space="0"/>
            </w:tcBorders>
            <w:vAlign w:val="center"/>
          </w:tcPr>
          <w:p w14:paraId="0492B820">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39E3AC30">
            <w:pPr>
              <w:jc w:val="center"/>
              <w:rPr>
                <w:rFonts w:ascii="宋体" w:hAnsi="宋体" w:cs="宋体"/>
                <w:szCs w:val="21"/>
                <w:highlight w:val="none"/>
              </w:rPr>
            </w:pPr>
            <w:r>
              <w:rPr>
                <w:rFonts w:hint="eastAsia" w:ascii="宋体" w:hAnsi="宋体" w:cs="宋体"/>
                <w:szCs w:val="21"/>
                <w:highlight w:val="none"/>
              </w:rPr>
              <w:t>套</w:t>
            </w:r>
          </w:p>
        </w:tc>
      </w:tr>
      <w:tr w14:paraId="40B0A17B">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12D0E227">
            <w:pPr>
              <w:jc w:val="center"/>
              <w:rPr>
                <w:rFonts w:ascii="宋体" w:hAnsi="宋体" w:cs="宋体"/>
                <w:szCs w:val="21"/>
                <w:highlight w:val="none"/>
              </w:rPr>
            </w:pPr>
            <w:r>
              <w:rPr>
                <w:rFonts w:hint="eastAsia" w:ascii="宋体" w:hAnsi="宋体" w:cs="宋体"/>
                <w:szCs w:val="21"/>
                <w:highlight w:val="none"/>
              </w:rPr>
              <w:t>30</w:t>
            </w:r>
          </w:p>
        </w:tc>
        <w:tc>
          <w:tcPr>
            <w:tcW w:w="1389" w:type="pct"/>
            <w:tcBorders>
              <w:top w:val="single" w:color="000000" w:sz="4" w:space="0"/>
              <w:left w:val="single" w:color="000000" w:sz="4" w:space="0"/>
              <w:bottom w:val="single" w:color="000000" w:sz="4" w:space="0"/>
              <w:right w:val="single" w:color="000000" w:sz="4" w:space="0"/>
            </w:tcBorders>
            <w:vAlign w:val="center"/>
          </w:tcPr>
          <w:p w14:paraId="31EE3D64">
            <w:pPr>
              <w:rPr>
                <w:rFonts w:ascii="宋体" w:hAnsi="宋体" w:cs="宋体"/>
                <w:szCs w:val="21"/>
                <w:highlight w:val="none"/>
              </w:rPr>
            </w:pPr>
            <w:r>
              <w:rPr>
                <w:rFonts w:hint="eastAsia" w:ascii="宋体" w:hAnsi="宋体" w:cs="宋体"/>
                <w:szCs w:val="21"/>
                <w:highlight w:val="none"/>
              </w:rPr>
              <w:t>资源管理与文档处理-资源管理操作</w:t>
            </w:r>
          </w:p>
        </w:tc>
        <w:tc>
          <w:tcPr>
            <w:tcW w:w="2609" w:type="pct"/>
            <w:tcBorders>
              <w:top w:val="single" w:color="000000" w:sz="4" w:space="0"/>
              <w:left w:val="single" w:color="000000" w:sz="4" w:space="0"/>
              <w:bottom w:val="single" w:color="000000" w:sz="4" w:space="0"/>
              <w:right w:val="single" w:color="000000" w:sz="4" w:space="0"/>
            </w:tcBorders>
            <w:vAlign w:val="center"/>
          </w:tcPr>
          <w:p w14:paraId="7E2FE5B6">
            <w:pPr>
              <w:rPr>
                <w:rFonts w:ascii="宋体" w:hAnsi="宋体" w:cs="宋体"/>
                <w:szCs w:val="21"/>
                <w:highlight w:val="none"/>
              </w:rPr>
            </w:pPr>
            <w:r>
              <w:rPr>
                <w:rFonts w:hint="eastAsia" w:ascii="宋体" w:hAnsi="宋体" w:cs="宋体"/>
                <w:szCs w:val="21"/>
                <w:highlight w:val="none"/>
              </w:rPr>
              <w:t>1.应支持资源的重命名、删除、批量删除操作；</w:t>
            </w:r>
          </w:p>
          <w:p w14:paraId="1FB958C5">
            <w:pPr>
              <w:rPr>
                <w:rFonts w:ascii="宋体" w:hAnsi="宋体" w:cs="宋体"/>
                <w:szCs w:val="21"/>
                <w:highlight w:val="none"/>
              </w:rPr>
            </w:pPr>
            <w:r>
              <w:rPr>
                <w:rFonts w:hint="eastAsia" w:ascii="宋体" w:hAnsi="宋体" w:cs="宋体"/>
                <w:szCs w:val="21"/>
                <w:highlight w:val="none"/>
              </w:rPr>
              <w:t>2.应支持资源详情查询，展示名称、格式、大小、状态、创建时间、构建时间等信息；</w:t>
            </w:r>
          </w:p>
          <w:p w14:paraId="1D838B1D">
            <w:pPr>
              <w:rPr>
                <w:rFonts w:ascii="宋体" w:hAnsi="宋体" w:cs="宋体"/>
                <w:szCs w:val="21"/>
                <w:highlight w:val="none"/>
              </w:rPr>
            </w:pPr>
            <w:r>
              <w:rPr>
                <w:rFonts w:hint="eastAsia" w:ascii="宋体" w:hAnsi="宋体" w:cs="宋体"/>
                <w:szCs w:val="21"/>
                <w:highlight w:val="none"/>
              </w:rPr>
              <w:t>3.应支持资源按标签筛选和分页浏览；</w:t>
            </w:r>
          </w:p>
          <w:p w14:paraId="383683C7">
            <w:pPr>
              <w:rPr>
                <w:rFonts w:ascii="宋体" w:hAnsi="宋体" w:cs="宋体"/>
                <w:szCs w:val="21"/>
                <w:highlight w:val="none"/>
              </w:rPr>
            </w:pPr>
            <w:r>
              <w:rPr>
                <w:rFonts w:hint="eastAsia" w:ascii="宋体" w:hAnsi="宋体" w:cs="宋体"/>
                <w:szCs w:val="21"/>
                <w:highlight w:val="none"/>
              </w:rPr>
              <w:t>4.应支持资源批量下载（ZIP打包）；</w:t>
            </w:r>
          </w:p>
          <w:p w14:paraId="3AEC520C">
            <w:pPr>
              <w:rPr>
                <w:rFonts w:ascii="宋体" w:hAnsi="宋体" w:cs="宋体"/>
                <w:szCs w:val="21"/>
                <w:highlight w:val="none"/>
              </w:rPr>
            </w:pPr>
            <w:r>
              <w:rPr>
                <w:rFonts w:hint="eastAsia" w:ascii="宋体" w:hAnsi="宋体" w:cs="宋体"/>
                <w:szCs w:val="21"/>
                <w:highlight w:val="none"/>
              </w:rPr>
              <w:t>5.应支持资源在线预览；</w:t>
            </w:r>
          </w:p>
          <w:p w14:paraId="35D375CF">
            <w:pPr>
              <w:rPr>
                <w:rFonts w:ascii="宋体" w:hAnsi="宋体" w:cs="宋体"/>
                <w:szCs w:val="21"/>
                <w:highlight w:val="none"/>
              </w:rPr>
            </w:pPr>
            <w:r>
              <w:rPr>
                <w:rFonts w:hint="eastAsia" w:ascii="宋体" w:hAnsi="宋体" w:cs="宋体"/>
                <w:szCs w:val="21"/>
                <w:highlight w:val="none"/>
              </w:rPr>
              <w:t>6.应支持资源独立预览页，可在新窗口/新标签页中全屏查看资源，便于课标与教案的多窗口对照研读。</w:t>
            </w:r>
          </w:p>
        </w:tc>
        <w:tc>
          <w:tcPr>
            <w:tcW w:w="345" w:type="pct"/>
            <w:tcBorders>
              <w:top w:val="single" w:color="000000" w:sz="4" w:space="0"/>
              <w:left w:val="single" w:color="000000" w:sz="4" w:space="0"/>
              <w:bottom w:val="single" w:color="000000" w:sz="4" w:space="0"/>
              <w:right w:val="single" w:color="000000" w:sz="4" w:space="0"/>
            </w:tcBorders>
            <w:vAlign w:val="center"/>
          </w:tcPr>
          <w:p w14:paraId="2D9449CE">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5D720337">
            <w:pPr>
              <w:jc w:val="center"/>
              <w:rPr>
                <w:rFonts w:ascii="宋体" w:hAnsi="宋体" w:cs="宋体"/>
                <w:szCs w:val="21"/>
                <w:highlight w:val="none"/>
              </w:rPr>
            </w:pPr>
            <w:r>
              <w:rPr>
                <w:rFonts w:hint="eastAsia" w:ascii="宋体" w:hAnsi="宋体" w:cs="宋体"/>
                <w:szCs w:val="21"/>
                <w:highlight w:val="none"/>
              </w:rPr>
              <w:t>套</w:t>
            </w:r>
          </w:p>
        </w:tc>
      </w:tr>
      <w:tr w14:paraId="223277B7">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6CEAD059">
            <w:pPr>
              <w:numPr>
                <w:ilvl w:val="255"/>
                <w:numId w:val="0"/>
              </w:numPr>
              <w:rPr>
                <w:rFonts w:ascii="宋体" w:hAnsi="宋体" w:cs="宋体"/>
                <w:szCs w:val="21"/>
                <w:highlight w:val="none"/>
              </w:rPr>
            </w:pPr>
            <w:r>
              <w:rPr>
                <w:rFonts w:hint="eastAsia" w:ascii="宋体" w:hAnsi="宋体" w:cs="宋体"/>
                <w:b/>
                <w:szCs w:val="21"/>
                <w:highlight w:val="none"/>
              </w:rPr>
              <w:t>（四）RAG智能问答系统</w:t>
            </w:r>
          </w:p>
        </w:tc>
      </w:tr>
      <w:tr w14:paraId="16CD5658">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7E62F22C">
            <w:pPr>
              <w:jc w:val="center"/>
              <w:rPr>
                <w:rFonts w:ascii="宋体" w:hAnsi="宋体" w:cs="宋体"/>
                <w:szCs w:val="21"/>
                <w:highlight w:val="none"/>
              </w:rPr>
            </w:pPr>
            <w:r>
              <w:rPr>
                <w:rFonts w:hint="eastAsia" w:ascii="宋体" w:hAnsi="宋体" w:cs="宋体"/>
                <w:szCs w:val="21"/>
                <w:highlight w:val="none"/>
              </w:rPr>
              <w:t>31</w:t>
            </w:r>
          </w:p>
        </w:tc>
        <w:tc>
          <w:tcPr>
            <w:tcW w:w="1389" w:type="pct"/>
            <w:tcBorders>
              <w:top w:val="single" w:color="000000" w:sz="4" w:space="0"/>
              <w:left w:val="single" w:color="000000" w:sz="4" w:space="0"/>
              <w:bottom w:val="single" w:color="000000" w:sz="4" w:space="0"/>
              <w:right w:val="single" w:color="000000" w:sz="4" w:space="0"/>
            </w:tcBorders>
            <w:vAlign w:val="center"/>
          </w:tcPr>
          <w:p w14:paraId="07B08448">
            <w:pPr>
              <w:rPr>
                <w:rFonts w:ascii="宋体" w:hAnsi="宋体" w:cs="宋体"/>
                <w:szCs w:val="21"/>
                <w:highlight w:val="none"/>
              </w:rPr>
            </w:pPr>
            <w:r>
              <w:rPr>
                <w:rFonts w:hint="eastAsia" w:ascii="宋体" w:hAnsi="宋体" w:cs="宋体"/>
                <w:szCs w:val="21"/>
                <w:highlight w:val="none"/>
              </w:rPr>
              <w:t>RAG智能问答系统-流式对话</w:t>
            </w:r>
          </w:p>
        </w:tc>
        <w:tc>
          <w:tcPr>
            <w:tcW w:w="2609" w:type="pct"/>
            <w:tcBorders>
              <w:top w:val="single" w:color="000000" w:sz="4" w:space="0"/>
              <w:left w:val="single" w:color="000000" w:sz="4" w:space="0"/>
              <w:bottom w:val="single" w:color="000000" w:sz="4" w:space="0"/>
              <w:right w:val="single" w:color="000000" w:sz="4" w:space="0"/>
            </w:tcBorders>
            <w:vAlign w:val="center"/>
          </w:tcPr>
          <w:p w14:paraId="50470924">
            <w:pPr>
              <w:rPr>
                <w:rFonts w:ascii="宋体" w:hAnsi="宋体" w:cs="宋体"/>
                <w:b/>
                <w:bCs/>
                <w:szCs w:val="21"/>
                <w:highlight w:val="none"/>
              </w:rPr>
            </w:pPr>
            <w:r>
              <w:rPr>
                <w:rFonts w:hint="eastAsia" w:ascii="宋体" w:hAnsi="宋体" w:cs="宋体"/>
                <w:szCs w:val="21"/>
                <w:highlight w:val="none"/>
              </w:rPr>
              <w:t>1.应支持点击浮窗对知识库进行问答体验，应支持点击问答调试按钮跳转调试页面，对检索设置和问答设置参数进行设置</w:t>
            </w:r>
            <w:r>
              <w:rPr>
                <w:rFonts w:hint="eastAsia" w:ascii="宋体" w:hAnsi="宋体" w:cs="宋体"/>
                <w:b/>
                <w:bCs/>
                <w:szCs w:val="21"/>
                <w:highlight w:val="none"/>
              </w:rPr>
              <w:t>；</w:t>
            </w:r>
          </w:p>
          <w:p w14:paraId="33ACD59A">
            <w:pPr>
              <w:rPr>
                <w:rFonts w:ascii="宋体" w:hAnsi="宋体" w:cs="宋体"/>
                <w:szCs w:val="21"/>
                <w:highlight w:val="none"/>
              </w:rPr>
            </w:pPr>
            <w:r>
              <w:rPr>
                <w:rFonts w:hint="eastAsia" w:ascii="宋体" w:hAnsi="宋体" w:cs="宋体"/>
                <w:szCs w:val="21"/>
                <w:highlight w:val="none"/>
              </w:rPr>
              <w:t>2.应支持SSE流式输出，实时逐字展示AI回答内容，响应延迟≤3秒；</w:t>
            </w:r>
          </w:p>
          <w:p w14:paraId="1906D5BF">
            <w:pPr>
              <w:rPr>
                <w:rFonts w:ascii="宋体" w:hAnsi="宋体" w:cs="宋体"/>
                <w:szCs w:val="21"/>
                <w:highlight w:val="none"/>
              </w:rPr>
            </w:pPr>
            <w:r>
              <w:rPr>
                <w:rFonts w:hint="eastAsia" w:ascii="宋体" w:hAnsi="宋体" w:cs="宋体"/>
                <w:szCs w:val="21"/>
                <w:highlight w:val="none"/>
              </w:rPr>
              <w:t>3.应支持Markdown格式回答渲染，包括标题、列表、表格、代码块（语法高亮）等；</w:t>
            </w:r>
          </w:p>
          <w:p w14:paraId="2C8858C3">
            <w:pPr>
              <w:rPr>
                <w:rFonts w:ascii="宋体" w:hAnsi="宋体" w:cs="宋体"/>
                <w:szCs w:val="21"/>
                <w:highlight w:val="none"/>
              </w:rPr>
            </w:pPr>
            <w:r>
              <w:rPr>
                <w:rFonts w:hint="eastAsia" w:ascii="宋体" w:hAnsi="宋体" w:cs="宋体"/>
                <w:szCs w:val="21"/>
                <w:highlight w:val="none"/>
              </w:rPr>
              <w:t>4.应支持回答内容的引用来源标注，用户可查看回答所引用的具体资源片段；</w:t>
            </w:r>
          </w:p>
          <w:p w14:paraId="069D6637">
            <w:pPr>
              <w:rPr>
                <w:rFonts w:ascii="宋体" w:hAnsi="宋体" w:cs="宋体"/>
                <w:szCs w:val="21"/>
                <w:highlight w:val="none"/>
              </w:rPr>
            </w:pPr>
            <w:r>
              <w:rPr>
                <w:rFonts w:hint="eastAsia" w:ascii="宋体" w:hAnsi="宋体" w:cs="宋体"/>
                <w:szCs w:val="21"/>
                <w:highlight w:val="none"/>
              </w:rPr>
              <w:t>5.应支持回答重新生成功能；</w:t>
            </w:r>
          </w:p>
          <w:p w14:paraId="5416A8F9">
            <w:pPr>
              <w:rPr>
                <w:rFonts w:ascii="宋体" w:hAnsi="宋体" w:cs="宋体"/>
                <w:szCs w:val="21"/>
                <w:highlight w:val="none"/>
              </w:rPr>
            </w:pPr>
            <w:r>
              <w:rPr>
                <w:rFonts w:hint="eastAsia" w:ascii="宋体" w:hAnsi="宋体" w:cs="宋体"/>
                <w:szCs w:val="21"/>
                <w:highlight w:val="none"/>
              </w:rPr>
              <w:t>6.应支持AI回答的思考过程实时展示，适配具备推理能力的大模型，实现"先展示推理链、再展示最终答案"的可解释对话体验；</w:t>
            </w:r>
          </w:p>
          <w:p w14:paraId="4D5B559C">
            <w:pPr>
              <w:rPr>
                <w:rFonts w:ascii="宋体" w:hAnsi="宋体" w:cs="宋体"/>
                <w:szCs w:val="21"/>
                <w:highlight w:val="none"/>
              </w:rPr>
            </w:pPr>
            <w:r>
              <w:rPr>
                <w:rFonts w:hint="eastAsia" w:ascii="宋体" w:hAnsi="宋体" w:cs="宋体"/>
                <w:szCs w:val="21"/>
                <w:highlight w:val="none"/>
              </w:rPr>
              <w:t>7.应为每次AI回答生成唯一操作标识，便于对话溯源、审计和问题复现；</w:t>
            </w:r>
          </w:p>
          <w:p w14:paraId="277E8290">
            <w:pPr>
              <w:rPr>
                <w:rFonts w:ascii="宋体" w:hAnsi="宋体" w:cs="宋体"/>
                <w:szCs w:val="21"/>
                <w:highlight w:val="none"/>
              </w:rPr>
            </w:pPr>
            <w:r>
              <w:rPr>
                <w:rFonts w:hint="eastAsia" w:ascii="宋体" w:hAnsi="宋体" w:cs="宋体"/>
                <w:szCs w:val="21"/>
                <w:highlight w:val="none"/>
              </w:rPr>
              <w:t>8.应支持流式输出的中断能力，用户可随时停止生成；会话关闭或页面切换时应自动释放连接资源，防止资源泄漏。</w:t>
            </w:r>
          </w:p>
        </w:tc>
        <w:tc>
          <w:tcPr>
            <w:tcW w:w="345" w:type="pct"/>
            <w:tcBorders>
              <w:top w:val="single" w:color="000000" w:sz="4" w:space="0"/>
              <w:left w:val="single" w:color="000000" w:sz="4" w:space="0"/>
              <w:bottom w:val="single" w:color="000000" w:sz="4" w:space="0"/>
              <w:right w:val="single" w:color="000000" w:sz="4" w:space="0"/>
            </w:tcBorders>
            <w:vAlign w:val="center"/>
          </w:tcPr>
          <w:p w14:paraId="3BB88512">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30316F0A">
            <w:pPr>
              <w:jc w:val="center"/>
              <w:rPr>
                <w:rFonts w:ascii="宋体" w:hAnsi="宋体" w:cs="宋体"/>
                <w:szCs w:val="21"/>
                <w:highlight w:val="none"/>
              </w:rPr>
            </w:pPr>
            <w:r>
              <w:rPr>
                <w:rFonts w:hint="eastAsia" w:ascii="宋体" w:hAnsi="宋体" w:cs="宋体"/>
                <w:szCs w:val="21"/>
                <w:highlight w:val="none"/>
              </w:rPr>
              <w:t>套</w:t>
            </w:r>
          </w:p>
        </w:tc>
      </w:tr>
      <w:tr w14:paraId="5AFAE37C">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1D7D894">
            <w:pPr>
              <w:jc w:val="center"/>
              <w:rPr>
                <w:rFonts w:ascii="宋体" w:hAnsi="宋体" w:cs="宋体"/>
                <w:szCs w:val="21"/>
                <w:highlight w:val="none"/>
              </w:rPr>
            </w:pPr>
            <w:r>
              <w:rPr>
                <w:rFonts w:hint="eastAsia" w:ascii="宋体" w:hAnsi="宋体" w:cs="宋体"/>
                <w:szCs w:val="21"/>
                <w:highlight w:val="none"/>
              </w:rPr>
              <w:t>32</w:t>
            </w:r>
          </w:p>
        </w:tc>
        <w:tc>
          <w:tcPr>
            <w:tcW w:w="1389" w:type="pct"/>
            <w:tcBorders>
              <w:top w:val="single" w:color="000000" w:sz="4" w:space="0"/>
              <w:left w:val="single" w:color="000000" w:sz="4" w:space="0"/>
              <w:bottom w:val="single" w:color="000000" w:sz="4" w:space="0"/>
              <w:right w:val="single" w:color="000000" w:sz="4" w:space="0"/>
            </w:tcBorders>
            <w:vAlign w:val="center"/>
          </w:tcPr>
          <w:p w14:paraId="702EFD31">
            <w:pPr>
              <w:rPr>
                <w:rFonts w:ascii="宋体" w:hAnsi="宋体" w:cs="宋体"/>
                <w:szCs w:val="21"/>
                <w:highlight w:val="none"/>
              </w:rPr>
            </w:pPr>
            <w:r>
              <w:rPr>
                <w:rFonts w:hint="eastAsia" w:ascii="宋体" w:hAnsi="宋体" w:cs="宋体"/>
                <w:szCs w:val="21"/>
                <w:highlight w:val="none"/>
              </w:rPr>
              <w:t>RAG智能问答系统-多轮对话管理</w:t>
            </w:r>
          </w:p>
        </w:tc>
        <w:tc>
          <w:tcPr>
            <w:tcW w:w="2609" w:type="pct"/>
            <w:tcBorders>
              <w:top w:val="single" w:color="000000" w:sz="4" w:space="0"/>
              <w:left w:val="single" w:color="000000" w:sz="4" w:space="0"/>
              <w:bottom w:val="single" w:color="000000" w:sz="4" w:space="0"/>
              <w:right w:val="single" w:color="000000" w:sz="4" w:space="0"/>
            </w:tcBorders>
            <w:vAlign w:val="center"/>
          </w:tcPr>
          <w:p w14:paraId="0C7AECD0">
            <w:pPr>
              <w:rPr>
                <w:rFonts w:ascii="宋体" w:hAnsi="宋体" w:cs="宋体"/>
                <w:szCs w:val="21"/>
                <w:highlight w:val="none"/>
              </w:rPr>
            </w:pPr>
            <w:r>
              <w:rPr>
                <w:rFonts w:hint="eastAsia" w:ascii="宋体" w:hAnsi="宋体" w:cs="宋体"/>
                <w:szCs w:val="21"/>
                <w:highlight w:val="none"/>
              </w:rPr>
              <w:t>1.应支持对话会话的创建、重命名、删除、批量删除；</w:t>
            </w:r>
          </w:p>
          <w:p w14:paraId="0F815CF6">
            <w:pPr>
              <w:rPr>
                <w:rFonts w:ascii="宋体" w:hAnsi="宋体" w:cs="宋体"/>
                <w:szCs w:val="21"/>
                <w:highlight w:val="none"/>
              </w:rPr>
            </w:pPr>
            <w:r>
              <w:rPr>
                <w:rFonts w:hint="eastAsia" w:ascii="宋体" w:hAnsi="宋体" w:cs="宋体"/>
                <w:szCs w:val="21"/>
                <w:highlight w:val="none"/>
              </w:rPr>
              <w:t>2.应支持多轮对话上下文保持，可配置历史对话保留轮数；</w:t>
            </w:r>
          </w:p>
          <w:p w14:paraId="0DEFD82B">
            <w:pPr>
              <w:rPr>
                <w:rFonts w:ascii="宋体" w:hAnsi="宋体" w:cs="宋体"/>
                <w:szCs w:val="21"/>
                <w:highlight w:val="none"/>
              </w:rPr>
            </w:pPr>
            <w:r>
              <w:rPr>
                <w:rFonts w:hint="eastAsia" w:ascii="宋体" w:hAnsi="宋体" w:cs="宋体"/>
                <w:szCs w:val="21"/>
                <w:highlight w:val="none"/>
              </w:rPr>
              <w:t>3.应支持对话消息的查询（分页）和批量删除；</w:t>
            </w:r>
          </w:p>
          <w:p w14:paraId="1F117F24">
            <w:pPr>
              <w:rPr>
                <w:rFonts w:ascii="宋体" w:hAnsi="宋体" w:cs="宋体"/>
                <w:szCs w:val="21"/>
                <w:highlight w:val="none"/>
              </w:rPr>
            </w:pPr>
            <w:r>
              <w:rPr>
                <w:rFonts w:hint="eastAsia" w:ascii="宋体" w:hAnsi="宋体" w:cs="宋体"/>
                <w:szCs w:val="21"/>
                <w:highlight w:val="none"/>
              </w:rPr>
              <w:t>4.应支持同一知识库下创建多个独立对话会话，便于师范生围绕不同教学设计主题开展探究式问答；</w:t>
            </w:r>
          </w:p>
          <w:p w14:paraId="7CF8E5F7">
            <w:pPr>
              <w:rPr>
                <w:rFonts w:ascii="宋体" w:hAnsi="宋体" w:cs="宋体"/>
                <w:szCs w:val="21"/>
                <w:highlight w:val="none"/>
              </w:rPr>
            </w:pPr>
            <w:r>
              <w:rPr>
                <w:rFonts w:hint="eastAsia" w:ascii="宋体" w:hAnsi="宋体" w:cs="宋体"/>
                <w:szCs w:val="21"/>
                <w:highlight w:val="none"/>
              </w:rPr>
              <w:t>5.应支持对话消息的更新能力，便于后端回填思考过程、引用数据等异步返回字段。</w:t>
            </w:r>
          </w:p>
        </w:tc>
        <w:tc>
          <w:tcPr>
            <w:tcW w:w="345" w:type="pct"/>
            <w:tcBorders>
              <w:top w:val="single" w:color="000000" w:sz="4" w:space="0"/>
              <w:left w:val="single" w:color="000000" w:sz="4" w:space="0"/>
              <w:bottom w:val="single" w:color="000000" w:sz="4" w:space="0"/>
              <w:right w:val="single" w:color="000000" w:sz="4" w:space="0"/>
            </w:tcBorders>
            <w:vAlign w:val="center"/>
          </w:tcPr>
          <w:p w14:paraId="0730B01A">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1A9D4970">
            <w:pPr>
              <w:jc w:val="center"/>
              <w:rPr>
                <w:rFonts w:ascii="宋体" w:hAnsi="宋体" w:cs="宋体"/>
                <w:szCs w:val="21"/>
                <w:highlight w:val="none"/>
              </w:rPr>
            </w:pPr>
            <w:r>
              <w:rPr>
                <w:rFonts w:hint="eastAsia" w:ascii="宋体" w:hAnsi="宋体" w:cs="宋体"/>
                <w:szCs w:val="21"/>
                <w:highlight w:val="none"/>
              </w:rPr>
              <w:t>套</w:t>
            </w:r>
          </w:p>
        </w:tc>
      </w:tr>
      <w:tr w14:paraId="45008DB3">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28B8E15">
            <w:pPr>
              <w:jc w:val="center"/>
              <w:rPr>
                <w:rFonts w:ascii="宋体" w:hAnsi="宋体" w:cs="宋体"/>
                <w:szCs w:val="21"/>
                <w:highlight w:val="none"/>
              </w:rPr>
            </w:pPr>
            <w:r>
              <w:rPr>
                <w:rFonts w:hint="eastAsia" w:ascii="宋体" w:hAnsi="宋体" w:cs="宋体"/>
                <w:szCs w:val="21"/>
                <w:highlight w:val="none"/>
              </w:rPr>
              <w:t>33</w:t>
            </w:r>
          </w:p>
        </w:tc>
        <w:tc>
          <w:tcPr>
            <w:tcW w:w="1389" w:type="pct"/>
            <w:tcBorders>
              <w:top w:val="single" w:color="000000" w:sz="4" w:space="0"/>
              <w:left w:val="single" w:color="000000" w:sz="4" w:space="0"/>
              <w:bottom w:val="single" w:color="000000" w:sz="4" w:space="0"/>
              <w:right w:val="single" w:color="000000" w:sz="4" w:space="0"/>
            </w:tcBorders>
            <w:vAlign w:val="center"/>
          </w:tcPr>
          <w:p w14:paraId="6ADEA661">
            <w:pPr>
              <w:rPr>
                <w:rFonts w:ascii="宋体" w:hAnsi="宋体" w:cs="宋体"/>
                <w:szCs w:val="21"/>
                <w:highlight w:val="none"/>
              </w:rPr>
            </w:pPr>
            <w:r>
              <w:rPr>
                <w:rFonts w:hint="eastAsia" w:ascii="宋体" w:hAnsi="宋体" w:cs="宋体"/>
                <w:szCs w:val="21"/>
                <w:highlight w:val="none"/>
              </w:rPr>
              <w:t>RAG智能问答系统-混合检索与重排</w:t>
            </w:r>
          </w:p>
        </w:tc>
        <w:tc>
          <w:tcPr>
            <w:tcW w:w="2609" w:type="pct"/>
            <w:tcBorders>
              <w:top w:val="single" w:color="000000" w:sz="4" w:space="0"/>
              <w:left w:val="single" w:color="000000" w:sz="4" w:space="0"/>
              <w:bottom w:val="single" w:color="000000" w:sz="4" w:space="0"/>
              <w:right w:val="single" w:color="000000" w:sz="4" w:space="0"/>
            </w:tcBorders>
            <w:vAlign w:val="center"/>
          </w:tcPr>
          <w:p w14:paraId="6112CC9E">
            <w:pPr>
              <w:rPr>
                <w:rFonts w:ascii="宋体" w:hAnsi="宋体" w:cs="宋体"/>
                <w:szCs w:val="21"/>
                <w:highlight w:val="none"/>
              </w:rPr>
            </w:pPr>
            <w:r>
              <w:rPr>
                <w:rFonts w:hint="eastAsia" w:ascii="宋体" w:hAnsi="宋体" w:cs="宋体"/>
                <w:szCs w:val="21"/>
                <w:highlight w:val="none"/>
              </w:rPr>
              <w:t>1.应支持混合检索策略，同时进行向量语义检索、全文关键词检索、FAQ精确匹配三种检索方式；</w:t>
            </w:r>
          </w:p>
          <w:p w14:paraId="15270217">
            <w:pPr>
              <w:rPr>
                <w:rFonts w:ascii="宋体" w:hAnsi="宋体" w:cs="宋体"/>
                <w:szCs w:val="21"/>
                <w:highlight w:val="none"/>
              </w:rPr>
            </w:pPr>
            <w:r>
              <w:rPr>
                <w:rFonts w:hint="eastAsia" w:ascii="宋体" w:hAnsi="宋体" w:cs="宋体"/>
                <w:szCs w:val="21"/>
                <w:highlight w:val="none"/>
              </w:rPr>
              <w:t>2.应支持检索结果重排序，使用重排模型对检索结果进行二次排序，提升课标教材知识问答的准确性；</w:t>
            </w:r>
          </w:p>
          <w:p w14:paraId="4D4CCC17">
            <w:pPr>
              <w:rPr>
                <w:rFonts w:ascii="宋体" w:hAnsi="宋体" w:cs="宋体"/>
                <w:szCs w:val="21"/>
                <w:highlight w:val="none"/>
              </w:rPr>
            </w:pPr>
            <w:r>
              <w:rPr>
                <w:rFonts w:hint="eastAsia" w:ascii="宋体" w:hAnsi="宋体" w:cs="宋体"/>
                <w:szCs w:val="21"/>
                <w:highlight w:val="none"/>
              </w:rPr>
              <w:t>3.应支持自定义检索参数配置，包括向量检索条数、全文检索条数、相似度阈值、FAQ匹配阈值均可调节；</w:t>
            </w:r>
          </w:p>
          <w:p w14:paraId="280E2E94">
            <w:pPr>
              <w:rPr>
                <w:rFonts w:ascii="宋体" w:hAnsi="宋体" w:cs="宋体"/>
                <w:szCs w:val="21"/>
                <w:highlight w:val="none"/>
              </w:rPr>
            </w:pPr>
            <w:r>
              <w:rPr>
                <w:rFonts w:hint="eastAsia" w:ascii="宋体" w:hAnsi="宋体" w:cs="宋体"/>
                <w:szCs w:val="21"/>
                <w:highlight w:val="none"/>
              </w:rPr>
              <w:t>4.应支持检索算法选择，适配不同规模知识库；</w:t>
            </w:r>
          </w:p>
        </w:tc>
        <w:tc>
          <w:tcPr>
            <w:tcW w:w="345" w:type="pct"/>
            <w:tcBorders>
              <w:top w:val="single" w:color="000000" w:sz="4" w:space="0"/>
              <w:left w:val="single" w:color="000000" w:sz="4" w:space="0"/>
              <w:bottom w:val="single" w:color="000000" w:sz="4" w:space="0"/>
              <w:right w:val="single" w:color="000000" w:sz="4" w:space="0"/>
            </w:tcBorders>
            <w:vAlign w:val="center"/>
          </w:tcPr>
          <w:p w14:paraId="7BCB1595">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66413DA2">
            <w:pPr>
              <w:jc w:val="center"/>
              <w:rPr>
                <w:rFonts w:ascii="宋体" w:hAnsi="宋体" w:cs="宋体"/>
                <w:szCs w:val="21"/>
                <w:highlight w:val="none"/>
              </w:rPr>
            </w:pPr>
            <w:r>
              <w:rPr>
                <w:rFonts w:hint="eastAsia" w:ascii="宋体" w:hAnsi="宋体" w:cs="宋体"/>
                <w:szCs w:val="21"/>
                <w:highlight w:val="none"/>
              </w:rPr>
              <w:t>套</w:t>
            </w:r>
          </w:p>
        </w:tc>
      </w:tr>
      <w:tr w14:paraId="25626C62">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05C15265">
            <w:pPr>
              <w:jc w:val="center"/>
              <w:rPr>
                <w:rFonts w:ascii="宋体" w:hAnsi="宋体" w:cs="宋体"/>
                <w:szCs w:val="21"/>
                <w:highlight w:val="none"/>
              </w:rPr>
            </w:pPr>
            <w:r>
              <w:rPr>
                <w:rFonts w:hint="eastAsia" w:ascii="宋体" w:hAnsi="宋体" w:cs="宋体"/>
                <w:szCs w:val="21"/>
                <w:highlight w:val="none"/>
              </w:rPr>
              <w:t>34</w:t>
            </w:r>
          </w:p>
        </w:tc>
        <w:tc>
          <w:tcPr>
            <w:tcW w:w="1389" w:type="pct"/>
            <w:tcBorders>
              <w:top w:val="single" w:color="000000" w:sz="4" w:space="0"/>
              <w:left w:val="single" w:color="000000" w:sz="4" w:space="0"/>
              <w:bottom w:val="single" w:color="000000" w:sz="4" w:space="0"/>
              <w:right w:val="single" w:color="000000" w:sz="4" w:space="0"/>
            </w:tcBorders>
            <w:vAlign w:val="center"/>
          </w:tcPr>
          <w:p w14:paraId="48EEA35C">
            <w:pPr>
              <w:rPr>
                <w:rFonts w:ascii="宋体" w:hAnsi="宋体" w:cs="宋体"/>
                <w:szCs w:val="21"/>
                <w:highlight w:val="none"/>
              </w:rPr>
            </w:pPr>
            <w:r>
              <w:rPr>
                <w:rFonts w:hint="eastAsia" w:ascii="宋体" w:hAnsi="宋体" w:cs="宋体"/>
                <w:szCs w:val="21"/>
                <w:highlight w:val="none"/>
              </w:rPr>
              <w:t>RAG智能问答系统-对话配置中心</w:t>
            </w:r>
          </w:p>
        </w:tc>
        <w:tc>
          <w:tcPr>
            <w:tcW w:w="2609" w:type="pct"/>
            <w:tcBorders>
              <w:top w:val="single" w:color="000000" w:sz="4" w:space="0"/>
              <w:left w:val="single" w:color="000000" w:sz="4" w:space="0"/>
              <w:bottom w:val="single" w:color="000000" w:sz="4" w:space="0"/>
              <w:right w:val="single" w:color="000000" w:sz="4" w:space="0"/>
            </w:tcBorders>
            <w:vAlign w:val="center"/>
          </w:tcPr>
          <w:p w14:paraId="758177DC">
            <w:pPr>
              <w:rPr>
                <w:rFonts w:ascii="宋体" w:hAnsi="宋体" w:cs="宋体"/>
                <w:szCs w:val="21"/>
                <w:highlight w:val="none"/>
              </w:rPr>
            </w:pPr>
            <w:r>
              <w:rPr>
                <w:rFonts w:hint="eastAsia" w:ascii="宋体" w:hAnsi="宋体" w:cs="宋体"/>
                <w:szCs w:val="21"/>
                <w:highlight w:val="none"/>
              </w:rPr>
              <w:t>1.应支持不少于6种对话参数的灵活配置，包括温度、采样参数、最大响应Token数、提示词Token限制、历史Token限制、多轮对话轮数；</w:t>
            </w:r>
          </w:p>
          <w:p w14:paraId="6AD6B030">
            <w:pPr>
              <w:rPr>
                <w:rFonts w:ascii="宋体" w:hAnsi="宋体" w:cs="宋体"/>
                <w:szCs w:val="21"/>
                <w:highlight w:val="none"/>
              </w:rPr>
            </w:pPr>
            <w:r>
              <w:rPr>
                <w:rFonts w:hint="eastAsia" w:ascii="宋体" w:hAnsi="宋体" w:cs="宋体"/>
                <w:szCs w:val="21"/>
                <w:highlight w:val="none"/>
              </w:rPr>
              <w:t>2.应支持系统提示词自定义配置，定义AI角色和回答风格，可将AI设定为学科教学指导专家等教师教育角色；</w:t>
            </w:r>
          </w:p>
          <w:p w14:paraId="5B9E8B52">
            <w:pPr>
              <w:rPr>
                <w:rFonts w:ascii="宋体" w:hAnsi="宋体" w:cs="宋体"/>
                <w:szCs w:val="21"/>
                <w:highlight w:val="none"/>
              </w:rPr>
            </w:pPr>
            <w:r>
              <w:rPr>
                <w:rFonts w:hint="eastAsia" w:ascii="宋体" w:hAnsi="宋体" w:cs="宋体"/>
                <w:szCs w:val="21"/>
                <w:highlight w:val="none"/>
              </w:rPr>
              <w:t>3.应支持用户提示词模板配置，支持变量占位符；</w:t>
            </w:r>
          </w:p>
          <w:p w14:paraId="26B113F4">
            <w:pPr>
              <w:rPr>
                <w:rFonts w:ascii="宋体" w:hAnsi="宋体" w:cs="宋体"/>
                <w:szCs w:val="21"/>
                <w:highlight w:val="none"/>
              </w:rPr>
            </w:pPr>
            <w:r>
              <w:rPr>
                <w:rFonts w:hint="eastAsia" w:ascii="宋体" w:hAnsi="宋体" w:cs="宋体"/>
                <w:szCs w:val="21"/>
                <w:highlight w:val="none"/>
              </w:rPr>
              <w:t>4.应支持问题改写功能：开启后AI自动改写用户问题以提升检索效果，可自定义改写提示词；</w:t>
            </w:r>
          </w:p>
          <w:p w14:paraId="61FBD192">
            <w:pPr>
              <w:rPr>
                <w:rFonts w:ascii="宋体" w:hAnsi="宋体" w:cs="宋体"/>
                <w:szCs w:val="21"/>
                <w:highlight w:val="none"/>
              </w:rPr>
            </w:pPr>
            <w:r>
              <w:rPr>
                <w:rFonts w:hint="eastAsia" w:ascii="宋体" w:hAnsi="宋体" w:cs="宋体"/>
                <w:szCs w:val="21"/>
                <w:highlight w:val="none"/>
              </w:rPr>
              <w:t>5.应支持兜底回复配置：当检索无结果时返回预设兜底回复内容，可引导师范生补充教学背景信息或咨询指导教师；</w:t>
            </w:r>
          </w:p>
          <w:p w14:paraId="3C153C14">
            <w:pPr>
              <w:rPr>
                <w:rFonts w:ascii="宋体" w:hAnsi="宋体" w:cs="宋体"/>
                <w:szCs w:val="21"/>
                <w:highlight w:val="none"/>
              </w:rPr>
            </w:pPr>
            <w:r>
              <w:rPr>
                <w:rFonts w:hint="eastAsia" w:ascii="宋体" w:hAnsi="宋体" w:cs="宋体"/>
                <w:szCs w:val="21"/>
                <w:highlight w:val="none"/>
              </w:rPr>
              <w:t>6.应支持拒答策略配置：对敏感或超出教师教育知识范围的问题返回预设拒答内容；</w:t>
            </w:r>
          </w:p>
          <w:p w14:paraId="7C526D57">
            <w:pPr>
              <w:rPr>
                <w:rFonts w:ascii="宋体" w:hAnsi="宋体" w:cs="宋体"/>
                <w:szCs w:val="21"/>
                <w:highlight w:val="none"/>
              </w:rPr>
            </w:pPr>
            <w:r>
              <w:rPr>
                <w:rFonts w:hint="eastAsia" w:ascii="宋体" w:hAnsi="宋体" w:cs="宋体"/>
                <w:szCs w:val="21"/>
                <w:highlight w:val="none"/>
              </w:rPr>
              <w:t>7.应支持模型级默认配置和知识库级自定义配置的分层管理。</w:t>
            </w:r>
          </w:p>
        </w:tc>
        <w:tc>
          <w:tcPr>
            <w:tcW w:w="345" w:type="pct"/>
            <w:tcBorders>
              <w:top w:val="single" w:color="000000" w:sz="4" w:space="0"/>
              <w:left w:val="single" w:color="000000" w:sz="4" w:space="0"/>
              <w:bottom w:val="single" w:color="000000" w:sz="4" w:space="0"/>
              <w:right w:val="single" w:color="000000" w:sz="4" w:space="0"/>
            </w:tcBorders>
            <w:vAlign w:val="center"/>
          </w:tcPr>
          <w:p w14:paraId="211C488C">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44E02A17">
            <w:pPr>
              <w:jc w:val="center"/>
              <w:rPr>
                <w:rFonts w:ascii="宋体" w:hAnsi="宋体" w:cs="宋体"/>
                <w:szCs w:val="21"/>
                <w:highlight w:val="none"/>
              </w:rPr>
            </w:pPr>
            <w:r>
              <w:rPr>
                <w:rFonts w:hint="eastAsia" w:ascii="宋体" w:hAnsi="宋体" w:cs="宋体"/>
                <w:szCs w:val="21"/>
                <w:highlight w:val="none"/>
              </w:rPr>
              <w:t>套</w:t>
            </w:r>
          </w:p>
        </w:tc>
      </w:tr>
      <w:tr w14:paraId="4206C79C">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3880B733">
            <w:pPr>
              <w:jc w:val="center"/>
              <w:rPr>
                <w:rFonts w:ascii="宋体" w:hAnsi="宋体" w:cs="宋体"/>
                <w:szCs w:val="21"/>
                <w:highlight w:val="none"/>
              </w:rPr>
            </w:pPr>
            <w:r>
              <w:rPr>
                <w:rFonts w:hint="eastAsia" w:ascii="宋体" w:hAnsi="宋体" w:cs="宋体"/>
                <w:szCs w:val="21"/>
                <w:highlight w:val="none"/>
              </w:rPr>
              <w:t>35</w:t>
            </w:r>
          </w:p>
        </w:tc>
        <w:tc>
          <w:tcPr>
            <w:tcW w:w="1389" w:type="pct"/>
            <w:tcBorders>
              <w:top w:val="single" w:color="000000" w:sz="4" w:space="0"/>
              <w:left w:val="single" w:color="000000" w:sz="4" w:space="0"/>
              <w:bottom w:val="single" w:color="000000" w:sz="4" w:space="0"/>
              <w:right w:val="single" w:color="000000" w:sz="4" w:space="0"/>
            </w:tcBorders>
            <w:vAlign w:val="center"/>
          </w:tcPr>
          <w:p w14:paraId="3049B285">
            <w:pPr>
              <w:rPr>
                <w:rFonts w:ascii="宋体" w:hAnsi="宋体" w:cs="宋体"/>
                <w:szCs w:val="21"/>
                <w:highlight w:val="none"/>
              </w:rPr>
            </w:pPr>
            <w:r>
              <w:rPr>
                <w:rFonts w:hint="eastAsia" w:ascii="宋体" w:hAnsi="宋体" w:cs="宋体"/>
                <w:szCs w:val="21"/>
                <w:highlight w:val="none"/>
              </w:rPr>
              <w:t>RAG智能问答系统-模型管理</w:t>
            </w:r>
          </w:p>
        </w:tc>
        <w:tc>
          <w:tcPr>
            <w:tcW w:w="2609" w:type="pct"/>
            <w:tcBorders>
              <w:top w:val="single" w:color="000000" w:sz="4" w:space="0"/>
              <w:left w:val="single" w:color="000000" w:sz="4" w:space="0"/>
              <w:bottom w:val="single" w:color="000000" w:sz="4" w:space="0"/>
              <w:right w:val="single" w:color="000000" w:sz="4" w:space="0"/>
            </w:tcBorders>
            <w:vAlign w:val="center"/>
          </w:tcPr>
          <w:p w14:paraId="6DB59066">
            <w:pPr>
              <w:rPr>
                <w:rFonts w:ascii="宋体" w:hAnsi="宋体" w:cs="宋体"/>
                <w:szCs w:val="21"/>
                <w:highlight w:val="none"/>
              </w:rPr>
            </w:pPr>
            <w:r>
              <w:rPr>
                <w:rFonts w:hint="eastAsia" w:ascii="宋体" w:hAnsi="宋体" w:cs="宋体"/>
                <w:szCs w:val="21"/>
                <w:highlight w:val="none"/>
              </w:rPr>
              <w:t>1.应支持多模型接入，包括对话模型、向量模型、重排模型三类模型独立管理；</w:t>
            </w:r>
          </w:p>
          <w:p w14:paraId="0EAAEEBF">
            <w:pPr>
              <w:rPr>
                <w:rFonts w:ascii="宋体" w:hAnsi="宋体" w:cs="宋体"/>
                <w:szCs w:val="21"/>
                <w:highlight w:val="none"/>
              </w:rPr>
            </w:pPr>
            <w:r>
              <w:rPr>
                <w:rFonts w:hint="eastAsia" w:ascii="宋体" w:hAnsi="宋体" w:cs="宋体"/>
                <w:szCs w:val="21"/>
                <w:highlight w:val="none"/>
              </w:rPr>
              <w:t>2.应支持动态模型列表展示，用户可按需选择模型进行对话；</w:t>
            </w:r>
          </w:p>
          <w:p w14:paraId="011DE8D4">
            <w:pPr>
              <w:rPr>
                <w:rFonts w:ascii="宋体" w:hAnsi="宋体" w:cs="宋体"/>
                <w:szCs w:val="21"/>
                <w:highlight w:val="none"/>
              </w:rPr>
            </w:pPr>
            <w:r>
              <w:rPr>
                <w:rFonts w:hint="eastAsia" w:ascii="宋体" w:hAnsi="宋体" w:cs="宋体"/>
                <w:szCs w:val="21"/>
                <w:highlight w:val="none"/>
              </w:rPr>
              <w:t>3.应支持向量模型和重排模型的可选配置，学科知识库、教学法知识库、技术知识库等不同分库可关联不同模型；</w:t>
            </w:r>
          </w:p>
          <w:p w14:paraId="2D88560D">
            <w:pPr>
              <w:rPr>
                <w:rFonts w:ascii="宋体" w:hAnsi="宋体" w:cs="宋体"/>
                <w:szCs w:val="21"/>
                <w:highlight w:val="none"/>
              </w:rPr>
            </w:pPr>
            <w:r>
              <w:rPr>
                <w:rFonts w:hint="eastAsia" w:ascii="宋体" w:hAnsi="宋体" w:cs="宋体"/>
                <w:szCs w:val="21"/>
                <w:highlight w:val="none"/>
              </w:rPr>
              <w:t>4.应支持具备思考过程输出能力的推理模型独立接入与配置。</w:t>
            </w:r>
          </w:p>
        </w:tc>
        <w:tc>
          <w:tcPr>
            <w:tcW w:w="345" w:type="pct"/>
            <w:tcBorders>
              <w:top w:val="single" w:color="000000" w:sz="4" w:space="0"/>
              <w:left w:val="single" w:color="000000" w:sz="4" w:space="0"/>
              <w:bottom w:val="single" w:color="000000" w:sz="4" w:space="0"/>
              <w:right w:val="single" w:color="000000" w:sz="4" w:space="0"/>
            </w:tcBorders>
            <w:vAlign w:val="center"/>
          </w:tcPr>
          <w:p w14:paraId="507C7BFA">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406B43AE">
            <w:pPr>
              <w:jc w:val="center"/>
              <w:rPr>
                <w:rFonts w:ascii="宋体" w:hAnsi="宋体" w:cs="宋体"/>
                <w:szCs w:val="21"/>
                <w:highlight w:val="none"/>
              </w:rPr>
            </w:pPr>
            <w:r>
              <w:rPr>
                <w:rFonts w:hint="eastAsia" w:ascii="宋体" w:hAnsi="宋体" w:cs="宋体"/>
                <w:szCs w:val="21"/>
                <w:highlight w:val="none"/>
              </w:rPr>
              <w:t>套</w:t>
            </w:r>
          </w:p>
        </w:tc>
      </w:tr>
      <w:tr w14:paraId="4FC2D7A3">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3BBFCFC4">
            <w:pPr>
              <w:numPr>
                <w:ilvl w:val="255"/>
                <w:numId w:val="0"/>
              </w:numPr>
              <w:rPr>
                <w:rFonts w:ascii="宋体" w:hAnsi="宋体" w:cs="宋体"/>
                <w:szCs w:val="21"/>
                <w:highlight w:val="none"/>
              </w:rPr>
            </w:pPr>
            <w:r>
              <w:rPr>
                <w:rFonts w:hint="eastAsia" w:ascii="宋体" w:hAnsi="宋体" w:cs="宋体"/>
                <w:b/>
                <w:szCs w:val="21"/>
                <w:highlight w:val="none"/>
              </w:rPr>
              <w:t>（五）内容安全与敏感词管理</w:t>
            </w:r>
          </w:p>
        </w:tc>
      </w:tr>
      <w:tr w14:paraId="131168EA">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019EAE5A">
            <w:pPr>
              <w:jc w:val="center"/>
              <w:rPr>
                <w:rFonts w:ascii="宋体" w:hAnsi="宋体" w:cs="宋体"/>
                <w:szCs w:val="21"/>
                <w:highlight w:val="none"/>
              </w:rPr>
            </w:pPr>
            <w:r>
              <w:rPr>
                <w:rFonts w:hint="eastAsia" w:ascii="宋体" w:hAnsi="宋体" w:cs="宋体"/>
                <w:szCs w:val="21"/>
                <w:highlight w:val="none"/>
              </w:rPr>
              <w:t>36</w:t>
            </w:r>
          </w:p>
        </w:tc>
        <w:tc>
          <w:tcPr>
            <w:tcW w:w="1389" w:type="pct"/>
            <w:tcBorders>
              <w:top w:val="single" w:color="000000" w:sz="4" w:space="0"/>
              <w:left w:val="single" w:color="000000" w:sz="4" w:space="0"/>
              <w:bottom w:val="single" w:color="000000" w:sz="4" w:space="0"/>
              <w:right w:val="single" w:color="000000" w:sz="4" w:space="0"/>
            </w:tcBorders>
            <w:vAlign w:val="center"/>
          </w:tcPr>
          <w:p w14:paraId="634DBD69">
            <w:pPr>
              <w:rPr>
                <w:rFonts w:ascii="宋体" w:hAnsi="宋体" w:cs="宋体"/>
                <w:szCs w:val="21"/>
                <w:highlight w:val="none"/>
              </w:rPr>
            </w:pPr>
            <w:r>
              <w:rPr>
                <w:rFonts w:hint="eastAsia" w:ascii="宋体" w:hAnsi="宋体" w:cs="宋体"/>
                <w:szCs w:val="21"/>
                <w:highlight w:val="none"/>
              </w:rPr>
              <w:t>内容安全与敏感词管理-敏感词处理</w:t>
            </w:r>
          </w:p>
        </w:tc>
        <w:tc>
          <w:tcPr>
            <w:tcW w:w="2609" w:type="pct"/>
            <w:tcBorders>
              <w:top w:val="single" w:color="000000" w:sz="4" w:space="0"/>
              <w:left w:val="single" w:color="000000" w:sz="4" w:space="0"/>
              <w:bottom w:val="single" w:color="000000" w:sz="4" w:space="0"/>
              <w:right w:val="single" w:color="000000" w:sz="4" w:space="0"/>
            </w:tcBorders>
            <w:vAlign w:val="center"/>
          </w:tcPr>
          <w:p w14:paraId="477F6227">
            <w:pPr>
              <w:rPr>
                <w:rFonts w:ascii="宋体" w:hAnsi="宋体" w:cs="宋体"/>
                <w:szCs w:val="21"/>
                <w:highlight w:val="none"/>
              </w:rPr>
            </w:pPr>
            <w:r>
              <w:rPr>
                <w:rFonts w:hint="eastAsia" w:ascii="宋体" w:hAnsi="宋体" w:cs="宋体"/>
                <w:szCs w:val="21"/>
                <w:highlight w:val="none"/>
              </w:rPr>
              <w:t>1.应支持敏感词正向替换，敏感词词库适配教育内容安全与学科场景要求，对AI输出内容中的敏感词自动进行替换处理；</w:t>
            </w:r>
          </w:p>
          <w:p w14:paraId="20D09C15">
            <w:pPr>
              <w:rPr>
                <w:rFonts w:ascii="宋体" w:hAnsi="宋体" w:cs="宋体"/>
                <w:szCs w:val="21"/>
                <w:highlight w:val="none"/>
              </w:rPr>
            </w:pPr>
            <w:r>
              <w:rPr>
                <w:rFonts w:hint="eastAsia" w:ascii="宋体" w:hAnsi="宋体" w:cs="宋体"/>
                <w:szCs w:val="21"/>
                <w:highlight w:val="none"/>
              </w:rPr>
              <w:t>2.应支持敏感词反向还原，管理端可查看替换前的原始内容；</w:t>
            </w:r>
          </w:p>
          <w:p w14:paraId="0B9F9C3C">
            <w:pPr>
              <w:rPr>
                <w:rFonts w:ascii="宋体" w:hAnsi="宋体" w:cs="宋体"/>
                <w:szCs w:val="21"/>
                <w:highlight w:val="none"/>
              </w:rPr>
            </w:pPr>
            <w:r>
              <w:rPr>
                <w:rFonts w:hint="eastAsia" w:ascii="宋体" w:hAnsi="宋体" w:cs="宋体"/>
                <w:szCs w:val="21"/>
                <w:highlight w:val="none"/>
              </w:rPr>
              <w:t>3.应支持敏感词白名单管理，白名单内的词汇不会被替换。</w:t>
            </w:r>
          </w:p>
        </w:tc>
        <w:tc>
          <w:tcPr>
            <w:tcW w:w="345" w:type="pct"/>
            <w:tcBorders>
              <w:top w:val="single" w:color="000000" w:sz="4" w:space="0"/>
              <w:left w:val="single" w:color="000000" w:sz="4" w:space="0"/>
              <w:bottom w:val="single" w:color="000000" w:sz="4" w:space="0"/>
              <w:right w:val="single" w:color="000000" w:sz="4" w:space="0"/>
            </w:tcBorders>
            <w:vAlign w:val="center"/>
          </w:tcPr>
          <w:p w14:paraId="0E20B01E">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17154CEF">
            <w:pPr>
              <w:jc w:val="center"/>
              <w:rPr>
                <w:rFonts w:ascii="宋体" w:hAnsi="宋体" w:cs="宋体"/>
                <w:szCs w:val="21"/>
                <w:highlight w:val="none"/>
              </w:rPr>
            </w:pPr>
            <w:r>
              <w:rPr>
                <w:rFonts w:hint="eastAsia" w:ascii="宋体" w:hAnsi="宋体" w:cs="宋体"/>
                <w:szCs w:val="21"/>
                <w:highlight w:val="none"/>
              </w:rPr>
              <w:t>套</w:t>
            </w:r>
          </w:p>
        </w:tc>
      </w:tr>
      <w:tr w14:paraId="472F3078">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780A8B6A">
            <w:pPr>
              <w:jc w:val="center"/>
              <w:rPr>
                <w:rFonts w:ascii="宋体" w:hAnsi="宋体" w:cs="宋体"/>
                <w:szCs w:val="21"/>
                <w:highlight w:val="none"/>
              </w:rPr>
            </w:pPr>
            <w:r>
              <w:rPr>
                <w:rFonts w:hint="eastAsia" w:ascii="宋体" w:hAnsi="宋体" w:cs="宋体"/>
                <w:szCs w:val="21"/>
                <w:highlight w:val="none"/>
              </w:rPr>
              <w:t>37</w:t>
            </w:r>
          </w:p>
        </w:tc>
        <w:tc>
          <w:tcPr>
            <w:tcW w:w="1389" w:type="pct"/>
            <w:tcBorders>
              <w:top w:val="single" w:color="000000" w:sz="4" w:space="0"/>
              <w:left w:val="single" w:color="000000" w:sz="4" w:space="0"/>
              <w:bottom w:val="single" w:color="000000" w:sz="4" w:space="0"/>
              <w:right w:val="single" w:color="000000" w:sz="4" w:space="0"/>
            </w:tcBorders>
            <w:vAlign w:val="center"/>
          </w:tcPr>
          <w:p w14:paraId="294B9CE8">
            <w:pPr>
              <w:rPr>
                <w:rFonts w:ascii="宋体" w:hAnsi="宋体" w:cs="宋体"/>
                <w:szCs w:val="21"/>
                <w:highlight w:val="none"/>
              </w:rPr>
            </w:pPr>
            <w:r>
              <w:rPr>
                <w:rFonts w:hint="eastAsia" w:ascii="宋体" w:hAnsi="宋体" w:cs="宋体"/>
                <w:szCs w:val="21"/>
                <w:highlight w:val="none"/>
              </w:rPr>
              <w:t>内容安全与敏感词管理-白名单管理</w:t>
            </w:r>
          </w:p>
        </w:tc>
        <w:tc>
          <w:tcPr>
            <w:tcW w:w="2609" w:type="pct"/>
            <w:tcBorders>
              <w:top w:val="single" w:color="000000" w:sz="4" w:space="0"/>
              <w:left w:val="single" w:color="000000" w:sz="4" w:space="0"/>
              <w:bottom w:val="single" w:color="000000" w:sz="4" w:space="0"/>
              <w:right w:val="single" w:color="000000" w:sz="4" w:space="0"/>
            </w:tcBorders>
            <w:vAlign w:val="center"/>
          </w:tcPr>
          <w:p w14:paraId="364278BA">
            <w:pPr>
              <w:rPr>
                <w:rFonts w:ascii="宋体" w:hAnsi="宋体" w:cs="宋体"/>
                <w:szCs w:val="21"/>
                <w:highlight w:val="none"/>
              </w:rPr>
            </w:pPr>
            <w:r>
              <w:rPr>
                <w:rFonts w:hint="eastAsia" w:ascii="宋体" w:hAnsi="宋体" w:cs="宋体"/>
                <w:szCs w:val="21"/>
                <w:highlight w:val="none"/>
              </w:rPr>
              <w:t>1.应支持白名单的分页查询、批量新增、批量更新、批量删除；</w:t>
            </w:r>
          </w:p>
          <w:p w14:paraId="0A6F3390">
            <w:pPr>
              <w:rPr>
                <w:rFonts w:ascii="宋体" w:hAnsi="宋体" w:cs="宋体"/>
                <w:szCs w:val="21"/>
                <w:highlight w:val="none"/>
              </w:rPr>
            </w:pPr>
            <w:r>
              <w:rPr>
                <w:rFonts w:hint="eastAsia" w:ascii="宋体" w:hAnsi="宋体" w:cs="宋体"/>
                <w:szCs w:val="21"/>
                <w:highlight w:val="none"/>
              </w:rPr>
              <w:t>2.应支持多词库管理，适配不同学科和教学场景的内容安全需求。</w:t>
            </w:r>
          </w:p>
        </w:tc>
        <w:tc>
          <w:tcPr>
            <w:tcW w:w="345" w:type="pct"/>
            <w:tcBorders>
              <w:top w:val="single" w:color="000000" w:sz="4" w:space="0"/>
              <w:left w:val="single" w:color="000000" w:sz="4" w:space="0"/>
              <w:bottom w:val="single" w:color="000000" w:sz="4" w:space="0"/>
              <w:right w:val="single" w:color="000000" w:sz="4" w:space="0"/>
            </w:tcBorders>
            <w:vAlign w:val="center"/>
          </w:tcPr>
          <w:p w14:paraId="4FB7162C">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756F0C71">
            <w:pPr>
              <w:jc w:val="center"/>
              <w:rPr>
                <w:rFonts w:ascii="宋体" w:hAnsi="宋体" w:cs="宋体"/>
                <w:szCs w:val="21"/>
                <w:highlight w:val="none"/>
              </w:rPr>
            </w:pPr>
            <w:r>
              <w:rPr>
                <w:rFonts w:hint="eastAsia" w:ascii="宋体" w:hAnsi="宋体" w:cs="宋体"/>
                <w:szCs w:val="21"/>
                <w:highlight w:val="none"/>
              </w:rPr>
              <w:t>套</w:t>
            </w:r>
          </w:p>
        </w:tc>
      </w:tr>
      <w:tr w14:paraId="41A1773A">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8C72900">
            <w:pPr>
              <w:jc w:val="center"/>
              <w:rPr>
                <w:rFonts w:ascii="宋体" w:hAnsi="宋体" w:cs="宋体"/>
                <w:szCs w:val="21"/>
                <w:highlight w:val="none"/>
              </w:rPr>
            </w:pPr>
            <w:r>
              <w:rPr>
                <w:rFonts w:hint="eastAsia" w:ascii="宋体" w:hAnsi="宋体" w:cs="宋体"/>
                <w:szCs w:val="21"/>
                <w:highlight w:val="none"/>
              </w:rPr>
              <w:t>38</w:t>
            </w:r>
          </w:p>
        </w:tc>
        <w:tc>
          <w:tcPr>
            <w:tcW w:w="1389" w:type="pct"/>
            <w:tcBorders>
              <w:top w:val="single" w:color="000000" w:sz="4" w:space="0"/>
              <w:left w:val="single" w:color="000000" w:sz="4" w:space="0"/>
              <w:bottom w:val="single" w:color="000000" w:sz="4" w:space="0"/>
              <w:right w:val="single" w:color="000000" w:sz="4" w:space="0"/>
            </w:tcBorders>
            <w:vAlign w:val="center"/>
          </w:tcPr>
          <w:p w14:paraId="42EB4B68">
            <w:pPr>
              <w:rPr>
                <w:rFonts w:ascii="宋体" w:hAnsi="宋体" w:cs="宋体"/>
                <w:szCs w:val="21"/>
                <w:highlight w:val="none"/>
              </w:rPr>
            </w:pPr>
            <w:r>
              <w:rPr>
                <w:rFonts w:hint="eastAsia" w:ascii="宋体" w:hAnsi="宋体" w:cs="宋体"/>
                <w:szCs w:val="21"/>
                <w:highlight w:val="none"/>
              </w:rPr>
              <w:t>内容安全与敏感词管理-XSS安全防护</w:t>
            </w:r>
          </w:p>
        </w:tc>
        <w:tc>
          <w:tcPr>
            <w:tcW w:w="2609" w:type="pct"/>
            <w:tcBorders>
              <w:top w:val="single" w:color="000000" w:sz="4" w:space="0"/>
              <w:left w:val="single" w:color="000000" w:sz="4" w:space="0"/>
              <w:bottom w:val="single" w:color="000000" w:sz="4" w:space="0"/>
              <w:right w:val="single" w:color="000000" w:sz="4" w:space="0"/>
            </w:tcBorders>
            <w:vAlign w:val="center"/>
          </w:tcPr>
          <w:p w14:paraId="23841D0E">
            <w:pPr>
              <w:rPr>
                <w:rFonts w:ascii="宋体" w:hAnsi="宋体" w:cs="宋体"/>
                <w:szCs w:val="21"/>
                <w:highlight w:val="none"/>
              </w:rPr>
            </w:pPr>
            <w:r>
              <w:rPr>
                <w:rFonts w:hint="eastAsia" w:ascii="宋体" w:hAnsi="宋体" w:cs="宋体"/>
                <w:szCs w:val="21"/>
                <w:highlight w:val="none"/>
              </w:rPr>
              <w:t>1.Web端富文本渲染应经过严格的内容净化处理，防止跨站脚本攻击。</w:t>
            </w:r>
          </w:p>
        </w:tc>
        <w:tc>
          <w:tcPr>
            <w:tcW w:w="345" w:type="pct"/>
            <w:tcBorders>
              <w:top w:val="single" w:color="000000" w:sz="4" w:space="0"/>
              <w:left w:val="single" w:color="000000" w:sz="4" w:space="0"/>
              <w:bottom w:val="single" w:color="000000" w:sz="4" w:space="0"/>
              <w:right w:val="single" w:color="000000" w:sz="4" w:space="0"/>
            </w:tcBorders>
            <w:vAlign w:val="center"/>
          </w:tcPr>
          <w:p w14:paraId="196F5C9B">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2ADAA7B5">
            <w:pPr>
              <w:jc w:val="center"/>
              <w:rPr>
                <w:rFonts w:ascii="宋体" w:hAnsi="宋体" w:cs="宋体"/>
                <w:szCs w:val="21"/>
                <w:highlight w:val="none"/>
              </w:rPr>
            </w:pPr>
            <w:r>
              <w:rPr>
                <w:rFonts w:hint="eastAsia" w:ascii="宋体" w:hAnsi="宋体" w:cs="宋体"/>
                <w:szCs w:val="21"/>
                <w:highlight w:val="none"/>
              </w:rPr>
              <w:t>套</w:t>
            </w:r>
          </w:p>
        </w:tc>
      </w:tr>
      <w:tr w14:paraId="0840EAED">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354032AD">
            <w:pPr>
              <w:numPr>
                <w:ilvl w:val="255"/>
                <w:numId w:val="0"/>
              </w:numPr>
              <w:rPr>
                <w:rFonts w:ascii="宋体" w:hAnsi="宋体" w:cs="宋体"/>
                <w:szCs w:val="21"/>
                <w:highlight w:val="none"/>
              </w:rPr>
            </w:pPr>
            <w:r>
              <w:rPr>
                <w:rFonts w:hint="eastAsia" w:ascii="宋体" w:hAnsi="宋体" w:cs="宋体"/>
                <w:b/>
                <w:szCs w:val="21"/>
                <w:highlight w:val="none"/>
              </w:rPr>
              <w:t>（六）数据统计与分析</w:t>
            </w:r>
          </w:p>
        </w:tc>
      </w:tr>
      <w:tr w14:paraId="6FD4ECBF">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9413E1D">
            <w:pPr>
              <w:jc w:val="center"/>
              <w:rPr>
                <w:rFonts w:hint="eastAsia" w:ascii="宋体" w:hAnsi="宋体" w:cs="宋体"/>
                <w:szCs w:val="21"/>
                <w:highlight w:val="none"/>
              </w:rPr>
            </w:pPr>
            <w:r>
              <w:rPr>
                <w:rFonts w:hint="eastAsia" w:ascii="宋体" w:hAnsi="宋体" w:cs="宋体"/>
                <w:szCs w:val="21"/>
                <w:highlight w:val="none"/>
              </w:rPr>
              <w:t>39</w:t>
            </w:r>
          </w:p>
        </w:tc>
        <w:tc>
          <w:tcPr>
            <w:tcW w:w="1389" w:type="pct"/>
            <w:tcBorders>
              <w:top w:val="single" w:color="000000" w:sz="4" w:space="0"/>
              <w:left w:val="single" w:color="000000" w:sz="4" w:space="0"/>
              <w:bottom w:val="single" w:color="000000" w:sz="4" w:space="0"/>
              <w:right w:val="single" w:color="000000" w:sz="4" w:space="0"/>
            </w:tcBorders>
            <w:vAlign w:val="center"/>
          </w:tcPr>
          <w:p w14:paraId="519292C9">
            <w:pPr>
              <w:rPr>
                <w:rFonts w:ascii="宋体" w:hAnsi="宋体" w:cs="宋体"/>
                <w:szCs w:val="21"/>
                <w:highlight w:val="none"/>
              </w:rPr>
            </w:pPr>
            <w:r>
              <w:rPr>
                <w:rFonts w:hint="eastAsia" w:ascii="宋体" w:hAnsi="宋体" w:cs="宋体"/>
                <w:szCs w:val="21"/>
                <w:highlight w:val="none"/>
              </w:rPr>
              <w:t>数据统计与分析-统计概览</w:t>
            </w:r>
          </w:p>
        </w:tc>
        <w:tc>
          <w:tcPr>
            <w:tcW w:w="2609" w:type="pct"/>
            <w:tcBorders>
              <w:top w:val="single" w:color="000000" w:sz="4" w:space="0"/>
              <w:left w:val="single" w:color="000000" w:sz="4" w:space="0"/>
              <w:bottom w:val="single" w:color="000000" w:sz="4" w:space="0"/>
              <w:right w:val="single" w:color="000000" w:sz="4" w:space="0"/>
            </w:tcBorders>
            <w:vAlign w:val="center"/>
          </w:tcPr>
          <w:p w14:paraId="71F9C23A">
            <w:pPr>
              <w:rPr>
                <w:rFonts w:ascii="宋体" w:hAnsi="宋体" w:cs="宋体"/>
                <w:szCs w:val="21"/>
                <w:highlight w:val="none"/>
              </w:rPr>
            </w:pPr>
            <w:r>
              <w:rPr>
                <w:rFonts w:hint="eastAsia" w:ascii="宋体" w:hAnsi="宋体" w:cs="宋体"/>
                <w:szCs w:val="21"/>
                <w:highlight w:val="none"/>
              </w:rPr>
              <w:t>1.应支持在数据统计页查看平台运行数据，需支持按照智能体查看各智能体今日访问用户数、访问用户总数，今日访问量、访问量总数，并应支持按3天、7天、30天、自定义时间段查看tokens变化趋势、访问变化趋势；应支持查看知识库组成分布、智能体组成分布、训练数据组成分布，并应支持按模型名称查看各模型配置智能体数量、今日调用次数、调用总数、今日调用token数，调用token总数数据。</w:t>
            </w:r>
          </w:p>
        </w:tc>
        <w:tc>
          <w:tcPr>
            <w:tcW w:w="345" w:type="pct"/>
            <w:tcBorders>
              <w:top w:val="single" w:color="000000" w:sz="4" w:space="0"/>
              <w:left w:val="single" w:color="000000" w:sz="4" w:space="0"/>
              <w:bottom w:val="single" w:color="000000" w:sz="4" w:space="0"/>
              <w:right w:val="single" w:color="000000" w:sz="4" w:space="0"/>
            </w:tcBorders>
            <w:vAlign w:val="center"/>
          </w:tcPr>
          <w:p w14:paraId="23E51252">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3E60BA75">
            <w:pPr>
              <w:jc w:val="center"/>
              <w:rPr>
                <w:rFonts w:ascii="宋体" w:hAnsi="宋体" w:cs="宋体"/>
                <w:szCs w:val="21"/>
                <w:highlight w:val="none"/>
              </w:rPr>
            </w:pPr>
            <w:r>
              <w:rPr>
                <w:rFonts w:hint="eastAsia" w:ascii="宋体" w:hAnsi="宋体" w:cs="宋体"/>
                <w:szCs w:val="21"/>
                <w:highlight w:val="none"/>
              </w:rPr>
              <w:t>套</w:t>
            </w:r>
          </w:p>
        </w:tc>
      </w:tr>
      <w:tr w14:paraId="16ADD674">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18456D4E">
            <w:pPr>
              <w:jc w:val="center"/>
              <w:rPr>
                <w:rFonts w:ascii="宋体" w:hAnsi="宋体" w:cs="宋体"/>
                <w:szCs w:val="21"/>
                <w:highlight w:val="none"/>
              </w:rPr>
            </w:pPr>
            <w:r>
              <w:rPr>
                <w:rFonts w:hint="eastAsia" w:ascii="宋体" w:hAnsi="宋体" w:cs="宋体"/>
                <w:szCs w:val="21"/>
                <w:highlight w:val="none"/>
              </w:rPr>
              <w:t>40</w:t>
            </w:r>
          </w:p>
        </w:tc>
        <w:tc>
          <w:tcPr>
            <w:tcW w:w="1389" w:type="pct"/>
            <w:tcBorders>
              <w:top w:val="single" w:color="000000" w:sz="4" w:space="0"/>
              <w:left w:val="single" w:color="000000" w:sz="4" w:space="0"/>
              <w:bottom w:val="single" w:color="000000" w:sz="4" w:space="0"/>
              <w:right w:val="single" w:color="000000" w:sz="4" w:space="0"/>
            </w:tcBorders>
            <w:vAlign w:val="center"/>
          </w:tcPr>
          <w:p w14:paraId="32B31F1C">
            <w:pPr>
              <w:rPr>
                <w:rFonts w:ascii="宋体" w:hAnsi="宋体" w:cs="宋体"/>
                <w:szCs w:val="21"/>
                <w:highlight w:val="none"/>
              </w:rPr>
            </w:pPr>
            <w:r>
              <w:rPr>
                <w:rFonts w:hint="eastAsia" w:ascii="宋体" w:hAnsi="宋体" w:cs="宋体"/>
                <w:szCs w:val="21"/>
                <w:highlight w:val="none"/>
              </w:rPr>
              <w:t>数据统计与分析-多维度统计</w:t>
            </w:r>
          </w:p>
        </w:tc>
        <w:tc>
          <w:tcPr>
            <w:tcW w:w="2609" w:type="pct"/>
            <w:tcBorders>
              <w:top w:val="single" w:color="000000" w:sz="4" w:space="0"/>
              <w:left w:val="single" w:color="000000" w:sz="4" w:space="0"/>
              <w:bottom w:val="single" w:color="000000" w:sz="4" w:space="0"/>
              <w:right w:val="single" w:color="000000" w:sz="4" w:space="0"/>
            </w:tcBorders>
            <w:vAlign w:val="center"/>
          </w:tcPr>
          <w:p w14:paraId="2B0B9D62">
            <w:pPr>
              <w:rPr>
                <w:rFonts w:ascii="宋体" w:hAnsi="宋体" w:cs="宋体"/>
                <w:szCs w:val="21"/>
                <w:highlight w:val="none"/>
              </w:rPr>
            </w:pPr>
            <w:r>
              <w:rPr>
                <w:rFonts w:hint="eastAsia" w:ascii="宋体" w:hAnsi="宋体" w:cs="宋体"/>
                <w:szCs w:val="21"/>
                <w:highlight w:val="none"/>
              </w:rPr>
              <w:t>1.应支持知识库类型分布统计，提供学科、学段、TPCK分库等维度视角；</w:t>
            </w:r>
          </w:p>
          <w:p w14:paraId="75F8BFD7">
            <w:pPr>
              <w:rPr>
                <w:rFonts w:ascii="宋体" w:hAnsi="宋体" w:cs="宋体"/>
                <w:szCs w:val="21"/>
                <w:highlight w:val="none"/>
              </w:rPr>
            </w:pPr>
            <w:r>
              <w:rPr>
                <w:rFonts w:hint="eastAsia" w:ascii="宋体" w:hAnsi="宋体" w:cs="宋体"/>
                <w:szCs w:val="21"/>
                <w:highlight w:val="none"/>
              </w:rPr>
              <w:t>2.应支持资源类型分布统计；</w:t>
            </w:r>
          </w:p>
          <w:p w14:paraId="5A7D7970">
            <w:pPr>
              <w:rPr>
                <w:rFonts w:ascii="宋体" w:hAnsi="宋体" w:cs="宋体"/>
                <w:szCs w:val="21"/>
                <w:highlight w:val="none"/>
              </w:rPr>
            </w:pPr>
            <w:r>
              <w:rPr>
                <w:rFonts w:hint="eastAsia" w:ascii="宋体" w:hAnsi="宋体" w:cs="宋体"/>
                <w:szCs w:val="21"/>
                <w:highlight w:val="none"/>
              </w:rPr>
              <w:t>3.应支持按标签维度统计知识库数量；</w:t>
            </w:r>
          </w:p>
          <w:p w14:paraId="5D374140">
            <w:pPr>
              <w:rPr>
                <w:rFonts w:ascii="宋体" w:hAnsi="宋体" w:cs="宋体"/>
                <w:szCs w:val="21"/>
                <w:highlight w:val="none"/>
              </w:rPr>
            </w:pPr>
            <w:r>
              <w:rPr>
                <w:rFonts w:hint="eastAsia" w:ascii="宋体" w:hAnsi="宋体" w:cs="宋体"/>
                <w:szCs w:val="21"/>
                <w:highlight w:val="none"/>
              </w:rPr>
              <w:t>4.应支持活跃知识库数量和活跃率统计；</w:t>
            </w:r>
          </w:p>
          <w:p w14:paraId="55850D9C">
            <w:pPr>
              <w:rPr>
                <w:rFonts w:ascii="宋体" w:hAnsi="宋体" w:cs="宋体"/>
                <w:szCs w:val="21"/>
                <w:highlight w:val="none"/>
              </w:rPr>
            </w:pPr>
            <w:r>
              <w:rPr>
                <w:rFonts w:hint="eastAsia" w:ascii="宋体" w:hAnsi="宋体" w:cs="宋体"/>
                <w:szCs w:val="21"/>
                <w:highlight w:val="none"/>
              </w:rPr>
              <w:t>5.应支持热门知识库TOP排行。</w:t>
            </w:r>
          </w:p>
        </w:tc>
        <w:tc>
          <w:tcPr>
            <w:tcW w:w="345" w:type="pct"/>
            <w:tcBorders>
              <w:top w:val="single" w:color="000000" w:sz="4" w:space="0"/>
              <w:left w:val="single" w:color="000000" w:sz="4" w:space="0"/>
              <w:bottom w:val="single" w:color="000000" w:sz="4" w:space="0"/>
              <w:right w:val="single" w:color="000000" w:sz="4" w:space="0"/>
            </w:tcBorders>
            <w:vAlign w:val="center"/>
          </w:tcPr>
          <w:p w14:paraId="5301B6FE">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651399E2">
            <w:pPr>
              <w:jc w:val="center"/>
              <w:rPr>
                <w:rFonts w:ascii="宋体" w:hAnsi="宋体" w:cs="宋体"/>
                <w:szCs w:val="21"/>
                <w:highlight w:val="none"/>
              </w:rPr>
            </w:pPr>
            <w:r>
              <w:rPr>
                <w:rFonts w:hint="eastAsia" w:ascii="宋体" w:hAnsi="宋体" w:cs="宋体"/>
                <w:szCs w:val="21"/>
                <w:highlight w:val="none"/>
              </w:rPr>
              <w:t>套</w:t>
            </w:r>
          </w:p>
        </w:tc>
      </w:tr>
      <w:tr w14:paraId="207E126A">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7AC51C36">
            <w:pPr>
              <w:jc w:val="center"/>
              <w:rPr>
                <w:rFonts w:ascii="宋体" w:hAnsi="宋体" w:cs="宋体"/>
                <w:szCs w:val="21"/>
                <w:highlight w:val="none"/>
              </w:rPr>
            </w:pPr>
            <w:r>
              <w:rPr>
                <w:rFonts w:hint="eastAsia" w:ascii="宋体" w:hAnsi="宋体" w:cs="宋体"/>
                <w:szCs w:val="21"/>
                <w:highlight w:val="none"/>
              </w:rPr>
              <w:t>41</w:t>
            </w:r>
          </w:p>
        </w:tc>
        <w:tc>
          <w:tcPr>
            <w:tcW w:w="1389" w:type="pct"/>
            <w:tcBorders>
              <w:top w:val="single" w:color="000000" w:sz="4" w:space="0"/>
              <w:left w:val="single" w:color="000000" w:sz="4" w:space="0"/>
              <w:bottom w:val="single" w:color="000000" w:sz="4" w:space="0"/>
              <w:right w:val="single" w:color="000000" w:sz="4" w:space="0"/>
            </w:tcBorders>
            <w:vAlign w:val="center"/>
          </w:tcPr>
          <w:p w14:paraId="115778B0">
            <w:pPr>
              <w:rPr>
                <w:rFonts w:ascii="宋体" w:hAnsi="宋体" w:cs="宋体"/>
                <w:szCs w:val="21"/>
                <w:highlight w:val="none"/>
              </w:rPr>
            </w:pPr>
            <w:r>
              <w:rPr>
                <w:rFonts w:hint="eastAsia" w:ascii="宋体" w:hAnsi="宋体" w:cs="宋体"/>
                <w:szCs w:val="21"/>
                <w:highlight w:val="none"/>
              </w:rPr>
              <w:t>数据统计与分析-使用量统计</w:t>
            </w:r>
          </w:p>
        </w:tc>
        <w:tc>
          <w:tcPr>
            <w:tcW w:w="2609" w:type="pct"/>
            <w:tcBorders>
              <w:top w:val="single" w:color="000000" w:sz="4" w:space="0"/>
              <w:left w:val="single" w:color="000000" w:sz="4" w:space="0"/>
              <w:bottom w:val="single" w:color="000000" w:sz="4" w:space="0"/>
              <w:right w:val="single" w:color="000000" w:sz="4" w:space="0"/>
            </w:tcBorders>
            <w:vAlign w:val="center"/>
          </w:tcPr>
          <w:p w14:paraId="34C48E3E">
            <w:pPr>
              <w:rPr>
                <w:rFonts w:ascii="宋体" w:hAnsi="宋体" w:cs="宋体"/>
                <w:szCs w:val="21"/>
                <w:highlight w:val="none"/>
              </w:rPr>
            </w:pPr>
            <w:r>
              <w:rPr>
                <w:rFonts w:hint="eastAsia" w:ascii="宋体" w:hAnsi="宋体" w:cs="宋体"/>
                <w:szCs w:val="21"/>
                <w:highlight w:val="none"/>
              </w:rPr>
              <w:t>1.应支持全量会话数和问题数统计；</w:t>
            </w:r>
          </w:p>
          <w:p w14:paraId="041C27EF">
            <w:pPr>
              <w:rPr>
                <w:rFonts w:ascii="宋体" w:hAnsi="宋体" w:cs="宋体"/>
                <w:szCs w:val="21"/>
                <w:highlight w:val="none"/>
              </w:rPr>
            </w:pPr>
            <w:r>
              <w:rPr>
                <w:rFonts w:hint="eastAsia" w:ascii="宋体" w:hAnsi="宋体" w:cs="宋体"/>
                <w:szCs w:val="21"/>
                <w:highlight w:val="none"/>
              </w:rPr>
              <w:t>2.应支持当日会话数和问题数统计；</w:t>
            </w:r>
          </w:p>
          <w:p w14:paraId="6DBD78D8">
            <w:pPr>
              <w:rPr>
                <w:rFonts w:ascii="宋体" w:hAnsi="宋体" w:cs="宋体"/>
                <w:szCs w:val="21"/>
                <w:highlight w:val="none"/>
              </w:rPr>
            </w:pPr>
            <w:r>
              <w:rPr>
                <w:rFonts w:hint="eastAsia" w:ascii="宋体" w:hAnsi="宋体" w:cs="宋体"/>
                <w:szCs w:val="21"/>
                <w:highlight w:val="none"/>
              </w:rPr>
              <w:t>3.应支持多日时间序列数据查询（按日期范围查看趋势）；</w:t>
            </w:r>
          </w:p>
          <w:p w14:paraId="29EE4367">
            <w:pPr>
              <w:rPr>
                <w:rFonts w:ascii="宋体" w:hAnsi="宋体" w:cs="宋体"/>
                <w:szCs w:val="21"/>
                <w:highlight w:val="none"/>
              </w:rPr>
            </w:pPr>
            <w:r>
              <w:rPr>
                <w:rFonts w:hint="eastAsia" w:ascii="宋体" w:hAnsi="宋体" w:cs="宋体"/>
                <w:szCs w:val="21"/>
                <w:highlight w:val="none"/>
              </w:rPr>
              <w:t>4.应支持问题范围分布分析，可查看师范生提问的学科、学段分布情况。</w:t>
            </w:r>
          </w:p>
        </w:tc>
        <w:tc>
          <w:tcPr>
            <w:tcW w:w="345" w:type="pct"/>
            <w:tcBorders>
              <w:top w:val="single" w:color="000000" w:sz="4" w:space="0"/>
              <w:left w:val="single" w:color="000000" w:sz="4" w:space="0"/>
              <w:bottom w:val="single" w:color="000000" w:sz="4" w:space="0"/>
              <w:right w:val="single" w:color="000000" w:sz="4" w:space="0"/>
            </w:tcBorders>
            <w:vAlign w:val="center"/>
          </w:tcPr>
          <w:p w14:paraId="3DE90C26">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234DB628">
            <w:pPr>
              <w:jc w:val="center"/>
              <w:rPr>
                <w:rFonts w:ascii="宋体" w:hAnsi="宋体" w:cs="宋体"/>
                <w:szCs w:val="21"/>
                <w:highlight w:val="none"/>
              </w:rPr>
            </w:pPr>
            <w:r>
              <w:rPr>
                <w:rFonts w:hint="eastAsia" w:ascii="宋体" w:hAnsi="宋体" w:cs="宋体"/>
                <w:szCs w:val="21"/>
                <w:highlight w:val="none"/>
              </w:rPr>
              <w:t>套</w:t>
            </w:r>
          </w:p>
        </w:tc>
      </w:tr>
      <w:tr w14:paraId="3501790A">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73DD5975">
            <w:pPr>
              <w:numPr>
                <w:ilvl w:val="255"/>
                <w:numId w:val="0"/>
              </w:numPr>
              <w:rPr>
                <w:rFonts w:ascii="宋体" w:hAnsi="宋体" w:cs="宋体"/>
                <w:szCs w:val="21"/>
                <w:highlight w:val="none"/>
              </w:rPr>
            </w:pPr>
            <w:r>
              <w:rPr>
                <w:rFonts w:hint="eastAsia" w:ascii="宋体" w:hAnsi="宋体" w:cs="宋体"/>
                <w:b/>
                <w:szCs w:val="21"/>
                <w:highlight w:val="none"/>
              </w:rPr>
              <w:t>（七）多终端支持</w:t>
            </w:r>
          </w:p>
        </w:tc>
      </w:tr>
      <w:tr w14:paraId="11499C34">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AE54874">
            <w:pPr>
              <w:jc w:val="center"/>
              <w:rPr>
                <w:rFonts w:hint="eastAsia" w:ascii="宋体" w:hAnsi="宋体" w:cs="宋体"/>
                <w:szCs w:val="21"/>
                <w:highlight w:val="none"/>
              </w:rPr>
            </w:pPr>
            <w:r>
              <w:rPr>
                <w:rFonts w:hint="eastAsia" w:ascii="宋体" w:hAnsi="宋体" w:cs="宋体"/>
                <w:szCs w:val="21"/>
                <w:highlight w:val="none"/>
              </w:rPr>
              <w:t>42</w:t>
            </w:r>
          </w:p>
        </w:tc>
        <w:tc>
          <w:tcPr>
            <w:tcW w:w="1389" w:type="pct"/>
            <w:tcBorders>
              <w:top w:val="single" w:color="000000" w:sz="4" w:space="0"/>
              <w:left w:val="single" w:color="000000" w:sz="4" w:space="0"/>
              <w:bottom w:val="single" w:color="000000" w:sz="4" w:space="0"/>
              <w:right w:val="single" w:color="000000" w:sz="4" w:space="0"/>
            </w:tcBorders>
            <w:vAlign w:val="center"/>
          </w:tcPr>
          <w:p w14:paraId="53273B7D">
            <w:pPr>
              <w:rPr>
                <w:rFonts w:ascii="宋体" w:hAnsi="宋体" w:cs="宋体"/>
                <w:szCs w:val="21"/>
                <w:highlight w:val="none"/>
              </w:rPr>
            </w:pPr>
            <w:r>
              <w:rPr>
                <w:rFonts w:hint="eastAsia" w:ascii="宋体" w:hAnsi="宋体" w:cs="宋体"/>
                <w:szCs w:val="21"/>
                <w:highlight w:val="none"/>
              </w:rPr>
              <w:t>多终端支持-Web管理端</w:t>
            </w:r>
          </w:p>
        </w:tc>
        <w:tc>
          <w:tcPr>
            <w:tcW w:w="2609" w:type="pct"/>
            <w:tcBorders>
              <w:top w:val="single" w:color="000000" w:sz="4" w:space="0"/>
              <w:left w:val="single" w:color="000000" w:sz="4" w:space="0"/>
              <w:bottom w:val="single" w:color="000000" w:sz="4" w:space="0"/>
              <w:right w:val="single" w:color="000000" w:sz="4" w:space="0"/>
            </w:tcBorders>
            <w:vAlign w:val="center"/>
          </w:tcPr>
          <w:p w14:paraId="2FC3752D">
            <w:pPr>
              <w:rPr>
                <w:rFonts w:ascii="宋体" w:hAnsi="宋体" w:cs="宋体"/>
                <w:szCs w:val="21"/>
                <w:highlight w:val="none"/>
              </w:rPr>
            </w:pPr>
            <w:r>
              <w:rPr>
                <w:rFonts w:hint="eastAsia" w:ascii="宋体" w:hAnsi="宋体" w:cs="宋体"/>
                <w:szCs w:val="21"/>
                <w:highlight w:val="none"/>
              </w:rPr>
              <w:t>1.应提供基于Web的完整管理平台，支持主流浏览器访问；</w:t>
            </w:r>
          </w:p>
          <w:p w14:paraId="239A5E9D">
            <w:pPr>
              <w:rPr>
                <w:rFonts w:ascii="宋体" w:hAnsi="宋体" w:cs="宋体"/>
                <w:szCs w:val="21"/>
                <w:highlight w:val="none"/>
              </w:rPr>
            </w:pPr>
            <w:r>
              <w:rPr>
                <w:rFonts w:hint="eastAsia" w:ascii="宋体" w:hAnsi="宋体" w:cs="宋体"/>
                <w:szCs w:val="21"/>
                <w:highlight w:val="none"/>
              </w:rPr>
              <w:t>2.Web端应采用主流前端技术栈，界面响应式适配；</w:t>
            </w:r>
          </w:p>
          <w:p w14:paraId="5582F56F">
            <w:pPr>
              <w:rPr>
                <w:rFonts w:ascii="宋体" w:hAnsi="宋体" w:cs="宋体"/>
                <w:szCs w:val="21"/>
                <w:highlight w:val="none"/>
              </w:rPr>
            </w:pPr>
            <w:r>
              <w:rPr>
                <w:rFonts w:hint="eastAsia" w:ascii="宋体" w:hAnsi="宋体" w:cs="宋体"/>
                <w:szCs w:val="21"/>
                <w:highlight w:val="none"/>
              </w:rPr>
              <w:t>3.Web端应支持完整的知识库管理、资源管理、对话问答、统计分析全功能；</w:t>
            </w:r>
          </w:p>
          <w:p w14:paraId="142A1379">
            <w:pPr>
              <w:rPr>
                <w:rFonts w:ascii="宋体" w:hAnsi="宋体" w:cs="宋体"/>
                <w:szCs w:val="21"/>
                <w:highlight w:val="none"/>
              </w:rPr>
            </w:pPr>
            <w:r>
              <w:rPr>
                <w:rFonts w:hint="eastAsia" w:ascii="宋体" w:hAnsi="宋体" w:cs="宋体"/>
                <w:szCs w:val="21"/>
                <w:highlight w:val="none"/>
              </w:rPr>
              <w:t>4.Web端应提供统一首页工作台，集成智能对话、知识库两大核心入口于单页导航。</w:t>
            </w:r>
          </w:p>
        </w:tc>
        <w:tc>
          <w:tcPr>
            <w:tcW w:w="345" w:type="pct"/>
            <w:tcBorders>
              <w:top w:val="single" w:color="000000" w:sz="4" w:space="0"/>
              <w:left w:val="single" w:color="000000" w:sz="4" w:space="0"/>
              <w:bottom w:val="single" w:color="000000" w:sz="4" w:space="0"/>
              <w:right w:val="single" w:color="000000" w:sz="4" w:space="0"/>
            </w:tcBorders>
            <w:vAlign w:val="center"/>
          </w:tcPr>
          <w:p w14:paraId="0BCF5BC8">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6840D465">
            <w:pPr>
              <w:jc w:val="center"/>
              <w:rPr>
                <w:rFonts w:ascii="宋体" w:hAnsi="宋体" w:cs="宋体"/>
                <w:szCs w:val="21"/>
                <w:highlight w:val="none"/>
              </w:rPr>
            </w:pPr>
            <w:r>
              <w:rPr>
                <w:rFonts w:hint="eastAsia" w:ascii="宋体" w:hAnsi="宋体" w:cs="宋体"/>
                <w:szCs w:val="21"/>
                <w:highlight w:val="none"/>
              </w:rPr>
              <w:t>套</w:t>
            </w:r>
          </w:p>
        </w:tc>
      </w:tr>
      <w:tr w14:paraId="14E5247D">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1870D50">
            <w:pPr>
              <w:jc w:val="center"/>
              <w:rPr>
                <w:rFonts w:ascii="宋体" w:hAnsi="宋体" w:cs="宋体"/>
                <w:szCs w:val="21"/>
                <w:highlight w:val="none"/>
              </w:rPr>
            </w:pPr>
            <w:r>
              <w:rPr>
                <w:rFonts w:hint="eastAsia" w:ascii="宋体" w:hAnsi="宋体" w:cs="宋体"/>
                <w:szCs w:val="21"/>
                <w:highlight w:val="none"/>
              </w:rPr>
              <w:t>43</w:t>
            </w:r>
          </w:p>
        </w:tc>
        <w:tc>
          <w:tcPr>
            <w:tcW w:w="1389" w:type="pct"/>
            <w:tcBorders>
              <w:top w:val="single" w:color="000000" w:sz="4" w:space="0"/>
              <w:left w:val="single" w:color="000000" w:sz="4" w:space="0"/>
              <w:bottom w:val="single" w:color="000000" w:sz="4" w:space="0"/>
              <w:right w:val="single" w:color="000000" w:sz="4" w:space="0"/>
            </w:tcBorders>
            <w:vAlign w:val="center"/>
          </w:tcPr>
          <w:p w14:paraId="746B5063">
            <w:pPr>
              <w:rPr>
                <w:rFonts w:ascii="宋体" w:hAnsi="宋体" w:cs="宋体"/>
                <w:szCs w:val="21"/>
                <w:highlight w:val="none"/>
              </w:rPr>
            </w:pPr>
            <w:r>
              <w:rPr>
                <w:rFonts w:hint="eastAsia" w:ascii="宋体" w:hAnsi="宋体" w:cs="宋体"/>
                <w:szCs w:val="21"/>
                <w:highlight w:val="none"/>
              </w:rPr>
              <w:t>多终端支持-微信小程序端</w:t>
            </w:r>
          </w:p>
        </w:tc>
        <w:tc>
          <w:tcPr>
            <w:tcW w:w="2609" w:type="pct"/>
            <w:tcBorders>
              <w:top w:val="single" w:color="000000" w:sz="4" w:space="0"/>
              <w:left w:val="single" w:color="000000" w:sz="4" w:space="0"/>
              <w:bottom w:val="single" w:color="000000" w:sz="4" w:space="0"/>
              <w:right w:val="single" w:color="000000" w:sz="4" w:space="0"/>
            </w:tcBorders>
            <w:vAlign w:val="center"/>
          </w:tcPr>
          <w:p w14:paraId="6FAD223A">
            <w:pPr>
              <w:rPr>
                <w:rFonts w:ascii="宋体" w:hAnsi="宋体" w:cs="宋体"/>
                <w:szCs w:val="21"/>
                <w:highlight w:val="none"/>
              </w:rPr>
            </w:pPr>
            <w:r>
              <w:rPr>
                <w:rFonts w:hint="eastAsia" w:ascii="宋体" w:hAnsi="宋体" w:cs="宋体"/>
                <w:szCs w:val="21"/>
                <w:highlight w:val="none"/>
              </w:rPr>
              <w:t>1.应提供微信小程序端，面向师范生移动学习场景提供移动端TPCK知识问答服务；</w:t>
            </w:r>
          </w:p>
          <w:p w14:paraId="33E10DB4">
            <w:pPr>
              <w:rPr>
                <w:rFonts w:ascii="宋体" w:hAnsi="宋体" w:cs="宋体"/>
                <w:szCs w:val="21"/>
                <w:highlight w:val="none"/>
              </w:rPr>
            </w:pPr>
            <w:r>
              <w:rPr>
                <w:rFonts w:hint="eastAsia" w:ascii="宋体" w:hAnsi="宋体" w:cs="宋体"/>
                <w:szCs w:val="21"/>
                <w:highlight w:val="none"/>
              </w:rPr>
              <w:t>2.小程序端应支持知识库选择和切换；</w:t>
            </w:r>
          </w:p>
          <w:p w14:paraId="2C20F53C">
            <w:pPr>
              <w:rPr>
                <w:rFonts w:ascii="宋体" w:hAnsi="宋体" w:cs="宋体"/>
                <w:szCs w:val="21"/>
                <w:highlight w:val="none"/>
              </w:rPr>
            </w:pPr>
            <w:r>
              <w:rPr>
                <w:rFonts w:hint="eastAsia" w:ascii="宋体" w:hAnsi="宋体" w:cs="宋体"/>
                <w:szCs w:val="21"/>
                <w:highlight w:val="none"/>
              </w:rPr>
              <w:t>3.小程序端应支持SSE流式对话，实时展示AI回答；</w:t>
            </w:r>
          </w:p>
          <w:p w14:paraId="0D66AE0E">
            <w:pPr>
              <w:rPr>
                <w:rFonts w:ascii="宋体" w:hAnsi="宋体" w:cs="宋体"/>
                <w:szCs w:val="21"/>
                <w:highlight w:val="none"/>
              </w:rPr>
            </w:pPr>
            <w:r>
              <w:rPr>
                <w:rFonts w:hint="eastAsia" w:ascii="宋体" w:hAnsi="宋体" w:cs="宋体"/>
                <w:szCs w:val="21"/>
                <w:highlight w:val="none"/>
              </w:rPr>
              <w:t>4.小程序端应支持多轮对话和历史消息查看；</w:t>
            </w:r>
          </w:p>
          <w:p w14:paraId="4194EA78">
            <w:pPr>
              <w:rPr>
                <w:rFonts w:ascii="宋体" w:hAnsi="宋体" w:cs="宋体"/>
                <w:szCs w:val="21"/>
                <w:highlight w:val="none"/>
              </w:rPr>
            </w:pPr>
            <w:r>
              <w:rPr>
                <w:rFonts w:hint="eastAsia" w:ascii="宋体" w:hAnsi="宋体" w:cs="宋体"/>
                <w:szCs w:val="21"/>
                <w:highlight w:val="none"/>
              </w:rPr>
              <w:t>5.小程序端应适配iOS、Android、鸿蒙三端，兼容软键盘、安全区域等平台差异。</w:t>
            </w:r>
          </w:p>
        </w:tc>
        <w:tc>
          <w:tcPr>
            <w:tcW w:w="345" w:type="pct"/>
            <w:tcBorders>
              <w:top w:val="single" w:color="000000" w:sz="4" w:space="0"/>
              <w:left w:val="single" w:color="000000" w:sz="4" w:space="0"/>
              <w:bottom w:val="single" w:color="000000" w:sz="4" w:space="0"/>
              <w:right w:val="single" w:color="000000" w:sz="4" w:space="0"/>
            </w:tcBorders>
            <w:vAlign w:val="center"/>
          </w:tcPr>
          <w:p w14:paraId="644F7BA7">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78393B31">
            <w:pPr>
              <w:jc w:val="center"/>
              <w:rPr>
                <w:rFonts w:ascii="宋体" w:hAnsi="宋体" w:cs="宋体"/>
                <w:szCs w:val="21"/>
                <w:highlight w:val="none"/>
              </w:rPr>
            </w:pPr>
            <w:r>
              <w:rPr>
                <w:rFonts w:hint="eastAsia" w:ascii="宋体" w:hAnsi="宋体" w:cs="宋体"/>
                <w:szCs w:val="21"/>
                <w:highlight w:val="none"/>
              </w:rPr>
              <w:t>套</w:t>
            </w:r>
          </w:p>
        </w:tc>
      </w:tr>
      <w:tr w14:paraId="02FCD354">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75E80CC">
            <w:pPr>
              <w:jc w:val="center"/>
              <w:rPr>
                <w:rFonts w:ascii="宋体" w:hAnsi="宋体" w:cs="宋体"/>
                <w:szCs w:val="21"/>
                <w:highlight w:val="none"/>
              </w:rPr>
            </w:pPr>
            <w:r>
              <w:rPr>
                <w:rFonts w:hint="eastAsia" w:ascii="宋体" w:hAnsi="宋体" w:cs="宋体"/>
                <w:szCs w:val="21"/>
                <w:highlight w:val="none"/>
              </w:rPr>
              <w:t>44</w:t>
            </w:r>
          </w:p>
        </w:tc>
        <w:tc>
          <w:tcPr>
            <w:tcW w:w="1389" w:type="pct"/>
            <w:tcBorders>
              <w:top w:val="single" w:color="000000" w:sz="4" w:space="0"/>
              <w:left w:val="single" w:color="000000" w:sz="4" w:space="0"/>
              <w:bottom w:val="single" w:color="000000" w:sz="4" w:space="0"/>
              <w:right w:val="single" w:color="000000" w:sz="4" w:space="0"/>
            </w:tcBorders>
            <w:vAlign w:val="center"/>
          </w:tcPr>
          <w:p w14:paraId="48BE7972">
            <w:pPr>
              <w:rPr>
                <w:rFonts w:ascii="宋体" w:hAnsi="宋体" w:cs="宋体"/>
                <w:szCs w:val="21"/>
                <w:highlight w:val="none"/>
              </w:rPr>
            </w:pPr>
            <w:r>
              <w:rPr>
                <w:rFonts w:hint="eastAsia" w:ascii="宋体" w:hAnsi="宋体" w:cs="宋体"/>
                <w:szCs w:val="21"/>
                <w:highlight w:val="none"/>
              </w:rPr>
              <w:t>多终端支持-统一认证</w:t>
            </w:r>
          </w:p>
        </w:tc>
        <w:tc>
          <w:tcPr>
            <w:tcW w:w="2609" w:type="pct"/>
            <w:tcBorders>
              <w:top w:val="single" w:color="000000" w:sz="4" w:space="0"/>
              <w:left w:val="single" w:color="000000" w:sz="4" w:space="0"/>
              <w:bottom w:val="single" w:color="000000" w:sz="4" w:space="0"/>
              <w:right w:val="single" w:color="000000" w:sz="4" w:space="0"/>
            </w:tcBorders>
            <w:vAlign w:val="center"/>
          </w:tcPr>
          <w:p w14:paraId="368189DA">
            <w:pPr>
              <w:rPr>
                <w:rFonts w:ascii="宋体" w:hAnsi="宋体" w:cs="宋体"/>
                <w:szCs w:val="21"/>
                <w:highlight w:val="none"/>
              </w:rPr>
            </w:pPr>
            <w:r>
              <w:rPr>
                <w:rFonts w:hint="eastAsia" w:ascii="宋体" w:hAnsi="宋体" w:cs="宋体"/>
                <w:szCs w:val="21"/>
                <w:highlight w:val="none"/>
              </w:rPr>
              <w:t>1.应支持SSO单点登录，集成学校统一身份认证系统；</w:t>
            </w:r>
          </w:p>
          <w:p w14:paraId="50425E74">
            <w:pPr>
              <w:rPr>
                <w:rFonts w:ascii="宋体" w:hAnsi="宋体" w:cs="宋体"/>
                <w:szCs w:val="21"/>
                <w:highlight w:val="none"/>
              </w:rPr>
            </w:pPr>
            <w:r>
              <w:rPr>
                <w:rFonts w:hint="eastAsia" w:ascii="宋体" w:hAnsi="宋体" w:cs="宋体"/>
                <w:szCs w:val="21"/>
                <w:highlight w:val="none"/>
              </w:rPr>
              <w:t>2.应支持OAuth2.0标准协议，提供客户端注册、Token获取、Token刷新接口，方便第三方系统对接；</w:t>
            </w:r>
          </w:p>
          <w:p w14:paraId="366888F5">
            <w:pPr>
              <w:rPr>
                <w:rFonts w:ascii="宋体" w:hAnsi="宋体" w:cs="宋体"/>
                <w:szCs w:val="21"/>
                <w:highlight w:val="none"/>
              </w:rPr>
            </w:pPr>
            <w:r>
              <w:rPr>
                <w:rFonts w:hint="eastAsia" w:ascii="宋体" w:hAnsi="宋体" w:cs="宋体"/>
                <w:szCs w:val="21"/>
                <w:highlight w:val="none"/>
              </w:rPr>
              <w:t>3.应支持三种用户角色：师范生、指导教师（教师）、管理员，按角色展示不同功能菜单；</w:t>
            </w:r>
          </w:p>
          <w:p w14:paraId="0D833B61">
            <w:pPr>
              <w:rPr>
                <w:rFonts w:ascii="宋体" w:hAnsi="宋体" w:cs="宋体"/>
                <w:szCs w:val="21"/>
                <w:highlight w:val="none"/>
              </w:rPr>
            </w:pPr>
            <w:r>
              <w:rPr>
                <w:rFonts w:hint="eastAsia" w:ascii="宋体" w:hAnsi="宋体" w:cs="宋体"/>
                <w:szCs w:val="21"/>
                <w:highlight w:val="none"/>
              </w:rPr>
              <w:t>4.应支持多身份登录选择页，用户登录后可按身份（师范生/指导教师）快速进入对应功能视图。</w:t>
            </w:r>
          </w:p>
        </w:tc>
        <w:tc>
          <w:tcPr>
            <w:tcW w:w="345" w:type="pct"/>
            <w:tcBorders>
              <w:top w:val="single" w:color="000000" w:sz="4" w:space="0"/>
              <w:left w:val="single" w:color="000000" w:sz="4" w:space="0"/>
              <w:bottom w:val="single" w:color="000000" w:sz="4" w:space="0"/>
              <w:right w:val="single" w:color="000000" w:sz="4" w:space="0"/>
            </w:tcBorders>
            <w:vAlign w:val="center"/>
          </w:tcPr>
          <w:p w14:paraId="4E49AF6D">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32BF3EDB">
            <w:pPr>
              <w:jc w:val="center"/>
              <w:rPr>
                <w:rFonts w:ascii="宋体" w:hAnsi="宋体" w:cs="宋体"/>
                <w:szCs w:val="21"/>
                <w:highlight w:val="none"/>
              </w:rPr>
            </w:pPr>
            <w:r>
              <w:rPr>
                <w:rFonts w:hint="eastAsia" w:ascii="宋体" w:hAnsi="宋体" w:cs="宋体"/>
                <w:szCs w:val="21"/>
                <w:highlight w:val="none"/>
              </w:rPr>
              <w:t>套</w:t>
            </w:r>
          </w:p>
        </w:tc>
      </w:tr>
      <w:tr w14:paraId="1B4A5B19">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21B34405">
            <w:pPr>
              <w:numPr>
                <w:ilvl w:val="255"/>
                <w:numId w:val="0"/>
              </w:numPr>
              <w:rPr>
                <w:rFonts w:ascii="宋体" w:hAnsi="宋体" w:cs="宋体"/>
                <w:szCs w:val="21"/>
                <w:highlight w:val="none"/>
              </w:rPr>
            </w:pPr>
            <w:r>
              <w:rPr>
                <w:rFonts w:hint="eastAsia" w:ascii="宋体" w:hAnsi="宋体" w:cs="宋体"/>
                <w:b/>
                <w:szCs w:val="21"/>
                <w:highlight w:val="none"/>
              </w:rPr>
              <w:t>（八）系统架构与性能</w:t>
            </w:r>
          </w:p>
        </w:tc>
      </w:tr>
      <w:tr w14:paraId="276B08CA">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1AB4C75">
            <w:pPr>
              <w:jc w:val="center"/>
              <w:rPr>
                <w:rFonts w:ascii="宋体" w:hAnsi="宋体" w:cs="宋体"/>
                <w:szCs w:val="21"/>
                <w:highlight w:val="none"/>
              </w:rPr>
            </w:pPr>
            <w:r>
              <w:rPr>
                <w:rFonts w:hint="eastAsia" w:ascii="宋体" w:hAnsi="宋体" w:cs="宋体"/>
                <w:szCs w:val="21"/>
                <w:highlight w:val="none"/>
              </w:rPr>
              <w:t>45</w:t>
            </w:r>
          </w:p>
        </w:tc>
        <w:tc>
          <w:tcPr>
            <w:tcW w:w="1389" w:type="pct"/>
            <w:tcBorders>
              <w:top w:val="single" w:color="000000" w:sz="4" w:space="0"/>
              <w:left w:val="single" w:color="000000" w:sz="4" w:space="0"/>
              <w:bottom w:val="single" w:color="000000" w:sz="4" w:space="0"/>
              <w:right w:val="single" w:color="000000" w:sz="4" w:space="0"/>
            </w:tcBorders>
            <w:vAlign w:val="center"/>
          </w:tcPr>
          <w:p w14:paraId="3EA1905B">
            <w:pPr>
              <w:rPr>
                <w:rFonts w:ascii="宋体" w:hAnsi="宋体" w:cs="宋体"/>
                <w:szCs w:val="21"/>
                <w:highlight w:val="none"/>
              </w:rPr>
            </w:pPr>
            <w:r>
              <w:rPr>
                <w:rFonts w:hint="eastAsia" w:ascii="宋体" w:hAnsi="宋体" w:cs="宋体"/>
                <w:szCs w:val="21"/>
                <w:highlight w:val="none"/>
              </w:rPr>
              <w:t>系统架构与性能-后端架构</w:t>
            </w:r>
          </w:p>
        </w:tc>
        <w:tc>
          <w:tcPr>
            <w:tcW w:w="2609" w:type="pct"/>
            <w:tcBorders>
              <w:top w:val="single" w:color="000000" w:sz="4" w:space="0"/>
              <w:left w:val="single" w:color="000000" w:sz="4" w:space="0"/>
              <w:bottom w:val="single" w:color="000000" w:sz="4" w:space="0"/>
              <w:right w:val="single" w:color="000000" w:sz="4" w:space="0"/>
            </w:tcBorders>
            <w:vAlign w:val="center"/>
          </w:tcPr>
          <w:p w14:paraId="5511DC4C">
            <w:pPr>
              <w:rPr>
                <w:rFonts w:ascii="宋体" w:hAnsi="宋体" w:cs="宋体"/>
                <w:szCs w:val="21"/>
                <w:highlight w:val="none"/>
              </w:rPr>
            </w:pPr>
            <w:r>
              <w:rPr>
                <w:rFonts w:hint="eastAsia" w:ascii="宋体" w:hAnsi="宋体" w:cs="宋体"/>
                <w:szCs w:val="21"/>
                <w:highlight w:val="none"/>
              </w:rPr>
              <w:t>1.应采用主流微服务架构；</w:t>
            </w:r>
          </w:p>
          <w:p w14:paraId="519EFC7D">
            <w:pPr>
              <w:rPr>
                <w:rFonts w:ascii="宋体" w:hAnsi="宋体" w:cs="宋体"/>
                <w:szCs w:val="21"/>
                <w:highlight w:val="none"/>
              </w:rPr>
            </w:pPr>
            <w:r>
              <w:rPr>
                <w:rFonts w:hint="eastAsia" w:ascii="宋体" w:hAnsi="宋体" w:cs="宋体"/>
                <w:szCs w:val="21"/>
                <w:highlight w:val="none"/>
              </w:rPr>
              <w:t>2.应支持师范生实训等高并发场景下的IO处理能力优化；</w:t>
            </w:r>
          </w:p>
          <w:p w14:paraId="1B3E4010">
            <w:pPr>
              <w:rPr>
                <w:rFonts w:ascii="宋体" w:hAnsi="宋体" w:cs="宋体"/>
                <w:szCs w:val="21"/>
                <w:highlight w:val="none"/>
              </w:rPr>
            </w:pPr>
            <w:r>
              <w:rPr>
                <w:rFonts w:hint="eastAsia" w:ascii="宋体" w:hAnsi="宋体" w:cs="宋体"/>
                <w:szCs w:val="21"/>
                <w:highlight w:val="none"/>
              </w:rPr>
              <w:t>3.应支持配置中心与服务注册发现，支持动态配置热更新；</w:t>
            </w:r>
          </w:p>
          <w:p w14:paraId="45E5770D">
            <w:pPr>
              <w:rPr>
                <w:rFonts w:ascii="宋体" w:hAnsi="宋体" w:cs="宋体"/>
                <w:szCs w:val="21"/>
                <w:highlight w:val="none"/>
              </w:rPr>
            </w:pPr>
            <w:r>
              <w:rPr>
                <w:rFonts w:hint="eastAsia" w:ascii="宋体" w:hAnsi="宋体" w:cs="宋体"/>
                <w:szCs w:val="21"/>
                <w:highlight w:val="none"/>
              </w:rPr>
              <w:t>4.应支持分布式缓存和分布式锁，保障并发数据一致性。</w:t>
            </w:r>
          </w:p>
        </w:tc>
        <w:tc>
          <w:tcPr>
            <w:tcW w:w="345" w:type="pct"/>
            <w:tcBorders>
              <w:top w:val="single" w:color="000000" w:sz="4" w:space="0"/>
              <w:left w:val="single" w:color="000000" w:sz="4" w:space="0"/>
              <w:bottom w:val="single" w:color="000000" w:sz="4" w:space="0"/>
              <w:right w:val="single" w:color="000000" w:sz="4" w:space="0"/>
            </w:tcBorders>
            <w:vAlign w:val="center"/>
          </w:tcPr>
          <w:p w14:paraId="4AD96847">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2B236225">
            <w:pPr>
              <w:jc w:val="center"/>
              <w:rPr>
                <w:rFonts w:ascii="宋体" w:hAnsi="宋体" w:cs="宋体"/>
                <w:szCs w:val="21"/>
                <w:highlight w:val="none"/>
              </w:rPr>
            </w:pPr>
            <w:r>
              <w:rPr>
                <w:rFonts w:hint="eastAsia" w:ascii="宋体" w:hAnsi="宋体" w:cs="宋体"/>
                <w:szCs w:val="21"/>
                <w:highlight w:val="none"/>
              </w:rPr>
              <w:t>套</w:t>
            </w:r>
          </w:p>
        </w:tc>
      </w:tr>
      <w:tr w14:paraId="49312C15">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6C30D7DC">
            <w:pPr>
              <w:jc w:val="center"/>
              <w:rPr>
                <w:rFonts w:ascii="宋体" w:hAnsi="宋体" w:cs="宋体"/>
                <w:szCs w:val="21"/>
                <w:highlight w:val="none"/>
              </w:rPr>
            </w:pPr>
            <w:r>
              <w:rPr>
                <w:rFonts w:hint="eastAsia" w:ascii="宋体" w:hAnsi="宋体" w:cs="宋体"/>
                <w:szCs w:val="21"/>
                <w:highlight w:val="none"/>
              </w:rPr>
              <w:t>46</w:t>
            </w:r>
          </w:p>
        </w:tc>
        <w:tc>
          <w:tcPr>
            <w:tcW w:w="1389" w:type="pct"/>
            <w:tcBorders>
              <w:top w:val="single" w:color="000000" w:sz="4" w:space="0"/>
              <w:left w:val="single" w:color="000000" w:sz="4" w:space="0"/>
              <w:bottom w:val="single" w:color="000000" w:sz="4" w:space="0"/>
              <w:right w:val="single" w:color="000000" w:sz="4" w:space="0"/>
            </w:tcBorders>
            <w:vAlign w:val="center"/>
          </w:tcPr>
          <w:p w14:paraId="2C6B6B87">
            <w:pPr>
              <w:rPr>
                <w:rFonts w:ascii="宋体" w:hAnsi="宋体" w:cs="宋体"/>
                <w:szCs w:val="21"/>
                <w:highlight w:val="none"/>
              </w:rPr>
            </w:pPr>
            <w:r>
              <w:rPr>
                <w:rFonts w:hint="eastAsia" w:ascii="宋体" w:hAnsi="宋体" w:cs="宋体"/>
                <w:szCs w:val="21"/>
                <w:highlight w:val="none"/>
              </w:rPr>
              <w:t>系统架构与性能-性能指标</w:t>
            </w:r>
          </w:p>
        </w:tc>
        <w:tc>
          <w:tcPr>
            <w:tcW w:w="2609" w:type="pct"/>
            <w:tcBorders>
              <w:top w:val="single" w:color="000000" w:sz="4" w:space="0"/>
              <w:left w:val="single" w:color="000000" w:sz="4" w:space="0"/>
              <w:bottom w:val="single" w:color="000000" w:sz="4" w:space="0"/>
              <w:right w:val="single" w:color="000000" w:sz="4" w:space="0"/>
            </w:tcBorders>
            <w:vAlign w:val="center"/>
          </w:tcPr>
          <w:p w14:paraId="1CF9ED40">
            <w:pPr>
              <w:rPr>
                <w:rFonts w:ascii="宋体" w:hAnsi="宋体" w:cs="宋体"/>
                <w:szCs w:val="21"/>
                <w:highlight w:val="none"/>
              </w:rPr>
            </w:pPr>
            <w:r>
              <w:rPr>
                <w:rFonts w:hint="eastAsia" w:ascii="宋体" w:hAnsi="宋体" w:cs="宋体"/>
                <w:szCs w:val="21"/>
                <w:highlight w:val="none"/>
              </w:rPr>
              <w:t>1.应支持≥2000用户并发访问，对话响应延迟≤3秒；</w:t>
            </w:r>
          </w:p>
          <w:p w14:paraId="1C000973">
            <w:pPr>
              <w:rPr>
                <w:rFonts w:ascii="宋体" w:hAnsi="宋体" w:cs="宋体"/>
                <w:szCs w:val="21"/>
                <w:highlight w:val="none"/>
              </w:rPr>
            </w:pPr>
            <w:r>
              <w:rPr>
                <w:rFonts w:hint="eastAsia" w:ascii="宋体" w:hAnsi="宋体" w:cs="宋体"/>
                <w:szCs w:val="21"/>
                <w:highlight w:val="none"/>
              </w:rPr>
              <w:t>2.在公开中文阅读理解评测下，知识库问答准确率应≥90%；</w:t>
            </w:r>
          </w:p>
          <w:p w14:paraId="6C591A68">
            <w:pPr>
              <w:rPr>
                <w:rFonts w:ascii="宋体" w:hAnsi="宋体" w:cs="宋体"/>
                <w:szCs w:val="21"/>
                <w:highlight w:val="none"/>
              </w:rPr>
            </w:pPr>
            <w:r>
              <w:rPr>
                <w:rFonts w:hint="eastAsia" w:ascii="宋体" w:hAnsi="宋体" w:cs="宋体"/>
                <w:szCs w:val="21"/>
                <w:highlight w:val="none"/>
              </w:rPr>
              <w:t>3.SSE流式输出速率应≥10 tokens/秒。</w:t>
            </w:r>
          </w:p>
        </w:tc>
        <w:tc>
          <w:tcPr>
            <w:tcW w:w="345" w:type="pct"/>
            <w:tcBorders>
              <w:top w:val="single" w:color="000000" w:sz="4" w:space="0"/>
              <w:left w:val="single" w:color="000000" w:sz="4" w:space="0"/>
              <w:bottom w:val="single" w:color="000000" w:sz="4" w:space="0"/>
              <w:right w:val="single" w:color="000000" w:sz="4" w:space="0"/>
            </w:tcBorders>
            <w:vAlign w:val="center"/>
          </w:tcPr>
          <w:p w14:paraId="2E68EB86">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5501BF2A">
            <w:pPr>
              <w:jc w:val="center"/>
              <w:rPr>
                <w:rFonts w:ascii="宋体" w:hAnsi="宋体" w:cs="宋体"/>
                <w:szCs w:val="21"/>
                <w:highlight w:val="none"/>
              </w:rPr>
            </w:pPr>
            <w:r>
              <w:rPr>
                <w:rFonts w:hint="eastAsia" w:ascii="宋体" w:hAnsi="宋体" w:cs="宋体"/>
                <w:szCs w:val="21"/>
                <w:highlight w:val="none"/>
              </w:rPr>
              <w:t>套</w:t>
            </w:r>
          </w:p>
        </w:tc>
      </w:tr>
      <w:tr w14:paraId="5273CCE3">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07863B48">
            <w:pPr>
              <w:jc w:val="center"/>
              <w:rPr>
                <w:rFonts w:ascii="宋体" w:hAnsi="宋体" w:cs="宋体"/>
                <w:szCs w:val="21"/>
                <w:highlight w:val="none"/>
              </w:rPr>
            </w:pPr>
            <w:r>
              <w:rPr>
                <w:rFonts w:hint="eastAsia" w:ascii="宋体" w:hAnsi="宋体" w:cs="宋体"/>
                <w:szCs w:val="21"/>
                <w:highlight w:val="none"/>
              </w:rPr>
              <w:t>47</w:t>
            </w:r>
          </w:p>
        </w:tc>
        <w:tc>
          <w:tcPr>
            <w:tcW w:w="1389" w:type="pct"/>
            <w:tcBorders>
              <w:top w:val="single" w:color="000000" w:sz="4" w:space="0"/>
              <w:left w:val="single" w:color="000000" w:sz="4" w:space="0"/>
              <w:bottom w:val="single" w:color="000000" w:sz="4" w:space="0"/>
              <w:right w:val="single" w:color="000000" w:sz="4" w:space="0"/>
            </w:tcBorders>
            <w:vAlign w:val="center"/>
          </w:tcPr>
          <w:p w14:paraId="6671BD0E">
            <w:pPr>
              <w:rPr>
                <w:rFonts w:ascii="宋体" w:hAnsi="宋体" w:cs="宋体"/>
                <w:szCs w:val="21"/>
                <w:highlight w:val="none"/>
              </w:rPr>
            </w:pPr>
            <w:r>
              <w:rPr>
                <w:rFonts w:hint="eastAsia" w:ascii="宋体" w:hAnsi="宋体" w:cs="宋体"/>
                <w:szCs w:val="21"/>
                <w:highlight w:val="none"/>
              </w:rPr>
              <w:t>系统架构与性能-数据安全</w:t>
            </w:r>
          </w:p>
        </w:tc>
        <w:tc>
          <w:tcPr>
            <w:tcW w:w="2609" w:type="pct"/>
            <w:tcBorders>
              <w:top w:val="single" w:color="000000" w:sz="4" w:space="0"/>
              <w:left w:val="single" w:color="000000" w:sz="4" w:space="0"/>
              <w:bottom w:val="single" w:color="000000" w:sz="4" w:space="0"/>
              <w:right w:val="single" w:color="000000" w:sz="4" w:space="0"/>
            </w:tcBorders>
            <w:vAlign w:val="center"/>
          </w:tcPr>
          <w:p w14:paraId="7AA40A74">
            <w:pPr>
              <w:rPr>
                <w:rFonts w:ascii="宋体" w:hAnsi="宋体" w:cs="宋体"/>
                <w:szCs w:val="21"/>
                <w:highlight w:val="none"/>
              </w:rPr>
            </w:pPr>
            <w:r>
              <w:rPr>
                <w:rFonts w:hint="eastAsia" w:ascii="宋体" w:hAnsi="宋体" w:cs="宋体"/>
                <w:szCs w:val="21"/>
                <w:highlight w:val="none"/>
              </w:rPr>
              <w:t>1.应支持用户数据隔离，不同用户间知识库和对话数据完全隔离；</w:t>
            </w:r>
          </w:p>
          <w:p w14:paraId="019A834C">
            <w:pPr>
              <w:rPr>
                <w:rFonts w:ascii="宋体" w:hAnsi="宋体" w:cs="宋体"/>
                <w:szCs w:val="21"/>
                <w:highlight w:val="none"/>
              </w:rPr>
            </w:pPr>
            <w:r>
              <w:rPr>
                <w:rFonts w:hint="eastAsia" w:ascii="宋体" w:hAnsi="宋体" w:cs="宋体"/>
                <w:szCs w:val="21"/>
                <w:highlight w:val="none"/>
              </w:rPr>
              <w:t>2.应支持HTTPS加密传输；</w:t>
            </w:r>
          </w:p>
          <w:p w14:paraId="2A0C584B">
            <w:pPr>
              <w:rPr>
                <w:rFonts w:ascii="宋体" w:hAnsi="宋体" w:cs="宋体"/>
                <w:szCs w:val="21"/>
                <w:highlight w:val="none"/>
              </w:rPr>
            </w:pPr>
            <w:r>
              <w:rPr>
                <w:rFonts w:hint="eastAsia" w:ascii="宋体" w:hAnsi="宋体" w:cs="宋体"/>
                <w:szCs w:val="21"/>
                <w:highlight w:val="none"/>
              </w:rPr>
              <w:t>3.应支持请求签名机制，防止接口被伪造调用。</w:t>
            </w:r>
          </w:p>
        </w:tc>
        <w:tc>
          <w:tcPr>
            <w:tcW w:w="345" w:type="pct"/>
            <w:tcBorders>
              <w:top w:val="single" w:color="000000" w:sz="4" w:space="0"/>
              <w:left w:val="single" w:color="000000" w:sz="4" w:space="0"/>
              <w:bottom w:val="single" w:color="000000" w:sz="4" w:space="0"/>
              <w:right w:val="single" w:color="000000" w:sz="4" w:space="0"/>
            </w:tcBorders>
            <w:vAlign w:val="center"/>
          </w:tcPr>
          <w:p w14:paraId="3C0C365F">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3D500CA6">
            <w:pPr>
              <w:jc w:val="center"/>
              <w:rPr>
                <w:rFonts w:ascii="宋体" w:hAnsi="宋体" w:cs="宋体"/>
                <w:szCs w:val="21"/>
                <w:highlight w:val="none"/>
              </w:rPr>
            </w:pPr>
            <w:r>
              <w:rPr>
                <w:rFonts w:hint="eastAsia" w:ascii="宋体" w:hAnsi="宋体" w:cs="宋体"/>
                <w:szCs w:val="21"/>
                <w:highlight w:val="none"/>
              </w:rPr>
              <w:t>套</w:t>
            </w:r>
          </w:p>
        </w:tc>
      </w:tr>
      <w:tr w14:paraId="52B0507D">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615BB1DC">
            <w:pPr>
              <w:numPr>
                <w:ilvl w:val="255"/>
                <w:numId w:val="0"/>
              </w:numPr>
              <w:rPr>
                <w:rFonts w:ascii="宋体" w:hAnsi="宋体" w:cs="宋体"/>
                <w:szCs w:val="21"/>
                <w:highlight w:val="none"/>
              </w:rPr>
            </w:pPr>
            <w:r>
              <w:rPr>
                <w:rFonts w:hint="eastAsia" w:ascii="宋体" w:hAnsi="宋体" w:cs="宋体"/>
                <w:b/>
                <w:szCs w:val="21"/>
                <w:highlight w:val="none"/>
              </w:rPr>
              <w:t>（九）数据导入与批量操作</w:t>
            </w:r>
          </w:p>
        </w:tc>
      </w:tr>
      <w:tr w14:paraId="51892CE3">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768F81D8">
            <w:pPr>
              <w:jc w:val="center"/>
              <w:rPr>
                <w:rFonts w:ascii="宋体" w:hAnsi="宋体" w:cs="宋体"/>
                <w:szCs w:val="21"/>
                <w:highlight w:val="none"/>
              </w:rPr>
            </w:pPr>
            <w:r>
              <w:rPr>
                <w:rFonts w:hint="eastAsia" w:ascii="宋体" w:hAnsi="宋体" w:cs="宋体"/>
                <w:szCs w:val="21"/>
                <w:highlight w:val="none"/>
              </w:rPr>
              <w:t>48</w:t>
            </w:r>
          </w:p>
        </w:tc>
        <w:tc>
          <w:tcPr>
            <w:tcW w:w="1389" w:type="pct"/>
            <w:tcBorders>
              <w:top w:val="single" w:color="000000" w:sz="4" w:space="0"/>
              <w:left w:val="single" w:color="000000" w:sz="4" w:space="0"/>
              <w:bottom w:val="single" w:color="000000" w:sz="4" w:space="0"/>
              <w:right w:val="single" w:color="000000" w:sz="4" w:space="0"/>
            </w:tcBorders>
            <w:vAlign w:val="center"/>
          </w:tcPr>
          <w:p w14:paraId="2B47F30C">
            <w:pPr>
              <w:rPr>
                <w:rFonts w:ascii="宋体" w:hAnsi="宋体" w:cs="宋体"/>
                <w:szCs w:val="21"/>
                <w:highlight w:val="none"/>
              </w:rPr>
            </w:pPr>
            <w:r>
              <w:rPr>
                <w:rFonts w:hint="eastAsia" w:ascii="宋体" w:hAnsi="宋体" w:cs="宋体"/>
                <w:szCs w:val="21"/>
                <w:highlight w:val="none"/>
              </w:rPr>
              <w:t>数据导入与批量操作-批量导入</w:t>
            </w:r>
          </w:p>
        </w:tc>
        <w:tc>
          <w:tcPr>
            <w:tcW w:w="2609" w:type="pct"/>
            <w:tcBorders>
              <w:top w:val="single" w:color="000000" w:sz="4" w:space="0"/>
              <w:left w:val="single" w:color="000000" w:sz="4" w:space="0"/>
              <w:bottom w:val="single" w:color="000000" w:sz="4" w:space="0"/>
              <w:right w:val="single" w:color="000000" w:sz="4" w:space="0"/>
            </w:tcBorders>
            <w:vAlign w:val="center"/>
          </w:tcPr>
          <w:p w14:paraId="399C076D">
            <w:pPr>
              <w:rPr>
                <w:rFonts w:ascii="宋体" w:hAnsi="宋体" w:cs="宋体"/>
                <w:szCs w:val="21"/>
                <w:highlight w:val="none"/>
              </w:rPr>
            </w:pPr>
            <w:r>
              <w:rPr>
                <w:rFonts w:hint="eastAsia" w:ascii="宋体" w:hAnsi="宋体" w:cs="宋体"/>
                <w:szCs w:val="21"/>
                <w:highlight w:val="none"/>
              </w:rPr>
              <w:t>1.应支持知识库批量创建模式，快速初始化各学科、学段知识库；</w:t>
            </w:r>
          </w:p>
          <w:p w14:paraId="6C106C5C">
            <w:pPr>
              <w:rPr>
                <w:rFonts w:ascii="宋体" w:hAnsi="宋体" w:cs="宋体"/>
                <w:szCs w:val="21"/>
                <w:highlight w:val="none"/>
              </w:rPr>
            </w:pPr>
            <w:r>
              <w:rPr>
                <w:rFonts w:hint="eastAsia" w:ascii="宋体" w:hAnsi="宋体" w:cs="宋体"/>
                <w:szCs w:val="21"/>
                <w:highlight w:val="none"/>
              </w:rPr>
              <w:t>2.应支持分类目录批量创建，一次性建立完整的TPCK知识目录结构；</w:t>
            </w:r>
          </w:p>
          <w:p w14:paraId="357C1CE0">
            <w:pPr>
              <w:rPr>
                <w:rFonts w:ascii="宋体" w:hAnsi="宋体" w:cs="宋体"/>
                <w:szCs w:val="21"/>
                <w:highlight w:val="none"/>
              </w:rPr>
            </w:pPr>
            <w:r>
              <w:rPr>
                <w:rFonts w:hint="eastAsia" w:ascii="宋体" w:hAnsi="宋体" w:cs="宋体"/>
                <w:szCs w:val="21"/>
                <w:highlight w:val="none"/>
              </w:rPr>
              <w:t>3.应支持资源批量上传导入模式，适用于课标、教材等存量资源的大规模数据迁移场景。</w:t>
            </w:r>
          </w:p>
        </w:tc>
        <w:tc>
          <w:tcPr>
            <w:tcW w:w="345" w:type="pct"/>
            <w:tcBorders>
              <w:top w:val="single" w:color="000000" w:sz="4" w:space="0"/>
              <w:left w:val="single" w:color="000000" w:sz="4" w:space="0"/>
              <w:bottom w:val="single" w:color="000000" w:sz="4" w:space="0"/>
              <w:right w:val="single" w:color="000000" w:sz="4" w:space="0"/>
            </w:tcBorders>
            <w:vAlign w:val="center"/>
          </w:tcPr>
          <w:p w14:paraId="77A043F8">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547577AA">
            <w:pPr>
              <w:jc w:val="center"/>
              <w:rPr>
                <w:rFonts w:ascii="宋体" w:hAnsi="宋体" w:cs="宋体"/>
                <w:szCs w:val="21"/>
                <w:highlight w:val="none"/>
              </w:rPr>
            </w:pPr>
            <w:r>
              <w:rPr>
                <w:rFonts w:hint="eastAsia" w:ascii="宋体" w:hAnsi="宋体" w:cs="宋体"/>
                <w:szCs w:val="21"/>
                <w:highlight w:val="none"/>
              </w:rPr>
              <w:t>套</w:t>
            </w:r>
          </w:p>
        </w:tc>
      </w:tr>
      <w:tr w14:paraId="0FA257B9">
        <w:tblPrEx>
          <w:tblCellMar>
            <w:top w:w="0" w:type="dxa"/>
            <w:left w:w="108" w:type="dxa"/>
            <w:bottom w:w="0" w:type="dxa"/>
            <w:right w:w="108" w:type="dxa"/>
          </w:tblCellMar>
        </w:tblPrEx>
        <w:trPr>
          <w:gridAfter w:val="1"/>
          <w:wAfter w:w="72" w:type="pct"/>
          <w:trHeight w:val="567" w:hRule="atLeast"/>
          <w:jc w:val="center"/>
        </w:trPr>
        <w:tc>
          <w:tcPr>
            <w:tcW w:w="4928" w:type="pct"/>
            <w:gridSpan w:val="5"/>
            <w:tcBorders>
              <w:top w:val="single" w:color="000000" w:sz="4" w:space="0"/>
              <w:left w:val="single" w:color="000000" w:sz="4" w:space="0"/>
              <w:bottom w:val="single" w:color="000000" w:sz="4" w:space="0"/>
              <w:right w:val="single" w:color="000000" w:sz="4" w:space="0"/>
            </w:tcBorders>
            <w:vAlign w:val="center"/>
          </w:tcPr>
          <w:p w14:paraId="6EA77C5A">
            <w:pPr>
              <w:numPr>
                <w:ilvl w:val="255"/>
                <w:numId w:val="0"/>
              </w:numPr>
              <w:rPr>
                <w:rFonts w:ascii="宋体" w:hAnsi="宋体" w:cs="宋体"/>
                <w:szCs w:val="21"/>
                <w:highlight w:val="none"/>
              </w:rPr>
            </w:pPr>
            <w:r>
              <w:rPr>
                <w:rFonts w:hint="eastAsia" w:ascii="宋体" w:hAnsi="宋体" w:cs="宋体"/>
                <w:b/>
                <w:szCs w:val="21"/>
                <w:highlight w:val="none"/>
              </w:rPr>
              <w:t>四、大模型运营与接口要求（1套）</w:t>
            </w:r>
          </w:p>
        </w:tc>
      </w:tr>
      <w:tr w14:paraId="4EFE49C1">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6593CEBE">
            <w:pPr>
              <w:jc w:val="center"/>
              <w:rPr>
                <w:rFonts w:hint="eastAsia" w:ascii="宋体" w:hAnsi="宋体" w:cs="宋体"/>
                <w:szCs w:val="21"/>
                <w:highlight w:val="none"/>
              </w:rPr>
            </w:pPr>
            <w:r>
              <w:rPr>
                <w:rFonts w:hint="eastAsia" w:ascii="宋体" w:hAnsi="宋体" w:cs="宋体"/>
                <w:szCs w:val="21"/>
                <w:highlight w:val="none"/>
              </w:rPr>
              <w:t>49</w:t>
            </w:r>
          </w:p>
        </w:tc>
        <w:tc>
          <w:tcPr>
            <w:tcW w:w="1389" w:type="pct"/>
            <w:tcBorders>
              <w:top w:val="single" w:color="000000" w:sz="4" w:space="0"/>
              <w:left w:val="single" w:color="000000" w:sz="4" w:space="0"/>
              <w:bottom w:val="single" w:color="000000" w:sz="4" w:space="0"/>
              <w:right w:val="single" w:color="000000" w:sz="4" w:space="0"/>
            </w:tcBorders>
            <w:vAlign w:val="center"/>
          </w:tcPr>
          <w:p w14:paraId="0860DD49">
            <w:pPr>
              <w:rPr>
                <w:rFonts w:ascii="宋体" w:hAnsi="宋体" w:cs="宋体"/>
                <w:szCs w:val="21"/>
                <w:highlight w:val="none"/>
              </w:rPr>
            </w:pPr>
            <w:r>
              <w:rPr>
                <w:rFonts w:hint="eastAsia" w:ascii="宋体" w:hAnsi="宋体" w:cs="宋体"/>
                <w:szCs w:val="21"/>
                <w:highlight w:val="none"/>
              </w:rPr>
              <w:t>大模型运营服务-性能与服务保障</w:t>
            </w:r>
          </w:p>
        </w:tc>
        <w:tc>
          <w:tcPr>
            <w:tcW w:w="2609" w:type="pct"/>
            <w:tcBorders>
              <w:top w:val="single" w:color="000000" w:sz="4" w:space="0"/>
              <w:left w:val="single" w:color="000000" w:sz="4" w:space="0"/>
              <w:bottom w:val="single" w:color="000000" w:sz="4" w:space="0"/>
              <w:right w:val="single" w:color="000000" w:sz="4" w:space="0"/>
            </w:tcBorders>
            <w:vAlign w:val="center"/>
          </w:tcPr>
          <w:p w14:paraId="4A095B84">
            <w:pPr>
              <w:rPr>
                <w:rFonts w:ascii="宋体" w:hAnsi="宋体" w:cs="宋体"/>
                <w:szCs w:val="21"/>
                <w:highlight w:val="none"/>
              </w:rPr>
            </w:pPr>
            <w:r>
              <w:rPr>
                <w:rFonts w:hint="eastAsia" w:ascii="宋体" w:hAnsi="宋体" w:cs="宋体"/>
                <w:szCs w:val="21"/>
                <w:highlight w:val="none"/>
              </w:rPr>
              <w:t>1.交互响应性能</w:t>
            </w:r>
          </w:p>
          <w:p w14:paraId="694704F4">
            <w:pPr>
              <w:rPr>
                <w:rFonts w:ascii="宋体" w:hAnsi="宋体" w:cs="宋体"/>
                <w:szCs w:val="21"/>
                <w:highlight w:val="none"/>
              </w:rPr>
            </w:pPr>
            <w:r>
              <w:rPr>
                <w:rFonts w:hint="eastAsia" w:ascii="宋体" w:hAnsi="宋体" w:cs="宋体"/>
                <w:szCs w:val="21"/>
                <w:highlight w:val="none"/>
              </w:rPr>
              <w:t>（1）应用系统：应用页面响应时间≤3s（P90）；后台管理页面90%以上平均响应时间（≤5秒）；</w:t>
            </w:r>
          </w:p>
          <w:p w14:paraId="795B9BA2">
            <w:pPr>
              <w:rPr>
                <w:rFonts w:ascii="宋体" w:hAnsi="宋体" w:cs="宋体"/>
                <w:szCs w:val="21"/>
                <w:highlight w:val="none"/>
              </w:rPr>
            </w:pPr>
            <w:r>
              <w:rPr>
                <w:rFonts w:hint="eastAsia" w:ascii="宋体" w:hAnsi="宋体" w:cs="宋体"/>
                <w:szCs w:val="21"/>
                <w:highlight w:val="none"/>
              </w:rPr>
              <w:t xml:space="preserve">（2）大模型对话：简单问答，首字响应时间 ≤2s；知识库问答和其他复杂推理，90%以上的首字响应时间 ≤5s；支持实时流式响应，用户体验延迟 ≤100ms；   </w:t>
            </w:r>
          </w:p>
          <w:p w14:paraId="51172E4D">
            <w:pPr>
              <w:rPr>
                <w:rFonts w:ascii="宋体" w:hAnsi="宋体" w:cs="宋体"/>
                <w:szCs w:val="21"/>
                <w:highlight w:val="none"/>
              </w:rPr>
            </w:pPr>
            <w:r>
              <w:rPr>
                <w:rFonts w:hint="eastAsia" w:ascii="宋体" w:hAnsi="宋体" w:cs="宋体"/>
                <w:szCs w:val="21"/>
                <w:highlight w:val="none"/>
              </w:rPr>
              <w:t>2.系统稳定性</w:t>
            </w:r>
          </w:p>
          <w:p w14:paraId="20CFB43F">
            <w:pPr>
              <w:rPr>
                <w:rFonts w:ascii="宋体" w:hAnsi="宋体" w:cs="宋体"/>
                <w:szCs w:val="21"/>
                <w:highlight w:val="none"/>
              </w:rPr>
            </w:pPr>
            <w:r>
              <w:rPr>
                <w:rFonts w:hint="eastAsia" w:ascii="宋体" w:hAnsi="宋体" w:cs="宋体"/>
                <w:szCs w:val="21"/>
                <w:highlight w:val="none"/>
              </w:rPr>
              <w:t>（1）系统提供7×24小时的连续运行，平均年故障时间少于3天；</w:t>
            </w:r>
          </w:p>
          <w:p w14:paraId="687B5F9B">
            <w:pPr>
              <w:rPr>
                <w:rFonts w:ascii="宋体" w:hAnsi="宋体" w:cs="宋体"/>
                <w:szCs w:val="21"/>
                <w:highlight w:val="none"/>
              </w:rPr>
            </w:pPr>
            <w:r>
              <w:rPr>
                <w:rFonts w:hint="eastAsia" w:ascii="宋体" w:hAnsi="宋体" w:cs="宋体"/>
                <w:szCs w:val="21"/>
                <w:highlight w:val="none"/>
              </w:rPr>
              <w:t>（2）计划内维护时间：每月不超过4小时；</w:t>
            </w:r>
          </w:p>
          <w:p w14:paraId="5F9CC0A2">
            <w:pPr>
              <w:rPr>
                <w:rFonts w:ascii="宋体" w:hAnsi="宋体" w:cs="宋体"/>
                <w:szCs w:val="21"/>
                <w:highlight w:val="none"/>
              </w:rPr>
            </w:pPr>
            <w:r>
              <w:rPr>
                <w:rFonts w:hint="eastAsia" w:ascii="宋体" w:hAnsi="宋体" w:cs="宋体"/>
                <w:szCs w:val="21"/>
                <w:highlight w:val="none"/>
              </w:rPr>
              <w:t>（3）故障恢复指标：RTO ≤30分钟，RPO ≤5分钟。</w:t>
            </w:r>
          </w:p>
        </w:tc>
        <w:tc>
          <w:tcPr>
            <w:tcW w:w="345" w:type="pct"/>
            <w:tcBorders>
              <w:top w:val="single" w:color="000000" w:sz="4" w:space="0"/>
              <w:left w:val="single" w:color="000000" w:sz="4" w:space="0"/>
              <w:bottom w:val="single" w:color="000000" w:sz="4" w:space="0"/>
              <w:right w:val="single" w:color="000000" w:sz="4" w:space="0"/>
            </w:tcBorders>
            <w:vAlign w:val="center"/>
          </w:tcPr>
          <w:p w14:paraId="6AEA39A8">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73A9F219">
            <w:pPr>
              <w:jc w:val="center"/>
              <w:rPr>
                <w:rFonts w:ascii="宋体" w:hAnsi="宋体" w:cs="宋体"/>
                <w:szCs w:val="21"/>
                <w:highlight w:val="none"/>
              </w:rPr>
            </w:pPr>
            <w:r>
              <w:rPr>
                <w:rFonts w:hint="eastAsia" w:ascii="宋体" w:hAnsi="宋体" w:cs="宋体"/>
                <w:szCs w:val="21"/>
                <w:highlight w:val="none"/>
              </w:rPr>
              <w:t>套</w:t>
            </w:r>
          </w:p>
        </w:tc>
      </w:tr>
      <w:tr w14:paraId="455160FA">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03B00C87">
            <w:pPr>
              <w:jc w:val="center"/>
              <w:rPr>
                <w:rFonts w:ascii="宋体" w:hAnsi="宋体" w:cs="宋体"/>
                <w:szCs w:val="21"/>
                <w:highlight w:val="none"/>
              </w:rPr>
            </w:pPr>
            <w:r>
              <w:rPr>
                <w:rFonts w:hint="eastAsia" w:ascii="宋体" w:hAnsi="宋体" w:cs="宋体"/>
                <w:szCs w:val="21"/>
                <w:highlight w:val="none"/>
              </w:rPr>
              <w:t>50</w:t>
            </w:r>
          </w:p>
        </w:tc>
        <w:tc>
          <w:tcPr>
            <w:tcW w:w="1389" w:type="pct"/>
            <w:tcBorders>
              <w:top w:val="single" w:color="000000" w:sz="4" w:space="0"/>
              <w:left w:val="single" w:color="000000" w:sz="4" w:space="0"/>
              <w:bottom w:val="single" w:color="000000" w:sz="4" w:space="0"/>
              <w:right w:val="single" w:color="000000" w:sz="4" w:space="0"/>
            </w:tcBorders>
            <w:vAlign w:val="center"/>
          </w:tcPr>
          <w:p w14:paraId="0B2BCF90">
            <w:pPr>
              <w:rPr>
                <w:rFonts w:ascii="宋体" w:hAnsi="宋体" w:cs="宋体"/>
                <w:szCs w:val="21"/>
                <w:highlight w:val="none"/>
              </w:rPr>
            </w:pPr>
            <w:r>
              <w:rPr>
                <w:rFonts w:hint="eastAsia" w:ascii="宋体" w:hAnsi="宋体" w:cs="宋体"/>
                <w:szCs w:val="21"/>
                <w:highlight w:val="none"/>
              </w:rPr>
              <w:t>智能服务接口-知识检索服务</w:t>
            </w:r>
          </w:p>
        </w:tc>
        <w:tc>
          <w:tcPr>
            <w:tcW w:w="2609" w:type="pct"/>
            <w:tcBorders>
              <w:top w:val="single" w:color="000000" w:sz="4" w:space="0"/>
              <w:left w:val="single" w:color="000000" w:sz="4" w:space="0"/>
              <w:bottom w:val="single" w:color="000000" w:sz="4" w:space="0"/>
              <w:right w:val="single" w:color="000000" w:sz="4" w:space="0"/>
            </w:tcBorders>
            <w:vAlign w:val="center"/>
          </w:tcPr>
          <w:p w14:paraId="7F228E92">
            <w:pPr>
              <w:rPr>
                <w:rFonts w:ascii="宋体" w:hAnsi="宋体" w:cs="宋体"/>
                <w:szCs w:val="21"/>
                <w:highlight w:val="none"/>
              </w:rPr>
            </w:pPr>
            <w:r>
              <w:rPr>
                <w:rFonts w:hint="eastAsia" w:ascii="宋体" w:hAnsi="宋体" w:cs="宋体"/>
                <w:szCs w:val="21"/>
                <w:highlight w:val="none"/>
              </w:rPr>
              <w:t>知识检索服务：平台须提供知识检索服务API，支持按学科、学段、知识类型等条件检索知识库内容，返回结构化检索结果及引用来源；</w:t>
            </w:r>
          </w:p>
        </w:tc>
        <w:tc>
          <w:tcPr>
            <w:tcW w:w="345" w:type="pct"/>
            <w:tcBorders>
              <w:top w:val="single" w:color="000000" w:sz="4" w:space="0"/>
              <w:left w:val="single" w:color="000000" w:sz="4" w:space="0"/>
              <w:bottom w:val="single" w:color="000000" w:sz="4" w:space="0"/>
              <w:right w:val="single" w:color="000000" w:sz="4" w:space="0"/>
            </w:tcBorders>
            <w:vAlign w:val="center"/>
          </w:tcPr>
          <w:p w14:paraId="5178D3E3">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5CFC7A07">
            <w:pPr>
              <w:jc w:val="center"/>
              <w:rPr>
                <w:rFonts w:ascii="宋体" w:hAnsi="宋体" w:cs="宋体"/>
                <w:szCs w:val="21"/>
                <w:highlight w:val="none"/>
              </w:rPr>
            </w:pPr>
            <w:r>
              <w:rPr>
                <w:rFonts w:hint="eastAsia" w:ascii="宋体" w:hAnsi="宋体" w:cs="宋体"/>
                <w:szCs w:val="21"/>
                <w:highlight w:val="none"/>
              </w:rPr>
              <w:t>套</w:t>
            </w:r>
          </w:p>
        </w:tc>
      </w:tr>
      <w:tr w14:paraId="24AA0CB8">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26015CBD">
            <w:pPr>
              <w:jc w:val="center"/>
              <w:rPr>
                <w:rFonts w:hint="eastAsia" w:ascii="宋体" w:hAnsi="宋体" w:cs="宋体"/>
                <w:szCs w:val="21"/>
                <w:highlight w:val="none"/>
              </w:rPr>
            </w:pPr>
            <w:r>
              <w:rPr>
                <w:rFonts w:hint="eastAsia" w:ascii="宋体" w:hAnsi="宋体" w:cs="宋体"/>
                <w:szCs w:val="21"/>
                <w:highlight w:val="none"/>
              </w:rPr>
              <w:t>51</w:t>
            </w:r>
          </w:p>
        </w:tc>
        <w:tc>
          <w:tcPr>
            <w:tcW w:w="1389" w:type="pct"/>
            <w:tcBorders>
              <w:top w:val="single" w:color="000000" w:sz="4" w:space="0"/>
              <w:left w:val="single" w:color="000000" w:sz="4" w:space="0"/>
              <w:bottom w:val="single" w:color="000000" w:sz="4" w:space="0"/>
              <w:right w:val="single" w:color="000000" w:sz="4" w:space="0"/>
            </w:tcBorders>
            <w:vAlign w:val="center"/>
          </w:tcPr>
          <w:p w14:paraId="78A0D4C1">
            <w:pPr>
              <w:rPr>
                <w:rFonts w:ascii="宋体" w:hAnsi="宋体" w:cs="宋体"/>
                <w:szCs w:val="21"/>
                <w:highlight w:val="none"/>
              </w:rPr>
            </w:pPr>
            <w:r>
              <w:rPr>
                <w:rFonts w:hint="eastAsia" w:ascii="宋体" w:hAnsi="宋体" w:cs="宋体"/>
                <w:szCs w:val="21"/>
                <w:highlight w:val="none"/>
              </w:rPr>
              <w:t>智能服务接口-专业问答服务</w:t>
            </w:r>
          </w:p>
        </w:tc>
        <w:tc>
          <w:tcPr>
            <w:tcW w:w="2609" w:type="pct"/>
            <w:tcBorders>
              <w:top w:val="single" w:color="000000" w:sz="4" w:space="0"/>
              <w:left w:val="single" w:color="000000" w:sz="4" w:space="0"/>
              <w:bottom w:val="single" w:color="000000" w:sz="4" w:space="0"/>
              <w:right w:val="single" w:color="000000" w:sz="4" w:space="0"/>
            </w:tcBorders>
            <w:vAlign w:val="center"/>
          </w:tcPr>
          <w:p w14:paraId="5A20553D">
            <w:pPr>
              <w:rPr>
                <w:rFonts w:ascii="宋体" w:hAnsi="宋体" w:cs="宋体"/>
                <w:szCs w:val="21"/>
                <w:highlight w:val="none"/>
              </w:rPr>
            </w:pPr>
            <w:r>
              <w:rPr>
                <w:rFonts w:hint="eastAsia" w:ascii="宋体" w:hAnsi="宋体" w:cs="宋体"/>
                <w:szCs w:val="21"/>
                <w:highlight w:val="none"/>
              </w:rPr>
              <w:t>专业问答服务：平台须提供基于RAG的专业问答服务API，支持流式与非流式两种调用方式，返回回答内容、思考过程及引用片段；</w:t>
            </w:r>
          </w:p>
        </w:tc>
        <w:tc>
          <w:tcPr>
            <w:tcW w:w="345" w:type="pct"/>
            <w:tcBorders>
              <w:top w:val="single" w:color="000000" w:sz="4" w:space="0"/>
              <w:left w:val="single" w:color="000000" w:sz="4" w:space="0"/>
              <w:bottom w:val="single" w:color="000000" w:sz="4" w:space="0"/>
              <w:right w:val="single" w:color="000000" w:sz="4" w:space="0"/>
            </w:tcBorders>
            <w:vAlign w:val="center"/>
          </w:tcPr>
          <w:p w14:paraId="7BA5B41E">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22D51477">
            <w:pPr>
              <w:jc w:val="center"/>
              <w:rPr>
                <w:rFonts w:ascii="宋体" w:hAnsi="宋体" w:cs="宋体"/>
                <w:szCs w:val="21"/>
                <w:highlight w:val="none"/>
              </w:rPr>
            </w:pPr>
            <w:r>
              <w:rPr>
                <w:rFonts w:hint="eastAsia" w:ascii="宋体" w:hAnsi="宋体" w:cs="宋体"/>
                <w:szCs w:val="21"/>
                <w:highlight w:val="none"/>
              </w:rPr>
              <w:t>套</w:t>
            </w:r>
          </w:p>
        </w:tc>
      </w:tr>
      <w:tr w14:paraId="5200FB9D">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4D2E530">
            <w:pPr>
              <w:jc w:val="center"/>
              <w:rPr>
                <w:rFonts w:ascii="宋体" w:hAnsi="宋体" w:cs="宋体"/>
                <w:szCs w:val="21"/>
                <w:highlight w:val="none"/>
              </w:rPr>
            </w:pPr>
            <w:r>
              <w:rPr>
                <w:rFonts w:hint="eastAsia" w:ascii="宋体" w:hAnsi="宋体" w:cs="宋体"/>
                <w:szCs w:val="21"/>
                <w:highlight w:val="none"/>
              </w:rPr>
              <w:t>52</w:t>
            </w:r>
          </w:p>
        </w:tc>
        <w:tc>
          <w:tcPr>
            <w:tcW w:w="1389" w:type="pct"/>
            <w:tcBorders>
              <w:top w:val="single" w:color="000000" w:sz="4" w:space="0"/>
              <w:left w:val="single" w:color="000000" w:sz="4" w:space="0"/>
              <w:bottom w:val="single" w:color="000000" w:sz="4" w:space="0"/>
              <w:right w:val="single" w:color="000000" w:sz="4" w:space="0"/>
            </w:tcBorders>
            <w:vAlign w:val="center"/>
          </w:tcPr>
          <w:p w14:paraId="5FCB245B">
            <w:pPr>
              <w:rPr>
                <w:rFonts w:ascii="宋体" w:hAnsi="宋体" w:cs="宋体"/>
                <w:szCs w:val="21"/>
                <w:highlight w:val="none"/>
              </w:rPr>
            </w:pPr>
            <w:r>
              <w:rPr>
                <w:rFonts w:hint="eastAsia" w:ascii="宋体" w:hAnsi="宋体" w:cs="宋体"/>
                <w:szCs w:val="21"/>
                <w:highlight w:val="none"/>
              </w:rPr>
              <w:t>智能服务接口-教学内容理解服务</w:t>
            </w:r>
          </w:p>
        </w:tc>
        <w:tc>
          <w:tcPr>
            <w:tcW w:w="2609" w:type="pct"/>
            <w:tcBorders>
              <w:top w:val="single" w:color="000000" w:sz="4" w:space="0"/>
              <w:left w:val="single" w:color="000000" w:sz="4" w:space="0"/>
              <w:bottom w:val="single" w:color="000000" w:sz="4" w:space="0"/>
              <w:right w:val="single" w:color="000000" w:sz="4" w:space="0"/>
            </w:tcBorders>
            <w:vAlign w:val="center"/>
          </w:tcPr>
          <w:p w14:paraId="0A2BBBC6">
            <w:pPr>
              <w:rPr>
                <w:rFonts w:ascii="宋体" w:hAnsi="宋体" w:cs="宋体"/>
                <w:szCs w:val="21"/>
                <w:highlight w:val="none"/>
              </w:rPr>
            </w:pPr>
            <w:r>
              <w:rPr>
                <w:rFonts w:hint="eastAsia" w:ascii="宋体" w:hAnsi="宋体" w:cs="宋体"/>
                <w:szCs w:val="21"/>
                <w:highlight w:val="none"/>
              </w:rPr>
              <w:t>教学内容理解服务：平台须提供教学内容理解API，支持对教案、课件、课堂实录等教学文本的解析、摘要与要素抽取；</w:t>
            </w:r>
          </w:p>
        </w:tc>
        <w:tc>
          <w:tcPr>
            <w:tcW w:w="345" w:type="pct"/>
            <w:tcBorders>
              <w:top w:val="single" w:color="000000" w:sz="4" w:space="0"/>
              <w:left w:val="single" w:color="000000" w:sz="4" w:space="0"/>
              <w:bottom w:val="single" w:color="000000" w:sz="4" w:space="0"/>
              <w:right w:val="single" w:color="000000" w:sz="4" w:space="0"/>
            </w:tcBorders>
            <w:vAlign w:val="center"/>
          </w:tcPr>
          <w:p w14:paraId="6C8C0171">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74A965D2">
            <w:pPr>
              <w:jc w:val="center"/>
              <w:rPr>
                <w:rFonts w:ascii="宋体" w:hAnsi="宋体" w:cs="宋体"/>
                <w:szCs w:val="21"/>
                <w:highlight w:val="none"/>
              </w:rPr>
            </w:pPr>
            <w:r>
              <w:rPr>
                <w:rFonts w:hint="eastAsia" w:ascii="宋体" w:hAnsi="宋体" w:cs="宋体"/>
                <w:szCs w:val="21"/>
                <w:highlight w:val="none"/>
              </w:rPr>
              <w:t>套</w:t>
            </w:r>
          </w:p>
        </w:tc>
      </w:tr>
      <w:tr w14:paraId="03FB7480">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0AFC7823">
            <w:pPr>
              <w:jc w:val="center"/>
              <w:rPr>
                <w:rFonts w:ascii="宋体" w:hAnsi="宋体" w:cs="宋体"/>
                <w:szCs w:val="21"/>
                <w:highlight w:val="none"/>
              </w:rPr>
            </w:pPr>
            <w:r>
              <w:rPr>
                <w:rFonts w:hint="eastAsia" w:ascii="宋体" w:hAnsi="宋体" w:cs="宋体"/>
                <w:szCs w:val="21"/>
                <w:highlight w:val="none"/>
              </w:rPr>
              <w:t>53</w:t>
            </w:r>
          </w:p>
        </w:tc>
        <w:tc>
          <w:tcPr>
            <w:tcW w:w="1389" w:type="pct"/>
            <w:tcBorders>
              <w:top w:val="single" w:color="000000" w:sz="4" w:space="0"/>
              <w:left w:val="single" w:color="000000" w:sz="4" w:space="0"/>
              <w:bottom w:val="single" w:color="000000" w:sz="4" w:space="0"/>
              <w:right w:val="single" w:color="000000" w:sz="4" w:space="0"/>
            </w:tcBorders>
            <w:vAlign w:val="center"/>
          </w:tcPr>
          <w:p w14:paraId="3E43CB50">
            <w:pPr>
              <w:rPr>
                <w:rFonts w:ascii="宋体" w:hAnsi="宋体" w:cs="宋体"/>
                <w:szCs w:val="21"/>
                <w:highlight w:val="none"/>
              </w:rPr>
            </w:pPr>
            <w:r>
              <w:rPr>
                <w:rFonts w:hint="eastAsia" w:ascii="宋体" w:hAnsi="宋体" w:cs="宋体"/>
                <w:szCs w:val="21"/>
                <w:highlight w:val="none"/>
              </w:rPr>
              <w:t>智能服务接口-教学策略推理服务</w:t>
            </w:r>
          </w:p>
        </w:tc>
        <w:tc>
          <w:tcPr>
            <w:tcW w:w="2609" w:type="pct"/>
            <w:tcBorders>
              <w:top w:val="single" w:color="000000" w:sz="4" w:space="0"/>
              <w:left w:val="single" w:color="000000" w:sz="4" w:space="0"/>
              <w:bottom w:val="single" w:color="000000" w:sz="4" w:space="0"/>
              <w:right w:val="single" w:color="000000" w:sz="4" w:space="0"/>
            </w:tcBorders>
            <w:vAlign w:val="center"/>
          </w:tcPr>
          <w:p w14:paraId="4E8BB99D">
            <w:pPr>
              <w:rPr>
                <w:rFonts w:ascii="宋体" w:hAnsi="宋体" w:cs="宋体"/>
                <w:szCs w:val="21"/>
                <w:highlight w:val="none"/>
              </w:rPr>
            </w:pPr>
            <w:r>
              <w:rPr>
                <w:rFonts w:hint="eastAsia" w:ascii="宋体" w:hAnsi="宋体" w:cs="宋体"/>
                <w:szCs w:val="21"/>
                <w:highlight w:val="none"/>
              </w:rPr>
              <w:t>教学策略推理服务：平台须提供教学策略推理API，基于TPCK知识库为教学设计与教学实施提供策略建议；</w:t>
            </w:r>
          </w:p>
        </w:tc>
        <w:tc>
          <w:tcPr>
            <w:tcW w:w="345" w:type="pct"/>
            <w:tcBorders>
              <w:top w:val="single" w:color="000000" w:sz="4" w:space="0"/>
              <w:left w:val="single" w:color="000000" w:sz="4" w:space="0"/>
              <w:bottom w:val="single" w:color="000000" w:sz="4" w:space="0"/>
              <w:right w:val="single" w:color="000000" w:sz="4" w:space="0"/>
            </w:tcBorders>
            <w:vAlign w:val="center"/>
          </w:tcPr>
          <w:p w14:paraId="495717B8">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2D736BC1">
            <w:pPr>
              <w:jc w:val="center"/>
              <w:rPr>
                <w:rFonts w:ascii="宋体" w:hAnsi="宋体" w:cs="宋体"/>
                <w:szCs w:val="21"/>
                <w:highlight w:val="none"/>
              </w:rPr>
            </w:pPr>
            <w:r>
              <w:rPr>
                <w:rFonts w:hint="eastAsia" w:ascii="宋体" w:hAnsi="宋体" w:cs="宋体"/>
                <w:szCs w:val="21"/>
                <w:highlight w:val="none"/>
              </w:rPr>
              <w:t>套</w:t>
            </w:r>
          </w:p>
        </w:tc>
      </w:tr>
      <w:tr w14:paraId="55239F73">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52BFDB9D">
            <w:pPr>
              <w:jc w:val="center"/>
              <w:rPr>
                <w:rFonts w:ascii="宋体" w:hAnsi="宋体" w:cs="宋体"/>
                <w:szCs w:val="21"/>
                <w:highlight w:val="none"/>
              </w:rPr>
            </w:pPr>
            <w:r>
              <w:rPr>
                <w:rFonts w:hint="eastAsia" w:ascii="宋体" w:hAnsi="宋体" w:cs="宋体"/>
                <w:szCs w:val="21"/>
                <w:highlight w:val="none"/>
              </w:rPr>
              <w:t>54</w:t>
            </w:r>
          </w:p>
        </w:tc>
        <w:tc>
          <w:tcPr>
            <w:tcW w:w="1389" w:type="pct"/>
            <w:tcBorders>
              <w:top w:val="single" w:color="000000" w:sz="4" w:space="0"/>
              <w:left w:val="single" w:color="000000" w:sz="4" w:space="0"/>
              <w:bottom w:val="single" w:color="000000" w:sz="4" w:space="0"/>
              <w:right w:val="single" w:color="000000" w:sz="4" w:space="0"/>
            </w:tcBorders>
            <w:vAlign w:val="center"/>
          </w:tcPr>
          <w:p w14:paraId="2F3F915B">
            <w:pPr>
              <w:rPr>
                <w:rFonts w:ascii="宋体" w:hAnsi="宋体" w:cs="宋体"/>
                <w:szCs w:val="21"/>
                <w:highlight w:val="none"/>
              </w:rPr>
            </w:pPr>
            <w:r>
              <w:rPr>
                <w:rFonts w:hint="eastAsia" w:ascii="宋体" w:hAnsi="宋体" w:cs="宋体"/>
                <w:szCs w:val="21"/>
                <w:highlight w:val="none"/>
              </w:rPr>
              <w:t>智能服务接口-专业语义分析服务</w:t>
            </w:r>
          </w:p>
        </w:tc>
        <w:tc>
          <w:tcPr>
            <w:tcW w:w="2609" w:type="pct"/>
            <w:tcBorders>
              <w:top w:val="single" w:color="000000" w:sz="4" w:space="0"/>
              <w:left w:val="single" w:color="000000" w:sz="4" w:space="0"/>
              <w:bottom w:val="single" w:color="000000" w:sz="4" w:space="0"/>
              <w:right w:val="single" w:color="000000" w:sz="4" w:space="0"/>
            </w:tcBorders>
            <w:vAlign w:val="center"/>
          </w:tcPr>
          <w:p w14:paraId="4A884FDE">
            <w:pPr>
              <w:rPr>
                <w:rFonts w:ascii="宋体" w:hAnsi="宋体" w:cs="宋体"/>
                <w:szCs w:val="21"/>
                <w:highlight w:val="none"/>
              </w:rPr>
            </w:pPr>
            <w:r>
              <w:rPr>
                <w:rFonts w:hint="eastAsia" w:ascii="宋体" w:hAnsi="宋体" w:cs="宋体"/>
                <w:szCs w:val="21"/>
                <w:highlight w:val="none"/>
              </w:rPr>
              <w:t>专业语义分析服务：平台须提供专业语义分析API，支持对教学对话、课堂语言的语义分析与评价指标提取；</w:t>
            </w:r>
          </w:p>
        </w:tc>
        <w:tc>
          <w:tcPr>
            <w:tcW w:w="345" w:type="pct"/>
            <w:tcBorders>
              <w:top w:val="single" w:color="000000" w:sz="4" w:space="0"/>
              <w:left w:val="single" w:color="000000" w:sz="4" w:space="0"/>
              <w:bottom w:val="single" w:color="000000" w:sz="4" w:space="0"/>
              <w:right w:val="single" w:color="000000" w:sz="4" w:space="0"/>
            </w:tcBorders>
            <w:vAlign w:val="center"/>
          </w:tcPr>
          <w:p w14:paraId="5522FEB1">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46FB1A9A">
            <w:pPr>
              <w:jc w:val="center"/>
              <w:rPr>
                <w:rFonts w:ascii="宋体" w:hAnsi="宋体" w:cs="宋体"/>
                <w:szCs w:val="21"/>
                <w:highlight w:val="none"/>
              </w:rPr>
            </w:pPr>
            <w:r>
              <w:rPr>
                <w:rFonts w:hint="eastAsia" w:ascii="宋体" w:hAnsi="宋体" w:cs="宋体"/>
                <w:szCs w:val="21"/>
                <w:highlight w:val="none"/>
              </w:rPr>
              <w:t>套</w:t>
            </w:r>
          </w:p>
        </w:tc>
      </w:tr>
      <w:tr w14:paraId="657CA6C3">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4144AFDE">
            <w:pPr>
              <w:jc w:val="center"/>
              <w:rPr>
                <w:rFonts w:ascii="宋体" w:hAnsi="宋体" w:cs="宋体"/>
                <w:szCs w:val="21"/>
                <w:highlight w:val="none"/>
              </w:rPr>
            </w:pPr>
            <w:r>
              <w:rPr>
                <w:rFonts w:hint="eastAsia" w:ascii="宋体" w:hAnsi="宋体" w:cs="宋体"/>
                <w:szCs w:val="21"/>
                <w:highlight w:val="none"/>
              </w:rPr>
              <w:t>55</w:t>
            </w:r>
          </w:p>
        </w:tc>
        <w:tc>
          <w:tcPr>
            <w:tcW w:w="1389" w:type="pct"/>
            <w:tcBorders>
              <w:top w:val="single" w:color="000000" w:sz="4" w:space="0"/>
              <w:left w:val="single" w:color="000000" w:sz="4" w:space="0"/>
              <w:bottom w:val="single" w:color="000000" w:sz="4" w:space="0"/>
              <w:right w:val="single" w:color="000000" w:sz="4" w:space="0"/>
            </w:tcBorders>
            <w:vAlign w:val="center"/>
          </w:tcPr>
          <w:p w14:paraId="78D8E857">
            <w:pPr>
              <w:rPr>
                <w:rFonts w:ascii="宋体" w:hAnsi="宋体" w:cs="宋体"/>
                <w:szCs w:val="21"/>
                <w:highlight w:val="none"/>
              </w:rPr>
            </w:pPr>
            <w:r>
              <w:rPr>
                <w:rFonts w:hint="eastAsia" w:ascii="宋体" w:hAnsi="宋体" w:cs="宋体"/>
                <w:szCs w:val="21"/>
                <w:highlight w:val="none"/>
              </w:rPr>
              <w:t>智能服务接口-接口规范</w:t>
            </w:r>
          </w:p>
        </w:tc>
        <w:tc>
          <w:tcPr>
            <w:tcW w:w="2609" w:type="pct"/>
            <w:tcBorders>
              <w:top w:val="single" w:color="000000" w:sz="4" w:space="0"/>
              <w:left w:val="single" w:color="000000" w:sz="4" w:space="0"/>
              <w:bottom w:val="single" w:color="000000" w:sz="4" w:space="0"/>
              <w:right w:val="single" w:color="000000" w:sz="4" w:space="0"/>
            </w:tcBorders>
            <w:vAlign w:val="center"/>
          </w:tcPr>
          <w:p w14:paraId="0DEA5F59">
            <w:pPr>
              <w:rPr>
                <w:rFonts w:ascii="宋体" w:hAnsi="宋体" w:cs="宋体"/>
                <w:szCs w:val="21"/>
                <w:highlight w:val="none"/>
              </w:rPr>
            </w:pPr>
            <w:r>
              <w:rPr>
                <w:rFonts w:hint="eastAsia" w:ascii="宋体" w:hAnsi="宋体" w:cs="宋体"/>
                <w:szCs w:val="21"/>
                <w:highlight w:val="none"/>
              </w:rPr>
              <w:t>接口规范：上述服务须提供统一的HTTP/REST API与JSON数据结构，提供完整的接口文档、数据字典、错误码说明及权限与版本管理规范；</w:t>
            </w:r>
          </w:p>
        </w:tc>
        <w:tc>
          <w:tcPr>
            <w:tcW w:w="345" w:type="pct"/>
            <w:tcBorders>
              <w:top w:val="single" w:color="000000" w:sz="4" w:space="0"/>
              <w:left w:val="single" w:color="000000" w:sz="4" w:space="0"/>
              <w:bottom w:val="single" w:color="000000" w:sz="4" w:space="0"/>
              <w:right w:val="single" w:color="000000" w:sz="4" w:space="0"/>
            </w:tcBorders>
            <w:vAlign w:val="center"/>
          </w:tcPr>
          <w:p w14:paraId="480BD23C">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3FD6E120">
            <w:pPr>
              <w:jc w:val="center"/>
              <w:rPr>
                <w:rFonts w:ascii="宋体" w:hAnsi="宋体" w:cs="宋体"/>
                <w:szCs w:val="21"/>
                <w:highlight w:val="none"/>
              </w:rPr>
            </w:pPr>
            <w:r>
              <w:rPr>
                <w:rFonts w:hint="eastAsia" w:ascii="宋体" w:hAnsi="宋体" w:cs="宋体"/>
                <w:szCs w:val="21"/>
                <w:highlight w:val="none"/>
              </w:rPr>
              <w:t>套</w:t>
            </w:r>
          </w:p>
        </w:tc>
      </w:tr>
      <w:tr w14:paraId="459EF38B">
        <w:tblPrEx>
          <w:tblCellMar>
            <w:top w:w="0" w:type="dxa"/>
            <w:left w:w="108" w:type="dxa"/>
            <w:bottom w:w="0" w:type="dxa"/>
            <w:right w:w="108" w:type="dxa"/>
          </w:tblCellMar>
        </w:tblPrEx>
        <w:trPr>
          <w:gridAfter w:val="1"/>
          <w:wAfter w:w="72" w:type="pct"/>
          <w:jc w:val="center"/>
        </w:trPr>
        <w:tc>
          <w:tcPr>
            <w:tcW w:w="352" w:type="pct"/>
            <w:tcBorders>
              <w:top w:val="single" w:color="000000" w:sz="4" w:space="0"/>
              <w:left w:val="single" w:color="000000" w:sz="4" w:space="0"/>
              <w:bottom w:val="single" w:color="000000" w:sz="4" w:space="0"/>
              <w:right w:val="single" w:color="000000" w:sz="4" w:space="0"/>
            </w:tcBorders>
            <w:vAlign w:val="center"/>
          </w:tcPr>
          <w:p w14:paraId="28F532A2">
            <w:pPr>
              <w:jc w:val="center"/>
              <w:rPr>
                <w:rFonts w:ascii="宋体" w:hAnsi="宋体" w:cs="宋体"/>
                <w:szCs w:val="21"/>
                <w:highlight w:val="none"/>
              </w:rPr>
            </w:pPr>
            <w:r>
              <w:rPr>
                <w:rFonts w:hint="eastAsia" w:ascii="宋体" w:hAnsi="宋体" w:cs="宋体"/>
                <w:szCs w:val="21"/>
                <w:highlight w:val="none"/>
              </w:rPr>
              <w:t>56</w:t>
            </w:r>
          </w:p>
        </w:tc>
        <w:tc>
          <w:tcPr>
            <w:tcW w:w="1389" w:type="pct"/>
            <w:tcBorders>
              <w:top w:val="single" w:color="000000" w:sz="4" w:space="0"/>
              <w:left w:val="single" w:color="000000" w:sz="4" w:space="0"/>
              <w:bottom w:val="single" w:color="000000" w:sz="4" w:space="0"/>
              <w:right w:val="single" w:color="000000" w:sz="4" w:space="0"/>
            </w:tcBorders>
            <w:vAlign w:val="center"/>
          </w:tcPr>
          <w:p w14:paraId="1B8A58D8">
            <w:pPr>
              <w:rPr>
                <w:rFonts w:ascii="宋体" w:hAnsi="宋体" w:cs="宋体"/>
                <w:szCs w:val="21"/>
                <w:highlight w:val="none"/>
              </w:rPr>
            </w:pPr>
            <w:r>
              <w:rPr>
                <w:rFonts w:hint="eastAsia" w:ascii="宋体" w:hAnsi="宋体" w:cs="宋体"/>
                <w:szCs w:val="21"/>
                <w:highlight w:val="none"/>
              </w:rPr>
              <w:t>智能服务接口-统一认证对接</w:t>
            </w:r>
          </w:p>
        </w:tc>
        <w:tc>
          <w:tcPr>
            <w:tcW w:w="2609" w:type="pct"/>
            <w:tcBorders>
              <w:top w:val="single" w:color="000000" w:sz="4" w:space="0"/>
              <w:left w:val="single" w:color="000000" w:sz="4" w:space="0"/>
              <w:bottom w:val="single" w:color="000000" w:sz="4" w:space="0"/>
              <w:right w:val="single" w:color="000000" w:sz="4" w:space="0"/>
            </w:tcBorders>
            <w:vAlign w:val="center"/>
          </w:tcPr>
          <w:p w14:paraId="15071425">
            <w:pPr>
              <w:rPr>
                <w:rFonts w:ascii="宋体" w:hAnsi="宋体" w:cs="宋体"/>
                <w:szCs w:val="21"/>
                <w:highlight w:val="none"/>
              </w:rPr>
            </w:pPr>
            <w:r>
              <w:rPr>
                <w:rFonts w:hint="eastAsia" w:ascii="宋体" w:hAnsi="宋体" w:cs="宋体"/>
                <w:szCs w:val="21"/>
                <w:highlight w:val="none"/>
              </w:rPr>
              <w:t>统一认证对接：平台须支持统一身份认证对接，实现单点登录与权限互通；</w:t>
            </w:r>
          </w:p>
        </w:tc>
        <w:tc>
          <w:tcPr>
            <w:tcW w:w="345" w:type="pct"/>
            <w:tcBorders>
              <w:top w:val="single" w:color="000000" w:sz="4" w:space="0"/>
              <w:left w:val="single" w:color="000000" w:sz="4" w:space="0"/>
              <w:bottom w:val="single" w:color="000000" w:sz="4" w:space="0"/>
              <w:right w:val="single" w:color="000000" w:sz="4" w:space="0"/>
            </w:tcBorders>
            <w:vAlign w:val="center"/>
          </w:tcPr>
          <w:p w14:paraId="47A163C0">
            <w:pPr>
              <w:jc w:val="center"/>
              <w:rPr>
                <w:rFonts w:ascii="宋体" w:hAnsi="宋体" w:cs="宋体"/>
                <w:szCs w:val="21"/>
                <w:highlight w:val="none"/>
              </w:rPr>
            </w:pPr>
            <w:r>
              <w:rPr>
                <w:rFonts w:hint="eastAsia" w:ascii="宋体" w:hAnsi="宋体" w:cs="宋体"/>
                <w:szCs w:val="21"/>
                <w:highlight w:val="none"/>
              </w:rPr>
              <w:t>1</w:t>
            </w:r>
          </w:p>
        </w:tc>
        <w:tc>
          <w:tcPr>
            <w:tcW w:w="233" w:type="pct"/>
            <w:tcBorders>
              <w:top w:val="single" w:color="000000" w:sz="4" w:space="0"/>
              <w:left w:val="single" w:color="000000" w:sz="4" w:space="0"/>
              <w:bottom w:val="single" w:color="000000" w:sz="4" w:space="0"/>
              <w:right w:val="single" w:color="000000" w:sz="4" w:space="0"/>
            </w:tcBorders>
            <w:vAlign w:val="center"/>
          </w:tcPr>
          <w:p w14:paraId="5DF8028D">
            <w:pPr>
              <w:jc w:val="center"/>
              <w:rPr>
                <w:rFonts w:ascii="宋体" w:hAnsi="宋体" w:cs="宋体"/>
                <w:szCs w:val="21"/>
                <w:highlight w:val="none"/>
              </w:rPr>
            </w:pPr>
            <w:r>
              <w:rPr>
                <w:rFonts w:hint="eastAsia" w:ascii="宋体" w:hAnsi="宋体" w:cs="宋体"/>
                <w:szCs w:val="21"/>
                <w:highlight w:val="none"/>
              </w:rPr>
              <w:t>套</w:t>
            </w:r>
          </w:p>
        </w:tc>
      </w:tr>
    </w:tbl>
    <w:p w14:paraId="3977D8AC">
      <w:pPr>
        <w:spacing w:line="360" w:lineRule="auto"/>
        <w:ind w:firstLine="632" w:firstLineChars="300"/>
        <w:rPr>
          <w:rFonts w:ascii="宋体" w:hAnsi="宋体" w:cs="宋体"/>
          <w:b/>
          <w:color w:val="000000"/>
          <w:szCs w:val="21"/>
          <w:highlight w:val="none"/>
        </w:rPr>
      </w:pPr>
    </w:p>
    <w:p w14:paraId="6531A33C">
      <w:pPr>
        <w:spacing w:line="500" w:lineRule="exact"/>
        <w:rPr>
          <w:rFonts w:ascii="宋体" w:hAnsi="宋体" w:cs="宋体"/>
          <w:b/>
          <w:color w:val="000000"/>
          <w:szCs w:val="21"/>
          <w:highlight w:val="none"/>
        </w:rPr>
      </w:pPr>
      <w:r>
        <w:rPr>
          <w:rFonts w:hint="eastAsia" w:ascii="宋体" w:hAnsi="宋体" w:cs="宋体"/>
          <w:b/>
          <w:color w:val="000000"/>
          <w:szCs w:val="21"/>
          <w:highlight w:val="none"/>
        </w:rPr>
        <w:t>四、采购项目投标币种，付款，交付或者实施的时间和地点</w:t>
      </w:r>
    </w:p>
    <w:p w14:paraId="6A6D24E6">
      <w:pPr>
        <w:spacing w:line="500" w:lineRule="exact"/>
        <w:ind w:firstLine="420" w:firstLineChars="200"/>
        <w:jc w:val="left"/>
        <w:rPr>
          <w:rFonts w:ascii="宋体" w:hAnsi="宋体"/>
          <w:szCs w:val="21"/>
          <w:highlight w:val="none"/>
        </w:rPr>
      </w:pPr>
      <w:r>
        <w:rPr>
          <w:rFonts w:hint="eastAsia" w:ascii="宋体" w:hAnsi="宋体"/>
          <w:szCs w:val="21"/>
          <w:highlight w:val="none"/>
        </w:rPr>
        <w:t>1.投标币种：人民币；</w:t>
      </w:r>
    </w:p>
    <w:p w14:paraId="5689517D">
      <w:pPr>
        <w:spacing w:line="500" w:lineRule="exact"/>
        <w:ind w:firstLine="420" w:firstLineChars="200"/>
        <w:jc w:val="left"/>
        <w:rPr>
          <w:rFonts w:ascii="宋体" w:hAnsi="宋体"/>
          <w:szCs w:val="21"/>
          <w:highlight w:val="none"/>
        </w:rPr>
      </w:pPr>
      <w:r>
        <w:rPr>
          <w:rFonts w:hint="eastAsia" w:ascii="宋体" w:hAnsi="宋体"/>
          <w:szCs w:val="21"/>
          <w:highlight w:val="none"/>
        </w:rPr>
        <w:t>2.履约保证金：中标后，中标人需以转账方式交纳中标金额10%的履约保证金，履约保证金在设备投入使用一年内，且经用户单位确认质量、服务无问题的情况下退还（不计息）；</w:t>
      </w:r>
    </w:p>
    <w:p w14:paraId="0A2E241C">
      <w:pPr>
        <w:spacing w:line="500" w:lineRule="exact"/>
        <w:ind w:firstLine="422" w:firstLineChars="200"/>
        <w:jc w:val="left"/>
        <w:rPr>
          <w:rFonts w:ascii="宋体" w:hAnsi="宋体"/>
          <w:b/>
          <w:bCs/>
          <w:szCs w:val="21"/>
          <w:highlight w:val="none"/>
        </w:rPr>
      </w:pPr>
      <w:r>
        <w:rPr>
          <w:rFonts w:hint="eastAsia" w:ascii="宋体" w:hAnsi="宋体"/>
          <w:b/>
          <w:bCs/>
          <w:szCs w:val="21"/>
          <w:highlight w:val="none"/>
        </w:rPr>
        <w:t>履约保证金汇款账户信息：</w:t>
      </w:r>
    </w:p>
    <w:p w14:paraId="24970000">
      <w:pPr>
        <w:spacing w:line="500" w:lineRule="exact"/>
        <w:ind w:firstLine="420" w:firstLineChars="200"/>
        <w:jc w:val="left"/>
        <w:rPr>
          <w:rFonts w:ascii="宋体" w:hAnsi="宋体"/>
          <w:szCs w:val="21"/>
          <w:highlight w:val="none"/>
        </w:rPr>
      </w:pPr>
      <w:r>
        <w:rPr>
          <w:rFonts w:hint="eastAsia" w:ascii="宋体" w:hAnsi="宋体"/>
          <w:szCs w:val="21"/>
          <w:highlight w:val="none"/>
        </w:rPr>
        <w:t>名称：南京师范大学</w:t>
      </w:r>
    </w:p>
    <w:p w14:paraId="1351BF68">
      <w:pPr>
        <w:spacing w:line="500" w:lineRule="exact"/>
        <w:ind w:firstLine="420" w:firstLineChars="200"/>
        <w:jc w:val="left"/>
        <w:rPr>
          <w:rFonts w:ascii="宋体" w:hAnsi="宋体"/>
          <w:szCs w:val="21"/>
          <w:highlight w:val="none"/>
        </w:rPr>
      </w:pPr>
      <w:r>
        <w:rPr>
          <w:rFonts w:hint="eastAsia" w:ascii="宋体" w:hAnsi="宋体"/>
          <w:szCs w:val="21"/>
          <w:highlight w:val="none"/>
        </w:rPr>
        <w:t>纳税人识别号：123200004660067976</w:t>
      </w:r>
    </w:p>
    <w:p w14:paraId="241D34A9">
      <w:pPr>
        <w:spacing w:line="500" w:lineRule="exact"/>
        <w:ind w:firstLine="420" w:firstLineChars="200"/>
        <w:jc w:val="left"/>
        <w:rPr>
          <w:rFonts w:ascii="宋体" w:hAnsi="宋体"/>
          <w:szCs w:val="21"/>
          <w:highlight w:val="none"/>
        </w:rPr>
      </w:pPr>
      <w:r>
        <w:rPr>
          <w:rFonts w:hint="eastAsia" w:ascii="宋体" w:hAnsi="宋体"/>
          <w:szCs w:val="21"/>
          <w:highlight w:val="none"/>
        </w:rPr>
        <w:t>地址：江苏省南京市文苑路1号</w:t>
      </w:r>
    </w:p>
    <w:p w14:paraId="7BA43E30">
      <w:pPr>
        <w:spacing w:line="500" w:lineRule="exact"/>
        <w:ind w:firstLine="420" w:firstLineChars="200"/>
        <w:jc w:val="left"/>
        <w:rPr>
          <w:rFonts w:ascii="宋体" w:hAnsi="宋体"/>
          <w:szCs w:val="21"/>
          <w:highlight w:val="none"/>
        </w:rPr>
      </w:pPr>
      <w:r>
        <w:rPr>
          <w:rFonts w:hint="eastAsia" w:ascii="宋体" w:hAnsi="宋体"/>
          <w:szCs w:val="21"/>
          <w:highlight w:val="none"/>
        </w:rPr>
        <w:t>电话：025-83598180</w:t>
      </w:r>
    </w:p>
    <w:p w14:paraId="6C8806C9">
      <w:pPr>
        <w:spacing w:line="500" w:lineRule="exact"/>
        <w:ind w:firstLine="420" w:firstLineChars="200"/>
        <w:jc w:val="left"/>
        <w:rPr>
          <w:rFonts w:ascii="宋体" w:hAnsi="宋体"/>
          <w:szCs w:val="21"/>
          <w:highlight w:val="none"/>
        </w:rPr>
      </w:pPr>
      <w:r>
        <w:rPr>
          <w:rFonts w:hint="eastAsia" w:ascii="宋体" w:hAnsi="宋体"/>
          <w:szCs w:val="21"/>
          <w:highlight w:val="none"/>
        </w:rPr>
        <w:t>开户行：交通银行南京广州路支行</w:t>
      </w:r>
    </w:p>
    <w:p w14:paraId="06A2DAC4">
      <w:pPr>
        <w:spacing w:line="500" w:lineRule="exact"/>
        <w:ind w:firstLine="420" w:firstLineChars="200"/>
        <w:jc w:val="left"/>
        <w:rPr>
          <w:rFonts w:ascii="宋体" w:hAnsi="宋体"/>
          <w:szCs w:val="21"/>
          <w:highlight w:val="none"/>
        </w:rPr>
      </w:pPr>
      <w:r>
        <w:rPr>
          <w:rFonts w:hint="eastAsia" w:ascii="宋体" w:hAnsi="宋体"/>
          <w:szCs w:val="21"/>
          <w:highlight w:val="none"/>
        </w:rPr>
        <w:t>账号：320006607010149040493</w:t>
      </w:r>
    </w:p>
    <w:p w14:paraId="3CCFEE29">
      <w:pPr>
        <w:spacing w:line="500" w:lineRule="exact"/>
        <w:ind w:firstLine="420" w:firstLineChars="200"/>
        <w:jc w:val="left"/>
        <w:rPr>
          <w:szCs w:val="21"/>
          <w:highlight w:val="none"/>
        </w:rPr>
      </w:pPr>
      <w:r>
        <w:rPr>
          <w:rFonts w:hint="eastAsia" w:ascii="宋体" w:hAnsi="宋体"/>
          <w:szCs w:val="21"/>
          <w:highlight w:val="none"/>
        </w:rPr>
        <w:t>联行号：301301000476</w:t>
      </w:r>
    </w:p>
    <w:p w14:paraId="78DDF6AF">
      <w:pPr>
        <w:spacing w:line="500" w:lineRule="exact"/>
        <w:ind w:firstLine="420" w:firstLineChars="200"/>
        <w:jc w:val="left"/>
        <w:rPr>
          <w:rFonts w:ascii="宋体" w:hAnsi="宋体"/>
          <w:szCs w:val="21"/>
          <w:highlight w:val="none"/>
        </w:rPr>
      </w:pPr>
      <w:r>
        <w:rPr>
          <w:rFonts w:hint="eastAsia" w:ascii="宋体" w:hAnsi="宋体"/>
          <w:szCs w:val="21"/>
          <w:highlight w:val="none"/>
        </w:rPr>
        <w:t>3.付款方式：合同签订后15日内预付合同金额的</w:t>
      </w:r>
      <w:r>
        <w:rPr>
          <w:rFonts w:hint="eastAsia" w:ascii="宋体" w:hAnsi="宋体"/>
          <w:szCs w:val="21"/>
          <w:highlight w:val="none"/>
          <w:lang w:val="en-US" w:eastAsia="zh-CN"/>
        </w:rPr>
        <w:t>5</w:t>
      </w:r>
      <w:r>
        <w:rPr>
          <w:rFonts w:hint="eastAsia" w:ascii="宋体" w:hAnsi="宋体"/>
          <w:szCs w:val="21"/>
          <w:highlight w:val="none"/>
        </w:rPr>
        <w:t xml:space="preserve">0%；货物全部到货经采购人签收并初验合格后15日内支付至合同金额的80%；最终验收合格后15日内付清余款。 </w:t>
      </w:r>
    </w:p>
    <w:p w14:paraId="093FA05D">
      <w:pPr>
        <w:spacing w:line="500" w:lineRule="exact"/>
        <w:ind w:firstLine="420" w:firstLineChars="200"/>
        <w:jc w:val="left"/>
        <w:rPr>
          <w:rFonts w:ascii="宋体" w:hAnsi="宋体"/>
          <w:szCs w:val="21"/>
          <w:highlight w:val="none"/>
        </w:rPr>
      </w:pPr>
      <w:r>
        <w:rPr>
          <w:rFonts w:hint="eastAsia" w:ascii="宋体" w:hAnsi="宋体"/>
          <w:szCs w:val="21"/>
          <w:highlight w:val="none"/>
        </w:rPr>
        <w:t>4.供货期：合同签订后60日内完成全部硬件供货，系统部署与适配调试周期不超过60日，须与硬件同步交付。90日内完成全部设备安装调试、系统集成及初步验收。因采购人场地、网络或电力条件不具备导致无法按期交付的，供货期相应顺延。</w:t>
      </w:r>
    </w:p>
    <w:p w14:paraId="318D698A">
      <w:pPr>
        <w:spacing w:line="500" w:lineRule="exact"/>
        <w:ind w:firstLine="420" w:firstLineChars="200"/>
        <w:jc w:val="left"/>
        <w:rPr>
          <w:rFonts w:ascii="宋体" w:hAnsi="宋体"/>
          <w:szCs w:val="21"/>
          <w:highlight w:val="none"/>
        </w:rPr>
      </w:pPr>
      <w:r>
        <w:rPr>
          <w:rFonts w:hint="eastAsia" w:ascii="宋体" w:hAnsi="宋体"/>
          <w:szCs w:val="21"/>
          <w:highlight w:val="none"/>
        </w:rPr>
        <w:t>5.交货方式：供应商负责运输并承担运费及安装调试费用。交货地点：南京师范大学仙林校区，具体以</w:t>
      </w:r>
      <w:r>
        <w:rPr>
          <w:rFonts w:hint="eastAsia" w:ascii="宋体" w:hAnsi="宋体"/>
          <w:szCs w:val="21"/>
          <w:highlight w:val="none"/>
          <w:lang w:val="en-US" w:eastAsia="zh-CN"/>
        </w:rPr>
        <w:t>采购人</w:t>
      </w:r>
      <w:r>
        <w:rPr>
          <w:rFonts w:hint="eastAsia" w:ascii="宋体" w:hAnsi="宋体"/>
          <w:szCs w:val="21"/>
          <w:highlight w:val="none"/>
        </w:rPr>
        <w:t>指定地点为准。</w:t>
      </w:r>
    </w:p>
    <w:p w14:paraId="5C7FDA52">
      <w:pPr>
        <w:spacing w:line="500" w:lineRule="exact"/>
        <w:ind w:firstLine="420" w:firstLineChars="200"/>
        <w:jc w:val="left"/>
        <w:rPr>
          <w:rFonts w:ascii="宋体" w:hAnsi="宋体"/>
          <w:szCs w:val="21"/>
          <w:highlight w:val="none"/>
        </w:rPr>
      </w:pPr>
      <w:r>
        <w:rPr>
          <w:rFonts w:hint="eastAsia" w:ascii="宋体" w:hAnsi="宋体"/>
          <w:szCs w:val="21"/>
          <w:highlight w:val="none"/>
        </w:rPr>
        <w:t>6.质保期：所有产品均为原厂质保3年（自设备最终验收合格并交付使用之日起计算）。质保期内软件免费升级，硬件免费维修更换。</w:t>
      </w:r>
    </w:p>
    <w:p w14:paraId="094B01BA">
      <w:pPr>
        <w:spacing w:line="500" w:lineRule="exact"/>
        <w:ind w:firstLine="420" w:firstLineChars="200"/>
        <w:jc w:val="left"/>
        <w:rPr>
          <w:rFonts w:ascii="宋体" w:hAnsi="宋体"/>
          <w:szCs w:val="21"/>
          <w:highlight w:val="none"/>
        </w:rPr>
      </w:pPr>
      <w:r>
        <w:rPr>
          <w:rFonts w:hint="eastAsia" w:ascii="宋体" w:hAnsi="宋体"/>
          <w:szCs w:val="21"/>
          <w:highlight w:val="none"/>
        </w:rPr>
        <w:t>7.对人员培训不低于10人，不低于2批次；</w:t>
      </w:r>
    </w:p>
    <w:p w14:paraId="3DE7BC61">
      <w:pPr>
        <w:spacing w:line="500" w:lineRule="exact"/>
        <w:ind w:firstLine="420" w:firstLineChars="200"/>
        <w:jc w:val="left"/>
        <w:rPr>
          <w:rFonts w:ascii="宋体" w:hAnsi="宋体"/>
          <w:szCs w:val="21"/>
          <w:highlight w:val="none"/>
        </w:rPr>
      </w:pPr>
      <w:r>
        <w:rPr>
          <w:rFonts w:hint="eastAsia" w:ascii="宋体" w:hAnsi="宋体"/>
          <w:szCs w:val="21"/>
          <w:highlight w:val="none"/>
        </w:rPr>
        <w:t>8.配件及耗材要求：原装正品并提供合格证书；</w:t>
      </w:r>
    </w:p>
    <w:p w14:paraId="68DE138D">
      <w:pPr>
        <w:spacing w:line="500" w:lineRule="exact"/>
        <w:ind w:firstLine="420" w:firstLineChars="200"/>
        <w:jc w:val="left"/>
        <w:rPr>
          <w:rFonts w:ascii="宋体" w:hAnsi="宋体"/>
          <w:szCs w:val="21"/>
          <w:highlight w:val="none"/>
        </w:rPr>
      </w:pPr>
      <w:r>
        <w:rPr>
          <w:rFonts w:hint="eastAsia" w:ascii="宋体" w:hAnsi="宋体"/>
          <w:szCs w:val="21"/>
          <w:highlight w:val="none"/>
        </w:rPr>
        <w:t>9.服务响应时间要求：提供7×24小时电话/远程技术支持；紧急故障2小时内远程响应；一般故障24小时内解决；</w:t>
      </w:r>
    </w:p>
    <w:p w14:paraId="268EF24E">
      <w:pPr>
        <w:spacing w:line="500" w:lineRule="exact"/>
        <w:rPr>
          <w:rFonts w:ascii="宋体" w:hAnsi="宋体" w:cs="宋体"/>
          <w:b/>
          <w:color w:val="000000"/>
          <w:szCs w:val="21"/>
          <w:highlight w:val="none"/>
        </w:rPr>
      </w:pPr>
      <w:r>
        <w:rPr>
          <w:rFonts w:hint="eastAsia" w:ascii="宋体" w:hAnsi="宋体" w:cs="宋体"/>
          <w:b/>
          <w:color w:val="000000"/>
          <w:szCs w:val="21"/>
          <w:highlight w:val="none"/>
        </w:rPr>
        <w:t>五、验收标准：</w:t>
      </w:r>
    </w:p>
    <w:p w14:paraId="16ADC4A8">
      <w:pPr>
        <w:spacing w:line="500" w:lineRule="exact"/>
        <w:ind w:firstLine="420" w:firstLineChars="200"/>
        <w:jc w:val="left"/>
        <w:rPr>
          <w:rFonts w:ascii="宋体" w:hAnsi="宋体"/>
          <w:szCs w:val="21"/>
          <w:highlight w:val="none"/>
        </w:rPr>
      </w:pPr>
      <w:r>
        <w:rPr>
          <w:rFonts w:hint="eastAsia" w:ascii="宋体" w:hAnsi="宋体"/>
          <w:szCs w:val="21"/>
          <w:highlight w:val="none"/>
        </w:rPr>
        <w:t>1.原厂原包装；</w:t>
      </w:r>
    </w:p>
    <w:p w14:paraId="66664F01">
      <w:pPr>
        <w:spacing w:line="500" w:lineRule="exact"/>
        <w:ind w:firstLine="420" w:firstLineChars="200"/>
        <w:jc w:val="left"/>
        <w:rPr>
          <w:rFonts w:ascii="宋体" w:hAnsi="宋体"/>
          <w:szCs w:val="21"/>
          <w:highlight w:val="none"/>
        </w:rPr>
      </w:pPr>
      <w:r>
        <w:rPr>
          <w:rFonts w:hint="eastAsia" w:ascii="宋体" w:hAnsi="宋体"/>
          <w:szCs w:val="21"/>
          <w:highlight w:val="none"/>
        </w:rPr>
        <w:t>2.包装完好；</w:t>
      </w:r>
    </w:p>
    <w:p w14:paraId="21306362">
      <w:pPr>
        <w:spacing w:line="500" w:lineRule="exact"/>
        <w:ind w:firstLine="420" w:firstLineChars="200"/>
        <w:jc w:val="left"/>
        <w:rPr>
          <w:rFonts w:ascii="宋体" w:hAnsi="宋体"/>
          <w:szCs w:val="21"/>
          <w:highlight w:val="none"/>
        </w:rPr>
      </w:pPr>
      <w:r>
        <w:rPr>
          <w:rFonts w:hint="eastAsia" w:ascii="宋体" w:hAnsi="宋体"/>
          <w:szCs w:val="21"/>
          <w:highlight w:val="none"/>
        </w:rPr>
        <w:t>3.设备清单与采购文件一致；</w:t>
      </w:r>
    </w:p>
    <w:p w14:paraId="71EA0297">
      <w:pPr>
        <w:spacing w:line="500" w:lineRule="exact"/>
        <w:ind w:firstLine="420" w:firstLineChars="200"/>
        <w:jc w:val="left"/>
        <w:rPr>
          <w:rFonts w:ascii="宋体" w:hAnsi="宋体"/>
          <w:szCs w:val="21"/>
          <w:highlight w:val="none"/>
        </w:rPr>
      </w:pPr>
      <w:r>
        <w:rPr>
          <w:rFonts w:hint="eastAsia" w:ascii="宋体" w:hAnsi="宋体"/>
          <w:szCs w:val="21"/>
          <w:highlight w:val="none"/>
        </w:rPr>
        <w:t>4.设备外观无损；</w:t>
      </w:r>
    </w:p>
    <w:p w14:paraId="67760F52">
      <w:pPr>
        <w:spacing w:line="500" w:lineRule="exact"/>
        <w:ind w:firstLine="420" w:firstLineChars="200"/>
        <w:jc w:val="left"/>
        <w:rPr>
          <w:rFonts w:ascii="宋体" w:hAnsi="宋体"/>
          <w:szCs w:val="21"/>
          <w:highlight w:val="none"/>
        </w:rPr>
      </w:pPr>
      <w:r>
        <w:rPr>
          <w:rFonts w:hint="eastAsia" w:ascii="宋体" w:hAnsi="宋体"/>
          <w:szCs w:val="21"/>
          <w:highlight w:val="none"/>
        </w:rPr>
        <w:t>5.调试后正常运行；</w:t>
      </w:r>
    </w:p>
    <w:p w14:paraId="684B0D40">
      <w:pPr>
        <w:spacing w:line="500" w:lineRule="exact"/>
        <w:ind w:firstLine="420" w:firstLineChars="200"/>
        <w:jc w:val="left"/>
        <w:rPr>
          <w:rFonts w:ascii="宋体" w:hAnsi="宋体"/>
          <w:szCs w:val="21"/>
          <w:highlight w:val="none"/>
        </w:rPr>
      </w:pPr>
      <w:r>
        <w:rPr>
          <w:rFonts w:hint="eastAsia" w:ascii="宋体" w:hAnsi="宋体"/>
          <w:szCs w:val="21"/>
          <w:highlight w:val="none"/>
        </w:rPr>
        <w:t>6.技术参数按投标文件逐条对应；</w:t>
      </w:r>
    </w:p>
    <w:p w14:paraId="00CC5A88">
      <w:pPr>
        <w:spacing w:line="500" w:lineRule="exact"/>
        <w:ind w:firstLine="420" w:firstLineChars="200"/>
        <w:jc w:val="left"/>
        <w:rPr>
          <w:rFonts w:ascii="宋体" w:hAnsi="宋体"/>
          <w:szCs w:val="21"/>
          <w:highlight w:val="none"/>
        </w:rPr>
      </w:pPr>
      <w:r>
        <w:rPr>
          <w:rFonts w:hint="eastAsia" w:ascii="宋体" w:hAnsi="宋体"/>
          <w:szCs w:val="21"/>
          <w:highlight w:val="none"/>
        </w:rPr>
        <w:t>7.电气线路应安装平整、牢固、横平竖直，过墙应有套管、导线连接必须牢固；</w:t>
      </w:r>
    </w:p>
    <w:p w14:paraId="58A0FD64">
      <w:pPr>
        <w:spacing w:line="500" w:lineRule="exact"/>
        <w:ind w:firstLine="420" w:firstLineChars="200"/>
        <w:jc w:val="left"/>
        <w:rPr>
          <w:rFonts w:ascii="宋体" w:hAnsi="宋体"/>
          <w:szCs w:val="21"/>
          <w:highlight w:val="none"/>
        </w:rPr>
      </w:pPr>
      <w:r>
        <w:rPr>
          <w:rFonts w:hint="eastAsia" w:ascii="宋体" w:hAnsi="宋体"/>
          <w:szCs w:val="21"/>
          <w:highlight w:val="none"/>
        </w:rPr>
        <w:t>8.各系统接线箱完整、盘内外清洁、箱盖，开关灵活、线路无绞接现象，各回路线编号齐全、完整、清晰、正确，接线整齐；</w:t>
      </w:r>
    </w:p>
    <w:p w14:paraId="5A77481C">
      <w:pPr>
        <w:spacing w:line="500" w:lineRule="exact"/>
        <w:ind w:firstLine="420" w:firstLineChars="200"/>
        <w:jc w:val="left"/>
        <w:rPr>
          <w:rFonts w:ascii="宋体" w:hAnsi="宋体"/>
          <w:szCs w:val="21"/>
          <w:highlight w:val="none"/>
        </w:rPr>
      </w:pPr>
      <w:r>
        <w:rPr>
          <w:rFonts w:hint="eastAsia" w:ascii="宋体" w:hAnsi="宋体"/>
          <w:szCs w:val="21"/>
          <w:highlight w:val="none"/>
        </w:rPr>
        <w:t>9.各设备接口接触良好，位置准确，外观完好，功能完好，控制准确迅速；</w:t>
      </w:r>
    </w:p>
    <w:p w14:paraId="0AEA3596">
      <w:pPr>
        <w:spacing w:line="500" w:lineRule="exact"/>
        <w:ind w:firstLine="420" w:firstLineChars="200"/>
        <w:jc w:val="left"/>
        <w:rPr>
          <w:rFonts w:ascii="宋体" w:hAnsi="宋体"/>
          <w:szCs w:val="21"/>
          <w:highlight w:val="none"/>
        </w:rPr>
      </w:pPr>
      <w:r>
        <w:rPr>
          <w:rFonts w:hint="eastAsia" w:ascii="宋体" w:hAnsi="宋体"/>
          <w:szCs w:val="21"/>
          <w:highlight w:val="none"/>
        </w:rPr>
        <w:t>10.各种设备功能完好，材料及配件进入现场应有清单、说明中的证明材料文件、质量合格证明文件、国家法定质检机构的检验报告（如有）等文件；</w:t>
      </w:r>
    </w:p>
    <w:p w14:paraId="3904FFD6">
      <w:pPr>
        <w:spacing w:line="500" w:lineRule="exact"/>
        <w:ind w:firstLine="420" w:firstLineChars="200"/>
        <w:jc w:val="left"/>
        <w:rPr>
          <w:rFonts w:ascii="宋体" w:hAnsi="宋体"/>
          <w:szCs w:val="21"/>
          <w:highlight w:val="none"/>
        </w:rPr>
      </w:pPr>
      <w:r>
        <w:rPr>
          <w:rFonts w:hint="eastAsia" w:ascii="宋体" w:hAnsi="宋体"/>
          <w:szCs w:val="21"/>
          <w:highlight w:val="none"/>
        </w:rPr>
        <w:t>11.各系统硬件设备与软件匹配良好、运行正常。软件系统按第</w:t>
      </w:r>
      <w:r>
        <w:rPr>
          <w:rFonts w:hint="eastAsia" w:ascii="宋体" w:hAnsi="宋体"/>
          <w:szCs w:val="21"/>
          <w:highlight w:val="none"/>
          <w:lang w:val="en-US" w:eastAsia="zh-CN"/>
        </w:rPr>
        <w:t>三</w:t>
      </w:r>
      <w:r>
        <w:rPr>
          <w:rFonts w:hint="eastAsia" w:ascii="宋体" w:hAnsi="宋体"/>
          <w:szCs w:val="21"/>
          <w:highlight w:val="none"/>
        </w:rPr>
        <w:t>章技术参数逐条核验应答；系统上线试运行不少于30日，运行稳定后组织最终验收。</w:t>
      </w:r>
    </w:p>
    <w:p w14:paraId="7A3E7500">
      <w:pPr>
        <w:spacing w:line="500" w:lineRule="exact"/>
        <w:ind w:firstLine="420" w:firstLineChars="200"/>
        <w:jc w:val="left"/>
        <w:rPr>
          <w:rFonts w:ascii="宋体" w:hAnsi="宋体"/>
          <w:szCs w:val="21"/>
          <w:highlight w:val="none"/>
        </w:rPr>
      </w:pPr>
      <w:r>
        <w:rPr>
          <w:rFonts w:hint="eastAsia" w:ascii="宋体" w:hAnsi="宋体"/>
          <w:szCs w:val="21"/>
          <w:highlight w:val="none"/>
        </w:rPr>
        <w:t>12.签收资料目录（见下表，如不涉及可不提供）</w:t>
      </w:r>
    </w:p>
    <w:tbl>
      <w:tblPr>
        <w:tblStyle w:val="45"/>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3969"/>
        <w:gridCol w:w="3298"/>
      </w:tblGrid>
      <w:tr w14:paraId="7B1EC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1BE2634A">
            <w:pPr>
              <w:widowControl/>
              <w:jc w:val="center"/>
              <w:rPr>
                <w:b/>
                <w:color w:val="000000"/>
                <w:szCs w:val="21"/>
                <w:highlight w:val="none"/>
              </w:rPr>
            </w:pPr>
            <w:r>
              <w:rPr>
                <w:rFonts w:hint="eastAsia"/>
                <w:b/>
                <w:color w:val="000000"/>
                <w:szCs w:val="21"/>
                <w:highlight w:val="none"/>
              </w:rPr>
              <w:t>序号</w:t>
            </w:r>
          </w:p>
        </w:tc>
        <w:tc>
          <w:tcPr>
            <w:tcW w:w="3969" w:type="dxa"/>
            <w:vAlign w:val="center"/>
          </w:tcPr>
          <w:p w14:paraId="739B17C5">
            <w:pPr>
              <w:widowControl/>
              <w:jc w:val="center"/>
              <w:rPr>
                <w:b/>
                <w:color w:val="000000"/>
                <w:szCs w:val="21"/>
                <w:highlight w:val="none"/>
              </w:rPr>
            </w:pPr>
            <w:r>
              <w:rPr>
                <w:rFonts w:hint="eastAsia"/>
                <w:b/>
                <w:color w:val="000000"/>
                <w:szCs w:val="21"/>
                <w:highlight w:val="none"/>
              </w:rPr>
              <w:t>材料</w:t>
            </w:r>
          </w:p>
        </w:tc>
        <w:tc>
          <w:tcPr>
            <w:tcW w:w="3298" w:type="dxa"/>
            <w:vAlign w:val="center"/>
          </w:tcPr>
          <w:p w14:paraId="13412357">
            <w:pPr>
              <w:widowControl/>
              <w:jc w:val="center"/>
              <w:rPr>
                <w:b/>
                <w:color w:val="000000"/>
                <w:szCs w:val="21"/>
                <w:highlight w:val="none"/>
              </w:rPr>
            </w:pPr>
            <w:r>
              <w:rPr>
                <w:rFonts w:hint="eastAsia"/>
                <w:b/>
                <w:color w:val="000000"/>
                <w:szCs w:val="21"/>
                <w:highlight w:val="none"/>
              </w:rPr>
              <w:t>备注</w:t>
            </w:r>
          </w:p>
        </w:tc>
      </w:tr>
      <w:tr w14:paraId="1078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2B3DF936">
            <w:pPr>
              <w:pStyle w:val="279"/>
              <w:jc w:val="center"/>
              <w:rPr>
                <w:sz w:val="21"/>
                <w:szCs w:val="21"/>
                <w:highlight w:val="none"/>
              </w:rPr>
            </w:pPr>
            <w:r>
              <w:rPr>
                <w:rFonts w:hint="eastAsia"/>
                <w:sz w:val="21"/>
                <w:szCs w:val="21"/>
                <w:highlight w:val="none"/>
              </w:rPr>
              <w:t>1</w:t>
            </w:r>
          </w:p>
        </w:tc>
        <w:tc>
          <w:tcPr>
            <w:tcW w:w="3969" w:type="dxa"/>
            <w:vAlign w:val="center"/>
          </w:tcPr>
          <w:p w14:paraId="2327A78D">
            <w:pPr>
              <w:pStyle w:val="279"/>
              <w:rPr>
                <w:sz w:val="21"/>
                <w:szCs w:val="21"/>
                <w:highlight w:val="none"/>
              </w:rPr>
            </w:pPr>
            <w:r>
              <w:rPr>
                <w:rFonts w:hint="eastAsia"/>
                <w:sz w:val="21"/>
                <w:szCs w:val="21"/>
                <w:highlight w:val="none"/>
              </w:rPr>
              <w:t>系统需求规格说明书</w:t>
            </w:r>
          </w:p>
        </w:tc>
        <w:tc>
          <w:tcPr>
            <w:tcW w:w="3298" w:type="dxa"/>
            <w:vAlign w:val="center"/>
          </w:tcPr>
          <w:p w14:paraId="06A66FCC">
            <w:pPr>
              <w:pStyle w:val="279"/>
              <w:jc w:val="center"/>
              <w:rPr>
                <w:sz w:val="21"/>
                <w:szCs w:val="21"/>
                <w:highlight w:val="none"/>
              </w:rPr>
            </w:pPr>
            <w:r>
              <w:rPr>
                <w:rFonts w:hint="eastAsia"/>
                <w:sz w:val="21"/>
                <w:szCs w:val="21"/>
                <w:highlight w:val="none"/>
              </w:rPr>
              <w:t>软件建设需求功能点</w:t>
            </w:r>
          </w:p>
        </w:tc>
      </w:tr>
      <w:tr w14:paraId="636E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1DAF8D79">
            <w:pPr>
              <w:pStyle w:val="279"/>
              <w:jc w:val="center"/>
              <w:rPr>
                <w:sz w:val="21"/>
                <w:szCs w:val="21"/>
                <w:highlight w:val="none"/>
              </w:rPr>
            </w:pPr>
            <w:r>
              <w:rPr>
                <w:rFonts w:hint="eastAsia"/>
                <w:sz w:val="21"/>
                <w:szCs w:val="21"/>
                <w:highlight w:val="none"/>
              </w:rPr>
              <w:t>2</w:t>
            </w:r>
          </w:p>
        </w:tc>
        <w:tc>
          <w:tcPr>
            <w:tcW w:w="3969" w:type="dxa"/>
            <w:vAlign w:val="center"/>
          </w:tcPr>
          <w:p w14:paraId="3C85F54A">
            <w:pPr>
              <w:pStyle w:val="279"/>
              <w:rPr>
                <w:sz w:val="21"/>
                <w:szCs w:val="21"/>
                <w:highlight w:val="none"/>
              </w:rPr>
            </w:pPr>
            <w:r>
              <w:rPr>
                <w:rFonts w:hint="eastAsia"/>
                <w:sz w:val="21"/>
                <w:szCs w:val="21"/>
                <w:highlight w:val="none"/>
              </w:rPr>
              <w:t>系统详细设计报告</w:t>
            </w:r>
          </w:p>
        </w:tc>
        <w:tc>
          <w:tcPr>
            <w:tcW w:w="3298" w:type="dxa"/>
            <w:vAlign w:val="center"/>
          </w:tcPr>
          <w:p w14:paraId="683A5C65">
            <w:pPr>
              <w:pStyle w:val="279"/>
              <w:jc w:val="center"/>
              <w:rPr>
                <w:sz w:val="21"/>
                <w:szCs w:val="21"/>
                <w:highlight w:val="none"/>
              </w:rPr>
            </w:pPr>
          </w:p>
        </w:tc>
      </w:tr>
      <w:tr w14:paraId="473D8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1FF8D5BA">
            <w:pPr>
              <w:pStyle w:val="279"/>
              <w:jc w:val="center"/>
              <w:rPr>
                <w:sz w:val="21"/>
                <w:szCs w:val="21"/>
                <w:highlight w:val="none"/>
              </w:rPr>
            </w:pPr>
            <w:r>
              <w:rPr>
                <w:rFonts w:hint="eastAsia"/>
                <w:sz w:val="21"/>
                <w:szCs w:val="21"/>
                <w:highlight w:val="none"/>
              </w:rPr>
              <w:t>3</w:t>
            </w:r>
          </w:p>
        </w:tc>
        <w:tc>
          <w:tcPr>
            <w:tcW w:w="3969" w:type="dxa"/>
            <w:vAlign w:val="center"/>
          </w:tcPr>
          <w:p w14:paraId="5C8545A2">
            <w:pPr>
              <w:pStyle w:val="279"/>
              <w:rPr>
                <w:sz w:val="21"/>
                <w:szCs w:val="21"/>
                <w:highlight w:val="none"/>
              </w:rPr>
            </w:pPr>
            <w:r>
              <w:rPr>
                <w:rFonts w:hint="eastAsia"/>
                <w:sz w:val="21"/>
                <w:szCs w:val="21"/>
                <w:highlight w:val="none"/>
              </w:rPr>
              <w:t>系统数据库设计报告</w:t>
            </w:r>
          </w:p>
        </w:tc>
        <w:tc>
          <w:tcPr>
            <w:tcW w:w="3298" w:type="dxa"/>
            <w:vAlign w:val="center"/>
          </w:tcPr>
          <w:p w14:paraId="18790D00">
            <w:pPr>
              <w:pStyle w:val="279"/>
              <w:jc w:val="center"/>
              <w:rPr>
                <w:sz w:val="21"/>
                <w:szCs w:val="21"/>
                <w:highlight w:val="none"/>
              </w:rPr>
            </w:pPr>
          </w:p>
        </w:tc>
      </w:tr>
      <w:tr w14:paraId="3DDBD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6AB551D3">
            <w:pPr>
              <w:pStyle w:val="279"/>
              <w:jc w:val="center"/>
              <w:rPr>
                <w:sz w:val="21"/>
                <w:szCs w:val="21"/>
                <w:highlight w:val="none"/>
              </w:rPr>
            </w:pPr>
            <w:r>
              <w:rPr>
                <w:rFonts w:hint="eastAsia"/>
                <w:sz w:val="21"/>
                <w:szCs w:val="21"/>
                <w:highlight w:val="none"/>
              </w:rPr>
              <w:t>4</w:t>
            </w:r>
          </w:p>
        </w:tc>
        <w:tc>
          <w:tcPr>
            <w:tcW w:w="3969" w:type="dxa"/>
            <w:vAlign w:val="center"/>
          </w:tcPr>
          <w:p w14:paraId="4B193336">
            <w:pPr>
              <w:pStyle w:val="279"/>
              <w:rPr>
                <w:sz w:val="21"/>
                <w:szCs w:val="21"/>
                <w:highlight w:val="none"/>
              </w:rPr>
            </w:pPr>
            <w:r>
              <w:rPr>
                <w:rFonts w:hint="eastAsia"/>
                <w:sz w:val="21"/>
                <w:szCs w:val="21"/>
                <w:highlight w:val="none"/>
              </w:rPr>
              <w:t>系统关键技术说明手册</w:t>
            </w:r>
          </w:p>
        </w:tc>
        <w:tc>
          <w:tcPr>
            <w:tcW w:w="3298" w:type="dxa"/>
            <w:vAlign w:val="center"/>
          </w:tcPr>
          <w:p w14:paraId="2C7BB4C5">
            <w:pPr>
              <w:pStyle w:val="279"/>
              <w:jc w:val="center"/>
              <w:rPr>
                <w:sz w:val="21"/>
                <w:szCs w:val="21"/>
                <w:highlight w:val="none"/>
              </w:rPr>
            </w:pPr>
          </w:p>
        </w:tc>
      </w:tr>
      <w:tr w14:paraId="649DA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3120E6B1">
            <w:pPr>
              <w:pStyle w:val="279"/>
              <w:jc w:val="center"/>
              <w:rPr>
                <w:sz w:val="21"/>
                <w:szCs w:val="21"/>
                <w:highlight w:val="none"/>
              </w:rPr>
            </w:pPr>
            <w:r>
              <w:rPr>
                <w:rFonts w:hint="eastAsia"/>
                <w:sz w:val="21"/>
                <w:szCs w:val="21"/>
                <w:highlight w:val="none"/>
              </w:rPr>
              <w:t>5</w:t>
            </w:r>
          </w:p>
        </w:tc>
        <w:tc>
          <w:tcPr>
            <w:tcW w:w="3969" w:type="dxa"/>
            <w:vAlign w:val="center"/>
          </w:tcPr>
          <w:p w14:paraId="365786B9">
            <w:pPr>
              <w:pStyle w:val="279"/>
              <w:rPr>
                <w:sz w:val="21"/>
                <w:szCs w:val="21"/>
                <w:highlight w:val="none"/>
              </w:rPr>
            </w:pPr>
            <w:r>
              <w:rPr>
                <w:rFonts w:hint="eastAsia"/>
                <w:sz w:val="21"/>
                <w:szCs w:val="21"/>
                <w:highlight w:val="none"/>
              </w:rPr>
              <w:t>系统测试用例</w:t>
            </w:r>
          </w:p>
        </w:tc>
        <w:tc>
          <w:tcPr>
            <w:tcW w:w="3298" w:type="dxa"/>
            <w:vAlign w:val="center"/>
          </w:tcPr>
          <w:p w14:paraId="5219D0F4">
            <w:pPr>
              <w:pStyle w:val="279"/>
              <w:jc w:val="center"/>
              <w:rPr>
                <w:sz w:val="21"/>
                <w:szCs w:val="21"/>
                <w:highlight w:val="none"/>
              </w:rPr>
            </w:pPr>
            <w:r>
              <w:rPr>
                <w:rFonts w:hint="eastAsia"/>
                <w:sz w:val="21"/>
                <w:szCs w:val="21"/>
                <w:highlight w:val="none"/>
              </w:rPr>
              <w:t>测试实例</w:t>
            </w:r>
          </w:p>
        </w:tc>
      </w:tr>
      <w:tr w14:paraId="46E82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2D2D8696">
            <w:pPr>
              <w:pStyle w:val="279"/>
              <w:jc w:val="center"/>
              <w:rPr>
                <w:sz w:val="21"/>
                <w:szCs w:val="21"/>
                <w:highlight w:val="none"/>
              </w:rPr>
            </w:pPr>
            <w:r>
              <w:rPr>
                <w:rFonts w:hint="eastAsia"/>
                <w:sz w:val="21"/>
                <w:szCs w:val="21"/>
                <w:highlight w:val="none"/>
              </w:rPr>
              <w:t>6</w:t>
            </w:r>
          </w:p>
        </w:tc>
        <w:tc>
          <w:tcPr>
            <w:tcW w:w="3969" w:type="dxa"/>
            <w:vAlign w:val="center"/>
          </w:tcPr>
          <w:p w14:paraId="519088CC">
            <w:pPr>
              <w:pStyle w:val="279"/>
              <w:rPr>
                <w:sz w:val="21"/>
                <w:szCs w:val="21"/>
                <w:highlight w:val="none"/>
              </w:rPr>
            </w:pPr>
            <w:r>
              <w:rPr>
                <w:rFonts w:hint="eastAsia"/>
                <w:sz w:val="21"/>
                <w:szCs w:val="21"/>
                <w:highlight w:val="none"/>
              </w:rPr>
              <w:t>系统测试方案</w:t>
            </w:r>
          </w:p>
        </w:tc>
        <w:tc>
          <w:tcPr>
            <w:tcW w:w="3298" w:type="dxa"/>
            <w:vAlign w:val="center"/>
          </w:tcPr>
          <w:p w14:paraId="0F96871F">
            <w:pPr>
              <w:pStyle w:val="279"/>
              <w:jc w:val="center"/>
              <w:rPr>
                <w:sz w:val="21"/>
                <w:szCs w:val="21"/>
                <w:highlight w:val="none"/>
              </w:rPr>
            </w:pPr>
            <w:r>
              <w:rPr>
                <w:rFonts w:hint="eastAsia"/>
                <w:sz w:val="21"/>
                <w:szCs w:val="21"/>
                <w:highlight w:val="none"/>
              </w:rPr>
              <w:t>测试方案</w:t>
            </w:r>
          </w:p>
        </w:tc>
      </w:tr>
      <w:tr w14:paraId="7E83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2C9BFA45">
            <w:pPr>
              <w:pStyle w:val="279"/>
              <w:jc w:val="center"/>
              <w:rPr>
                <w:sz w:val="21"/>
                <w:szCs w:val="21"/>
                <w:highlight w:val="none"/>
              </w:rPr>
            </w:pPr>
            <w:r>
              <w:rPr>
                <w:rFonts w:hint="eastAsia"/>
                <w:sz w:val="21"/>
                <w:szCs w:val="21"/>
                <w:highlight w:val="none"/>
              </w:rPr>
              <w:t>7</w:t>
            </w:r>
          </w:p>
        </w:tc>
        <w:tc>
          <w:tcPr>
            <w:tcW w:w="3969" w:type="dxa"/>
            <w:vAlign w:val="center"/>
          </w:tcPr>
          <w:p w14:paraId="4F168C7D">
            <w:pPr>
              <w:pStyle w:val="279"/>
              <w:rPr>
                <w:sz w:val="21"/>
                <w:szCs w:val="21"/>
                <w:highlight w:val="none"/>
              </w:rPr>
            </w:pPr>
            <w:r>
              <w:rPr>
                <w:rFonts w:hint="eastAsia"/>
                <w:sz w:val="21"/>
                <w:szCs w:val="21"/>
                <w:highlight w:val="none"/>
              </w:rPr>
              <w:t>软件测试报告</w:t>
            </w:r>
          </w:p>
        </w:tc>
        <w:tc>
          <w:tcPr>
            <w:tcW w:w="3298" w:type="dxa"/>
            <w:vAlign w:val="center"/>
          </w:tcPr>
          <w:p w14:paraId="4C7C3AE9">
            <w:pPr>
              <w:pStyle w:val="279"/>
              <w:jc w:val="center"/>
              <w:rPr>
                <w:sz w:val="21"/>
                <w:szCs w:val="21"/>
                <w:highlight w:val="none"/>
              </w:rPr>
            </w:pPr>
            <w:r>
              <w:rPr>
                <w:rFonts w:hint="eastAsia"/>
                <w:sz w:val="21"/>
                <w:szCs w:val="21"/>
                <w:highlight w:val="none"/>
              </w:rPr>
              <w:t>测试总结</w:t>
            </w:r>
          </w:p>
        </w:tc>
      </w:tr>
      <w:tr w14:paraId="0C829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70B9658D">
            <w:pPr>
              <w:pStyle w:val="279"/>
              <w:jc w:val="center"/>
              <w:rPr>
                <w:sz w:val="21"/>
                <w:szCs w:val="21"/>
                <w:highlight w:val="none"/>
              </w:rPr>
            </w:pPr>
            <w:r>
              <w:rPr>
                <w:rFonts w:hint="eastAsia"/>
                <w:sz w:val="21"/>
                <w:szCs w:val="21"/>
                <w:highlight w:val="none"/>
              </w:rPr>
              <w:t>8</w:t>
            </w:r>
          </w:p>
        </w:tc>
        <w:tc>
          <w:tcPr>
            <w:tcW w:w="3969" w:type="dxa"/>
            <w:vAlign w:val="center"/>
          </w:tcPr>
          <w:p w14:paraId="3E33E3C5">
            <w:pPr>
              <w:pStyle w:val="279"/>
              <w:rPr>
                <w:sz w:val="21"/>
                <w:szCs w:val="21"/>
                <w:highlight w:val="none"/>
              </w:rPr>
            </w:pPr>
            <w:r>
              <w:rPr>
                <w:rFonts w:hint="eastAsia"/>
                <w:sz w:val="21"/>
                <w:szCs w:val="21"/>
                <w:highlight w:val="none"/>
              </w:rPr>
              <w:t>项目部署实施手册</w:t>
            </w:r>
          </w:p>
        </w:tc>
        <w:tc>
          <w:tcPr>
            <w:tcW w:w="3298" w:type="dxa"/>
            <w:vAlign w:val="center"/>
          </w:tcPr>
          <w:p w14:paraId="55FA57D5">
            <w:pPr>
              <w:pStyle w:val="279"/>
              <w:jc w:val="center"/>
              <w:rPr>
                <w:sz w:val="21"/>
                <w:szCs w:val="21"/>
                <w:highlight w:val="none"/>
              </w:rPr>
            </w:pPr>
          </w:p>
        </w:tc>
      </w:tr>
      <w:tr w14:paraId="4FCC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04E82BDF">
            <w:pPr>
              <w:pStyle w:val="279"/>
              <w:jc w:val="center"/>
              <w:rPr>
                <w:sz w:val="21"/>
                <w:szCs w:val="21"/>
                <w:highlight w:val="none"/>
              </w:rPr>
            </w:pPr>
            <w:r>
              <w:rPr>
                <w:rFonts w:hint="eastAsia"/>
                <w:sz w:val="21"/>
                <w:szCs w:val="21"/>
                <w:highlight w:val="none"/>
              </w:rPr>
              <w:t>9</w:t>
            </w:r>
          </w:p>
        </w:tc>
        <w:tc>
          <w:tcPr>
            <w:tcW w:w="3969" w:type="dxa"/>
            <w:vAlign w:val="center"/>
          </w:tcPr>
          <w:p w14:paraId="775EADA3">
            <w:pPr>
              <w:pStyle w:val="279"/>
              <w:rPr>
                <w:sz w:val="21"/>
                <w:szCs w:val="21"/>
                <w:highlight w:val="none"/>
              </w:rPr>
            </w:pPr>
            <w:r>
              <w:rPr>
                <w:rFonts w:hint="eastAsia"/>
                <w:sz w:val="21"/>
                <w:szCs w:val="21"/>
                <w:highlight w:val="none"/>
              </w:rPr>
              <w:t>项目验收技术规范</w:t>
            </w:r>
          </w:p>
        </w:tc>
        <w:tc>
          <w:tcPr>
            <w:tcW w:w="3298" w:type="dxa"/>
            <w:vAlign w:val="center"/>
          </w:tcPr>
          <w:p w14:paraId="75D8DB6E">
            <w:pPr>
              <w:pStyle w:val="279"/>
              <w:jc w:val="center"/>
              <w:rPr>
                <w:sz w:val="21"/>
                <w:szCs w:val="21"/>
                <w:highlight w:val="none"/>
              </w:rPr>
            </w:pPr>
          </w:p>
        </w:tc>
      </w:tr>
      <w:tr w14:paraId="30553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0698A240">
            <w:pPr>
              <w:pStyle w:val="279"/>
              <w:jc w:val="center"/>
              <w:rPr>
                <w:sz w:val="21"/>
                <w:szCs w:val="21"/>
                <w:highlight w:val="none"/>
              </w:rPr>
            </w:pPr>
            <w:r>
              <w:rPr>
                <w:rFonts w:hint="eastAsia"/>
                <w:sz w:val="21"/>
                <w:szCs w:val="21"/>
                <w:highlight w:val="none"/>
              </w:rPr>
              <w:t>10</w:t>
            </w:r>
          </w:p>
        </w:tc>
        <w:tc>
          <w:tcPr>
            <w:tcW w:w="3969" w:type="dxa"/>
            <w:vAlign w:val="center"/>
          </w:tcPr>
          <w:p w14:paraId="152D64DA">
            <w:pPr>
              <w:pStyle w:val="279"/>
              <w:rPr>
                <w:sz w:val="21"/>
                <w:szCs w:val="21"/>
                <w:highlight w:val="none"/>
              </w:rPr>
            </w:pPr>
            <w:r>
              <w:rPr>
                <w:rFonts w:hint="eastAsia"/>
                <w:sz w:val="21"/>
                <w:szCs w:val="21"/>
                <w:highlight w:val="none"/>
              </w:rPr>
              <w:t>系统管理手册</w:t>
            </w:r>
          </w:p>
        </w:tc>
        <w:tc>
          <w:tcPr>
            <w:tcW w:w="3298" w:type="dxa"/>
            <w:vAlign w:val="center"/>
          </w:tcPr>
          <w:p w14:paraId="4AB785DA">
            <w:pPr>
              <w:pStyle w:val="279"/>
              <w:jc w:val="center"/>
              <w:rPr>
                <w:sz w:val="21"/>
                <w:szCs w:val="21"/>
                <w:highlight w:val="none"/>
              </w:rPr>
            </w:pPr>
            <w:r>
              <w:rPr>
                <w:rFonts w:hint="eastAsia"/>
                <w:sz w:val="21"/>
                <w:szCs w:val="21"/>
                <w:highlight w:val="none"/>
              </w:rPr>
              <w:t>管理者手册</w:t>
            </w:r>
          </w:p>
        </w:tc>
      </w:tr>
      <w:tr w14:paraId="35FC5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759E7EC1">
            <w:pPr>
              <w:pStyle w:val="279"/>
              <w:jc w:val="center"/>
              <w:rPr>
                <w:sz w:val="21"/>
                <w:szCs w:val="21"/>
                <w:highlight w:val="none"/>
              </w:rPr>
            </w:pPr>
            <w:r>
              <w:rPr>
                <w:rFonts w:hint="eastAsia"/>
                <w:sz w:val="21"/>
                <w:szCs w:val="21"/>
                <w:highlight w:val="none"/>
              </w:rPr>
              <w:t>11</w:t>
            </w:r>
          </w:p>
        </w:tc>
        <w:tc>
          <w:tcPr>
            <w:tcW w:w="3969" w:type="dxa"/>
            <w:vAlign w:val="center"/>
          </w:tcPr>
          <w:p w14:paraId="1845253B">
            <w:pPr>
              <w:pStyle w:val="279"/>
              <w:rPr>
                <w:sz w:val="21"/>
                <w:szCs w:val="21"/>
                <w:highlight w:val="none"/>
              </w:rPr>
            </w:pPr>
            <w:r>
              <w:rPr>
                <w:rFonts w:hint="eastAsia"/>
                <w:sz w:val="21"/>
                <w:szCs w:val="21"/>
                <w:highlight w:val="none"/>
              </w:rPr>
              <w:t>系统用户手册</w:t>
            </w:r>
          </w:p>
        </w:tc>
        <w:tc>
          <w:tcPr>
            <w:tcW w:w="3298" w:type="dxa"/>
            <w:vAlign w:val="center"/>
          </w:tcPr>
          <w:p w14:paraId="644C6651">
            <w:pPr>
              <w:pStyle w:val="279"/>
              <w:jc w:val="center"/>
              <w:rPr>
                <w:sz w:val="21"/>
                <w:szCs w:val="21"/>
                <w:highlight w:val="none"/>
              </w:rPr>
            </w:pPr>
            <w:r>
              <w:rPr>
                <w:rFonts w:hint="eastAsia"/>
                <w:sz w:val="21"/>
                <w:szCs w:val="21"/>
                <w:highlight w:val="none"/>
              </w:rPr>
              <w:t>使用者手册</w:t>
            </w:r>
          </w:p>
        </w:tc>
      </w:tr>
      <w:tr w14:paraId="70676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0AB6C0F2">
            <w:pPr>
              <w:pStyle w:val="279"/>
              <w:jc w:val="center"/>
              <w:rPr>
                <w:sz w:val="21"/>
                <w:szCs w:val="21"/>
                <w:highlight w:val="none"/>
              </w:rPr>
            </w:pPr>
            <w:r>
              <w:rPr>
                <w:rFonts w:hint="eastAsia"/>
                <w:sz w:val="21"/>
                <w:szCs w:val="21"/>
                <w:highlight w:val="none"/>
              </w:rPr>
              <w:t>12</w:t>
            </w:r>
          </w:p>
        </w:tc>
        <w:tc>
          <w:tcPr>
            <w:tcW w:w="3969" w:type="dxa"/>
            <w:vAlign w:val="center"/>
          </w:tcPr>
          <w:p w14:paraId="7ED099ED">
            <w:pPr>
              <w:pStyle w:val="279"/>
              <w:rPr>
                <w:sz w:val="21"/>
                <w:szCs w:val="21"/>
                <w:highlight w:val="none"/>
              </w:rPr>
            </w:pPr>
            <w:r>
              <w:rPr>
                <w:rFonts w:hint="eastAsia"/>
                <w:sz w:val="21"/>
                <w:szCs w:val="21"/>
                <w:highlight w:val="none"/>
              </w:rPr>
              <w:t>其他必要的技术文档</w:t>
            </w:r>
          </w:p>
        </w:tc>
        <w:tc>
          <w:tcPr>
            <w:tcW w:w="3298" w:type="dxa"/>
            <w:vAlign w:val="center"/>
          </w:tcPr>
          <w:p w14:paraId="2DE74A9E">
            <w:pPr>
              <w:pStyle w:val="279"/>
              <w:jc w:val="center"/>
              <w:rPr>
                <w:sz w:val="21"/>
                <w:szCs w:val="21"/>
                <w:highlight w:val="none"/>
              </w:rPr>
            </w:pPr>
            <w:r>
              <w:rPr>
                <w:rFonts w:hint="eastAsia"/>
                <w:sz w:val="21"/>
                <w:szCs w:val="21"/>
                <w:highlight w:val="none"/>
              </w:rPr>
              <w:t>电子稿</w:t>
            </w:r>
          </w:p>
        </w:tc>
      </w:tr>
    </w:tbl>
    <w:p w14:paraId="1C37FBA0">
      <w:pPr>
        <w:spacing w:line="500" w:lineRule="exact"/>
        <w:jc w:val="left"/>
        <w:rPr>
          <w:rFonts w:ascii="宋体" w:hAnsi="宋体"/>
          <w:b/>
          <w:bCs/>
          <w:szCs w:val="21"/>
          <w:highlight w:val="none"/>
        </w:rPr>
      </w:pPr>
    </w:p>
    <w:p w14:paraId="1ABBCAED">
      <w:pPr>
        <w:spacing w:line="500" w:lineRule="exact"/>
        <w:jc w:val="left"/>
        <w:rPr>
          <w:rFonts w:ascii="宋体" w:hAnsi="宋体"/>
          <w:b/>
          <w:bCs/>
          <w:szCs w:val="21"/>
          <w:highlight w:val="none"/>
        </w:rPr>
      </w:pPr>
      <w:r>
        <w:rPr>
          <w:rFonts w:hint="eastAsia" w:ascii="宋体" w:hAnsi="宋体"/>
          <w:b/>
          <w:bCs/>
          <w:szCs w:val="21"/>
          <w:highlight w:val="none"/>
        </w:rPr>
        <w:t>六、服务要求</w:t>
      </w:r>
    </w:p>
    <w:p w14:paraId="568BC7F5">
      <w:pPr>
        <w:spacing w:line="520" w:lineRule="exact"/>
        <w:ind w:firstLine="480"/>
        <w:rPr>
          <w:highlight w:val="none"/>
        </w:rPr>
      </w:pPr>
      <w:r>
        <w:rPr>
          <w:rFonts w:hint="eastAsia"/>
          <w:highlight w:val="none"/>
        </w:rPr>
        <w:t>1.真实性核验要求</w:t>
      </w:r>
    </w:p>
    <w:p w14:paraId="4B82DB9E">
      <w:pPr>
        <w:spacing w:line="520" w:lineRule="exact"/>
        <w:ind w:firstLine="480"/>
        <w:rPr>
          <w:highlight w:val="none"/>
        </w:rPr>
      </w:pPr>
      <w:r>
        <w:rPr>
          <w:rFonts w:hint="eastAsia"/>
          <w:highlight w:val="none"/>
        </w:rPr>
        <w:t>中标人须在收到《中标通知书》之日起5个工作日内，携带投标承诺的系统至采购人指定地点进行现场功能演示及真实性核验。若中标人未按时参加演示，或中标人到场演示核验发现系统功能、配置与投标文件响应内容存在不一致的，采购人将向同级财政部门报告，依法追究供应商虚假承诺的违法责任。</w:t>
      </w:r>
    </w:p>
    <w:p w14:paraId="76301F87">
      <w:pPr>
        <w:spacing w:line="520" w:lineRule="exact"/>
        <w:ind w:firstLine="480"/>
        <w:rPr>
          <w:highlight w:val="none"/>
        </w:rPr>
      </w:pPr>
      <w:r>
        <w:rPr>
          <w:rFonts w:hint="eastAsia"/>
          <w:highlight w:val="none"/>
        </w:rPr>
        <w:t>2.售后技术服务要求</w:t>
      </w:r>
    </w:p>
    <w:p w14:paraId="2F3663CC">
      <w:pPr>
        <w:spacing w:line="520" w:lineRule="exact"/>
        <w:ind w:firstLine="480"/>
        <w:rPr>
          <w:highlight w:val="none"/>
        </w:rPr>
      </w:pPr>
      <w:r>
        <w:rPr>
          <w:rFonts w:hint="eastAsia"/>
          <w:highlight w:val="none"/>
        </w:rPr>
        <w:t>中标供应商提供3次/年现场巡访或不定期电话巡访服务，与采购人一起共同对系统进行性能调优、系统诊断、系统日常维护管理方面的交流，为客户进行定期的预防性维护服务。</w:t>
      </w:r>
    </w:p>
    <w:p w14:paraId="549F565C">
      <w:pPr>
        <w:spacing w:line="520" w:lineRule="exact"/>
        <w:ind w:firstLine="480"/>
        <w:rPr>
          <w:highlight w:val="none"/>
        </w:rPr>
      </w:pPr>
      <w:r>
        <w:rPr>
          <w:rFonts w:hint="eastAsia"/>
          <w:highlight w:val="none"/>
        </w:rPr>
        <w:t>3.其他服务要求</w:t>
      </w:r>
    </w:p>
    <w:p w14:paraId="7FC0EBAC">
      <w:pPr>
        <w:spacing w:line="520" w:lineRule="exact"/>
        <w:ind w:firstLine="480"/>
        <w:rPr>
          <w:highlight w:val="none"/>
        </w:rPr>
      </w:pPr>
      <w:r>
        <w:rPr>
          <w:rFonts w:hint="eastAsia"/>
          <w:highlight w:val="none"/>
        </w:rPr>
        <w:t>免费质保期满后，提供备件，出现故障后，上门维修，备件按低于市场价优惠价格提供，免收人工费。</w:t>
      </w:r>
    </w:p>
    <w:p w14:paraId="271E270A">
      <w:pPr>
        <w:spacing w:line="520" w:lineRule="exact"/>
        <w:ind w:firstLine="480"/>
        <w:rPr>
          <w:highlight w:val="none"/>
        </w:rPr>
      </w:pPr>
      <w:r>
        <w:rPr>
          <w:rFonts w:hint="eastAsia"/>
          <w:highlight w:val="none"/>
        </w:rPr>
        <w:t>4.支持服务要求</w:t>
      </w:r>
    </w:p>
    <w:p w14:paraId="4ACC605B">
      <w:pPr>
        <w:spacing w:line="520" w:lineRule="exact"/>
        <w:ind w:firstLine="480"/>
        <w:rPr>
          <w:highlight w:val="none"/>
        </w:rPr>
      </w:pPr>
      <w:r>
        <w:rPr>
          <w:rFonts w:hint="eastAsia"/>
          <w:highlight w:val="none"/>
          <w:lang w:val="en-US" w:eastAsia="zh-CN"/>
        </w:rPr>
        <w:t>采购人</w:t>
      </w:r>
      <w:r>
        <w:rPr>
          <w:rFonts w:hint="eastAsia"/>
          <w:highlight w:val="none"/>
        </w:rPr>
        <w:t>在日常系统运行过程中遇到任何技术方面的问题时，可以直接拨打中标供应商电话支持响应中心，中标供应商应</w:t>
      </w:r>
      <w:r>
        <w:rPr>
          <w:rFonts w:hint="eastAsia"/>
          <w:szCs w:val="21"/>
          <w:highlight w:val="none"/>
        </w:rPr>
        <w:t>提供7×24小时电话技术支持；紧急故障2小时内远程响应；一般故障24小时内解决</w:t>
      </w:r>
      <w:r>
        <w:rPr>
          <w:rFonts w:hint="eastAsia"/>
          <w:highlight w:val="none"/>
        </w:rPr>
        <w:t>。如遇紧急情况，还可直接拨打值班工程师的移动电话，寻求最快响应，及时提供完整、准确的解答。</w:t>
      </w:r>
    </w:p>
    <w:p w14:paraId="1D9965F7">
      <w:pPr>
        <w:spacing w:line="520" w:lineRule="exact"/>
        <w:ind w:firstLine="480"/>
        <w:rPr>
          <w:highlight w:val="none"/>
        </w:rPr>
      </w:pPr>
      <w:r>
        <w:rPr>
          <w:rFonts w:hint="eastAsia"/>
          <w:highlight w:val="none"/>
        </w:rPr>
        <w:t>如果</w:t>
      </w:r>
      <w:r>
        <w:rPr>
          <w:rFonts w:hint="eastAsia"/>
          <w:highlight w:val="none"/>
          <w:lang w:val="en-US" w:eastAsia="zh-CN"/>
        </w:rPr>
        <w:t>采购人</w:t>
      </w:r>
      <w:r>
        <w:rPr>
          <w:rFonts w:hint="eastAsia"/>
          <w:highlight w:val="none"/>
        </w:rPr>
        <w:t>的设备出现故障，或通过电话等技术支持服务方式仍无法解决用户问题时，客户服务流程进入现场支持服务阶段。</w:t>
      </w:r>
    </w:p>
    <w:p w14:paraId="70A390F2">
      <w:pPr>
        <w:spacing w:line="520" w:lineRule="exact"/>
        <w:ind w:firstLine="480"/>
        <w:rPr>
          <w:highlight w:val="none"/>
        </w:rPr>
      </w:pPr>
      <w:r>
        <w:rPr>
          <w:rFonts w:hint="eastAsia"/>
          <w:highlight w:val="none"/>
        </w:rPr>
        <w:t>中标供应商将</w:t>
      </w:r>
      <w:r>
        <w:rPr>
          <w:rFonts w:hint="eastAsia"/>
          <w:highlight w:val="none"/>
          <w:lang w:val="en-US" w:eastAsia="zh-CN"/>
        </w:rPr>
        <w:t>派</w:t>
      </w:r>
      <w:r>
        <w:rPr>
          <w:rFonts w:hint="eastAsia"/>
          <w:highlight w:val="none"/>
        </w:rPr>
        <w:t>技术支持服务人员，以最快的速度到达用户现场，分析原因、解决故障，保证用户整个系统顺利运行。</w:t>
      </w:r>
    </w:p>
    <w:p w14:paraId="5701942D">
      <w:pPr>
        <w:pStyle w:val="19"/>
        <w:rPr>
          <w:highlight w:val="none"/>
        </w:rPr>
      </w:pPr>
    </w:p>
    <w:p w14:paraId="74DB250B">
      <w:pPr>
        <w:spacing w:line="500" w:lineRule="exact"/>
        <w:rPr>
          <w:rFonts w:ascii="宋体" w:hAnsi="宋体" w:cs="宋体"/>
          <w:b/>
          <w:color w:val="000000"/>
          <w:szCs w:val="21"/>
          <w:highlight w:val="none"/>
        </w:rPr>
      </w:pPr>
      <w:r>
        <w:rPr>
          <w:rFonts w:hint="eastAsia" w:ascii="宋体" w:hAnsi="宋体" w:cs="宋体"/>
          <w:b/>
          <w:color w:val="000000"/>
          <w:szCs w:val="21"/>
          <w:highlight w:val="none"/>
        </w:rPr>
        <w:t>七、其他技术要求</w:t>
      </w:r>
    </w:p>
    <w:p w14:paraId="7486ECDB">
      <w:pPr>
        <w:spacing w:line="52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（一）项目实施要求</w:t>
      </w:r>
    </w:p>
    <w:p w14:paraId="077CD6F0">
      <w:pPr>
        <w:spacing w:line="520" w:lineRule="exact"/>
        <w:ind w:firstLine="4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r>
        <w:rPr>
          <w:rFonts w:ascii="宋体" w:hAnsi="宋体" w:cs="宋体"/>
          <w:bCs/>
          <w:color w:val="000000" w:themeColor="text1"/>
          <w:szCs w:val="21"/>
          <w:highlight w:val="none"/>
          <w14:textFill>
            <w14:solidFill>
              <w14:schemeClr w14:val="tx1"/>
            </w14:solidFill>
          </w14:textFill>
        </w:rPr>
        <w:t xml:space="preserve">. </w:t>
      </w:r>
      <w:r>
        <w:rPr>
          <w:highlight w:val="none"/>
        </w:rPr>
        <w:t>供应商应具备本项目相关领域的实施经验，能够提供专业技术团队及高质量服务。</w:t>
      </w:r>
    </w:p>
    <w:p w14:paraId="72082BAD">
      <w:pPr>
        <w:spacing w:line="520" w:lineRule="exact"/>
        <w:ind w:firstLine="480"/>
        <w:rPr>
          <w:strike/>
          <w:highlight w:val="none"/>
        </w:rPr>
      </w:pPr>
      <w:r>
        <w:rPr>
          <w:rFonts w:hint="eastAsia"/>
          <w:highlight w:val="none"/>
        </w:rPr>
        <w:t>2</w:t>
      </w:r>
      <w:r>
        <w:rPr>
          <w:highlight w:val="none"/>
        </w:rPr>
        <w:t xml:space="preserve">. </w:t>
      </w:r>
      <w:r>
        <w:rPr>
          <w:rFonts w:hint="eastAsia"/>
          <w:highlight w:val="none"/>
        </w:rPr>
        <w:t>项目实施方案，包括但不限于：项目</w:t>
      </w:r>
      <w:r>
        <w:rPr>
          <w:rFonts w:hint="eastAsia"/>
          <w:highlight w:val="none"/>
          <w:lang w:val="en-US" w:eastAsia="zh-CN"/>
        </w:rPr>
        <w:t>总体方案</w:t>
      </w:r>
      <w:r>
        <w:rPr>
          <w:rFonts w:hint="eastAsia"/>
          <w:highlight w:val="none"/>
        </w:rPr>
        <w:t>、风险评估与控制措施。方案应体现完整性、针对性，供应商需针对本项目成立专门的实施团队，在规定的时间内，保证质量完成投标所提供设备的规划、安装、调试及投入运行，达成项目目标</w:t>
      </w:r>
      <w:r>
        <w:rPr>
          <w:rFonts w:hint="eastAsia"/>
          <w:b/>
          <w:bCs/>
          <w:highlight w:val="none"/>
        </w:rPr>
        <w:t>。</w:t>
      </w:r>
      <w:r>
        <w:rPr>
          <w:rFonts w:hint="eastAsia"/>
          <w:highlight w:val="none"/>
        </w:rPr>
        <w:t>针对本项目的安装地点提供针对性的安装方案，安装调试期间，采购人有权派技术人员参加，供应商有义务对其提出问题进行解答。</w:t>
      </w:r>
    </w:p>
    <w:p w14:paraId="4D26953E">
      <w:pPr>
        <w:spacing w:line="520" w:lineRule="exact"/>
        <w:ind w:firstLine="480"/>
        <w:rPr>
          <w:rFonts w:ascii="宋体" w:hAnsi="宋体" w:cs="宋体"/>
          <w:highlight w:val="none"/>
        </w:rPr>
      </w:pPr>
      <w:r>
        <w:rPr>
          <w:rFonts w:hint="eastAsia" w:ascii="宋体" w:hAnsi="宋体" w:cs="宋体"/>
          <w:highlight w:val="none"/>
        </w:rPr>
        <w:t>硬件设备须满足国家安全标准；</w:t>
      </w:r>
      <w:r>
        <w:rPr>
          <w:highlight w:val="none"/>
        </w:rPr>
        <w:t>供应商</w:t>
      </w:r>
      <w:r>
        <w:rPr>
          <w:rFonts w:hint="eastAsia" w:ascii="宋体" w:hAnsi="宋体" w:cs="宋体"/>
          <w:highlight w:val="none"/>
        </w:rPr>
        <w:t>应提供该项目硬件设备所需的机柜、交换机及相关网络施工耗材，费用包干，不再追加。设备安装调试须规范，布线整齐、牢固，标识清晰；系统上线前须完成联调联试，确保各软硬件系统匹配良好、运行稳定。系统采用开放式设计，确保为功能拓展保留API接口。</w:t>
      </w:r>
    </w:p>
    <w:p w14:paraId="4358BB5C">
      <w:pPr>
        <w:spacing w:line="520" w:lineRule="exact"/>
        <w:ind w:firstLine="4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安装标准：符合我国国家有关技术规范要求和技术标准，所有的软件和硬件必须保证同时安装到位。</w:t>
      </w:r>
    </w:p>
    <w:p w14:paraId="516F7A51">
      <w:pPr>
        <w:spacing w:line="520" w:lineRule="exact"/>
        <w:ind w:firstLine="480"/>
        <w:rPr>
          <w:highlight w:val="none"/>
        </w:rPr>
      </w:pPr>
      <w:r>
        <w:rPr>
          <w:rFonts w:hint="eastAsia" w:ascii="宋体" w:hAnsi="宋体" w:cs="宋体"/>
          <w:bCs/>
          <w:color w:val="000000" w:themeColor="text1"/>
          <w:szCs w:val="21"/>
          <w:highlight w:val="none"/>
          <w14:textFill>
            <w14:solidFill>
              <w14:schemeClr w14:val="tx1"/>
            </w14:solidFill>
          </w14:textFill>
        </w:rPr>
        <w:t>3</w:t>
      </w:r>
      <w:r>
        <w:rPr>
          <w:rFonts w:ascii="宋体" w:hAnsi="宋体" w:cs="宋体"/>
          <w:bCs/>
          <w:color w:val="000000" w:themeColor="text1"/>
          <w:szCs w:val="21"/>
          <w:highlight w:val="none"/>
          <w14:textFill>
            <w14:solidFill>
              <w14:schemeClr w14:val="tx1"/>
            </w14:solidFill>
          </w14:textFill>
        </w:rPr>
        <w:t>.</w:t>
      </w:r>
      <w:r>
        <w:rPr>
          <w:rFonts w:hint="eastAsia"/>
          <w:highlight w:val="none"/>
        </w:rPr>
        <w:t>供应商承担本项目实施期间产生的全部费用，包括但不限于设备、配件、辅材、运输、安装、调试、测试、产品对接、系统接口适配、数据对接、跨平台联调、验收、技术支持、现场服务等，项目实施全过程须接受采购人监督。</w:t>
      </w:r>
    </w:p>
    <w:p w14:paraId="07FACCA1">
      <w:pPr>
        <w:spacing w:line="52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（二）进度计划、质量保证措施</w:t>
      </w:r>
    </w:p>
    <w:p w14:paraId="13845D00">
      <w:pPr>
        <w:spacing w:line="520" w:lineRule="exact"/>
        <w:ind w:firstLine="480"/>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供应商需结合项目整体建设内容、部署、到货安装、调试验收等全流程工作，制定科学合理、节点清晰、可执行的项目实施进度计划。进度计划需明确项目各阶段工作内容、实施顺序、工期节点、人员配置、关键路径及进度管控措施，覆盖项目前期准备、设备到货、安装部署、联调测试、整改优化、交付移交等全部环节，确保项目按期、保质、有序完成。</w:t>
      </w:r>
    </w:p>
    <w:p w14:paraId="12F49C23">
      <w:pPr>
        <w:spacing w:line="520" w:lineRule="exact"/>
        <w:ind w:firstLine="480"/>
        <w:rPr>
          <w:rFonts w:hint="default" w:ascii="Times New Roman" w:hAnsi="Times New Roman" w:eastAsia="宋体" w:cs="Times New Roman"/>
          <w:highlight w:val="none"/>
          <w:lang w:val="en-US"/>
        </w:rPr>
      </w:pPr>
      <w:r>
        <w:rPr>
          <w:rFonts w:hint="eastAsia" w:ascii="Times New Roman" w:hAnsi="Times New Roman" w:eastAsia="宋体" w:cs="Times New Roman"/>
          <w:highlight w:val="none"/>
          <w:lang w:val="en-US" w:eastAsia="zh-CN"/>
        </w:rPr>
        <w:t>供应商须建立完善的项目实施质量保障体系，结合项目实际情况制定全过程质量管控措施。方案需包含质量管理制度、安装质量标准、工序管控办法、过程检查、抽检核验、问题整改、质量溯源、成品保护等内容，对项目设备到货检验、安装施工、工艺规范、系统调试、项目验收等各环节进行严格质量把控，确保项目建设全过程符合国家、行业相关规范及本项目招标文件要求，保障项目整体建设质量达标、稳定可靠交付。</w:t>
      </w:r>
    </w:p>
    <w:p w14:paraId="61C9603A">
      <w:pPr>
        <w:spacing w:line="52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三</w:t>
      </w:r>
      <w:r>
        <w:rPr>
          <w:rFonts w:hint="eastAsia" w:ascii="宋体" w:hAnsi="宋体" w:cs="宋体"/>
          <w:b/>
          <w:color w:val="000000" w:themeColor="text1"/>
          <w:szCs w:val="21"/>
          <w:highlight w:val="none"/>
          <w14:textFill>
            <w14:solidFill>
              <w14:schemeClr w14:val="tx1"/>
            </w14:solidFill>
          </w14:textFill>
        </w:rPr>
        <w:t>）项目培训要求</w:t>
      </w:r>
    </w:p>
    <w:p w14:paraId="60C416B0">
      <w:pPr>
        <w:spacing w:line="520" w:lineRule="exact"/>
        <w:ind w:firstLine="480"/>
        <w:rPr>
          <w:rFonts w:ascii="宋体" w:hAnsi="宋体"/>
          <w:szCs w:val="21"/>
          <w:highlight w:val="none"/>
        </w:rPr>
      </w:pPr>
      <w:r>
        <w:rPr>
          <w:rFonts w:hint="eastAsia" w:ascii="宋体" w:hAnsi="宋体" w:cs="宋体"/>
          <w:bCs/>
          <w:color w:val="000000" w:themeColor="text1"/>
          <w:szCs w:val="21"/>
          <w:highlight w:val="none"/>
          <w14:textFill>
            <w14:solidFill>
              <w14:schemeClr w14:val="tx1"/>
            </w14:solidFill>
          </w14:textFill>
        </w:rPr>
        <w:t>1.中标供应商</w:t>
      </w:r>
      <w:r>
        <w:rPr>
          <w:rFonts w:hint="eastAsia" w:ascii="宋体" w:hAnsi="宋体"/>
          <w:szCs w:val="21"/>
          <w:highlight w:val="none"/>
        </w:rPr>
        <w:t>对人员培训不低于10人，不低于2批次，培训内容包括但不限于：产品设备功能说明、常见问题及解决办法、运维培训等。</w:t>
      </w:r>
    </w:p>
    <w:p w14:paraId="0697419F">
      <w:pPr>
        <w:spacing w:line="520" w:lineRule="exact"/>
        <w:ind w:firstLine="4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szCs w:val="21"/>
          <w:highlight w:val="none"/>
        </w:rPr>
        <w:t>中标供应商在项目实施和交付过程中，须根据采购人需求，制定覆盖系统操作、管理维护、日常运维、常见故障应急处理等内容的专项培训计划。需要对采购人相关管理人员进行免费现场培训，培训内容包括：所有硬件设备的基本操作原理和设备运行注意事项、日常维护保养等。通过培训确保采购人的管理人员能够了解系统的安装及配置，掌握各种软件安装调试及使用、</w:t>
      </w:r>
      <w:r>
        <w:rPr>
          <w:rFonts w:hint="eastAsia" w:ascii="宋体" w:hAnsi="宋体" w:cs="宋体"/>
          <w:bCs/>
          <w:color w:val="000000" w:themeColor="text1"/>
          <w:szCs w:val="21"/>
          <w:highlight w:val="none"/>
          <w14:textFill>
            <w14:solidFill>
              <w14:schemeClr w14:val="tx1"/>
            </w14:solidFill>
          </w14:textFill>
        </w:rPr>
        <w:t>常见故障的解决办法、系统的简易性恢复等技能。应</w:t>
      </w:r>
      <w:r>
        <w:rPr>
          <w:highlight w:val="none"/>
        </w:rPr>
        <w:t>提供定制化教学和后续在线/远程答疑服务。</w:t>
      </w:r>
      <w:r>
        <w:rPr>
          <w:rFonts w:hint="eastAsia" w:ascii="宋体" w:hAnsi="宋体" w:cs="宋体"/>
          <w:bCs/>
          <w:color w:val="000000" w:themeColor="text1"/>
          <w:szCs w:val="21"/>
          <w:highlight w:val="none"/>
          <w14:textFill>
            <w14:solidFill>
              <w14:schemeClr w14:val="tx1"/>
            </w14:solidFill>
          </w14:textFill>
        </w:rPr>
        <w:t>投标文件中提供详细的培训计划及方案。</w:t>
      </w:r>
    </w:p>
    <w:p w14:paraId="1759746C">
      <w:pPr>
        <w:spacing w:line="52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四</w:t>
      </w:r>
      <w:r>
        <w:rPr>
          <w:rFonts w:hint="eastAsia" w:ascii="宋体" w:hAnsi="宋体" w:cs="宋体"/>
          <w:b/>
          <w:color w:val="000000" w:themeColor="text1"/>
          <w:szCs w:val="21"/>
          <w:highlight w:val="none"/>
          <w14:textFill>
            <w14:solidFill>
              <w14:schemeClr w14:val="tx1"/>
            </w14:solidFill>
          </w14:textFill>
        </w:rPr>
        <w:t>）售后服务要求</w:t>
      </w:r>
    </w:p>
    <w:p w14:paraId="2BE0B429">
      <w:pPr>
        <w:spacing w:line="520" w:lineRule="exact"/>
        <w:ind w:firstLine="4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1</w:t>
      </w:r>
      <w:r>
        <w:rPr>
          <w:rFonts w:ascii="宋体" w:hAnsi="宋体" w:cs="宋体"/>
          <w:bC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供应商在合同期内，向采购人免费提供系统维护、技术支持服务；如系统出现错误和故障，供应商应根据采购人要求给予修正。提供3次/年现场巡访或不定期电话巡访服务，与</w:t>
      </w:r>
      <w:r>
        <w:rPr>
          <w:rFonts w:hint="eastAsia" w:ascii="宋体" w:hAnsi="宋体" w:cs="宋体"/>
          <w:bCs/>
          <w:color w:val="000000" w:themeColor="text1"/>
          <w:szCs w:val="21"/>
          <w:highlight w:val="none"/>
          <w:lang w:val="en-US" w:eastAsia="zh-CN"/>
          <w14:textFill>
            <w14:solidFill>
              <w14:schemeClr w14:val="tx1"/>
            </w14:solidFill>
          </w14:textFill>
        </w:rPr>
        <w:t>采购人</w:t>
      </w:r>
      <w:r>
        <w:rPr>
          <w:rFonts w:hint="eastAsia" w:ascii="宋体" w:hAnsi="宋体" w:cs="宋体"/>
          <w:bCs/>
          <w:color w:val="000000" w:themeColor="text1"/>
          <w:szCs w:val="21"/>
          <w:highlight w:val="none"/>
          <w14:textFill>
            <w14:solidFill>
              <w14:schemeClr w14:val="tx1"/>
            </w14:solidFill>
          </w14:textFill>
        </w:rPr>
        <w:t>一起共同对系统进行性能调优、系统诊断、系统日常维护管理方面的交流，为客户进行定期的预防性维护服务。</w:t>
      </w:r>
    </w:p>
    <w:p w14:paraId="10A02CF1">
      <w:pPr>
        <w:spacing w:line="520" w:lineRule="exact"/>
        <w:ind w:firstLine="480"/>
        <w:rPr>
          <w:rFonts w:ascii="宋体" w:hAnsi="宋体" w:cs="宋体"/>
          <w:bCs/>
          <w:szCs w:val="21"/>
          <w:highlight w:val="none"/>
        </w:rPr>
      </w:pPr>
      <w:r>
        <w:rPr>
          <w:rFonts w:hint="eastAsia" w:ascii="宋体" w:hAnsi="宋体" w:cs="宋体"/>
          <w:bCs/>
          <w:szCs w:val="21"/>
          <w:highlight w:val="none"/>
        </w:rPr>
        <w:t>2.售后技术服务要求：提供售后服务，以及技术支持，货物供货完成后，中标供应商应继续向采购人提供良好的技术支持。必须要有专门队伍从事此项工作，并提供全天候的热线技术支持服务，必须对采购人所反映的任何问题及时响应，提出有效的解决方案，解决采购人在货物使用过程中遇到的实际问题。</w:t>
      </w:r>
      <w:r>
        <w:rPr>
          <w:rFonts w:hint="eastAsia" w:ascii="宋体" w:hAnsi="宋体" w:cs="宋体"/>
          <w:bCs/>
          <w:szCs w:val="21"/>
          <w:highlight w:val="none"/>
          <w:lang w:val="en-US" w:eastAsia="zh-CN"/>
        </w:rPr>
        <w:t>采购人</w:t>
      </w:r>
      <w:r>
        <w:rPr>
          <w:rFonts w:hint="eastAsia" w:ascii="宋体" w:hAnsi="宋体" w:cs="宋体"/>
          <w:bCs/>
          <w:szCs w:val="21"/>
          <w:highlight w:val="none"/>
        </w:rPr>
        <w:t>在日常系统运行过程中遇到任何技术方面的问题时，可以直接拨打中标供应商电话支持响应中心，中标供应商</w:t>
      </w:r>
      <w:r>
        <w:rPr>
          <w:rFonts w:hint="eastAsia"/>
          <w:highlight w:val="none"/>
        </w:rPr>
        <w:t>应</w:t>
      </w:r>
      <w:r>
        <w:rPr>
          <w:rFonts w:hint="eastAsia"/>
          <w:szCs w:val="21"/>
          <w:highlight w:val="none"/>
        </w:rPr>
        <w:t>提供7×24小时电话技术支持；紧急故障2小时内远程响应；一般故障24小时内解决</w:t>
      </w:r>
      <w:r>
        <w:rPr>
          <w:rFonts w:hint="eastAsia" w:ascii="宋体" w:hAnsi="宋体" w:cs="宋体"/>
          <w:bCs/>
          <w:szCs w:val="21"/>
          <w:highlight w:val="none"/>
        </w:rPr>
        <w:t>。如遇紧急情况，还可直接拨打值班工程师的移动电话，寻求最快响应，及时提供完整、准确的解答；如果</w:t>
      </w:r>
      <w:r>
        <w:rPr>
          <w:rFonts w:hint="eastAsia" w:ascii="宋体" w:hAnsi="宋体" w:cs="宋体"/>
          <w:bCs/>
          <w:szCs w:val="21"/>
          <w:highlight w:val="none"/>
          <w:lang w:val="en-US" w:eastAsia="zh-CN"/>
        </w:rPr>
        <w:t>采购人</w:t>
      </w:r>
      <w:r>
        <w:rPr>
          <w:rFonts w:hint="eastAsia" w:ascii="宋体" w:hAnsi="宋体" w:cs="宋体"/>
          <w:bCs/>
          <w:szCs w:val="21"/>
          <w:highlight w:val="none"/>
        </w:rPr>
        <w:t>的设备出现故障，或通过电话等技术支持服务方式仍无法解决用户问题时，客户服务流程进入现场支持服务阶段。中标供应商将由技术支持服务人员，以最快的速度到达用户现场，分析原因、解决故障，保证用户整个系统顺利运行；</w:t>
      </w:r>
    </w:p>
    <w:p w14:paraId="417E6F2D">
      <w:pPr>
        <w:spacing w:line="520" w:lineRule="exact"/>
        <w:ind w:firstLine="480"/>
        <w:rPr>
          <w:rFonts w:ascii="宋体" w:hAnsi="宋体" w:cs="宋体"/>
          <w:bCs/>
          <w:szCs w:val="21"/>
          <w:highlight w:val="none"/>
        </w:rPr>
      </w:pPr>
      <w:r>
        <w:rPr>
          <w:rFonts w:hint="eastAsia" w:ascii="宋体" w:hAnsi="宋体" w:cs="宋体"/>
          <w:bCs/>
          <w:szCs w:val="21"/>
          <w:highlight w:val="none"/>
        </w:rPr>
        <w:t>3.其他服务要求：免费质保期满后，提供备件，出现故障后，上门维修，备件按低于市场价优惠价格提供，免收人工费；</w:t>
      </w:r>
    </w:p>
    <w:p w14:paraId="04DDC26A">
      <w:pPr>
        <w:spacing w:line="520" w:lineRule="exact"/>
        <w:ind w:firstLine="480"/>
        <w:rPr>
          <w:rFonts w:ascii="宋体" w:hAnsi="宋体" w:cs="宋体"/>
          <w:bCs/>
          <w:szCs w:val="21"/>
          <w:highlight w:val="none"/>
        </w:rPr>
      </w:pPr>
      <w:r>
        <w:rPr>
          <w:rFonts w:hint="eastAsia" w:ascii="宋体" w:hAnsi="宋体" w:cs="宋体"/>
          <w:bCs/>
          <w:szCs w:val="21"/>
          <w:highlight w:val="none"/>
        </w:rPr>
        <w:t>4</w:t>
      </w:r>
      <w:r>
        <w:rPr>
          <w:rFonts w:ascii="宋体" w:hAnsi="宋体" w:cs="宋体"/>
          <w:bCs/>
          <w:szCs w:val="21"/>
          <w:highlight w:val="none"/>
        </w:rPr>
        <w:t>.</w:t>
      </w:r>
      <w:r>
        <w:rPr>
          <w:rFonts w:hint="eastAsia" w:ascii="宋体" w:hAnsi="宋体" w:cs="宋体"/>
          <w:bCs/>
          <w:szCs w:val="21"/>
          <w:highlight w:val="none"/>
        </w:rPr>
        <w:t>供应商应提供自身及所投货物品牌的响应标准、服务体系、备件体系、故障解决方案、专业技术人员保障等服务方案，服务方案应科学合理、具备针对性，并指定专门的售后服务人员，确保供应商中标后提供的各项售后服务能满足招标文件要求。</w:t>
      </w:r>
    </w:p>
    <w:p w14:paraId="265E9DCB">
      <w:pPr>
        <w:spacing w:line="500" w:lineRule="exact"/>
        <w:rPr>
          <w:rFonts w:ascii="宋体" w:hAnsi="宋体" w:cs="宋体"/>
          <w:b/>
          <w:color w:val="000000"/>
          <w:szCs w:val="21"/>
          <w:highlight w:val="none"/>
        </w:rPr>
      </w:pPr>
    </w:p>
    <w:p w14:paraId="10623372">
      <w:pPr>
        <w:spacing w:line="500" w:lineRule="exact"/>
        <w:rPr>
          <w:rFonts w:ascii="宋体" w:hAnsi="宋体" w:cs="宋体"/>
          <w:b/>
          <w:color w:val="000000"/>
          <w:szCs w:val="21"/>
          <w:highlight w:val="none"/>
        </w:rPr>
      </w:pPr>
      <w:r>
        <w:rPr>
          <w:rFonts w:hint="eastAsia" w:ascii="宋体" w:hAnsi="宋体" w:cs="宋体"/>
          <w:b/>
          <w:color w:val="000000"/>
          <w:szCs w:val="21"/>
          <w:highlight w:val="none"/>
        </w:rPr>
        <w:t>七、违约认定及赔偿要求：</w:t>
      </w:r>
    </w:p>
    <w:p w14:paraId="04FAADFB">
      <w:pPr>
        <w:spacing w:line="500" w:lineRule="exact"/>
        <w:ind w:firstLine="420" w:firstLineChars="200"/>
        <w:rPr>
          <w:rFonts w:ascii="宋体" w:hAnsi="宋体"/>
          <w:szCs w:val="21"/>
          <w:highlight w:val="none"/>
        </w:rPr>
      </w:pPr>
      <w:r>
        <w:rPr>
          <w:rFonts w:hint="eastAsia" w:ascii="宋体" w:hAnsi="宋体"/>
          <w:szCs w:val="21"/>
          <w:highlight w:val="none"/>
        </w:rPr>
        <w:t>（一）以下情况视为供应商违约</w:t>
      </w:r>
    </w:p>
    <w:p w14:paraId="78CD1DF8">
      <w:pPr>
        <w:spacing w:line="500" w:lineRule="exact"/>
        <w:ind w:firstLine="420" w:firstLineChars="200"/>
        <w:rPr>
          <w:rFonts w:ascii="宋体" w:hAnsi="宋体"/>
          <w:szCs w:val="21"/>
          <w:highlight w:val="none"/>
        </w:rPr>
      </w:pPr>
      <w:r>
        <w:rPr>
          <w:rFonts w:hint="eastAsia" w:ascii="宋体" w:hAnsi="宋体"/>
          <w:szCs w:val="21"/>
          <w:highlight w:val="none"/>
        </w:rPr>
        <w:t xml:space="preserve">1.逾期交货的，中标供应商应按日向采购人支付合同总金额1‰的违约金；逾期超过10日的，每日按合同总金额3‰支付违约金，累计违约金总额不超过合同总金额的5%。 </w:t>
      </w:r>
    </w:p>
    <w:p w14:paraId="4448203B">
      <w:pPr>
        <w:spacing w:line="500" w:lineRule="exact"/>
        <w:ind w:firstLine="420" w:firstLineChars="200"/>
        <w:rPr>
          <w:rFonts w:ascii="宋体" w:hAnsi="宋体"/>
          <w:szCs w:val="21"/>
          <w:highlight w:val="none"/>
        </w:rPr>
      </w:pPr>
      <w:r>
        <w:rPr>
          <w:rFonts w:hint="eastAsia" w:ascii="宋体" w:hAnsi="宋体"/>
          <w:szCs w:val="21"/>
          <w:highlight w:val="none"/>
        </w:rPr>
        <w:t xml:space="preserve">2.货物不全或与标书所列清单不符的，中标供应商应在限期内调整至齐全相符；逾期未调整的，每日按合同总金额1‰支付违约金，累计不超过合同总金额5%。 </w:t>
      </w:r>
    </w:p>
    <w:p w14:paraId="5D2586EF">
      <w:pPr>
        <w:spacing w:line="500" w:lineRule="exact"/>
        <w:ind w:firstLine="420" w:firstLineChars="200"/>
        <w:rPr>
          <w:rFonts w:ascii="宋体" w:hAnsi="宋体"/>
          <w:szCs w:val="21"/>
          <w:highlight w:val="none"/>
        </w:rPr>
      </w:pPr>
      <w:r>
        <w:rPr>
          <w:rFonts w:hint="eastAsia" w:ascii="宋体" w:hAnsi="宋体"/>
          <w:szCs w:val="21"/>
          <w:highlight w:val="none"/>
        </w:rPr>
        <w:t>3.未通过验收的，中标供应商应限期整改；整改逾期每日按合同总金额1‰支付违约金，累计不超过合同总金额5%。</w:t>
      </w:r>
    </w:p>
    <w:p w14:paraId="60AC01C6">
      <w:pPr>
        <w:spacing w:line="500" w:lineRule="exact"/>
        <w:ind w:firstLine="420" w:firstLineChars="200"/>
        <w:rPr>
          <w:rFonts w:ascii="宋体" w:hAnsi="宋体"/>
          <w:szCs w:val="21"/>
          <w:highlight w:val="none"/>
        </w:rPr>
      </w:pPr>
      <w:r>
        <w:rPr>
          <w:rFonts w:hint="eastAsia" w:ascii="宋体" w:hAnsi="宋体"/>
          <w:szCs w:val="21"/>
          <w:highlight w:val="none"/>
        </w:rPr>
        <w:t>4.提供伪劣产品；如发现提供伪劣产品，扣除履约保证金，并视情况赔偿</w:t>
      </w:r>
      <w:r>
        <w:rPr>
          <w:rFonts w:hint="eastAsia" w:ascii="宋体" w:hAnsi="宋体"/>
          <w:szCs w:val="21"/>
          <w:highlight w:val="none"/>
          <w:lang w:val="en-US" w:eastAsia="zh-CN"/>
        </w:rPr>
        <w:t>采购人</w:t>
      </w:r>
      <w:r>
        <w:rPr>
          <w:rFonts w:hint="eastAsia" w:ascii="宋体" w:hAnsi="宋体"/>
          <w:szCs w:val="21"/>
          <w:highlight w:val="none"/>
        </w:rPr>
        <w:t>损失。</w:t>
      </w:r>
    </w:p>
    <w:p w14:paraId="5124B930">
      <w:pPr>
        <w:spacing w:line="500" w:lineRule="exact"/>
        <w:ind w:firstLine="420" w:firstLineChars="200"/>
        <w:rPr>
          <w:rFonts w:ascii="宋体" w:hAnsi="宋体"/>
          <w:szCs w:val="21"/>
          <w:highlight w:val="none"/>
        </w:rPr>
      </w:pPr>
      <w:r>
        <w:rPr>
          <w:rFonts w:hint="eastAsia" w:ascii="宋体" w:hAnsi="宋体"/>
          <w:szCs w:val="21"/>
          <w:highlight w:val="none"/>
        </w:rPr>
        <w:t>5.未按合同规定提供售后服务。</w:t>
      </w:r>
    </w:p>
    <w:p w14:paraId="7F7D7F6E">
      <w:pPr>
        <w:spacing w:line="500" w:lineRule="exact"/>
        <w:ind w:firstLine="420" w:firstLineChars="200"/>
        <w:rPr>
          <w:rFonts w:ascii="宋体" w:hAnsi="宋体"/>
          <w:szCs w:val="21"/>
          <w:highlight w:val="none"/>
        </w:rPr>
      </w:pPr>
      <w:r>
        <w:rPr>
          <w:rFonts w:hint="eastAsia" w:ascii="宋体" w:hAnsi="宋体"/>
          <w:szCs w:val="21"/>
          <w:highlight w:val="none"/>
        </w:rPr>
        <w:t>1）中标供应商不履行本合同义务或履行义务不符合约定的，采购人有权扣除履约保证金并要求中标供应商承担继续履行、赔偿损失或支付违约金等违约责任。</w:t>
      </w:r>
    </w:p>
    <w:p w14:paraId="039AF43D">
      <w:pPr>
        <w:spacing w:line="500" w:lineRule="exact"/>
        <w:ind w:firstLine="420" w:firstLineChars="200"/>
        <w:rPr>
          <w:rFonts w:ascii="宋体" w:hAnsi="宋体"/>
          <w:szCs w:val="21"/>
          <w:highlight w:val="none"/>
        </w:rPr>
      </w:pPr>
      <w:r>
        <w:rPr>
          <w:rFonts w:hint="eastAsia" w:ascii="宋体" w:hAnsi="宋体"/>
          <w:szCs w:val="21"/>
          <w:highlight w:val="none"/>
        </w:rPr>
        <w:t>2）中标供应商未按合同约定履行合同义务，经采购人催告仍未纠正的，采购人有权单方解除合同。由于整改纠正造成进度延期交付的视同逾期交付。</w:t>
      </w:r>
    </w:p>
    <w:p w14:paraId="40774C46">
      <w:pPr>
        <w:spacing w:line="500" w:lineRule="exact"/>
        <w:ind w:firstLine="420" w:firstLineChars="200"/>
        <w:rPr>
          <w:rFonts w:ascii="宋体" w:hAnsi="宋体"/>
          <w:szCs w:val="21"/>
          <w:highlight w:val="none"/>
        </w:rPr>
      </w:pPr>
      <w:r>
        <w:rPr>
          <w:rFonts w:hint="eastAsia" w:ascii="宋体" w:hAnsi="宋体"/>
          <w:szCs w:val="21"/>
          <w:highlight w:val="none"/>
        </w:rPr>
        <w:t>3）中标供应商提供的技术服务不符合本合同约定的验收标准，未通过采购人验收的，中标供应商应退还采购人已支付的全部款项，并向采购人支付相当于技术服务报酬5%的违约金。</w:t>
      </w:r>
    </w:p>
    <w:p w14:paraId="4B39129D">
      <w:pPr>
        <w:spacing w:line="500" w:lineRule="exact"/>
        <w:ind w:firstLine="420" w:firstLineChars="200"/>
        <w:rPr>
          <w:rFonts w:ascii="宋体" w:hAnsi="宋体"/>
          <w:szCs w:val="21"/>
          <w:highlight w:val="none"/>
        </w:rPr>
      </w:pPr>
      <w:r>
        <w:rPr>
          <w:rFonts w:hint="eastAsia" w:ascii="宋体" w:hAnsi="宋体"/>
          <w:szCs w:val="21"/>
          <w:highlight w:val="none"/>
        </w:rPr>
        <w:t>4）合同因中标供应商原因解除的，采购人有权停止支付并要求中标供应商退还采购人已支付的全部款项，且中标供应商应向采购人支付相当于技术服务报酬 5%的违约金。</w:t>
      </w:r>
    </w:p>
    <w:p w14:paraId="3850D4C0">
      <w:pPr>
        <w:spacing w:line="500" w:lineRule="exact"/>
        <w:ind w:firstLine="420" w:firstLineChars="200"/>
        <w:rPr>
          <w:rFonts w:ascii="宋体" w:hAnsi="宋体"/>
          <w:szCs w:val="21"/>
          <w:highlight w:val="none"/>
        </w:rPr>
      </w:pPr>
      <w:r>
        <w:rPr>
          <w:rFonts w:hint="eastAsia" w:ascii="宋体" w:hAnsi="宋体"/>
          <w:szCs w:val="21"/>
          <w:highlight w:val="none"/>
        </w:rPr>
        <w:t>（二）违约赔偿</w:t>
      </w:r>
    </w:p>
    <w:p w14:paraId="5718CED0">
      <w:pPr>
        <w:spacing w:line="500" w:lineRule="exact"/>
        <w:ind w:firstLine="420" w:firstLineChars="200"/>
        <w:rPr>
          <w:rFonts w:ascii="宋体" w:hAnsi="宋体"/>
          <w:szCs w:val="21"/>
          <w:highlight w:val="none"/>
        </w:rPr>
      </w:pPr>
      <w:r>
        <w:rPr>
          <w:rFonts w:hint="eastAsia" w:ascii="宋体" w:hAnsi="宋体"/>
          <w:szCs w:val="21"/>
          <w:highlight w:val="none"/>
        </w:rPr>
        <w:t>1.中标供应商不履行本合同义务或履行义务不符合约定的，采购人有权扣除履约保证金并要求中标供应商承担继续履行、赔偿损失或支付违约金等违约责任。</w:t>
      </w:r>
    </w:p>
    <w:p w14:paraId="47C60B71">
      <w:pPr>
        <w:spacing w:line="500" w:lineRule="exact"/>
        <w:ind w:firstLine="420" w:firstLineChars="200"/>
        <w:rPr>
          <w:rFonts w:ascii="宋体" w:hAnsi="宋体"/>
          <w:szCs w:val="21"/>
          <w:highlight w:val="none"/>
        </w:rPr>
      </w:pPr>
      <w:r>
        <w:rPr>
          <w:rFonts w:hint="eastAsia" w:ascii="宋体" w:hAnsi="宋体"/>
          <w:szCs w:val="21"/>
          <w:highlight w:val="none"/>
        </w:rPr>
        <w:t>2.中标供应商未按期完成技术服务工作的，每逾期1天，应向采购人支付相当于合同总金额1‰的违约金，累计违约金总额不超过合同总金额的5%，逾期超过30日的，采购人有权单方解除合同。</w:t>
      </w:r>
    </w:p>
    <w:p w14:paraId="3C60AFD3">
      <w:pPr>
        <w:spacing w:line="500" w:lineRule="exact"/>
        <w:ind w:firstLine="420" w:firstLineChars="200"/>
        <w:rPr>
          <w:rFonts w:ascii="宋体" w:hAnsi="宋体"/>
          <w:szCs w:val="21"/>
          <w:highlight w:val="none"/>
        </w:rPr>
      </w:pPr>
      <w:r>
        <w:rPr>
          <w:rFonts w:hint="eastAsia" w:ascii="宋体" w:hAnsi="宋体"/>
          <w:szCs w:val="21"/>
          <w:highlight w:val="none"/>
        </w:rPr>
        <w:t>3.中标供应商未按合同约定履行合同义务，经采购人书面催告后15日内仍未纠正的，采购人有权单方解除合同。合同解除后，采购人应按中标供应商实际完成履约部分结算款项，中标供应商应配合完成数据移交及系统交接。因合理整改导致的交付延期不计入逾期天数。</w:t>
      </w:r>
    </w:p>
    <w:p w14:paraId="64843F2D">
      <w:pPr>
        <w:spacing w:line="500" w:lineRule="exact"/>
        <w:ind w:firstLine="420" w:firstLineChars="200"/>
        <w:rPr>
          <w:rFonts w:ascii="宋体" w:hAnsi="宋体"/>
          <w:szCs w:val="21"/>
          <w:highlight w:val="none"/>
        </w:rPr>
      </w:pPr>
      <w:r>
        <w:rPr>
          <w:rFonts w:hint="eastAsia" w:ascii="宋体" w:hAnsi="宋体"/>
          <w:szCs w:val="21"/>
          <w:highlight w:val="none"/>
        </w:rPr>
        <w:t xml:space="preserve">4.中标供应商提供的技术服务不符合本合同约定的验收标准，未通过采购人验收的，中标供应商应限期整改；整改后仍不合格的，中标供应商应退还采购人已支付的全部款项，并向采购人支付相当于合同总金额5%的违约金。 </w:t>
      </w:r>
    </w:p>
    <w:p w14:paraId="341375D1">
      <w:pPr>
        <w:spacing w:line="500" w:lineRule="exact"/>
        <w:ind w:firstLine="420" w:firstLineChars="200"/>
        <w:rPr>
          <w:rFonts w:ascii="宋体" w:hAnsi="宋体"/>
          <w:szCs w:val="21"/>
          <w:highlight w:val="none"/>
        </w:rPr>
      </w:pPr>
      <w:r>
        <w:rPr>
          <w:rFonts w:hint="eastAsia" w:ascii="宋体" w:hAnsi="宋体"/>
          <w:szCs w:val="21"/>
          <w:highlight w:val="none"/>
        </w:rPr>
        <w:t>5.合同因中标供应商原因解除的，采购人有权停止支付并要求中标供应商退还采购人已支付的全部款项，且中标供应商应向采购人支付相当于合同总金额5%的违约金，但违约金总额不超过合同总金额10%。</w:t>
      </w:r>
    </w:p>
    <w:p w14:paraId="7DCBC7A3">
      <w:pPr>
        <w:rPr>
          <w:rFonts w:ascii="宋体" w:hAnsi="宋体"/>
          <w:szCs w:val="21"/>
          <w:highlight w:val="none"/>
        </w:rPr>
      </w:pPr>
      <w:r>
        <w:rPr>
          <w:rFonts w:hint="eastAsia" w:ascii="宋体" w:hAnsi="宋体"/>
          <w:szCs w:val="21"/>
          <w:highlight w:val="none"/>
        </w:rPr>
        <w:br w:type="page"/>
      </w:r>
    </w:p>
    <w:p w14:paraId="459CF6EF">
      <w:pPr>
        <w:pStyle w:val="2"/>
        <w:numPr>
          <w:ilvl w:val="0"/>
          <w:numId w:val="0"/>
        </w:numPr>
        <w:rPr>
          <w:rFonts w:ascii="宋体" w:hAnsi="宋体" w:cs="宋体"/>
          <w:kern w:val="0"/>
          <w:highlight w:val="none"/>
        </w:rPr>
      </w:pPr>
      <w:bookmarkStart w:id="21" w:name="_Toc30891"/>
      <w:r>
        <w:rPr>
          <w:rFonts w:hint="eastAsia" w:ascii="宋体" w:hAnsi="宋体" w:cs="宋体"/>
          <w:kern w:val="0"/>
          <w:highlight w:val="none"/>
        </w:rPr>
        <w:t>第四章 评标标准</w:t>
      </w:r>
      <w:bookmarkEnd w:id="21"/>
    </w:p>
    <w:p w14:paraId="5635EA06">
      <w:pPr>
        <w:spacing w:line="360" w:lineRule="auto"/>
        <w:ind w:firstLine="420" w:firstLineChars="200"/>
        <w:rPr>
          <w:rFonts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5"/>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192"/>
        <w:gridCol w:w="6983"/>
        <w:gridCol w:w="742"/>
      </w:tblGrid>
      <w:tr w14:paraId="15D4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3" w:type="dxa"/>
            <w:noWrap/>
            <w:vAlign w:val="center"/>
          </w:tcPr>
          <w:p w14:paraId="713AA673">
            <w:pPr>
              <w:widowControl/>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序号</w:t>
            </w:r>
          </w:p>
        </w:tc>
        <w:tc>
          <w:tcPr>
            <w:tcW w:w="1192" w:type="dxa"/>
            <w:noWrap/>
            <w:vAlign w:val="center"/>
          </w:tcPr>
          <w:p w14:paraId="4D7FE2C3">
            <w:pPr>
              <w:widowControl/>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评分因素</w:t>
            </w:r>
          </w:p>
        </w:tc>
        <w:tc>
          <w:tcPr>
            <w:tcW w:w="6983" w:type="dxa"/>
            <w:noWrap/>
            <w:vAlign w:val="center"/>
          </w:tcPr>
          <w:p w14:paraId="006A204C">
            <w:pPr>
              <w:widowControl/>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szCs w:val="21"/>
                <w:highlight w:val="none"/>
              </w:rPr>
              <w:t>评审标准</w:t>
            </w:r>
          </w:p>
        </w:tc>
        <w:tc>
          <w:tcPr>
            <w:tcW w:w="742" w:type="dxa"/>
            <w:noWrap/>
            <w:vAlign w:val="center"/>
          </w:tcPr>
          <w:p w14:paraId="1FAEC84F">
            <w:pPr>
              <w:widowControl/>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分值</w:t>
            </w:r>
          </w:p>
        </w:tc>
      </w:tr>
      <w:tr w14:paraId="49650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2365733D">
            <w:pPr>
              <w:widowControl/>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b/>
                <w:bCs/>
                <w:highlight w:val="none"/>
              </w:rPr>
              <w:t>1</w:t>
            </w:r>
          </w:p>
        </w:tc>
        <w:tc>
          <w:tcPr>
            <w:tcW w:w="1192" w:type="dxa"/>
            <w:noWrap/>
            <w:vAlign w:val="center"/>
          </w:tcPr>
          <w:p w14:paraId="2BDFD859">
            <w:pPr>
              <w:jc w:val="center"/>
              <w:rPr>
                <w:rFonts w:ascii="宋体" w:hAnsi="宋体"/>
                <w:b/>
                <w:bCs/>
                <w:highlight w:val="none"/>
              </w:rPr>
            </w:pPr>
            <w:r>
              <w:rPr>
                <w:rFonts w:hint="eastAsia" w:ascii="宋体" w:hAnsi="宋体"/>
                <w:b/>
                <w:bCs/>
                <w:highlight w:val="none"/>
              </w:rPr>
              <w:t>价格</w:t>
            </w:r>
          </w:p>
          <w:p w14:paraId="62B73E1A">
            <w:pPr>
              <w:jc w:val="center"/>
              <w:rPr>
                <w:rFonts w:ascii="宋体" w:hAnsi="宋体" w:cs="宋体"/>
                <w:b/>
                <w:bCs/>
                <w:kern w:val="0"/>
                <w:szCs w:val="21"/>
                <w:highlight w:val="none"/>
              </w:rPr>
            </w:pPr>
            <w:r>
              <w:rPr>
                <w:rFonts w:hint="eastAsia" w:ascii="宋体" w:hAnsi="宋体"/>
                <w:b/>
                <w:bCs/>
                <w:highlight w:val="none"/>
              </w:rPr>
              <w:t>30分</w:t>
            </w:r>
          </w:p>
        </w:tc>
        <w:tc>
          <w:tcPr>
            <w:tcW w:w="6983" w:type="dxa"/>
            <w:noWrap/>
            <w:vAlign w:val="center"/>
          </w:tcPr>
          <w:p w14:paraId="125CD79B">
            <w:pPr>
              <w:adjustRightInd w:val="0"/>
              <w:spacing w:line="360" w:lineRule="auto"/>
              <w:rPr>
                <w:highlight w:val="none"/>
                <w:shd w:val="clear" w:color="auto" w:fill="FFFFFF"/>
              </w:rPr>
            </w:pPr>
            <w:r>
              <w:rPr>
                <w:highlight w:val="none"/>
                <w:shd w:val="clear" w:color="auto" w:fill="FFFFFF"/>
              </w:rPr>
              <w:t>采用低价优先法计算，即满足招标文件要求且投标价格最低的投标报价为评标基准价，其价格分为满分。其他供应商的价格分按照下列公式计算（小数点保留两位）：报价得分=（评标基准价／投标报价）×</w:t>
            </w:r>
            <w:r>
              <w:rPr>
                <w:rFonts w:hint="eastAsia"/>
                <w:highlight w:val="none"/>
                <w:shd w:val="clear" w:color="auto" w:fill="FFFFFF"/>
              </w:rPr>
              <w:t>30。</w:t>
            </w:r>
          </w:p>
        </w:tc>
        <w:tc>
          <w:tcPr>
            <w:tcW w:w="742" w:type="dxa"/>
            <w:noWrap/>
            <w:vAlign w:val="center"/>
          </w:tcPr>
          <w:p w14:paraId="591DFC2B">
            <w:pPr>
              <w:widowControl/>
              <w:jc w:val="center"/>
              <w:rPr>
                <w:rFonts w:ascii="宋体" w:hAnsi="宋体" w:cs="宋体"/>
                <w:b/>
                <w:kern w:val="0"/>
                <w:szCs w:val="21"/>
                <w:highlight w:val="none"/>
              </w:rPr>
            </w:pPr>
            <w:r>
              <w:rPr>
                <w:rFonts w:hint="eastAsia" w:ascii="宋体" w:hAnsi="宋体" w:cs="宋体"/>
                <w:b/>
                <w:kern w:val="0"/>
                <w:szCs w:val="21"/>
                <w:highlight w:val="none"/>
              </w:rPr>
              <w:t>30</w:t>
            </w:r>
          </w:p>
        </w:tc>
      </w:tr>
      <w:tr w14:paraId="798A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31210A83">
            <w:pPr>
              <w:widowControl/>
              <w:jc w:val="center"/>
              <w:rPr>
                <w:rFonts w:ascii="宋体" w:hAnsi="宋体"/>
                <w:b/>
                <w:bCs/>
                <w:highlight w:val="none"/>
              </w:rPr>
            </w:pPr>
            <w:r>
              <w:rPr>
                <w:rFonts w:hint="eastAsia" w:ascii="宋体" w:hAnsi="宋体"/>
                <w:b/>
                <w:bCs/>
                <w:highlight w:val="none"/>
              </w:rPr>
              <w:t>2</w:t>
            </w:r>
          </w:p>
        </w:tc>
        <w:tc>
          <w:tcPr>
            <w:tcW w:w="1192" w:type="dxa"/>
            <w:noWrap/>
            <w:vAlign w:val="center"/>
          </w:tcPr>
          <w:p w14:paraId="052260B5">
            <w:pPr>
              <w:jc w:val="center"/>
              <w:rPr>
                <w:rFonts w:ascii="宋体" w:hAnsi="宋体"/>
                <w:b/>
                <w:bCs/>
                <w:highlight w:val="none"/>
              </w:rPr>
            </w:pPr>
            <w:r>
              <w:rPr>
                <w:rFonts w:hint="eastAsia" w:ascii="宋体" w:hAnsi="宋体"/>
                <w:b/>
                <w:bCs/>
                <w:highlight w:val="none"/>
              </w:rPr>
              <w:t>产品指标响应情况32分</w:t>
            </w:r>
          </w:p>
        </w:tc>
        <w:tc>
          <w:tcPr>
            <w:tcW w:w="6983" w:type="dxa"/>
            <w:noWrap/>
            <w:vAlign w:val="center"/>
          </w:tcPr>
          <w:p w14:paraId="657615E2">
            <w:pPr>
              <w:spacing w:line="340" w:lineRule="exact"/>
              <w:rPr>
                <w:rFonts w:ascii="宋体" w:hAnsi="宋体" w:cs="宋体"/>
                <w:szCs w:val="21"/>
                <w:highlight w:val="none"/>
              </w:rPr>
            </w:pPr>
            <w:r>
              <w:rPr>
                <w:rFonts w:hint="eastAsia" w:ascii="宋体" w:hAnsi="宋体" w:cs="宋体"/>
                <w:bCs/>
                <w:szCs w:val="21"/>
                <w:highlight w:val="none"/>
              </w:rPr>
              <w:t>评标委员会根据</w:t>
            </w:r>
            <w:r>
              <w:rPr>
                <w:rFonts w:hint="eastAsia" w:ascii="宋体" w:hAnsi="宋体" w:cs="宋体"/>
                <w:b/>
                <w:szCs w:val="21"/>
                <w:highlight w:val="none"/>
              </w:rPr>
              <w:t>采购标的需满足的质量、安全、技术规格、物理特性等要求</w:t>
            </w:r>
            <w:r>
              <w:rPr>
                <w:rFonts w:hint="eastAsia" w:ascii="宋体" w:hAnsi="宋体" w:cs="宋体"/>
                <w:szCs w:val="21"/>
                <w:highlight w:val="none"/>
              </w:rPr>
              <w:t>方面进行评分：</w:t>
            </w:r>
          </w:p>
          <w:p w14:paraId="64632783">
            <w:pPr>
              <w:spacing w:line="340" w:lineRule="exact"/>
              <w:rPr>
                <w:rFonts w:asciiTheme="minorEastAsia" w:hAnsiTheme="minorEastAsia" w:eastAsiaTheme="minorEastAsia" w:cstheme="minorEastAsia"/>
                <w:szCs w:val="21"/>
                <w:highlight w:val="none"/>
              </w:rPr>
            </w:pPr>
            <w:r>
              <w:rPr>
                <w:rFonts w:hint="eastAsia" w:ascii="宋体" w:hAnsi="宋体" w:cs="宋体"/>
                <w:szCs w:val="21"/>
                <w:highlight w:val="none"/>
              </w:rPr>
              <w:t>1.“★”的指标技术偏离为实质性条款，</w:t>
            </w:r>
            <w:r>
              <w:rPr>
                <w:rFonts w:hint="eastAsia" w:ascii="宋体" w:hAnsi="宋体" w:cs="宋体"/>
                <w:b/>
                <w:bCs/>
                <w:szCs w:val="21"/>
                <w:highlight w:val="none"/>
              </w:rPr>
              <w:t>如出现负偏离，视为无效投标响应</w:t>
            </w:r>
            <w:r>
              <w:rPr>
                <w:rFonts w:hint="eastAsia" w:ascii="宋体" w:hAnsi="宋体" w:cs="宋体"/>
                <w:szCs w:val="21"/>
                <w:highlight w:val="none"/>
              </w:rPr>
              <w:t>；</w:t>
            </w:r>
          </w:p>
          <w:p w14:paraId="7FA5086D">
            <w:pPr>
              <w:snapToGrid w:val="0"/>
              <w:spacing w:line="360" w:lineRule="exact"/>
              <w:jc w:val="left"/>
              <w:rPr>
                <w:rFonts w:ascii="宋体" w:hAnsi="宋体" w:cs="宋体"/>
                <w:szCs w:val="21"/>
                <w:highlight w:val="none"/>
              </w:rPr>
            </w:pPr>
            <w:r>
              <w:rPr>
                <w:rFonts w:hint="eastAsia" w:ascii="宋体" w:hAnsi="宋体" w:cs="宋体"/>
                <w:szCs w:val="21"/>
                <w:highlight w:val="none"/>
              </w:rPr>
              <w:t>2.“▲”的指标技术偏离为重要参数：</w:t>
            </w:r>
          </w:p>
          <w:p w14:paraId="3937F30E">
            <w:pPr>
              <w:snapToGrid w:val="0"/>
              <w:spacing w:line="360" w:lineRule="exact"/>
              <w:jc w:val="left"/>
              <w:rPr>
                <w:rFonts w:ascii="宋体" w:hAnsi="宋体" w:cs="宋体"/>
                <w:szCs w:val="21"/>
                <w:highlight w:val="none"/>
              </w:rPr>
            </w:pPr>
            <w:r>
              <w:rPr>
                <w:rFonts w:hint="eastAsia" w:ascii="宋体" w:hAnsi="宋体" w:cs="宋体"/>
                <w:szCs w:val="21"/>
                <w:highlight w:val="none"/>
              </w:rPr>
              <w:t>（1）针对一“智算基座引擎”模块5条▲参数，出现负偏离每条减1分；扣完为止，共计5分；</w:t>
            </w:r>
          </w:p>
          <w:p w14:paraId="578F6A6D">
            <w:pPr>
              <w:snapToGrid w:val="0"/>
              <w:spacing w:line="360" w:lineRule="exact"/>
              <w:jc w:val="left"/>
              <w:rPr>
                <w:rFonts w:ascii="宋体" w:hAnsi="宋体" w:cs="宋体"/>
                <w:szCs w:val="21"/>
                <w:highlight w:val="none"/>
              </w:rPr>
            </w:pPr>
            <w:r>
              <w:rPr>
                <w:rFonts w:hint="eastAsia" w:ascii="宋体" w:hAnsi="宋体" w:cs="宋体"/>
                <w:szCs w:val="21"/>
                <w:highlight w:val="none"/>
              </w:rPr>
              <w:t>（2）针对二“教师教育大模型”中[（二）大模型基本能力-（四）大模型平台能力]8条▲参数，出现负偏离每条减1.5分；扣完为止，共计12分；</w:t>
            </w:r>
          </w:p>
          <w:p w14:paraId="689FBDBB">
            <w:pPr>
              <w:snapToGrid w:val="0"/>
              <w:spacing w:line="360" w:lineRule="exact"/>
              <w:jc w:val="left"/>
              <w:rPr>
                <w:rFonts w:ascii="宋体" w:hAnsi="宋体" w:cs="宋体"/>
                <w:szCs w:val="21"/>
                <w:highlight w:val="none"/>
              </w:rPr>
            </w:pPr>
            <w:r>
              <w:rPr>
                <w:rFonts w:hint="eastAsia" w:ascii="宋体" w:hAnsi="宋体" w:cs="宋体"/>
                <w:szCs w:val="21"/>
                <w:highlight w:val="none"/>
              </w:rPr>
              <w:t>二“教师教育大模型”中[（一）基础信息]2条▲参数，4.基础信息-国产化适配出现负偏离每条减2分；6.基础信息-自主研发要求出现负偏离每条减2分，扣完为止，共计4分；</w:t>
            </w:r>
          </w:p>
          <w:p w14:paraId="038DB695">
            <w:pPr>
              <w:snapToGrid w:val="0"/>
              <w:spacing w:line="360" w:lineRule="exact"/>
              <w:jc w:val="left"/>
              <w:rPr>
                <w:rFonts w:ascii="宋体" w:hAnsi="宋体" w:cs="宋体"/>
                <w:szCs w:val="21"/>
                <w:highlight w:val="none"/>
              </w:rPr>
            </w:pPr>
            <w:r>
              <w:rPr>
                <w:rFonts w:hint="eastAsia" w:ascii="宋体" w:hAnsi="宋体" w:cs="宋体"/>
                <w:szCs w:val="21"/>
                <w:highlight w:val="none"/>
              </w:rPr>
              <w:t>3.无标记的指标是一般技术条款，出现负偏离每条减0.1分；扣完为止。</w:t>
            </w:r>
          </w:p>
          <w:p w14:paraId="3CF646D0">
            <w:pPr>
              <w:widowControl/>
              <w:spacing w:line="360" w:lineRule="exact"/>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本项最高得32分。</w:t>
            </w:r>
          </w:p>
          <w:p w14:paraId="7047BCFB">
            <w:pPr>
              <w:pStyle w:val="17"/>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供应商须提供《采购需求偏离表》，证明材料以采购需求中的要求为准，证明材料中的文字说明与技术参数文字表达不完全一致的，其主要内容须满足设备功能要求。</w:t>
            </w:r>
          </w:p>
          <w:p w14:paraId="51C5D441">
            <w:pPr>
              <w:pStyle w:val="17"/>
              <w:rPr>
                <w:highlight w:val="none"/>
                <w:shd w:val="clear" w:color="auto" w:fill="FFFFFF"/>
              </w:rPr>
            </w:pPr>
            <w:r>
              <w:rPr>
                <w:rFonts w:hint="eastAsia" w:asciiTheme="minorEastAsia" w:hAnsiTheme="minorEastAsia" w:eastAsiaTheme="minorEastAsia" w:cstheme="minorEastAsia"/>
                <w:b/>
                <w:bCs/>
                <w:szCs w:val="21"/>
                <w:highlight w:val="none"/>
              </w:rPr>
              <w:t>相应证明材料应在偏离表中注明证明材料所在投标文件的页码位置，如不提供或者证明材料无法反应相关内容按照负偏离处理。</w:t>
            </w:r>
          </w:p>
        </w:tc>
        <w:tc>
          <w:tcPr>
            <w:tcW w:w="742" w:type="dxa"/>
            <w:noWrap/>
            <w:vAlign w:val="center"/>
          </w:tcPr>
          <w:p w14:paraId="4C77143C">
            <w:pPr>
              <w:widowControl/>
              <w:jc w:val="center"/>
              <w:rPr>
                <w:rFonts w:hint="eastAsia" w:ascii="宋体" w:hAnsi="宋体" w:cs="宋体"/>
                <w:b/>
                <w:kern w:val="0"/>
                <w:szCs w:val="21"/>
                <w:highlight w:val="none"/>
              </w:rPr>
            </w:pPr>
            <w:r>
              <w:rPr>
                <w:rFonts w:hint="eastAsia" w:ascii="宋体" w:hAnsi="宋体" w:cs="宋体"/>
                <w:b/>
                <w:kern w:val="0"/>
                <w:szCs w:val="21"/>
                <w:highlight w:val="none"/>
              </w:rPr>
              <w:t>32</w:t>
            </w:r>
          </w:p>
        </w:tc>
      </w:tr>
      <w:tr w14:paraId="59BC3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27F53630">
            <w:pPr>
              <w:widowControl/>
              <w:jc w:val="center"/>
              <w:rPr>
                <w:rFonts w:ascii="宋体" w:hAnsi="宋体"/>
                <w:b/>
                <w:bCs/>
                <w:highlight w:val="none"/>
              </w:rPr>
            </w:pPr>
            <w:r>
              <w:rPr>
                <w:rFonts w:hint="eastAsia" w:ascii="宋体" w:hAnsi="宋体"/>
                <w:b/>
                <w:bCs/>
                <w:highlight w:val="none"/>
              </w:rPr>
              <w:t>3</w:t>
            </w:r>
          </w:p>
        </w:tc>
        <w:tc>
          <w:tcPr>
            <w:tcW w:w="1192" w:type="dxa"/>
            <w:noWrap/>
            <w:vAlign w:val="center"/>
          </w:tcPr>
          <w:p w14:paraId="46851934">
            <w:pPr>
              <w:jc w:val="center"/>
              <w:rPr>
                <w:rFonts w:ascii="宋体" w:hAnsi="宋体"/>
                <w:b/>
                <w:bCs/>
                <w:highlight w:val="none"/>
              </w:rPr>
            </w:pPr>
            <w:r>
              <w:rPr>
                <w:rFonts w:hint="eastAsia" w:ascii="宋体" w:hAnsi="宋体"/>
                <w:b/>
                <w:bCs/>
                <w:highlight w:val="none"/>
              </w:rPr>
              <w:t>业绩</w:t>
            </w:r>
          </w:p>
          <w:p w14:paraId="45504D11">
            <w:pPr>
              <w:jc w:val="center"/>
              <w:rPr>
                <w:rFonts w:ascii="宋体" w:hAnsi="宋体"/>
                <w:b/>
                <w:bCs/>
                <w:highlight w:val="none"/>
              </w:rPr>
            </w:pPr>
            <w:r>
              <w:rPr>
                <w:rFonts w:hint="eastAsia" w:ascii="宋体" w:hAnsi="宋体"/>
                <w:b/>
                <w:bCs/>
                <w:highlight w:val="none"/>
              </w:rPr>
              <w:t>6分</w:t>
            </w:r>
          </w:p>
        </w:tc>
        <w:tc>
          <w:tcPr>
            <w:tcW w:w="6983" w:type="dxa"/>
            <w:noWrap/>
            <w:vAlign w:val="center"/>
          </w:tcPr>
          <w:p w14:paraId="1702290B">
            <w:pPr>
              <w:widowControl/>
              <w:spacing w:line="360" w:lineRule="exact"/>
              <w:jc w:val="left"/>
              <w:rPr>
                <w:rFonts w:ascii="宋体" w:hAnsi="宋体" w:cs="宋体"/>
                <w:kern w:val="0"/>
                <w:szCs w:val="21"/>
                <w:highlight w:val="none"/>
              </w:rPr>
            </w:pPr>
            <w:r>
              <w:rPr>
                <w:rFonts w:hint="eastAsia" w:ascii="宋体" w:hAnsi="宋体" w:cs="宋体"/>
                <w:kern w:val="0"/>
                <w:szCs w:val="21"/>
                <w:highlight w:val="none"/>
              </w:rPr>
              <w:t>自2023年1月1日（含）以来，供应商</w:t>
            </w:r>
            <w:r>
              <w:rPr>
                <w:rFonts w:hint="eastAsia" w:asciiTheme="minorEastAsia" w:hAnsiTheme="minorEastAsia" w:eastAsiaTheme="minorEastAsia"/>
                <w:kern w:val="0"/>
                <w:szCs w:val="21"/>
                <w:highlight w:val="none"/>
                <w:lang w:bidi="ar"/>
              </w:rPr>
              <w:t>具有类似成功案例（指合同标的包含大模型的建设、开发或部署）相关合同业绩，</w:t>
            </w:r>
            <w:r>
              <w:rPr>
                <w:rFonts w:hint="eastAsia" w:ascii="宋体" w:hAnsi="宋体" w:cs="宋体"/>
                <w:kern w:val="0"/>
                <w:szCs w:val="21"/>
                <w:highlight w:val="none"/>
              </w:rPr>
              <w:t>每提供一项得2分，本项最高得6分。</w:t>
            </w:r>
          </w:p>
          <w:p w14:paraId="65CBF9C7">
            <w:pPr>
              <w:widowControl/>
              <w:spacing w:line="360" w:lineRule="exact"/>
              <w:jc w:val="left"/>
              <w:rPr>
                <w:rFonts w:asciiTheme="minorEastAsia" w:hAnsiTheme="minorEastAsia" w:eastAsiaTheme="minorEastAsia" w:cstheme="minorEastAsia"/>
                <w:b/>
                <w:bCs/>
                <w:szCs w:val="21"/>
                <w:highlight w:val="none"/>
              </w:rPr>
            </w:pPr>
            <w:r>
              <w:rPr>
                <w:rFonts w:hint="eastAsia"/>
                <w:szCs w:val="21"/>
                <w:highlight w:val="none"/>
              </w:rPr>
              <w:t>注：提供合同复印件加盖公章，</w:t>
            </w:r>
            <w:r>
              <w:rPr>
                <w:rFonts w:hint="eastAsia" w:ascii="宋体" w:hAnsi="宋体" w:cs="宋体"/>
                <w:b/>
                <w:bCs/>
                <w:kern w:val="0"/>
                <w:szCs w:val="21"/>
                <w:highlight w:val="none"/>
              </w:rPr>
              <w:t>时间以合同签订时间为准，</w:t>
            </w:r>
            <w:r>
              <w:rPr>
                <w:rFonts w:hint="eastAsia"/>
                <w:szCs w:val="21"/>
                <w:highlight w:val="none"/>
              </w:rPr>
              <w:t>合同须能体现项目名称、主要标的物、</w:t>
            </w:r>
            <w:r>
              <w:rPr>
                <w:rFonts w:hint="eastAsia" w:ascii="宋体" w:hAnsi="宋体" w:cs="宋体"/>
                <w:kern w:val="0"/>
                <w:szCs w:val="21"/>
                <w:highlight w:val="none"/>
              </w:rPr>
              <w:t>产品清单</w:t>
            </w:r>
            <w:r>
              <w:rPr>
                <w:rFonts w:hint="eastAsia"/>
                <w:szCs w:val="21"/>
                <w:highlight w:val="none"/>
              </w:rPr>
              <w:t>，签章清晰可见，</w:t>
            </w:r>
            <w:r>
              <w:rPr>
                <w:rFonts w:hint="eastAsia" w:ascii="宋体" w:hAnsi="宋体" w:cs="宋体"/>
                <w:kern w:val="0"/>
                <w:szCs w:val="21"/>
                <w:highlight w:val="none"/>
              </w:rPr>
              <w:t>未提供或提供不全不得分</w:t>
            </w:r>
            <w:r>
              <w:rPr>
                <w:rFonts w:hint="eastAsia"/>
                <w:szCs w:val="21"/>
                <w:highlight w:val="none"/>
              </w:rPr>
              <w:t>。</w:t>
            </w:r>
          </w:p>
        </w:tc>
        <w:tc>
          <w:tcPr>
            <w:tcW w:w="742" w:type="dxa"/>
            <w:noWrap/>
            <w:vAlign w:val="center"/>
          </w:tcPr>
          <w:p w14:paraId="3720777E">
            <w:pPr>
              <w:widowControl/>
              <w:jc w:val="center"/>
              <w:rPr>
                <w:rFonts w:ascii="宋体" w:hAnsi="宋体" w:cs="宋体"/>
                <w:b/>
                <w:kern w:val="0"/>
                <w:szCs w:val="21"/>
                <w:highlight w:val="none"/>
              </w:rPr>
            </w:pPr>
            <w:r>
              <w:rPr>
                <w:rFonts w:hint="eastAsia" w:ascii="宋体" w:hAnsi="宋体" w:cs="宋体"/>
                <w:b/>
                <w:kern w:val="0"/>
                <w:szCs w:val="21"/>
                <w:highlight w:val="none"/>
              </w:rPr>
              <w:t>6</w:t>
            </w:r>
          </w:p>
        </w:tc>
      </w:tr>
      <w:tr w14:paraId="4D57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4D2EA567">
            <w:pPr>
              <w:widowControl/>
              <w:jc w:val="center"/>
              <w:rPr>
                <w:rFonts w:ascii="宋体" w:hAnsi="宋体"/>
                <w:b/>
                <w:bCs/>
                <w:highlight w:val="none"/>
              </w:rPr>
            </w:pPr>
            <w:r>
              <w:rPr>
                <w:rFonts w:hint="eastAsia" w:ascii="宋体" w:hAnsi="宋体"/>
                <w:b/>
                <w:bCs/>
                <w:highlight w:val="none"/>
              </w:rPr>
              <w:t>4</w:t>
            </w:r>
          </w:p>
        </w:tc>
        <w:tc>
          <w:tcPr>
            <w:tcW w:w="1192" w:type="dxa"/>
            <w:noWrap/>
            <w:vAlign w:val="center"/>
          </w:tcPr>
          <w:p w14:paraId="7A07A3CD">
            <w:pPr>
              <w:jc w:val="center"/>
              <w:rPr>
                <w:rFonts w:ascii="宋体" w:hAnsi="宋体"/>
                <w:b/>
                <w:bCs/>
                <w:highlight w:val="none"/>
              </w:rPr>
            </w:pPr>
            <w:r>
              <w:rPr>
                <w:rFonts w:hint="eastAsia" w:ascii="宋体" w:hAnsi="宋体"/>
                <w:b/>
                <w:bCs/>
                <w:highlight w:val="none"/>
              </w:rPr>
              <w:t>团队人员</w:t>
            </w:r>
          </w:p>
          <w:p w14:paraId="6B4DCD9A">
            <w:pPr>
              <w:jc w:val="center"/>
              <w:rPr>
                <w:rFonts w:ascii="宋体" w:hAnsi="宋体"/>
                <w:b/>
                <w:bCs/>
                <w:highlight w:val="none"/>
              </w:rPr>
            </w:pPr>
            <w:r>
              <w:rPr>
                <w:rFonts w:hint="eastAsia" w:ascii="宋体" w:hAnsi="宋体"/>
                <w:b/>
                <w:bCs/>
                <w:highlight w:val="none"/>
              </w:rPr>
              <w:t>3分</w:t>
            </w:r>
          </w:p>
        </w:tc>
        <w:tc>
          <w:tcPr>
            <w:tcW w:w="6983" w:type="dxa"/>
            <w:noWrap/>
            <w:vAlign w:val="center"/>
          </w:tcPr>
          <w:p w14:paraId="76184EF7">
            <w:pPr>
              <w:widowControl/>
              <w:numPr>
                <w:ilvl w:val="0"/>
                <w:numId w:val="6"/>
              </w:numPr>
              <w:spacing w:line="360" w:lineRule="exact"/>
              <w:jc w:val="left"/>
              <w:rPr>
                <w:szCs w:val="21"/>
                <w:highlight w:val="none"/>
              </w:rPr>
            </w:pPr>
            <w:r>
              <w:rPr>
                <w:rFonts w:hint="eastAsia"/>
                <w:szCs w:val="21"/>
                <w:highlight w:val="none"/>
              </w:rPr>
              <w:t>供应商拟派项目经理具有高级信息系统项目管理师证书（计算机技术与软件专业技术资格（水平）考试高级资格）的，得1分；</w:t>
            </w:r>
          </w:p>
          <w:p w14:paraId="01CB3229">
            <w:pPr>
              <w:widowControl/>
              <w:numPr>
                <w:ilvl w:val="0"/>
                <w:numId w:val="6"/>
              </w:numPr>
              <w:spacing w:line="360" w:lineRule="exact"/>
              <w:jc w:val="left"/>
              <w:rPr>
                <w:szCs w:val="21"/>
                <w:highlight w:val="none"/>
              </w:rPr>
            </w:pPr>
            <w:r>
              <w:rPr>
                <w:rFonts w:hint="eastAsia"/>
                <w:szCs w:val="21"/>
                <w:highlight w:val="none"/>
              </w:rPr>
              <w:t>供应商拟派项目团队成员（不含项目经理）中，每具有1名高级系统架构设计师证书或注册信息安全专业人员（CISP）证书的，得1分，最高得2分。</w:t>
            </w:r>
          </w:p>
          <w:p w14:paraId="73CFE3A2">
            <w:pPr>
              <w:widowControl/>
              <w:spacing w:line="360" w:lineRule="exact"/>
              <w:jc w:val="left"/>
              <w:rPr>
                <w:szCs w:val="21"/>
                <w:highlight w:val="none"/>
              </w:rPr>
            </w:pPr>
            <w:r>
              <w:rPr>
                <w:rFonts w:hint="eastAsia"/>
                <w:szCs w:val="21"/>
                <w:highlight w:val="none"/>
              </w:rPr>
              <w:t>本项最高得3分。</w:t>
            </w:r>
          </w:p>
          <w:p w14:paraId="7EED4F51">
            <w:pPr>
              <w:widowControl/>
              <w:spacing w:line="360" w:lineRule="exact"/>
              <w:jc w:val="left"/>
              <w:rPr>
                <w:szCs w:val="21"/>
                <w:highlight w:val="none"/>
              </w:rPr>
            </w:pPr>
            <w:r>
              <w:rPr>
                <w:rFonts w:hint="eastAsia"/>
                <w:szCs w:val="21"/>
                <w:highlight w:val="none"/>
              </w:rPr>
              <w:t>注：供应商须提供相关证书</w:t>
            </w:r>
            <w:r>
              <w:rPr>
                <w:rFonts w:hint="eastAsia" w:ascii="宋体" w:hAnsi="宋体" w:cs="宋体"/>
                <w:color w:val="000000" w:themeColor="text1"/>
                <w:szCs w:val="21"/>
                <w:highlight w:val="none"/>
                <w14:textFill>
                  <w14:solidFill>
                    <w14:schemeClr w14:val="tx1"/>
                  </w14:solidFill>
                </w14:textFill>
              </w:rPr>
              <w:t>复印件并加盖单位公章及近半年内任意1个月供应商为其缴纳的社保证明材料，未提供不得分。</w:t>
            </w:r>
          </w:p>
        </w:tc>
        <w:tc>
          <w:tcPr>
            <w:tcW w:w="742" w:type="dxa"/>
            <w:noWrap/>
            <w:vAlign w:val="center"/>
          </w:tcPr>
          <w:p w14:paraId="0628DA57">
            <w:pPr>
              <w:widowControl/>
              <w:jc w:val="center"/>
              <w:rPr>
                <w:rFonts w:ascii="宋体" w:hAnsi="宋体" w:cs="宋体"/>
                <w:b/>
                <w:kern w:val="0"/>
                <w:szCs w:val="21"/>
                <w:highlight w:val="none"/>
              </w:rPr>
            </w:pPr>
            <w:r>
              <w:rPr>
                <w:rFonts w:hint="eastAsia" w:ascii="宋体" w:hAnsi="宋体" w:cs="宋体"/>
                <w:b/>
                <w:kern w:val="0"/>
                <w:szCs w:val="21"/>
                <w:highlight w:val="none"/>
              </w:rPr>
              <w:t>3</w:t>
            </w:r>
          </w:p>
        </w:tc>
      </w:tr>
      <w:tr w14:paraId="3A76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3" w:type="dxa"/>
            <w:noWrap/>
            <w:vAlign w:val="center"/>
          </w:tcPr>
          <w:p w14:paraId="5992766A">
            <w:pPr>
              <w:widowControl/>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lang w:val="en-US" w:eastAsia="zh-CN"/>
                <w14:textFill>
                  <w14:solidFill>
                    <w14:schemeClr w14:val="tx1"/>
                  </w14:solidFill>
                </w14:textFill>
              </w:rPr>
              <w:t>5.</w:t>
            </w:r>
            <w:r>
              <w:rPr>
                <w:rFonts w:hint="eastAsia" w:ascii="宋体" w:hAnsi="宋体" w:cs="宋体"/>
                <w:b/>
                <w:bCs/>
                <w:color w:val="000000" w:themeColor="text1"/>
                <w:kern w:val="0"/>
                <w:szCs w:val="21"/>
                <w:highlight w:val="none"/>
                <w14:textFill>
                  <w14:solidFill>
                    <w14:schemeClr w14:val="tx1"/>
                  </w14:solidFill>
                </w14:textFill>
              </w:rPr>
              <w:t>1</w:t>
            </w:r>
          </w:p>
        </w:tc>
        <w:tc>
          <w:tcPr>
            <w:tcW w:w="1192" w:type="dxa"/>
            <w:vMerge w:val="restart"/>
            <w:noWrap/>
            <w:vAlign w:val="center"/>
          </w:tcPr>
          <w:p w14:paraId="0DAE74F4">
            <w:pPr>
              <w:widowControl/>
              <w:spacing w:line="360" w:lineRule="auto"/>
              <w:jc w:val="center"/>
              <w:rPr>
                <w:rFonts w:ascii="宋体" w:hAnsi="宋体" w:cs="宋体"/>
                <w:b/>
                <w:bCs/>
                <w:kern w:val="0"/>
                <w:szCs w:val="21"/>
                <w:highlight w:val="none"/>
              </w:rPr>
            </w:pPr>
            <w:r>
              <w:rPr>
                <w:rFonts w:hint="eastAsia" w:ascii="宋体" w:hAnsi="宋体" w:cs="宋体"/>
                <w:b/>
                <w:bCs/>
                <w:kern w:val="0"/>
                <w:szCs w:val="21"/>
                <w:highlight w:val="none"/>
              </w:rPr>
              <w:t>总体方案2</w:t>
            </w:r>
            <w:r>
              <w:rPr>
                <w:rFonts w:hint="eastAsia" w:ascii="宋体" w:hAnsi="宋体" w:cs="宋体"/>
                <w:b/>
                <w:bCs/>
                <w:kern w:val="0"/>
                <w:szCs w:val="21"/>
                <w:highlight w:val="none"/>
                <w:lang w:val="en-US" w:eastAsia="zh-CN"/>
              </w:rPr>
              <w:t>8</w:t>
            </w:r>
            <w:r>
              <w:rPr>
                <w:rFonts w:hint="eastAsia" w:ascii="宋体" w:hAnsi="宋体" w:cs="宋体"/>
                <w:b/>
                <w:bCs/>
                <w:kern w:val="0"/>
                <w:szCs w:val="21"/>
                <w:highlight w:val="none"/>
              </w:rPr>
              <w:t>分</w:t>
            </w:r>
          </w:p>
          <w:p w14:paraId="774A52B4">
            <w:pPr>
              <w:widowControl/>
              <w:spacing w:line="360" w:lineRule="auto"/>
              <w:jc w:val="center"/>
              <w:rPr>
                <w:rFonts w:ascii="宋体" w:hAnsi="宋体" w:cs="宋体"/>
                <w:b/>
                <w:bCs/>
                <w:color w:val="000000" w:themeColor="text1"/>
                <w:kern w:val="0"/>
                <w:szCs w:val="21"/>
                <w:highlight w:val="none"/>
                <w14:textFill>
                  <w14:solidFill>
                    <w14:schemeClr w14:val="tx1"/>
                  </w14:solidFill>
                </w14:textFill>
              </w:rPr>
            </w:pPr>
          </w:p>
        </w:tc>
        <w:tc>
          <w:tcPr>
            <w:tcW w:w="6983" w:type="dxa"/>
            <w:noWrap/>
            <w:vAlign w:val="center"/>
          </w:tcPr>
          <w:p w14:paraId="7A2A789A">
            <w:pPr>
              <w:pStyle w:val="272"/>
              <w:spacing w:line="240" w:lineRule="auto"/>
              <w:ind w:firstLine="0" w:firstLineChars="0"/>
              <w:rPr>
                <w:b/>
                <w:bCs/>
                <w:sz w:val="21"/>
                <w:szCs w:val="21"/>
                <w:highlight w:val="none"/>
              </w:rPr>
            </w:pPr>
            <w:r>
              <w:rPr>
                <w:rFonts w:hint="eastAsia"/>
                <w:b/>
                <w:bCs/>
                <w:sz w:val="21"/>
                <w:szCs w:val="21"/>
                <w:highlight w:val="none"/>
              </w:rPr>
              <w:t>项目总体实施方案</w:t>
            </w:r>
          </w:p>
          <w:p w14:paraId="02FA1109">
            <w:pPr>
              <w:pStyle w:val="272"/>
              <w:spacing w:line="240" w:lineRule="auto"/>
              <w:ind w:firstLine="0" w:firstLineChars="0"/>
              <w:rPr>
                <w:sz w:val="21"/>
                <w:szCs w:val="21"/>
                <w:highlight w:val="none"/>
              </w:rPr>
            </w:pPr>
            <w:r>
              <w:rPr>
                <w:rFonts w:hint="eastAsia"/>
                <w:sz w:val="21"/>
                <w:szCs w:val="21"/>
                <w:highlight w:val="none"/>
              </w:rPr>
              <w:t>供应商应根据招标文件要求提供具体详实的项目实施方案：包括：1.项目整体方案；</w:t>
            </w:r>
            <w:r>
              <w:rPr>
                <w:rFonts w:hint="eastAsia"/>
                <w:sz w:val="21"/>
                <w:szCs w:val="21"/>
                <w:highlight w:val="none"/>
                <w:lang w:val="en-US" w:eastAsia="zh-CN"/>
              </w:rPr>
              <w:t>2</w:t>
            </w:r>
            <w:r>
              <w:rPr>
                <w:rFonts w:hint="eastAsia"/>
                <w:sz w:val="21"/>
                <w:szCs w:val="21"/>
                <w:highlight w:val="none"/>
              </w:rPr>
              <w:t>.风险应对策略。以上每项内容逐条阐述。</w:t>
            </w:r>
          </w:p>
          <w:p w14:paraId="529EBADA">
            <w:pPr>
              <w:pStyle w:val="272"/>
              <w:spacing w:line="240" w:lineRule="auto"/>
              <w:ind w:firstLine="0" w:firstLineChars="0"/>
              <w:rPr>
                <w:sz w:val="21"/>
                <w:szCs w:val="21"/>
                <w:highlight w:val="none"/>
              </w:rPr>
            </w:pPr>
            <w:r>
              <w:rPr>
                <w:rFonts w:hint="eastAsia"/>
                <w:sz w:val="21"/>
                <w:szCs w:val="21"/>
                <w:highlight w:val="none"/>
              </w:rPr>
              <w:t>1）整体方案贴合招标要求、架构清晰可落地；风险识别全面，应对措施可落地、可量化，有完善监测机制；无凭空编造内容得7分；</w:t>
            </w:r>
          </w:p>
          <w:p w14:paraId="6B9A1E3B">
            <w:pPr>
              <w:pStyle w:val="272"/>
              <w:spacing w:line="240" w:lineRule="auto"/>
              <w:ind w:firstLine="0" w:firstLineChars="0"/>
              <w:rPr>
                <w:sz w:val="21"/>
                <w:szCs w:val="21"/>
                <w:highlight w:val="none"/>
              </w:rPr>
            </w:pPr>
            <w:r>
              <w:rPr>
                <w:rFonts w:hint="eastAsia"/>
                <w:sz w:val="21"/>
                <w:szCs w:val="21"/>
                <w:highlight w:val="none"/>
              </w:rPr>
              <w:t>2）整体方案基本贴合招标要求，架构较清晰，个别非核心模块缺失，简单调整可落地；核心风险识别基本全面，应对措施较具体，有基本监测机制得5分；</w:t>
            </w:r>
          </w:p>
          <w:p w14:paraId="31D1705F">
            <w:pPr>
              <w:pStyle w:val="272"/>
              <w:spacing w:line="240" w:lineRule="auto"/>
              <w:ind w:firstLine="0" w:firstLineChars="0"/>
              <w:rPr>
                <w:sz w:val="21"/>
                <w:szCs w:val="21"/>
                <w:highlight w:val="none"/>
              </w:rPr>
            </w:pPr>
            <w:r>
              <w:rPr>
                <w:rFonts w:hint="eastAsia"/>
                <w:sz w:val="21"/>
                <w:szCs w:val="21"/>
                <w:highlight w:val="none"/>
              </w:rPr>
              <w:t>3）整体方案架构不太清晰，关键模块有部分缺失，需较大调整落地；核心风险有遗漏，分析简单，监测措施简单、无明确预警指标得3分；</w:t>
            </w:r>
          </w:p>
          <w:p w14:paraId="29549C0F">
            <w:pPr>
              <w:pStyle w:val="272"/>
              <w:spacing w:line="240" w:lineRule="auto"/>
              <w:ind w:firstLine="0" w:firstLineChars="0"/>
              <w:rPr>
                <w:sz w:val="21"/>
                <w:szCs w:val="21"/>
                <w:highlight w:val="none"/>
              </w:rPr>
            </w:pPr>
            <w:r>
              <w:rPr>
                <w:rFonts w:hint="eastAsia"/>
                <w:sz w:val="21"/>
                <w:szCs w:val="21"/>
                <w:highlight w:val="none"/>
              </w:rPr>
              <w:t>4）有缺陷（缺陷是指：存在不适用项目实际情况的情形、凭空编造、方案中内容前后不一致、前后逻辑错误、涉及的规范及标准错误、不符合项目实际情况等）得1分；</w:t>
            </w:r>
          </w:p>
          <w:p w14:paraId="172708D6">
            <w:pPr>
              <w:pStyle w:val="272"/>
              <w:spacing w:line="240" w:lineRule="auto"/>
              <w:ind w:firstLine="0" w:firstLineChars="0"/>
              <w:rPr>
                <w:sz w:val="21"/>
                <w:szCs w:val="21"/>
                <w:highlight w:val="none"/>
              </w:rPr>
            </w:pPr>
            <w:r>
              <w:rPr>
                <w:rFonts w:hint="eastAsia"/>
                <w:sz w:val="21"/>
                <w:szCs w:val="21"/>
                <w:highlight w:val="none"/>
              </w:rPr>
              <w:t>5）未提供的不得分。</w:t>
            </w:r>
          </w:p>
        </w:tc>
        <w:tc>
          <w:tcPr>
            <w:tcW w:w="742" w:type="dxa"/>
            <w:noWrap/>
            <w:vAlign w:val="center"/>
          </w:tcPr>
          <w:p w14:paraId="1895C478">
            <w:pPr>
              <w:jc w:val="center"/>
              <w:rPr>
                <w:rFonts w:ascii="宋体" w:hAnsi="宋体" w:cs="宋体"/>
                <w:b/>
                <w:bCs/>
                <w:kern w:val="0"/>
                <w:szCs w:val="21"/>
                <w:highlight w:val="none"/>
              </w:rPr>
            </w:pPr>
            <w:r>
              <w:rPr>
                <w:rFonts w:hint="eastAsia" w:ascii="宋体" w:hAnsi="宋体" w:cs="宋体"/>
                <w:b/>
                <w:bCs/>
                <w:kern w:val="0"/>
                <w:szCs w:val="21"/>
                <w:highlight w:val="none"/>
              </w:rPr>
              <w:t>7</w:t>
            </w:r>
          </w:p>
        </w:tc>
      </w:tr>
      <w:tr w14:paraId="65B7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3" w:type="dxa"/>
            <w:noWrap/>
            <w:vAlign w:val="center"/>
          </w:tcPr>
          <w:p w14:paraId="67865654">
            <w:pPr>
              <w:widowControl/>
              <w:jc w:val="center"/>
              <w:rPr>
                <w:rFonts w:hint="default" w:ascii="宋体" w:hAnsi="宋体" w:cs="宋体"/>
                <w:b/>
                <w:bCs/>
                <w:color w:val="000000" w:themeColor="text1"/>
                <w:kern w:val="0"/>
                <w:szCs w:val="21"/>
                <w:highlight w:val="none"/>
                <w:lang w:val="en-US" w:eastAsia="zh-CN"/>
                <w14:textFill>
                  <w14:solidFill>
                    <w14:schemeClr w14:val="tx1"/>
                  </w14:solidFill>
                </w14:textFill>
              </w:rPr>
            </w:pPr>
            <w:r>
              <w:rPr>
                <w:rFonts w:hint="eastAsia" w:ascii="宋体" w:hAnsi="宋体" w:cs="宋体"/>
                <w:b/>
                <w:bCs/>
                <w:color w:val="000000" w:themeColor="text1"/>
                <w:kern w:val="0"/>
                <w:szCs w:val="21"/>
                <w:highlight w:val="none"/>
                <w:lang w:val="en-US" w:eastAsia="zh-CN"/>
                <w14:textFill>
                  <w14:solidFill>
                    <w14:schemeClr w14:val="tx1"/>
                  </w14:solidFill>
                </w14:textFill>
              </w:rPr>
              <w:t>5.2</w:t>
            </w:r>
          </w:p>
        </w:tc>
        <w:tc>
          <w:tcPr>
            <w:tcW w:w="1192" w:type="dxa"/>
            <w:vMerge w:val="continue"/>
            <w:noWrap/>
            <w:vAlign w:val="center"/>
          </w:tcPr>
          <w:p w14:paraId="4290CD58">
            <w:pPr>
              <w:widowControl/>
              <w:spacing w:line="360" w:lineRule="auto"/>
              <w:jc w:val="center"/>
              <w:rPr>
                <w:rFonts w:ascii="宋体" w:hAnsi="宋体" w:cs="宋体"/>
                <w:b/>
                <w:bCs/>
                <w:color w:val="000000" w:themeColor="text1"/>
                <w:kern w:val="0"/>
                <w:szCs w:val="21"/>
                <w:highlight w:val="none"/>
                <w14:textFill>
                  <w14:solidFill>
                    <w14:schemeClr w14:val="tx1"/>
                  </w14:solidFill>
                </w14:textFill>
              </w:rPr>
            </w:pPr>
          </w:p>
        </w:tc>
        <w:tc>
          <w:tcPr>
            <w:tcW w:w="6983" w:type="dxa"/>
            <w:noWrap/>
            <w:vAlign w:val="center"/>
          </w:tcPr>
          <w:p w14:paraId="204790B4">
            <w:pPr>
              <w:pStyle w:val="272"/>
              <w:spacing w:line="240" w:lineRule="auto"/>
              <w:ind w:firstLine="0" w:firstLineChars="0"/>
              <w:rPr>
                <w:rFonts w:hint="eastAsia"/>
                <w:b/>
                <w:bCs/>
                <w:sz w:val="21"/>
                <w:szCs w:val="21"/>
                <w:highlight w:val="none"/>
              </w:rPr>
            </w:pPr>
            <w:r>
              <w:rPr>
                <w:rFonts w:hint="eastAsia"/>
                <w:b/>
                <w:bCs/>
                <w:sz w:val="21"/>
                <w:szCs w:val="21"/>
                <w:highlight w:val="none"/>
              </w:rPr>
              <w:t>进度计划、质量保证措施</w:t>
            </w:r>
          </w:p>
          <w:p w14:paraId="52314FBF">
            <w:pPr>
              <w:pStyle w:val="272"/>
              <w:spacing w:line="240" w:lineRule="auto"/>
              <w:ind w:firstLine="0" w:firstLineChars="0"/>
              <w:rPr>
                <w:sz w:val="21"/>
                <w:szCs w:val="21"/>
                <w:highlight w:val="none"/>
              </w:rPr>
            </w:pPr>
            <w:r>
              <w:rPr>
                <w:rFonts w:hint="eastAsia"/>
                <w:sz w:val="21"/>
                <w:szCs w:val="21"/>
                <w:highlight w:val="none"/>
              </w:rPr>
              <w:t>供应商应根据招标文件要求提供具体详实的项目实施方案：包括：1.实施进度安排；</w:t>
            </w:r>
            <w:r>
              <w:rPr>
                <w:rFonts w:hint="eastAsia"/>
                <w:sz w:val="21"/>
                <w:szCs w:val="21"/>
                <w:highlight w:val="none"/>
                <w:lang w:val="en-US" w:eastAsia="zh-CN"/>
              </w:rPr>
              <w:t>2</w:t>
            </w:r>
            <w:r>
              <w:rPr>
                <w:rFonts w:hint="eastAsia"/>
                <w:sz w:val="21"/>
                <w:szCs w:val="21"/>
                <w:highlight w:val="none"/>
              </w:rPr>
              <w:t>.质量保障措施。以上每项内容逐条阐述。</w:t>
            </w:r>
          </w:p>
          <w:p w14:paraId="7ED70676">
            <w:pPr>
              <w:pStyle w:val="272"/>
              <w:spacing w:line="240" w:lineRule="auto"/>
              <w:ind w:firstLine="0" w:firstLineChars="0"/>
              <w:rPr>
                <w:sz w:val="21"/>
                <w:szCs w:val="21"/>
                <w:highlight w:val="none"/>
              </w:rPr>
            </w:pPr>
            <w:r>
              <w:rPr>
                <w:rFonts w:hint="eastAsia"/>
                <w:sz w:val="21"/>
                <w:szCs w:val="21"/>
                <w:highlight w:val="none"/>
              </w:rPr>
              <w:t>1）进度符合工期，关键节点全覆盖，分工、交付物明确，管控可量化；质量贴合标准，含追溯机制；风险识别全面，应对措施可落地、可量化，有完善监测机制；无凭空编造内容得</w:t>
            </w:r>
            <w:r>
              <w:rPr>
                <w:rFonts w:hint="eastAsia"/>
                <w:sz w:val="21"/>
                <w:szCs w:val="21"/>
                <w:highlight w:val="none"/>
                <w:lang w:val="en-US" w:eastAsia="zh-CN"/>
              </w:rPr>
              <w:t>7</w:t>
            </w:r>
            <w:r>
              <w:rPr>
                <w:rFonts w:hint="eastAsia"/>
                <w:sz w:val="21"/>
                <w:szCs w:val="21"/>
                <w:highlight w:val="none"/>
              </w:rPr>
              <w:t>分；</w:t>
            </w:r>
          </w:p>
          <w:p w14:paraId="510753EC">
            <w:pPr>
              <w:pStyle w:val="272"/>
              <w:spacing w:line="240" w:lineRule="auto"/>
              <w:ind w:firstLine="0" w:firstLineChars="0"/>
              <w:rPr>
                <w:sz w:val="21"/>
                <w:szCs w:val="21"/>
                <w:highlight w:val="none"/>
              </w:rPr>
            </w:pPr>
            <w:r>
              <w:rPr>
                <w:rFonts w:hint="eastAsia"/>
                <w:sz w:val="21"/>
                <w:szCs w:val="21"/>
                <w:highlight w:val="none"/>
              </w:rPr>
              <w:t>2）进度基本符合工期，关键节点覆盖率≥80%，主要分工明确；质量基本贴合标准，管控较具体、可量化；核心风险识别基本全面，应对措施较具体，有基本监测机制得</w:t>
            </w:r>
            <w:r>
              <w:rPr>
                <w:rFonts w:hint="eastAsia"/>
                <w:sz w:val="21"/>
                <w:szCs w:val="21"/>
                <w:highlight w:val="none"/>
                <w:lang w:val="en-US" w:eastAsia="zh-CN"/>
              </w:rPr>
              <w:t>5</w:t>
            </w:r>
            <w:r>
              <w:rPr>
                <w:rFonts w:hint="eastAsia"/>
                <w:sz w:val="21"/>
                <w:szCs w:val="21"/>
                <w:highlight w:val="none"/>
              </w:rPr>
              <w:t>分；</w:t>
            </w:r>
          </w:p>
          <w:p w14:paraId="373A8941">
            <w:pPr>
              <w:pStyle w:val="272"/>
              <w:spacing w:line="240" w:lineRule="auto"/>
              <w:ind w:firstLine="0" w:firstLineChars="0"/>
              <w:rPr>
                <w:sz w:val="21"/>
                <w:szCs w:val="21"/>
                <w:highlight w:val="none"/>
              </w:rPr>
            </w:pPr>
            <w:r>
              <w:rPr>
                <w:rFonts w:hint="eastAsia"/>
                <w:sz w:val="21"/>
                <w:szCs w:val="21"/>
                <w:highlight w:val="none"/>
              </w:rPr>
              <w:t>3）进度仅细化到阶段，分工、交付物不完善；质量检验标准、管控措施不完善，追溯机制不健全；核心风险有遗漏，分析简单，监测措施简单、无明确预警指标得</w:t>
            </w:r>
            <w:r>
              <w:rPr>
                <w:rFonts w:hint="eastAsia"/>
                <w:sz w:val="21"/>
                <w:szCs w:val="21"/>
                <w:highlight w:val="none"/>
                <w:lang w:val="en-US" w:eastAsia="zh-CN"/>
              </w:rPr>
              <w:t>3</w:t>
            </w:r>
            <w:r>
              <w:rPr>
                <w:rFonts w:hint="eastAsia"/>
                <w:sz w:val="21"/>
                <w:szCs w:val="21"/>
                <w:highlight w:val="none"/>
              </w:rPr>
              <w:t>分；</w:t>
            </w:r>
          </w:p>
          <w:p w14:paraId="20618DE6">
            <w:pPr>
              <w:pStyle w:val="272"/>
              <w:spacing w:line="240" w:lineRule="auto"/>
              <w:ind w:firstLine="0" w:firstLineChars="0"/>
              <w:rPr>
                <w:sz w:val="21"/>
                <w:szCs w:val="21"/>
                <w:highlight w:val="none"/>
              </w:rPr>
            </w:pPr>
            <w:r>
              <w:rPr>
                <w:rFonts w:hint="eastAsia"/>
                <w:sz w:val="21"/>
                <w:szCs w:val="21"/>
                <w:highlight w:val="none"/>
              </w:rPr>
              <w:t>4）有缺陷（缺陷是指：存在不适用项目实际情况的情形、凭空编造、方案中内容前后不一致、前后逻辑错误、涉及的规范及标准</w:t>
            </w:r>
            <w:r>
              <w:rPr>
                <w:rFonts w:hint="eastAsia"/>
                <w:sz w:val="21"/>
                <w:szCs w:val="21"/>
                <w:highlight w:val="none"/>
                <w:lang w:val="en-US" w:eastAsia="zh-CN"/>
              </w:rPr>
              <w:t>不太准确</w:t>
            </w:r>
            <w:r>
              <w:rPr>
                <w:rFonts w:hint="eastAsia"/>
                <w:sz w:val="21"/>
                <w:szCs w:val="21"/>
                <w:highlight w:val="none"/>
              </w:rPr>
              <w:t>、不符合项目实际情况等）得</w:t>
            </w:r>
            <w:r>
              <w:rPr>
                <w:rFonts w:hint="eastAsia"/>
                <w:sz w:val="21"/>
                <w:szCs w:val="21"/>
                <w:highlight w:val="none"/>
                <w:lang w:val="en-US" w:eastAsia="zh-CN"/>
              </w:rPr>
              <w:t>1</w:t>
            </w:r>
            <w:r>
              <w:rPr>
                <w:rFonts w:hint="eastAsia"/>
                <w:sz w:val="21"/>
                <w:szCs w:val="21"/>
                <w:highlight w:val="none"/>
              </w:rPr>
              <w:t>分；</w:t>
            </w:r>
          </w:p>
          <w:p w14:paraId="6BAACF99">
            <w:pPr>
              <w:pStyle w:val="272"/>
              <w:spacing w:line="240" w:lineRule="auto"/>
              <w:ind w:firstLine="0" w:firstLineChars="0"/>
              <w:rPr>
                <w:rFonts w:hint="eastAsia"/>
                <w:sz w:val="21"/>
                <w:szCs w:val="21"/>
                <w:highlight w:val="none"/>
              </w:rPr>
            </w:pPr>
            <w:r>
              <w:rPr>
                <w:rFonts w:hint="eastAsia"/>
                <w:sz w:val="21"/>
                <w:szCs w:val="21"/>
                <w:highlight w:val="none"/>
              </w:rPr>
              <w:t>5）未提供的不得分。</w:t>
            </w:r>
          </w:p>
        </w:tc>
        <w:tc>
          <w:tcPr>
            <w:tcW w:w="742" w:type="dxa"/>
            <w:noWrap/>
            <w:vAlign w:val="center"/>
          </w:tcPr>
          <w:p w14:paraId="388001BA">
            <w:pPr>
              <w:jc w:val="center"/>
              <w:rPr>
                <w:rFonts w:hint="eastAsia"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7</w:t>
            </w:r>
          </w:p>
        </w:tc>
      </w:tr>
      <w:tr w14:paraId="698C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53" w:type="dxa"/>
            <w:noWrap/>
            <w:vAlign w:val="center"/>
          </w:tcPr>
          <w:p w14:paraId="71C3296A">
            <w:pPr>
              <w:widowControl/>
              <w:jc w:val="center"/>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cs="宋体"/>
                <w:b/>
                <w:bCs/>
                <w:color w:val="000000" w:themeColor="text1"/>
                <w:kern w:val="0"/>
                <w:szCs w:val="21"/>
                <w:highlight w:val="none"/>
                <w:lang w:val="en-US" w:eastAsia="zh-CN"/>
                <w14:textFill>
                  <w14:solidFill>
                    <w14:schemeClr w14:val="tx1"/>
                  </w14:solidFill>
                </w14:textFill>
              </w:rPr>
              <w:t>5</w:t>
            </w:r>
            <w:r>
              <w:rPr>
                <w:rFonts w:hint="eastAsia" w:ascii="宋体" w:hAnsi="宋体" w:cs="宋体"/>
                <w:b/>
                <w:bCs/>
                <w:color w:val="000000" w:themeColor="text1"/>
                <w:kern w:val="0"/>
                <w:szCs w:val="21"/>
                <w:highlight w:val="none"/>
                <w14:textFill>
                  <w14:solidFill>
                    <w14:schemeClr w14:val="tx1"/>
                  </w14:solidFill>
                </w14:textFill>
              </w:rPr>
              <w:t>.</w:t>
            </w:r>
            <w:r>
              <w:rPr>
                <w:rFonts w:hint="eastAsia" w:ascii="宋体" w:hAnsi="宋体" w:cs="宋体"/>
                <w:b/>
                <w:bCs/>
                <w:color w:val="000000" w:themeColor="text1"/>
                <w:kern w:val="0"/>
                <w:szCs w:val="21"/>
                <w:highlight w:val="none"/>
                <w:lang w:val="en-US" w:eastAsia="zh-CN"/>
                <w14:textFill>
                  <w14:solidFill>
                    <w14:schemeClr w14:val="tx1"/>
                  </w14:solidFill>
                </w14:textFill>
              </w:rPr>
              <w:t>3</w:t>
            </w:r>
          </w:p>
        </w:tc>
        <w:tc>
          <w:tcPr>
            <w:tcW w:w="1192" w:type="dxa"/>
            <w:vMerge w:val="continue"/>
            <w:noWrap/>
            <w:vAlign w:val="center"/>
          </w:tcPr>
          <w:p w14:paraId="6770C078">
            <w:pPr>
              <w:widowControl/>
              <w:spacing w:line="360" w:lineRule="auto"/>
              <w:jc w:val="left"/>
              <w:rPr>
                <w:rFonts w:ascii="宋体" w:hAnsi="宋体" w:cs="宋体"/>
                <w:b/>
                <w:bCs/>
                <w:color w:val="000000" w:themeColor="text1"/>
                <w:kern w:val="0"/>
                <w:szCs w:val="21"/>
                <w:highlight w:val="none"/>
                <w14:textFill>
                  <w14:solidFill>
                    <w14:schemeClr w14:val="tx1"/>
                  </w14:solidFill>
                </w14:textFill>
              </w:rPr>
            </w:pPr>
          </w:p>
        </w:tc>
        <w:tc>
          <w:tcPr>
            <w:tcW w:w="6983" w:type="dxa"/>
            <w:noWrap/>
            <w:vAlign w:val="center"/>
          </w:tcPr>
          <w:p w14:paraId="1E98F0EC">
            <w:pPr>
              <w:pStyle w:val="272"/>
              <w:spacing w:line="240" w:lineRule="auto"/>
              <w:ind w:firstLine="0" w:firstLineChars="0"/>
              <w:rPr>
                <w:b/>
                <w:bCs/>
                <w:sz w:val="21"/>
                <w:szCs w:val="21"/>
                <w:highlight w:val="none"/>
              </w:rPr>
            </w:pPr>
            <w:r>
              <w:rPr>
                <w:rFonts w:hint="eastAsia"/>
                <w:b/>
                <w:bCs/>
                <w:sz w:val="21"/>
                <w:szCs w:val="21"/>
                <w:highlight w:val="none"/>
              </w:rPr>
              <w:t>培训方案</w:t>
            </w:r>
          </w:p>
          <w:p w14:paraId="240520B9">
            <w:pPr>
              <w:pStyle w:val="272"/>
              <w:spacing w:line="240" w:lineRule="auto"/>
              <w:ind w:firstLine="0" w:firstLineChars="0"/>
              <w:rPr>
                <w:sz w:val="21"/>
                <w:szCs w:val="21"/>
                <w:highlight w:val="none"/>
              </w:rPr>
            </w:pPr>
            <w:r>
              <w:rPr>
                <w:rFonts w:hint="eastAsia"/>
                <w:sz w:val="21"/>
                <w:szCs w:val="21"/>
                <w:highlight w:val="none"/>
              </w:rPr>
              <w:t>供应商应根据招标文件要求提供具体详实的项目培训方案：包括：1.培训计划；2.培训内容（</w:t>
            </w:r>
            <w:r>
              <w:rPr>
                <w:rFonts w:hint="eastAsia" w:asciiTheme="minorEastAsia" w:hAnsiTheme="minorEastAsia" w:eastAsiaTheme="minorEastAsia"/>
                <w:color w:val="000000"/>
                <w:kern w:val="0"/>
                <w:sz w:val="21"/>
                <w:szCs w:val="21"/>
                <w:highlight w:val="none"/>
                <w:lang w:bidi="ar"/>
              </w:rPr>
              <w:t>覆盖系统操作、平台管理、日常维护等核心模块</w:t>
            </w:r>
            <w:r>
              <w:rPr>
                <w:rFonts w:hint="eastAsia"/>
                <w:sz w:val="21"/>
                <w:szCs w:val="21"/>
                <w:highlight w:val="none"/>
              </w:rPr>
              <w:t>）；3.定制化服务。以上每项内容逐条阐述。</w:t>
            </w:r>
          </w:p>
          <w:p w14:paraId="140C6CF6">
            <w:pPr>
              <w:pStyle w:val="272"/>
              <w:spacing w:line="240" w:lineRule="auto"/>
              <w:ind w:firstLine="0" w:firstLineChars="0"/>
              <w:rPr>
                <w:sz w:val="21"/>
                <w:szCs w:val="21"/>
                <w:highlight w:val="none"/>
              </w:rPr>
            </w:pPr>
            <w:r>
              <w:rPr>
                <w:rFonts w:hint="eastAsia"/>
                <w:sz w:val="21"/>
                <w:szCs w:val="21"/>
                <w:highlight w:val="none"/>
              </w:rPr>
              <w:t>1）培训计划：培训时间、人员、频次、考核标准明确，贴合招标文件要求，可落地；培训内容详实，覆盖项目全流程，贴合项目实际需求，针对性极强，可根据项目特点、需求差异，提供个性化定制培训及后续支撑的得7分；</w:t>
            </w:r>
          </w:p>
          <w:p w14:paraId="6AD0E091">
            <w:pPr>
              <w:pStyle w:val="272"/>
              <w:spacing w:line="240" w:lineRule="auto"/>
              <w:ind w:firstLine="0" w:firstLineChars="0"/>
              <w:rPr>
                <w:sz w:val="21"/>
                <w:szCs w:val="21"/>
                <w:highlight w:val="none"/>
              </w:rPr>
            </w:pPr>
            <w:r>
              <w:rPr>
                <w:rFonts w:hint="eastAsia"/>
                <w:color w:val="000000"/>
                <w:sz w:val="21"/>
                <w:szCs w:val="21"/>
                <w:highlight w:val="none"/>
              </w:rPr>
              <w:t>2）</w:t>
            </w:r>
            <w:r>
              <w:rPr>
                <w:rFonts w:hint="eastAsia"/>
                <w:sz w:val="21"/>
                <w:szCs w:val="21"/>
                <w:highlight w:val="none"/>
              </w:rPr>
              <w:t>培训计划：</w:t>
            </w:r>
            <w:r>
              <w:rPr>
                <w:rFonts w:hint="eastAsia"/>
                <w:color w:val="000000"/>
                <w:sz w:val="21"/>
                <w:szCs w:val="21"/>
                <w:highlight w:val="none"/>
              </w:rPr>
              <w:t>有基本培训时间及人员安排，考核标准较简单，基本符合要求。</w:t>
            </w:r>
            <w:r>
              <w:rPr>
                <w:rFonts w:hint="eastAsia"/>
                <w:sz w:val="21"/>
                <w:szCs w:val="21"/>
                <w:highlight w:val="none"/>
              </w:rPr>
              <w:t>培训内容</w:t>
            </w:r>
            <w:r>
              <w:rPr>
                <w:rFonts w:hint="eastAsia"/>
                <w:color w:val="000000"/>
                <w:sz w:val="21"/>
                <w:szCs w:val="21"/>
                <w:highlight w:val="none"/>
              </w:rPr>
              <w:t>基本完整，覆盖核心模块，针对性一般，可满足基础需求。可提供简单定制服务，能基本适配项目部分个性化需求</w:t>
            </w:r>
            <w:r>
              <w:rPr>
                <w:rFonts w:hint="eastAsia"/>
                <w:sz w:val="21"/>
                <w:szCs w:val="21"/>
                <w:highlight w:val="none"/>
              </w:rPr>
              <w:t>得</w:t>
            </w:r>
            <w:r>
              <w:rPr>
                <w:rFonts w:hint="eastAsia"/>
                <w:sz w:val="21"/>
                <w:szCs w:val="21"/>
                <w:highlight w:val="none"/>
                <w:lang w:val="en-US" w:eastAsia="zh-CN"/>
              </w:rPr>
              <w:t>5</w:t>
            </w:r>
            <w:r>
              <w:rPr>
                <w:rFonts w:hint="eastAsia"/>
                <w:sz w:val="21"/>
                <w:szCs w:val="21"/>
                <w:highlight w:val="none"/>
              </w:rPr>
              <w:t>分；</w:t>
            </w:r>
          </w:p>
          <w:p w14:paraId="00B187CE">
            <w:pPr>
              <w:pStyle w:val="272"/>
              <w:spacing w:line="240" w:lineRule="auto"/>
              <w:ind w:firstLine="0" w:firstLineChars="0"/>
              <w:rPr>
                <w:sz w:val="21"/>
                <w:szCs w:val="21"/>
                <w:highlight w:val="none"/>
              </w:rPr>
            </w:pPr>
            <w:r>
              <w:rPr>
                <w:rFonts w:hint="eastAsia"/>
                <w:sz w:val="21"/>
                <w:szCs w:val="21"/>
                <w:highlight w:val="none"/>
              </w:rPr>
              <w:t>3）培训计划：仅提供简单培训框架，无具体时间、人员及考核安排。培训内容简略，仅提及基础知识点，无针对性，无法满足项目需求。无定制化服务，仅提供统一标准化培训，无法适配个性化需求得</w:t>
            </w:r>
            <w:r>
              <w:rPr>
                <w:rFonts w:hint="eastAsia"/>
                <w:sz w:val="21"/>
                <w:szCs w:val="21"/>
                <w:highlight w:val="none"/>
                <w:lang w:val="en-US" w:eastAsia="zh-CN"/>
              </w:rPr>
              <w:t>3</w:t>
            </w:r>
            <w:r>
              <w:rPr>
                <w:rFonts w:hint="eastAsia"/>
                <w:sz w:val="21"/>
                <w:szCs w:val="21"/>
                <w:highlight w:val="none"/>
              </w:rPr>
              <w:t>分；</w:t>
            </w:r>
          </w:p>
          <w:p w14:paraId="080FCE6D">
            <w:pPr>
              <w:pStyle w:val="272"/>
              <w:spacing w:line="240" w:lineRule="auto"/>
              <w:ind w:firstLine="0" w:firstLineChars="0"/>
              <w:rPr>
                <w:sz w:val="21"/>
                <w:szCs w:val="21"/>
                <w:highlight w:val="none"/>
              </w:rPr>
            </w:pPr>
            <w:r>
              <w:rPr>
                <w:rFonts w:hint="eastAsia"/>
                <w:sz w:val="21"/>
                <w:szCs w:val="21"/>
                <w:highlight w:val="none"/>
              </w:rPr>
              <w:t>4）有缺陷（缺陷是指：存在不适用项目实际情况的情形、凭空编造、方案中内容前后不一致、前后逻辑错误、涉及的规范及标准错误、不符合项目实际情况等）得1分；</w:t>
            </w:r>
          </w:p>
          <w:p w14:paraId="7F42B2A5">
            <w:pPr>
              <w:pStyle w:val="272"/>
              <w:spacing w:line="240" w:lineRule="auto"/>
              <w:ind w:firstLine="0" w:firstLineChars="0"/>
              <w:rPr>
                <w:sz w:val="21"/>
                <w:szCs w:val="21"/>
                <w:highlight w:val="none"/>
              </w:rPr>
            </w:pPr>
            <w:r>
              <w:rPr>
                <w:rFonts w:hint="eastAsia"/>
                <w:sz w:val="21"/>
                <w:szCs w:val="21"/>
                <w:highlight w:val="none"/>
              </w:rPr>
              <w:t>5）未提供的不得分。</w:t>
            </w:r>
          </w:p>
        </w:tc>
        <w:tc>
          <w:tcPr>
            <w:tcW w:w="742" w:type="dxa"/>
            <w:noWrap/>
            <w:vAlign w:val="center"/>
          </w:tcPr>
          <w:p w14:paraId="48618E9F">
            <w:pPr>
              <w:jc w:val="center"/>
              <w:rPr>
                <w:rFonts w:hint="eastAsia" w:ascii="宋体" w:hAnsi="宋体" w:eastAsia="宋体" w:cs="宋体"/>
                <w:b/>
                <w:bCs/>
                <w:kern w:val="0"/>
                <w:szCs w:val="21"/>
                <w:highlight w:val="none"/>
                <w:lang w:eastAsia="zh-CN"/>
              </w:rPr>
            </w:pPr>
            <w:r>
              <w:rPr>
                <w:rFonts w:hint="eastAsia" w:ascii="宋体" w:hAnsi="宋体" w:cs="宋体"/>
                <w:b/>
                <w:bCs/>
                <w:kern w:val="0"/>
                <w:szCs w:val="21"/>
                <w:highlight w:val="none"/>
                <w:lang w:val="en-US" w:eastAsia="zh-CN"/>
              </w:rPr>
              <w:t>7</w:t>
            </w:r>
          </w:p>
        </w:tc>
      </w:tr>
      <w:tr w14:paraId="7B46D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noWrap/>
            <w:vAlign w:val="center"/>
          </w:tcPr>
          <w:p w14:paraId="0294F938">
            <w:pPr>
              <w:widowControl/>
              <w:jc w:val="center"/>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cs="宋体"/>
                <w:b/>
                <w:bCs/>
                <w:color w:val="000000" w:themeColor="text1"/>
                <w:kern w:val="0"/>
                <w:szCs w:val="21"/>
                <w:highlight w:val="none"/>
                <w:lang w:val="en-US" w:eastAsia="zh-CN"/>
                <w14:textFill>
                  <w14:solidFill>
                    <w14:schemeClr w14:val="tx1"/>
                  </w14:solidFill>
                </w14:textFill>
              </w:rPr>
              <w:t>5</w:t>
            </w:r>
            <w:r>
              <w:rPr>
                <w:rFonts w:hint="eastAsia" w:ascii="宋体" w:hAnsi="宋体" w:cs="宋体"/>
                <w:b/>
                <w:bCs/>
                <w:color w:val="000000" w:themeColor="text1"/>
                <w:kern w:val="0"/>
                <w:szCs w:val="21"/>
                <w:highlight w:val="none"/>
                <w14:textFill>
                  <w14:solidFill>
                    <w14:schemeClr w14:val="tx1"/>
                  </w14:solidFill>
                </w14:textFill>
              </w:rPr>
              <w:t>.</w:t>
            </w:r>
            <w:r>
              <w:rPr>
                <w:rFonts w:hint="eastAsia" w:ascii="宋体" w:hAnsi="宋体" w:cs="宋体"/>
                <w:b/>
                <w:bCs/>
                <w:color w:val="000000" w:themeColor="text1"/>
                <w:kern w:val="0"/>
                <w:szCs w:val="21"/>
                <w:highlight w:val="none"/>
                <w:lang w:val="en-US" w:eastAsia="zh-CN"/>
                <w14:textFill>
                  <w14:solidFill>
                    <w14:schemeClr w14:val="tx1"/>
                  </w14:solidFill>
                </w14:textFill>
              </w:rPr>
              <w:t>4</w:t>
            </w:r>
          </w:p>
        </w:tc>
        <w:tc>
          <w:tcPr>
            <w:tcW w:w="1192" w:type="dxa"/>
            <w:vMerge w:val="continue"/>
            <w:noWrap/>
            <w:vAlign w:val="center"/>
          </w:tcPr>
          <w:p w14:paraId="2AAB730A">
            <w:pPr>
              <w:widowControl/>
              <w:spacing w:line="360" w:lineRule="auto"/>
              <w:jc w:val="left"/>
              <w:rPr>
                <w:rFonts w:ascii="宋体" w:hAnsi="宋体" w:cs="宋体"/>
                <w:b/>
                <w:bCs/>
                <w:color w:val="000000" w:themeColor="text1"/>
                <w:kern w:val="0"/>
                <w:szCs w:val="21"/>
                <w:highlight w:val="none"/>
                <w14:textFill>
                  <w14:solidFill>
                    <w14:schemeClr w14:val="tx1"/>
                  </w14:solidFill>
                </w14:textFill>
              </w:rPr>
            </w:pPr>
          </w:p>
        </w:tc>
        <w:tc>
          <w:tcPr>
            <w:tcW w:w="6983" w:type="dxa"/>
            <w:noWrap/>
            <w:vAlign w:val="center"/>
          </w:tcPr>
          <w:p w14:paraId="5EEDD36F">
            <w:pPr>
              <w:pStyle w:val="272"/>
              <w:spacing w:line="240" w:lineRule="auto"/>
              <w:ind w:firstLine="0" w:firstLineChars="0"/>
              <w:rPr>
                <w:b/>
                <w:bCs/>
                <w:sz w:val="21"/>
                <w:szCs w:val="21"/>
                <w:highlight w:val="none"/>
              </w:rPr>
            </w:pPr>
            <w:r>
              <w:rPr>
                <w:rFonts w:hint="eastAsia"/>
                <w:b/>
                <w:bCs/>
                <w:sz w:val="21"/>
                <w:szCs w:val="21"/>
                <w:highlight w:val="none"/>
              </w:rPr>
              <w:t>售后服务方案</w:t>
            </w:r>
          </w:p>
          <w:p w14:paraId="5742094A">
            <w:pPr>
              <w:pStyle w:val="272"/>
              <w:spacing w:line="240" w:lineRule="auto"/>
              <w:ind w:firstLine="0" w:firstLineChars="0"/>
              <w:rPr>
                <w:sz w:val="21"/>
                <w:szCs w:val="21"/>
                <w:highlight w:val="none"/>
              </w:rPr>
            </w:pPr>
            <w:r>
              <w:rPr>
                <w:rFonts w:hint="eastAsia"/>
                <w:sz w:val="21"/>
                <w:szCs w:val="21"/>
                <w:highlight w:val="none"/>
              </w:rPr>
              <w:t>供应商应根据招标文件要求提供具体详实的售后服务方案：包括：1.售后服务响应时间；2.售后服务计划；3.故障解决方案；4.人员保障方案；5.定期巡检、其他优惠等。以上每项内容逐条阐述。</w:t>
            </w:r>
          </w:p>
          <w:p w14:paraId="07A46C04">
            <w:pPr>
              <w:pStyle w:val="272"/>
              <w:spacing w:line="240" w:lineRule="auto"/>
              <w:ind w:firstLine="0" w:firstLineChars="0"/>
              <w:rPr>
                <w:sz w:val="21"/>
                <w:szCs w:val="21"/>
                <w:highlight w:val="none"/>
              </w:rPr>
            </w:pPr>
            <w:r>
              <w:rPr>
                <w:rFonts w:hint="eastAsia"/>
                <w:sz w:val="21"/>
                <w:szCs w:val="21"/>
                <w:highlight w:val="none"/>
              </w:rPr>
              <w:t>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7分；</w:t>
            </w:r>
          </w:p>
          <w:p w14:paraId="518151A4">
            <w:pPr>
              <w:pStyle w:val="272"/>
              <w:spacing w:line="240" w:lineRule="auto"/>
              <w:ind w:firstLine="0" w:firstLineChars="0"/>
              <w:rPr>
                <w:color w:val="000000"/>
                <w:sz w:val="21"/>
                <w:szCs w:val="21"/>
                <w:highlight w:val="none"/>
              </w:rPr>
            </w:pPr>
            <w:r>
              <w:rPr>
                <w:rFonts w:hint="eastAsia"/>
                <w:color w:val="000000"/>
                <w:sz w:val="21"/>
                <w:szCs w:val="21"/>
                <w:highlight w:val="none"/>
              </w:rPr>
              <w:t>2）</w:t>
            </w:r>
            <w:r>
              <w:rPr>
                <w:rFonts w:hint="eastAsia"/>
                <w:sz w:val="21"/>
                <w:szCs w:val="21"/>
                <w:highlight w:val="none"/>
              </w:rPr>
              <w:t>售后</w:t>
            </w:r>
            <w:r>
              <w:rPr>
                <w:rFonts w:hint="eastAsia"/>
                <w:color w:val="000000"/>
                <w:sz w:val="21"/>
                <w:szCs w:val="21"/>
                <w:highlight w:val="none"/>
              </w:rPr>
              <w:t>有明确响应时间，基本符合要求，响应效率基本可行；</w:t>
            </w:r>
            <w:r>
              <w:rPr>
                <w:rFonts w:hint="eastAsia"/>
                <w:sz w:val="21"/>
                <w:szCs w:val="21"/>
                <w:highlight w:val="none"/>
              </w:rPr>
              <w:t>售后</w:t>
            </w:r>
            <w:r>
              <w:rPr>
                <w:rFonts w:hint="eastAsia"/>
                <w:color w:val="000000"/>
                <w:sz w:val="21"/>
                <w:szCs w:val="21"/>
                <w:highlight w:val="none"/>
              </w:rPr>
              <w:t>体系基本完整，有基础分工，流程较简单。有基础解决方案，可处理常见故障，效率一般。有基础保障人员，人员专业配置基本满足需求</w:t>
            </w:r>
            <w:r>
              <w:rPr>
                <w:rFonts w:hint="eastAsia"/>
                <w:sz w:val="21"/>
                <w:szCs w:val="21"/>
                <w:highlight w:val="none"/>
              </w:rPr>
              <w:t>的得5分；</w:t>
            </w:r>
          </w:p>
          <w:p w14:paraId="3CDABC43">
            <w:pPr>
              <w:pStyle w:val="272"/>
              <w:spacing w:line="240" w:lineRule="auto"/>
              <w:ind w:firstLine="0" w:firstLineChars="0"/>
              <w:rPr>
                <w:color w:val="000000"/>
                <w:sz w:val="21"/>
                <w:szCs w:val="21"/>
                <w:highlight w:val="none"/>
              </w:rPr>
            </w:pPr>
            <w:r>
              <w:rPr>
                <w:rFonts w:hint="eastAsia"/>
                <w:color w:val="000000"/>
                <w:sz w:val="21"/>
                <w:szCs w:val="21"/>
                <w:highlight w:val="none"/>
              </w:rPr>
              <w:t>3）</w:t>
            </w:r>
            <w:r>
              <w:rPr>
                <w:rFonts w:hint="eastAsia"/>
                <w:sz w:val="21"/>
                <w:szCs w:val="21"/>
                <w:highlight w:val="none"/>
              </w:rPr>
              <w:t>售后</w:t>
            </w:r>
            <w:r>
              <w:rPr>
                <w:rFonts w:hint="eastAsia"/>
                <w:color w:val="000000"/>
                <w:sz w:val="21"/>
                <w:szCs w:val="21"/>
                <w:highlight w:val="none"/>
              </w:rPr>
              <w:t>响应不及时，无法满足基础诉求；</w:t>
            </w:r>
            <w:r>
              <w:rPr>
                <w:rFonts w:hint="eastAsia"/>
                <w:sz w:val="21"/>
                <w:szCs w:val="21"/>
                <w:highlight w:val="none"/>
              </w:rPr>
              <w:t>售后服务</w:t>
            </w:r>
            <w:r>
              <w:rPr>
                <w:rFonts w:hint="eastAsia"/>
                <w:color w:val="000000"/>
                <w:sz w:val="21"/>
                <w:szCs w:val="21"/>
                <w:highlight w:val="none"/>
              </w:rPr>
              <w:t>无完整体系，分工模糊，无规范服务流程；</w:t>
            </w:r>
            <w:r>
              <w:rPr>
                <w:rFonts w:hint="eastAsia"/>
                <w:sz w:val="21"/>
                <w:szCs w:val="21"/>
                <w:highlight w:val="none"/>
              </w:rPr>
              <w:t>故障解决方案</w:t>
            </w:r>
            <w:r>
              <w:rPr>
                <w:rFonts w:hint="eastAsia"/>
                <w:color w:val="000000"/>
                <w:sz w:val="21"/>
                <w:szCs w:val="21"/>
                <w:highlight w:val="none"/>
              </w:rPr>
              <w:t>方案简略，无法应对复杂故障，解决效率低下；专业保障人员配置不足得3分；</w:t>
            </w:r>
          </w:p>
          <w:p w14:paraId="2BAE9F79">
            <w:pPr>
              <w:pStyle w:val="272"/>
              <w:spacing w:line="240" w:lineRule="auto"/>
              <w:ind w:firstLine="0" w:firstLineChars="0"/>
              <w:rPr>
                <w:sz w:val="21"/>
                <w:szCs w:val="21"/>
                <w:highlight w:val="none"/>
              </w:rPr>
            </w:pPr>
            <w:r>
              <w:rPr>
                <w:rFonts w:hint="eastAsia"/>
                <w:color w:val="000000"/>
                <w:sz w:val="21"/>
                <w:szCs w:val="21"/>
                <w:highlight w:val="none"/>
              </w:rPr>
              <w:t>4）</w:t>
            </w:r>
            <w:r>
              <w:rPr>
                <w:rFonts w:hint="eastAsia"/>
                <w:sz w:val="21"/>
                <w:szCs w:val="21"/>
                <w:highlight w:val="none"/>
              </w:rPr>
              <w:t>有缺陷（缺陷是指：存在不适用项目实际情况的情形、凭空编造、方案中内容前后不一致、前后逻辑错误、涉及的规范及标准错误、不符合项目实际情况等）得1分；</w:t>
            </w:r>
          </w:p>
          <w:p w14:paraId="7E66A186">
            <w:pPr>
              <w:pStyle w:val="272"/>
              <w:spacing w:line="240" w:lineRule="auto"/>
              <w:ind w:firstLine="0" w:firstLineChars="0"/>
              <w:rPr>
                <w:sz w:val="21"/>
                <w:szCs w:val="21"/>
                <w:highlight w:val="none"/>
              </w:rPr>
            </w:pPr>
            <w:r>
              <w:rPr>
                <w:rFonts w:hint="eastAsia"/>
                <w:sz w:val="21"/>
                <w:szCs w:val="21"/>
                <w:highlight w:val="none"/>
              </w:rPr>
              <w:t>5）未提供的不得分。</w:t>
            </w:r>
          </w:p>
        </w:tc>
        <w:tc>
          <w:tcPr>
            <w:tcW w:w="742" w:type="dxa"/>
            <w:noWrap/>
            <w:vAlign w:val="center"/>
          </w:tcPr>
          <w:p w14:paraId="7786938D">
            <w:pPr>
              <w:jc w:val="center"/>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cs="宋体"/>
                <w:b/>
                <w:bCs/>
                <w:color w:val="000000" w:themeColor="text1"/>
                <w:kern w:val="0"/>
                <w:szCs w:val="21"/>
                <w:highlight w:val="none"/>
                <w:lang w:val="en-US" w:eastAsia="zh-CN"/>
                <w14:textFill>
                  <w14:solidFill>
                    <w14:schemeClr w14:val="tx1"/>
                  </w14:solidFill>
                </w14:textFill>
              </w:rPr>
              <w:t>7</w:t>
            </w:r>
          </w:p>
        </w:tc>
      </w:tr>
      <w:tr w14:paraId="55717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noWrap/>
            <w:vAlign w:val="center"/>
          </w:tcPr>
          <w:p w14:paraId="68BE777B">
            <w:pPr>
              <w:widowControl/>
              <w:jc w:val="center"/>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cs="宋体"/>
                <w:b/>
                <w:bCs/>
                <w:color w:val="000000" w:themeColor="text1"/>
                <w:kern w:val="0"/>
                <w:szCs w:val="21"/>
                <w:highlight w:val="none"/>
                <w:lang w:val="en-US" w:eastAsia="zh-CN"/>
                <w14:textFill>
                  <w14:solidFill>
                    <w14:schemeClr w14:val="tx1"/>
                  </w14:solidFill>
                </w14:textFill>
              </w:rPr>
              <w:t>6</w:t>
            </w:r>
          </w:p>
        </w:tc>
        <w:tc>
          <w:tcPr>
            <w:tcW w:w="1192" w:type="dxa"/>
            <w:noWrap/>
            <w:vAlign w:val="center"/>
          </w:tcPr>
          <w:p w14:paraId="0084DD9C">
            <w:pPr>
              <w:widowControl/>
              <w:spacing w:line="360" w:lineRule="auto"/>
              <w:jc w:val="left"/>
              <w:rPr>
                <w:rFonts w:ascii="宋体" w:hAnsi="宋体" w:cs="宋体"/>
                <w:b/>
                <w:bCs/>
                <w:kern w:val="0"/>
                <w:szCs w:val="21"/>
                <w:highlight w:val="none"/>
              </w:rPr>
            </w:pPr>
            <w:r>
              <w:rPr>
                <w:rFonts w:hint="eastAsia" w:ascii="宋体" w:hAnsi="宋体" w:cs="宋体"/>
                <w:b/>
                <w:bCs/>
                <w:kern w:val="0"/>
                <w:szCs w:val="21"/>
                <w:highlight w:val="none"/>
              </w:rPr>
              <w:t>节能环保</w:t>
            </w:r>
          </w:p>
          <w:p w14:paraId="63123C96">
            <w:pPr>
              <w:widowControl/>
              <w:spacing w:line="360" w:lineRule="auto"/>
              <w:jc w:val="center"/>
              <w:rPr>
                <w:rFonts w:ascii="宋体" w:hAnsi="宋体" w:cs="宋体"/>
                <w:b/>
                <w:bCs/>
                <w:kern w:val="0"/>
                <w:szCs w:val="21"/>
                <w:highlight w:val="none"/>
              </w:rPr>
            </w:pPr>
            <w:r>
              <w:rPr>
                <w:rFonts w:hint="eastAsia" w:ascii="宋体" w:hAnsi="宋体" w:cs="宋体"/>
                <w:b/>
                <w:bCs/>
                <w:kern w:val="0"/>
                <w:szCs w:val="21"/>
                <w:highlight w:val="none"/>
              </w:rPr>
              <w:t>1分</w:t>
            </w:r>
          </w:p>
        </w:tc>
        <w:tc>
          <w:tcPr>
            <w:tcW w:w="6983" w:type="dxa"/>
            <w:noWrap/>
            <w:vAlign w:val="center"/>
          </w:tcPr>
          <w:p w14:paraId="29FF61A9">
            <w:pPr>
              <w:pStyle w:val="272"/>
              <w:spacing w:line="240" w:lineRule="auto"/>
              <w:ind w:firstLine="0" w:firstLineChars="0"/>
              <w:rPr>
                <w:sz w:val="21"/>
                <w:szCs w:val="21"/>
                <w:highlight w:val="none"/>
              </w:rPr>
            </w:pPr>
            <w:r>
              <w:rPr>
                <w:rFonts w:hint="eastAsia"/>
                <w:sz w:val="21"/>
                <w:szCs w:val="21"/>
                <w:highlight w:val="none"/>
              </w:rPr>
              <w:t>6.1投标产品属于财政部、国家发改委公布的“节能产品品目清单”范围内的，投标人提供国家确定的认证机构出具的、处于有效期之内的该节能产品认证证书复印件的，有1个得0.5分，最多得0.5分。</w:t>
            </w:r>
            <w:r>
              <w:rPr>
                <w:rFonts w:hint="eastAsia"/>
                <w:b/>
                <w:bCs/>
                <w:sz w:val="21"/>
                <w:szCs w:val="21"/>
                <w:highlight w:val="none"/>
              </w:rPr>
              <w:t>如投标产品均属于政府强制采购节能产品品目清单范围内，本项不得分。</w:t>
            </w:r>
          </w:p>
          <w:p w14:paraId="27DA8484">
            <w:pPr>
              <w:pStyle w:val="272"/>
              <w:spacing w:line="240" w:lineRule="auto"/>
              <w:ind w:firstLine="0" w:firstLineChars="0"/>
              <w:rPr>
                <w:sz w:val="21"/>
                <w:szCs w:val="21"/>
                <w:highlight w:val="none"/>
              </w:rPr>
            </w:pPr>
            <w:r>
              <w:rPr>
                <w:rFonts w:hint="eastAsia"/>
                <w:sz w:val="21"/>
                <w:szCs w:val="21"/>
                <w:highlight w:val="none"/>
              </w:rPr>
              <w:t>6.2投标产品属于财政部、生态环境部公布的“环境标志产品品目清单”范围内的，投标人提供国家确定的认证机构出具的、处于有效期内的该环保产品认证证书复印件的，有1个得0.5分，最多得0.5分。</w:t>
            </w:r>
          </w:p>
        </w:tc>
        <w:tc>
          <w:tcPr>
            <w:tcW w:w="742" w:type="dxa"/>
            <w:noWrap/>
            <w:vAlign w:val="center"/>
          </w:tcPr>
          <w:p w14:paraId="15A9267A">
            <w:pPr>
              <w:jc w:val="cente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1</w:t>
            </w:r>
          </w:p>
        </w:tc>
      </w:tr>
      <w:tr w14:paraId="7E9F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53" w:type="dxa"/>
            <w:noWrap/>
            <w:vAlign w:val="center"/>
          </w:tcPr>
          <w:p w14:paraId="5113FEA0">
            <w:pPr>
              <w:widowControl/>
              <w:jc w:val="center"/>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cs="宋体"/>
                <w:b/>
                <w:bCs/>
                <w:color w:val="000000" w:themeColor="text1"/>
                <w:kern w:val="0"/>
                <w:szCs w:val="21"/>
                <w:highlight w:val="none"/>
                <w:lang w:val="en-US" w:eastAsia="zh-CN"/>
                <w14:textFill>
                  <w14:solidFill>
                    <w14:schemeClr w14:val="tx1"/>
                  </w14:solidFill>
                </w14:textFill>
              </w:rPr>
              <w:t>7</w:t>
            </w:r>
          </w:p>
        </w:tc>
        <w:tc>
          <w:tcPr>
            <w:tcW w:w="1192" w:type="dxa"/>
            <w:noWrap/>
            <w:vAlign w:val="center"/>
          </w:tcPr>
          <w:p w14:paraId="6A159CCD">
            <w:pPr>
              <w:widowControl/>
              <w:spacing w:line="360" w:lineRule="auto"/>
              <w:jc w:val="center"/>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合计</w:t>
            </w:r>
          </w:p>
        </w:tc>
        <w:tc>
          <w:tcPr>
            <w:tcW w:w="6983" w:type="dxa"/>
            <w:noWrap/>
            <w:vAlign w:val="center"/>
          </w:tcPr>
          <w:p w14:paraId="67B54BC2">
            <w:pPr>
              <w:autoSpaceDE w:val="0"/>
              <w:autoSpaceDN w:val="0"/>
              <w:adjustRightInd w:val="0"/>
              <w:rPr>
                <w:rFonts w:ascii="宋体" w:hAnsi="宋体" w:cs="宋体"/>
                <w:kern w:val="0"/>
                <w:szCs w:val="21"/>
                <w:highlight w:val="none"/>
              </w:rPr>
            </w:pPr>
          </w:p>
        </w:tc>
        <w:tc>
          <w:tcPr>
            <w:tcW w:w="742" w:type="dxa"/>
            <w:noWrap/>
            <w:vAlign w:val="center"/>
          </w:tcPr>
          <w:p w14:paraId="4A7D15F2">
            <w:pPr>
              <w:widowControl/>
              <w:jc w:val="center"/>
              <w:rPr>
                <w:rFonts w:ascii="宋体" w:hAnsi="宋体" w:cs="宋体"/>
                <w:b/>
                <w:kern w:val="0"/>
                <w:szCs w:val="21"/>
                <w:highlight w:val="none"/>
              </w:rPr>
            </w:pPr>
            <w:r>
              <w:rPr>
                <w:rFonts w:hint="eastAsia" w:ascii="宋体" w:hAnsi="宋体" w:cs="宋体"/>
                <w:b/>
                <w:kern w:val="0"/>
                <w:szCs w:val="21"/>
                <w:highlight w:val="none"/>
              </w:rPr>
              <w:t>100</w:t>
            </w:r>
          </w:p>
        </w:tc>
      </w:tr>
    </w:tbl>
    <w:p w14:paraId="13303B9C">
      <w:pPr>
        <w:spacing w:line="360" w:lineRule="auto"/>
        <w:ind w:firstLine="420" w:firstLineChars="200"/>
        <w:rPr>
          <w:rFonts w:ascii="宋体" w:hAnsi="宋体" w:cs="宋体"/>
          <w:highlight w:val="none"/>
        </w:rPr>
      </w:pPr>
    </w:p>
    <w:p w14:paraId="6BE4F30B">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说明：1.所有认证、证明和业绩均以有效清晰的证明文件的复印件为依据，原件备查。</w:t>
      </w:r>
    </w:p>
    <w:p w14:paraId="1BB2F046">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2.小微企业价格扣除</w:t>
      </w:r>
    </w:p>
    <w:p w14:paraId="5DB8B5B2">
      <w:pPr>
        <w:spacing w:line="360" w:lineRule="auto"/>
        <w:ind w:firstLine="440" w:firstLineChars="200"/>
        <w:rPr>
          <w:rFonts w:ascii="宋体" w:hAnsi="宋体" w:cs="宋体"/>
          <w:bCs/>
          <w:highlight w:val="none"/>
        </w:rPr>
      </w:pPr>
      <w:r>
        <w:rPr>
          <w:rFonts w:hint="eastAsia" w:ascii="宋体" w:hAnsi="宋体" w:cs="宋体"/>
          <w:bCs/>
          <w:sz w:val="22"/>
          <w:szCs w:val="28"/>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55E6616E">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781FB40">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3.监狱和戒毒企业的价格扣除</w:t>
      </w:r>
    </w:p>
    <w:p w14:paraId="1D156D27">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3.1 本项目对监狱和戒毒企业，给予10%的价格扣除，用扣除后的价格参与评审。</w:t>
      </w:r>
    </w:p>
    <w:p w14:paraId="7ECB5BF4">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3.2 监狱企业需提供由省级以上监狱管理局、戒毒管理局（含新疆生产建设兵团）出具的属于监狱企业的证明文件。</w:t>
      </w:r>
    </w:p>
    <w:p w14:paraId="6EB37685">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3.3 监狱企业标准请参照《关于政府采购支持监狱企业发展有关问题的通知》（财库〔2014〕68号）。</w:t>
      </w:r>
    </w:p>
    <w:p w14:paraId="39ABCAF5">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4.残疾人福利性单位的价格扣除</w:t>
      </w:r>
    </w:p>
    <w:p w14:paraId="376D223E">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4.1 本项目对残疾人福利性单位，给予10%的价格扣除，用扣除后的价格参与评审。</w:t>
      </w:r>
    </w:p>
    <w:p w14:paraId="0C1FC75F">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4.2 残疾人福利性单位需提供《残疾人福利性单位声明函》</w:t>
      </w:r>
    </w:p>
    <w:p w14:paraId="3BC60A73">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4.3 残疾人福利性单位标准请参照《关于促进残疾人就业政府采购政策的通知》（财库〔2017〕141号）。</w:t>
      </w:r>
    </w:p>
    <w:p w14:paraId="6A9B2DD2">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5. 监狱企业、残疾人福利性单位属于小型、微型企业的，不重复享受政策。</w:t>
      </w:r>
    </w:p>
    <w:p w14:paraId="028EF416">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6.本国产品的价格扣除</w:t>
      </w:r>
    </w:p>
    <w:p w14:paraId="127AD39D">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6.1本国产品标准、本国产品标准的适用范围、对本国产品的支持政策等详见《国务院办公厅关于在政府采购中实施本国产品标准及相关政策的通知》（国办发〔2025〕34号）。</w:t>
      </w:r>
    </w:p>
    <w:p w14:paraId="28B88F43">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6.2 政府采购活动中既有本国产品又有非本国产品参与竞争的，依法对本国产品给予价格评审优惠，对本国产品的报价给予20%的价格扣除，用扣除后的价格参与评审。</w:t>
      </w:r>
    </w:p>
    <w:p w14:paraId="23FB502E">
      <w:pPr>
        <w:spacing w:line="360" w:lineRule="auto"/>
        <w:ind w:firstLine="440" w:firstLineChars="200"/>
        <w:rPr>
          <w:rFonts w:ascii="宋体" w:hAnsi="宋体" w:cs="宋体"/>
          <w:bCs/>
          <w:sz w:val="22"/>
          <w:szCs w:val="28"/>
          <w:highlight w:val="none"/>
        </w:rPr>
      </w:pPr>
      <w:r>
        <w:rPr>
          <w:rFonts w:hint="eastAsia" w:ascii="宋体" w:hAnsi="宋体" w:cs="宋体"/>
          <w:bCs/>
          <w:sz w:val="22"/>
          <w:szCs w:val="28"/>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37F0016">
      <w:pPr>
        <w:rPr>
          <w:rFonts w:ascii="宋体" w:hAnsi="宋体"/>
          <w:szCs w:val="21"/>
          <w:highlight w:val="none"/>
        </w:rPr>
      </w:pPr>
      <w:r>
        <w:rPr>
          <w:rFonts w:hint="eastAsia" w:ascii="宋体" w:hAnsi="宋体"/>
          <w:szCs w:val="21"/>
          <w:highlight w:val="none"/>
        </w:rPr>
        <w:br w:type="page"/>
      </w:r>
    </w:p>
    <w:p w14:paraId="621C0EEC">
      <w:pPr>
        <w:spacing w:line="500" w:lineRule="exact"/>
        <w:ind w:firstLine="420" w:firstLineChars="200"/>
        <w:rPr>
          <w:rFonts w:ascii="宋体" w:hAnsi="宋体"/>
          <w:szCs w:val="21"/>
          <w:highlight w:val="none"/>
        </w:rPr>
      </w:pPr>
    </w:p>
    <w:p w14:paraId="5643E366">
      <w:pPr>
        <w:pStyle w:val="2"/>
        <w:numPr>
          <w:ilvl w:val="0"/>
          <w:numId w:val="0"/>
        </w:numPr>
        <w:rPr>
          <w:rFonts w:ascii="宋体" w:hAnsi="宋体" w:cs="宋体"/>
          <w:highlight w:val="none"/>
        </w:rPr>
      </w:pPr>
      <w:bookmarkStart w:id="22" w:name="_Toc22696"/>
      <w:r>
        <w:rPr>
          <w:rFonts w:hint="eastAsia" w:ascii="宋体" w:hAnsi="宋体" w:cs="宋体"/>
          <w:highlight w:val="none"/>
        </w:rPr>
        <w:t>第五章 合同主要条款及格式</w:t>
      </w:r>
      <w:bookmarkEnd w:id="19"/>
      <w:bookmarkEnd w:id="22"/>
    </w:p>
    <w:p w14:paraId="7DFC2CF4">
      <w:pPr>
        <w:pStyle w:val="24"/>
        <w:snapToGrid w:val="0"/>
        <w:spacing w:before="120" w:after="120" w:line="360" w:lineRule="auto"/>
        <w:ind w:firstLine="480" w:firstLineChars="200"/>
        <w:jc w:val="right"/>
        <w:rPr>
          <w:rFonts w:ascii="宋体" w:hAnsi="宋体"/>
          <w:sz w:val="16"/>
          <w:szCs w:val="16"/>
          <w:highlight w:val="none"/>
        </w:rPr>
      </w:pPr>
      <w:r>
        <w:rPr>
          <w:rFonts w:hint="eastAsia" w:ascii="宋体" w:hAnsi="宋体" w:cs="宋体"/>
          <w:kern w:val="0"/>
          <w:sz w:val="24"/>
          <w:highlight w:val="none"/>
        </w:rPr>
        <w:t xml:space="preserve"> </w:t>
      </w:r>
      <w:r>
        <w:rPr>
          <w:rFonts w:hint="eastAsia" w:ascii="宋体" w:hAnsi="宋体" w:cs="宋体"/>
          <w:sz w:val="24"/>
          <w:highlight w:val="none"/>
        </w:rPr>
        <w:t xml:space="preserve"> </w:t>
      </w:r>
      <w:r>
        <w:rPr>
          <w:rFonts w:hint="eastAsia" w:ascii="宋体" w:hAnsi="宋体" w:cs="宋体"/>
          <w:b/>
          <w:bCs/>
          <w:sz w:val="24"/>
          <w:highlight w:val="none"/>
        </w:rPr>
        <w:t> </w:t>
      </w:r>
      <w:r>
        <w:rPr>
          <w:rFonts w:hint="eastAsia" w:ascii="宋体" w:hAnsi="宋体"/>
          <w:sz w:val="16"/>
          <w:szCs w:val="16"/>
          <w:highlight w:val="none"/>
        </w:rPr>
        <w:t>南师大合同编号：</w:t>
      </w:r>
      <w:bookmarkStart w:id="23" w:name="合同编号"/>
      <w:bookmarkEnd w:id="23"/>
    </w:p>
    <w:p w14:paraId="4E558B92">
      <w:pPr>
        <w:pStyle w:val="24"/>
        <w:snapToGrid w:val="0"/>
        <w:spacing w:before="120" w:after="120" w:line="360" w:lineRule="auto"/>
        <w:ind w:firstLine="643" w:firstLineChars="200"/>
        <w:jc w:val="center"/>
        <w:rPr>
          <w:rFonts w:ascii="宋体" w:hAnsi="宋体" w:cs="宋体"/>
          <w:kern w:val="0"/>
          <w:sz w:val="44"/>
          <w:szCs w:val="44"/>
          <w:highlight w:val="none"/>
        </w:rPr>
      </w:pPr>
      <w:r>
        <w:rPr>
          <w:rFonts w:hint="eastAsia" w:ascii="宋体" w:hAnsi="宋体"/>
          <w:b/>
          <w:sz w:val="32"/>
          <w:highlight w:val="none"/>
        </w:rPr>
        <w:t>南京师范大学货物采购合同</w:t>
      </w:r>
    </w:p>
    <w:p w14:paraId="42D82E7D">
      <w:pPr>
        <w:pStyle w:val="24"/>
        <w:snapToGrid w:val="0"/>
        <w:spacing w:line="360" w:lineRule="auto"/>
        <w:ind w:firstLine="420" w:firstLineChars="200"/>
        <w:rPr>
          <w:rFonts w:hAnsi="宋体"/>
          <w:szCs w:val="21"/>
          <w:highlight w:val="none"/>
        </w:rPr>
      </w:pPr>
      <w:r>
        <w:rPr>
          <w:rFonts w:hAnsi="宋体"/>
          <w:szCs w:val="21"/>
          <w:highlight w:val="none"/>
        </w:rPr>
        <w:t xml:space="preserve">项目名称：                        </w:t>
      </w:r>
      <w:r>
        <w:rPr>
          <w:rFonts w:hint="eastAsia" w:hAnsi="宋体"/>
          <w:szCs w:val="21"/>
          <w:highlight w:val="none"/>
        </w:rPr>
        <w:t>南师大</w:t>
      </w:r>
      <w:r>
        <w:rPr>
          <w:rFonts w:hAnsi="宋体"/>
          <w:szCs w:val="21"/>
          <w:highlight w:val="none"/>
        </w:rPr>
        <w:t>项目</w:t>
      </w:r>
      <w:r>
        <w:rPr>
          <w:rFonts w:hint="eastAsia" w:hAnsi="宋体"/>
          <w:szCs w:val="21"/>
          <w:highlight w:val="none"/>
        </w:rPr>
        <w:t>采购</w:t>
      </w:r>
      <w:r>
        <w:rPr>
          <w:rFonts w:hAnsi="宋体"/>
          <w:szCs w:val="21"/>
          <w:highlight w:val="none"/>
        </w:rPr>
        <w:t>编号：</w:t>
      </w:r>
    </w:p>
    <w:p w14:paraId="7A7C5210">
      <w:pPr>
        <w:pStyle w:val="24"/>
        <w:snapToGrid w:val="0"/>
        <w:spacing w:line="360" w:lineRule="auto"/>
        <w:ind w:firstLine="420" w:firstLineChars="200"/>
        <w:rPr>
          <w:rFonts w:ascii="宋体" w:hAnsi="宋体"/>
          <w:szCs w:val="21"/>
          <w:highlight w:val="none"/>
        </w:rPr>
      </w:pPr>
      <w:r>
        <w:rPr>
          <w:rFonts w:ascii="宋体" w:hAnsi="宋体"/>
          <w:szCs w:val="21"/>
          <w:highlight w:val="none"/>
        </w:rPr>
        <w:t>甲方：（买方）</w:t>
      </w:r>
      <w:r>
        <w:rPr>
          <w:rFonts w:hint="eastAsia" w:ascii="宋体" w:hAnsi="宋体"/>
          <w:szCs w:val="21"/>
          <w:highlight w:val="none"/>
        </w:rPr>
        <w:t>南京师范大学</w:t>
      </w:r>
    </w:p>
    <w:p w14:paraId="0E653C28">
      <w:pPr>
        <w:pStyle w:val="24"/>
        <w:snapToGrid w:val="0"/>
        <w:spacing w:line="360" w:lineRule="auto"/>
        <w:ind w:firstLine="420" w:firstLineChars="200"/>
        <w:rPr>
          <w:rFonts w:ascii="宋体" w:hAnsi="宋体"/>
          <w:szCs w:val="21"/>
          <w:highlight w:val="none"/>
        </w:rPr>
      </w:pPr>
      <w:r>
        <w:rPr>
          <w:rFonts w:ascii="宋体" w:hAnsi="宋体"/>
          <w:szCs w:val="21"/>
          <w:highlight w:val="none"/>
        </w:rPr>
        <w:t>乙方：（卖方）_________</w:t>
      </w:r>
    </w:p>
    <w:p w14:paraId="5CC1863F">
      <w:pPr>
        <w:spacing w:line="360" w:lineRule="auto"/>
        <w:ind w:firstLine="420" w:firstLineChars="200"/>
        <w:rPr>
          <w:highlight w:val="none"/>
        </w:rPr>
      </w:pPr>
      <w:r>
        <w:rPr>
          <w:rFonts w:hint="eastAsia"/>
          <w:highlight w:val="none"/>
        </w:rPr>
        <w:t>甲、乙双方根据</w:t>
      </w:r>
      <w:r>
        <w:rPr>
          <w:rFonts w:hint="eastAsia"/>
          <w:highlight w:val="none"/>
          <w:u w:val="single"/>
        </w:rPr>
        <w:t xml:space="preserve">                   </w:t>
      </w:r>
      <w:r>
        <w:rPr>
          <w:rFonts w:hint="eastAsia"/>
          <w:highlight w:val="none"/>
        </w:rPr>
        <w:t>采购的结果，签署本合同。</w:t>
      </w:r>
    </w:p>
    <w:p w14:paraId="0748162D">
      <w:pPr>
        <w:spacing w:line="360" w:lineRule="auto"/>
        <w:ind w:firstLine="422" w:firstLineChars="200"/>
        <w:rPr>
          <w:szCs w:val="21"/>
          <w:highlight w:val="none"/>
        </w:rPr>
      </w:pPr>
      <w:r>
        <w:rPr>
          <w:rFonts w:hint="eastAsia"/>
          <w:b/>
          <w:bCs/>
          <w:szCs w:val="21"/>
          <w:highlight w:val="none"/>
        </w:rPr>
        <w:t>一、采购标的</w:t>
      </w:r>
      <w:r>
        <w:rPr>
          <w:rFonts w:hint="eastAsia"/>
          <w:b/>
          <w:bCs/>
          <w:szCs w:val="21"/>
          <w:highlight w:val="none"/>
        </w:rPr>
        <w:tab/>
      </w:r>
      <w:r>
        <w:rPr>
          <w:rFonts w:hint="eastAsia"/>
          <w:szCs w:val="21"/>
          <w:highlight w:val="none"/>
        </w:rPr>
        <w:tab/>
      </w:r>
    </w:p>
    <w:tbl>
      <w:tblPr>
        <w:tblStyle w:val="45"/>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560"/>
        <w:gridCol w:w="1984"/>
        <w:gridCol w:w="1276"/>
      </w:tblGrid>
      <w:tr w14:paraId="3F9B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7387766A">
            <w:pPr>
              <w:spacing w:line="360" w:lineRule="auto"/>
              <w:ind w:firstLine="420" w:firstLineChars="200"/>
              <w:rPr>
                <w:szCs w:val="21"/>
                <w:highlight w:val="none"/>
              </w:rPr>
            </w:pPr>
            <w:r>
              <w:rPr>
                <w:rFonts w:hint="eastAsia"/>
                <w:szCs w:val="21"/>
                <w:highlight w:val="none"/>
              </w:rPr>
              <w:t>标  的  名    称</w:t>
            </w:r>
          </w:p>
        </w:tc>
        <w:tc>
          <w:tcPr>
            <w:tcW w:w="1560" w:type="dxa"/>
          </w:tcPr>
          <w:p w14:paraId="2ED6B7F2">
            <w:pPr>
              <w:spacing w:line="360" w:lineRule="auto"/>
              <w:rPr>
                <w:szCs w:val="21"/>
                <w:highlight w:val="none"/>
              </w:rPr>
            </w:pPr>
            <w:r>
              <w:rPr>
                <w:rFonts w:hint="eastAsia"/>
                <w:szCs w:val="21"/>
                <w:highlight w:val="none"/>
              </w:rPr>
              <w:t>品   牌</w:t>
            </w:r>
          </w:p>
        </w:tc>
        <w:tc>
          <w:tcPr>
            <w:tcW w:w="1984" w:type="dxa"/>
          </w:tcPr>
          <w:p w14:paraId="7E5B8711">
            <w:pPr>
              <w:spacing w:line="360" w:lineRule="auto"/>
              <w:rPr>
                <w:szCs w:val="21"/>
                <w:highlight w:val="none"/>
              </w:rPr>
            </w:pPr>
            <w:r>
              <w:rPr>
                <w:rFonts w:hint="eastAsia"/>
                <w:szCs w:val="21"/>
                <w:highlight w:val="none"/>
              </w:rPr>
              <w:t>厂   家</w:t>
            </w:r>
          </w:p>
        </w:tc>
        <w:tc>
          <w:tcPr>
            <w:tcW w:w="1276" w:type="dxa"/>
          </w:tcPr>
          <w:p w14:paraId="1859944F">
            <w:pPr>
              <w:spacing w:line="360" w:lineRule="auto"/>
              <w:rPr>
                <w:szCs w:val="21"/>
                <w:highlight w:val="none"/>
              </w:rPr>
            </w:pPr>
            <w:r>
              <w:rPr>
                <w:rFonts w:hint="eastAsia"/>
                <w:szCs w:val="21"/>
                <w:highlight w:val="none"/>
              </w:rPr>
              <w:t>产  地</w:t>
            </w:r>
          </w:p>
        </w:tc>
      </w:tr>
      <w:tr w14:paraId="23706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460CCF42">
            <w:pPr>
              <w:spacing w:line="360" w:lineRule="auto"/>
              <w:ind w:firstLine="420" w:firstLineChars="200"/>
              <w:rPr>
                <w:szCs w:val="21"/>
                <w:highlight w:val="none"/>
              </w:rPr>
            </w:pPr>
          </w:p>
        </w:tc>
        <w:tc>
          <w:tcPr>
            <w:tcW w:w="1560" w:type="dxa"/>
          </w:tcPr>
          <w:p w14:paraId="7477F3F6">
            <w:pPr>
              <w:spacing w:line="360" w:lineRule="auto"/>
              <w:ind w:firstLine="420" w:firstLineChars="200"/>
              <w:rPr>
                <w:szCs w:val="21"/>
                <w:highlight w:val="none"/>
              </w:rPr>
            </w:pPr>
          </w:p>
        </w:tc>
        <w:tc>
          <w:tcPr>
            <w:tcW w:w="1984" w:type="dxa"/>
          </w:tcPr>
          <w:p w14:paraId="38D70E2B">
            <w:pPr>
              <w:spacing w:line="360" w:lineRule="auto"/>
              <w:ind w:firstLine="420" w:firstLineChars="200"/>
              <w:rPr>
                <w:szCs w:val="21"/>
                <w:highlight w:val="none"/>
              </w:rPr>
            </w:pPr>
          </w:p>
        </w:tc>
        <w:tc>
          <w:tcPr>
            <w:tcW w:w="1276" w:type="dxa"/>
          </w:tcPr>
          <w:p w14:paraId="2D474D61">
            <w:pPr>
              <w:spacing w:line="360" w:lineRule="auto"/>
              <w:ind w:firstLine="420" w:firstLineChars="200"/>
              <w:rPr>
                <w:szCs w:val="21"/>
                <w:highlight w:val="none"/>
              </w:rPr>
            </w:pPr>
          </w:p>
        </w:tc>
      </w:tr>
    </w:tbl>
    <w:p w14:paraId="292755D4">
      <w:pPr>
        <w:rPr>
          <w:szCs w:val="21"/>
          <w:highlight w:val="none"/>
        </w:rPr>
      </w:pPr>
    </w:p>
    <w:p w14:paraId="65145C90">
      <w:pPr>
        <w:rPr>
          <w:szCs w:val="21"/>
          <w:highlight w:val="none"/>
        </w:rPr>
      </w:pPr>
    </w:p>
    <w:tbl>
      <w:tblPr>
        <w:tblStyle w:val="45"/>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418"/>
        <w:gridCol w:w="1134"/>
        <w:gridCol w:w="2268"/>
      </w:tblGrid>
      <w:tr w14:paraId="4CF00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592FE324">
            <w:pPr>
              <w:spacing w:line="360" w:lineRule="auto"/>
              <w:ind w:firstLine="420" w:firstLineChars="200"/>
              <w:rPr>
                <w:szCs w:val="21"/>
                <w:highlight w:val="none"/>
              </w:rPr>
            </w:pPr>
            <w:r>
              <w:rPr>
                <w:rFonts w:hint="eastAsia"/>
                <w:szCs w:val="21"/>
                <w:highlight w:val="none"/>
              </w:rPr>
              <w:t>型 号 规 格</w:t>
            </w:r>
          </w:p>
        </w:tc>
        <w:tc>
          <w:tcPr>
            <w:tcW w:w="1418" w:type="dxa"/>
          </w:tcPr>
          <w:p w14:paraId="1D29CC53">
            <w:pPr>
              <w:spacing w:line="360" w:lineRule="auto"/>
              <w:rPr>
                <w:szCs w:val="21"/>
                <w:highlight w:val="none"/>
              </w:rPr>
            </w:pPr>
            <w:r>
              <w:rPr>
                <w:rFonts w:hint="eastAsia"/>
                <w:szCs w:val="21"/>
                <w:highlight w:val="none"/>
              </w:rPr>
              <w:t>数  量</w:t>
            </w:r>
          </w:p>
        </w:tc>
        <w:tc>
          <w:tcPr>
            <w:tcW w:w="1134" w:type="dxa"/>
          </w:tcPr>
          <w:p w14:paraId="6790435F">
            <w:pPr>
              <w:spacing w:line="360" w:lineRule="auto"/>
              <w:rPr>
                <w:szCs w:val="21"/>
                <w:highlight w:val="none"/>
              </w:rPr>
            </w:pPr>
            <w:r>
              <w:rPr>
                <w:rFonts w:hint="eastAsia"/>
                <w:szCs w:val="21"/>
                <w:highlight w:val="none"/>
              </w:rPr>
              <w:t>单  价</w:t>
            </w:r>
          </w:p>
        </w:tc>
        <w:tc>
          <w:tcPr>
            <w:tcW w:w="2268" w:type="dxa"/>
          </w:tcPr>
          <w:p w14:paraId="24758EB2">
            <w:pPr>
              <w:spacing w:line="360" w:lineRule="auto"/>
              <w:ind w:firstLine="420" w:firstLineChars="200"/>
              <w:rPr>
                <w:szCs w:val="21"/>
                <w:highlight w:val="none"/>
              </w:rPr>
            </w:pPr>
            <w:r>
              <w:rPr>
                <w:rFonts w:hint="eastAsia"/>
                <w:szCs w:val="21"/>
                <w:highlight w:val="none"/>
              </w:rPr>
              <w:t>总   价</w:t>
            </w:r>
          </w:p>
        </w:tc>
      </w:tr>
      <w:tr w14:paraId="1EF7D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304EEBE2">
            <w:pPr>
              <w:spacing w:line="360" w:lineRule="auto"/>
              <w:ind w:firstLine="420" w:firstLineChars="200"/>
              <w:rPr>
                <w:szCs w:val="21"/>
                <w:highlight w:val="none"/>
              </w:rPr>
            </w:pPr>
          </w:p>
        </w:tc>
        <w:tc>
          <w:tcPr>
            <w:tcW w:w="1418" w:type="dxa"/>
          </w:tcPr>
          <w:p w14:paraId="5EBC1896">
            <w:pPr>
              <w:spacing w:line="360" w:lineRule="auto"/>
              <w:ind w:firstLine="420" w:firstLineChars="200"/>
              <w:rPr>
                <w:szCs w:val="21"/>
                <w:highlight w:val="none"/>
              </w:rPr>
            </w:pPr>
          </w:p>
        </w:tc>
        <w:tc>
          <w:tcPr>
            <w:tcW w:w="1134" w:type="dxa"/>
          </w:tcPr>
          <w:p w14:paraId="71082A60">
            <w:pPr>
              <w:spacing w:line="360" w:lineRule="auto"/>
              <w:ind w:firstLine="420" w:firstLineChars="200"/>
              <w:rPr>
                <w:szCs w:val="21"/>
                <w:highlight w:val="none"/>
              </w:rPr>
            </w:pPr>
          </w:p>
        </w:tc>
        <w:tc>
          <w:tcPr>
            <w:tcW w:w="2268" w:type="dxa"/>
          </w:tcPr>
          <w:p w14:paraId="614E96B0">
            <w:pPr>
              <w:spacing w:line="360" w:lineRule="auto"/>
              <w:ind w:firstLine="420" w:firstLineChars="200"/>
              <w:rPr>
                <w:szCs w:val="21"/>
                <w:highlight w:val="none"/>
              </w:rPr>
            </w:pPr>
          </w:p>
        </w:tc>
      </w:tr>
    </w:tbl>
    <w:p w14:paraId="25936271">
      <w:pPr>
        <w:rPr>
          <w:szCs w:val="21"/>
          <w:highlight w:val="none"/>
        </w:rPr>
      </w:pPr>
      <w:r>
        <w:rPr>
          <w:rFonts w:hint="eastAsia"/>
          <w:szCs w:val="21"/>
          <w:highlight w:val="none"/>
        </w:rPr>
        <w:tab/>
      </w:r>
      <w:r>
        <w:rPr>
          <w:rFonts w:hint="eastAsia"/>
          <w:szCs w:val="21"/>
          <w:highlight w:val="none"/>
        </w:rPr>
        <w:tab/>
      </w:r>
      <w:r>
        <w:rPr>
          <w:rFonts w:hint="eastAsia"/>
          <w:szCs w:val="21"/>
          <w:highlight w:val="none"/>
        </w:rPr>
        <w:tab/>
      </w:r>
    </w:p>
    <w:p w14:paraId="223457F4">
      <w:pPr>
        <w:spacing w:line="360" w:lineRule="auto"/>
        <w:ind w:firstLine="422" w:firstLineChars="200"/>
        <w:rPr>
          <w:b/>
          <w:bCs/>
          <w:highlight w:val="none"/>
        </w:rPr>
      </w:pPr>
      <w:r>
        <w:rPr>
          <w:rFonts w:hint="eastAsia"/>
          <w:b/>
          <w:bCs/>
          <w:highlight w:val="none"/>
        </w:rPr>
        <w:t>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p>
    <w:p w14:paraId="4D1EE962">
      <w:pPr>
        <w:spacing w:line="360" w:lineRule="auto"/>
        <w:ind w:firstLine="422" w:firstLineChars="200"/>
        <w:rPr>
          <w:b/>
          <w:bCs/>
          <w:highlight w:val="none"/>
        </w:rPr>
      </w:pPr>
      <w:r>
        <w:rPr>
          <w:rFonts w:hint="eastAsia"/>
          <w:b/>
          <w:bCs/>
          <w:highlight w:val="none"/>
        </w:rPr>
        <w:t>二、合同金额</w:t>
      </w:r>
    </w:p>
    <w:p w14:paraId="35EC21DB">
      <w:pPr>
        <w:spacing w:line="360" w:lineRule="auto"/>
        <w:ind w:firstLine="420" w:firstLineChars="200"/>
        <w:rPr>
          <w:highlight w:val="none"/>
        </w:rPr>
      </w:pPr>
      <w:r>
        <w:rPr>
          <w:rFonts w:hint="eastAsia"/>
          <w:highlight w:val="none"/>
        </w:rPr>
        <w:t>本合同总金额为（大写）：____________元整（￥_______元）人民币。</w:t>
      </w:r>
    </w:p>
    <w:p w14:paraId="0D15E279">
      <w:pPr>
        <w:spacing w:line="360" w:lineRule="auto"/>
        <w:ind w:firstLine="420" w:firstLineChars="200"/>
        <w:rPr>
          <w:highlight w:val="none"/>
        </w:rPr>
      </w:pPr>
      <w:r>
        <w:rPr>
          <w:rFonts w:hint="eastAsia"/>
          <w:highlight w:val="none"/>
        </w:rPr>
        <w:t>乙方承担本项目实施期间产生的全部费用，包括但不限于设备、配件、辅材、运输、安装、调试、测试、产品对接、系统接口适配、数据对接、跨平台联调、验收、技术支持、现场服务等，甲方在上述合同价款之外不再向乙方支付其他任何费用。项目实施全过程须接受甲方监督。</w:t>
      </w:r>
    </w:p>
    <w:p w14:paraId="07A7F2F8">
      <w:pPr>
        <w:spacing w:line="360" w:lineRule="auto"/>
        <w:ind w:firstLine="420" w:firstLineChars="200"/>
        <w:rPr>
          <w:b/>
          <w:bCs/>
          <w:highlight w:val="none"/>
        </w:rPr>
      </w:pPr>
      <w:r>
        <w:rPr>
          <w:rFonts w:hint="eastAsia"/>
          <w:highlight w:val="none"/>
        </w:rPr>
        <w:t>乙方应先行向甲方开具与拟交付货物的全额合规税务增值税【】（专用/普通）发票，由甲方审核确认无误后支付合同价款，否则甲方有权拒绝或迟延支付应付款项，且不影响乙方履行本合同项下的义务。</w:t>
      </w:r>
    </w:p>
    <w:p w14:paraId="5120C9BE">
      <w:pPr>
        <w:spacing w:line="360" w:lineRule="auto"/>
        <w:ind w:firstLine="422" w:firstLineChars="200"/>
        <w:rPr>
          <w:b/>
          <w:bCs/>
          <w:highlight w:val="none"/>
        </w:rPr>
      </w:pPr>
      <w:r>
        <w:rPr>
          <w:rFonts w:hint="eastAsia"/>
          <w:b/>
          <w:bCs/>
          <w:highlight w:val="none"/>
        </w:rPr>
        <w:t>三、技术资料及保密</w:t>
      </w:r>
    </w:p>
    <w:p w14:paraId="71E859F5">
      <w:pPr>
        <w:spacing w:line="360" w:lineRule="auto"/>
        <w:ind w:firstLine="420" w:firstLineChars="200"/>
        <w:rPr>
          <w:highlight w:val="none"/>
        </w:rPr>
      </w:pPr>
      <w:r>
        <w:rPr>
          <w:rFonts w:hint="eastAsia"/>
          <w:highlight w:val="none"/>
        </w:rPr>
        <w:t>3.1乙方应按采购文件规定的时间向甲方提供有关技术资料。</w:t>
      </w:r>
    </w:p>
    <w:p w14:paraId="79D00755">
      <w:pPr>
        <w:spacing w:line="360" w:lineRule="auto"/>
        <w:ind w:firstLine="420" w:firstLineChars="200"/>
        <w:rPr>
          <w:highlight w:val="none"/>
        </w:rPr>
      </w:pPr>
      <w:r>
        <w:rPr>
          <w:rFonts w:hint="eastAsia"/>
          <w:highlight w:val="none"/>
        </w:rPr>
        <w:t>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p>
    <w:p w14:paraId="3CB6477B">
      <w:pPr>
        <w:spacing w:line="360" w:lineRule="auto"/>
        <w:ind w:firstLine="422" w:firstLineChars="200"/>
        <w:rPr>
          <w:b/>
          <w:bCs/>
          <w:highlight w:val="none"/>
        </w:rPr>
      </w:pPr>
      <w:r>
        <w:rPr>
          <w:rFonts w:hint="eastAsia"/>
          <w:b/>
          <w:bCs/>
          <w:highlight w:val="none"/>
        </w:rPr>
        <w:t>四、产权</w:t>
      </w:r>
    </w:p>
    <w:p w14:paraId="37E12069">
      <w:pPr>
        <w:spacing w:line="360" w:lineRule="auto"/>
        <w:ind w:firstLine="420" w:firstLineChars="200"/>
        <w:rPr>
          <w:highlight w:val="none"/>
        </w:rPr>
      </w:pPr>
      <w:r>
        <w:rPr>
          <w:rFonts w:hint="eastAsia"/>
          <w:highlight w:val="none"/>
        </w:rPr>
        <w:t>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p>
    <w:p w14:paraId="52A5371B">
      <w:pPr>
        <w:spacing w:line="360" w:lineRule="auto"/>
        <w:ind w:firstLine="422" w:firstLineChars="200"/>
        <w:rPr>
          <w:rFonts w:hint="default" w:eastAsia="宋体"/>
          <w:b/>
          <w:bCs/>
          <w:highlight w:val="none"/>
          <w:lang w:val="en-US" w:eastAsia="zh-CN"/>
        </w:rPr>
      </w:pPr>
      <w:r>
        <w:rPr>
          <w:rFonts w:hint="eastAsia"/>
          <w:b/>
          <w:bCs/>
          <w:highlight w:val="none"/>
        </w:rPr>
        <w:t>五、交付及</w:t>
      </w:r>
      <w:r>
        <w:rPr>
          <w:rFonts w:hint="eastAsia"/>
          <w:b/>
          <w:bCs/>
          <w:highlight w:val="none"/>
          <w:lang w:val="en-US" w:eastAsia="zh-CN"/>
        </w:rPr>
        <w:t>质保期</w:t>
      </w:r>
    </w:p>
    <w:p w14:paraId="273FF448">
      <w:pPr>
        <w:spacing w:line="360" w:lineRule="auto"/>
        <w:ind w:firstLine="420" w:firstLineChars="200"/>
        <w:rPr>
          <w:highlight w:val="none"/>
        </w:rPr>
      </w:pPr>
      <w:r>
        <w:rPr>
          <w:rFonts w:hint="eastAsia"/>
          <w:highlight w:val="none"/>
        </w:rPr>
        <w:t>5.1交付期：</w:t>
      </w:r>
      <w:r>
        <w:rPr>
          <w:rFonts w:hint="eastAsia" w:ascii="宋体" w:hAnsi="宋体"/>
          <w:szCs w:val="21"/>
          <w:highlight w:val="none"/>
        </w:rPr>
        <w:t>合同签订后60日内完成全部硬件供货，系统部署与适配调试周期不超过60日，须与硬件同步交付。90日内完成全部设备安装调试、系统集成及初步验收。因甲方场地、网络或电力条件不具备导致无法按期交付的，供货期相应顺延</w:t>
      </w:r>
      <w:r>
        <w:rPr>
          <w:rFonts w:hint="eastAsia"/>
          <w:highlight w:val="none"/>
        </w:rPr>
        <w:t xml:space="preserve">。   </w:t>
      </w:r>
    </w:p>
    <w:p w14:paraId="5B8B3017">
      <w:pPr>
        <w:spacing w:line="360" w:lineRule="auto"/>
        <w:ind w:firstLine="420" w:firstLineChars="200"/>
        <w:rPr>
          <w:highlight w:val="none"/>
        </w:rPr>
      </w:pPr>
      <w:r>
        <w:rPr>
          <w:rFonts w:hint="eastAsia"/>
          <w:highlight w:val="none"/>
        </w:rPr>
        <w:t>5.2</w:t>
      </w:r>
      <w:r>
        <w:rPr>
          <w:rFonts w:hint="eastAsia" w:ascii="宋体" w:hAnsi="宋体"/>
          <w:szCs w:val="21"/>
          <w:highlight w:val="none"/>
        </w:rPr>
        <w:t>交货方式：乙方负责运输并承担运费及安装调试费用。交货地点：南京师范大学仙林校区，具体以</w:t>
      </w:r>
      <w:r>
        <w:rPr>
          <w:rFonts w:hint="eastAsia" w:ascii="宋体" w:hAnsi="宋体"/>
          <w:szCs w:val="21"/>
          <w:highlight w:val="none"/>
          <w:lang w:val="en-US" w:eastAsia="zh-CN"/>
        </w:rPr>
        <w:t>甲方</w:t>
      </w:r>
      <w:r>
        <w:rPr>
          <w:rFonts w:hint="eastAsia" w:ascii="宋体" w:hAnsi="宋体"/>
          <w:szCs w:val="21"/>
          <w:highlight w:val="none"/>
        </w:rPr>
        <w:t>指定地点为准。</w:t>
      </w:r>
    </w:p>
    <w:p w14:paraId="05C0DC91">
      <w:pPr>
        <w:spacing w:line="360" w:lineRule="auto"/>
        <w:ind w:firstLine="420" w:firstLineChars="200"/>
        <w:rPr>
          <w:highlight w:val="none"/>
        </w:rPr>
      </w:pPr>
      <w:r>
        <w:rPr>
          <w:rFonts w:hint="eastAsia"/>
          <w:highlight w:val="none"/>
        </w:rPr>
        <w:t>5.3免费质保期：</w:t>
      </w:r>
      <w:r>
        <w:rPr>
          <w:rFonts w:hint="eastAsia" w:ascii="宋体" w:hAnsi="宋体"/>
          <w:szCs w:val="21"/>
          <w:highlight w:val="none"/>
        </w:rPr>
        <w:t>所有产品均为原厂质保3年（自设备最终验收合格并交付使用之日起计算）。质保期内软件免费升级，硬件免费维修更换。</w:t>
      </w:r>
    </w:p>
    <w:p w14:paraId="1F39EAE7">
      <w:pPr>
        <w:spacing w:line="360" w:lineRule="auto"/>
        <w:ind w:firstLine="422" w:firstLineChars="200"/>
        <w:rPr>
          <w:b/>
          <w:bCs/>
          <w:highlight w:val="none"/>
        </w:rPr>
      </w:pPr>
      <w:r>
        <w:rPr>
          <w:rFonts w:hint="eastAsia"/>
          <w:b/>
          <w:bCs/>
          <w:highlight w:val="none"/>
        </w:rPr>
        <w:t>六、合同款支付及履约保证金</w:t>
      </w:r>
    </w:p>
    <w:p w14:paraId="594A0672">
      <w:pPr>
        <w:spacing w:line="360" w:lineRule="auto"/>
        <w:ind w:firstLine="420" w:firstLineChars="200"/>
        <w:rPr>
          <w:rFonts w:ascii="宋体" w:hAnsi="宋体"/>
          <w:szCs w:val="21"/>
          <w:highlight w:val="none"/>
        </w:rPr>
      </w:pPr>
      <w:r>
        <w:rPr>
          <w:rFonts w:hint="eastAsia" w:ascii="宋体" w:hAnsi="宋体"/>
          <w:szCs w:val="21"/>
          <w:highlight w:val="none"/>
        </w:rPr>
        <w:t>付款方式：合同签订后15日内预付合同金额的</w:t>
      </w:r>
      <w:r>
        <w:rPr>
          <w:rFonts w:hint="eastAsia" w:ascii="宋体" w:hAnsi="宋体"/>
          <w:szCs w:val="21"/>
          <w:highlight w:val="none"/>
          <w:lang w:val="en-US" w:eastAsia="zh-CN"/>
        </w:rPr>
        <w:t>5</w:t>
      </w:r>
      <w:r>
        <w:rPr>
          <w:rFonts w:hint="eastAsia" w:ascii="宋体" w:hAnsi="宋体"/>
          <w:szCs w:val="21"/>
          <w:highlight w:val="none"/>
        </w:rPr>
        <w:t>0%；货物全部到货经甲方签收并初验合格后15日内支付至合同金额的80%；最终验收合格后15日内付清余款。</w:t>
      </w:r>
    </w:p>
    <w:p w14:paraId="1CC4B589">
      <w:pPr>
        <w:spacing w:line="500" w:lineRule="exact"/>
        <w:ind w:firstLine="420" w:firstLineChars="200"/>
        <w:jc w:val="left"/>
        <w:rPr>
          <w:rFonts w:ascii="宋体" w:hAnsi="宋体"/>
          <w:szCs w:val="21"/>
          <w:highlight w:val="none"/>
        </w:rPr>
      </w:pPr>
      <w:r>
        <w:rPr>
          <w:rFonts w:hint="eastAsia" w:ascii="宋体" w:hAnsi="宋体"/>
          <w:szCs w:val="21"/>
          <w:highlight w:val="none"/>
        </w:rPr>
        <w:t>履约保证金：中标后，乙方以转账方式交纳中标金额10%的履约保证金，履约保证金在设备投入使用一年内，且经用户单位确认质量、服务无问题的情况下退还（不计息）；</w:t>
      </w:r>
    </w:p>
    <w:p w14:paraId="0B42E5B4">
      <w:pPr>
        <w:spacing w:line="500" w:lineRule="exact"/>
        <w:ind w:firstLine="422" w:firstLineChars="200"/>
        <w:jc w:val="left"/>
        <w:rPr>
          <w:rFonts w:ascii="宋体" w:hAnsi="宋体"/>
          <w:b/>
          <w:bCs/>
          <w:szCs w:val="21"/>
          <w:highlight w:val="none"/>
        </w:rPr>
      </w:pPr>
      <w:r>
        <w:rPr>
          <w:rFonts w:hint="eastAsia" w:ascii="宋体" w:hAnsi="宋体"/>
          <w:b/>
          <w:bCs/>
          <w:szCs w:val="21"/>
          <w:highlight w:val="none"/>
        </w:rPr>
        <w:t>履约保证金汇款账户信息：</w:t>
      </w:r>
    </w:p>
    <w:p w14:paraId="3BC066AB">
      <w:pPr>
        <w:spacing w:line="500" w:lineRule="exact"/>
        <w:ind w:firstLine="420" w:firstLineChars="200"/>
        <w:jc w:val="left"/>
        <w:rPr>
          <w:rFonts w:ascii="宋体" w:hAnsi="宋体"/>
          <w:szCs w:val="21"/>
          <w:highlight w:val="none"/>
        </w:rPr>
      </w:pPr>
      <w:r>
        <w:rPr>
          <w:rFonts w:hint="eastAsia" w:ascii="宋体" w:hAnsi="宋体"/>
          <w:szCs w:val="21"/>
          <w:highlight w:val="none"/>
        </w:rPr>
        <w:t>名称：南京师范大学</w:t>
      </w:r>
    </w:p>
    <w:p w14:paraId="0E30B0E7">
      <w:pPr>
        <w:spacing w:line="500" w:lineRule="exact"/>
        <w:ind w:firstLine="420" w:firstLineChars="200"/>
        <w:jc w:val="left"/>
        <w:rPr>
          <w:rFonts w:ascii="宋体" w:hAnsi="宋体"/>
          <w:szCs w:val="21"/>
          <w:highlight w:val="none"/>
        </w:rPr>
      </w:pPr>
      <w:r>
        <w:rPr>
          <w:rFonts w:hint="eastAsia" w:ascii="宋体" w:hAnsi="宋体"/>
          <w:szCs w:val="21"/>
          <w:highlight w:val="none"/>
        </w:rPr>
        <w:t>纳税人识别号：123200004660067976</w:t>
      </w:r>
    </w:p>
    <w:p w14:paraId="4EF0F763">
      <w:pPr>
        <w:spacing w:line="500" w:lineRule="exact"/>
        <w:ind w:firstLine="420" w:firstLineChars="200"/>
        <w:jc w:val="left"/>
        <w:rPr>
          <w:rFonts w:ascii="宋体" w:hAnsi="宋体"/>
          <w:szCs w:val="21"/>
          <w:highlight w:val="none"/>
        </w:rPr>
      </w:pPr>
      <w:r>
        <w:rPr>
          <w:rFonts w:hint="eastAsia" w:ascii="宋体" w:hAnsi="宋体"/>
          <w:szCs w:val="21"/>
          <w:highlight w:val="none"/>
        </w:rPr>
        <w:t>地址：江苏省南京市文苑路1号</w:t>
      </w:r>
    </w:p>
    <w:p w14:paraId="26E63F74">
      <w:pPr>
        <w:spacing w:line="500" w:lineRule="exact"/>
        <w:ind w:firstLine="420" w:firstLineChars="200"/>
        <w:jc w:val="left"/>
        <w:rPr>
          <w:rFonts w:ascii="宋体" w:hAnsi="宋体"/>
          <w:szCs w:val="21"/>
          <w:highlight w:val="none"/>
        </w:rPr>
      </w:pPr>
      <w:r>
        <w:rPr>
          <w:rFonts w:hint="eastAsia" w:ascii="宋体" w:hAnsi="宋体"/>
          <w:szCs w:val="21"/>
          <w:highlight w:val="none"/>
        </w:rPr>
        <w:t>电话：025-83598180</w:t>
      </w:r>
    </w:p>
    <w:p w14:paraId="72323FC3">
      <w:pPr>
        <w:spacing w:line="500" w:lineRule="exact"/>
        <w:ind w:firstLine="420" w:firstLineChars="200"/>
        <w:jc w:val="left"/>
        <w:rPr>
          <w:rFonts w:ascii="宋体" w:hAnsi="宋体"/>
          <w:szCs w:val="21"/>
          <w:highlight w:val="none"/>
        </w:rPr>
      </w:pPr>
      <w:r>
        <w:rPr>
          <w:rFonts w:hint="eastAsia" w:ascii="宋体" w:hAnsi="宋体"/>
          <w:szCs w:val="21"/>
          <w:highlight w:val="none"/>
        </w:rPr>
        <w:t>开户行：交通银行南京广州路支行</w:t>
      </w:r>
    </w:p>
    <w:p w14:paraId="4CDA8C38">
      <w:pPr>
        <w:spacing w:line="500" w:lineRule="exact"/>
        <w:ind w:firstLine="420" w:firstLineChars="200"/>
        <w:jc w:val="left"/>
        <w:rPr>
          <w:rFonts w:ascii="宋体" w:hAnsi="宋体"/>
          <w:szCs w:val="21"/>
          <w:highlight w:val="none"/>
        </w:rPr>
      </w:pPr>
      <w:r>
        <w:rPr>
          <w:rFonts w:hint="eastAsia" w:ascii="宋体" w:hAnsi="宋体"/>
          <w:szCs w:val="21"/>
          <w:highlight w:val="none"/>
        </w:rPr>
        <w:t>账号：320006607010149040493</w:t>
      </w:r>
    </w:p>
    <w:p w14:paraId="38376283">
      <w:pPr>
        <w:spacing w:line="500" w:lineRule="exact"/>
        <w:ind w:firstLine="420" w:firstLineChars="200"/>
        <w:jc w:val="left"/>
        <w:rPr>
          <w:szCs w:val="21"/>
          <w:highlight w:val="none"/>
        </w:rPr>
      </w:pPr>
      <w:r>
        <w:rPr>
          <w:rFonts w:hint="eastAsia" w:ascii="宋体" w:hAnsi="宋体"/>
          <w:szCs w:val="21"/>
          <w:highlight w:val="none"/>
        </w:rPr>
        <w:t>联行号：301301000476</w:t>
      </w:r>
    </w:p>
    <w:p w14:paraId="4E3C4736">
      <w:pPr>
        <w:spacing w:line="360" w:lineRule="auto"/>
        <w:rPr>
          <w:highlight w:val="none"/>
        </w:rPr>
      </w:pPr>
    </w:p>
    <w:p w14:paraId="038BCEE1">
      <w:pPr>
        <w:spacing w:line="360" w:lineRule="auto"/>
        <w:ind w:firstLine="422" w:firstLineChars="200"/>
        <w:rPr>
          <w:b/>
          <w:bCs/>
          <w:highlight w:val="none"/>
        </w:rPr>
      </w:pPr>
      <w:r>
        <w:rPr>
          <w:rFonts w:hint="eastAsia"/>
          <w:b/>
          <w:bCs/>
          <w:highlight w:val="none"/>
        </w:rPr>
        <w:t>七、质量保证及售后服务承诺</w:t>
      </w:r>
    </w:p>
    <w:p w14:paraId="258C4BDB">
      <w:pPr>
        <w:spacing w:line="360" w:lineRule="auto"/>
        <w:ind w:firstLine="420" w:firstLineChars="200"/>
        <w:rPr>
          <w:highlight w:val="none"/>
        </w:rPr>
      </w:pPr>
      <w:r>
        <w:rPr>
          <w:rFonts w:hint="eastAsia"/>
          <w:highlight w:val="none"/>
        </w:rPr>
        <w:t>7.1乙方应按采购文件规定和响应文件承诺的性能、技术要求、质量标准等向甲方提供产品。</w:t>
      </w:r>
    </w:p>
    <w:p w14:paraId="1246DA4B">
      <w:pPr>
        <w:spacing w:line="360" w:lineRule="auto"/>
        <w:ind w:firstLine="420" w:firstLineChars="200"/>
        <w:rPr>
          <w:highlight w:val="none"/>
        </w:rPr>
      </w:pPr>
      <w:r>
        <w:rPr>
          <w:rFonts w:hint="eastAsia"/>
          <w:highlight w:val="none"/>
        </w:rPr>
        <w:t>7.2乙方提供的产品在免费质保期内出现质量问题，根据实际情况，经双方协商，可按以下第</w:t>
      </w:r>
      <w:r>
        <w:rPr>
          <w:rFonts w:hint="eastAsia"/>
          <w:highlight w:val="none"/>
          <w:u w:val="single"/>
        </w:rPr>
        <w:t xml:space="preserve">    </w:t>
      </w:r>
      <w:r>
        <w:rPr>
          <w:rFonts w:hint="eastAsia"/>
          <w:highlight w:val="none"/>
        </w:rPr>
        <w:t>种办法处理（处理办法可按货物特性另行约定）：</w:t>
      </w:r>
    </w:p>
    <w:p w14:paraId="43311888">
      <w:pPr>
        <w:spacing w:line="360" w:lineRule="auto"/>
        <w:ind w:firstLine="420" w:firstLineChars="200"/>
        <w:rPr>
          <w:highlight w:val="none"/>
        </w:rPr>
      </w:pPr>
      <w:r>
        <w:rPr>
          <w:rFonts w:hint="eastAsia"/>
          <w:highlight w:val="none"/>
        </w:rPr>
        <w:t>（1）更换：由乙方承担所发生的全部费用。</w:t>
      </w:r>
    </w:p>
    <w:p w14:paraId="4D86F677">
      <w:pPr>
        <w:spacing w:line="360" w:lineRule="auto"/>
        <w:ind w:firstLine="420" w:firstLineChars="200"/>
        <w:rPr>
          <w:highlight w:val="none"/>
        </w:rPr>
      </w:pPr>
      <w:r>
        <w:rPr>
          <w:rFonts w:hint="eastAsia"/>
          <w:highlight w:val="none"/>
        </w:rPr>
        <w:t>（2）合同终止：合同终止，并退还甲方支付的合同款，同时应承担由此产生的所有费用，甲方不承担发生任何费用。</w:t>
      </w:r>
    </w:p>
    <w:p w14:paraId="4DAA23FF">
      <w:pPr>
        <w:spacing w:line="360" w:lineRule="auto"/>
        <w:ind w:firstLine="420" w:firstLineChars="200"/>
        <w:rPr>
          <w:highlight w:val="none"/>
        </w:rPr>
      </w:pPr>
      <w:r>
        <w:rPr>
          <w:rFonts w:hint="eastAsia"/>
          <w:highlight w:val="none"/>
        </w:rPr>
        <w:t xml:space="preserve">（3）其他处理办法：                                           </w:t>
      </w:r>
    </w:p>
    <w:p w14:paraId="1333D5A4">
      <w:pPr>
        <w:spacing w:line="360" w:lineRule="auto"/>
        <w:ind w:firstLine="420" w:firstLineChars="200"/>
        <w:rPr>
          <w:highlight w:val="none"/>
        </w:rPr>
      </w:pPr>
      <w:r>
        <w:rPr>
          <w:rFonts w:hint="eastAsia"/>
          <w:highlight w:val="none"/>
        </w:rPr>
        <w:t>7.3</w:t>
      </w:r>
      <w:r>
        <w:rPr>
          <w:rFonts w:hint="eastAsia" w:ascii="宋体" w:hAnsi="宋体"/>
          <w:szCs w:val="21"/>
          <w:highlight w:val="none"/>
        </w:rPr>
        <w:t>服务响应时间要求：提供7×24小时电话/远程技术支持；紧急故障2小时内远程响应；一般故障24小时内解决。</w:t>
      </w:r>
    </w:p>
    <w:p w14:paraId="4697AC8D">
      <w:pPr>
        <w:spacing w:line="360" w:lineRule="auto"/>
        <w:ind w:firstLine="420" w:firstLineChars="200"/>
        <w:rPr>
          <w:highlight w:val="none"/>
        </w:rPr>
      </w:pPr>
      <w:r>
        <w:rPr>
          <w:rFonts w:hint="eastAsia"/>
          <w:highlight w:val="none"/>
        </w:rPr>
        <w:t>7.4在免费质保期内，乙方应对产品出现的质量及安全问题负责解决并承担一切费用。</w:t>
      </w:r>
    </w:p>
    <w:p w14:paraId="1298615B">
      <w:pPr>
        <w:spacing w:line="360" w:lineRule="auto"/>
        <w:ind w:firstLine="420" w:firstLineChars="200"/>
        <w:rPr>
          <w:highlight w:val="none"/>
        </w:rPr>
      </w:pPr>
      <w:r>
        <w:rPr>
          <w:rFonts w:hint="eastAsia"/>
          <w:highlight w:val="none"/>
        </w:rPr>
        <w:t>7.5供应商响应的承诺：对人员培训不低于10人，不低于2批次；配件及耗材要求：原装正品并提供合格证书；</w:t>
      </w:r>
    </w:p>
    <w:p w14:paraId="0D29BD13">
      <w:pPr>
        <w:spacing w:line="360" w:lineRule="auto"/>
        <w:ind w:firstLine="420" w:firstLineChars="200"/>
        <w:rPr>
          <w:highlight w:val="none"/>
        </w:rPr>
      </w:pPr>
      <w:r>
        <w:rPr>
          <w:rFonts w:hint="eastAsia"/>
          <w:highlight w:val="none"/>
        </w:rPr>
        <w:t>乙方提供3次/年现场巡访或不定期电话巡访服务，与甲方一起共同对系统进行性能调优、系统诊断、系统日常维护管理方面的交流，为客户进行定期的预防性维护服务；</w:t>
      </w:r>
    </w:p>
    <w:p w14:paraId="3AB466DE">
      <w:pPr>
        <w:spacing w:line="520" w:lineRule="exact"/>
        <w:ind w:firstLine="480"/>
        <w:rPr>
          <w:highlight w:val="none"/>
        </w:rPr>
      </w:pPr>
      <w:r>
        <w:rPr>
          <w:rFonts w:hint="eastAsia"/>
          <w:highlight w:val="none"/>
          <w:lang w:val="en-US" w:eastAsia="zh-CN"/>
        </w:rPr>
        <w:t>甲方</w:t>
      </w:r>
      <w:r>
        <w:rPr>
          <w:rFonts w:hint="eastAsia"/>
          <w:highlight w:val="none"/>
        </w:rPr>
        <w:t>在日常系统运行过程中遇到任何技术方面的问题时，可以直接拨打乙方电话支持响应中心，乙方应</w:t>
      </w:r>
      <w:r>
        <w:rPr>
          <w:rFonts w:hint="eastAsia"/>
          <w:szCs w:val="21"/>
          <w:highlight w:val="none"/>
        </w:rPr>
        <w:t>提供7×24小时电话技术支持；紧急故障2小时内远程响应；一般故障24小时内解决</w:t>
      </w:r>
      <w:r>
        <w:rPr>
          <w:rFonts w:hint="eastAsia"/>
          <w:highlight w:val="none"/>
        </w:rPr>
        <w:t>。如遇紧急情况，还可直接拨打值班工程师的移动电话，寻求最快响应，及时提供完整、准确的解答。</w:t>
      </w:r>
    </w:p>
    <w:p w14:paraId="2AB9F67D">
      <w:pPr>
        <w:spacing w:line="520" w:lineRule="exact"/>
        <w:ind w:firstLine="480"/>
        <w:rPr>
          <w:highlight w:val="none"/>
        </w:rPr>
      </w:pPr>
      <w:r>
        <w:rPr>
          <w:rFonts w:hint="eastAsia"/>
          <w:highlight w:val="none"/>
        </w:rPr>
        <w:t>如果</w:t>
      </w:r>
      <w:r>
        <w:rPr>
          <w:rFonts w:hint="eastAsia"/>
          <w:highlight w:val="none"/>
          <w:lang w:val="en-US" w:eastAsia="zh-CN"/>
        </w:rPr>
        <w:t>采购人</w:t>
      </w:r>
      <w:r>
        <w:rPr>
          <w:rFonts w:hint="eastAsia"/>
          <w:highlight w:val="none"/>
        </w:rPr>
        <w:t>的设备出现故障，或通过电话等技术支持服务方式仍无法解决用户问题时，客户服务流程进入现场支持服务阶段。</w:t>
      </w:r>
    </w:p>
    <w:p w14:paraId="56069A55">
      <w:pPr>
        <w:spacing w:line="360" w:lineRule="auto"/>
        <w:ind w:firstLine="420" w:firstLineChars="200"/>
        <w:rPr>
          <w:highlight w:val="none"/>
        </w:rPr>
      </w:pPr>
      <w:r>
        <w:rPr>
          <w:rFonts w:hint="eastAsia"/>
          <w:highlight w:val="none"/>
        </w:rPr>
        <w:t>乙方将由技术支持服务人员，以最快的速度到达用户现场，分析原因、解决故障，保证用户整个系统顺利运行。</w:t>
      </w:r>
    </w:p>
    <w:p w14:paraId="43C36B00">
      <w:pPr>
        <w:spacing w:line="360" w:lineRule="auto"/>
        <w:ind w:firstLine="420" w:firstLineChars="200"/>
        <w:rPr>
          <w:b/>
          <w:bCs/>
          <w:highlight w:val="none"/>
        </w:rPr>
      </w:pPr>
      <w:r>
        <w:rPr>
          <w:rFonts w:hint="eastAsia"/>
          <w:highlight w:val="none"/>
        </w:rPr>
        <w:t>（7.1—7.4中与本条承诺不一致的，以本条为准）</w:t>
      </w:r>
      <w:r>
        <w:rPr>
          <w:rFonts w:hint="eastAsia"/>
          <w:b/>
          <w:bCs/>
          <w:highlight w:val="none"/>
        </w:rPr>
        <w:t xml:space="preserve">                                     </w:t>
      </w:r>
    </w:p>
    <w:p w14:paraId="3AECA74E">
      <w:pPr>
        <w:spacing w:line="360" w:lineRule="auto"/>
        <w:ind w:firstLine="422" w:firstLineChars="200"/>
        <w:rPr>
          <w:b/>
          <w:bCs/>
          <w:highlight w:val="none"/>
        </w:rPr>
      </w:pPr>
      <w:r>
        <w:rPr>
          <w:rFonts w:hint="eastAsia"/>
          <w:b/>
          <w:bCs/>
          <w:highlight w:val="none"/>
        </w:rPr>
        <w:t>八、合同内容的交付</w:t>
      </w:r>
    </w:p>
    <w:p w14:paraId="23DB400B">
      <w:pPr>
        <w:spacing w:line="360" w:lineRule="auto"/>
        <w:ind w:firstLine="420" w:firstLineChars="200"/>
        <w:rPr>
          <w:highlight w:val="none"/>
        </w:rPr>
      </w:pPr>
      <w:r>
        <w:rPr>
          <w:rFonts w:hint="eastAsia"/>
          <w:highlight w:val="none"/>
        </w:rPr>
        <w:t>8.1提交使用说明书、质量检验证明书等资料。</w:t>
      </w:r>
    </w:p>
    <w:p w14:paraId="2D349E45">
      <w:pPr>
        <w:spacing w:line="360" w:lineRule="auto"/>
        <w:ind w:firstLine="420" w:firstLineChars="200"/>
        <w:rPr>
          <w:highlight w:val="none"/>
        </w:rPr>
      </w:pPr>
      <w:r>
        <w:rPr>
          <w:rFonts w:hint="eastAsia"/>
          <w:highlight w:val="none"/>
        </w:rPr>
        <w:t>8.2乙方在合同标的交付甲方48小时（工作日）前通知甲方准备接收。</w:t>
      </w:r>
    </w:p>
    <w:p w14:paraId="56A8805A">
      <w:pPr>
        <w:spacing w:line="360" w:lineRule="auto"/>
        <w:ind w:firstLine="420" w:firstLineChars="200"/>
        <w:rPr>
          <w:highlight w:val="none"/>
        </w:rPr>
      </w:pPr>
      <w:r>
        <w:rPr>
          <w:rFonts w:hint="eastAsia"/>
          <w:highlight w:val="none"/>
        </w:rPr>
        <w:t xml:space="preserve">8.3合同标的验收合格视为交付，交付前发生的风险均由乙方负责。 </w:t>
      </w:r>
    </w:p>
    <w:p w14:paraId="1950DAE2">
      <w:pPr>
        <w:spacing w:line="360" w:lineRule="auto"/>
        <w:ind w:firstLine="422" w:firstLineChars="200"/>
        <w:rPr>
          <w:b/>
          <w:bCs/>
          <w:highlight w:val="none"/>
        </w:rPr>
      </w:pPr>
      <w:r>
        <w:rPr>
          <w:rFonts w:hint="eastAsia"/>
          <w:b/>
          <w:bCs/>
          <w:highlight w:val="none"/>
        </w:rPr>
        <w:t>九、验收</w:t>
      </w:r>
    </w:p>
    <w:p w14:paraId="4DE9CFF1">
      <w:pPr>
        <w:spacing w:line="360" w:lineRule="auto"/>
        <w:ind w:firstLine="420" w:firstLineChars="200"/>
        <w:rPr>
          <w:highlight w:val="none"/>
        </w:rPr>
      </w:pPr>
      <w:r>
        <w:rPr>
          <w:rFonts w:hint="eastAsia"/>
          <w:highlight w:val="none"/>
        </w:rPr>
        <w:t>9.1甲方对乙方提交的产品，依据采购文件上的项目需求、乙方响应文件及国家有关标准及</w:t>
      </w:r>
      <w:r>
        <w:rPr>
          <w:rFonts w:hint="eastAsia"/>
          <w:highlight w:val="none"/>
          <w:lang w:val="en-US" w:eastAsia="zh-CN"/>
        </w:rPr>
        <w:t>甲方</w:t>
      </w:r>
      <w:r>
        <w:rPr>
          <w:rFonts w:hint="eastAsia"/>
          <w:highlight w:val="none"/>
        </w:rPr>
        <w:t>有关文件规定进行验收。</w:t>
      </w:r>
    </w:p>
    <w:p w14:paraId="1DDB211A">
      <w:pPr>
        <w:spacing w:line="360" w:lineRule="auto"/>
        <w:ind w:firstLine="420" w:firstLineChars="200"/>
        <w:rPr>
          <w:highlight w:val="none"/>
        </w:rPr>
      </w:pPr>
      <w:r>
        <w:rPr>
          <w:rFonts w:hint="eastAsia"/>
          <w:highlight w:val="none"/>
        </w:rPr>
        <w:t>9.2乙方交付前应对产品作出全面检查和对验收文件进行整理，并列出清单，作为甲方验收依据。</w:t>
      </w:r>
    </w:p>
    <w:p w14:paraId="7A91A008">
      <w:pPr>
        <w:spacing w:line="360" w:lineRule="auto"/>
        <w:ind w:firstLine="420" w:firstLineChars="200"/>
        <w:rPr>
          <w:highlight w:val="none"/>
        </w:rPr>
      </w:pPr>
      <w:r>
        <w:rPr>
          <w:rFonts w:hint="eastAsia"/>
          <w:highlight w:val="none"/>
        </w:rPr>
        <w:t>9.3甲方对乙方提供的产品在使用前，乙方需负责培训甲方的使用操作人员，并协助甲方一起试用，直到符合技术规范后，甲方才实施验收。</w:t>
      </w:r>
    </w:p>
    <w:p w14:paraId="3FB55EF3">
      <w:pPr>
        <w:spacing w:line="360" w:lineRule="auto"/>
        <w:ind w:firstLine="420" w:firstLineChars="200"/>
        <w:rPr>
          <w:highlight w:val="none"/>
        </w:rPr>
      </w:pPr>
      <w:r>
        <w:rPr>
          <w:rFonts w:hint="eastAsia"/>
          <w:highlight w:val="none"/>
        </w:rPr>
        <w:t>9.4需对技术复杂的产品进行第三方检测时，如检测合格，费用由甲方承担，如检测不合格（部分不合格）时，乙方承担所有的检测、验收等相关费用。</w:t>
      </w:r>
    </w:p>
    <w:p w14:paraId="2C08567D">
      <w:pPr>
        <w:spacing w:line="360" w:lineRule="auto"/>
        <w:ind w:firstLine="420" w:firstLineChars="200"/>
        <w:rPr>
          <w:highlight w:val="none"/>
        </w:rPr>
      </w:pPr>
      <w:r>
        <w:rPr>
          <w:rFonts w:hint="eastAsia"/>
          <w:highlight w:val="none"/>
        </w:rPr>
        <w:t>9.5 验收涉及宣传甲方或甲方所属（含挂靠）各单位的图、音视频、文字等形式资料前，需提交甲方宣传部审核、初验，通过后方可实施项目验收。</w:t>
      </w:r>
    </w:p>
    <w:p w14:paraId="56EAB474">
      <w:pPr>
        <w:spacing w:line="360" w:lineRule="auto"/>
        <w:ind w:firstLine="420" w:firstLineChars="200"/>
        <w:rPr>
          <w:highlight w:val="none"/>
        </w:rPr>
      </w:pPr>
      <w:r>
        <w:rPr>
          <w:rFonts w:hint="eastAsia"/>
          <w:highlight w:val="none"/>
        </w:rPr>
        <w:t>9.6验收时乙方相关人员必须到场，验收完毕后出具验收结果报告。</w:t>
      </w:r>
    </w:p>
    <w:p w14:paraId="6B129A6B">
      <w:pPr>
        <w:spacing w:line="500" w:lineRule="exact"/>
        <w:ind w:firstLine="420" w:firstLineChars="200"/>
        <w:jc w:val="left"/>
        <w:rPr>
          <w:highlight w:val="none"/>
        </w:rPr>
      </w:pPr>
      <w:r>
        <w:rPr>
          <w:rFonts w:hint="eastAsia"/>
          <w:highlight w:val="none"/>
        </w:rPr>
        <w:t xml:space="preserve">9.7其他验收要求：  </w:t>
      </w:r>
    </w:p>
    <w:p w14:paraId="612239F3">
      <w:pPr>
        <w:spacing w:line="500" w:lineRule="exact"/>
        <w:ind w:firstLine="420" w:firstLineChars="200"/>
        <w:jc w:val="left"/>
        <w:rPr>
          <w:rFonts w:ascii="宋体" w:hAnsi="宋体"/>
          <w:szCs w:val="21"/>
          <w:highlight w:val="none"/>
        </w:rPr>
      </w:pPr>
      <w:r>
        <w:rPr>
          <w:rFonts w:hint="eastAsia" w:ascii="宋体" w:hAnsi="宋体"/>
          <w:szCs w:val="21"/>
          <w:highlight w:val="none"/>
        </w:rPr>
        <w:t>1.原厂原包装；</w:t>
      </w:r>
    </w:p>
    <w:p w14:paraId="005DA959">
      <w:pPr>
        <w:spacing w:line="500" w:lineRule="exact"/>
        <w:ind w:firstLine="420" w:firstLineChars="200"/>
        <w:jc w:val="left"/>
        <w:rPr>
          <w:rFonts w:ascii="宋体" w:hAnsi="宋体"/>
          <w:szCs w:val="21"/>
          <w:highlight w:val="none"/>
        </w:rPr>
      </w:pPr>
      <w:r>
        <w:rPr>
          <w:rFonts w:hint="eastAsia" w:ascii="宋体" w:hAnsi="宋体"/>
          <w:szCs w:val="21"/>
          <w:highlight w:val="none"/>
        </w:rPr>
        <w:t>2.包装完好；</w:t>
      </w:r>
    </w:p>
    <w:p w14:paraId="54E7682E">
      <w:pPr>
        <w:spacing w:line="500" w:lineRule="exact"/>
        <w:ind w:firstLine="420" w:firstLineChars="200"/>
        <w:jc w:val="left"/>
        <w:rPr>
          <w:rFonts w:ascii="宋体" w:hAnsi="宋体"/>
          <w:szCs w:val="21"/>
          <w:highlight w:val="none"/>
        </w:rPr>
      </w:pPr>
      <w:r>
        <w:rPr>
          <w:rFonts w:hint="eastAsia" w:ascii="宋体" w:hAnsi="宋体"/>
          <w:szCs w:val="21"/>
          <w:highlight w:val="none"/>
        </w:rPr>
        <w:t>3.设备清单与采购文件一致；</w:t>
      </w:r>
    </w:p>
    <w:p w14:paraId="4F377AEA">
      <w:pPr>
        <w:spacing w:line="500" w:lineRule="exact"/>
        <w:ind w:firstLine="420" w:firstLineChars="200"/>
        <w:jc w:val="left"/>
        <w:rPr>
          <w:rFonts w:ascii="宋体" w:hAnsi="宋体"/>
          <w:szCs w:val="21"/>
          <w:highlight w:val="none"/>
        </w:rPr>
      </w:pPr>
      <w:r>
        <w:rPr>
          <w:rFonts w:hint="eastAsia" w:ascii="宋体" w:hAnsi="宋体"/>
          <w:szCs w:val="21"/>
          <w:highlight w:val="none"/>
        </w:rPr>
        <w:t>4.设备外观无损；</w:t>
      </w:r>
    </w:p>
    <w:p w14:paraId="5ACC4F4A">
      <w:pPr>
        <w:spacing w:line="500" w:lineRule="exact"/>
        <w:ind w:firstLine="420" w:firstLineChars="200"/>
        <w:jc w:val="left"/>
        <w:rPr>
          <w:rFonts w:ascii="宋体" w:hAnsi="宋体"/>
          <w:szCs w:val="21"/>
          <w:highlight w:val="none"/>
        </w:rPr>
      </w:pPr>
      <w:r>
        <w:rPr>
          <w:rFonts w:hint="eastAsia" w:ascii="宋体" w:hAnsi="宋体"/>
          <w:szCs w:val="21"/>
          <w:highlight w:val="none"/>
        </w:rPr>
        <w:t>5.调试后正常运行；</w:t>
      </w:r>
    </w:p>
    <w:p w14:paraId="3DDD8A65">
      <w:pPr>
        <w:spacing w:line="500" w:lineRule="exact"/>
        <w:ind w:firstLine="420" w:firstLineChars="200"/>
        <w:jc w:val="left"/>
        <w:rPr>
          <w:rFonts w:ascii="宋体" w:hAnsi="宋体"/>
          <w:szCs w:val="21"/>
          <w:highlight w:val="none"/>
        </w:rPr>
      </w:pPr>
      <w:r>
        <w:rPr>
          <w:rFonts w:hint="eastAsia" w:ascii="宋体" w:hAnsi="宋体"/>
          <w:szCs w:val="21"/>
          <w:highlight w:val="none"/>
        </w:rPr>
        <w:t>6.技术参数按投标文件逐条对应；</w:t>
      </w:r>
    </w:p>
    <w:p w14:paraId="77EDBC6D">
      <w:pPr>
        <w:spacing w:line="500" w:lineRule="exact"/>
        <w:ind w:firstLine="420" w:firstLineChars="200"/>
        <w:jc w:val="left"/>
        <w:rPr>
          <w:rFonts w:ascii="宋体" w:hAnsi="宋体"/>
          <w:szCs w:val="21"/>
          <w:highlight w:val="none"/>
        </w:rPr>
      </w:pPr>
      <w:r>
        <w:rPr>
          <w:rFonts w:hint="eastAsia" w:ascii="宋体" w:hAnsi="宋体"/>
          <w:szCs w:val="21"/>
          <w:highlight w:val="none"/>
        </w:rPr>
        <w:t>7.电气线路应安装平整、牢固、横平竖直，过墙应有套管、导线连接必须牢固；</w:t>
      </w:r>
    </w:p>
    <w:p w14:paraId="0B809B8C">
      <w:pPr>
        <w:spacing w:line="500" w:lineRule="exact"/>
        <w:ind w:firstLine="420" w:firstLineChars="200"/>
        <w:jc w:val="left"/>
        <w:rPr>
          <w:rFonts w:ascii="宋体" w:hAnsi="宋体"/>
          <w:szCs w:val="21"/>
          <w:highlight w:val="none"/>
        </w:rPr>
      </w:pPr>
      <w:r>
        <w:rPr>
          <w:rFonts w:hint="eastAsia" w:ascii="宋体" w:hAnsi="宋体"/>
          <w:szCs w:val="21"/>
          <w:highlight w:val="none"/>
        </w:rPr>
        <w:t>8.各系统接线箱完整、盘内外清洁、箱盖，开关灵活、线路无绞接现象，各回路线编号齐全、完整、清晰、正确，接线整齐；</w:t>
      </w:r>
    </w:p>
    <w:p w14:paraId="30A45FE0">
      <w:pPr>
        <w:spacing w:line="500" w:lineRule="exact"/>
        <w:ind w:firstLine="420" w:firstLineChars="200"/>
        <w:jc w:val="left"/>
        <w:rPr>
          <w:rFonts w:ascii="宋体" w:hAnsi="宋体"/>
          <w:szCs w:val="21"/>
          <w:highlight w:val="none"/>
        </w:rPr>
      </w:pPr>
      <w:r>
        <w:rPr>
          <w:rFonts w:hint="eastAsia" w:ascii="宋体" w:hAnsi="宋体"/>
          <w:szCs w:val="21"/>
          <w:highlight w:val="none"/>
        </w:rPr>
        <w:t>9.各设备接口接触良好，位置准确，外观完好，功能完好，控制准确迅速；</w:t>
      </w:r>
    </w:p>
    <w:p w14:paraId="52AE9BD3">
      <w:pPr>
        <w:spacing w:line="500" w:lineRule="exact"/>
        <w:ind w:firstLine="420" w:firstLineChars="200"/>
        <w:jc w:val="left"/>
        <w:rPr>
          <w:rFonts w:ascii="宋体" w:hAnsi="宋体"/>
          <w:szCs w:val="21"/>
          <w:highlight w:val="none"/>
        </w:rPr>
      </w:pPr>
      <w:r>
        <w:rPr>
          <w:rFonts w:hint="eastAsia" w:ascii="宋体" w:hAnsi="宋体"/>
          <w:szCs w:val="21"/>
          <w:highlight w:val="none"/>
        </w:rPr>
        <w:t>10.各种设备功能完好，材料及配件进入现场应有清单、说明中的证明材料文件、质量合格证明文件、国家法定质检机构的检验报告（如有）等文件；</w:t>
      </w:r>
    </w:p>
    <w:p w14:paraId="1A149AB0">
      <w:pPr>
        <w:spacing w:line="500" w:lineRule="exact"/>
        <w:ind w:firstLine="420" w:firstLineChars="200"/>
        <w:jc w:val="left"/>
        <w:rPr>
          <w:rFonts w:ascii="宋体" w:hAnsi="宋体"/>
          <w:szCs w:val="21"/>
          <w:highlight w:val="none"/>
        </w:rPr>
      </w:pPr>
      <w:r>
        <w:rPr>
          <w:rFonts w:hint="eastAsia" w:ascii="宋体" w:hAnsi="宋体"/>
          <w:szCs w:val="21"/>
          <w:highlight w:val="none"/>
        </w:rPr>
        <w:t>11.各系统硬件设备与软件匹配良好、运行正常。软件系统按第</w:t>
      </w:r>
      <w:r>
        <w:rPr>
          <w:rFonts w:hint="eastAsia" w:ascii="宋体" w:hAnsi="宋体"/>
          <w:szCs w:val="21"/>
          <w:highlight w:val="none"/>
          <w:lang w:val="en-US" w:eastAsia="zh-CN"/>
        </w:rPr>
        <w:t>三</w:t>
      </w:r>
      <w:r>
        <w:rPr>
          <w:rFonts w:hint="eastAsia" w:ascii="宋体" w:hAnsi="宋体"/>
          <w:szCs w:val="21"/>
          <w:highlight w:val="none"/>
        </w:rPr>
        <w:t>章技术参数逐条核验应答；系统上线试运行不少于30日，运行稳定后组织最终验收。</w:t>
      </w:r>
    </w:p>
    <w:p w14:paraId="58437B27">
      <w:pPr>
        <w:spacing w:line="500" w:lineRule="exact"/>
        <w:ind w:firstLine="420" w:firstLineChars="200"/>
        <w:jc w:val="left"/>
        <w:rPr>
          <w:rFonts w:ascii="宋体" w:hAnsi="宋体"/>
          <w:szCs w:val="21"/>
          <w:highlight w:val="none"/>
        </w:rPr>
      </w:pPr>
      <w:r>
        <w:rPr>
          <w:rFonts w:hint="eastAsia" w:ascii="宋体" w:hAnsi="宋体"/>
          <w:szCs w:val="21"/>
          <w:highlight w:val="none"/>
        </w:rPr>
        <w:t>12.签收资料目录（见下表，如不涉及可不提供）</w:t>
      </w:r>
    </w:p>
    <w:tbl>
      <w:tblPr>
        <w:tblStyle w:val="45"/>
        <w:tblW w:w="8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3969"/>
        <w:gridCol w:w="3298"/>
      </w:tblGrid>
      <w:tr w14:paraId="2896C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5008CEFA">
            <w:pPr>
              <w:widowControl/>
              <w:jc w:val="center"/>
              <w:rPr>
                <w:b/>
                <w:color w:val="000000"/>
                <w:szCs w:val="21"/>
                <w:highlight w:val="none"/>
              </w:rPr>
            </w:pPr>
            <w:r>
              <w:rPr>
                <w:rFonts w:hint="eastAsia"/>
                <w:b/>
                <w:color w:val="000000"/>
                <w:szCs w:val="21"/>
                <w:highlight w:val="none"/>
              </w:rPr>
              <w:t>序号</w:t>
            </w:r>
          </w:p>
        </w:tc>
        <w:tc>
          <w:tcPr>
            <w:tcW w:w="3969" w:type="dxa"/>
            <w:vAlign w:val="center"/>
          </w:tcPr>
          <w:p w14:paraId="394E2F07">
            <w:pPr>
              <w:widowControl/>
              <w:jc w:val="center"/>
              <w:rPr>
                <w:b/>
                <w:color w:val="000000"/>
                <w:szCs w:val="21"/>
                <w:highlight w:val="none"/>
              </w:rPr>
            </w:pPr>
            <w:r>
              <w:rPr>
                <w:rFonts w:hint="eastAsia"/>
                <w:b/>
                <w:color w:val="000000"/>
                <w:szCs w:val="21"/>
                <w:highlight w:val="none"/>
              </w:rPr>
              <w:t>材料</w:t>
            </w:r>
          </w:p>
        </w:tc>
        <w:tc>
          <w:tcPr>
            <w:tcW w:w="3298" w:type="dxa"/>
            <w:vAlign w:val="center"/>
          </w:tcPr>
          <w:p w14:paraId="44F47D9C">
            <w:pPr>
              <w:widowControl/>
              <w:jc w:val="center"/>
              <w:rPr>
                <w:b/>
                <w:color w:val="000000"/>
                <w:szCs w:val="21"/>
                <w:highlight w:val="none"/>
              </w:rPr>
            </w:pPr>
            <w:r>
              <w:rPr>
                <w:rFonts w:hint="eastAsia"/>
                <w:b/>
                <w:color w:val="000000"/>
                <w:szCs w:val="21"/>
                <w:highlight w:val="none"/>
              </w:rPr>
              <w:t>备注</w:t>
            </w:r>
          </w:p>
        </w:tc>
      </w:tr>
      <w:tr w14:paraId="19695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2BD6D16D">
            <w:pPr>
              <w:pStyle w:val="279"/>
              <w:jc w:val="center"/>
              <w:rPr>
                <w:sz w:val="21"/>
                <w:szCs w:val="21"/>
                <w:highlight w:val="none"/>
              </w:rPr>
            </w:pPr>
            <w:r>
              <w:rPr>
                <w:rFonts w:hint="eastAsia"/>
                <w:sz w:val="21"/>
                <w:szCs w:val="21"/>
                <w:highlight w:val="none"/>
              </w:rPr>
              <w:t>1</w:t>
            </w:r>
          </w:p>
        </w:tc>
        <w:tc>
          <w:tcPr>
            <w:tcW w:w="3969" w:type="dxa"/>
            <w:vAlign w:val="center"/>
          </w:tcPr>
          <w:p w14:paraId="6F85E857">
            <w:pPr>
              <w:pStyle w:val="279"/>
              <w:rPr>
                <w:sz w:val="21"/>
                <w:szCs w:val="21"/>
                <w:highlight w:val="none"/>
              </w:rPr>
            </w:pPr>
            <w:r>
              <w:rPr>
                <w:rFonts w:hint="eastAsia"/>
                <w:sz w:val="21"/>
                <w:szCs w:val="21"/>
                <w:highlight w:val="none"/>
              </w:rPr>
              <w:t>系统需求规格说明书</w:t>
            </w:r>
          </w:p>
        </w:tc>
        <w:tc>
          <w:tcPr>
            <w:tcW w:w="3298" w:type="dxa"/>
            <w:vAlign w:val="center"/>
          </w:tcPr>
          <w:p w14:paraId="6142252B">
            <w:pPr>
              <w:pStyle w:val="279"/>
              <w:jc w:val="center"/>
              <w:rPr>
                <w:sz w:val="21"/>
                <w:szCs w:val="21"/>
                <w:highlight w:val="none"/>
              </w:rPr>
            </w:pPr>
            <w:r>
              <w:rPr>
                <w:rFonts w:hint="eastAsia"/>
                <w:sz w:val="21"/>
                <w:szCs w:val="21"/>
                <w:highlight w:val="none"/>
              </w:rPr>
              <w:t>软件建设需求功能点</w:t>
            </w:r>
          </w:p>
        </w:tc>
      </w:tr>
      <w:tr w14:paraId="51FB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0A5D94D1">
            <w:pPr>
              <w:pStyle w:val="279"/>
              <w:jc w:val="center"/>
              <w:rPr>
                <w:sz w:val="21"/>
                <w:szCs w:val="21"/>
                <w:highlight w:val="none"/>
              </w:rPr>
            </w:pPr>
            <w:r>
              <w:rPr>
                <w:rFonts w:hint="eastAsia"/>
                <w:sz w:val="21"/>
                <w:szCs w:val="21"/>
                <w:highlight w:val="none"/>
              </w:rPr>
              <w:t>2</w:t>
            </w:r>
          </w:p>
        </w:tc>
        <w:tc>
          <w:tcPr>
            <w:tcW w:w="3969" w:type="dxa"/>
            <w:vAlign w:val="center"/>
          </w:tcPr>
          <w:p w14:paraId="2F279DCF">
            <w:pPr>
              <w:pStyle w:val="279"/>
              <w:rPr>
                <w:sz w:val="21"/>
                <w:szCs w:val="21"/>
                <w:highlight w:val="none"/>
              </w:rPr>
            </w:pPr>
            <w:r>
              <w:rPr>
                <w:rFonts w:hint="eastAsia"/>
                <w:sz w:val="21"/>
                <w:szCs w:val="21"/>
                <w:highlight w:val="none"/>
              </w:rPr>
              <w:t>系统详细设计报告</w:t>
            </w:r>
          </w:p>
        </w:tc>
        <w:tc>
          <w:tcPr>
            <w:tcW w:w="3298" w:type="dxa"/>
            <w:vAlign w:val="center"/>
          </w:tcPr>
          <w:p w14:paraId="3FA383E3">
            <w:pPr>
              <w:pStyle w:val="279"/>
              <w:jc w:val="center"/>
              <w:rPr>
                <w:sz w:val="21"/>
                <w:szCs w:val="21"/>
                <w:highlight w:val="none"/>
              </w:rPr>
            </w:pPr>
          </w:p>
        </w:tc>
      </w:tr>
      <w:tr w14:paraId="2C112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5AAFEBB3">
            <w:pPr>
              <w:pStyle w:val="279"/>
              <w:jc w:val="center"/>
              <w:rPr>
                <w:sz w:val="21"/>
                <w:szCs w:val="21"/>
                <w:highlight w:val="none"/>
              </w:rPr>
            </w:pPr>
            <w:r>
              <w:rPr>
                <w:rFonts w:hint="eastAsia"/>
                <w:sz w:val="21"/>
                <w:szCs w:val="21"/>
                <w:highlight w:val="none"/>
              </w:rPr>
              <w:t>3</w:t>
            </w:r>
          </w:p>
        </w:tc>
        <w:tc>
          <w:tcPr>
            <w:tcW w:w="3969" w:type="dxa"/>
            <w:vAlign w:val="center"/>
          </w:tcPr>
          <w:p w14:paraId="4384D2CD">
            <w:pPr>
              <w:pStyle w:val="279"/>
              <w:rPr>
                <w:sz w:val="21"/>
                <w:szCs w:val="21"/>
                <w:highlight w:val="none"/>
              </w:rPr>
            </w:pPr>
            <w:r>
              <w:rPr>
                <w:rFonts w:hint="eastAsia"/>
                <w:sz w:val="21"/>
                <w:szCs w:val="21"/>
                <w:highlight w:val="none"/>
              </w:rPr>
              <w:t>系统数据库设计报告</w:t>
            </w:r>
          </w:p>
        </w:tc>
        <w:tc>
          <w:tcPr>
            <w:tcW w:w="3298" w:type="dxa"/>
            <w:vAlign w:val="center"/>
          </w:tcPr>
          <w:p w14:paraId="500A0007">
            <w:pPr>
              <w:pStyle w:val="279"/>
              <w:jc w:val="center"/>
              <w:rPr>
                <w:sz w:val="21"/>
                <w:szCs w:val="21"/>
                <w:highlight w:val="none"/>
              </w:rPr>
            </w:pPr>
          </w:p>
        </w:tc>
      </w:tr>
      <w:tr w14:paraId="5520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2CD795DC">
            <w:pPr>
              <w:pStyle w:val="279"/>
              <w:jc w:val="center"/>
              <w:rPr>
                <w:sz w:val="21"/>
                <w:szCs w:val="21"/>
                <w:highlight w:val="none"/>
              </w:rPr>
            </w:pPr>
            <w:r>
              <w:rPr>
                <w:rFonts w:hint="eastAsia"/>
                <w:sz w:val="21"/>
                <w:szCs w:val="21"/>
                <w:highlight w:val="none"/>
              </w:rPr>
              <w:t>4</w:t>
            </w:r>
          </w:p>
        </w:tc>
        <w:tc>
          <w:tcPr>
            <w:tcW w:w="3969" w:type="dxa"/>
            <w:vAlign w:val="center"/>
          </w:tcPr>
          <w:p w14:paraId="3F12C632">
            <w:pPr>
              <w:pStyle w:val="279"/>
              <w:rPr>
                <w:sz w:val="21"/>
                <w:szCs w:val="21"/>
                <w:highlight w:val="none"/>
              </w:rPr>
            </w:pPr>
            <w:r>
              <w:rPr>
                <w:rFonts w:hint="eastAsia"/>
                <w:sz w:val="21"/>
                <w:szCs w:val="21"/>
                <w:highlight w:val="none"/>
              </w:rPr>
              <w:t>系统关键技术说明手册</w:t>
            </w:r>
          </w:p>
        </w:tc>
        <w:tc>
          <w:tcPr>
            <w:tcW w:w="3298" w:type="dxa"/>
            <w:vAlign w:val="center"/>
          </w:tcPr>
          <w:p w14:paraId="416EF615">
            <w:pPr>
              <w:pStyle w:val="279"/>
              <w:jc w:val="center"/>
              <w:rPr>
                <w:sz w:val="21"/>
                <w:szCs w:val="21"/>
                <w:highlight w:val="none"/>
              </w:rPr>
            </w:pPr>
          </w:p>
        </w:tc>
      </w:tr>
      <w:tr w14:paraId="1027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57AC5AB0">
            <w:pPr>
              <w:pStyle w:val="279"/>
              <w:jc w:val="center"/>
              <w:rPr>
                <w:sz w:val="21"/>
                <w:szCs w:val="21"/>
                <w:highlight w:val="none"/>
              </w:rPr>
            </w:pPr>
            <w:r>
              <w:rPr>
                <w:rFonts w:hint="eastAsia"/>
                <w:sz w:val="21"/>
                <w:szCs w:val="21"/>
                <w:highlight w:val="none"/>
              </w:rPr>
              <w:t>5</w:t>
            </w:r>
          </w:p>
        </w:tc>
        <w:tc>
          <w:tcPr>
            <w:tcW w:w="3969" w:type="dxa"/>
            <w:vAlign w:val="center"/>
          </w:tcPr>
          <w:p w14:paraId="590C9993">
            <w:pPr>
              <w:pStyle w:val="279"/>
              <w:rPr>
                <w:sz w:val="21"/>
                <w:szCs w:val="21"/>
                <w:highlight w:val="none"/>
              </w:rPr>
            </w:pPr>
            <w:r>
              <w:rPr>
                <w:rFonts w:hint="eastAsia"/>
                <w:sz w:val="21"/>
                <w:szCs w:val="21"/>
                <w:highlight w:val="none"/>
              </w:rPr>
              <w:t>系统测试用例</w:t>
            </w:r>
          </w:p>
        </w:tc>
        <w:tc>
          <w:tcPr>
            <w:tcW w:w="3298" w:type="dxa"/>
            <w:vAlign w:val="center"/>
          </w:tcPr>
          <w:p w14:paraId="3937D038">
            <w:pPr>
              <w:pStyle w:val="279"/>
              <w:jc w:val="center"/>
              <w:rPr>
                <w:sz w:val="21"/>
                <w:szCs w:val="21"/>
                <w:highlight w:val="none"/>
              </w:rPr>
            </w:pPr>
            <w:r>
              <w:rPr>
                <w:rFonts w:hint="eastAsia"/>
                <w:sz w:val="21"/>
                <w:szCs w:val="21"/>
                <w:highlight w:val="none"/>
              </w:rPr>
              <w:t>测试实例</w:t>
            </w:r>
          </w:p>
        </w:tc>
      </w:tr>
      <w:tr w14:paraId="7CEED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3758D189">
            <w:pPr>
              <w:pStyle w:val="279"/>
              <w:jc w:val="center"/>
              <w:rPr>
                <w:sz w:val="21"/>
                <w:szCs w:val="21"/>
                <w:highlight w:val="none"/>
              </w:rPr>
            </w:pPr>
            <w:r>
              <w:rPr>
                <w:rFonts w:hint="eastAsia"/>
                <w:sz w:val="21"/>
                <w:szCs w:val="21"/>
                <w:highlight w:val="none"/>
              </w:rPr>
              <w:t>6</w:t>
            </w:r>
          </w:p>
        </w:tc>
        <w:tc>
          <w:tcPr>
            <w:tcW w:w="3969" w:type="dxa"/>
            <w:vAlign w:val="center"/>
          </w:tcPr>
          <w:p w14:paraId="0523BCF5">
            <w:pPr>
              <w:pStyle w:val="279"/>
              <w:rPr>
                <w:sz w:val="21"/>
                <w:szCs w:val="21"/>
                <w:highlight w:val="none"/>
              </w:rPr>
            </w:pPr>
            <w:r>
              <w:rPr>
                <w:rFonts w:hint="eastAsia"/>
                <w:sz w:val="21"/>
                <w:szCs w:val="21"/>
                <w:highlight w:val="none"/>
              </w:rPr>
              <w:t>系统测试方案</w:t>
            </w:r>
          </w:p>
        </w:tc>
        <w:tc>
          <w:tcPr>
            <w:tcW w:w="3298" w:type="dxa"/>
            <w:vAlign w:val="center"/>
          </w:tcPr>
          <w:p w14:paraId="469B9CCC">
            <w:pPr>
              <w:pStyle w:val="279"/>
              <w:jc w:val="center"/>
              <w:rPr>
                <w:sz w:val="21"/>
                <w:szCs w:val="21"/>
                <w:highlight w:val="none"/>
              </w:rPr>
            </w:pPr>
            <w:r>
              <w:rPr>
                <w:rFonts w:hint="eastAsia"/>
                <w:sz w:val="21"/>
                <w:szCs w:val="21"/>
                <w:highlight w:val="none"/>
              </w:rPr>
              <w:t>测试方案</w:t>
            </w:r>
          </w:p>
        </w:tc>
      </w:tr>
      <w:tr w14:paraId="1567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08A60BA4">
            <w:pPr>
              <w:pStyle w:val="279"/>
              <w:jc w:val="center"/>
              <w:rPr>
                <w:sz w:val="21"/>
                <w:szCs w:val="21"/>
                <w:highlight w:val="none"/>
              </w:rPr>
            </w:pPr>
            <w:r>
              <w:rPr>
                <w:rFonts w:hint="eastAsia"/>
                <w:sz w:val="21"/>
                <w:szCs w:val="21"/>
                <w:highlight w:val="none"/>
              </w:rPr>
              <w:t>7</w:t>
            </w:r>
          </w:p>
        </w:tc>
        <w:tc>
          <w:tcPr>
            <w:tcW w:w="3969" w:type="dxa"/>
            <w:vAlign w:val="center"/>
          </w:tcPr>
          <w:p w14:paraId="3DAAEE76">
            <w:pPr>
              <w:pStyle w:val="279"/>
              <w:rPr>
                <w:sz w:val="21"/>
                <w:szCs w:val="21"/>
                <w:highlight w:val="none"/>
              </w:rPr>
            </w:pPr>
            <w:r>
              <w:rPr>
                <w:rFonts w:hint="eastAsia"/>
                <w:sz w:val="21"/>
                <w:szCs w:val="21"/>
                <w:highlight w:val="none"/>
              </w:rPr>
              <w:t>软件测试报告</w:t>
            </w:r>
          </w:p>
        </w:tc>
        <w:tc>
          <w:tcPr>
            <w:tcW w:w="3298" w:type="dxa"/>
            <w:vAlign w:val="center"/>
          </w:tcPr>
          <w:p w14:paraId="2D79016F">
            <w:pPr>
              <w:pStyle w:val="279"/>
              <w:jc w:val="center"/>
              <w:rPr>
                <w:sz w:val="21"/>
                <w:szCs w:val="21"/>
                <w:highlight w:val="none"/>
              </w:rPr>
            </w:pPr>
            <w:r>
              <w:rPr>
                <w:rFonts w:hint="eastAsia"/>
                <w:sz w:val="21"/>
                <w:szCs w:val="21"/>
                <w:highlight w:val="none"/>
              </w:rPr>
              <w:t>测试总结</w:t>
            </w:r>
          </w:p>
        </w:tc>
      </w:tr>
      <w:tr w14:paraId="2B153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0F360241">
            <w:pPr>
              <w:pStyle w:val="279"/>
              <w:jc w:val="center"/>
              <w:rPr>
                <w:sz w:val="21"/>
                <w:szCs w:val="21"/>
                <w:highlight w:val="none"/>
              </w:rPr>
            </w:pPr>
            <w:r>
              <w:rPr>
                <w:rFonts w:hint="eastAsia"/>
                <w:sz w:val="21"/>
                <w:szCs w:val="21"/>
                <w:highlight w:val="none"/>
              </w:rPr>
              <w:t>8</w:t>
            </w:r>
          </w:p>
        </w:tc>
        <w:tc>
          <w:tcPr>
            <w:tcW w:w="3969" w:type="dxa"/>
            <w:vAlign w:val="center"/>
          </w:tcPr>
          <w:p w14:paraId="396928E5">
            <w:pPr>
              <w:pStyle w:val="279"/>
              <w:rPr>
                <w:sz w:val="21"/>
                <w:szCs w:val="21"/>
                <w:highlight w:val="none"/>
              </w:rPr>
            </w:pPr>
            <w:r>
              <w:rPr>
                <w:rFonts w:hint="eastAsia"/>
                <w:sz w:val="21"/>
                <w:szCs w:val="21"/>
                <w:highlight w:val="none"/>
              </w:rPr>
              <w:t>项目部署实施手册</w:t>
            </w:r>
          </w:p>
        </w:tc>
        <w:tc>
          <w:tcPr>
            <w:tcW w:w="3298" w:type="dxa"/>
            <w:vAlign w:val="center"/>
          </w:tcPr>
          <w:p w14:paraId="65F94297">
            <w:pPr>
              <w:pStyle w:val="279"/>
              <w:jc w:val="center"/>
              <w:rPr>
                <w:sz w:val="21"/>
                <w:szCs w:val="21"/>
                <w:highlight w:val="none"/>
              </w:rPr>
            </w:pPr>
          </w:p>
        </w:tc>
      </w:tr>
      <w:tr w14:paraId="2C954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41A8052A">
            <w:pPr>
              <w:pStyle w:val="279"/>
              <w:jc w:val="center"/>
              <w:rPr>
                <w:sz w:val="21"/>
                <w:szCs w:val="21"/>
                <w:highlight w:val="none"/>
              </w:rPr>
            </w:pPr>
            <w:r>
              <w:rPr>
                <w:rFonts w:hint="eastAsia"/>
                <w:sz w:val="21"/>
                <w:szCs w:val="21"/>
                <w:highlight w:val="none"/>
              </w:rPr>
              <w:t>9</w:t>
            </w:r>
          </w:p>
        </w:tc>
        <w:tc>
          <w:tcPr>
            <w:tcW w:w="3969" w:type="dxa"/>
            <w:vAlign w:val="center"/>
          </w:tcPr>
          <w:p w14:paraId="6973EF14">
            <w:pPr>
              <w:pStyle w:val="279"/>
              <w:rPr>
                <w:sz w:val="21"/>
                <w:szCs w:val="21"/>
                <w:highlight w:val="none"/>
              </w:rPr>
            </w:pPr>
            <w:r>
              <w:rPr>
                <w:rFonts w:hint="eastAsia"/>
                <w:sz w:val="21"/>
                <w:szCs w:val="21"/>
                <w:highlight w:val="none"/>
              </w:rPr>
              <w:t>项目验收技术规范</w:t>
            </w:r>
          </w:p>
        </w:tc>
        <w:tc>
          <w:tcPr>
            <w:tcW w:w="3298" w:type="dxa"/>
            <w:vAlign w:val="center"/>
          </w:tcPr>
          <w:p w14:paraId="63C48177">
            <w:pPr>
              <w:pStyle w:val="279"/>
              <w:jc w:val="center"/>
              <w:rPr>
                <w:sz w:val="21"/>
                <w:szCs w:val="21"/>
                <w:highlight w:val="none"/>
              </w:rPr>
            </w:pPr>
          </w:p>
        </w:tc>
      </w:tr>
      <w:tr w14:paraId="283B8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6301FFBE">
            <w:pPr>
              <w:pStyle w:val="279"/>
              <w:jc w:val="center"/>
              <w:rPr>
                <w:sz w:val="21"/>
                <w:szCs w:val="21"/>
                <w:highlight w:val="none"/>
              </w:rPr>
            </w:pPr>
            <w:r>
              <w:rPr>
                <w:rFonts w:hint="eastAsia"/>
                <w:sz w:val="21"/>
                <w:szCs w:val="21"/>
                <w:highlight w:val="none"/>
              </w:rPr>
              <w:t>10</w:t>
            </w:r>
          </w:p>
        </w:tc>
        <w:tc>
          <w:tcPr>
            <w:tcW w:w="3969" w:type="dxa"/>
            <w:vAlign w:val="center"/>
          </w:tcPr>
          <w:p w14:paraId="3F810F65">
            <w:pPr>
              <w:pStyle w:val="279"/>
              <w:rPr>
                <w:sz w:val="21"/>
                <w:szCs w:val="21"/>
                <w:highlight w:val="none"/>
              </w:rPr>
            </w:pPr>
            <w:r>
              <w:rPr>
                <w:rFonts w:hint="eastAsia"/>
                <w:sz w:val="21"/>
                <w:szCs w:val="21"/>
                <w:highlight w:val="none"/>
              </w:rPr>
              <w:t>系统管理手册</w:t>
            </w:r>
          </w:p>
        </w:tc>
        <w:tc>
          <w:tcPr>
            <w:tcW w:w="3298" w:type="dxa"/>
            <w:vAlign w:val="center"/>
          </w:tcPr>
          <w:p w14:paraId="750B3F26">
            <w:pPr>
              <w:pStyle w:val="279"/>
              <w:jc w:val="center"/>
              <w:rPr>
                <w:sz w:val="21"/>
                <w:szCs w:val="21"/>
                <w:highlight w:val="none"/>
              </w:rPr>
            </w:pPr>
            <w:r>
              <w:rPr>
                <w:rFonts w:hint="eastAsia"/>
                <w:sz w:val="21"/>
                <w:szCs w:val="21"/>
                <w:highlight w:val="none"/>
              </w:rPr>
              <w:t>管理者手册</w:t>
            </w:r>
          </w:p>
        </w:tc>
      </w:tr>
      <w:tr w14:paraId="60147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446DB296">
            <w:pPr>
              <w:pStyle w:val="279"/>
              <w:jc w:val="center"/>
              <w:rPr>
                <w:sz w:val="21"/>
                <w:szCs w:val="21"/>
                <w:highlight w:val="none"/>
              </w:rPr>
            </w:pPr>
            <w:r>
              <w:rPr>
                <w:rFonts w:hint="eastAsia"/>
                <w:sz w:val="21"/>
                <w:szCs w:val="21"/>
                <w:highlight w:val="none"/>
              </w:rPr>
              <w:t>11</w:t>
            </w:r>
          </w:p>
        </w:tc>
        <w:tc>
          <w:tcPr>
            <w:tcW w:w="3969" w:type="dxa"/>
            <w:vAlign w:val="center"/>
          </w:tcPr>
          <w:p w14:paraId="2A72B137">
            <w:pPr>
              <w:pStyle w:val="279"/>
              <w:rPr>
                <w:sz w:val="21"/>
                <w:szCs w:val="21"/>
                <w:highlight w:val="none"/>
              </w:rPr>
            </w:pPr>
            <w:r>
              <w:rPr>
                <w:rFonts w:hint="eastAsia"/>
                <w:sz w:val="21"/>
                <w:szCs w:val="21"/>
                <w:highlight w:val="none"/>
              </w:rPr>
              <w:t>系统用户手册</w:t>
            </w:r>
          </w:p>
        </w:tc>
        <w:tc>
          <w:tcPr>
            <w:tcW w:w="3298" w:type="dxa"/>
            <w:vAlign w:val="center"/>
          </w:tcPr>
          <w:p w14:paraId="6DEF96D2">
            <w:pPr>
              <w:pStyle w:val="279"/>
              <w:jc w:val="center"/>
              <w:rPr>
                <w:sz w:val="21"/>
                <w:szCs w:val="21"/>
                <w:highlight w:val="none"/>
              </w:rPr>
            </w:pPr>
            <w:r>
              <w:rPr>
                <w:rFonts w:hint="eastAsia"/>
                <w:sz w:val="21"/>
                <w:szCs w:val="21"/>
                <w:highlight w:val="none"/>
              </w:rPr>
              <w:t>使用者手册</w:t>
            </w:r>
          </w:p>
        </w:tc>
      </w:tr>
      <w:tr w14:paraId="4D352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9" w:type="dxa"/>
            <w:vAlign w:val="center"/>
          </w:tcPr>
          <w:p w14:paraId="057F242F">
            <w:pPr>
              <w:pStyle w:val="279"/>
              <w:jc w:val="center"/>
              <w:rPr>
                <w:sz w:val="21"/>
                <w:szCs w:val="21"/>
                <w:highlight w:val="none"/>
              </w:rPr>
            </w:pPr>
            <w:r>
              <w:rPr>
                <w:rFonts w:hint="eastAsia"/>
                <w:sz w:val="21"/>
                <w:szCs w:val="21"/>
                <w:highlight w:val="none"/>
              </w:rPr>
              <w:t>12</w:t>
            </w:r>
          </w:p>
        </w:tc>
        <w:tc>
          <w:tcPr>
            <w:tcW w:w="3969" w:type="dxa"/>
            <w:vAlign w:val="center"/>
          </w:tcPr>
          <w:p w14:paraId="48DE38F6">
            <w:pPr>
              <w:pStyle w:val="279"/>
              <w:rPr>
                <w:sz w:val="21"/>
                <w:szCs w:val="21"/>
                <w:highlight w:val="none"/>
              </w:rPr>
            </w:pPr>
            <w:r>
              <w:rPr>
                <w:rFonts w:hint="eastAsia"/>
                <w:sz w:val="21"/>
                <w:szCs w:val="21"/>
                <w:highlight w:val="none"/>
              </w:rPr>
              <w:t>其他必要的技术文档</w:t>
            </w:r>
          </w:p>
        </w:tc>
        <w:tc>
          <w:tcPr>
            <w:tcW w:w="3298" w:type="dxa"/>
            <w:vAlign w:val="center"/>
          </w:tcPr>
          <w:p w14:paraId="34949631">
            <w:pPr>
              <w:pStyle w:val="279"/>
              <w:jc w:val="center"/>
              <w:rPr>
                <w:sz w:val="21"/>
                <w:szCs w:val="21"/>
                <w:highlight w:val="none"/>
              </w:rPr>
            </w:pPr>
            <w:r>
              <w:rPr>
                <w:rFonts w:hint="eastAsia"/>
                <w:sz w:val="21"/>
                <w:szCs w:val="21"/>
                <w:highlight w:val="none"/>
              </w:rPr>
              <w:t>电子稿</w:t>
            </w:r>
          </w:p>
        </w:tc>
      </w:tr>
    </w:tbl>
    <w:p w14:paraId="0519A514">
      <w:pPr>
        <w:spacing w:line="360" w:lineRule="auto"/>
        <w:ind w:firstLine="420" w:firstLineChars="200"/>
        <w:rPr>
          <w:b/>
          <w:bCs/>
          <w:highlight w:val="none"/>
        </w:rPr>
      </w:pPr>
      <w:r>
        <w:rPr>
          <w:rFonts w:hint="eastAsia"/>
          <w:highlight w:val="none"/>
        </w:rPr>
        <w:t xml:space="preserve">                                    </w:t>
      </w:r>
      <w:r>
        <w:rPr>
          <w:rFonts w:hint="eastAsia"/>
          <w:b/>
          <w:bCs/>
          <w:highlight w:val="none"/>
        </w:rPr>
        <w:t xml:space="preserve">      </w:t>
      </w:r>
    </w:p>
    <w:p w14:paraId="43DEA910">
      <w:pPr>
        <w:spacing w:line="360" w:lineRule="auto"/>
        <w:ind w:firstLine="422" w:firstLineChars="200"/>
        <w:rPr>
          <w:b/>
          <w:bCs/>
          <w:highlight w:val="none"/>
        </w:rPr>
      </w:pPr>
      <w:r>
        <w:rPr>
          <w:rFonts w:hint="eastAsia"/>
          <w:b/>
          <w:bCs/>
          <w:highlight w:val="none"/>
        </w:rPr>
        <w:t>十、违约责任</w:t>
      </w:r>
    </w:p>
    <w:p w14:paraId="50089883">
      <w:pPr>
        <w:spacing w:line="360" w:lineRule="auto"/>
        <w:ind w:firstLine="420" w:firstLineChars="200"/>
        <w:rPr>
          <w:highlight w:val="none"/>
        </w:rPr>
      </w:pPr>
      <w:r>
        <w:rPr>
          <w:rFonts w:hint="eastAsia"/>
          <w:highlight w:val="none"/>
        </w:rPr>
        <w:t>10.1 甲方无正当理由拒收的，向乙方支付拒收货款总值百分之一的违约金。</w:t>
      </w:r>
    </w:p>
    <w:p w14:paraId="74CFC14A">
      <w:pPr>
        <w:spacing w:line="360" w:lineRule="auto"/>
        <w:ind w:firstLine="420" w:firstLineChars="200"/>
        <w:rPr>
          <w:highlight w:val="none"/>
        </w:rPr>
      </w:pPr>
      <w:r>
        <w:rPr>
          <w:rFonts w:hint="eastAsia"/>
          <w:highlight w:val="none"/>
        </w:rPr>
        <w:t>10.2 甲方无故逾期验收和办理合同款支付手续的（节假日除外）, 按逾期付款总额的每日万分之一向乙方支付违约金。</w:t>
      </w:r>
    </w:p>
    <w:p w14:paraId="61371CB5">
      <w:pPr>
        <w:spacing w:line="360" w:lineRule="auto"/>
        <w:ind w:firstLine="420" w:firstLineChars="200"/>
        <w:rPr>
          <w:highlight w:val="none"/>
        </w:rPr>
      </w:pPr>
      <w:r>
        <w:rPr>
          <w:rFonts w:hint="eastAsia"/>
          <w:highlight w:val="none"/>
        </w:rPr>
        <w:t>10.3乙方逾期交货的，乙方应按日向甲方支付合同总金额1‰的违约金；逾期超过10日的，每日按合同总金额3‰支付违约金，累计违约金总额不超过合同总金额的5%。</w:t>
      </w:r>
    </w:p>
    <w:p w14:paraId="1A552A17">
      <w:pPr>
        <w:spacing w:line="360" w:lineRule="auto"/>
        <w:ind w:firstLine="420" w:firstLineChars="200"/>
        <w:rPr>
          <w:highlight w:val="none"/>
        </w:rPr>
      </w:pPr>
      <w:r>
        <w:rPr>
          <w:rFonts w:hint="eastAsia"/>
          <w:highlight w:val="none"/>
        </w:rPr>
        <w:t>10.4乙方交付的货物有质量或产权瑕疵等问题时，愿意更换/整改的，按逾期交付处理；乙方拒绝更换/整改的，甲方可解除合同，没收履约保证金并追回全部已付款项，由此造成的损失由乙方全责承担。</w:t>
      </w:r>
    </w:p>
    <w:p w14:paraId="503C8221">
      <w:pPr>
        <w:spacing w:line="360" w:lineRule="auto"/>
        <w:ind w:firstLine="420" w:firstLineChars="200"/>
        <w:rPr>
          <w:highlight w:val="none"/>
        </w:rPr>
      </w:pPr>
      <w:r>
        <w:rPr>
          <w:rFonts w:hint="eastAsia"/>
          <w:highlight w:val="none"/>
        </w:rPr>
        <w:t>10.5出现但不限于下列情形之一的，即视为乙方违约：</w:t>
      </w:r>
    </w:p>
    <w:p w14:paraId="386A481A">
      <w:pPr>
        <w:spacing w:line="360" w:lineRule="auto"/>
        <w:ind w:firstLine="420" w:firstLineChars="200"/>
        <w:rPr>
          <w:highlight w:val="none"/>
        </w:rPr>
      </w:pPr>
      <w:r>
        <w:rPr>
          <w:rFonts w:hint="eastAsia"/>
          <w:highlight w:val="none"/>
        </w:rPr>
        <w:t xml:space="preserve">1.逾期交货的，乙方应按日向甲方支付合同总金额1‰的违约金；逾期超过10日的，每日按合同总金额3‰支付违约金，累计违约金总额不超过合同总金额的5%。 </w:t>
      </w:r>
    </w:p>
    <w:p w14:paraId="1C148CF9">
      <w:pPr>
        <w:spacing w:line="360" w:lineRule="auto"/>
        <w:ind w:firstLine="420" w:firstLineChars="200"/>
        <w:rPr>
          <w:highlight w:val="none"/>
        </w:rPr>
      </w:pPr>
      <w:r>
        <w:rPr>
          <w:rFonts w:hint="eastAsia"/>
          <w:highlight w:val="none"/>
        </w:rPr>
        <w:t xml:space="preserve">2.货物不全或与标书所列清单不符的，乙方应在限期内调整至齐全相符；逾期未调整的，每日按合同总金额1‰支付违约金，累计不超过合同总金额5%。 </w:t>
      </w:r>
    </w:p>
    <w:p w14:paraId="0D40F3BA">
      <w:pPr>
        <w:spacing w:line="360" w:lineRule="auto"/>
        <w:ind w:firstLine="420" w:firstLineChars="200"/>
        <w:rPr>
          <w:highlight w:val="none"/>
        </w:rPr>
      </w:pPr>
      <w:r>
        <w:rPr>
          <w:rFonts w:hint="eastAsia"/>
          <w:highlight w:val="none"/>
        </w:rPr>
        <w:t>3.未通过验收的，乙方应限期整改；整改逾期每日按合同总金额1‰支付违约金，累计不超过合同总金额5%。</w:t>
      </w:r>
    </w:p>
    <w:p w14:paraId="757FE307">
      <w:pPr>
        <w:spacing w:line="360" w:lineRule="auto"/>
        <w:ind w:firstLine="420" w:firstLineChars="200"/>
        <w:rPr>
          <w:highlight w:val="none"/>
        </w:rPr>
      </w:pPr>
      <w:r>
        <w:rPr>
          <w:rFonts w:hint="eastAsia"/>
          <w:highlight w:val="none"/>
        </w:rPr>
        <w:t>4.提供伪劣产品；如发现提供伪劣产品，扣除履约保证金，并视情况赔偿</w:t>
      </w:r>
      <w:r>
        <w:rPr>
          <w:rFonts w:hint="eastAsia"/>
          <w:highlight w:val="none"/>
          <w:lang w:val="en-US" w:eastAsia="zh-CN"/>
        </w:rPr>
        <w:t>甲方</w:t>
      </w:r>
      <w:r>
        <w:rPr>
          <w:rFonts w:hint="eastAsia"/>
          <w:highlight w:val="none"/>
        </w:rPr>
        <w:t>损失。</w:t>
      </w:r>
    </w:p>
    <w:p w14:paraId="023B2BF2">
      <w:pPr>
        <w:spacing w:line="360" w:lineRule="auto"/>
        <w:ind w:firstLine="420" w:firstLineChars="200"/>
        <w:rPr>
          <w:highlight w:val="none"/>
        </w:rPr>
      </w:pPr>
      <w:r>
        <w:rPr>
          <w:rFonts w:hint="eastAsia"/>
          <w:highlight w:val="none"/>
        </w:rPr>
        <w:t>5.未按合同规定提供售后服务。</w:t>
      </w:r>
    </w:p>
    <w:p w14:paraId="14094A85">
      <w:pPr>
        <w:spacing w:line="360" w:lineRule="auto"/>
        <w:ind w:firstLine="420" w:firstLineChars="200"/>
        <w:rPr>
          <w:highlight w:val="none"/>
        </w:rPr>
      </w:pPr>
      <w:r>
        <w:rPr>
          <w:rFonts w:hint="eastAsia"/>
          <w:highlight w:val="none"/>
        </w:rPr>
        <w:t>1）乙方不履行本合同义务或履行义务不符合约定的，甲方有权扣除履约保证金并要求乙方承担继续履行、赔偿损失或支付违约金等违约责任。</w:t>
      </w:r>
    </w:p>
    <w:p w14:paraId="4467F377">
      <w:pPr>
        <w:spacing w:line="360" w:lineRule="auto"/>
        <w:ind w:firstLine="420" w:firstLineChars="200"/>
        <w:rPr>
          <w:highlight w:val="none"/>
        </w:rPr>
      </w:pPr>
      <w:r>
        <w:rPr>
          <w:rFonts w:hint="eastAsia"/>
          <w:highlight w:val="none"/>
        </w:rPr>
        <w:t>2）乙方未按合同约定履行合同义务，经甲方催告仍未纠正的，甲方有权单方解除合同。由于整改纠正造成进度延期交付的视同逾期交付。</w:t>
      </w:r>
    </w:p>
    <w:p w14:paraId="0977E83E">
      <w:pPr>
        <w:spacing w:line="360" w:lineRule="auto"/>
        <w:ind w:firstLine="420" w:firstLineChars="200"/>
        <w:rPr>
          <w:highlight w:val="none"/>
        </w:rPr>
      </w:pPr>
      <w:r>
        <w:rPr>
          <w:rFonts w:hint="eastAsia"/>
          <w:highlight w:val="none"/>
        </w:rPr>
        <w:t>3）乙方提供的技术服务不符合本合同约定的验收标准，未通过甲方验收的，乙方应退还甲方已支付的全部款项，并向甲方支付相当于技术服务报酬5%的违约金。</w:t>
      </w:r>
    </w:p>
    <w:p w14:paraId="3C591AA8">
      <w:pPr>
        <w:spacing w:line="360" w:lineRule="auto"/>
        <w:ind w:firstLine="420" w:firstLineChars="200"/>
        <w:rPr>
          <w:highlight w:val="none"/>
        </w:rPr>
      </w:pPr>
      <w:r>
        <w:rPr>
          <w:rFonts w:hint="eastAsia"/>
          <w:highlight w:val="none"/>
        </w:rPr>
        <w:t>4）合同因乙方原因解除的，甲方有权停止支付并要求乙方退还甲方已支付的全部款项，且乙方应向甲方支付相当于技术服务报酬 5%的违约金。</w:t>
      </w:r>
    </w:p>
    <w:p w14:paraId="416083BC">
      <w:pPr>
        <w:spacing w:line="360" w:lineRule="auto"/>
        <w:ind w:firstLine="420" w:firstLineChars="200"/>
        <w:rPr>
          <w:highlight w:val="none"/>
        </w:rPr>
      </w:pPr>
      <w:r>
        <w:rPr>
          <w:rFonts w:hint="eastAsia"/>
          <w:highlight w:val="none"/>
        </w:rPr>
        <w:t>10.6乙方违约的，甲方有权没收乙方交纳的履约保证金、停止支付剩余应付款，并采取包括但不限于下列一种或数种措施维护权益：</w:t>
      </w:r>
    </w:p>
    <w:p w14:paraId="2EAAA1EF">
      <w:pPr>
        <w:spacing w:line="360" w:lineRule="auto"/>
        <w:ind w:firstLine="420" w:firstLineChars="200"/>
        <w:rPr>
          <w:highlight w:val="none"/>
        </w:rPr>
      </w:pPr>
      <w:r>
        <w:rPr>
          <w:rFonts w:hint="eastAsia"/>
          <w:highlight w:val="none"/>
        </w:rPr>
        <w:t>①拒收因乙方违约所交付的产品，终止合同，并向乙方索赔，另行组织采购；</w:t>
      </w:r>
    </w:p>
    <w:p w14:paraId="6313111C">
      <w:pPr>
        <w:spacing w:line="360" w:lineRule="auto"/>
        <w:ind w:firstLine="420" w:firstLineChars="200"/>
        <w:rPr>
          <w:highlight w:val="none"/>
        </w:rPr>
      </w:pPr>
      <w:r>
        <w:rPr>
          <w:rFonts w:hint="eastAsia"/>
          <w:highlight w:val="none"/>
        </w:rPr>
        <w:t>②没收乙方缴纳的履约保证金；</w:t>
      </w:r>
    </w:p>
    <w:p w14:paraId="6D843D5B">
      <w:pPr>
        <w:spacing w:line="360" w:lineRule="auto"/>
        <w:ind w:firstLine="420" w:firstLineChars="200"/>
        <w:rPr>
          <w:highlight w:val="none"/>
        </w:rPr>
      </w:pPr>
      <w:r>
        <w:rPr>
          <w:rFonts w:hint="eastAsia"/>
          <w:highlight w:val="none"/>
        </w:rPr>
        <w:t>③将乙方录入</w:t>
      </w:r>
      <w:r>
        <w:rPr>
          <w:rFonts w:hint="eastAsia"/>
          <w:highlight w:val="none"/>
          <w:lang w:val="en-US" w:eastAsia="zh-CN"/>
        </w:rPr>
        <w:t>甲方</w:t>
      </w:r>
      <w:r>
        <w:rPr>
          <w:rFonts w:hint="eastAsia"/>
          <w:highlight w:val="none"/>
        </w:rPr>
        <w:t>不良行为供应商名录，视情节轻重决定是否上报江苏省财政厅，涉嫌犯罪的，移送司法机关处理。</w:t>
      </w:r>
    </w:p>
    <w:p w14:paraId="0532B244">
      <w:pPr>
        <w:spacing w:line="360" w:lineRule="auto"/>
        <w:ind w:firstLine="420" w:firstLineChars="200"/>
        <w:rPr>
          <w:highlight w:val="none"/>
        </w:rPr>
      </w:pPr>
      <w:r>
        <w:rPr>
          <w:rFonts w:hint="eastAsia"/>
          <w:highlight w:val="none"/>
        </w:rPr>
        <w:t>④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p>
    <w:p w14:paraId="04ED84E4">
      <w:pPr>
        <w:spacing w:line="360" w:lineRule="auto"/>
        <w:ind w:firstLine="420" w:firstLineChars="200"/>
        <w:rPr>
          <w:highlight w:val="none"/>
        </w:rPr>
      </w:pPr>
      <w:r>
        <w:rPr>
          <w:rFonts w:hint="eastAsia"/>
          <w:highlight w:val="none"/>
        </w:rPr>
        <w:t>10.7 任何一方违反本合同约定，除承担违约金外，还承担守约方向违约方追责所支付的一切费用，包括但不限于律师费、诉讼费、保全费、公告费、鉴定费、交通费、食宿费、保函费等。</w:t>
      </w:r>
    </w:p>
    <w:p w14:paraId="3AD7E23F">
      <w:pPr>
        <w:spacing w:line="360" w:lineRule="auto"/>
        <w:ind w:firstLine="420" w:firstLineChars="200"/>
        <w:rPr>
          <w:highlight w:val="none"/>
        </w:rPr>
      </w:pPr>
      <w:r>
        <w:rPr>
          <w:rFonts w:hint="eastAsia"/>
          <w:highlight w:val="none"/>
        </w:rPr>
        <w:t>10.8供应商响应的违约责任（10.1—10.7中与本条承诺不一致的，以本条为准）</w:t>
      </w:r>
    </w:p>
    <w:p w14:paraId="704263B8">
      <w:pPr>
        <w:spacing w:line="360" w:lineRule="auto"/>
        <w:ind w:firstLine="420" w:firstLineChars="200"/>
        <w:rPr>
          <w:highlight w:val="none"/>
        </w:rPr>
      </w:pPr>
      <w:r>
        <w:rPr>
          <w:rFonts w:hint="eastAsia"/>
          <w:highlight w:val="none"/>
        </w:rPr>
        <w:t>1.乙方不履行本合同义务或履行义务不符合约定的，甲方有权扣除履约保证金并要求乙方承担继续履行、赔偿损失或支付违约金等违约责任。</w:t>
      </w:r>
    </w:p>
    <w:p w14:paraId="6A3EC530">
      <w:pPr>
        <w:spacing w:line="360" w:lineRule="auto"/>
        <w:ind w:firstLine="420" w:firstLineChars="200"/>
        <w:rPr>
          <w:highlight w:val="none"/>
        </w:rPr>
      </w:pPr>
      <w:r>
        <w:rPr>
          <w:rFonts w:hint="eastAsia"/>
          <w:highlight w:val="none"/>
        </w:rPr>
        <w:t>2.乙方未按期完成技术服务工作的，每逾期1天，应向甲方支付相当于合同总金额1‰的违约金，累计违约金总额不超过合同总金额的5%，逾期超过30日的，甲方有权单方解除合同。</w:t>
      </w:r>
    </w:p>
    <w:p w14:paraId="4D82A7BC">
      <w:pPr>
        <w:spacing w:line="360" w:lineRule="auto"/>
        <w:ind w:firstLine="420" w:firstLineChars="200"/>
        <w:rPr>
          <w:highlight w:val="none"/>
        </w:rPr>
      </w:pPr>
      <w:r>
        <w:rPr>
          <w:rFonts w:hint="eastAsia"/>
          <w:highlight w:val="none"/>
        </w:rPr>
        <w:t>3.乙方未按合同约定履行合同义务，经甲方书面催告后15日内仍未纠正的，甲方有权单方解除合同。合同解除后，甲方应按乙方实际完成履约部分结算款项，乙方应配合完成数据移交及系统交接。因合理整改导致的交付延期不计入逾期天数。</w:t>
      </w:r>
    </w:p>
    <w:p w14:paraId="350C6131">
      <w:pPr>
        <w:spacing w:line="360" w:lineRule="auto"/>
        <w:ind w:firstLine="420" w:firstLineChars="200"/>
        <w:rPr>
          <w:highlight w:val="none"/>
        </w:rPr>
      </w:pPr>
      <w:r>
        <w:rPr>
          <w:rFonts w:hint="eastAsia"/>
          <w:highlight w:val="none"/>
        </w:rPr>
        <w:t xml:space="preserve">4.乙方提供的技术服务不符合本合同约定的验收标准，未通过甲方验收的，乙方应限期整改；整改后仍不合格的，乙方应退还甲方已支付的全部款项，并向甲方支付相当于合同总金额5%的违约金。 </w:t>
      </w:r>
    </w:p>
    <w:p w14:paraId="270FDC6C">
      <w:pPr>
        <w:spacing w:line="360" w:lineRule="auto"/>
        <w:ind w:firstLine="420" w:firstLineChars="200"/>
        <w:rPr>
          <w:b/>
          <w:bCs/>
          <w:highlight w:val="none"/>
        </w:rPr>
      </w:pPr>
      <w:r>
        <w:rPr>
          <w:rFonts w:hint="eastAsia"/>
          <w:highlight w:val="none"/>
        </w:rPr>
        <w:t xml:space="preserve">5.合同因乙方原因解除的，甲方有权停止支付并要求乙方退还甲方已支付的全部款项，且乙方应向甲方支付相当于合同总金额5%的违约金，但违约金总额不超过合同总金额10%。   </w:t>
      </w:r>
      <w:r>
        <w:rPr>
          <w:rFonts w:hint="eastAsia"/>
          <w:b/>
          <w:bCs/>
          <w:highlight w:val="none"/>
        </w:rPr>
        <w:t xml:space="preserve">                                  </w:t>
      </w:r>
    </w:p>
    <w:p w14:paraId="2687DA8D">
      <w:pPr>
        <w:spacing w:line="360" w:lineRule="auto"/>
        <w:ind w:firstLine="422" w:firstLineChars="200"/>
        <w:rPr>
          <w:b/>
          <w:bCs/>
          <w:highlight w:val="none"/>
        </w:rPr>
      </w:pPr>
      <w:r>
        <w:rPr>
          <w:rFonts w:hint="eastAsia"/>
          <w:b/>
          <w:bCs/>
          <w:highlight w:val="none"/>
        </w:rPr>
        <w:t>十一、不可抗力事件处理</w:t>
      </w:r>
    </w:p>
    <w:p w14:paraId="44D8195B">
      <w:pPr>
        <w:spacing w:line="360" w:lineRule="auto"/>
        <w:ind w:firstLine="420" w:firstLineChars="200"/>
        <w:rPr>
          <w:highlight w:val="none"/>
        </w:rPr>
      </w:pPr>
      <w:r>
        <w:rPr>
          <w:rFonts w:hint="eastAsia"/>
          <w:highlight w:val="none"/>
        </w:rPr>
        <w:t>11.1 本合同不可抗力事件及影响按《中华人民共和国民法典》等相关法律法规相关规定执行和处理。</w:t>
      </w:r>
    </w:p>
    <w:p w14:paraId="31519280">
      <w:pPr>
        <w:spacing w:line="360" w:lineRule="auto"/>
        <w:ind w:firstLine="420" w:firstLineChars="200"/>
        <w:rPr>
          <w:highlight w:val="none"/>
        </w:rPr>
      </w:pPr>
      <w:r>
        <w:rPr>
          <w:rFonts w:hint="eastAsia"/>
          <w:highlight w:val="none"/>
        </w:rPr>
        <w:t>11.2 在合同有效期内，任何一方因不可抗力事件导致不能履行合同，则合同履行期延长，其延长期与不可抗力影响期相同。</w:t>
      </w:r>
    </w:p>
    <w:p w14:paraId="216DF532">
      <w:pPr>
        <w:spacing w:line="360" w:lineRule="auto"/>
        <w:ind w:firstLine="420" w:firstLineChars="200"/>
        <w:rPr>
          <w:highlight w:val="none"/>
        </w:rPr>
      </w:pPr>
      <w:r>
        <w:rPr>
          <w:rFonts w:hint="eastAsia"/>
          <w:highlight w:val="none"/>
        </w:rPr>
        <w:t>11.3 不可抗力事件发生后，应立即通知对方，并寄送有关权威机构出具的证明。</w:t>
      </w:r>
    </w:p>
    <w:p w14:paraId="12643797">
      <w:pPr>
        <w:spacing w:line="360" w:lineRule="auto"/>
        <w:ind w:firstLine="420" w:firstLineChars="200"/>
        <w:rPr>
          <w:highlight w:val="none"/>
        </w:rPr>
      </w:pPr>
      <w:r>
        <w:rPr>
          <w:rFonts w:hint="eastAsia"/>
          <w:highlight w:val="none"/>
        </w:rPr>
        <w:t>11.4 不可抗力事件延续120天以上，双方应通过友好协商，确定是否继续履行合同。</w:t>
      </w:r>
    </w:p>
    <w:p w14:paraId="29B546B7">
      <w:pPr>
        <w:spacing w:line="360" w:lineRule="auto"/>
        <w:ind w:firstLine="422" w:firstLineChars="200"/>
        <w:rPr>
          <w:b/>
          <w:bCs/>
          <w:highlight w:val="none"/>
        </w:rPr>
      </w:pPr>
      <w:r>
        <w:rPr>
          <w:rFonts w:hint="eastAsia"/>
          <w:b/>
          <w:bCs/>
          <w:highlight w:val="none"/>
        </w:rPr>
        <w:t>十二、诉讼</w:t>
      </w:r>
    </w:p>
    <w:p w14:paraId="2A66B06D">
      <w:pPr>
        <w:spacing w:line="360" w:lineRule="auto"/>
        <w:ind w:firstLine="420" w:firstLineChars="200"/>
        <w:rPr>
          <w:highlight w:val="none"/>
        </w:rPr>
      </w:pPr>
      <w:r>
        <w:rPr>
          <w:rFonts w:hint="eastAsia"/>
          <w:highlight w:val="none"/>
        </w:rPr>
        <w:t>双方在执行合同中所发生的一切争议，应通过协商解决。如协商不成，可向甲方所在地人民法院提起诉讼。</w:t>
      </w:r>
    </w:p>
    <w:p w14:paraId="408B0630">
      <w:pPr>
        <w:spacing w:line="360" w:lineRule="auto"/>
        <w:ind w:firstLine="422" w:firstLineChars="200"/>
        <w:rPr>
          <w:b/>
          <w:bCs/>
          <w:highlight w:val="none"/>
        </w:rPr>
      </w:pPr>
      <w:r>
        <w:rPr>
          <w:rFonts w:hint="eastAsia"/>
          <w:b/>
          <w:bCs/>
          <w:highlight w:val="none"/>
        </w:rPr>
        <w:t>十三、合同生效及其它</w:t>
      </w:r>
    </w:p>
    <w:p w14:paraId="307928F2">
      <w:pPr>
        <w:spacing w:line="360" w:lineRule="auto"/>
        <w:ind w:firstLine="420" w:firstLineChars="200"/>
        <w:rPr>
          <w:highlight w:val="none"/>
        </w:rPr>
      </w:pPr>
      <w:r>
        <w:rPr>
          <w:rFonts w:hint="eastAsia"/>
          <w:highlight w:val="none"/>
        </w:rPr>
        <w:t>13.1 合同经双方法定代表人或授权委托代表人签字并加盖公章后生效。</w:t>
      </w:r>
    </w:p>
    <w:p w14:paraId="332486A9">
      <w:pPr>
        <w:spacing w:line="360" w:lineRule="auto"/>
        <w:ind w:firstLine="420" w:firstLineChars="200"/>
        <w:rPr>
          <w:highlight w:val="none"/>
        </w:rPr>
      </w:pPr>
      <w:r>
        <w:rPr>
          <w:rFonts w:hint="eastAsia"/>
          <w:highlight w:val="none"/>
        </w:rPr>
        <w:t>13.2本合同未尽事宜，遵照与合同相关的现行法律规定执行。</w:t>
      </w:r>
    </w:p>
    <w:p w14:paraId="1B4EC475">
      <w:pPr>
        <w:spacing w:line="360" w:lineRule="auto"/>
        <w:ind w:firstLine="420" w:firstLineChars="200"/>
        <w:rPr>
          <w:highlight w:val="none"/>
        </w:rPr>
      </w:pPr>
      <w:r>
        <w:rPr>
          <w:rFonts w:hint="eastAsia"/>
          <w:highlight w:val="none"/>
        </w:rPr>
        <w:t>13.3 本合同正本一式六份，具有同等法律效力，甲方执四份、乙方执二份。</w:t>
      </w:r>
    </w:p>
    <w:p w14:paraId="37D385C9">
      <w:pPr>
        <w:spacing w:line="360" w:lineRule="auto"/>
        <w:ind w:firstLine="420" w:firstLineChars="200"/>
        <w:rPr>
          <w:highlight w:val="none"/>
        </w:rPr>
      </w:pPr>
      <w:r>
        <w:rPr>
          <w:rFonts w:hint="eastAsia"/>
          <w:highlight w:val="none"/>
        </w:rPr>
        <w:t>附件一：技术参数或规格型号；</w:t>
      </w:r>
    </w:p>
    <w:p w14:paraId="48C03C39">
      <w:pPr>
        <w:spacing w:line="360" w:lineRule="auto"/>
        <w:ind w:firstLine="420" w:firstLineChars="200"/>
        <w:rPr>
          <w:highlight w:val="none"/>
        </w:rPr>
      </w:pPr>
      <w:r>
        <w:rPr>
          <w:rFonts w:hint="eastAsia"/>
          <w:highlight w:val="none"/>
        </w:rPr>
        <w:t>附件二：售后服务承诺。</w:t>
      </w:r>
    </w:p>
    <w:p w14:paraId="11D32622">
      <w:pPr>
        <w:spacing w:line="360" w:lineRule="auto"/>
        <w:ind w:firstLine="420" w:firstLineChars="200"/>
        <w:rPr>
          <w:highlight w:val="none"/>
        </w:rPr>
      </w:pPr>
    </w:p>
    <w:p w14:paraId="6C6AAE81">
      <w:pPr>
        <w:pStyle w:val="24"/>
        <w:snapToGrid w:val="0"/>
        <w:spacing w:line="360" w:lineRule="auto"/>
        <w:ind w:firstLine="630" w:firstLineChars="300"/>
        <w:rPr>
          <w:rFonts w:ascii="宋体" w:hAnsi="宋体"/>
          <w:szCs w:val="21"/>
          <w:highlight w:val="none"/>
        </w:rPr>
      </w:pPr>
      <w:r>
        <w:rPr>
          <w:rFonts w:ascii="宋体" w:hAnsi="宋体"/>
          <w:szCs w:val="21"/>
          <w:highlight w:val="none"/>
        </w:rPr>
        <w:t xml:space="preserve">甲方：                                   乙方： </w:t>
      </w:r>
    </w:p>
    <w:p w14:paraId="53B587FE">
      <w:pPr>
        <w:pStyle w:val="24"/>
        <w:snapToGrid w:val="0"/>
        <w:spacing w:line="360" w:lineRule="auto"/>
        <w:ind w:firstLine="420" w:firstLineChars="200"/>
        <w:rPr>
          <w:rFonts w:ascii="宋体" w:hAnsi="宋体"/>
          <w:szCs w:val="21"/>
          <w:highlight w:val="none"/>
        </w:rPr>
      </w:pPr>
      <w:r>
        <w:rPr>
          <w:rFonts w:ascii="宋体" w:hAnsi="宋体"/>
          <w:szCs w:val="21"/>
          <w:highlight w:val="none"/>
        </w:rPr>
        <w:t xml:space="preserve">  地址：                                   地址： </w:t>
      </w:r>
    </w:p>
    <w:p w14:paraId="762F024C">
      <w:pPr>
        <w:pStyle w:val="24"/>
        <w:snapToGrid w:val="0"/>
        <w:spacing w:line="360" w:lineRule="auto"/>
        <w:ind w:firstLine="420" w:firstLineChars="200"/>
        <w:rPr>
          <w:rFonts w:ascii="宋体" w:hAnsi="宋体"/>
          <w:szCs w:val="21"/>
          <w:highlight w:val="none"/>
        </w:rPr>
      </w:pPr>
      <w:r>
        <w:rPr>
          <w:rFonts w:ascii="宋体" w:hAnsi="宋体"/>
          <w:szCs w:val="21"/>
          <w:highlight w:val="none"/>
        </w:rPr>
        <w:t xml:space="preserve">  法定代表人或授权代表：                   法定代表人或授权代表：</w:t>
      </w:r>
    </w:p>
    <w:p w14:paraId="04781473">
      <w:pPr>
        <w:pStyle w:val="24"/>
        <w:snapToGrid w:val="0"/>
        <w:spacing w:line="360" w:lineRule="auto"/>
        <w:ind w:firstLine="420" w:firstLineChars="200"/>
        <w:rPr>
          <w:rFonts w:ascii="宋体" w:hAnsi="宋体"/>
          <w:szCs w:val="21"/>
          <w:highlight w:val="none"/>
        </w:rPr>
      </w:pPr>
      <w:r>
        <w:rPr>
          <w:rFonts w:ascii="宋体" w:hAnsi="宋体"/>
          <w:szCs w:val="21"/>
          <w:highlight w:val="none"/>
        </w:rPr>
        <w:t xml:space="preserve">  联系电话：                               联系电话：</w:t>
      </w:r>
    </w:p>
    <w:p w14:paraId="0DB5368E">
      <w:pPr>
        <w:pStyle w:val="24"/>
        <w:snapToGrid w:val="0"/>
        <w:spacing w:line="360" w:lineRule="auto"/>
        <w:ind w:firstLine="420" w:firstLineChars="200"/>
        <w:rPr>
          <w:rFonts w:ascii="宋体" w:hAnsi="宋体"/>
          <w:szCs w:val="21"/>
          <w:highlight w:val="none"/>
        </w:rPr>
      </w:pPr>
      <w:r>
        <w:rPr>
          <w:rFonts w:hint="eastAsia" w:ascii="宋体" w:hAnsi="宋体"/>
          <w:szCs w:val="21"/>
          <w:highlight w:val="none"/>
        </w:rPr>
        <w:t xml:space="preserve">  统一社会信用代码： </w:t>
      </w:r>
      <w:r>
        <w:rPr>
          <w:rFonts w:ascii="宋体" w:hAnsi="宋体"/>
          <w:szCs w:val="21"/>
          <w:highlight w:val="none"/>
        </w:rPr>
        <w:t xml:space="preserve">                      </w:t>
      </w:r>
      <w:r>
        <w:rPr>
          <w:rFonts w:hint="eastAsia" w:ascii="宋体" w:hAnsi="宋体"/>
          <w:szCs w:val="21"/>
          <w:highlight w:val="none"/>
        </w:rPr>
        <w:t>统一社会信用代码：</w:t>
      </w:r>
    </w:p>
    <w:p w14:paraId="7BFA9097">
      <w:pPr>
        <w:pStyle w:val="24"/>
        <w:snapToGrid w:val="0"/>
        <w:spacing w:line="360" w:lineRule="auto"/>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开户银行： </w:t>
      </w:r>
      <w:r>
        <w:rPr>
          <w:rFonts w:ascii="宋体" w:hAnsi="宋体"/>
          <w:szCs w:val="21"/>
          <w:highlight w:val="none"/>
        </w:rPr>
        <w:t xml:space="preserve">                              </w:t>
      </w:r>
      <w:r>
        <w:rPr>
          <w:rFonts w:hint="eastAsia" w:ascii="宋体" w:hAnsi="宋体"/>
          <w:szCs w:val="21"/>
          <w:highlight w:val="none"/>
        </w:rPr>
        <w:t>开户银行：</w:t>
      </w:r>
    </w:p>
    <w:p w14:paraId="5689FB19">
      <w:pPr>
        <w:pStyle w:val="24"/>
        <w:snapToGrid w:val="0"/>
        <w:spacing w:line="360" w:lineRule="auto"/>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户名： </w:t>
      </w:r>
      <w:r>
        <w:rPr>
          <w:rFonts w:ascii="宋体" w:hAnsi="宋体"/>
          <w:szCs w:val="21"/>
          <w:highlight w:val="none"/>
        </w:rPr>
        <w:t xml:space="preserve">                                  </w:t>
      </w:r>
      <w:r>
        <w:rPr>
          <w:rFonts w:hint="eastAsia" w:ascii="宋体" w:hAnsi="宋体"/>
          <w:szCs w:val="21"/>
          <w:highlight w:val="none"/>
        </w:rPr>
        <w:t>户名：</w:t>
      </w:r>
    </w:p>
    <w:p w14:paraId="0672CCDF">
      <w:pPr>
        <w:pStyle w:val="24"/>
        <w:snapToGrid w:val="0"/>
        <w:spacing w:line="360" w:lineRule="auto"/>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账号： </w:t>
      </w:r>
      <w:r>
        <w:rPr>
          <w:rFonts w:ascii="宋体" w:hAnsi="宋体"/>
          <w:szCs w:val="21"/>
          <w:highlight w:val="none"/>
        </w:rPr>
        <w:t xml:space="preserve">                                  </w:t>
      </w:r>
      <w:r>
        <w:rPr>
          <w:rFonts w:hint="eastAsia" w:ascii="宋体" w:hAnsi="宋体"/>
          <w:szCs w:val="21"/>
          <w:highlight w:val="none"/>
        </w:rPr>
        <w:t>账号：</w:t>
      </w:r>
    </w:p>
    <w:p w14:paraId="7D2A31DE">
      <w:pPr>
        <w:pStyle w:val="24"/>
        <w:snapToGrid w:val="0"/>
        <w:spacing w:line="360" w:lineRule="auto"/>
        <w:ind w:firstLine="630" w:firstLineChars="300"/>
        <w:rPr>
          <w:rFonts w:ascii="宋体" w:hAnsi="宋体"/>
          <w:sz w:val="24"/>
          <w:highlight w:val="none"/>
        </w:rPr>
      </w:pPr>
      <w:r>
        <w:rPr>
          <w:rFonts w:ascii="宋体" w:hAnsi="宋体"/>
          <w:szCs w:val="21"/>
          <w:highlight w:val="none"/>
        </w:rPr>
        <w:t xml:space="preserve">日期： </w:t>
      </w:r>
      <w:r>
        <w:rPr>
          <w:rFonts w:hint="eastAsia" w:ascii="宋体" w:hAnsi="宋体"/>
          <w:szCs w:val="21"/>
          <w:highlight w:val="none"/>
        </w:rPr>
        <w:t xml:space="preserve">                                  日期</w:t>
      </w:r>
      <w:r>
        <w:rPr>
          <w:rFonts w:hint="eastAsia" w:ascii="宋体" w:hAnsi="宋体"/>
          <w:sz w:val="24"/>
          <w:highlight w:val="none"/>
        </w:rPr>
        <w:t>：</w:t>
      </w:r>
      <w:r>
        <w:rPr>
          <w:rFonts w:ascii="宋体" w:hAnsi="宋体"/>
          <w:sz w:val="24"/>
          <w:highlight w:val="none"/>
        </w:rPr>
        <w:t xml:space="preserve"> </w:t>
      </w:r>
    </w:p>
    <w:p w14:paraId="1A135F9E">
      <w:pPr>
        <w:rPr>
          <w:rFonts w:ascii="宋体" w:hAnsi="宋体" w:cs="宋体"/>
          <w:highlight w:val="none"/>
        </w:rPr>
      </w:pPr>
      <w:r>
        <w:rPr>
          <w:rFonts w:hint="eastAsia" w:ascii="宋体" w:hAnsi="宋体" w:cs="宋体"/>
          <w:highlight w:val="none"/>
        </w:rPr>
        <w:br w:type="page"/>
      </w:r>
    </w:p>
    <w:p w14:paraId="7A21148E">
      <w:pPr>
        <w:pStyle w:val="2"/>
        <w:numPr>
          <w:ilvl w:val="0"/>
          <w:numId w:val="0"/>
        </w:numPr>
        <w:rPr>
          <w:rFonts w:ascii="宋体" w:hAnsi="宋体" w:cs="宋体"/>
          <w:highlight w:val="none"/>
        </w:rPr>
      </w:pPr>
      <w:bookmarkStart w:id="24" w:name="_Toc8438"/>
      <w:r>
        <w:rPr>
          <w:rFonts w:hint="eastAsia" w:ascii="宋体" w:hAnsi="宋体" w:cs="宋体"/>
          <w:highlight w:val="none"/>
        </w:rPr>
        <w:t>第六章 附件</w:t>
      </w:r>
      <w:bookmarkEnd w:id="24"/>
    </w:p>
    <w:p w14:paraId="32A4207C">
      <w:pPr>
        <w:widowControl/>
        <w:adjustRightInd w:val="0"/>
        <w:spacing w:line="240" w:lineRule="atLeast"/>
        <w:jc w:val="left"/>
        <w:rPr>
          <w:rFonts w:ascii="宋体" w:hAnsi="宋体" w:cs="宋体"/>
          <w:b/>
          <w:bCs/>
          <w:szCs w:val="21"/>
          <w:highlight w:val="none"/>
        </w:rPr>
      </w:pPr>
    </w:p>
    <w:bookmarkEnd w:id="0"/>
    <w:bookmarkEnd w:id="1"/>
    <w:p w14:paraId="27756F90">
      <w:pPr>
        <w:widowControl/>
        <w:adjustRightInd w:val="0"/>
        <w:spacing w:line="240" w:lineRule="atLeast"/>
        <w:jc w:val="left"/>
        <w:rPr>
          <w:rFonts w:ascii="Arial" w:hAnsi="Arial" w:cs="Arial"/>
          <w:b/>
          <w:bCs/>
          <w:szCs w:val="21"/>
          <w:highlight w:val="none"/>
        </w:rPr>
      </w:pPr>
      <w:bookmarkStart w:id="25" w:name="_Toc26810"/>
    </w:p>
    <w:p w14:paraId="6B3E3105">
      <w:pPr>
        <w:spacing w:line="440" w:lineRule="exact"/>
        <w:rPr>
          <w:rFonts w:ascii="Arial" w:hAnsi="Arial" w:eastAsia="黑体" w:cs="Arial"/>
          <w:sz w:val="20"/>
          <w:szCs w:val="20"/>
          <w:highlight w:val="none"/>
        </w:rPr>
      </w:pPr>
    </w:p>
    <w:p w14:paraId="4CC427DD">
      <w:pPr>
        <w:spacing w:line="440" w:lineRule="exact"/>
        <w:rPr>
          <w:rFonts w:ascii="Arial" w:hAnsi="Arial" w:eastAsia="黑体" w:cs="Arial"/>
          <w:sz w:val="20"/>
          <w:szCs w:val="20"/>
          <w:highlight w:val="none"/>
        </w:rPr>
      </w:pPr>
    </w:p>
    <w:p w14:paraId="629C345A">
      <w:pPr>
        <w:jc w:val="center"/>
        <w:rPr>
          <w:rFonts w:ascii="宋体" w:hAnsi="宋体" w:cs="宋体"/>
          <w:sz w:val="52"/>
          <w:szCs w:val="52"/>
          <w:highlight w:val="none"/>
        </w:rPr>
      </w:pPr>
      <w:r>
        <w:rPr>
          <w:rFonts w:hint="eastAsia" w:ascii="宋体" w:hAnsi="宋体" w:cs="宋体"/>
          <w:sz w:val="52"/>
          <w:szCs w:val="52"/>
          <w:highlight w:val="none"/>
        </w:rPr>
        <w:t>投标文件</w:t>
      </w:r>
    </w:p>
    <w:p w14:paraId="70F1127C">
      <w:pPr>
        <w:rPr>
          <w:rFonts w:ascii="宋体" w:hAnsi="宋体" w:cs="宋体"/>
          <w:sz w:val="36"/>
          <w:szCs w:val="36"/>
          <w:highlight w:val="none"/>
        </w:rPr>
      </w:pPr>
    </w:p>
    <w:p w14:paraId="64008418">
      <w:pPr>
        <w:rPr>
          <w:rFonts w:ascii="宋体" w:hAnsi="宋体" w:cs="宋体"/>
          <w:sz w:val="36"/>
          <w:szCs w:val="36"/>
          <w:highlight w:val="none"/>
        </w:rPr>
      </w:pPr>
    </w:p>
    <w:p w14:paraId="78C4C878">
      <w:pPr>
        <w:rPr>
          <w:rFonts w:ascii="宋体" w:hAnsi="宋体" w:cs="宋体"/>
          <w:sz w:val="36"/>
          <w:szCs w:val="36"/>
          <w:highlight w:val="none"/>
        </w:rPr>
      </w:pPr>
    </w:p>
    <w:p w14:paraId="6D21727A">
      <w:pPr>
        <w:ind w:firstLine="720" w:firstLineChars="200"/>
        <w:rPr>
          <w:rFonts w:ascii="宋体" w:hAnsi="宋体" w:cs="宋体"/>
          <w:sz w:val="36"/>
          <w:szCs w:val="36"/>
          <w:highlight w:val="none"/>
        </w:rPr>
      </w:pPr>
      <w:r>
        <w:rPr>
          <w:rFonts w:hint="eastAsia" w:ascii="宋体" w:hAnsi="宋体" w:cs="宋体"/>
          <w:sz w:val="36"/>
          <w:szCs w:val="36"/>
          <w:highlight w:val="none"/>
        </w:rPr>
        <w:t>项目名称：</w:t>
      </w:r>
    </w:p>
    <w:p w14:paraId="4798E142">
      <w:pPr>
        <w:ind w:firstLine="720" w:firstLineChars="200"/>
        <w:rPr>
          <w:rFonts w:ascii="宋体" w:hAnsi="宋体" w:cs="宋体"/>
          <w:sz w:val="36"/>
          <w:szCs w:val="36"/>
          <w:highlight w:val="none"/>
        </w:rPr>
      </w:pPr>
      <w:r>
        <w:rPr>
          <w:rFonts w:hint="eastAsia" w:ascii="宋体" w:hAnsi="宋体" w:cs="宋体"/>
          <w:sz w:val="36"/>
          <w:szCs w:val="36"/>
          <w:highlight w:val="none"/>
        </w:rPr>
        <w:t>招标编号：</w:t>
      </w:r>
    </w:p>
    <w:p w14:paraId="02A294EF">
      <w:pPr>
        <w:ind w:firstLine="720" w:firstLineChars="200"/>
        <w:rPr>
          <w:rFonts w:ascii="宋体" w:hAnsi="宋体" w:cs="宋体"/>
          <w:sz w:val="36"/>
          <w:szCs w:val="36"/>
          <w:highlight w:val="none"/>
          <w:u w:val="single"/>
        </w:rPr>
      </w:pPr>
      <w:r>
        <w:rPr>
          <w:rFonts w:hint="eastAsia" w:ascii="宋体" w:hAnsi="宋体" w:cs="宋体"/>
          <w:sz w:val="36"/>
          <w:szCs w:val="36"/>
          <w:highlight w:val="none"/>
        </w:rPr>
        <w:t>投标人名称：（加盖电子公章）</w:t>
      </w:r>
    </w:p>
    <w:p w14:paraId="7A315453">
      <w:pPr>
        <w:widowControl/>
        <w:ind w:firstLine="720" w:firstLineChars="200"/>
        <w:jc w:val="left"/>
        <w:rPr>
          <w:rFonts w:ascii="宋体" w:hAnsi="宋体" w:cs="宋体"/>
          <w:sz w:val="28"/>
          <w:szCs w:val="28"/>
          <w:highlight w:val="none"/>
        </w:rPr>
      </w:pPr>
      <w:r>
        <w:rPr>
          <w:rFonts w:hint="eastAsia" w:ascii="宋体" w:hAnsi="宋体" w:cs="宋体"/>
          <w:sz w:val="36"/>
          <w:szCs w:val="36"/>
          <w:highlight w:val="none"/>
        </w:rPr>
        <w:t>日期：</w:t>
      </w:r>
    </w:p>
    <w:p w14:paraId="59B3BE99">
      <w:pPr>
        <w:rPr>
          <w:rFonts w:eastAsia="黑体"/>
          <w:sz w:val="32"/>
          <w:szCs w:val="32"/>
          <w:highlight w:val="none"/>
        </w:rPr>
      </w:pPr>
      <w:r>
        <w:rPr>
          <w:rFonts w:eastAsia="黑体"/>
          <w:sz w:val="32"/>
          <w:szCs w:val="32"/>
          <w:highlight w:val="none"/>
        </w:rPr>
        <w:br w:type="page"/>
      </w:r>
    </w:p>
    <w:p w14:paraId="0AE60722">
      <w:pPr>
        <w:spacing w:before="312" w:beforeLines="100" w:after="312" w:afterLines="100"/>
        <w:jc w:val="center"/>
        <w:rPr>
          <w:rFonts w:eastAsia="黑体"/>
          <w:sz w:val="32"/>
          <w:szCs w:val="32"/>
          <w:highlight w:val="none"/>
        </w:rPr>
      </w:pPr>
      <w:r>
        <w:rPr>
          <w:rFonts w:eastAsia="黑体"/>
          <w:sz w:val="32"/>
          <w:szCs w:val="32"/>
          <w:highlight w:val="none"/>
        </w:rPr>
        <w:t>目录</w:t>
      </w:r>
    </w:p>
    <w:p w14:paraId="5D0EDED3">
      <w:pPr>
        <w:jc w:val="center"/>
        <w:rPr>
          <w:rFonts w:ascii="宋体" w:hAnsi="宋体" w:cs="宋体"/>
          <w:szCs w:val="21"/>
          <w:highlight w:val="none"/>
        </w:rPr>
      </w:pPr>
      <w:r>
        <w:rPr>
          <w:rFonts w:hint="eastAsia" w:ascii="宋体" w:hAnsi="宋体" w:cs="宋体"/>
          <w:szCs w:val="21"/>
          <w:highlight w:val="none"/>
        </w:rPr>
        <w:t>（注：供应商根据附件顺序编制投标文件并制作目录（须生成页码））</w:t>
      </w:r>
    </w:p>
    <w:p w14:paraId="330D89D0">
      <w:pPr>
        <w:spacing w:line="440" w:lineRule="exact"/>
        <w:rPr>
          <w:rFonts w:ascii="宋体" w:hAnsi="宋体" w:cs="宋体"/>
          <w:kern w:val="0"/>
          <w:szCs w:val="21"/>
          <w:highlight w:val="none"/>
        </w:rPr>
      </w:pPr>
      <w:r>
        <w:rPr>
          <w:rFonts w:ascii="Arial" w:hAnsi="Arial" w:cs="Arial"/>
          <w:highlight w:val="none"/>
        </w:rPr>
        <w:br w:type="page"/>
      </w:r>
      <w:r>
        <w:rPr>
          <w:rFonts w:hint="eastAsia" w:ascii="宋体" w:hAnsi="宋体" w:cs="宋体"/>
          <w:b/>
          <w:bCs/>
          <w:kern w:val="0"/>
          <w:szCs w:val="21"/>
          <w:highlight w:val="none"/>
        </w:rPr>
        <w:t>附件一、投标申请及声明格式</w:t>
      </w:r>
    </w:p>
    <w:p w14:paraId="5A24A70C">
      <w:pPr>
        <w:widowControl/>
        <w:shd w:val="clear" w:color="auto" w:fill="FFFFFF"/>
        <w:spacing w:line="360" w:lineRule="auto"/>
        <w:jc w:val="center"/>
        <w:rPr>
          <w:rFonts w:ascii="宋体" w:hAnsi="宋体" w:cs="宋体"/>
          <w:b/>
          <w:kern w:val="0"/>
          <w:szCs w:val="21"/>
          <w:highlight w:val="none"/>
        </w:rPr>
      </w:pPr>
      <w:r>
        <w:rPr>
          <w:rFonts w:hint="eastAsia" w:ascii="宋体" w:hAnsi="宋体" w:cs="宋体"/>
          <w:b/>
          <w:kern w:val="0"/>
          <w:sz w:val="36"/>
          <w:szCs w:val="36"/>
          <w:highlight w:val="none"/>
        </w:rPr>
        <w:t>投标申请及声明</w:t>
      </w:r>
    </w:p>
    <w:p w14:paraId="53AA7567">
      <w:pPr>
        <w:widowControl/>
        <w:shd w:val="clear" w:color="auto" w:fill="FFFFFF"/>
        <w:spacing w:line="400" w:lineRule="exact"/>
        <w:rPr>
          <w:rFonts w:ascii="宋体" w:hAnsi="宋体" w:cs="宋体"/>
          <w:kern w:val="0"/>
          <w:szCs w:val="21"/>
          <w:highlight w:val="none"/>
        </w:rPr>
      </w:pPr>
      <w:r>
        <w:rPr>
          <w:rFonts w:hint="eastAsia" w:ascii="宋体" w:hAnsi="宋体" w:cs="宋体"/>
          <w:kern w:val="0"/>
          <w:szCs w:val="21"/>
          <w:highlight w:val="none"/>
        </w:rPr>
        <w:t> 致：江苏省设备成套股份有限公司</w:t>
      </w:r>
    </w:p>
    <w:p w14:paraId="13829B74">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18D46662">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据此函，签字人兹宣布声明和承诺如下：</w:t>
      </w:r>
    </w:p>
    <w:p w14:paraId="65C45FD4">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1FFD54B6">
      <w:pPr>
        <w:widowControl/>
        <w:shd w:val="clear" w:color="auto" w:fill="FFFFFF"/>
        <w:spacing w:line="400" w:lineRule="exact"/>
        <w:ind w:left="1470" w:hanging="1050"/>
        <w:rPr>
          <w:rFonts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2E78A4DD">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330C77A4">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65C133F3">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731D437">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贵方组织的其他采购方式采购</w:t>
      </w:r>
      <w:r>
        <w:rPr>
          <w:rFonts w:hint="eastAsia" w:ascii="宋体" w:hAnsi="宋体" w:cs="宋体"/>
          <w:kern w:val="0"/>
          <w:szCs w:val="21"/>
          <w:highlight w:val="none"/>
        </w:rPr>
        <w:t>。</w:t>
      </w:r>
    </w:p>
    <w:p w14:paraId="082BF206">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6718F02A">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8891799">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9、与本投标有关的正式联系方式为：</w:t>
      </w:r>
    </w:p>
    <w:p w14:paraId="3783FB83">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2C4C1076">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5B04D954">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447F3333">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开户银行：</w:t>
      </w:r>
    </w:p>
    <w:p w14:paraId="13F35128">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银行账号：</w:t>
      </w:r>
    </w:p>
    <w:p w14:paraId="4BE679C6">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3A7CCEB3">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6B6D6154">
      <w:pPr>
        <w:widowControl/>
        <w:shd w:val="clear" w:color="auto" w:fill="FFFFFF"/>
        <w:spacing w:line="400" w:lineRule="exact"/>
        <w:ind w:firstLine="420"/>
        <w:rPr>
          <w:rFonts w:ascii="宋体" w:hAnsi="宋体" w:cs="宋体"/>
          <w:kern w:val="0"/>
          <w:szCs w:val="21"/>
          <w:highlight w:val="none"/>
        </w:rPr>
      </w:pPr>
    </w:p>
    <w:p w14:paraId="01256EC5">
      <w:pPr>
        <w:widowControl/>
        <w:shd w:val="clear" w:color="auto" w:fill="FFFFFF"/>
        <w:spacing w:line="360" w:lineRule="auto"/>
        <w:rPr>
          <w:rFonts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14173809">
      <w:pPr>
        <w:widowControl/>
        <w:shd w:val="clear" w:color="auto" w:fill="FFFFFF"/>
        <w:spacing w:line="360" w:lineRule="auto"/>
        <w:ind w:firstLine="720"/>
        <w:jc w:val="center"/>
        <w:rPr>
          <w:rFonts w:ascii="宋体" w:hAnsi="宋体" w:cs="宋体"/>
          <w:kern w:val="0"/>
          <w:sz w:val="36"/>
          <w:szCs w:val="36"/>
          <w:highlight w:val="none"/>
        </w:rPr>
      </w:pPr>
    </w:p>
    <w:p w14:paraId="59CD7B26">
      <w:pPr>
        <w:widowControl/>
        <w:shd w:val="clear" w:color="auto" w:fill="FFFFFF"/>
        <w:spacing w:line="360" w:lineRule="auto"/>
        <w:ind w:firstLine="720"/>
        <w:jc w:val="center"/>
        <w:rPr>
          <w:rFonts w:ascii="宋体" w:hAnsi="宋体" w:cs="宋体"/>
          <w:b/>
          <w:kern w:val="0"/>
          <w:szCs w:val="21"/>
          <w:highlight w:val="none"/>
        </w:rPr>
      </w:pPr>
      <w:r>
        <w:rPr>
          <w:rFonts w:hint="eastAsia" w:ascii="宋体" w:hAnsi="宋体" w:cs="宋体"/>
          <w:b/>
          <w:kern w:val="0"/>
          <w:sz w:val="36"/>
          <w:szCs w:val="36"/>
          <w:highlight w:val="none"/>
        </w:rPr>
        <w:t>法人授权书</w:t>
      </w:r>
    </w:p>
    <w:p w14:paraId="3AFA49E4">
      <w:pPr>
        <w:widowControl/>
        <w:shd w:val="clear" w:color="auto" w:fill="FFFFFF"/>
        <w:spacing w:line="360" w:lineRule="auto"/>
        <w:jc w:val="left"/>
        <w:rPr>
          <w:rFonts w:ascii="宋体" w:hAnsi="宋体" w:cs="宋体"/>
          <w:kern w:val="0"/>
          <w:szCs w:val="21"/>
          <w:highlight w:val="none"/>
        </w:rPr>
      </w:pPr>
    </w:p>
    <w:p w14:paraId="666364A6">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0E1913B1">
      <w:pPr>
        <w:spacing w:line="480" w:lineRule="exact"/>
        <w:ind w:firstLine="480"/>
        <w:rPr>
          <w:rFonts w:ascii="宋体" w:hAnsi="宋体"/>
          <w:szCs w:val="21"/>
          <w:highlight w:val="none"/>
        </w:rPr>
      </w:pPr>
      <w:r>
        <w:rPr>
          <w:rFonts w:hint="eastAsia" w:ascii="宋体" w:hAnsi="宋体"/>
          <w:szCs w:val="21"/>
          <w:highlight w:val="none"/>
        </w:rPr>
        <w:t>本授权书自______年____月____日起生效，特此声明。</w:t>
      </w:r>
    </w:p>
    <w:p w14:paraId="7315298A">
      <w:pPr>
        <w:spacing w:line="480" w:lineRule="exact"/>
        <w:ind w:firstLine="480"/>
        <w:rPr>
          <w:rFonts w:ascii="宋体" w:hAnsi="宋体"/>
          <w:szCs w:val="21"/>
          <w:highlight w:val="none"/>
        </w:rPr>
      </w:pPr>
      <w:r>
        <w:rPr>
          <w:rFonts w:hint="eastAsia" w:ascii="宋体" w:hAnsi="宋体"/>
          <w:szCs w:val="21"/>
          <w:highlight w:val="none"/>
        </w:rPr>
        <w:t>被授权人身份证号码：</w:t>
      </w:r>
    </w:p>
    <w:p w14:paraId="66093FD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08459968">
      <w:pPr>
        <w:spacing w:line="480" w:lineRule="exact"/>
        <w:ind w:firstLine="480"/>
        <w:rPr>
          <w:rFonts w:ascii="宋体" w:hAnsi="宋体"/>
          <w:szCs w:val="21"/>
          <w:highlight w:val="none"/>
          <w:u w:val="single"/>
        </w:rPr>
      </w:pPr>
      <w:r>
        <w:rPr>
          <w:rFonts w:hint="eastAsia" w:ascii="宋体" w:hAnsi="宋体"/>
          <w:szCs w:val="21"/>
          <w:highlight w:val="none"/>
        </w:rPr>
        <w:t>投标人名称：              （加盖电子公章）</w:t>
      </w:r>
    </w:p>
    <w:p w14:paraId="711ADF14">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2EECFA3A">
      <w:pPr>
        <w:spacing w:line="480" w:lineRule="exact"/>
        <w:ind w:firstLine="480"/>
        <w:rPr>
          <w:rFonts w:ascii="宋体" w:hAnsi="宋体"/>
          <w:szCs w:val="21"/>
          <w:highlight w:val="none"/>
        </w:rPr>
      </w:pPr>
      <w:r>
        <w:rPr>
          <w:rFonts w:hint="eastAsia" w:ascii="宋体" w:hAnsi="宋体"/>
          <w:szCs w:val="21"/>
          <w:highlight w:val="none"/>
        </w:rPr>
        <w:t>日    期：</w:t>
      </w:r>
    </w:p>
    <w:p w14:paraId="22F6DC92">
      <w:pPr>
        <w:rPr>
          <w:rFonts w:ascii="宋体" w:hAnsi="宋体"/>
          <w:szCs w:val="21"/>
          <w:highlight w:val="none"/>
        </w:rPr>
      </w:pPr>
      <w:r>
        <w:rPr>
          <w:rFonts w:ascii="宋体" w:hAnsi="宋体"/>
          <w:szCs w:val="21"/>
          <w:highlight w:val="none"/>
        </w:rPr>
        <w:br w:type="page"/>
      </w:r>
    </w:p>
    <w:p w14:paraId="1778022D">
      <w:pPr>
        <w:rPr>
          <w:rFonts w:ascii="宋体" w:hAnsi="宋体"/>
          <w:szCs w:val="21"/>
          <w:highlight w:val="none"/>
        </w:rPr>
      </w:pPr>
    </w:p>
    <w:p w14:paraId="5F94A6E4">
      <w:pPr>
        <w:autoSpaceDE w:val="0"/>
        <w:autoSpaceDN w:val="0"/>
        <w:adjustRightInd w:val="0"/>
        <w:spacing w:line="360" w:lineRule="auto"/>
        <w:rPr>
          <w:rFonts w:ascii="宋体" w:hAnsi="宋体" w:cs="宋体"/>
          <w:highlight w:val="none"/>
        </w:rPr>
      </w:pPr>
      <w:r>
        <w:rPr>
          <w:rFonts w:hint="eastAsia" w:ascii="宋体" w:hAnsi="宋体" w:cs="宋体"/>
          <w:b/>
          <w:bCs/>
          <w:kern w:val="0"/>
          <w:szCs w:val="21"/>
          <w:highlight w:val="none"/>
          <w:lang w:val="zh-CN"/>
        </w:rPr>
        <w:t>附件三、</w:t>
      </w:r>
      <w:bookmarkEnd w:id="25"/>
      <w:r>
        <w:rPr>
          <w:rFonts w:hint="eastAsia" w:ascii="宋体" w:hAnsi="宋体" w:cs="宋体"/>
          <w:b/>
          <w:bCs/>
          <w:kern w:val="0"/>
          <w:szCs w:val="21"/>
          <w:highlight w:val="none"/>
        </w:rPr>
        <w:t>开标一览表</w:t>
      </w:r>
    </w:p>
    <w:p w14:paraId="3E0B224C">
      <w:pPr>
        <w:autoSpaceDE w:val="0"/>
        <w:autoSpaceDN w:val="0"/>
        <w:adjustRightInd w:val="0"/>
        <w:rPr>
          <w:rFonts w:ascii="宋体" w:hAnsi="宋体" w:cs="宋体"/>
          <w:b/>
          <w:bCs/>
          <w:highlight w:val="none"/>
          <w:lang w:val="zh-CN"/>
        </w:rPr>
      </w:pPr>
    </w:p>
    <w:p w14:paraId="3BF1C5CF">
      <w:pPr>
        <w:jc w:val="center"/>
        <w:rPr>
          <w:rFonts w:ascii="宋体" w:hAnsi="宋体" w:cs="宋体"/>
          <w:b/>
          <w:sz w:val="36"/>
          <w:szCs w:val="36"/>
          <w:highlight w:val="none"/>
        </w:rPr>
      </w:pPr>
      <w:r>
        <w:rPr>
          <w:rFonts w:hint="eastAsia" w:ascii="宋体" w:hAnsi="宋体" w:cs="宋体"/>
          <w:b/>
          <w:sz w:val="36"/>
          <w:szCs w:val="36"/>
          <w:highlight w:val="none"/>
        </w:rPr>
        <w:t>开标一览表</w:t>
      </w:r>
    </w:p>
    <w:p w14:paraId="410F851F">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以苏</w:t>
      </w:r>
      <w:r>
        <w:rPr>
          <w:rFonts w:hint="eastAsia" w:ascii="宋体" w:hAnsi="宋体" w:cs="宋体"/>
          <w:kern w:val="0"/>
          <w:szCs w:val="21"/>
          <w:highlight w:val="none"/>
          <w:lang w:val="en-US" w:eastAsia="zh-CN"/>
        </w:rPr>
        <w:t>采</w:t>
      </w:r>
      <w:r>
        <w:rPr>
          <w:rFonts w:hint="eastAsia" w:ascii="宋体" w:hAnsi="宋体" w:cs="宋体"/>
          <w:kern w:val="0"/>
          <w:szCs w:val="21"/>
          <w:highlight w:val="none"/>
        </w:rPr>
        <w:t>云系统为准</w:t>
      </w:r>
    </w:p>
    <w:p w14:paraId="30D7E0FE">
      <w:pPr>
        <w:widowControl/>
        <w:numPr>
          <w:ilvl w:val="0"/>
          <w:numId w:val="7"/>
        </w:numPr>
        <w:spacing w:line="360" w:lineRule="auto"/>
        <w:ind w:firstLine="422" w:firstLineChars="200"/>
        <w:jc w:val="left"/>
        <w:rPr>
          <w:rFonts w:ascii="宋体" w:hAnsi="宋体" w:cs="宋体"/>
          <w:b/>
          <w:bCs/>
          <w:kern w:val="0"/>
          <w:szCs w:val="21"/>
          <w:highlight w:val="none"/>
        </w:rPr>
      </w:pPr>
      <w:r>
        <w:rPr>
          <w:rFonts w:hint="eastAsia" w:ascii="宋体" w:hAnsi="宋体" w:cs="宋体"/>
          <w:b/>
          <w:bCs/>
          <w:kern w:val="0"/>
          <w:szCs w:val="21"/>
          <w:highlight w:val="none"/>
        </w:rPr>
        <w:t>本项目仅接受一个价格，不得填报有选择性报价方案。如有优惠条款须注明，但不得影响报价，影响项目履约交付。</w:t>
      </w:r>
    </w:p>
    <w:p w14:paraId="194408EF">
      <w:pPr>
        <w:widowControl/>
        <w:spacing w:line="360" w:lineRule="auto"/>
        <w:ind w:firstLine="420"/>
        <w:jc w:val="left"/>
        <w:rPr>
          <w:rFonts w:ascii="宋体" w:hAnsi="宋体" w:cs="宋体"/>
          <w:b/>
          <w:bCs/>
          <w:kern w:val="0"/>
          <w:szCs w:val="21"/>
          <w:highlight w:val="none"/>
        </w:rPr>
      </w:pPr>
    </w:p>
    <w:p w14:paraId="0D52A343">
      <w:pPr>
        <w:widowControl/>
        <w:spacing w:line="360" w:lineRule="auto"/>
        <w:jc w:val="left"/>
        <w:rPr>
          <w:rFonts w:ascii="宋体" w:hAnsi="宋体" w:cs="宋体"/>
          <w:b/>
          <w:bCs/>
          <w:kern w:val="0"/>
          <w:szCs w:val="21"/>
          <w:highlight w:val="none"/>
          <w:lang w:val="zh-CN"/>
        </w:rPr>
      </w:pPr>
      <w:bookmarkStart w:id="26" w:name="_Toc12264"/>
      <w:r>
        <w:rPr>
          <w:rFonts w:hint="eastAsia" w:ascii="宋体" w:hAnsi="宋体" w:cs="宋体"/>
          <w:b/>
          <w:bCs/>
          <w:kern w:val="0"/>
          <w:szCs w:val="21"/>
          <w:highlight w:val="none"/>
          <w:lang w:val="zh-CN"/>
        </w:rPr>
        <w:br w:type="page"/>
      </w:r>
    </w:p>
    <w:p w14:paraId="59360A93">
      <w:pPr>
        <w:widowControl/>
        <w:spacing w:line="360" w:lineRule="auto"/>
        <w:jc w:val="left"/>
        <w:rPr>
          <w:rFonts w:ascii="宋体" w:hAnsi="宋体" w:cs="宋体"/>
          <w:b/>
          <w:bCs/>
          <w:kern w:val="0"/>
          <w:szCs w:val="21"/>
          <w:highlight w:val="none"/>
          <w:lang w:val="zh-CN"/>
        </w:rPr>
      </w:pPr>
      <w:r>
        <w:rPr>
          <w:rFonts w:hint="eastAsia" w:ascii="宋体" w:hAnsi="宋体" w:cs="宋体"/>
          <w:b/>
          <w:bCs/>
          <w:kern w:val="0"/>
          <w:szCs w:val="21"/>
          <w:highlight w:val="none"/>
        </w:rPr>
        <w:t>附表</w:t>
      </w:r>
      <w:r>
        <w:rPr>
          <w:rFonts w:hint="eastAsia" w:ascii="宋体" w:hAnsi="宋体" w:cs="宋体"/>
          <w:b/>
          <w:bCs/>
          <w:kern w:val="0"/>
          <w:szCs w:val="21"/>
          <w:highlight w:val="none"/>
          <w:lang w:val="zh-CN"/>
        </w:rPr>
        <w:t>：分项报价表格式</w:t>
      </w:r>
      <w:bookmarkEnd w:id="26"/>
    </w:p>
    <w:p w14:paraId="2B691E5A">
      <w:pPr>
        <w:widowControl/>
        <w:adjustRightInd w:val="0"/>
        <w:spacing w:line="240" w:lineRule="atLeast"/>
        <w:jc w:val="left"/>
        <w:rPr>
          <w:rFonts w:ascii="宋体" w:hAnsi="宋体" w:cs="宋体"/>
          <w:b/>
          <w:bCs/>
          <w:kern w:val="0"/>
          <w:highlight w:val="none"/>
          <w:lang w:val="zh-CN"/>
        </w:rPr>
      </w:pPr>
    </w:p>
    <w:p w14:paraId="0EC6A95A">
      <w:pPr>
        <w:widowControl/>
        <w:spacing w:line="360" w:lineRule="auto"/>
        <w:jc w:val="center"/>
        <w:rPr>
          <w:rFonts w:ascii="宋体" w:hAnsi="宋体" w:cs="宋体"/>
          <w:b/>
          <w:kern w:val="0"/>
          <w:sz w:val="36"/>
          <w:szCs w:val="36"/>
          <w:highlight w:val="none"/>
        </w:rPr>
      </w:pPr>
      <w:r>
        <w:rPr>
          <w:rFonts w:hint="eastAsia" w:ascii="宋体" w:hAnsi="宋体" w:cs="宋体"/>
          <w:b/>
          <w:kern w:val="0"/>
          <w:sz w:val="36"/>
          <w:szCs w:val="36"/>
          <w:highlight w:val="none"/>
        </w:rPr>
        <w:t>分项报价表</w:t>
      </w:r>
    </w:p>
    <w:p w14:paraId="2971A6C5">
      <w:pPr>
        <w:widowControl/>
        <w:spacing w:line="360" w:lineRule="auto"/>
        <w:jc w:val="left"/>
        <w:rPr>
          <w:rFonts w:ascii="宋体" w:hAnsi="宋体" w:cs="宋体"/>
          <w:kern w:val="0"/>
          <w:szCs w:val="21"/>
          <w:highlight w:val="none"/>
        </w:rPr>
      </w:pPr>
    </w:p>
    <w:tbl>
      <w:tblPr>
        <w:tblStyle w:val="45"/>
        <w:tblW w:w="8473"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
        <w:gridCol w:w="2752"/>
        <w:gridCol w:w="767"/>
        <w:gridCol w:w="2010"/>
        <w:gridCol w:w="2010"/>
      </w:tblGrid>
      <w:tr w14:paraId="6F40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dxa"/>
            <w:vAlign w:val="center"/>
          </w:tcPr>
          <w:p w14:paraId="140AB541">
            <w:pPr>
              <w:spacing w:line="500" w:lineRule="exact"/>
              <w:ind w:left="420" w:hanging="420" w:hangingChars="175"/>
              <w:jc w:val="center"/>
              <w:rPr>
                <w:rFonts w:ascii="宋体" w:hAnsi="宋体"/>
                <w:sz w:val="24"/>
                <w:highlight w:val="none"/>
              </w:rPr>
            </w:pPr>
            <w:r>
              <w:rPr>
                <w:rFonts w:hint="eastAsia" w:ascii="宋体" w:hAnsi="宋体"/>
                <w:sz w:val="24"/>
                <w:highlight w:val="none"/>
              </w:rPr>
              <w:t>序号</w:t>
            </w:r>
          </w:p>
        </w:tc>
        <w:tc>
          <w:tcPr>
            <w:tcW w:w="2752" w:type="dxa"/>
            <w:vAlign w:val="center"/>
          </w:tcPr>
          <w:p w14:paraId="79D844F8">
            <w:pPr>
              <w:spacing w:line="500" w:lineRule="exact"/>
              <w:ind w:left="420" w:hanging="420" w:hangingChars="175"/>
              <w:jc w:val="center"/>
              <w:rPr>
                <w:rFonts w:ascii="宋体" w:hAnsi="宋体"/>
                <w:sz w:val="24"/>
                <w:highlight w:val="none"/>
              </w:rPr>
            </w:pPr>
            <w:r>
              <w:rPr>
                <w:rFonts w:hint="eastAsia" w:ascii="宋体" w:hAnsi="宋体"/>
                <w:sz w:val="24"/>
                <w:highlight w:val="none"/>
              </w:rPr>
              <w:t>设备名称</w:t>
            </w:r>
          </w:p>
        </w:tc>
        <w:tc>
          <w:tcPr>
            <w:tcW w:w="767" w:type="dxa"/>
            <w:vAlign w:val="center"/>
          </w:tcPr>
          <w:p w14:paraId="78DACD6F">
            <w:pPr>
              <w:spacing w:line="500" w:lineRule="exact"/>
              <w:ind w:left="420" w:hanging="420" w:hangingChars="175"/>
              <w:jc w:val="center"/>
              <w:rPr>
                <w:rFonts w:ascii="宋体" w:hAnsi="宋体"/>
                <w:sz w:val="24"/>
                <w:highlight w:val="none"/>
              </w:rPr>
            </w:pPr>
            <w:r>
              <w:rPr>
                <w:rFonts w:hint="eastAsia" w:ascii="宋体" w:hAnsi="宋体"/>
                <w:sz w:val="24"/>
                <w:highlight w:val="none"/>
              </w:rPr>
              <w:t>数量</w:t>
            </w:r>
          </w:p>
        </w:tc>
        <w:tc>
          <w:tcPr>
            <w:tcW w:w="2010" w:type="dxa"/>
            <w:vAlign w:val="center"/>
          </w:tcPr>
          <w:p w14:paraId="7D081887">
            <w:pPr>
              <w:spacing w:line="500" w:lineRule="exact"/>
              <w:ind w:left="420" w:hanging="420" w:hangingChars="175"/>
              <w:jc w:val="center"/>
              <w:rPr>
                <w:rFonts w:ascii="宋体" w:hAnsi="宋体"/>
                <w:sz w:val="24"/>
                <w:highlight w:val="none"/>
              </w:rPr>
            </w:pPr>
            <w:r>
              <w:rPr>
                <w:rFonts w:hint="eastAsia" w:ascii="宋体" w:hAnsi="宋体"/>
                <w:sz w:val="24"/>
                <w:highlight w:val="none"/>
              </w:rPr>
              <w:t>报价（元）</w:t>
            </w:r>
          </w:p>
        </w:tc>
        <w:tc>
          <w:tcPr>
            <w:tcW w:w="2010" w:type="dxa"/>
            <w:vAlign w:val="center"/>
          </w:tcPr>
          <w:p w14:paraId="3AA1E0F7">
            <w:pPr>
              <w:spacing w:line="500" w:lineRule="exact"/>
              <w:ind w:left="420" w:hanging="420" w:hangingChars="175"/>
              <w:jc w:val="center"/>
              <w:rPr>
                <w:rFonts w:ascii="宋体" w:hAnsi="宋体"/>
                <w:sz w:val="24"/>
                <w:highlight w:val="none"/>
              </w:rPr>
            </w:pPr>
            <w:r>
              <w:rPr>
                <w:rFonts w:hint="eastAsia" w:ascii="宋体" w:hAnsi="宋体"/>
                <w:sz w:val="24"/>
                <w:highlight w:val="none"/>
              </w:rPr>
              <w:t>品牌及型号</w:t>
            </w:r>
          </w:p>
        </w:tc>
      </w:tr>
      <w:tr w14:paraId="572F3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dxa"/>
            <w:vAlign w:val="center"/>
          </w:tcPr>
          <w:p w14:paraId="0B78FEE4">
            <w:pPr>
              <w:spacing w:line="500" w:lineRule="exact"/>
              <w:ind w:left="368" w:hanging="367" w:hangingChars="175"/>
              <w:jc w:val="center"/>
              <w:rPr>
                <w:rFonts w:ascii="宋体" w:hAnsi="宋体"/>
                <w:sz w:val="24"/>
                <w:highlight w:val="none"/>
              </w:rPr>
            </w:pPr>
            <w:r>
              <w:rPr>
                <w:rFonts w:hint="eastAsia" w:ascii="宋体" w:hAnsi="宋体"/>
                <w:szCs w:val="21"/>
                <w:highlight w:val="none"/>
              </w:rPr>
              <w:t>1</w:t>
            </w:r>
          </w:p>
        </w:tc>
        <w:tc>
          <w:tcPr>
            <w:tcW w:w="2752" w:type="dxa"/>
            <w:vAlign w:val="center"/>
          </w:tcPr>
          <w:p w14:paraId="3BD72C66">
            <w:pPr>
              <w:pStyle w:val="279"/>
              <w:rPr>
                <w:rFonts w:ascii="宋体" w:hAnsi="宋体"/>
                <w:highlight w:val="none"/>
              </w:rPr>
            </w:pPr>
            <w:r>
              <w:rPr>
                <w:rFonts w:hint="eastAsia"/>
                <w:szCs w:val="28"/>
                <w:highlight w:val="none"/>
              </w:rPr>
              <w:t>智算基座引擎</w:t>
            </w:r>
          </w:p>
        </w:tc>
        <w:tc>
          <w:tcPr>
            <w:tcW w:w="767" w:type="dxa"/>
            <w:vAlign w:val="center"/>
          </w:tcPr>
          <w:p w14:paraId="48CF080A">
            <w:pPr>
              <w:pStyle w:val="279"/>
              <w:jc w:val="center"/>
              <w:rPr>
                <w:rFonts w:ascii="宋体" w:hAnsi="宋体"/>
                <w:highlight w:val="none"/>
              </w:rPr>
            </w:pPr>
            <w:r>
              <w:rPr>
                <w:highlight w:val="none"/>
              </w:rPr>
              <w:t>1套</w:t>
            </w:r>
          </w:p>
        </w:tc>
        <w:tc>
          <w:tcPr>
            <w:tcW w:w="2010" w:type="dxa"/>
            <w:vAlign w:val="center"/>
          </w:tcPr>
          <w:p w14:paraId="4974504F">
            <w:pPr>
              <w:spacing w:line="500" w:lineRule="exact"/>
              <w:ind w:left="420" w:hanging="420" w:hangingChars="175"/>
              <w:jc w:val="center"/>
              <w:rPr>
                <w:rFonts w:ascii="宋体" w:hAnsi="宋体"/>
                <w:sz w:val="24"/>
                <w:highlight w:val="none"/>
              </w:rPr>
            </w:pPr>
          </w:p>
        </w:tc>
        <w:tc>
          <w:tcPr>
            <w:tcW w:w="2010" w:type="dxa"/>
            <w:vAlign w:val="center"/>
          </w:tcPr>
          <w:p w14:paraId="0E39B707">
            <w:pPr>
              <w:spacing w:line="500" w:lineRule="exact"/>
              <w:ind w:left="420" w:hanging="420" w:hangingChars="175"/>
              <w:jc w:val="center"/>
              <w:rPr>
                <w:rFonts w:ascii="宋体" w:hAnsi="宋体"/>
                <w:sz w:val="24"/>
                <w:highlight w:val="none"/>
              </w:rPr>
            </w:pPr>
          </w:p>
        </w:tc>
      </w:tr>
      <w:tr w14:paraId="18679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dxa"/>
            <w:vAlign w:val="center"/>
          </w:tcPr>
          <w:p w14:paraId="4FBCF71C">
            <w:pPr>
              <w:spacing w:line="500" w:lineRule="exact"/>
              <w:ind w:left="368" w:hanging="367" w:hangingChars="175"/>
              <w:jc w:val="center"/>
              <w:rPr>
                <w:rFonts w:ascii="宋体" w:hAnsi="宋体"/>
                <w:szCs w:val="21"/>
                <w:highlight w:val="none"/>
              </w:rPr>
            </w:pPr>
            <w:r>
              <w:rPr>
                <w:rFonts w:hint="eastAsia" w:ascii="宋体" w:hAnsi="宋体"/>
                <w:szCs w:val="21"/>
                <w:highlight w:val="none"/>
              </w:rPr>
              <w:t>2</w:t>
            </w:r>
          </w:p>
        </w:tc>
        <w:tc>
          <w:tcPr>
            <w:tcW w:w="2752" w:type="dxa"/>
            <w:vAlign w:val="center"/>
          </w:tcPr>
          <w:p w14:paraId="481C9F63">
            <w:pPr>
              <w:pStyle w:val="279"/>
              <w:rPr>
                <w:rFonts w:ascii="宋体" w:hAnsi="宋体"/>
                <w:highlight w:val="none"/>
              </w:rPr>
            </w:pPr>
            <w:r>
              <w:rPr>
                <w:szCs w:val="28"/>
                <w:highlight w:val="none"/>
              </w:rPr>
              <w:t>教师教育大模型</w:t>
            </w:r>
          </w:p>
        </w:tc>
        <w:tc>
          <w:tcPr>
            <w:tcW w:w="767" w:type="dxa"/>
            <w:vAlign w:val="center"/>
          </w:tcPr>
          <w:p w14:paraId="09C30858">
            <w:pPr>
              <w:pStyle w:val="279"/>
              <w:jc w:val="center"/>
              <w:rPr>
                <w:rFonts w:ascii="宋体" w:hAnsi="宋体"/>
                <w:highlight w:val="none"/>
              </w:rPr>
            </w:pPr>
            <w:r>
              <w:rPr>
                <w:highlight w:val="none"/>
              </w:rPr>
              <w:t>1套</w:t>
            </w:r>
          </w:p>
        </w:tc>
        <w:tc>
          <w:tcPr>
            <w:tcW w:w="2010" w:type="dxa"/>
            <w:vAlign w:val="center"/>
          </w:tcPr>
          <w:p w14:paraId="3D93155F">
            <w:pPr>
              <w:spacing w:line="500" w:lineRule="exact"/>
              <w:ind w:left="420" w:hanging="420" w:hangingChars="175"/>
              <w:jc w:val="center"/>
              <w:rPr>
                <w:rFonts w:ascii="宋体" w:hAnsi="宋体"/>
                <w:sz w:val="24"/>
                <w:highlight w:val="none"/>
              </w:rPr>
            </w:pPr>
          </w:p>
        </w:tc>
        <w:tc>
          <w:tcPr>
            <w:tcW w:w="2010" w:type="dxa"/>
            <w:vAlign w:val="center"/>
          </w:tcPr>
          <w:p w14:paraId="1CD70B86">
            <w:pPr>
              <w:spacing w:line="500" w:lineRule="exact"/>
              <w:ind w:left="420" w:hanging="420" w:hangingChars="175"/>
              <w:jc w:val="center"/>
              <w:rPr>
                <w:rFonts w:ascii="宋体" w:hAnsi="宋体"/>
                <w:sz w:val="24"/>
                <w:highlight w:val="none"/>
              </w:rPr>
            </w:pPr>
          </w:p>
        </w:tc>
      </w:tr>
      <w:tr w14:paraId="6A68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dxa"/>
            <w:vAlign w:val="center"/>
          </w:tcPr>
          <w:p w14:paraId="31FE0AE9">
            <w:pPr>
              <w:spacing w:line="500" w:lineRule="exact"/>
              <w:ind w:left="368" w:hanging="367" w:hangingChars="175"/>
              <w:jc w:val="center"/>
              <w:rPr>
                <w:rFonts w:ascii="宋体" w:hAnsi="宋体"/>
                <w:szCs w:val="21"/>
                <w:highlight w:val="none"/>
              </w:rPr>
            </w:pPr>
            <w:r>
              <w:rPr>
                <w:rFonts w:hint="eastAsia" w:ascii="宋体" w:hAnsi="宋体"/>
                <w:szCs w:val="21"/>
                <w:highlight w:val="none"/>
              </w:rPr>
              <w:t>3</w:t>
            </w:r>
          </w:p>
        </w:tc>
        <w:tc>
          <w:tcPr>
            <w:tcW w:w="2752" w:type="dxa"/>
            <w:vAlign w:val="center"/>
          </w:tcPr>
          <w:p w14:paraId="48813653">
            <w:pPr>
              <w:pStyle w:val="279"/>
              <w:rPr>
                <w:rFonts w:ascii="宋体" w:hAnsi="宋体"/>
                <w:highlight w:val="none"/>
              </w:rPr>
            </w:pPr>
            <w:r>
              <w:rPr>
                <w:rFonts w:hint="eastAsia"/>
                <w:highlight w:val="none"/>
              </w:rPr>
              <w:t>TPCK</w:t>
            </w:r>
            <w:r>
              <w:rPr>
                <w:highlight w:val="none"/>
              </w:rPr>
              <w:t>教师教育知识库</w:t>
            </w:r>
          </w:p>
        </w:tc>
        <w:tc>
          <w:tcPr>
            <w:tcW w:w="767" w:type="dxa"/>
            <w:vAlign w:val="center"/>
          </w:tcPr>
          <w:p w14:paraId="14A4F49D">
            <w:pPr>
              <w:pStyle w:val="279"/>
              <w:jc w:val="center"/>
              <w:rPr>
                <w:rFonts w:ascii="宋体" w:hAnsi="宋体"/>
                <w:highlight w:val="none"/>
              </w:rPr>
            </w:pPr>
            <w:r>
              <w:rPr>
                <w:highlight w:val="none"/>
              </w:rPr>
              <w:t>1套</w:t>
            </w:r>
          </w:p>
        </w:tc>
        <w:tc>
          <w:tcPr>
            <w:tcW w:w="2010" w:type="dxa"/>
            <w:vAlign w:val="center"/>
          </w:tcPr>
          <w:p w14:paraId="73D9051B">
            <w:pPr>
              <w:spacing w:line="500" w:lineRule="exact"/>
              <w:ind w:left="420" w:hanging="420" w:hangingChars="175"/>
              <w:jc w:val="center"/>
              <w:rPr>
                <w:rFonts w:ascii="宋体" w:hAnsi="宋体"/>
                <w:sz w:val="24"/>
                <w:highlight w:val="none"/>
              </w:rPr>
            </w:pPr>
          </w:p>
        </w:tc>
        <w:tc>
          <w:tcPr>
            <w:tcW w:w="2010" w:type="dxa"/>
            <w:vAlign w:val="center"/>
          </w:tcPr>
          <w:p w14:paraId="57900E20">
            <w:pPr>
              <w:spacing w:line="500" w:lineRule="exact"/>
              <w:ind w:left="420" w:hanging="420" w:hangingChars="175"/>
              <w:jc w:val="center"/>
              <w:rPr>
                <w:rFonts w:ascii="宋体" w:hAnsi="宋体"/>
                <w:sz w:val="24"/>
                <w:highlight w:val="none"/>
              </w:rPr>
            </w:pPr>
          </w:p>
        </w:tc>
      </w:tr>
      <w:tr w14:paraId="6BC2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dxa"/>
            <w:vAlign w:val="center"/>
          </w:tcPr>
          <w:p w14:paraId="0189B933">
            <w:pPr>
              <w:spacing w:line="500" w:lineRule="exact"/>
              <w:ind w:left="368" w:hanging="367" w:hangingChars="175"/>
              <w:jc w:val="center"/>
              <w:rPr>
                <w:rFonts w:ascii="宋体" w:hAnsi="宋体"/>
                <w:szCs w:val="21"/>
                <w:highlight w:val="none"/>
              </w:rPr>
            </w:pPr>
            <w:r>
              <w:rPr>
                <w:rFonts w:hint="eastAsia" w:ascii="宋体" w:hAnsi="宋体"/>
                <w:szCs w:val="21"/>
                <w:highlight w:val="none"/>
              </w:rPr>
              <w:t>4</w:t>
            </w:r>
          </w:p>
        </w:tc>
        <w:tc>
          <w:tcPr>
            <w:tcW w:w="2752" w:type="dxa"/>
            <w:vAlign w:val="center"/>
          </w:tcPr>
          <w:p w14:paraId="2FE37469">
            <w:pPr>
              <w:pStyle w:val="279"/>
              <w:rPr>
                <w:rFonts w:ascii="宋体" w:hAnsi="宋体"/>
                <w:highlight w:val="none"/>
              </w:rPr>
            </w:pPr>
            <w:r>
              <w:rPr>
                <w:rFonts w:hint="eastAsia"/>
                <w:highlight w:val="none"/>
              </w:rPr>
              <w:t>大模型运营与接口要求</w:t>
            </w:r>
          </w:p>
        </w:tc>
        <w:tc>
          <w:tcPr>
            <w:tcW w:w="767" w:type="dxa"/>
            <w:vAlign w:val="center"/>
          </w:tcPr>
          <w:p w14:paraId="132F71DD">
            <w:pPr>
              <w:pStyle w:val="279"/>
              <w:jc w:val="center"/>
              <w:rPr>
                <w:rFonts w:ascii="宋体" w:hAnsi="宋体"/>
                <w:highlight w:val="none"/>
              </w:rPr>
            </w:pPr>
            <w:r>
              <w:rPr>
                <w:rFonts w:hint="eastAsia"/>
                <w:highlight w:val="none"/>
              </w:rPr>
              <w:t>1套</w:t>
            </w:r>
          </w:p>
        </w:tc>
        <w:tc>
          <w:tcPr>
            <w:tcW w:w="2010" w:type="dxa"/>
            <w:vAlign w:val="center"/>
          </w:tcPr>
          <w:p w14:paraId="65CC4DE7">
            <w:pPr>
              <w:spacing w:line="500" w:lineRule="exact"/>
              <w:ind w:left="420" w:hanging="420" w:hangingChars="175"/>
              <w:jc w:val="center"/>
              <w:rPr>
                <w:rFonts w:ascii="宋体" w:hAnsi="宋体"/>
                <w:sz w:val="24"/>
                <w:highlight w:val="none"/>
              </w:rPr>
            </w:pPr>
          </w:p>
        </w:tc>
        <w:tc>
          <w:tcPr>
            <w:tcW w:w="2010" w:type="dxa"/>
            <w:vAlign w:val="center"/>
          </w:tcPr>
          <w:p w14:paraId="3091E562">
            <w:pPr>
              <w:spacing w:line="500" w:lineRule="exact"/>
              <w:ind w:left="420" w:hanging="420" w:hangingChars="175"/>
              <w:jc w:val="center"/>
              <w:rPr>
                <w:rFonts w:ascii="宋体" w:hAnsi="宋体"/>
                <w:sz w:val="24"/>
                <w:highlight w:val="none"/>
              </w:rPr>
            </w:pPr>
          </w:p>
        </w:tc>
      </w:tr>
      <w:tr w14:paraId="3F459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dxa"/>
            <w:vAlign w:val="center"/>
          </w:tcPr>
          <w:p w14:paraId="1F697A39">
            <w:pPr>
              <w:spacing w:line="500" w:lineRule="exact"/>
              <w:ind w:left="420" w:hanging="420" w:hangingChars="175"/>
              <w:jc w:val="center"/>
              <w:rPr>
                <w:rFonts w:ascii="宋体" w:hAnsi="宋体"/>
                <w:sz w:val="24"/>
                <w:highlight w:val="none"/>
              </w:rPr>
            </w:pPr>
          </w:p>
        </w:tc>
        <w:tc>
          <w:tcPr>
            <w:tcW w:w="3519" w:type="dxa"/>
            <w:gridSpan w:val="2"/>
            <w:vAlign w:val="center"/>
          </w:tcPr>
          <w:p w14:paraId="799C71B8">
            <w:pPr>
              <w:spacing w:line="500" w:lineRule="exact"/>
              <w:ind w:left="420" w:hanging="420" w:hangingChars="175"/>
              <w:jc w:val="center"/>
              <w:rPr>
                <w:rFonts w:ascii="宋体" w:hAnsi="宋体"/>
                <w:sz w:val="24"/>
                <w:highlight w:val="none"/>
              </w:rPr>
            </w:pPr>
            <w:r>
              <w:rPr>
                <w:rFonts w:hint="eastAsia" w:ascii="宋体" w:hAnsi="宋体"/>
                <w:sz w:val="24"/>
                <w:highlight w:val="none"/>
              </w:rPr>
              <w:t>合计</w:t>
            </w:r>
          </w:p>
        </w:tc>
        <w:tc>
          <w:tcPr>
            <w:tcW w:w="2010" w:type="dxa"/>
            <w:vAlign w:val="center"/>
          </w:tcPr>
          <w:p w14:paraId="01C38AFF">
            <w:pPr>
              <w:spacing w:line="500" w:lineRule="exact"/>
              <w:ind w:left="420" w:hanging="420" w:hangingChars="175"/>
              <w:jc w:val="center"/>
              <w:rPr>
                <w:rFonts w:ascii="宋体" w:hAnsi="宋体"/>
                <w:sz w:val="24"/>
                <w:highlight w:val="none"/>
              </w:rPr>
            </w:pPr>
          </w:p>
        </w:tc>
        <w:tc>
          <w:tcPr>
            <w:tcW w:w="2010" w:type="dxa"/>
            <w:vAlign w:val="center"/>
          </w:tcPr>
          <w:p w14:paraId="45B80286">
            <w:pPr>
              <w:spacing w:line="500" w:lineRule="exact"/>
              <w:ind w:left="420" w:hanging="420" w:hangingChars="175"/>
              <w:jc w:val="center"/>
              <w:rPr>
                <w:rFonts w:ascii="宋体" w:hAnsi="宋体"/>
                <w:sz w:val="24"/>
                <w:highlight w:val="none"/>
              </w:rPr>
            </w:pPr>
          </w:p>
        </w:tc>
      </w:tr>
    </w:tbl>
    <w:p w14:paraId="576A535B">
      <w:pPr>
        <w:widowControl/>
        <w:spacing w:line="360" w:lineRule="auto"/>
        <w:jc w:val="left"/>
        <w:rPr>
          <w:rFonts w:ascii="宋体" w:hAnsi="宋体" w:cs="宋体"/>
          <w:kern w:val="0"/>
          <w:szCs w:val="21"/>
          <w:highlight w:val="none"/>
        </w:rPr>
      </w:pPr>
    </w:p>
    <w:p w14:paraId="4D05A5FA">
      <w:pPr>
        <w:widowControl/>
        <w:spacing w:line="360" w:lineRule="auto"/>
        <w:jc w:val="left"/>
        <w:rPr>
          <w:rFonts w:ascii="宋体" w:hAnsi="宋体" w:cs="宋体"/>
          <w:kern w:val="0"/>
          <w:szCs w:val="21"/>
          <w:highlight w:val="none"/>
        </w:rPr>
      </w:pPr>
    </w:p>
    <w:p w14:paraId="3927F57C">
      <w:pPr>
        <w:widowControl/>
        <w:spacing w:line="360" w:lineRule="auto"/>
        <w:jc w:val="left"/>
        <w:rPr>
          <w:rFonts w:ascii="宋体" w:hAnsi="宋体" w:cs="宋体"/>
          <w:kern w:val="0"/>
          <w:szCs w:val="21"/>
          <w:highlight w:val="none"/>
        </w:rPr>
      </w:pPr>
    </w:p>
    <w:p w14:paraId="30C49464">
      <w:pPr>
        <w:widowControl/>
        <w:spacing w:line="360" w:lineRule="auto"/>
        <w:jc w:val="left"/>
        <w:rPr>
          <w:rFonts w:ascii="宋体" w:hAnsi="宋体" w:cs="宋体"/>
          <w:kern w:val="0"/>
          <w:szCs w:val="21"/>
          <w:highlight w:val="none"/>
        </w:rPr>
      </w:pPr>
    </w:p>
    <w:p w14:paraId="306F437E">
      <w:pPr>
        <w:widowControl/>
        <w:spacing w:line="360" w:lineRule="auto"/>
        <w:jc w:val="left"/>
        <w:rPr>
          <w:rFonts w:ascii="宋体" w:hAnsi="宋体" w:cs="宋体"/>
          <w:kern w:val="0"/>
          <w:szCs w:val="21"/>
          <w:highlight w:val="none"/>
        </w:rPr>
      </w:pPr>
    </w:p>
    <w:p w14:paraId="60ED73C9">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977FCC">
      <w:pPr>
        <w:widowControl/>
        <w:spacing w:line="360" w:lineRule="auto"/>
        <w:jc w:val="left"/>
        <w:rPr>
          <w:rFonts w:ascii="宋体" w:hAnsi="宋体" w:cs="宋体"/>
          <w:kern w:val="0"/>
          <w:szCs w:val="21"/>
          <w:highlight w:val="none"/>
          <w:u w:val="single"/>
        </w:rPr>
      </w:pPr>
    </w:p>
    <w:p w14:paraId="123B5E7E">
      <w:pPr>
        <w:widowControl/>
        <w:spacing w:line="360" w:lineRule="auto"/>
        <w:jc w:val="left"/>
        <w:rPr>
          <w:rFonts w:ascii="宋体" w:hAnsi="宋体" w:cs="宋体"/>
          <w:kern w:val="0"/>
          <w:szCs w:val="21"/>
          <w:highlight w:val="none"/>
        </w:rPr>
      </w:pPr>
    </w:p>
    <w:p w14:paraId="1719A0BB">
      <w:pPr>
        <w:widowControl/>
        <w:spacing w:line="360" w:lineRule="auto"/>
        <w:jc w:val="left"/>
        <w:rPr>
          <w:rFonts w:ascii="宋体" w:hAnsi="宋体" w:cs="宋体"/>
          <w:kern w:val="0"/>
          <w:szCs w:val="21"/>
          <w:highlight w:val="none"/>
        </w:rPr>
      </w:pPr>
    </w:p>
    <w:p w14:paraId="07DA05E5">
      <w:pPr>
        <w:widowControl/>
        <w:spacing w:line="360" w:lineRule="auto"/>
        <w:jc w:val="left"/>
        <w:rPr>
          <w:rFonts w:ascii="宋体" w:hAnsi="宋体" w:cs="宋体"/>
          <w:kern w:val="0"/>
          <w:szCs w:val="21"/>
          <w:highlight w:val="none"/>
        </w:rPr>
      </w:pPr>
    </w:p>
    <w:p w14:paraId="7715CDCE">
      <w:pPr>
        <w:widowControl/>
        <w:spacing w:line="360" w:lineRule="auto"/>
        <w:jc w:val="left"/>
        <w:rPr>
          <w:rFonts w:ascii="宋体" w:hAnsi="宋体" w:cs="宋体"/>
          <w:kern w:val="0"/>
          <w:szCs w:val="21"/>
          <w:highlight w:val="none"/>
        </w:rPr>
      </w:pPr>
    </w:p>
    <w:p w14:paraId="185DF5C8">
      <w:pPr>
        <w:widowControl/>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020C32F5">
      <w:pPr>
        <w:widowControl/>
        <w:jc w:val="left"/>
        <w:rPr>
          <w:rFonts w:ascii="宋体" w:hAnsi="宋体" w:cs="宋体"/>
          <w:kern w:val="0"/>
          <w:szCs w:val="21"/>
          <w:highlight w:val="none"/>
        </w:rPr>
      </w:pPr>
      <w:r>
        <w:rPr>
          <w:rFonts w:hint="eastAsia" w:ascii="宋体" w:hAnsi="宋体" w:cs="宋体"/>
          <w:kern w:val="0"/>
          <w:szCs w:val="21"/>
          <w:highlight w:val="none"/>
        </w:rPr>
        <w:br w:type="page"/>
      </w:r>
    </w:p>
    <w:p w14:paraId="340F2158">
      <w:pPr>
        <w:widowControl/>
        <w:shd w:val="clear" w:color="auto" w:fill="FFFFFF"/>
        <w:spacing w:line="360" w:lineRule="auto"/>
        <w:jc w:val="left"/>
        <w:rPr>
          <w:rFonts w:ascii="宋体" w:hAnsi="宋体" w:cs="宋体"/>
          <w:kern w:val="0"/>
          <w:szCs w:val="21"/>
          <w:highlight w:val="none"/>
        </w:rPr>
      </w:pPr>
      <w:r>
        <w:rPr>
          <w:rFonts w:hint="eastAsia" w:ascii="宋体" w:hAnsi="宋体" w:cs="宋体"/>
          <w:b/>
          <w:bCs/>
          <w:kern w:val="0"/>
          <w:szCs w:val="21"/>
          <w:highlight w:val="none"/>
        </w:rPr>
        <w:t>附件五、采购需求偏离表格式</w:t>
      </w:r>
    </w:p>
    <w:p w14:paraId="437EF726">
      <w:pPr>
        <w:widowControl/>
        <w:shd w:val="clear" w:color="auto" w:fill="FFFFFF"/>
        <w:spacing w:line="360" w:lineRule="auto"/>
        <w:ind w:left="435"/>
        <w:jc w:val="left"/>
        <w:rPr>
          <w:rFonts w:ascii="宋体" w:hAnsi="宋体" w:cs="宋体"/>
          <w:kern w:val="0"/>
          <w:szCs w:val="21"/>
          <w:highlight w:val="none"/>
        </w:rPr>
      </w:pPr>
    </w:p>
    <w:p w14:paraId="78DC3FE6">
      <w:pPr>
        <w:widowControl/>
        <w:shd w:val="clear" w:color="auto" w:fill="FFFFFF"/>
        <w:spacing w:line="360" w:lineRule="auto"/>
        <w:ind w:left="420"/>
        <w:jc w:val="center"/>
        <w:rPr>
          <w:rFonts w:ascii="宋体" w:hAnsi="宋体" w:cs="宋体"/>
          <w:b/>
          <w:kern w:val="0"/>
          <w:szCs w:val="21"/>
          <w:highlight w:val="none"/>
        </w:rPr>
      </w:pPr>
      <w:r>
        <w:rPr>
          <w:rFonts w:hint="eastAsia" w:ascii="宋体" w:hAnsi="宋体" w:cs="宋体"/>
          <w:b/>
          <w:kern w:val="0"/>
          <w:sz w:val="36"/>
          <w:szCs w:val="36"/>
          <w:highlight w:val="none"/>
        </w:rPr>
        <w:t>采购需求偏离表</w:t>
      </w:r>
    </w:p>
    <w:p w14:paraId="348C4541">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04499B45">
      <w:pPr>
        <w:widowControl/>
        <w:tabs>
          <w:tab w:val="left" w:pos="5397"/>
        </w:tabs>
        <w:spacing w:line="360" w:lineRule="auto"/>
        <w:ind w:firstLine="84" w:firstLineChars="40"/>
        <w:jc w:val="left"/>
        <w:rPr>
          <w:rFonts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5"/>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1"/>
        <w:gridCol w:w="951"/>
        <w:gridCol w:w="3072"/>
        <w:gridCol w:w="2112"/>
        <w:gridCol w:w="680"/>
        <w:gridCol w:w="680"/>
      </w:tblGrid>
      <w:tr w14:paraId="0A77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16D65294">
            <w:pPr>
              <w:pStyle w:val="61"/>
              <w:spacing w:line="360" w:lineRule="auto"/>
              <w:ind w:firstLine="0" w:firstLineChars="0"/>
              <w:jc w:val="center"/>
              <w:rPr>
                <w:rFonts w:ascii="宋体" w:hAnsi="宋体" w:cs="宋体"/>
                <w:b/>
                <w:bCs/>
                <w:kern w:val="0"/>
                <w:szCs w:val="21"/>
                <w:highlight w:val="none"/>
              </w:rPr>
            </w:pPr>
            <w:r>
              <w:rPr>
                <w:rFonts w:hint="eastAsia"/>
                <w:b/>
                <w:bCs/>
                <w:highlight w:val="none"/>
              </w:rPr>
              <w:t>序号</w:t>
            </w:r>
          </w:p>
        </w:tc>
        <w:tc>
          <w:tcPr>
            <w:tcW w:w="951" w:type="dxa"/>
            <w:tcMar>
              <w:top w:w="0" w:type="dxa"/>
              <w:left w:w="10" w:type="dxa"/>
              <w:bottom w:w="0" w:type="dxa"/>
              <w:right w:w="10" w:type="dxa"/>
            </w:tcMar>
            <w:vAlign w:val="center"/>
          </w:tcPr>
          <w:p w14:paraId="372AA732">
            <w:pPr>
              <w:pStyle w:val="61"/>
              <w:spacing w:line="360" w:lineRule="auto"/>
              <w:ind w:firstLine="0" w:firstLineChars="0"/>
              <w:jc w:val="center"/>
              <w:rPr>
                <w:rFonts w:ascii="宋体" w:hAnsi="宋体" w:cs="宋体"/>
                <w:b/>
                <w:bCs/>
                <w:kern w:val="0"/>
                <w:szCs w:val="21"/>
                <w:highlight w:val="none"/>
              </w:rPr>
            </w:pPr>
            <w:r>
              <w:rPr>
                <w:rFonts w:hint="eastAsia"/>
                <w:b/>
                <w:bCs/>
                <w:highlight w:val="none"/>
              </w:rPr>
              <w:t>产品名称</w:t>
            </w:r>
          </w:p>
        </w:tc>
        <w:tc>
          <w:tcPr>
            <w:tcW w:w="3072" w:type="dxa"/>
            <w:tcMar>
              <w:top w:w="0" w:type="dxa"/>
              <w:left w:w="10" w:type="dxa"/>
              <w:bottom w:w="0" w:type="dxa"/>
              <w:right w:w="10" w:type="dxa"/>
            </w:tcMar>
            <w:vAlign w:val="center"/>
          </w:tcPr>
          <w:p w14:paraId="7A5D022D">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招标要求</w:t>
            </w:r>
            <w:r>
              <w:rPr>
                <w:rFonts w:hint="eastAsia"/>
                <w:b/>
                <w:highlight w:val="none"/>
              </w:rPr>
              <w:t>技术参数</w:t>
            </w:r>
          </w:p>
        </w:tc>
        <w:tc>
          <w:tcPr>
            <w:tcW w:w="2112" w:type="dxa"/>
            <w:tcMar>
              <w:top w:w="0" w:type="dxa"/>
              <w:left w:w="10" w:type="dxa"/>
              <w:bottom w:w="0" w:type="dxa"/>
              <w:right w:w="10" w:type="dxa"/>
            </w:tcMar>
            <w:vAlign w:val="center"/>
          </w:tcPr>
          <w:p w14:paraId="5D297075">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技术参数响应情况</w:t>
            </w:r>
          </w:p>
        </w:tc>
        <w:tc>
          <w:tcPr>
            <w:tcW w:w="680" w:type="dxa"/>
            <w:tcMar>
              <w:top w:w="0" w:type="dxa"/>
              <w:left w:w="10" w:type="dxa"/>
              <w:bottom w:w="0" w:type="dxa"/>
              <w:right w:w="10" w:type="dxa"/>
            </w:tcMar>
            <w:vAlign w:val="center"/>
          </w:tcPr>
          <w:p w14:paraId="19CC18F0">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是否偏离</w:t>
            </w:r>
          </w:p>
        </w:tc>
        <w:tc>
          <w:tcPr>
            <w:tcW w:w="680" w:type="dxa"/>
            <w:tcMar>
              <w:top w:w="0" w:type="dxa"/>
              <w:left w:w="10" w:type="dxa"/>
              <w:bottom w:w="0" w:type="dxa"/>
              <w:right w:w="10" w:type="dxa"/>
            </w:tcMar>
            <w:vAlign w:val="center"/>
          </w:tcPr>
          <w:p w14:paraId="10F516AB">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证明材料所在页码</w:t>
            </w:r>
          </w:p>
        </w:tc>
      </w:tr>
      <w:tr w14:paraId="5C0DF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99AB903">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1</w:t>
            </w:r>
          </w:p>
        </w:tc>
        <w:tc>
          <w:tcPr>
            <w:tcW w:w="951" w:type="dxa"/>
            <w:tcMar>
              <w:top w:w="0" w:type="dxa"/>
              <w:left w:w="10" w:type="dxa"/>
              <w:bottom w:w="0" w:type="dxa"/>
              <w:right w:w="10" w:type="dxa"/>
            </w:tcMar>
            <w:vAlign w:val="center"/>
          </w:tcPr>
          <w:p w14:paraId="3193A83E">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4F044D30">
            <w:pPr>
              <w:pStyle w:val="279"/>
              <w:spacing w:line="360" w:lineRule="exact"/>
              <w:rPr>
                <w:rFonts w:ascii="宋体" w:hAnsi="宋体" w:cs="宋体"/>
                <w:sz w:val="21"/>
                <w:szCs w:val="21"/>
                <w:highlight w:val="none"/>
              </w:rPr>
            </w:pPr>
            <w:r>
              <w:rPr>
                <w:rFonts w:hint="eastAsia" w:ascii="Arial" w:hAnsi="Arial"/>
                <w:kern w:val="0"/>
                <w:szCs w:val="21"/>
                <w:highlight w:val="none"/>
              </w:rPr>
              <w:t>★</w:t>
            </w:r>
            <w:r>
              <w:rPr>
                <w:rFonts w:hint="eastAsia" w:ascii="宋体" w:hAnsi="宋体" w:cs="宋体"/>
                <w:sz w:val="21"/>
                <w:szCs w:val="21"/>
                <w:highlight w:val="none"/>
              </w:rPr>
              <w:t>内存：配置≥1024GB DDR4内存 RDIMM DDR4 3200 MHz；</w:t>
            </w:r>
          </w:p>
          <w:p w14:paraId="5D7FDA03">
            <w:pPr>
              <w:pStyle w:val="61"/>
              <w:spacing w:line="360" w:lineRule="auto"/>
              <w:ind w:left="-2" w:firstLine="0" w:firstLineChars="0"/>
              <w:jc w:val="left"/>
              <w:rPr>
                <w:rFonts w:ascii="宋体" w:hAnsi="宋体" w:cs="宋体"/>
                <w:kern w:val="0"/>
                <w:szCs w:val="21"/>
                <w:highlight w:val="none"/>
              </w:rPr>
            </w:pPr>
          </w:p>
        </w:tc>
        <w:tc>
          <w:tcPr>
            <w:tcW w:w="2112" w:type="dxa"/>
            <w:tcMar>
              <w:top w:w="0" w:type="dxa"/>
              <w:left w:w="10" w:type="dxa"/>
              <w:bottom w:w="0" w:type="dxa"/>
              <w:right w:w="10" w:type="dxa"/>
            </w:tcMar>
            <w:vAlign w:val="center"/>
          </w:tcPr>
          <w:p w14:paraId="72CC006E">
            <w:pPr>
              <w:pStyle w:val="279"/>
              <w:spacing w:line="360" w:lineRule="exact"/>
              <w:rPr>
                <w:rFonts w:ascii="宋体" w:hAnsi="宋体" w:cs="宋体"/>
                <w:sz w:val="21"/>
                <w:szCs w:val="21"/>
                <w:highlight w:val="none"/>
              </w:rPr>
            </w:pPr>
            <w:r>
              <w:rPr>
                <w:rFonts w:hint="eastAsia" w:ascii="Arial" w:hAnsi="Arial"/>
                <w:kern w:val="0"/>
                <w:szCs w:val="21"/>
                <w:highlight w:val="none"/>
              </w:rPr>
              <w:t>★</w:t>
            </w:r>
            <w:r>
              <w:rPr>
                <w:rFonts w:hint="eastAsia" w:ascii="宋体" w:hAnsi="宋体" w:cs="宋体"/>
                <w:sz w:val="21"/>
                <w:szCs w:val="21"/>
                <w:highlight w:val="none"/>
              </w:rPr>
              <w:t>内存：配置≥1024GB DDR4内存 RDIMM DDR4 3200 MHz；</w:t>
            </w:r>
          </w:p>
          <w:p w14:paraId="02BA47DD">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3F638BFA">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346D26F3">
            <w:pPr>
              <w:widowControl/>
              <w:spacing w:line="360" w:lineRule="auto"/>
              <w:jc w:val="center"/>
              <w:rPr>
                <w:rFonts w:ascii="宋体" w:hAnsi="宋体" w:cs="宋体"/>
                <w:kern w:val="0"/>
                <w:szCs w:val="21"/>
                <w:highlight w:val="none"/>
              </w:rPr>
            </w:pPr>
          </w:p>
        </w:tc>
      </w:tr>
      <w:tr w14:paraId="14A0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5EFCEE49">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2</w:t>
            </w:r>
          </w:p>
        </w:tc>
        <w:tc>
          <w:tcPr>
            <w:tcW w:w="951" w:type="dxa"/>
            <w:tcMar>
              <w:top w:w="0" w:type="dxa"/>
              <w:left w:w="10" w:type="dxa"/>
              <w:bottom w:w="0" w:type="dxa"/>
              <w:right w:w="10" w:type="dxa"/>
            </w:tcMar>
            <w:vAlign w:val="center"/>
          </w:tcPr>
          <w:p w14:paraId="284E48C1">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0790059C">
            <w:pPr>
              <w:pStyle w:val="61"/>
              <w:spacing w:line="360" w:lineRule="auto"/>
              <w:ind w:left="-2" w:firstLine="0" w:firstLineChars="0"/>
              <w:jc w:val="left"/>
              <w:rPr>
                <w:rFonts w:ascii="宋体" w:hAnsi="宋体" w:cs="宋体"/>
                <w:kern w:val="0"/>
                <w:szCs w:val="21"/>
                <w:highlight w:val="none"/>
              </w:rPr>
            </w:pPr>
            <w:r>
              <w:rPr>
                <w:rFonts w:hint="eastAsia" w:ascii="Arial" w:hAnsi="Arial"/>
                <w:kern w:val="0"/>
                <w:szCs w:val="21"/>
                <w:highlight w:val="none"/>
              </w:rPr>
              <w:t>.....</w:t>
            </w:r>
          </w:p>
        </w:tc>
        <w:tc>
          <w:tcPr>
            <w:tcW w:w="2112" w:type="dxa"/>
            <w:tcMar>
              <w:top w:w="0" w:type="dxa"/>
              <w:left w:w="10" w:type="dxa"/>
              <w:bottom w:w="0" w:type="dxa"/>
              <w:right w:w="10" w:type="dxa"/>
            </w:tcMar>
            <w:vAlign w:val="center"/>
          </w:tcPr>
          <w:p w14:paraId="503B54DD">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0F33741C">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38B1DE7D">
            <w:pPr>
              <w:widowControl/>
              <w:spacing w:line="360" w:lineRule="auto"/>
              <w:jc w:val="center"/>
              <w:rPr>
                <w:rFonts w:ascii="宋体" w:hAnsi="宋体" w:cs="宋体"/>
                <w:kern w:val="0"/>
                <w:szCs w:val="21"/>
                <w:highlight w:val="none"/>
              </w:rPr>
            </w:pPr>
          </w:p>
        </w:tc>
      </w:tr>
      <w:tr w14:paraId="78320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8A22287">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3</w:t>
            </w:r>
          </w:p>
        </w:tc>
        <w:tc>
          <w:tcPr>
            <w:tcW w:w="951" w:type="dxa"/>
            <w:tcMar>
              <w:top w:w="0" w:type="dxa"/>
              <w:left w:w="10" w:type="dxa"/>
              <w:bottom w:w="0" w:type="dxa"/>
              <w:right w:w="10" w:type="dxa"/>
            </w:tcMar>
            <w:vAlign w:val="center"/>
          </w:tcPr>
          <w:p w14:paraId="0F13806B">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515E96EE">
            <w:pPr>
              <w:pStyle w:val="61"/>
              <w:spacing w:line="360" w:lineRule="auto"/>
              <w:ind w:left="-2" w:firstLine="0" w:firstLineChars="0"/>
              <w:jc w:val="left"/>
              <w:rPr>
                <w:rFonts w:ascii="宋体" w:hAnsi="宋体" w:cs="宋体"/>
                <w:kern w:val="0"/>
                <w:szCs w:val="21"/>
                <w:highlight w:val="none"/>
              </w:rPr>
            </w:pPr>
            <w:r>
              <w:rPr>
                <w:rFonts w:hint="eastAsia" w:ascii="Arial" w:hAnsi="Arial"/>
                <w:kern w:val="0"/>
                <w:szCs w:val="21"/>
                <w:highlight w:val="none"/>
              </w:rPr>
              <w:t>▲.....</w:t>
            </w:r>
          </w:p>
        </w:tc>
        <w:tc>
          <w:tcPr>
            <w:tcW w:w="2112" w:type="dxa"/>
            <w:tcMar>
              <w:top w:w="0" w:type="dxa"/>
              <w:left w:w="10" w:type="dxa"/>
              <w:bottom w:w="0" w:type="dxa"/>
              <w:right w:w="10" w:type="dxa"/>
            </w:tcMar>
            <w:vAlign w:val="center"/>
          </w:tcPr>
          <w:p w14:paraId="75EE40BB">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5036458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77B73D5F">
            <w:pPr>
              <w:widowControl/>
              <w:spacing w:line="360" w:lineRule="auto"/>
              <w:jc w:val="center"/>
              <w:rPr>
                <w:rFonts w:ascii="宋体" w:hAnsi="宋体" w:cs="宋体"/>
                <w:kern w:val="0"/>
                <w:szCs w:val="21"/>
                <w:highlight w:val="none"/>
              </w:rPr>
            </w:pPr>
          </w:p>
        </w:tc>
      </w:tr>
      <w:tr w14:paraId="2678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14C4DA8E">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4</w:t>
            </w:r>
          </w:p>
        </w:tc>
        <w:tc>
          <w:tcPr>
            <w:tcW w:w="951" w:type="dxa"/>
            <w:tcMar>
              <w:top w:w="0" w:type="dxa"/>
              <w:left w:w="10" w:type="dxa"/>
              <w:bottom w:w="0" w:type="dxa"/>
              <w:right w:w="10" w:type="dxa"/>
            </w:tcMar>
            <w:vAlign w:val="center"/>
          </w:tcPr>
          <w:p w14:paraId="5F013B99">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3D9F00C5">
            <w:pPr>
              <w:pStyle w:val="61"/>
              <w:spacing w:line="360" w:lineRule="auto"/>
              <w:ind w:left="-2" w:firstLine="0" w:firstLineChars="0"/>
              <w:jc w:val="left"/>
              <w:rPr>
                <w:rFonts w:ascii="宋体" w:hAnsi="宋体" w:cs="宋体"/>
                <w:kern w:val="0"/>
                <w:szCs w:val="21"/>
                <w:highlight w:val="none"/>
              </w:rPr>
            </w:pPr>
          </w:p>
        </w:tc>
        <w:tc>
          <w:tcPr>
            <w:tcW w:w="2112" w:type="dxa"/>
            <w:tcMar>
              <w:top w:w="0" w:type="dxa"/>
              <w:left w:w="10" w:type="dxa"/>
              <w:bottom w:w="0" w:type="dxa"/>
              <w:right w:w="10" w:type="dxa"/>
            </w:tcMar>
            <w:vAlign w:val="center"/>
          </w:tcPr>
          <w:p w14:paraId="4C51FD39">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006C6441">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62F4D911">
            <w:pPr>
              <w:widowControl/>
              <w:spacing w:line="360" w:lineRule="auto"/>
              <w:jc w:val="center"/>
              <w:rPr>
                <w:rFonts w:ascii="宋体" w:hAnsi="宋体" w:cs="宋体"/>
                <w:kern w:val="0"/>
                <w:szCs w:val="21"/>
                <w:highlight w:val="none"/>
              </w:rPr>
            </w:pPr>
          </w:p>
        </w:tc>
      </w:tr>
      <w:tr w14:paraId="7177F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5697183C">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5</w:t>
            </w:r>
          </w:p>
        </w:tc>
        <w:tc>
          <w:tcPr>
            <w:tcW w:w="951" w:type="dxa"/>
            <w:tcMar>
              <w:top w:w="0" w:type="dxa"/>
              <w:left w:w="10" w:type="dxa"/>
              <w:bottom w:w="0" w:type="dxa"/>
              <w:right w:w="10" w:type="dxa"/>
            </w:tcMar>
            <w:vAlign w:val="center"/>
          </w:tcPr>
          <w:p w14:paraId="307068A1">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63FF8870">
            <w:pPr>
              <w:pStyle w:val="61"/>
              <w:spacing w:line="360" w:lineRule="auto"/>
              <w:ind w:left="-2" w:firstLine="0" w:firstLineChars="0"/>
              <w:jc w:val="left"/>
              <w:rPr>
                <w:rFonts w:ascii="宋体" w:hAnsi="宋体" w:cs="宋体"/>
                <w:kern w:val="0"/>
                <w:szCs w:val="21"/>
                <w:highlight w:val="none"/>
              </w:rPr>
            </w:pPr>
          </w:p>
        </w:tc>
        <w:tc>
          <w:tcPr>
            <w:tcW w:w="2112" w:type="dxa"/>
            <w:tcMar>
              <w:top w:w="0" w:type="dxa"/>
              <w:left w:w="10" w:type="dxa"/>
              <w:bottom w:w="0" w:type="dxa"/>
              <w:right w:w="10" w:type="dxa"/>
            </w:tcMar>
            <w:vAlign w:val="center"/>
          </w:tcPr>
          <w:p w14:paraId="354FB8E4">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4E74E0CA">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58314DE1">
            <w:pPr>
              <w:widowControl/>
              <w:spacing w:line="360" w:lineRule="auto"/>
              <w:jc w:val="center"/>
              <w:rPr>
                <w:rFonts w:ascii="宋体" w:hAnsi="宋体" w:cs="宋体"/>
                <w:kern w:val="0"/>
                <w:szCs w:val="21"/>
                <w:highlight w:val="none"/>
              </w:rPr>
            </w:pPr>
          </w:p>
        </w:tc>
      </w:tr>
      <w:tr w14:paraId="1ECC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5315E18">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6</w:t>
            </w:r>
          </w:p>
        </w:tc>
        <w:tc>
          <w:tcPr>
            <w:tcW w:w="951" w:type="dxa"/>
            <w:tcMar>
              <w:top w:w="0" w:type="dxa"/>
              <w:left w:w="10" w:type="dxa"/>
              <w:bottom w:w="0" w:type="dxa"/>
              <w:right w:w="10" w:type="dxa"/>
            </w:tcMar>
            <w:vAlign w:val="center"/>
          </w:tcPr>
          <w:p w14:paraId="11F3889A">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3383295F">
            <w:pPr>
              <w:pStyle w:val="61"/>
              <w:spacing w:line="360" w:lineRule="auto"/>
              <w:ind w:left="-2" w:firstLine="0" w:firstLineChars="0"/>
              <w:jc w:val="left"/>
              <w:rPr>
                <w:rFonts w:ascii="宋体" w:hAnsi="宋体" w:cs="宋体"/>
                <w:kern w:val="0"/>
                <w:szCs w:val="21"/>
                <w:highlight w:val="none"/>
              </w:rPr>
            </w:pPr>
          </w:p>
        </w:tc>
        <w:tc>
          <w:tcPr>
            <w:tcW w:w="2112" w:type="dxa"/>
            <w:tcMar>
              <w:top w:w="0" w:type="dxa"/>
              <w:left w:w="10" w:type="dxa"/>
              <w:bottom w:w="0" w:type="dxa"/>
              <w:right w:w="10" w:type="dxa"/>
            </w:tcMar>
            <w:vAlign w:val="center"/>
          </w:tcPr>
          <w:p w14:paraId="22D3CD71">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327D3334">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5563CAC6">
            <w:pPr>
              <w:widowControl/>
              <w:spacing w:line="360" w:lineRule="auto"/>
              <w:jc w:val="center"/>
              <w:rPr>
                <w:rFonts w:ascii="宋体" w:hAnsi="宋体" w:cs="宋体"/>
                <w:kern w:val="0"/>
                <w:szCs w:val="21"/>
                <w:highlight w:val="none"/>
              </w:rPr>
            </w:pPr>
          </w:p>
        </w:tc>
      </w:tr>
      <w:tr w14:paraId="01BD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0661B675">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7</w:t>
            </w:r>
          </w:p>
        </w:tc>
        <w:tc>
          <w:tcPr>
            <w:tcW w:w="951" w:type="dxa"/>
            <w:tcMar>
              <w:top w:w="0" w:type="dxa"/>
              <w:left w:w="10" w:type="dxa"/>
              <w:bottom w:w="0" w:type="dxa"/>
              <w:right w:w="10" w:type="dxa"/>
            </w:tcMar>
            <w:vAlign w:val="center"/>
          </w:tcPr>
          <w:p w14:paraId="1D930D0A">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4D661487">
            <w:pPr>
              <w:pStyle w:val="61"/>
              <w:spacing w:line="360" w:lineRule="auto"/>
              <w:ind w:left="-2" w:firstLine="0" w:firstLineChars="0"/>
              <w:jc w:val="left"/>
              <w:rPr>
                <w:rFonts w:ascii="宋体" w:hAnsi="宋体" w:cs="宋体"/>
                <w:kern w:val="0"/>
                <w:szCs w:val="21"/>
                <w:highlight w:val="none"/>
              </w:rPr>
            </w:pPr>
          </w:p>
        </w:tc>
        <w:tc>
          <w:tcPr>
            <w:tcW w:w="2112" w:type="dxa"/>
            <w:tcMar>
              <w:top w:w="0" w:type="dxa"/>
              <w:left w:w="10" w:type="dxa"/>
              <w:bottom w:w="0" w:type="dxa"/>
              <w:right w:w="10" w:type="dxa"/>
            </w:tcMar>
            <w:vAlign w:val="center"/>
          </w:tcPr>
          <w:p w14:paraId="2CD95D26">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67061785">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2A949E59">
            <w:pPr>
              <w:widowControl/>
              <w:spacing w:line="360" w:lineRule="auto"/>
              <w:jc w:val="center"/>
              <w:rPr>
                <w:rFonts w:ascii="宋体" w:hAnsi="宋体" w:cs="宋体"/>
                <w:kern w:val="0"/>
                <w:szCs w:val="21"/>
                <w:highlight w:val="none"/>
              </w:rPr>
            </w:pPr>
          </w:p>
        </w:tc>
      </w:tr>
      <w:tr w14:paraId="61239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313E8233">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8</w:t>
            </w:r>
          </w:p>
        </w:tc>
        <w:tc>
          <w:tcPr>
            <w:tcW w:w="951" w:type="dxa"/>
            <w:tcMar>
              <w:top w:w="0" w:type="dxa"/>
              <w:left w:w="10" w:type="dxa"/>
              <w:bottom w:w="0" w:type="dxa"/>
              <w:right w:w="10" w:type="dxa"/>
            </w:tcMar>
            <w:vAlign w:val="center"/>
          </w:tcPr>
          <w:p w14:paraId="124384BC">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44D55EB1">
            <w:pPr>
              <w:pStyle w:val="61"/>
              <w:spacing w:line="360" w:lineRule="auto"/>
              <w:ind w:firstLine="0" w:firstLineChars="0"/>
              <w:jc w:val="left"/>
              <w:rPr>
                <w:rFonts w:ascii="宋体" w:hAnsi="宋体" w:cs="宋体"/>
                <w:kern w:val="0"/>
                <w:szCs w:val="21"/>
                <w:highlight w:val="none"/>
              </w:rPr>
            </w:pPr>
          </w:p>
        </w:tc>
        <w:tc>
          <w:tcPr>
            <w:tcW w:w="2112" w:type="dxa"/>
            <w:tcMar>
              <w:top w:w="0" w:type="dxa"/>
              <w:left w:w="10" w:type="dxa"/>
              <w:bottom w:w="0" w:type="dxa"/>
              <w:right w:w="10" w:type="dxa"/>
            </w:tcMar>
            <w:vAlign w:val="center"/>
          </w:tcPr>
          <w:p w14:paraId="67385A47">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04ECA321">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26DA0693">
            <w:pPr>
              <w:widowControl/>
              <w:spacing w:line="360" w:lineRule="auto"/>
              <w:jc w:val="center"/>
              <w:rPr>
                <w:rFonts w:ascii="宋体" w:hAnsi="宋体" w:cs="宋体"/>
                <w:kern w:val="0"/>
                <w:szCs w:val="21"/>
                <w:highlight w:val="none"/>
              </w:rPr>
            </w:pPr>
          </w:p>
        </w:tc>
      </w:tr>
      <w:tr w14:paraId="6ADD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553A64FC">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9</w:t>
            </w:r>
          </w:p>
        </w:tc>
        <w:tc>
          <w:tcPr>
            <w:tcW w:w="951" w:type="dxa"/>
            <w:tcMar>
              <w:top w:w="0" w:type="dxa"/>
              <w:left w:w="10" w:type="dxa"/>
              <w:bottom w:w="0" w:type="dxa"/>
              <w:right w:w="10" w:type="dxa"/>
            </w:tcMar>
            <w:vAlign w:val="center"/>
          </w:tcPr>
          <w:p w14:paraId="772E0E40">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70E772C0">
            <w:pPr>
              <w:pStyle w:val="61"/>
              <w:spacing w:line="360" w:lineRule="auto"/>
              <w:ind w:left="-2" w:firstLine="0" w:firstLineChars="0"/>
              <w:jc w:val="left"/>
              <w:rPr>
                <w:rFonts w:ascii="宋体" w:hAnsi="宋体" w:cs="宋体"/>
                <w:kern w:val="0"/>
                <w:szCs w:val="21"/>
                <w:highlight w:val="none"/>
              </w:rPr>
            </w:pPr>
            <w:r>
              <w:rPr>
                <w:rFonts w:hint="eastAsia" w:ascii="宋体" w:hAnsi="宋体" w:cs="宋体"/>
                <w:kern w:val="0"/>
                <w:szCs w:val="21"/>
                <w:highlight w:val="none"/>
              </w:rPr>
              <w:t>普通条款（要求证明材料）</w:t>
            </w:r>
          </w:p>
        </w:tc>
        <w:tc>
          <w:tcPr>
            <w:tcW w:w="2112" w:type="dxa"/>
            <w:tcMar>
              <w:top w:w="0" w:type="dxa"/>
              <w:left w:w="10" w:type="dxa"/>
              <w:bottom w:w="0" w:type="dxa"/>
              <w:right w:w="10" w:type="dxa"/>
            </w:tcMar>
            <w:vAlign w:val="center"/>
          </w:tcPr>
          <w:p w14:paraId="7FE4FB3E">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5B91FDD0">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7601665F">
            <w:pPr>
              <w:widowControl/>
              <w:spacing w:line="360" w:lineRule="auto"/>
              <w:jc w:val="center"/>
              <w:rPr>
                <w:rFonts w:ascii="宋体" w:hAnsi="宋体" w:cs="宋体"/>
                <w:kern w:val="0"/>
                <w:szCs w:val="21"/>
                <w:highlight w:val="none"/>
              </w:rPr>
            </w:pPr>
          </w:p>
        </w:tc>
      </w:tr>
      <w:tr w14:paraId="1A19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7F3A579B">
            <w:pPr>
              <w:widowControl/>
              <w:jc w:val="center"/>
              <w:textAlignment w:val="center"/>
              <w:rPr>
                <w:rFonts w:ascii="宋体" w:hAnsi="宋体" w:cs="宋体"/>
                <w:kern w:val="0"/>
                <w:szCs w:val="21"/>
                <w:highlight w:val="none"/>
              </w:rPr>
            </w:pPr>
            <w:r>
              <w:rPr>
                <w:rFonts w:hint="eastAsia" w:ascii="宋体" w:hAnsi="宋体" w:cs="宋体"/>
                <w:color w:val="000000"/>
                <w:kern w:val="0"/>
                <w:szCs w:val="21"/>
                <w:highlight w:val="none"/>
                <w:lang w:bidi="ar"/>
              </w:rPr>
              <w:t>10</w:t>
            </w:r>
          </w:p>
        </w:tc>
        <w:tc>
          <w:tcPr>
            <w:tcW w:w="951" w:type="dxa"/>
            <w:tcMar>
              <w:top w:w="0" w:type="dxa"/>
              <w:left w:w="10" w:type="dxa"/>
              <w:bottom w:w="0" w:type="dxa"/>
              <w:right w:w="10" w:type="dxa"/>
            </w:tcMar>
            <w:vAlign w:val="center"/>
          </w:tcPr>
          <w:p w14:paraId="0F7D611A">
            <w:pPr>
              <w:widowControl/>
              <w:jc w:val="center"/>
              <w:textAlignment w:val="center"/>
              <w:rPr>
                <w:rFonts w:ascii="宋体" w:hAnsi="宋体" w:cs="宋体"/>
                <w:kern w:val="0"/>
                <w:szCs w:val="21"/>
                <w:highlight w:val="none"/>
              </w:rPr>
            </w:pPr>
          </w:p>
        </w:tc>
        <w:tc>
          <w:tcPr>
            <w:tcW w:w="3072" w:type="dxa"/>
            <w:tcMar>
              <w:top w:w="0" w:type="dxa"/>
              <w:left w:w="10" w:type="dxa"/>
              <w:bottom w:w="0" w:type="dxa"/>
              <w:right w:w="10" w:type="dxa"/>
            </w:tcMar>
            <w:vAlign w:val="center"/>
          </w:tcPr>
          <w:p w14:paraId="32EBC425">
            <w:pPr>
              <w:pStyle w:val="61"/>
              <w:spacing w:line="360" w:lineRule="auto"/>
              <w:ind w:firstLine="0" w:firstLineChars="0"/>
              <w:jc w:val="left"/>
              <w:rPr>
                <w:rFonts w:ascii="宋体" w:hAnsi="宋体" w:cs="宋体"/>
                <w:kern w:val="0"/>
                <w:szCs w:val="21"/>
                <w:highlight w:val="none"/>
              </w:rPr>
            </w:pPr>
          </w:p>
        </w:tc>
        <w:tc>
          <w:tcPr>
            <w:tcW w:w="2112" w:type="dxa"/>
            <w:tcMar>
              <w:top w:w="0" w:type="dxa"/>
              <w:left w:w="10" w:type="dxa"/>
              <w:bottom w:w="0" w:type="dxa"/>
              <w:right w:w="10" w:type="dxa"/>
            </w:tcMar>
            <w:vAlign w:val="center"/>
          </w:tcPr>
          <w:p w14:paraId="01013763">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5A4A3EF9">
            <w:pPr>
              <w:widowControl/>
              <w:spacing w:line="360" w:lineRule="auto"/>
              <w:jc w:val="center"/>
              <w:rPr>
                <w:rFonts w:ascii="宋体" w:hAnsi="宋体" w:cs="宋体"/>
                <w:kern w:val="0"/>
                <w:szCs w:val="21"/>
                <w:highlight w:val="none"/>
              </w:rPr>
            </w:pPr>
          </w:p>
        </w:tc>
        <w:tc>
          <w:tcPr>
            <w:tcW w:w="680" w:type="dxa"/>
            <w:tcMar>
              <w:top w:w="0" w:type="dxa"/>
              <w:left w:w="10" w:type="dxa"/>
              <w:bottom w:w="0" w:type="dxa"/>
              <w:right w:w="10" w:type="dxa"/>
            </w:tcMar>
            <w:vAlign w:val="center"/>
          </w:tcPr>
          <w:p w14:paraId="59634710">
            <w:pPr>
              <w:widowControl/>
              <w:spacing w:line="360" w:lineRule="auto"/>
              <w:jc w:val="center"/>
              <w:rPr>
                <w:rFonts w:ascii="宋体" w:hAnsi="宋体" w:cs="宋体"/>
                <w:kern w:val="0"/>
                <w:szCs w:val="21"/>
                <w:highlight w:val="none"/>
              </w:rPr>
            </w:pPr>
          </w:p>
        </w:tc>
      </w:tr>
      <w:tr w14:paraId="179B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40DFD1C3">
            <w:pPr>
              <w:widowControl/>
              <w:jc w:val="center"/>
              <w:textAlignment w:val="center"/>
              <w:rPr>
                <w:rFonts w:ascii="宋体" w:hAnsi="宋体" w:cs="宋体"/>
                <w:color w:val="000000"/>
                <w:kern w:val="0"/>
                <w:szCs w:val="21"/>
                <w:highlight w:val="none"/>
                <w:lang w:bidi="ar"/>
              </w:rPr>
            </w:pPr>
            <w:r>
              <w:rPr>
                <w:rFonts w:hint="eastAsia" w:ascii="宋体" w:hAnsi="宋体" w:cs="宋体"/>
                <w:color w:val="000000"/>
                <w:kern w:val="0"/>
                <w:szCs w:val="21"/>
                <w:highlight w:val="none"/>
                <w:lang w:bidi="ar"/>
              </w:rPr>
              <w:t>....</w:t>
            </w:r>
          </w:p>
        </w:tc>
        <w:tc>
          <w:tcPr>
            <w:tcW w:w="4023" w:type="dxa"/>
            <w:gridSpan w:val="2"/>
            <w:tcMar>
              <w:top w:w="0" w:type="dxa"/>
              <w:left w:w="10" w:type="dxa"/>
              <w:bottom w:w="0" w:type="dxa"/>
              <w:right w:w="10" w:type="dxa"/>
            </w:tcMar>
            <w:vAlign w:val="center"/>
          </w:tcPr>
          <w:p w14:paraId="68425779">
            <w:pPr>
              <w:pStyle w:val="61"/>
              <w:spacing w:line="360" w:lineRule="auto"/>
              <w:ind w:firstLine="0" w:firstLineChars="0"/>
              <w:jc w:val="left"/>
              <w:rPr>
                <w:rFonts w:ascii="宋体" w:hAnsi="宋体" w:cs="宋体"/>
                <w:kern w:val="0"/>
                <w:szCs w:val="21"/>
                <w:highlight w:val="none"/>
              </w:rPr>
            </w:pPr>
            <w:r>
              <w:rPr>
                <w:rFonts w:hint="eastAsia" w:ascii="宋体" w:hAnsi="宋体" w:cs="宋体"/>
                <w:b/>
                <w:bCs/>
                <w:kern w:val="0"/>
                <w:szCs w:val="21"/>
                <w:highlight w:val="none"/>
              </w:rPr>
              <w:t>我单位承诺，其余普通条款</w:t>
            </w:r>
            <w:r>
              <w:rPr>
                <w:rFonts w:hint="eastAsia" w:ascii="Arial" w:hAnsi="Arial"/>
                <w:b/>
                <w:bCs/>
                <w:kern w:val="0"/>
                <w:szCs w:val="21"/>
                <w:highlight w:val="none"/>
              </w:rPr>
              <w:t>（除了要求证明材料的）均满足采购文件要求，无偏离</w:t>
            </w:r>
          </w:p>
        </w:tc>
        <w:tc>
          <w:tcPr>
            <w:tcW w:w="2112" w:type="dxa"/>
            <w:tcMar>
              <w:top w:w="0" w:type="dxa"/>
              <w:left w:w="10" w:type="dxa"/>
              <w:bottom w:w="0" w:type="dxa"/>
              <w:right w:w="10" w:type="dxa"/>
            </w:tcMar>
            <w:vAlign w:val="center"/>
          </w:tcPr>
          <w:p w14:paraId="41A75F8C">
            <w:pPr>
              <w:widowControl/>
              <w:spacing w:line="360" w:lineRule="auto"/>
              <w:jc w:val="center"/>
              <w:rPr>
                <w:rFonts w:ascii="宋体" w:hAnsi="宋体" w:cs="宋体"/>
                <w:kern w:val="0"/>
                <w:szCs w:val="21"/>
                <w:highlight w:val="none"/>
              </w:rPr>
            </w:pPr>
            <w:r>
              <w:rPr>
                <w:rFonts w:hint="eastAsia" w:ascii="Arial" w:hAnsi="Arial"/>
                <w:b/>
                <w:bCs/>
                <w:kern w:val="0"/>
                <w:szCs w:val="21"/>
                <w:highlight w:val="none"/>
              </w:rPr>
              <w:t>均满足采购文件要求，无偏离</w:t>
            </w:r>
          </w:p>
        </w:tc>
        <w:tc>
          <w:tcPr>
            <w:tcW w:w="680" w:type="dxa"/>
            <w:tcMar>
              <w:top w:w="0" w:type="dxa"/>
              <w:left w:w="10" w:type="dxa"/>
              <w:bottom w:w="0" w:type="dxa"/>
              <w:right w:w="10" w:type="dxa"/>
            </w:tcMar>
            <w:vAlign w:val="center"/>
          </w:tcPr>
          <w:p w14:paraId="7880AD02">
            <w:pPr>
              <w:widowControl/>
              <w:spacing w:line="360" w:lineRule="auto"/>
              <w:jc w:val="center"/>
              <w:rPr>
                <w:rFonts w:ascii="宋体" w:hAnsi="宋体" w:cs="宋体"/>
                <w:kern w:val="0"/>
                <w:szCs w:val="21"/>
                <w:highlight w:val="none"/>
              </w:rPr>
            </w:pPr>
            <w:r>
              <w:rPr>
                <w:rFonts w:hint="eastAsia" w:ascii="Arial" w:hAnsi="Arial"/>
                <w:b/>
                <w:bCs/>
                <w:kern w:val="0"/>
                <w:szCs w:val="21"/>
                <w:highlight w:val="none"/>
              </w:rPr>
              <w:t>无偏离</w:t>
            </w:r>
          </w:p>
        </w:tc>
        <w:tc>
          <w:tcPr>
            <w:tcW w:w="680" w:type="dxa"/>
            <w:tcMar>
              <w:top w:w="0" w:type="dxa"/>
              <w:left w:w="10" w:type="dxa"/>
              <w:bottom w:w="0" w:type="dxa"/>
              <w:right w:w="10" w:type="dxa"/>
            </w:tcMar>
            <w:vAlign w:val="center"/>
          </w:tcPr>
          <w:p w14:paraId="6F7A098D">
            <w:pPr>
              <w:widowControl/>
              <w:spacing w:line="360" w:lineRule="auto"/>
              <w:jc w:val="center"/>
              <w:rPr>
                <w:rFonts w:ascii="宋体" w:hAnsi="宋体" w:cs="宋体"/>
                <w:kern w:val="0"/>
                <w:szCs w:val="21"/>
                <w:highlight w:val="none"/>
              </w:rPr>
            </w:pPr>
          </w:p>
        </w:tc>
      </w:tr>
    </w:tbl>
    <w:p w14:paraId="26983D50">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说明：如果行数不够，请自行增加。</w:t>
      </w:r>
    </w:p>
    <w:p w14:paraId="3DF939BC">
      <w:pPr>
        <w:widowControl/>
        <w:shd w:val="clear" w:color="auto" w:fill="FFFFFF"/>
        <w:spacing w:line="360" w:lineRule="auto"/>
        <w:ind w:firstLine="430"/>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w:t>
      </w:r>
      <w:r>
        <w:rPr>
          <w:rFonts w:hint="eastAsia" w:ascii="Arial" w:hAnsi="Arial"/>
          <w:b/>
          <w:bCs/>
          <w:kern w:val="0"/>
          <w:szCs w:val="21"/>
          <w:highlight w:val="none"/>
        </w:rPr>
        <w:t>证明材料以采购需求中的要求为准，证明材料中的文字说明与技术参数文字表达不完全一致的，其主要内容须满足设备功能要求。相应证明材料应在偏离表中注明证明材料所在投标文件的页码位置，如不提供或者证明材料无法反应相关内容按照负偏离处理</w:t>
      </w:r>
      <w:r>
        <w:rPr>
          <w:rFonts w:hint="eastAsia" w:ascii="Arial" w:hAnsi="Arial"/>
          <w:kern w:val="0"/>
          <w:szCs w:val="21"/>
          <w:highlight w:val="none"/>
        </w:rPr>
        <w:t>。</w:t>
      </w:r>
    </w:p>
    <w:p w14:paraId="3640F37C">
      <w:pPr>
        <w:widowControl/>
        <w:shd w:val="clear" w:color="auto" w:fill="FFFFFF"/>
        <w:spacing w:line="360" w:lineRule="auto"/>
        <w:ind w:firstLine="430"/>
        <w:jc w:val="left"/>
        <w:rPr>
          <w:rFonts w:ascii="Arial" w:hAnsi="Arial"/>
          <w:kern w:val="0"/>
          <w:szCs w:val="21"/>
          <w:highlight w:val="none"/>
        </w:rPr>
      </w:pPr>
      <w:r>
        <w:rPr>
          <w:rFonts w:hint="eastAsia" w:ascii="Arial" w:hAnsi="Arial"/>
          <w:kern w:val="0"/>
          <w:szCs w:val="21"/>
          <w:highlight w:val="none"/>
        </w:rPr>
        <w:t>其余条款（除了要求证明材料的）未列出的，视为响应采购文件要求。</w:t>
      </w:r>
      <w:r>
        <w:rPr>
          <w:rFonts w:ascii="Arial" w:hAnsi="Arial"/>
          <w:kern w:val="0"/>
          <w:szCs w:val="21"/>
          <w:highlight w:val="none"/>
        </w:rPr>
        <w:t>如果行数不够，请自行增加。</w:t>
      </w:r>
    </w:p>
    <w:p w14:paraId="31B3C2E4">
      <w:pPr>
        <w:widowControl/>
        <w:shd w:val="clear" w:color="auto" w:fill="FFFFFF"/>
        <w:spacing w:line="360" w:lineRule="auto"/>
        <w:jc w:val="left"/>
        <w:rPr>
          <w:rFonts w:ascii="宋体" w:hAnsi="宋体" w:cs="宋体"/>
          <w:b/>
          <w:bCs/>
          <w:kern w:val="0"/>
          <w:szCs w:val="21"/>
          <w:highlight w:val="none"/>
        </w:rPr>
      </w:pPr>
    </w:p>
    <w:p w14:paraId="56622B6B">
      <w:pPr>
        <w:widowControl/>
        <w:shd w:val="clear" w:color="auto" w:fill="FFFFFF"/>
        <w:spacing w:line="360" w:lineRule="auto"/>
        <w:jc w:val="left"/>
        <w:rPr>
          <w:rFonts w:ascii="宋体" w:hAnsi="宋体" w:cs="宋体"/>
          <w:kern w:val="0"/>
          <w:szCs w:val="21"/>
          <w:highlight w:val="none"/>
        </w:rPr>
      </w:pPr>
    </w:p>
    <w:p w14:paraId="0F28993E">
      <w:pPr>
        <w:widowControl/>
        <w:shd w:val="clear" w:color="auto" w:fill="FFFFFF"/>
        <w:spacing w:line="360" w:lineRule="auto"/>
        <w:jc w:val="left"/>
        <w:rPr>
          <w:rFonts w:ascii="宋体" w:hAnsi="宋体" w:cs="宋体"/>
          <w:kern w:val="0"/>
          <w:szCs w:val="21"/>
          <w:highlight w:val="none"/>
        </w:rPr>
      </w:pPr>
    </w:p>
    <w:p w14:paraId="238B8C2F">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43EA53D3">
      <w:pPr>
        <w:widowControl/>
        <w:shd w:val="clear" w:color="auto" w:fill="FFFFFF"/>
        <w:spacing w:line="360" w:lineRule="auto"/>
        <w:jc w:val="left"/>
        <w:rPr>
          <w:rFonts w:ascii="宋体" w:hAnsi="宋体" w:cs="宋体"/>
          <w:kern w:val="0"/>
          <w:szCs w:val="21"/>
          <w:highlight w:val="none"/>
        </w:rPr>
      </w:pPr>
    </w:p>
    <w:p w14:paraId="0F9E9827">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523FC31E">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05A68BBD">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732D4384">
      <w:pPr>
        <w:rPr>
          <w:rFonts w:ascii="宋体" w:hAnsi="宋体" w:cs="宋体"/>
          <w:kern w:val="0"/>
          <w:szCs w:val="21"/>
          <w:highlight w:val="none"/>
        </w:rPr>
      </w:pPr>
      <w:r>
        <w:rPr>
          <w:rFonts w:hint="eastAsia" w:ascii="宋体" w:hAnsi="宋体" w:cs="宋体"/>
          <w:kern w:val="0"/>
          <w:szCs w:val="21"/>
          <w:highlight w:val="none"/>
        </w:rPr>
        <w:br w:type="page"/>
      </w:r>
    </w:p>
    <w:p w14:paraId="01716C95">
      <w:pPr>
        <w:pStyle w:val="19"/>
        <w:rPr>
          <w:highlight w:val="none"/>
        </w:rPr>
      </w:pPr>
    </w:p>
    <w:p w14:paraId="2A841531">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16F84033">
      <w:pPr>
        <w:widowControl/>
        <w:shd w:val="clear" w:color="auto" w:fill="FFFFFF"/>
        <w:spacing w:line="360" w:lineRule="auto"/>
        <w:jc w:val="left"/>
        <w:rPr>
          <w:rFonts w:ascii="宋体" w:hAnsi="宋体" w:cs="宋体"/>
          <w:kern w:val="0"/>
          <w:szCs w:val="21"/>
          <w:highlight w:val="none"/>
        </w:rPr>
      </w:pPr>
      <w:r>
        <w:rPr>
          <w:rFonts w:hint="eastAsia" w:ascii="宋体" w:hAnsi="宋体" w:cs="宋体"/>
          <w:b/>
          <w:bCs/>
          <w:kern w:val="0"/>
          <w:szCs w:val="21"/>
          <w:highlight w:val="none"/>
        </w:rPr>
        <w:t>附件六、商务条款偏离表格式</w:t>
      </w:r>
    </w:p>
    <w:p w14:paraId="4CC392C2">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 </w:t>
      </w:r>
    </w:p>
    <w:p w14:paraId="05E1F918">
      <w:pPr>
        <w:widowControl/>
        <w:shd w:val="clear" w:color="auto" w:fill="FFFFFF"/>
        <w:spacing w:line="360" w:lineRule="auto"/>
        <w:ind w:left="420"/>
        <w:jc w:val="center"/>
        <w:rPr>
          <w:rFonts w:ascii="宋体" w:hAnsi="宋体" w:cs="宋体"/>
          <w:b/>
          <w:kern w:val="0"/>
          <w:szCs w:val="21"/>
          <w:highlight w:val="none"/>
        </w:rPr>
      </w:pPr>
      <w:r>
        <w:rPr>
          <w:rFonts w:hint="eastAsia" w:ascii="宋体" w:hAnsi="宋体" w:cs="宋体"/>
          <w:b/>
          <w:kern w:val="0"/>
          <w:sz w:val="36"/>
          <w:szCs w:val="36"/>
          <w:highlight w:val="none"/>
        </w:rPr>
        <w:t>商务条款偏离表</w:t>
      </w:r>
    </w:p>
    <w:p w14:paraId="491DAE50">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 w:val="24"/>
          <w:highlight w:val="none"/>
        </w:rPr>
        <w:t> </w:t>
      </w:r>
    </w:p>
    <w:p w14:paraId="12B50D6E">
      <w:pPr>
        <w:widowControl/>
        <w:tabs>
          <w:tab w:val="left" w:pos="5366"/>
        </w:tabs>
        <w:spacing w:line="360" w:lineRule="auto"/>
        <w:ind w:firstLine="96" w:firstLineChars="46"/>
        <w:jc w:val="left"/>
        <w:rPr>
          <w:rFonts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3F913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6D0EAAF">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序号</w:t>
            </w:r>
          </w:p>
        </w:tc>
        <w:tc>
          <w:tcPr>
            <w:tcW w:w="1679" w:type="dxa"/>
            <w:tcMar>
              <w:top w:w="0" w:type="dxa"/>
              <w:left w:w="10" w:type="dxa"/>
              <w:bottom w:w="0" w:type="dxa"/>
              <w:right w:w="10" w:type="dxa"/>
            </w:tcMar>
            <w:vAlign w:val="center"/>
          </w:tcPr>
          <w:p w14:paraId="57C81E7A">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tcMar>
              <w:top w:w="0" w:type="dxa"/>
              <w:left w:w="10" w:type="dxa"/>
              <w:bottom w:w="0" w:type="dxa"/>
              <w:right w:w="10" w:type="dxa"/>
            </w:tcMar>
            <w:vAlign w:val="center"/>
          </w:tcPr>
          <w:p w14:paraId="33462588">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tcMar>
              <w:top w:w="0" w:type="dxa"/>
              <w:left w:w="10" w:type="dxa"/>
              <w:bottom w:w="0" w:type="dxa"/>
              <w:right w:w="10" w:type="dxa"/>
            </w:tcMar>
            <w:vAlign w:val="center"/>
          </w:tcPr>
          <w:p w14:paraId="251AABDF">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投标响应</w:t>
            </w:r>
          </w:p>
        </w:tc>
        <w:tc>
          <w:tcPr>
            <w:tcW w:w="1201" w:type="dxa"/>
            <w:tcMar>
              <w:top w:w="0" w:type="dxa"/>
              <w:left w:w="10" w:type="dxa"/>
              <w:bottom w:w="0" w:type="dxa"/>
              <w:right w:w="10" w:type="dxa"/>
            </w:tcMar>
            <w:vAlign w:val="center"/>
          </w:tcPr>
          <w:p w14:paraId="0B405F35">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偏离</w:t>
            </w:r>
          </w:p>
        </w:tc>
      </w:tr>
      <w:tr w14:paraId="4E3C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1B33FD1">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14A4124A">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755E60CB">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40B449A0">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5F795EF5">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0F05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C13D910">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707B00A5">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39D49EDF">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2CDF9E44">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19C7549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2DB0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39F3FCB">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1F5F2AAF">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20F5508C">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7E1FBD95">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22B8FC36">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2ADF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1660140">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214AE33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50FBB58F">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6370FD1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00AA933C">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3E40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A3D57EA">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2E628F8D">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1629E6CC">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6087DA07">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56C4280A">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26589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E667EF7">
            <w:pPr>
              <w:widowControl/>
              <w:spacing w:line="360" w:lineRule="auto"/>
              <w:jc w:val="center"/>
              <w:rPr>
                <w:rFonts w:ascii="宋体" w:hAnsi="宋体" w:cs="宋体"/>
                <w:kern w:val="0"/>
                <w:szCs w:val="21"/>
                <w:highlight w:val="none"/>
              </w:rPr>
            </w:pPr>
          </w:p>
        </w:tc>
        <w:tc>
          <w:tcPr>
            <w:tcW w:w="1679" w:type="dxa"/>
            <w:tcMar>
              <w:top w:w="0" w:type="dxa"/>
              <w:left w:w="10" w:type="dxa"/>
              <w:bottom w:w="0" w:type="dxa"/>
              <w:right w:w="10" w:type="dxa"/>
            </w:tcMar>
            <w:vAlign w:val="center"/>
          </w:tcPr>
          <w:p w14:paraId="1D21BFE5">
            <w:pPr>
              <w:widowControl/>
              <w:spacing w:line="360" w:lineRule="auto"/>
              <w:jc w:val="center"/>
              <w:rPr>
                <w:rFonts w:ascii="宋体" w:hAnsi="宋体" w:cs="宋体"/>
                <w:kern w:val="0"/>
                <w:szCs w:val="21"/>
                <w:highlight w:val="none"/>
              </w:rPr>
            </w:pPr>
          </w:p>
        </w:tc>
        <w:tc>
          <w:tcPr>
            <w:tcW w:w="2488" w:type="dxa"/>
            <w:tcMar>
              <w:top w:w="0" w:type="dxa"/>
              <w:left w:w="10" w:type="dxa"/>
              <w:bottom w:w="0" w:type="dxa"/>
              <w:right w:w="10" w:type="dxa"/>
            </w:tcMar>
            <w:vAlign w:val="center"/>
          </w:tcPr>
          <w:p w14:paraId="32CB78D4">
            <w:pPr>
              <w:widowControl/>
              <w:spacing w:line="360" w:lineRule="auto"/>
              <w:jc w:val="center"/>
              <w:rPr>
                <w:rFonts w:ascii="宋体" w:hAnsi="宋体" w:cs="宋体"/>
                <w:kern w:val="0"/>
                <w:szCs w:val="21"/>
                <w:highlight w:val="none"/>
              </w:rPr>
            </w:pPr>
          </w:p>
        </w:tc>
        <w:tc>
          <w:tcPr>
            <w:tcW w:w="3004" w:type="dxa"/>
            <w:tcMar>
              <w:top w:w="0" w:type="dxa"/>
              <w:left w:w="10" w:type="dxa"/>
              <w:bottom w:w="0" w:type="dxa"/>
              <w:right w:w="10" w:type="dxa"/>
            </w:tcMar>
            <w:vAlign w:val="center"/>
          </w:tcPr>
          <w:p w14:paraId="42E71F2D">
            <w:pPr>
              <w:widowControl/>
              <w:spacing w:line="360" w:lineRule="auto"/>
              <w:jc w:val="center"/>
              <w:rPr>
                <w:rFonts w:ascii="宋体" w:hAnsi="宋体" w:cs="宋体"/>
                <w:kern w:val="0"/>
                <w:szCs w:val="21"/>
                <w:highlight w:val="none"/>
              </w:rPr>
            </w:pPr>
          </w:p>
        </w:tc>
        <w:tc>
          <w:tcPr>
            <w:tcW w:w="1201" w:type="dxa"/>
            <w:tcMar>
              <w:top w:w="0" w:type="dxa"/>
              <w:left w:w="10" w:type="dxa"/>
              <w:bottom w:w="0" w:type="dxa"/>
              <w:right w:w="10" w:type="dxa"/>
            </w:tcMar>
            <w:vAlign w:val="center"/>
          </w:tcPr>
          <w:p w14:paraId="37A3EA19">
            <w:pPr>
              <w:widowControl/>
              <w:spacing w:line="360" w:lineRule="auto"/>
              <w:jc w:val="center"/>
              <w:rPr>
                <w:rFonts w:ascii="宋体" w:hAnsi="宋体" w:cs="宋体"/>
                <w:kern w:val="0"/>
                <w:szCs w:val="21"/>
                <w:highlight w:val="none"/>
              </w:rPr>
            </w:pPr>
          </w:p>
        </w:tc>
      </w:tr>
      <w:tr w14:paraId="1C346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FDA65CE">
            <w:pPr>
              <w:widowControl/>
              <w:spacing w:line="360" w:lineRule="auto"/>
              <w:jc w:val="center"/>
              <w:rPr>
                <w:rFonts w:ascii="宋体" w:hAnsi="宋体" w:cs="宋体"/>
                <w:kern w:val="0"/>
                <w:szCs w:val="21"/>
                <w:highlight w:val="none"/>
              </w:rPr>
            </w:pPr>
          </w:p>
        </w:tc>
        <w:tc>
          <w:tcPr>
            <w:tcW w:w="1679" w:type="dxa"/>
            <w:tcMar>
              <w:top w:w="0" w:type="dxa"/>
              <w:left w:w="10" w:type="dxa"/>
              <w:bottom w:w="0" w:type="dxa"/>
              <w:right w:w="10" w:type="dxa"/>
            </w:tcMar>
            <w:vAlign w:val="center"/>
          </w:tcPr>
          <w:p w14:paraId="68805BE3">
            <w:pPr>
              <w:widowControl/>
              <w:spacing w:line="360" w:lineRule="auto"/>
              <w:jc w:val="center"/>
              <w:rPr>
                <w:rFonts w:ascii="宋体" w:hAnsi="宋体" w:cs="宋体"/>
                <w:kern w:val="0"/>
                <w:szCs w:val="21"/>
                <w:highlight w:val="none"/>
              </w:rPr>
            </w:pPr>
          </w:p>
        </w:tc>
        <w:tc>
          <w:tcPr>
            <w:tcW w:w="2488" w:type="dxa"/>
            <w:tcMar>
              <w:top w:w="0" w:type="dxa"/>
              <w:left w:w="10" w:type="dxa"/>
              <w:bottom w:w="0" w:type="dxa"/>
              <w:right w:w="10" w:type="dxa"/>
            </w:tcMar>
            <w:vAlign w:val="center"/>
          </w:tcPr>
          <w:p w14:paraId="1F51FB51">
            <w:pPr>
              <w:widowControl/>
              <w:spacing w:line="360" w:lineRule="auto"/>
              <w:jc w:val="center"/>
              <w:rPr>
                <w:rFonts w:ascii="宋体" w:hAnsi="宋体" w:cs="宋体"/>
                <w:kern w:val="0"/>
                <w:szCs w:val="21"/>
                <w:highlight w:val="none"/>
              </w:rPr>
            </w:pPr>
          </w:p>
        </w:tc>
        <w:tc>
          <w:tcPr>
            <w:tcW w:w="3004" w:type="dxa"/>
            <w:tcMar>
              <w:top w:w="0" w:type="dxa"/>
              <w:left w:w="10" w:type="dxa"/>
              <w:bottom w:w="0" w:type="dxa"/>
              <w:right w:w="10" w:type="dxa"/>
            </w:tcMar>
            <w:vAlign w:val="center"/>
          </w:tcPr>
          <w:p w14:paraId="272322D3">
            <w:pPr>
              <w:widowControl/>
              <w:spacing w:line="360" w:lineRule="auto"/>
              <w:jc w:val="center"/>
              <w:rPr>
                <w:rFonts w:ascii="宋体" w:hAnsi="宋体" w:cs="宋体"/>
                <w:kern w:val="0"/>
                <w:szCs w:val="21"/>
                <w:highlight w:val="none"/>
              </w:rPr>
            </w:pPr>
          </w:p>
        </w:tc>
        <w:tc>
          <w:tcPr>
            <w:tcW w:w="1201" w:type="dxa"/>
            <w:tcMar>
              <w:top w:w="0" w:type="dxa"/>
              <w:left w:w="10" w:type="dxa"/>
              <w:bottom w:w="0" w:type="dxa"/>
              <w:right w:w="10" w:type="dxa"/>
            </w:tcMar>
            <w:vAlign w:val="center"/>
          </w:tcPr>
          <w:p w14:paraId="09FBCEAC">
            <w:pPr>
              <w:widowControl/>
              <w:spacing w:line="360" w:lineRule="auto"/>
              <w:jc w:val="center"/>
              <w:rPr>
                <w:rFonts w:ascii="宋体" w:hAnsi="宋体" w:cs="宋体"/>
                <w:kern w:val="0"/>
                <w:szCs w:val="21"/>
                <w:highlight w:val="none"/>
              </w:rPr>
            </w:pPr>
          </w:p>
        </w:tc>
      </w:tr>
    </w:tbl>
    <w:p w14:paraId="20EEBF62">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说明：如果行数不够，请自行增加。</w:t>
      </w:r>
    </w:p>
    <w:p w14:paraId="248E49CD">
      <w:pPr>
        <w:widowControl/>
        <w:shd w:val="clear" w:color="auto" w:fill="FFFFFF"/>
        <w:spacing w:line="360" w:lineRule="auto"/>
        <w:ind w:firstLine="430"/>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55753B6E">
      <w:pPr>
        <w:widowControl/>
        <w:shd w:val="clear" w:color="auto" w:fill="FFFFFF"/>
        <w:spacing w:line="360" w:lineRule="auto"/>
        <w:jc w:val="left"/>
        <w:rPr>
          <w:rFonts w:ascii="宋体" w:hAnsi="宋体" w:cs="宋体"/>
          <w:kern w:val="0"/>
          <w:szCs w:val="21"/>
          <w:highlight w:val="none"/>
        </w:rPr>
      </w:pPr>
    </w:p>
    <w:p w14:paraId="2550F1C0">
      <w:pPr>
        <w:widowControl/>
        <w:shd w:val="clear" w:color="auto" w:fill="FFFFFF"/>
        <w:spacing w:line="360" w:lineRule="auto"/>
        <w:jc w:val="left"/>
        <w:rPr>
          <w:rFonts w:ascii="宋体" w:hAnsi="宋体" w:cs="宋体"/>
          <w:kern w:val="0"/>
          <w:szCs w:val="21"/>
          <w:highlight w:val="none"/>
        </w:rPr>
      </w:pPr>
    </w:p>
    <w:p w14:paraId="2D57076E">
      <w:pPr>
        <w:widowControl/>
        <w:shd w:val="clear" w:color="auto" w:fill="FFFFFF"/>
        <w:spacing w:line="360" w:lineRule="auto"/>
        <w:jc w:val="left"/>
        <w:rPr>
          <w:rFonts w:ascii="宋体" w:hAnsi="宋体" w:cs="宋体"/>
          <w:kern w:val="0"/>
          <w:szCs w:val="21"/>
          <w:highlight w:val="none"/>
        </w:rPr>
      </w:pPr>
    </w:p>
    <w:p w14:paraId="7EC4C5AC">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2C1AA6A">
      <w:pPr>
        <w:widowControl/>
        <w:shd w:val="clear" w:color="auto" w:fill="FFFFFF"/>
        <w:spacing w:line="360" w:lineRule="auto"/>
        <w:jc w:val="left"/>
        <w:rPr>
          <w:rFonts w:ascii="宋体" w:hAnsi="宋体" w:cs="宋体"/>
          <w:kern w:val="0"/>
          <w:szCs w:val="21"/>
          <w:highlight w:val="none"/>
        </w:rPr>
      </w:pPr>
    </w:p>
    <w:p w14:paraId="340390A2">
      <w:pPr>
        <w:widowControl/>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2352BBBA">
      <w:pPr>
        <w:widowControl/>
        <w:spacing w:line="360" w:lineRule="auto"/>
        <w:jc w:val="left"/>
        <w:rPr>
          <w:rFonts w:ascii="宋体" w:hAnsi="宋体" w:cs="宋体"/>
          <w:kern w:val="0"/>
          <w:szCs w:val="21"/>
          <w:highlight w:val="none"/>
        </w:rPr>
      </w:pPr>
    </w:p>
    <w:p w14:paraId="600AF29C">
      <w:pPr>
        <w:widowControl/>
        <w:spacing w:line="360" w:lineRule="auto"/>
        <w:jc w:val="left"/>
        <w:rPr>
          <w:rFonts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DEB7F70">
      <w:pPr>
        <w:widowControl/>
        <w:spacing w:line="360" w:lineRule="auto"/>
        <w:jc w:val="left"/>
        <w:rPr>
          <w:rFonts w:ascii="宋体" w:hAnsi="宋体" w:cs="宋体"/>
          <w:b/>
          <w:szCs w:val="21"/>
          <w:highlight w:val="none"/>
          <w:lang w:val="zh-CN"/>
        </w:rPr>
      </w:pPr>
    </w:p>
    <w:p w14:paraId="7E678D76">
      <w:pPr>
        <w:adjustRightInd w:val="0"/>
        <w:snapToGrid w:val="0"/>
        <w:spacing w:line="360" w:lineRule="auto"/>
        <w:jc w:val="left"/>
        <w:textAlignment w:val="baseline"/>
        <w:rPr>
          <w:rFonts w:ascii="宋体" w:hAnsi="宋体" w:cs="宋体"/>
          <w:szCs w:val="21"/>
          <w:highlight w:val="none"/>
        </w:rPr>
      </w:pPr>
      <w:r>
        <w:rPr>
          <w:rFonts w:hint="eastAsia" w:ascii="宋体" w:hAnsi="宋体" w:cs="宋体"/>
          <w:szCs w:val="21"/>
          <w:highlight w:val="none"/>
        </w:rPr>
        <w:t>技术方案及服务承诺应根据招标人对项目的要求、评标标准的要求及项目本身的特点编写。</w:t>
      </w:r>
    </w:p>
    <w:p w14:paraId="512A0F3D">
      <w:pPr>
        <w:adjustRightInd w:val="0"/>
        <w:snapToGrid w:val="0"/>
        <w:spacing w:line="360" w:lineRule="auto"/>
        <w:ind w:firstLine="420" w:firstLineChars="200"/>
        <w:jc w:val="left"/>
        <w:textAlignment w:val="baseline"/>
        <w:rPr>
          <w:rFonts w:ascii="宋体" w:hAnsi="宋体" w:cs="宋体"/>
          <w:szCs w:val="21"/>
          <w:highlight w:val="none"/>
        </w:rPr>
      </w:pPr>
    </w:p>
    <w:p w14:paraId="25FCE8C5">
      <w:pPr>
        <w:widowControl/>
        <w:spacing w:line="360" w:lineRule="auto"/>
        <w:jc w:val="left"/>
        <w:rPr>
          <w:rFonts w:ascii="宋体" w:hAnsi="宋体" w:cs="宋体"/>
          <w:kern w:val="0"/>
          <w:szCs w:val="21"/>
          <w:highlight w:val="none"/>
        </w:rPr>
      </w:pPr>
    </w:p>
    <w:p w14:paraId="42033890">
      <w:pPr>
        <w:widowControl/>
        <w:spacing w:line="360" w:lineRule="auto"/>
        <w:jc w:val="left"/>
        <w:rPr>
          <w:rFonts w:ascii="宋体" w:hAnsi="宋体" w:cs="宋体"/>
          <w:kern w:val="0"/>
          <w:szCs w:val="21"/>
          <w:highlight w:val="none"/>
        </w:rPr>
      </w:pPr>
    </w:p>
    <w:p w14:paraId="5AB8AE29">
      <w:pPr>
        <w:widowControl/>
        <w:spacing w:line="360" w:lineRule="auto"/>
        <w:jc w:val="left"/>
        <w:rPr>
          <w:rFonts w:ascii="宋体" w:hAnsi="宋体" w:cs="宋体"/>
          <w:b/>
          <w:bCs/>
          <w:kern w:val="0"/>
          <w:szCs w:val="21"/>
          <w:highlight w:val="none"/>
        </w:rPr>
      </w:pPr>
      <w:r>
        <w:rPr>
          <w:rFonts w:hint="eastAsia" w:ascii="宋体" w:hAnsi="宋体" w:cs="宋体"/>
          <w:b/>
          <w:bCs/>
          <w:kern w:val="0"/>
          <w:szCs w:val="21"/>
          <w:highlight w:val="none"/>
        </w:rPr>
        <w:t> </w:t>
      </w:r>
    </w:p>
    <w:p w14:paraId="681AEBD2">
      <w:pPr>
        <w:widowControl/>
        <w:adjustRightInd w:val="0"/>
        <w:spacing w:line="460" w:lineRule="atLeast"/>
        <w:rPr>
          <w:rFonts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747668CB">
      <w:pPr>
        <w:widowControl/>
        <w:adjustRightInd w:val="0"/>
        <w:spacing w:line="460" w:lineRule="atLeast"/>
        <w:rPr>
          <w:rFonts w:ascii="宋体" w:hAnsi="宋体" w:cs="宋体"/>
          <w:b/>
          <w:bCs/>
          <w:kern w:val="0"/>
          <w:sz w:val="24"/>
          <w:highlight w:val="none"/>
        </w:rPr>
      </w:pPr>
    </w:p>
    <w:p w14:paraId="3D0F4F84">
      <w:pPr>
        <w:widowControl/>
        <w:adjustRightInd w:val="0"/>
        <w:jc w:val="center"/>
        <w:rPr>
          <w:rFonts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465EC2F0">
      <w:pPr>
        <w:widowControl/>
        <w:adjustRightInd w:val="0"/>
        <w:jc w:val="center"/>
        <w:rPr>
          <w:rFonts w:ascii="宋体" w:hAnsi="宋体" w:cs="宋体"/>
          <w:b/>
          <w:bCs/>
          <w:kern w:val="0"/>
          <w:sz w:val="24"/>
          <w:highlight w:val="none"/>
        </w:rPr>
      </w:pPr>
    </w:p>
    <w:p w14:paraId="0045DB71">
      <w:pPr>
        <w:widowControl/>
        <w:adjustRightInd w:val="0"/>
        <w:rPr>
          <w:rFonts w:ascii="宋体" w:hAnsi="宋体" w:cs="宋体"/>
          <w:kern w:val="0"/>
          <w:szCs w:val="21"/>
          <w:highlight w:val="none"/>
        </w:rPr>
      </w:pPr>
      <w:r>
        <w:rPr>
          <w:rFonts w:hint="eastAsia" w:ascii="宋体" w:hAnsi="宋体" w:cs="宋体"/>
          <w:kern w:val="0"/>
          <w:szCs w:val="21"/>
          <w:highlight w:val="none"/>
        </w:rPr>
        <w:t>项目名称：                项目编号：</w:t>
      </w:r>
    </w:p>
    <w:tbl>
      <w:tblPr>
        <w:tblStyle w:val="45"/>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4B5119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9CBB2D1">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4233F1BC">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2C25ABDC">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687B6E83">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7E1F8897">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08C0C291">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3921975A">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执业</w:t>
            </w:r>
          </w:p>
          <w:p w14:paraId="2C0D9861">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50B773B6">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A4D2BEC">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686FA0E6">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715D2117">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备注</w:t>
            </w:r>
          </w:p>
        </w:tc>
      </w:tr>
      <w:tr w14:paraId="4EFE84B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0CD1A9">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7411BBEB">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24D8F6AD">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72CAB74A">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980AE5C">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531CF920">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09D27EF">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58095447">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65B6FFF5">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487C72C3">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00F209E0">
            <w:pPr>
              <w:widowControl/>
              <w:adjustRightInd w:val="0"/>
              <w:rPr>
                <w:rFonts w:ascii="宋体" w:hAnsi="宋体" w:cs="宋体"/>
                <w:kern w:val="0"/>
                <w:szCs w:val="21"/>
                <w:highlight w:val="none"/>
              </w:rPr>
            </w:pPr>
          </w:p>
        </w:tc>
      </w:tr>
      <w:tr w14:paraId="1D5EA8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C4A82C2">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5EB12E11">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1235C96A">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116CDF5D">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C191425">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47E460DE">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29D29D4D">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104186A4">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7CEB1D66">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2B20E572">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1E3CF934">
            <w:pPr>
              <w:widowControl/>
              <w:adjustRightInd w:val="0"/>
              <w:rPr>
                <w:rFonts w:ascii="宋体" w:hAnsi="宋体" w:cs="宋体"/>
                <w:kern w:val="0"/>
                <w:szCs w:val="21"/>
                <w:highlight w:val="none"/>
              </w:rPr>
            </w:pPr>
          </w:p>
        </w:tc>
      </w:tr>
      <w:tr w14:paraId="00377A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6042266">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26AEF6C5">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05A4FFD0">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356BA1CB">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57793BC">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27E33199">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265A5AD">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576324">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0695D02A">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2082CE24">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64830B3A">
            <w:pPr>
              <w:widowControl/>
              <w:adjustRightInd w:val="0"/>
              <w:rPr>
                <w:rFonts w:ascii="宋体" w:hAnsi="宋体" w:cs="宋体"/>
                <w:kern w:val="0"/>
                <w:szCs w:val="21"/>
                <w:highlight w:val="none"/>
              </w:rPr>
            </w:pPr>
          </w:p>
        </w:tc>
      </w:tr>
      <w:tr w14:paraId="27A3C7F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F05999">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7E4F284B">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59A1281B">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1456AB23">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E472BA5">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53B6A0E1">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267D4573">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4701C1CE">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6E8F50FD">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20A6C887">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30BD84BA">
            <w:pPr>
              <w:widowControl/>
              <w:adjustRightInd w:val="0"/>
              <w:rPr>
                <w:rFonts w:ascii="宋体" w:hAnsi="宋体" w:cs="宋体"/>
                <w:kern w:val="0"/>
                <w:szCs w:val="21"/>
                <w:highlight w:val="none"/>
              </w:rPr>
            </w:pPr>
          </w:p>
        </w:tc>
      </w:tr>
      <w:tr w14:paraId="0473285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D4B0119">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6543DFA2">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728F5715">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6720EE49">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A88F7D4">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5F552B7B">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1B7B357E">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380D0EEE">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2C894081">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1E274669">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204B0DD7">
            <w:pPr>
              <w:widowControl/>
              <w:adjustRightInd w:val="0"/>
              <w:rPr>
                <w:rFonts w:ascii="宋体" w:hAnsi="宋体" w:cs="宋体"/>
                <w:kern w:val="0"/>
                <w:szCs w:val="21"/>
                <w:highlight w:val="none"/>
              </w:rPr>
            </w:pPr>
          </w:p>
        </w:tc>
      </w:tr>
      <w:tr w14:paraId="0F181C0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06511A7">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1885100C">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6AFD2E52">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3926F810">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FB3FB25">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79538A21">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B4DCF1C">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6DC24A29">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41B77274">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16288B8C">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1D99188A">
            <w:pPr>
              <w:widowControl/>
              <w:adjustRightInd w:val="0"/>
              <w:rPr>
                <w:rFonts w:ascii="宋体" w:hAnsi="宋体" w:cs="宋体"/>
                <w:kern w:val="0"/>
                <w:szCs w:val="21"/>
                <w:highlight w:val="none"/>
              </w:rPr>
            </w:pPr>
          </w:p>
        </w:tc>
      </w:tr>
      <w:tr w14:paraId="57862EF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07EF739">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13D08344">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0EB52935">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519A6A7A">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4E83EB8">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021A7F93">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99BC17B">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2321BE22">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2F20F20D">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1240BC69">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46562EDD">
            <w:pPr>
              <w:widowControl/>
              <w:adjustRightInd w:val="0"/>
              <w:rPr>
                <w:rFonts w:ascii="宋体" w:hAnsi="宋体" w:cs="宋体"/>
                <w:kern w:val="0"/>
                <w:szCs w:val="21"/>
                <w:highlight w:val="none"/>
              </w:rPr>
            </w:pPr>
          </w:p>
        </w:tc>
      </w:tr>
      <w:tr w14:paraId="38C8CFA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60B1546">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428E900D">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24F6D1BF">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4F3188A7">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E9934B3">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2D23A404">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1530982F">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648466F0">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308045CE">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64452C78">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3824D9D8">
            <w:pPr>
              <w:widowControl/>
              <w:adjustRightInd w:val="0"/>
              <w:rPr>
                <w:rFonts w:ascii="宋体" w:hAnsi="宋体" w:cs="宋体"/>
                <w:kern w:val="0"/>
                <w:szCs w:val="21"/>
                <w:highlight w:val="none"/>
              </w:rPr>
            </w:pPr>
          </w:p>
        </w:tc>
      </w:tr>
    </w:tbl>
    <w:p w14:paraId="1B59FE1E">
      <w:pPr>
        <w:widowControl/>
        <w:spacing w:line="360" w:lineRule="auto"/>
        <w:jc w:val="left"/>
        <w:rPr>
          <w:rFonts w:ascii="宋体" w:hAnsi="宋体" w:cs="宋体"/>
          <w:kern w:val="0"/>
          <w:szCs w:val="21"/>
          <w:highlight w:val="none"/>
          <w:u w:val="single"/>
        </w:rPr>
      </w:pPr>
    </w:p>
    <w:p w14:paraId="7BB2548D">
      <w:pPr>
        <w:widowControl/>
        <w:adjustRightInd w:val="0"/>
        <w:rPr>
          <w:rFonts w:ascii="宋体" w:hAnsi="宋体" w:cs="宋体"/>
          <w:kern w:val="0"/>
          <w:szCs w:val="21"/>
          <w:highlight w:val="none"/>
        </w:rPr>
      </w:pPr>
    </w:p>
    <w:p w14:paraId="43EF1845">
      <w:pPr>
        <w:widowControl/>
        <w:adjustRightInd w:val="0"/>
        <w:rPr>
          <w:rFonts w:ascii="宋体" w:hAnsi="宋体" w:cs="宋体"/>
          <w:b/>
          <w:bCs/>
          <w:kern w:val="0"/>
          <w:szCs w:val="21"/>
          <w:highlight w:val="none"/>
        </w:rPr>
      </w:pPr>
    </w:p>
    <w:p w14:paraId="4FAEF42C">
      <w:pPr>
        <w:widowControl/>
        <w:adjustRightInd w:val="0"/>
        <w:spacing w:line="360" w:lineRule="auto"/>
        <w:rPr>
          <w:rFonts w:ascii="宋体" w:hAnsi="宋体" w:cs="宋体"/>
          <w:b/>
          <w:bCs/>
          <w:kern w:val="0"/>
          <w:sz w:val="24"/>
          <w:highlight w:val="none"/>
        </w:rPr>
      </w:pPr>
      <w:r>
        <w:rPr>
          <w:rFonts w:hint="eastAsia" w:ascii="宋体" w:hAnsi="宋体" w:cs="宋体"/>
          <w:b/>
          <w:bCs/>
          <w:kern w:val="0"/>
          <w:sz w:val="24"/>
          <w:highlight w:val="none"/>
        </w:rPr>
        <w:br w:type="page"/>
      </w:r>
      <w:r>
        <w:rPr>
          <w:rFonts w:hint="eastAsia" w:ascii="宋体" w:hAnsi="宋体" w:cs="宋体"/>
          <w:b/>
          <w:bCs/>
          <w:kern w:val="0"/>
          <w:sz w:val="24"/>
          <w:highlight w:val="none"/>
        </w:rPr>
        <w:t>附件九、投标人类似业绩情况表</w:t>
      </w:r>
    </w:p>
    <w:p w14:paraId="76241A43">
      <w:pPr>
        <w:widowControl/>
        <w:adjustRightInd w:val="0"/>
        <w:spacing w:line="360" w:lineRule="auto"/>
        <w:jc w:val="center"/>
        <w:rPr>
          <w:rFonts w:ascii="宋体" w:hAnsi="宋体" w:cs="宋体"/>
          <w:b/>
          <w:bCs/>
          <w:kern w:val="0"/>
          <w:sz w:val="24"/>
          <w:highlight w:val="none"/>
        </w:rPr>
      </w:pPr>
    </w:p>
    <w:p w14:paraId="0FCB6130">
      <w:pPr>
        <w:widowControl/>
        <w:adjustRightInd w:val="0"/>
        <w:spacing w:line="360" w:lineRule="auto"/>
        <w:jc w:val="center"/>
        <w:rPr>
          <w:rFonts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5"/>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6505B45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D4B163C">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45C4180B">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3BCCD358">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007D3C0E">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项目</w:t>
            </w:r>
          </w:p>
          <w:p w14:paraId="3B1251E4">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668AC0F6">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获奖</w:t>
            </w:r>
          </w:p>
          <w:p w14:paraId="26EA8C36">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112CA520">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签约及服务</w:t>
            </w:r>
          </w:p>
          <w:p w14:paraId="7546EF47">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399BA72B">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6929C07D">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备注</w:t>
            </w:r>
          </w:p>
        </w:tc>
      </w:tr>
      <w:tr w14:paraId="3910433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12E481">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2F6B59D">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68499785">
            <w:pPr>
              <w:widowControl/>
              <w:spacing w:line="400" w:lineRule="atLeast"/>
              <w:ind w:firstLine="120"/>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50B0D335">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B870242">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EA6D7BB">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918F5E">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F05B03F">
            <w:pPr>
              <w:widowControl/>
              <w:spacing w:line="400" w:lineRule="atLeast"/>
              <w:jc w:val="center"/>
              <w:rPr>
                <w:rFonts w:ascii="宋体" w:hAnsi="宋体" w:cs="宋体"/>
                <w:kern w:val="0"/>
                <w:szCs w:val="21"/>
                <w:highlight w:val="none"/>
              </w:rPr>
            </w:pPr>
          </w:p>
        </w:tc>
      </w:tr>
      <w:tr w14:paraId="7F3F476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EE6DEAD">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FD0F3CC">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129995ED">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13835BFF">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2BD646C">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E8ADE3F">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E39DFC0">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A5A587C">
            <w:pPr>
              <w:widowControl/>
              <w:spacing w:line="400" w:lineRule="atLeast"/>
              <w:jc w:val="center"/>
              <w:rPr>
                <w:rFonts w:ascii="宋体" w:hAnsi="宋体" w:cs="宋体"/>
                <w:kern w:val="0"/>
                <w:szCs w:val="21"/>
                <w:highlight w:val="none"/>
              </w:rPr>
            </w:pPr>
          </w:p>
        </w:tc>
      </w:tr>
      <w:tr w14:paraId="627DAB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74003C">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3423784">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5BBCD81">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1DAEE787">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E648055">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0F8A75F8">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A62F92D">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A9CD5F6">
            <w:pPr>
              <w:widowControl/>
              <w:spacing w:line="400" w:lineRule="atLeast"/>
              <w:jc w:val="center"/>
              <w:rPr>
                <w:rFonts w:ascii="宋体" w:hAnsi="宋体" w:cs="宋体"/>
                <w:kern w:val="0"/>
                <w:szCs w:val="21"/>
                <w:highlight w:val="none"/>
              </w:rPr>
            </w:pPr>
          </w:p>
        </w:tc>
      </w:tr>
      <w:tr w14:paraId="20D7CED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DAC303D">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3B08C03">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90CBA72">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24950127">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367356C5">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36BB4830">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2160D65">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B57FC66">
            <w:pPr>
              <w:widowControl/>
              <w:spacing w:line="400" w:lineRule="atLeast"/>
              <w:jc w:val="center"/>
              <w:rPr>
                <w:rFonts w:ascii="宋体" w:hAnsi="宋体" w:cs="宋体"/>
                <w:kern w:val="0"/>
                <w:szCs w:val="21"/>
                <w:highlight w:val="none"/>
              </w:rPr>
            </w:pPr>
          </w:p>
        </w:tc>
      </w:tr>
      <w:tr w14:paraId="0C28E86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8D45F60">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959EB2B">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42A9992">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3A826E55">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2E169618">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87B60BD">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0361F60">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1D2D6C6">
            <w:pPr>
              <w:widowControl/>
              <w:spacing w:line="400" w:lineRule="atLeast"/>
              <w:jc w:val="center"/>
              <w:rPr>
                <w:rFonts w:ascii="宋体" w:hAnsi="宋体" w:cs="宋体"/>
                <w:kern w:val="0"/>
                <w:szCs w:val="21"/>
                <w:highlight w:val="none"/>
              </w:rPr>
            </w:pPr>
          </w:p>
        </w:tc>
      </w:tr>
      <w:tr w14:paraId="22DD375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0F6D559">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847E51F">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C3CE850">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04D72811">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85BA9E7">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B9CD3FA">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3F5C3E3">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46B6FA3">
            <w:pPr>
              <w:widowControl/>
              <w:spacing w:line="400" w:lineRule="atLeast"/>
              <w:jc w:val="center"/>
              <w:rPr>
                <w:rFonts w:ascii="宋体" w:hAnsi="宋体" w:cs="宋体"/>
                <w:kern w:val="0"/>
                <w:szCs w:val="21"/>
                <w:highlight w:val="none"/>
              </w:rPr>
            </w:pPr>
          </w:p>
        </w:tc>
      </w:tr>
      <w:tr w14:paraId="45E069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0019A0C">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82B2A29">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356B5D74">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541F71B9">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32B74ABB">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3910D031">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DEBCED3">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1004AD3">
            <w:pPr>
              <w:widowControl/>
              <w:spacing w:line="400" w:lineRule="atLeast"/>
              <w:jc w:val="center"/>
              <w:rPr>
                <w:rFonts w:ascii="宋体" w:hAnsi="宋体" w:cs="宋体"/>
                <w:kern w:val="0"/>
                <w:szCs w:val="21"/>
                <w:highlight w:val="none"/>
              </w:rPr>
            </w:pPr>
          </w:p>
        </w:tc>
      </w:tr>
      <w:tr w14:paraId="3B4BCC3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1BDD302">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B937CED">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22B2C47">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1546FAFE">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2B9F6398">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B3CD6C3">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A6C3ED0">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5E0DE57">
            <w:pPr>
              <w:widowControl/>
              <w:spacing w:line="400" w:lineRule="atLeast"/>
              <w:jc w:val="center"/>
              <w:rPr>
                <w:rFonts w:ascii="宋体" w:hAnsi="宋体" w:cs="宋体"/>
                <w:kern w:val="0"/>
                <w:szCs w:val="21"/>
                <w:highlight w:val="none"/>
              </w:rPr>
            </w:pPr>
          </w:p>
        </w:tc>
      </w:tr>
    </w:tbl>
    <w:p w14:paraId="07D8B7DE">
      <w:pPr>
        <w:widowControl/>
        <w:spacing w:line="360" w:lineRule="auto"/>
        <w:jc w:val="left"/>
        <w:rPr>
          <w:rFonts w:ascii="宋体" w:hAnsi="宋体" w:cs="宋体"/>
          <w:kern w:val="0"/>
          <w:szCs w:val="21"/>
          <w:highlight w:val="none"/>
          <w:u w:val="single"/>
        </w:rPr>
      </w:pPr>
    </w:p>
    <w:p w14:paraId="405281AA">
      <w:pPr>
        <w:widowControl/>
        <w:adjustRightInd w:val="0"/>
        <w:spacing w:line="360" w:lineRule="auto"/>
        <w:rPr>
          <w:rFonts w:ascii="宋体" w:hAnsi="宋体" w:cs="宋体"/>
          <w:b/>
          <w:bCs/>
          <w:kern w:val="0"/>
          <w:szCs w:val="21"/>
          <w:highlight w:val="none"/>
        </w:rPr>
      </w:pPr>
    </w:p>
    <w:p w14:paraId="7097258B">
      <w:pPr>
        <w:widowControl/>
        <w:adjustRightInd w:val="0"/>
        <w:spacing w:line="360" w:lineRule="auto"/>
        <w:rPr>
          <w:rFonts w:ascii="宋体" w:hAnsi="宋体" w:cs="宋体"/>
          <w:b/>
          <w:bCs/>
          <w:kern w:val="0"/>
          <w:szCs w:val="21"/>
          <w:highlight w:val="none"/>
        </w:rPr>
      </w:pPr>
    </w:p>
    <w:p w14:paraId="28F03FD0">
      <w:pPr>
        <w:spacing w:line="360" w:lineRule="auto"/>
        <w:rPr>
          <w:rFonts w:ascii="宋体" w:hAnsi="宋体" w:cs="宋体"/>
          <w:highlight w:val="none"/>
        </w:rPr>
      </w:pPr>
    </w:p>
    <w:p w14:paraId="2E1E77EF">
      <w:pPr>
        <w:spacing w:line="360" w:lineRule="auto"/>
        <w:rPr>
          <w:rFonts w:ascii="宋体" w:hAnsi="宋体" w:cs="宋体"/>
          <w:b/>
          <w:bCs/>
          <w:highlight w:val="none"/>
        </w:rPr>
      </w:pPr>
      <w:r>
        <w:rPr>
          <w:rFonts w:hint="eastAsia" w:ascii="宋体" w:hAnsi="宋体" w:cs="宋体"/>
          <w:b/>
          <w:highlight w:val="none"/>
        </w:rPr>
        <w:br w:type="page"/>
      </w:r>
      <w:r>
        <w:rPr>
          <w:rFonts w:hint="eastAsia" w:ascii="宋体" w:hAnsi="宋体" w:cs="宋体"/>
          <w:b/>
          <w:highlight w:val="none"/>
        </w:rPr>
        <w:t>附件十</w:t>
      </w:r>
      <w:r>
        <w:rPr>
          <w:rFonts w:hint="eastAsia" w:ascii="宋体" w:hAnsi="宋体" w:cs="宋体"/>
          <w:b/>
          <w:bCs/>
          <w:highlight w:val="none"/>
        </w:rPr>
        <w:t>、企业声明函格式</w:t>
      </w:r>
    </w:p>
    <w:p w14:paraId="794D9373">
      <w:pPr>
        <w:spacing w:before="312" w:beforeLines="100" w:line="480" w:lineRule="auto"/>
        <w:jc w:val="center"/>
        <w:rPr>
          <w:rFonts w:ascii="宋体" w:hAnsi="宋体" w:cs="宋体"/>
          <w:b/>
          <w:bCs/>
          <w:sz w:val="28"/>
          <w:szCs w:val="28"/>
          <w:highlight w:val="none"/>
        </w:rPr>
      </w:pPr>
      <w:bookmarkStart w:id="27" w:name="OLE_LINK14"/>
      <w:bookmarkStart w:id="28" w:name="OLE_LINK13"/>
      <w:r>
        <w:rPr>
          <w:rFonts w:hint="eastAsia" w:ascii="宋体" w:hAnsi="宋体" w:cs="宋体"/>
          <w:b/>
          <w:bCs/>
          <w:sz w:val="28"/>
          <w:szCs w:val="28"/>
          <w:highlight w:val="none"/>
        </w:rPr>
        <w:t>中小企业声明函（货物）</w:t>
      </w:r>
    </w:p>
    <w:p w14:paraId="4245B03D">
      <w:pPr>
        <w:widowControl/>
        <w:spacing w:line="440" w:lineRule="exact"/>
        <w:ind w:firstLine="420" w:firstLineChars="200"/>
        <w:jc w:val="left"/>
        <w:rPr>
          <w:rFonts w:ascii="宋体" w:hAnsi="宋体" w:cs="宋体"/>
          <w:kern w:val="0"/>
          <w:highlight w:val="none"/>
        </w:rPr>
      </w:pPr>
    </w:p>
    <w:p w14:paraId="47F3746A">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46号）的规定，本公司 （联合体）参加（单位名称）的（项目名称）采购活动,提供的货物全部由符合政策要求的中小企业制造。相关企业（含联合体中的中小企业、签订采购包意向协议的中小企业）的具体情况如下：</w:t>
      </w:r>
    </w:p>
    <w:p w14:paraId="7FEBE5DF">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1.</w:t>
      </w: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行业;制造商为（企业名称）,从业人员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u w:val="single"/>
        </w:rPr>
        <w:t>万</w:t>
      </w:r>
      <w:r>
        <w:rPr>
          <w:rFonts w:hint="eastAsia" w:ascii="宋体" w:hAnsi="宋体" w:cs="宋体"/>
          <w:kern w:val="0"/>
          <w:highlight w:val="none"/>
        </w:rPr>
        <w:t>元，属于（中型企业、小型企业、微型企业）；</w:t>
      </w:r>
    </w:p>
    <w:p w14:paraId="53739810">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2.</w:t>
      </w: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行业；制造商为（企业名称）,从业人员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4C7573D0">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5D2DB116">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51A38B30">
      <w:pPr>
        <w:widowControl/>
        <w:spacing w:line="440" w:lineRule="exact"/>
        <w:ind w:firstLine="420" w:firstLineChars="200"/>
        <w:jc w:val="left"/>
        <w:rPr>
          <w:rFonts w:ascii="宋体" w:hAnsi="宋体" w:cs="宋体"/>
          <w:kern w:val="0"/>
          <w:highlight w:val="none"/>
        </w:rPr>
      </w:pPr>
    </w:p>
    <w:p w14:paraId="58EA9534">
      <w:pPr>
        <w:widowControl/>
        <w:spacing w:line="440" w:lineRule="exact"/>
        <w:ind w:firstLine="420" w:firstLineChars="200"/>
        <w:jc w:val="left"/>
        <w:rPr>
          <w:rFonts w:ascii="宋体" w:hAnsi="宋体" w:cs="宋体"/>
          <w:kern w:val="0"/>
          <w:highlight w:val="none"/>
        </w:rPr>
      </w:pPr>
    </w:p>
    <w:p w14:paraId="4C2BBE9C">
      <w:pPr>
        <w:widowControl/>
        <w:spacing w:line="440" w:lineRule="exact"/>
        <w:ind w:firstLine="420" w:firstLineChars="200"/>
        <w:jc w:val="left"/>
        <w:rPr>
          <w:rFonts w:ascii="宋体" w:hAnsi="宋体" w:cs="宋体"/>
          <w:kern w:val="0"/>
          <w:highlight w:val="none"/>
        </w:rPr>
      </w:pPr>
    </w:p>
    <w:p w14:paraId="626AB6D6">
      <w:pPr>
        <w:widowControl/>
        <w:shd w:val="clear" w:color="auto" w:fill="FFFFFF"/>
        <w:spacing w:line="360" w:lineRule="auto"/>
        <w:jc w:val="left"/>
        <w:rPr>
          <w:rFonts w:ascii="宋体" w:hAnsi="宋体" w:cs="宋体"/>
          <w:snapToGrid w:val="0"/>
          <w:kern w:val="0"/>
          <w:szCs w:val="21"/>
          <w:highlight w:val="none"/>
        </w:rPr>
      </w:pPr>
      <w:r>
        <w:rPr>
          <w:rFonts w:hint="eastAsia" w:ascii="宋体" w:hAnsi="宋体" w:cs="宋体"/>
          <w:snapToGrid w:val="0"/>
          <w:kern w:val="0"/>
          <w:szCs w:val="21"/>
          <w:highlight w:val="none"/>
        </w:rPr>
        <w:t>企业名称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3DD80AF3">
      <w:pPr>
        <w:spacing w:line="360" w:lineRule="auto"/>
        <w:jc w:val="left"/>
        <w:rPr>
          <w:rFonts w:ascii="宋体" w:hAnsi="宋体" w:cs="宋体"/>
          <w:b/>
          <w:bCs/>
          <w:sz w:val="28"/>
          <w:highlight w:val="none"/>
        </w:rPr>
      </w:pPr>
      <w:r>
        <w:rPr>
          <w:rFonts w:hint="eastAsia" w:ascii="宋体" w:hAnsi="宋体" w:cs="宋体"/>
          <w:snapToGrid w:val="0"/>
          <w:kern w:val="0"/>
          <w:szCs w:val="21"/>
          <w:highlight w:val="none"/>
        </w:rPr>
        <w:t>日 期：</w:t>
      </w:r>
    </w:p>
    <w:p w14:paraId="71EADF6E">
      <w:pPr>
        <w:keepNext/>
        <w:keepLines/>
        <w:ind w:firstLine="420"/>
        <w:outlineLvl w:val="0"/>
        <w:rPr>
          <w:rFonts w:ascii="宋体" w:hAnsi="宋体" w:cs="宋体"/>
          <w:kern w:val="0"/>
          <w:highlight w:val="none"/>
        </w:rPr>
      </w:pPr>
      <w:bookmarkStart w:id="29" w:name="_Toc15368"/>
      <w:bookmarkStart w:id="30" w:name="_Toc31857"/>
      <w:bookmarkStart w:id="31" w:name="_Toc9170"/>
      <w:bookmarkStart w:id="32" w:name="_Toc12370"/>
    </w:p>
    <w:p w14:paraId="2806A6B5">
      <w:pPr>
        <w:keepNext/>
        <w:keepLines/>
        <w:outlineLvl w:val="0"/>
        <w:rPr>
          <w:rFonts w:ascii="宋体" w:hAnsi="宋体" w:cs="宋体"/>
          <w:kern w:val="0"/>
          <w:highlight w:val="none"/>
        </w:rPr>
      </w:pPr>
      <w:bookmarkStart w:id="33" w:name="_Toc1861"/>
      <w:bookmarkStart w:id="34" w:name="_Toc10728"/>
      <w:r>
        <w:rPr>
          <w:rFonts w:hint="eastAsia" w:ascii="宋体" w:hAnsi="宋体" w:cs="宋体"/>
          <w:kern w:val="0"/>
          <w:highlight w:val="none"/>
        </w:rPr>
        <w:t>备注：</w:t>
      </w:r>
      <w:bookmarkEnd w:id="29"/>
      <w:bookmarkEnd w:id="30"/>
      <w:bookmarkEnd w:id="31"/>
      <w:bookmarkEnd w:id="32"/>
      <w:bookmarkEnd w:id="33"/>
      <w:bookmarkEnd w:id="34"/>
    </w:p>
    <w:p w14:paraId="3861EF17">
      <w:pPr>
        <w:keepNext/>
        <w:keepLines/>
        <w:ind w:firstLine="632" w:firstLineChars="300"/>
        <w:outlineLvl w:val="0"/>
        <w:rPr>
          <w:rFonts w:ascii="宋体" w:hAnsi="宋体" w:cs="宋体"/>
          <w:b/>
          <w:bCs/>
          <w:kern w:val="0"/>
          <w:highlight w:val="none"/>
        </w:rPr>
      </w:pPr>
      <w:bookmarkStart w:id="35" w:name="_Toc22897"/>
      <w:bookmarkStart w:id="36" w:name="_Toc18101"/>
      <w:bookmarkStart w:id="37" w:name="_Toc22289"/>
      <w:bookmarkStart w:id="38" w:name="_Toc3322"/>
      <w:bookmarkStart w:id="39" w:name="_Toc26583"/>
      <w:bookmarkStart w:id="40" w:name="_Toc4087"/>
      <w:r>
        <w:rPr>
          <w:rFonts w:hint="eastAsia" w:ascii="宋体" w:hAnsi="宋体" w:cs="宋体"/>
          <w:b/>
          <w:bCs/>
          <w:kern w:val="0"/>
          <w:highlight w:val="none"/>
        </w:rPr>
        <w:t>1.从业人员、营业收入、资产总额填报上一年度数据，无上一年度数据的新成立企业可不填报。</w:t>
      </w:r>
      <w:bookmarkEnd w:id="35"/>
      <w:bookmarkEnd w:id="36"/>
      <w:bookmarkEnd w:id="37"/>
      <w:bookmarkEnd w:id="38"/>
      <w:bookmarkEnd w:id="39"/>
      <w:bookmarkEnd w:id="40"/>
    </w:p>
    <w:p w14:paraId="605BD2EF">
      <w:pPr>
        <w:keepNext/>
        <w:keepLines/>
        <w:ind w:firstLine="630"/>
        <w:outlineLvl w:val="0"/>
        <w:rPr>
          <w:rFonts w:ascii="宋体" w:hAnsi="宋体" w:cs="宋体"/>
          <w:b/>
          <w:bCs/>
          <w:kern w:val="0"/>
          <w:highlight w:val="none"/>
        </w:rPr>
      </w:pPr>
      <w:bookmarkStart w:id="41" w:name="_Toc18057"/>
      <w:bookmarkStart w:id="42" w:name="_Toc23529"/>
      <w:bookmarkStart w:id="43" w:name="_Toc2574"/>
      <w:bookmarkStart w:id="44" w:name="_Toc10475"/>
      <w:bookmarkStart w:id="45" w:name="_Toc927"/>
      <w:bookmarkStart w:id="46" w:name="_Toc7010"/>
      <w:r>
        <w:rPr>
          <w:rFonts w:hint="eastAsia" w:ascii="宋体" w:hAnsi="宋体" w:cs="宋体"/>
          <w:kern w:val="0"/>
          <w:highlight w:val="none"/>
        </w:rPr>
        <w:t>2.在货物采购项目中，货物由中小企业制造，即货物由中小企业生产且使用该中小企业商号或者注册商标。</w:t>
      </w:r>
      <w:r>
        <w:rPr>
          <w:rFonts w:hint="eastAsia" w:ascii="宋体" w:hAnsi="宋体" w:cs="宋体"/>
          <w:b/>
          <w:bCs/>
          <w:kern w:val="0"/>
          <w:highlight w:val="none"/>
        </w:rPr>
        <w:t>供应商提供的货物既有中小企业制造货物，也有大型企业制造货物的，不享受相应扶持政策。</w:t>
      </w:r>
      <w:bookmarkEnd w:id="41"/>
      <w:bookmarkEnd w:id="42"/>
      <w:bookmarkEnd w:id="43"/>
      <w:bookmarkEnd w:id="44"/>
      <w:bookmarkEnd w:id="45"/>
      <w:bookmarkEnd w:id="46"/>
    </w:p>
    <w:p w14:paraId="150060FD">
      <w:pPr>
        <w:keepNext/>
        <w:keepLines/>
        <w:ind w:firstLine="630"/>
        <w:outlineLvl w:val="0"/>
        <w:rPr>
          <w:rFonts w:ascii="宋体" w:hAnsi="宋体" w:cs="宋体"/>
          <w:b/>
          <w:bCs/>
          <w:kern w:val="0"/>
          <w:highlight w:val="none"/>
        </w:rPr>
      </w:pPr>
      <w:bookmarkStart w:id="47" w:name="_Toc12857"/>
      <w:bookmarkStart w:id="48" w:name="_Toc30404"/>
      <w:bookmarkStart w:id="49" w:name="_Toc19903"/>
      <w:bookmarkStart w:id="50" w:name="_Toc10358"/>
      <w:bookmarkStart w:id="51" w:name="_Toc17905"/>
      <w:bookmarkStart w:id="52" w:name="_Toc4274"/>
      <w:r>
        <w:rPr>
          <w:rFonts w:hint="eastAsia" w:ascii="宋体" w:hAnsi="宋体" w:cs="宋体"/>
          <w:kern w:val="0"/>
          <w:highlight w:val="none"/>
        </w:rPr>
        <w:t>3.《中小企业声明函》中所填的行业应与本采购标的对应的中小企业划分标准所属行业一致，不一致的不可享受相应政策优惠。</w:t>
      </w:r>
      <w:r>
        <w:rPr>
          <w:rFonts w:hint="eastAsia" w:ascii="宋体" w:hAnsi="宋体" w:cs="宋体"/>
          <w:b/>
          <w:bCs/>
          <w:kern w:val="0"/>
          <w:highlight w:val="none"/>
        </w:rPr>
        <w:t>本采购标的对应的中小企业划分标准所属行业，以采购文件中具体规定为准。</w:t>
      </w:r>
      <w:bookmarkEnd w:id="47"/>
      <w:bookmarkEnd w:id="48"/>
      <w:bookmarkEnd w:id="49"/>
      <w:bookmarkEnd w:id="50"/>
      <w:bookmarkEnd w:id="51"/>
      <w:bookmarkEnd w:id="52"/>
    </w:p>
    <w:p w14:paraId="720B168A">
      <w:pPr>
        <w:keepNext/>
        <w:keepLines/>
        <w:ind w:firstLine="632"/>
        <w:outlineLvl w:val="0"/>
        <w:rPr>
          <w:rFonts w:ascii="宋体" w:hAnsi="宋体" w:cs="宋体"/>
          <w:b/>
          <w:snapToGrid w:val="0"/>
          <w:kern w:val="0"/>
          <w:szCs w:val="21"/>
          <w:highlight w:val="none"/>
        </w:rPr>
      </w:pPr>
      <w:bookmarkStart w:id="53" w:name="_Toc8833"/>
      <w:bookmarkStart w:id="54" w:name="_Toc12151"/>
      <w:bookmarkStart w:id="55" w:name="_Toc25066"/>
      <w:bookmarkStart w:id="56" w:name="_Toc29908"/>
      <w:bookmarkStart w:id="57" w:name="_Toc10257"/>
      <w:bookmarkStart w:id="58" w:name="_Toc21794"/>
      <w:r>
        <w:rPr>
          <w:rFonts w:hint="eastAsia" w:ascii="宋体" w:hAnsi="宋体" w:cs="宋体"/>
          <w:b/>
          <w:bCs/>
          <w:kern w:val="0"/>
          <w:highlight w:val="none"/>
        </w:rPr>
        <w:t>4.如未对（中型企业、小型企业、微型企业）进行勾选，视同非中小微企业，不可享受相应扶持政策。</w:t>
      </w:r>
      <w:bookmarkEnd w:id="53"/>
      <w:bookmarkEnd w:id="54"/>
      <w:bookmarkEnd w:id="55"/>
      <w:bookmarkEnd w:id="56"/>
      <w:bookmarkEnd w:id="57"/>
      <w:bookmarkEnd w:id="58"/>
    </w:p>
    <w:p w14:paraId="39591CD4">
      <w:pPr>
        <w:rPr>
          <w:rFonts w:ascii="宋体" w:hAnsi="宋体"/>
          <w:b/>
          <w:kern w:val="0"/>
          <w:highlight w:val="none"/>
        </w:rPr>
      </w:pPr>
      <w:r>
        <w:rPr>
          <w:rFonts w:hint="eastAsia" w:ascii="宋体" w:hAnsi="宋体"/>
          <w:b/>
          <w:kern w:val="0"/>
          <w:highlight w:val="none"/>
        </w:rPr>
        <w:t>附：中小企业划型标准规定</w:t>
      </w:r>
    </w:p>
    <w:p w14:paraId="2AB3BA5F">
      <w:pPr>
        <w:ind w:firstLine="422"/>
        <w:rPr>
          <w:rFonts w:ascii="宋体" w:hAnsi="宋体"/>
          <w:kern w:val="0"/>
          <w:highlight w:val="none"/>
        </w:rPr>
      </w:pPr>
      <w:r>
        <w:rPr>
          <w:rFonts w:hint="eastAsia" w:ascii="宋体" w:hAnsi="宋体"/>
          <w:b/>
          <w:kern w:val="0"/>
          <w:highlight w:val="none"/>
        </w:rPr>
        <w:t>（一）农、林、牧、渔业。</w:t>
      </w:r>
      <w:r>
        <w:rPr>
          <w:rFonts w:hint="eastAsia" w:ascii="宋体" w:hAnsi="宋体"/>
          <w:kern w:val="0"/>
          <w:highlight w:val="none"/>
        </w:rPr>
        <w:t>营业收入20000万元以下的为中小微型企业。其中，营业收入500万元及以上的为中型企业，营业收入50万元及以上的为小型企业，营业收入50万元以下的为微型企业。</w:t>
      </w:r>
    </w:p>
    <w:p w14:paraId="4C01A1AF">
      <w:pPr>
        <w:ind w:firstLine="422"/>
        <w:rPr>
          <w:rFonts w:ascii="宋体" w:hAnsi="宋体"/>
          <w:kern w:val="0"/>
          <w:highlight w:val="none"/>
        </w:rPr>
      </w:pPr>
      <w:r>
        <w:rPr>
          <w:rFonts w:hint="eastAsia" w:ascii="宋体" w:hAnsi="宋体"/>
          <w:b/>
          <w:kern w:val="0"/>
          <w:highlight w:val="none"/>
        </w:rPr>
        <w:t>（二）工业。</w:t>
      </w:r>
      <w:r>
        <w:rPr>
          <w:rFonts w:hint="eastAsia" w:ascii="宋体" w:hAnsi="宋体"/>
          <w:kern w:val="0"/>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5A481E0">
      <w:pPr>
        <w:ind w:firstLine="422"/>
        <w:rPr>
          <w:rFonts w:ascii="宋体" w:hAnsi="宋体"/>
          <w:kern w:val="0"/>
          <w:highlight w:val="none"/>
        </w:rPr>
      </w:pPr>
      <w:r>
        <w:rPr>
          <w:rFonts w:hint="eastAsia" w:ascii="宋体" w:hAnsi="宋体"/>
          <w:b/>
          <w:kern w:val="0"/>
          <w:highlight w:val="none"/>
        </w:rPr>
        <w:t>（三）建筑业。</w:t>
      </w:r>
      <w:r>
        <w:rPr>
          <w:rFonts w:hint="eastAsia" w:ascii="宋体" w:hAnsi="宋体"/>
          <w:kern w:val="0"/>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3175D45">
      <w:pPr>
        <w:ind w:firstLine="422"/>
        <w:rPr>
          <w:rFonts w:ascii="宋体" w:hAnsi="宋体"/>
          <w:kern w:val="0"/>
          <w:highlight w:val="none"/>
        </w:rPr>
      </w:pPr>
      <w:r>
        <w:rPr>
          <w:rFonts w:hint="eastAsia" w:ascii="宋体" w:hAnsi="宋体"/>
          <w:b/>
          <w:kern w:val="0"/>
          <w:highlight w:val="none"/>
        </w:rPr>
        <w:t>（四）批发业。</w:t>
      </w:r>
      <w:r>
        <w:rPr>
          <w:rFonts w:hint="eastAsia" w:ascii="宋体" w:hAnsi="宋体"/>
          <w:kern w:val="0"/>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61F34F">
      <w:pPr>
        <w:ind w:firstLine="422"/>
        <w:rPr>
          <w:rFonts w:ascii="宋体" w:hAnsi="宋体"/>
          <w:kern w:val="0"/>
          <w:highlight w:val="none"/>
        </w:rPr>
      </w:pPr>
      <w:r>
        <w:rPr>
          <w:rFonts w:hint="eastAsia" w:ascii="宋体" w:hAnsi="宋体"/>
          <w:b/>
          <w:kern w:val="0"/>
          <w:highlight w:val="none"/>
        </w:rPr>
        <w:t>（五）零售业。</w:t>
      </w:r>
      <w:r>
        <w:rPr>
          <w:rFonts w:hint="eastAsia" w:ascii="宋体" w:hAnsi="宋体"/>
          <w:kern w:val="0"/>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C01656">
      <w:pPr>
        <w:ind w:firstLine="422"/>
        <w:rPr>
          <w:rFonts w:ascii="宋体" w:hAnsi="宋体"/>
          <w:kern w:val="0"/>
          <w:highlight w:val="none"/>
        </w:rPr>
      </w:pPr>
      <w:r>
        <w:rPr>
          <w:rFonts w:hint="eastAsia" w:ascii="宋体" w:hAnsi="宋体"/>
          <w:b/>
          <w:kern w:val="0"/>
          <w:highlight w:val="none"/>
        </w:rPr>
        <w:t>（六）交通运输业。</w:t>
      </w:r>
      <w:r>
        <w:rPr>
          <w:rFonts w:hint="eastAsia" w:ascii="宋体" w:hAnsi="宋体"/>
          <w:kern w:val="0"/>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E25A5CE">
      <w:pPr>
        <w:ind w:firstLine="422"/>
        <w:rPr>
          <w:rFonts w:ascii="宋体" w:hAnsi="宋体"/>
          <w:kern w:val="0"/>
          <w:highlight w:val="none"/>
        </w:rPr>
      </w:pPr>
      <w:r>
        <w:rPr>
          <w:rFonts w:hint="eastAsia" w:ascii="宋体" w:hAnsi="宋体"/>
          <w:b/>
          <w:kern w:val="0"/>
          <w:highlight w:val="none"/>
        </w:rPr>
        <w:t>（七）仓储业。</w:t>
      </w:r>
      <w:r>
        <w:rPr>
          <w:rFonts w:hint="eastAsia" w:ascii="宋体" w:hAnsi="宋体"/>
          <w:kern w:val="0"/>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5568B07">
      <w:pPr>
        <w:ind w:firstLine="422"/>
        <w:rPr>
          <w:rFonts w:ascii="宋体" w:hAnsi="宋体"/>
          <w:kern w:val="0"/>
          <w:highlight w:val="none"/>
        </w:rPr>
      </w:pPr>
      <w:r>
        <w:rPr>
          <w:rFonts w:hint="eastAsia" w:ascii="宋体" w:hAnsi="宋体"/>
          <w:b/>
          <w:kern w:val="0"/>
          <w:highlight w:val="none"/>
        </w:rPr>
        <w:t>（八）邮政业。</w:t>
      </w:r>
      <w:r>
        <w:rPr>
          <w:rFonts w:hint="eastAsia" w:ascii="宋体" w:hAnsi="宋体"/>
          <w:kern w:val="0"/>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4207869">
      <w:pPr>
        <w:ind w:firstLine="422"/>
        <w:rPr>
          <w:rFonts w:ascii="宋体" w:hAnsi="宋体"/>
          <w:kern w:val="0"/>
          <w:highlight w:val="none"/>
        </w:rPr>
      </w:pPr>
      <w:r>
        <w:rPr>
          <w:rFonts w:hint="eastAsia" w:ascii="宋体" w:hAnsi="宋体"/>
          <w:b/>
          <w:kern w:val="0"/>
          <w:highlight w:val="none"/>
        </w:rPr>
        <w:t>（九）住宿业。</w:t>
      </w:r>
      <w:r>
        <w:rPr>
          <w:rFonts w:hint="eastAsia" w:ascii="宋体" w:hAnsi="宋体"/>
          <w:kern w:val="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B8516D">
      <w:pPr>
        <w:ind w:firstLine="422"/>
        <w:rPr>
          <w:rFonts w:ascii="宋体" w:hAnsi="宋体"/>
          <w:kern w:val="0"/>
          <w:highlight w:val="none"/>
        </w:rPr>
      </w:pPr>
      <w:r>
        <w:rPr>
          <w:rFonts w:hint="eastAsia" w:ascii="宋体" w:hAnsi="宋体"/>
          <w:b/>
          <w:kern w:val="0"/>
          <w:highlight w:val="none"/>
        </w:rPr>
        <w:t>（十）餐饮业。</w:t>
      </w:r>
      <w:r>
        <w:rPr>
          <w:rFonts w:hint="eastAsia" w:ascii="宋体" w:hAnsi="宋体"/>
          <w:kern w:val="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18910C">
      <w:pPr>
        <w:ind w:firstLine="422"/>
        <w:rPr>
          <w:rFonts w:ascii="宋体" w:hAnsi="宋体"/>
          <w:kern w:val="0"/>
          <w:highlight w:val="none"/>
        </w:rPr>
      </w:pPr>
      <w:r>
        <w:rPr>
          <w:rFonts w:hint="eastAsia" w:ascii="宋体" w:hAnsi="宋体"/>
          <w:b/>
          <w:kern w:val="0"/>
          <w:highlight w:val="none"/>
        </w:rPr>
        <w:t>（十一）信息传输业。</w:t>
      </w:r>
      <w:r>
        <w:rPr>
          <w:rFonts w:hint="eastAsia" w:ascii="宋体" w:hAnsi="宋体"/>
          <w:kern w:val="0"/>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7815A04">
      <w:pPr>
        <w:ind w:firstLine="422"/>
        <w:rPr>
          <w:rFonts w:ascii="宋体" w:hAnsi="宋体"/>
          <w:kern w:val="0"/>
          <w:highlight w:val="none"/>
        </w:rPr>
      </w:pPr>
      <w:r>
        <w:rPr>
          <w:rFonts w:hint="eastAsia" w:ascii="宋体" w:hAnsi="宋体"/>
          <w:b/>
          <w:kern w:val="0"/>
          <w:highlight w:val="none"/>
        </w:rPr>
        <w:t>（十二）软件和信息技术服务业。</w:t>
      </w:r>
      <w:r>
        <w:rPr>
          <w:rFonts w:hint="eastAsia" w:ascii="宋体" w:hAnsi="宋体"/>
          <w:kern w:val="0"/>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867316F">
      <w:pPr>
        <w:ind w:firstLine="422"/>
        <w:rPr>
          <w:rFonts w:ascii="宋体" w:hAnsi="宋体"/>
          <w:kern w:val="0"/>
          <w:highlight w:val="none"/>
        </w:rPr>
      </w:pPr>
      <w:r>
        <w:rPr>
          <w:rFonts w:hint="eastAsia" w:ascii="宋体" w:hAnsi="宋体"/>
          <w:b/>
          <w:kern w:val="0"/>
          <w:highlight w:val="none"/>
        </w:rPr>
        <w:t>（十三）房地产开发经营。</w:t>
      </w:r>
      <w:r>
        <w:rPr>
          <w:rFonts w:hint="eastAsia" w:ascii="宋体" w:hAnsi="宋体"/>
          <w:kern w:val="0"/>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9E02AF8">
      <w:pPr>
        <w:ind w:firstLine="422"/>
        <w:rPr>
          <w:rFonts w:ascii="宋体" w:hAnsi="宋体"/>
          <w:kern w:val="0"/>
          <w:highlight w:val="none"/>
        </w:rPr>
      </w:pPr>
      <w:r>
        <w:rPr>
          <w:rFonts w:hint="eastAsia" w:ascii="宋体" w:hAnsi="宋体"/>
          <w:b/>
          <w:kern w:val="0"/>
          <w:highlight w:val="none"/>
        </w:rPr>
        <w:t>（十四）物业管理。</w:t>
      </w:r>
      <w:r>
        <w:rPr>
          <w:rFonts w:hint="eastAsia" w:ascii="宋体" w:hAnsi="宋体"/>
          <w:kern w:val="0"/>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DD360C">
      <w:pPr>
        <w:ind w:firstLine="422"/>
        <w:rPr>
          <w:rFonts w:ascii="宋体" w:hAnsi="宋体"/>
          <w:kern w:val="0"/>
          <w:highlight w:val="none"/>
        </w:rPr>
      </w:pPr>
      <w:r>
        <w:rPr>
          <w:rFonts w:hint="eastAsia" w:ascii="宋体" w:hAnsi="宋体"/>
          <w:b/>
          <w:kern w:val="0"/>
          <w:highlight w:val="none"/>
        </w:rPr>
        <w:t>（十五）租赁和商务服务业。</w:t>
      </w:r>
      <w:r>
        <w:rPr>
          <w:rFonts w:hint="eastAsia" w:ascii="宋体" w:hAnsi="宋体"/>
          <w:kern w:val="0"/>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C6F4EEA">
      <w:pPr>
        <w:ind w:firstLine="422"/>
        <w:rPr>
          <w:rFonts w:ascii="宋体" w:hAnsi="宋体"/>
          <w:kern w:val="0"/>
          <w:highlight w:val="none"/>
        </w:rPr>
      </w:pPr>
      <w:r>
        <w:rPr>
          <w:rFonts w:hint="eastAsia" w:ascii="宋体" w:hAnsi="宋体"/>
          <w:b/>
          <w:kern w:val="0"/>
          <w:highlight w:val="none"/>
        </w:rPr>
        <w:t>（十六）其他未列明行业。</w:t>
      </w:r>
      <w:r>
        <w:rPr>
          <w:rFonts w:hint="eastAsia" w:ascii="宋体" w:hAnsi="宋体"/>
          <w:kern w:val="0"/>
          <w:highlight w:val="none"/>
        </w:rPr>
        <w:t>从业人员300人以下的为中小微型企业。其中，从业人员100人及以上的为中型企业；从业人员10人及以上的为小型企业；从业人员10人以下的为微型企业。</w:t>
      </w:r>
    </w:p>
    <w:p w14:paraId="06B887C1">
      <w:pPr>
        <w:spacing w:line="360" w:lineRule="auto"/>
        <w:rPr>
          <w:rFonts w:ascii="宋体" w:hAnsi="宋体" w:cs="宋体"/>
          <w:b/>
          <w:bCs/>
          <w:sz w:val="28"/>
          <w:highlight w:val="none"/>
        </w:rPr>
      </w:pPr>
    </w:p>
    <w:p w14:paraId="4FFD64BA">
      <w:pPr>
        <w:spacing w:line="360" w:lineRule="auto"/>
        <w:jc w:val="center"/>
        <w:rPr>
          <w:rFonts w:ascii="宋体" w:hAnsi="宋体" w:cs="宋体"/>
          <w:b/>
          <w:bCs/>
          <w:sz w:val="28"/>
          <w:highlight w:val="none"/>
        </w:rPr>
      </w:pPr>
    </w:p>
    <w:p w14:paraId="6D866D78">
      <w:pPr>
        <w:spacing w:line="360" w:lineRule="auto"/>
        <w:rPr>
          <w:rFonts w:ascii="宋体" w:hAnsi="宋体" w:cs="宋体"/>
          <w:b/>
          <w:bCs/>
          <w:sz w:val="28"/>
          <w:highlight w:val="none"/>
        </w:rPr>
        <w:sectPr>
          <w:footerReference r:id="rId10" w:type="first"/>
          <w:footerReference r:id="rId9" w:type="default"/>
          <w:pgSz w:w="11906" w:h="16838"/>
          <w:pgMar w:top="1440" w:right="1800" w:bottom="1440" w:left="1600" w:header="851" w:footer="992" w:gutter="0"/>
          <w:pgNumType w:start="1"/>
          <w:cols w:space="720" w:num="1"/>
          <w:titlePg/>
          <w:docGrid w:type="lines" w:linePitch="312" w:charSpace="0"/>
        </w:sectPr>
      </w:pPr>
    </w:p>
    <w:p w14:paraId="573ADCD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27"/>
    <w:bookmarkEnd w:id="28"/>
    <w:p w14:paraId="17506C6A">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452178">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146F91BF">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67B38B07">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337F8CAC">
      <w:pPr>
        <w:spacing w:line="360" w:lineRule="auto"/>
        <w:rPr>
          <w:rFonts w:ascii="宋体" w:hAnsi="宋体" w:cs="宋体"/>
          <w:b/>
          <w:bCs/>
          <w:highlight w:val="none"/>
        </w:rPr>
      </w:pPr>
    </w:p>
    <w:p w14:paraId="1162F5AD">
      <w:pPr>
        <w:spacing w:line="360" w:lineRule="auto"/>
        <w:rPr>
          <w:rFonts w:ascii="宋体" w:hAnsi="宋体" w:cs="宋体"/>
          <w:b/>
          <w:bCs/>
          <w:highlight w:val="none"/>
        </w:rPr>
      </w:pPr>
    </w:p>
    <w:p w14:paraId="6FBE34CD">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7C9E15AB">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65EAB45E">
      <w:pPr>
        <w:spacing w:line="360" w:lineRule="auto"/>
        <w:rPr>
          <w:rFonts w:ascii="宋体" w:hAnsi="宋体" w:cs="宋体"/>
          <w:b/>
          <w:bCs/>
          <w:highlight w:val="none"/>
        </w:rPr>
      </w:pPr>
    </w:p>
    <w:p w14:paraId="77788575">
      <w:pPr>
        <w:spacing w:line="360" w:lineRule="auto"/>
        <w:rPr>
          <w:rFonts w:ascii="宋体" w:hAnsi="宋体" w:cs="宋体"/>
          <w:b/>
          <w:bCs/>
          <w:highlight w:val="none"/>
        </w:rPr>
      </w:pPr>
    </w:p>
    <w:p w14:paraId="5DC59C3E">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2772F835">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2B8F0A19">
      <w:pPr>
        <w:spacing w:line="360" w:lineRule="auto"/>
        <w:rPr>
          <w:rFonts w:ascii="宋体" w:hAnsi="宋体" w:cs="宋体"/>
          <w:b/>
          <w:bCs/>
          <w:highlight w:val="none"/>
        </w:rPr>
      </w:pPr>
    </w:p>
    <w:p w14:paraId="108EE1B1">
      <w:pPr>
        <w:spacing w:line="360" w:lineRule="auto"/>
        <w:rPr>
          <w:rFonts w:ascii="宋体" w:hAnsi="宋体" w:cs="宋体"/>
          <w:b/>
          <w:bCs/>
          <w:highlight w:val="none"/>
        </w:rPr>
      </w:pPr>
    </w:p>
    <w:p w14:paraId="03E7B3F3">
      <w:pPr>
        <w:spacing w:line="360" w:lineRule="auto"/>
        <w:rPr>
          <w:rFonts w:ascii="宋体" w:hAnsi="宋体" w:cs="宋体"/>
          <w:b/>
          <w:bCs/>
          <w:highlight w:val="none"/>
        </w:rPr>
      </w:pPr>
    </w:p>
    <w:p w14:paraId="11B2E982">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41450B22">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8022D33">
      <w:pPr>
        <w:ind w:firstLine="420" w:firstLineChars="200"/>
        <w:rPr>
          <w:rFonts w:ascii="宋体" w:hAnsi="宋体" w:cs="宋体"/>
          <w:bCs/>
          <w:szCs w:val="20"/>
          <w:highlight w:val="none"/>
        </w:rPr>
      </w:pPr>
    </w:p>
    <w:p w14:paraId="14BA2D9D">
      <w:pPr>
        <w:ind w:firstLine="420" w:firstLineChars="200"/>
        <w:rPr>
          <w:rFonts w:ascii="宋体" w:hAnsi="宋体" w:cs="宋体"/>
          <w:bCs/>
          <w:szCs w:val="20"/>
          <w:highlight w:val="none"/>
        </w:rPr>
      </w:pPr>
    </w:p>
    <w:p w14:paraId="77C124BA">
      <w:pPr>
        <w:ind w:firstLine="420" w:firstLineChars="200"/>
        <w:rPr>
          <w:rFonts w:ascii="宋体" w:hAnsi="宋体" w:cs="宋体"/>
          <w:bCs/>
          <w:szCs w:val="20"/>
          <w:highlight w:val="none"/>
        </w:rPr>
      </w:pPr>
    </w:p>
    <w:p w14:paraId="682E183E">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40320590">
      <w:pPr>
        <w:spacing w:line="360" w:lineRule="auto"/>
        <w:rPr>
          <w:rFonts w:ascii="宋体" w:hAnsi="宋体" w:cs="宋体"/>
          <w:bCs/>
          <w:highlight w:val="none"/>
        </w:rPr>
      </w:pPr>
      <w:r>
        <w:rPr>
          <w:rFonts w:hint="eastAsia" w:ascii="宋体" w:hAnsi="宋体" w:cs="宋体"/>
          <w:bCs/>
          <w:highlight w:val="none"/>
        </w:rPr>
        <w:t>（对于允许进口产品参加的项目）</w:t>
      </w:r>
    </w:p>
    <w:p w14:paraId="04EAFA97">
      <w:pPr>
        <w:widowControl/>
        <w:shd w:val="clear" w:color="auto" w:fill="FFFFFF"/>
        <w:spacing w:before="24" w:after="24" w:line="360" w:lineRule="auto"/>
        <w:jc w:val="center"/>
        <w:rPr>
          <w:rFonts w:ascii="宋体" w:hAnsi="宋体" w:cs="宋体"/>
          <w:b/>
          <w:bCs/>
          <w:sz w:val="28"/>
          <w:highlight w:val="none"/>
        </w:rPr>
      </w:pPr>
    </w:p>
    <w:p w14:paraId="7C14BBE8">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附件十一</w:t>
      </w:r>
      <w:r>
        <w:rPr>
          <w:rFonts w:hint="eastAsia" w:ascii="宋体" w:hAnsi="宋体" w:cs="宋体"/>
          <w:b/>
          <w:bCs/>
          <w:highlight w:val="none"/>
        </w:rPr>
        <w:t>、关于符合本国产品标准的声明函</w:t>
      </w:r>
    </w:p>
    <w:p w14:paraId="2EEB4C2F">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6B6B882C">
      <w:pPr>
        <w:pStyle w:val="39"/>
        <w:spacing w:before="0" w:beforeAutospacing="0" w:after="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DA33029">
      <w:pPr>
        <w:pStyle w:val="39"/>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w:t>
      </w:r>
      <w:r>
        <w:rPr>
          <w:rStyle w:val="51"/>
          <w:rFonts w:hint="eastAsia"/>
          <w:color w:val="000000" w:themeColor="text1"/>
          <w:highlight w:val="none"/>
          <w:u w:val="single"/>
          <w:shd w:val="clear" w:color="auto" w:fill="FFFFFF"/>
          <w14:textFill>
            <w14:solidFill>
              <w14:schemeClr w14:val="tx1"/>
            </w14:solidFill>
          </w14:textFill>
        </w:rPr>
        <w:t>（产品名称1）</w:t>
      </w:r>
      <w:r>
        <w:rPr>
          <w:rStyle w:val="51"/>
          <w:rFonts w:hint="eastAsia"/>
          <w:color w:val="000000" w:themeColor="text1"/>
          <w:highlight w:val="none"/>
          <w:shd w:val="clear" w:color="auto" w:fill="FFFFFF"/>
          <w:vertAlign w:val="superscript"/>
          <w14:textFill>
            <w14:solidFill>
              <w14:schemeClr w14:val="tx1"/>
            </w14:solidFill>
          </w14:textFill>
        </w:rPr>
        <w:t>1</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Style w:val="51"/>
          <w:rFonts w:hint="eastAsia"/>
          <w:color w:val="000000" w:themeColor="text1"/>
          <w:highlight w:val="none"/>
          <w:shd w:val="clear" w:color="auto" w:fill="FFFFFF"/>
          <w:vertAlign w:val="superscript"/>
          <w14:textFill>
            <w14:solidFill>
              <w14:schemeClr w14:val="tx1"/>
            </w14:solidFill>
          </w14:textFill>
        </w:rPr>
        <w:t>2</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shd w:val="clear" w:color="auto" w:fill="FFFFFF"/>
          <w:vertAlign w:val="superscript"/>
          <w14:textFill>
            <w14:solidFill>
              <w14:schemeClr w14:val="tx1"/>
            </w14:solidFill>
          </w14:textFill>
        </w:rPr>
        <w:t>3</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shd w:val="clear" w:color="auto" w:fill="FFFFFF"/>
          <w:vertAlign w:val="superscript"/>
          <w14:textFill>
            <w14:solidFill>
              <w14:schemeClr w14:val="tx1"/>
            </w14:solidFill>
          </w14:textFill>
        </w:rPr>
        <w:t>4</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shd w:val="clear" w:color="auto" w:fill="FFFFFF"/>
          <w:vertAlign w:val="superscript"/>
          <w14:textFill>
            <w14:solidFill>
              <w14:schemeClr w14:val="tx1"/>
            </w14:solidFill>
          </w14:textFill>
        </w:rPr>
        <w:t>5</w:t>
      </w:r>
      <w:r>
        <w:rPr>
          <w:rFonts w:hint="eastAsia"/>
          <w:color w:val="000000" w:themeColor="text1"/>
          <w:highlight w:val="none"/>
          <w:shd w:val="clear" w:color="auto" w:fill="FFFFFF"/>
          <w14:textFill>
            <w14:solidFill>
              <w14:schemeClr w14:val="tx1"/>
            </w14:solidFill>
          </w14:textFill>
        </w:rPr>
        <w:t>在中国境内完成。</w:t>
      </w:r>
    </w:p>
    <w:p w14:paraId="54E18382">
      <w:pPr>
        <w:pStyle w:val="39"/>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w:t>
      </w:r>
      <w:r>
        <w:rPr>
          <w:rStyle w:val="5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0C67F84D">
      <w:pPr>
        <w:pStyle w:val="39"/>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3.</w:t>
      </w:r>
      <w:r>
        <w:rPr>
          <w:rStyle w:val="51"/>
          <w:rFonts w:hint="eastAsia"/>
          <w:color w:val="000000" w:themeColor="text1"/>
          <w:highlight w:val="none"/>
          <w:u w:val="single"/>
          <w:shd w:val="clear" w:color="auto" w:fill="FFFFFF"/>
          <w14:textFill>
            <w14:solidFill>
              <w14:schemeClr w14:val="tx1"/>
            </w14:solidFill>
          </w14:textFill>
        </w:rPr>
        <w:t>（产品名称3）</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31BAAE6B">
      <w:pPr>
        <w:pStyle w:val="39"/>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4.</w:t>
      </w:r>
      <w:r>
        <w:rPr>
          <w:rStyle w:val="51"/>
          <w:rFonts w:hint="eastAsia"/>
          <w:color w:val="000000" w:themeColor="text1"/>
          <w:highlight w:val="none"/>
          <w:u w:val="single"/>
          <w:shd w:val="clear" w:color="auto" w:fill="FFFFFF"/>
          <w14:textFill>
            <w14:solidFill>
              <w14:schemeClr w14:val="tx1"/>
            </w14:solidFill>
          </w14:textFill>
        </w:rPr>
        <w:t>（产品名称4）</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20B0863B">
      <w:pPr>
        <w:pStyle w:val="39"/>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w:t>
      </w:r>
    </w:p>
    <w:p w14:paraId="3D9D8057">
      <w:pPr>
        <w:pStyle w:val="39"/>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本公司（单位）对上述声明内容的真实性负责。如有虚假，愿承担相应法律责任。</w:t>
      </w:r>
    </w:p>
    <w:p w14:paraId="493DA4E7">
      <w:pPr>
        <w:pStyle w:val="39"/>
        <w:spacing w:before="30" w:beforeAutospacing="0" w:after="30" w:afterAutospacing="0" w:line="0" w:lineRule="atLeast"/>
        <w:rPr>
          <w:color w:val="000000" w:themeColor="text1"/>
          <w:highlight w:val="none"/>
          <w14:textFill>
            <w14:solidFill>
              <w14:schemeClr w14:val="tx1"/>
            </w14:solidFill>
          </w14:textFill>
        </w:rPr>
      </w:pPr>
    </w:p>
    <w:p w14:paraId="4A49AE80">
      <w:pPr>
        <w:pStyle w:val="39"/>
        <w:spacing w:before="30" w:beforeAutospacing="0" w:after="30" w:afterAutospacing="0" w:line="360" w:lineRule="auto"/>
        <w:jc w:val="righ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公司（单位）名称（加盖CA电子公章）：　        </w:t>
      </w:r>
    </w:p>
    <w:p w14:paraId="017B32A0">
      <w:pPr>
        <w:pStyle w:val="39"/>
        <w:spacing w:before="30" w:beforeAutospacing="0" w:after="30" w:afterAutospacing="0" w:line="360" w:lineRule="auto"/>
        <w:jc w:val="center"/>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p>
    <w:p w14:paraId="6AC034A3">
      <w:pPr>
        <w:pStyle w:val="39"/>
        <w:spacing w:before="30" w:beforeAutospacing="0" w:after="30" w:afterAutospacing="0" w:line="0" w:lineRule="atLeas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_______________</w:t>
      </w:r>
    </w:p>
    <w:p w14:paraId="10FF5523">
      <w:pPr>
        <w:pStyle w:val="39"/>
        <w:spacing w:before="30" w:beforeAutospacing="0" w:after="30" w:afterAutospacing="0" w:line="360" w:lineRule="auto"/>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1.产品如有型号，请在“产品名称”栏一并填写。</w:t>
      </w:r>
    </w:p>
    <w:p w14:paraId="53CF8FA8">
      <w:pPr>
        <w:pStyle w:val="39"/>
        <w:spacing w:before="30" w:beforeAutospacing="0" w:after="30" w:afterAutospacing="0" w:line="360" w:lineRule="auto"/>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2.生产厂名与厂址应与生产厂营业执照载明的相关信息保持一致。</w:t>
      </w:r>
    </w:p>
    <w:p w14:paraId="49560476">
      <w:pPr>
        <w:pStyle w:val="39"/>
        <w:spacing w:before="30" w:beforeAutospacing="0" w:after="30" w:afterAutospacing="0" w:line="360" w:lineRule="auto"/>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3.该产品的中国境内生产的组件成本占比相关要求实施前，“规定比例”栏可不填，下同。</w:t>
      </w:r>
    </w:p>
    <w:p w14:paraId="6D88AF91">
      <w:pPr>
        <w:pStyle w:val="39"/>
        <w:spacing w:before="30" w:beforeAutospacing="0" w:after="30" w:afterAutospacing="0" w:line="360" w:lineRule="auto"/>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4.该产品的关键组件要求实施前，“关键组件”栏可不填，下同。</w:t>
      </w:r>
    </w:p>
    <w:p w14:paraId="0190D804">
      <w:pPr>
        <w:pStyle w:val="39"/>
        <w:spacing w:before="30" w:beforeAutospacing="0" w:after="30" w:afterAutospacing="0" w:line="360" w:lineRule="auto"/>
        <w:rPr>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5.该产品的关键工序要求实施前，“关键工序”栏可不填，下同。</w:t>
      </w:r>
    </w:p>
    <w:p w14:paraId="4C198D6F">
      <w:pPr>
        <w:pStyle w:val="39"/>
        <w:spacing w:before="30" w:beforeAutospacing="0" w:after="30" w:afterAutospacing="0" w:line="360" w:lineRule="auto"/>
        <w:rPr>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6.《声明函》中标注“</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”的地方无需填写。</w:t>
      </w:r>
    </w:p>
    <w:p w14:paraId="32C3ACC4">
      <w:pPr>
        <w:rPr>
          <w:highlight w:val="none"/>
        </w:rPr>
      </w:pPr>
    </w:p>
    <w:p w14:paraId="45F401EB">
      <w:pPr>
        <w:rPr>
          <w:rFonts w:ascii="宋体" w:hAnsi="宋体" w:cs="宋体"/>
          <w:bCs/>
          <w:highlight w:val="none"/>
        </w:rPr>
      </w:pPr>
    </w:p>
    <w:tbl>
      <w:tblPr>
        <w:tblStyle w:val="4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269"/>
        <w:gridCol w:w="1843"/>
      </w:tblGrid>
      <w:tr w14:paraId="302C4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06ECEE05">
            <w:pPr>
              <w:spacing w:line="500" w:lineRule="exact"/>
              <w:ind w:left="368" w:hanging="367" w:hangingChars="175"/>
              <w:jc w:val="center"/>
              <w:rPr>
                <w:rFonts w:ascii="宋体" w:hAnsi="宋体"/>
                <w:szCs w:val="21"/>
                <w:highlight w:val="none"/>
              </w:rPr>
            </w:pPr>
            <w:r>
              <w:rPr>
                <w:rFonts w:hint="eastAsia" w:ascii="宋体" w:hAnsi="宋体"/>
                <w:szCs w:val="21"/>
                <w:highlight w:val="none"/>
              </w:rPr>
              <w:t>序号</w:t>
            </w:r>
          </w:p>
        </w:tc>
        <w:tc>
          <w:tcPr>
            <w:tcW w:w="2269" w:type="dxa"/>
            <w:vAlign w:val="center"/>
          </w:tcPr>
          <w:p w14:paraId="0E899E2F">
            <w:pPr>
              <w:spacing w:line="500" w:lineRule="exact"/>
              <w:ind w:left="368" w:hanging="367" w:hangingChars="175"/>
              <w:jc w:val="center"/>
              <w:rPr>
                <w:rFonts w:ascii="宋体" w:hAnsi="宋体"/>
                <w:szCs w:val="21"/>
                <w:highlight w:val="none"/>
              </w:rPr>
            </w:pPr>
            <w:r>
              <w:rPr>
                <w:rFonts w:hint="eastAsia" w:ascii="宋体" w:hAnsi="宋体"/>
                <w:szCs w:val="21"/>
                <w:highlight w:val="none"/>
              </w:rPr>
              <w:t>设备名称</w:t>
            </w:r>
          </w:p>
        </w:tc>
        <w:tc>
          <w:tcPr>
            <w:tcW w:w="1843" w:type="dxa"/>
            <w:vAlign w:val="center"/>
          </w:tcPr>
          <w:p w14:paraId="16FA13D1">
            <w:pPr>
              <w:spacing w:line="500" w:lineRule="exact"/>
              <w:ind w:left="368" w:hanging="367" w:hangingChars="175"/>
              <w:jc w:val="center"/>
              <w:rPr>
                <w:rFonts w:ascii="宋体" w:hAnsi="宋体"/>
                <w:szCs w:val="21"/>
                <w:highlight w:val="none"/>
              </w:rPr>
            </w:pPr>
            <w:r>
              <w:rPr>
                <w:rFonts w:hint="eastAsia" w:ascii="宋体" w:hAnsi="宋体"/>
                <w:szCs w:val="21"/>
                <w:highlight w:val="none"/>
              </w:rPr>
              <w:t>数量</w:t>
            </w:r>
          </w:p>
        </w:tc>
      </w:tr>
      <w:tr w14:paraId="1B2F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07495A06">
            <w:pPr>
              <w:pStyle w:val="279"/>
              <w:jc w:val="center"/>
              <w:rPr>
                <w:rFonts w:ascii="宋体" w:hAnsi="宋体"/>
                <w:szCs w:val="21"/>
                <w:highlight w:val="none"/>
              </w:rPr>
            </w:pPr>
            <w:r>
              <w:rPr>
                <w:sz w:val="21"/>
                <w:szCs w:val="21"/>
                <w:highlight w:val="none"/>
              </w:rPr>
              <w:t>1</w:t>
            </w:r>
          </w:p>
        </w:tc>
        <w:tc>
          <w:tcPr>
            <w:tcW w:w="2269" w:type="dxa"/>
            <w:vAlign w:val="center"/>
          </w:tcPr>
          <w:p w14:paraId="7CA9EA3E">
            <w:pPr>
              <w:pStyle w:val="279"/>
              <w:rPr>
                <w:rFonts w:ascii="宋体" w:hAnsi="宋体"/>
                <w:szCs w:val="21"/>
                <w:highlight w:val="none"/>
              </w:rPr>
            </w:pPr>
            <w:r>
              <w:rPr>
                <w:rFonts w:hint="eastAsia"/>
                <w:sz w:val="21"/>
                <w:szCs w:val="21"/>
                <w:highlight w:val="none"/>
              </w:rPr>
              <w:t>智算基座引擎</w:t>
            </w:r>
          </w:p>
        </w:tc>
        <w:tc>
          <w:tcPr>
            <w:tcW w:w="1843" w:type="dxa"/>
            <w:vAlign w:val="center"/>
          </w:tcPr>
          <w:p w14:paraId="088068B2">
            <w:pPr>
              <w:pStyle w:val="279"/>
              <w:jc w:val="center"/>
              <w:rPr>
                <w:rFonts w:ascii="宋体" w:hAnsi="宋体"/>
                <w:szCs w:val="21"/>
                <w:highlight w:val="none"/>
              </w:rPr>
            </w:pPr>
            <w:r>
              <w:rPr>
                <w:sz w:val="21"/>
                <w:szCs w:val="21"/>
                <w:highlight w:val="none"/>
              </w:rPr>
              <w:t>1套</w:t>
            </w:r>
          </w:p>
        </w:tc>
      </w:tr>
      <w:tr w14:paraId="21A8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4EB257CE">
            <w:pPr>
              <w:pStyle w:val="279"/>
              <w:jc w:val="center"/>
              <w:rPr>
                <w:rFonts w:ascii="宋体" w:hAnsi="宋体"/>
                <w:szCs w:val="21"/>
                <w:highlight w:val="none"/>
              </w:rPr>
            </w:pPr>
            <w:r>
              <w:rPr>
                <w:sz w:val="21"/>
                <w:szCs w:val="21"/>
                <w:highlight w:val="none"/>
              </w:rPr>
              <w:t>2</w:t>
            </w:r>
          </w:p>
        </w:tc>
        <w:tc>
          <w:tcPr>
            <w:tcW w:w="2269" w:type="dxa"/>
            <w:vAlign w:val="center"/>
          </w:tcPr>
          <w:p w14:paraId="666471B3">
            <w:pPr>
              <w:pStyle w:val="279"/>
              <w:rPr>
                <w:rFonts w:ascii="宋体" w:hAnsi="宋体"/>
                <w:szCs w:val="21"/>
                <w:highlight w:val="none"/>
              </w:rPr>
            </w:pPr>
            <w:r>
              <w:rPr>
                <w:sz w:val="21"/>
                <w:szCs w:val="21"/>
                <w:highlight w:val="none"/>
              </w:rPr>
              <w:t>教师教育大模型</w:t>
            </w:r>
          </w:p>
        </w:tc>
        <w:tc>
          <w:tcPr>
            <w:tcW w:w="1843" w:type="dxa"/>
            <w:vAlign w:val="center"/>
          </w:tcPr>
          <w:p w14:paraId="6E7400F5">
            <w:pPr>
              <w:pStyle w:val="279"/>
              <w:jc w:val="center"/>
              <w:rPr>
                <w:rFonts w:ascii="宋体" w:hAnsi="宋体"/>
                <w:szCs w:val="21"/>
                <w:highlight w:val="none"/>
              </w:rPr>
            </w:pPr>
            <w:r>
              <w:rPr>
                <w:sz w:val="21"/>
                <w:szCs w:val="21"/>
                <w:highlight w:val="none"/>
              </w:rPr>
              <w:t>1套</w:t>
            </w:r>
          </w:p>
        </w:tc>
      </w:tr>
      <w:tr w14:paraId="4C6D1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6ABA83AD">
            <w:pPr>
              <w:pStyle w:val="279"/>
              <w:jc w:val="center"/>
              <w:rPr>
                <w:rFonts w:ascii="宋体" w:hAnsi="宋体"/>
                <w:szCs w:val="21"/>
                <w:highlight w:val="none"/>
              </w:rPr>
            </w:pPr>
            <w:r>
              <w:rPr>
                <w:sz w:val="21"/>
                <w:szCs w:val="21"/>
                <w:highlight w:val="none"/>
              </w:rPr>
              <w:t>3</w:t>
            </w:r>
          </w:p>
        </w:tc>
        <w:tc>
          <w:tcPr>
            <w:tcW w:w="2269" w:type="dxa"/>
            <w:vAlign w:val="center"/>
          </w:tcPr>
          <w:p w14:paraId="40EFBC7C">
            <w:pPr>
              <w:pStyle w:val="279"/>
              <w:rPr>
                <w:rFonts w:ascii="宋体" w:hAnsi="宋体"/>
                <w:szCs w:val="21"/>
                <w:highlight w:val="none"/>
              </w:rPr>
            </w:pPr>
            <w:r>
              <w:rPr>
                <w:rFonts w:hint="eastAsia"/>
                <w:sz w:val="21"/>
                <w:szCs w:val="21"/>
                <w:highlight w:val="none"/>
              </w:rPr>
              <w:t>TPCK</w:t>
            </w:r>
            <w:r>
              <w:rPr>
                <w:sz w:val="21"/>
                <w:szCs w:val="21"/>
                <w:highlight w:val="none"/>
              </w:rPr>
              <w:t>教师教育知识库</w:t>
            </w:r>
          </w:p>
        </w:tc>
        <w:tc>
          <w:tcPr>
            <w:tcW w:w="1843" w:type="dxa"/>
            <w:vAlign w:val="center"/>
          </w:tcPr>
          <w:p w14:paraId="61939922">
            <w:pPr>
              <w:pStyle w:val="279"/>
              <w:jc w:val="center"/>
              <w:rPr>
                <w:rFonts w:ascii="宋体" w:hAnsi="宋体"/>
                <w:szCs w:val="21"/>
                <w:highlight w:val="none"/>
              </w:rPr>
            </w:pPr>
            <w:r>
              <w:rPr>
                <w:sz w:val="21"/>
                <w:szCs w:val="21"/>
                <w:highlight w:val="none"/>
              </w:rPr>
              <w:t>1套</w:t>
            </w:r>
          </w:p>
        </w:tc>
      </w:tr>
      <w:tr w14:paraId="5BB4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17" w:type="dxa"/>
            <w:vAlign w:val="center"/>
          </w:tcPr>
          <w:p w14:paraId="0D144ADA">
            <w:pPr>
              <w:pStyle w:val="279"/>
              <w:jc w:val="center"/>
              <w:rPr>
                <w:rFonts w:ascii="宋体" w:hAnsi="宋体"/>
                <w:szCs w:val="21"/>
                <w:highlight w:val="none"/>
              </w:rPr>
            </w:pPr>
            <w:r>
              <w:rPr>
                <w:rFonts w:hint="eastAsia"/>
                <w:sz w:val="21"/>
                <w:szCs w:val="21"/>
                <w:highlight w:val="none"/>
              </w:rPr>
              <w:t>4</w:t>
            </w:r>
          </w:p>
        </w:tc>
        <w:tc>
          <w:tcPr>
            <w:tcW w:w="2269" w:type="dxa"/>
            <w:vAlign w:val="center"/>
          </w:tcPr>
          <w:p w14:paraId="4AEAE11C">
            <w:pPr>
              <w:pStyle w:val="279"/>
              <w:rPr>
                <w:rFonts w:ascii="宋体" w:hAnsi="宋体"/>
                <w:szCs w:val="21"/>
                <w:highlight w:val="none"/>
              </w:rPr>
            </w:pPr>
            <w:r>
              <w:rPr>
                <w:rFonts w:hint="eastAsia"/>
                <w:sz w:val="21"/>
                <w:szCs w:val="21"/>
                <w:highlight w:val="none"/>
              </w:rPr>
              <w:t>大模型运营与接口要求</w:t>
            </w:r>
          </w:p>
        </w:tc>
        <w:tc>
          <w:tcPr>
            <w:tcW w:w="1843" w:type="dxa"/>
            <w:vAlign w:val="center"/>
          </w:tcPr>
          <w:p w14:paraId="3848A6E5">
            <w:pPr>
              <w:pStyle w:val="279"/>
              <w:jc w:val="center"/>
              <w:rPr>
                <w:rFonts w:ascii="宋体" w:hAnsi="宋体"/>
                <w:szCs w:val="21"/>
                <w:highlight w:val="none"/>
              </w:rPr>
            </w:pPr>
            <w:r>
              <w:rPr>
                <w:rFonts w:hint="eastAsia"/>
                <w:sz w:val="21"/>
                <w:szCs w:val="21"/>
                <w:highlight w:val="none"/>
              </w:rPr>
              <w:t>1套</w:t>
            </w:r>
          </w:p>
        </w:tc>
      </w:tr>
    </w:tbl>
    <w:p w14:paraId="27B7B998">
      <w:pPr>
        <w:spacing w:line="360" w:lineRule="auto"/>
        <w:rPr>
          <w:rFonts w:ascii="宋体" w:hAnsi="宋体" w:cs="宋体"/>
          <w:bCs/>
          <w:highlight w:val="none"/>
        </w:rPr>
      </w:pPr>
    </w:p>
    <w:p w14:paraId="6F45B759">
      <w:pPr>
        <w:spacing w:line="360" w:lineRule="auto"/>
        <w:rPr>
          <w:rFonts w:ascii="宋体" w:hAnsi="宋体" w:cs="宋体"/>
          <w:bCs/>
          <w:highlight w:val="none"/>
        </w:rPr>
      </w:pPr>
      <w:r>
        <w:rPr>
          <w:rFonts w:hint="eastAsia" w:ascii="宋体" w:hAnsi="宋体" w:cs="宋体"/>
          <w:bCs/>
          <w:highlight w:val="none"/>
        </w:rPr>
        <w:t>采购本国产品的支持政策</w:t>
      </w:r>
    </w:p>
    <w:p w14:paraId="7C424F5E">
      <w:pPr>
        <w:spacing w:line="360" w:lineRule="auto"/>
        <w:ind w:firstLine="630" w:firstLineChars="300"/>
        <w:rPr>
          <w:rFonts w:ascii="宋体" w:hAnsi="宋体" w:cs="宋体"/>
          <w:bCs/>
          <w:highlight w:val="none"/>
        </w:rPr>
      </w:pPr>
      <w:r>
        <w:rPr>
          <w:rFonts w:hint="eastAsia" w:ascii="宋体" w:hAnsi="宋体" w:cs="宋体"/>
          <w:bCs/>
          <w:highlight w:val="none"/>
        </w:rPr>
        <w:t>（1）本项目政府采购活动中既有本国产品又有非本国产品参与竞争的，依法对本国产品给予价格评审优惠，对本国产品的报价给予20%的价格扣除，用扣除后的价格参与评审。</w:t>
      </w:r>
    </w:p>
    <w:p w14:paraId="633B50A4">
      <w:pPr>
        <w:spacing w:line="360" w:lineRule="auto"/>
        <w:ind w:firstLine="630" w:firstLineChars="300"/>
        <w:rPr>
          <w:rFonts w:ascii="宋体" w:hAnsi="宋体" w:cs="宋体"/>
          <w:bCs/>
          <w:highlight w:val="none"/>
        </w:rPr>
      </w:pPr>
      <w:r>
        <w:rPr>
          <w:rFonts w:hint="eastAsia" w:ascii="宋体" w:hAnsi="宋体" w:cs="宋体"/>
          <w:bCs/>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38B69372">
      <w:pPr>
        <w:spacing w:line="360" w:lineRule="auto"/>
        <w:ind w:firstLine="632" w:firstLineChars="300"/>
        <w:rPr>
          <w:rFonts w:ascii="宋体" w:hAnsi="宋体" w:cs="宋体"/>
          <w:b/>
          <w:highlight w:val="none"/>
        </w:rPr>
      </w:pPr>
      <w:r>
        <w:rPr>
          <w:rFonts w:hint="eastAsia" w:ascii="宋体" w:hAnsi="宋体" w:cs="宋体"/>
          <w:b/>
          <w:highlight w:val="none"/>
        </w:rPr>
        <w:t>（3）供应商需按照招标文件的要求提供《关于符合本国产品标准的声明函》（以下简称《声明函》），如不提供将不享受本国产品价格评审优惠。</w:t>
      </w:r>
    </w:p>
    <w:p w14:paraId="34CAC878">
      <w:pPr>
        <w:spacing w:line="360" w:lineRule="auto"/>
        <w:ind w:firstLine="630" w:firstLineChars="300"/>
        <w:rPr>
          <w:rFonts w:ascii="宋体" w:hAnsi="宋体" w:cs="宋体"/>
          <w:bCs/>
          <w:highlight w:val="none"/>
        </w:rPr>
      </w:pPr>
      <w:r>
        <w:rPr>
          <w:rFonts w:hint="eastAsia" w:ascii="宋体" w:hAnsi="宋体" w:cs="宋体"/>
          <w:bCs/>
          <w:highlight w:val="none"/>
        </w:rPr>
        <w:t>（4）供应商需在《声明函》中逐一、准确填写产品名称、厂名、生产厂址三项信息（《声明函》中标注“/ ”的地方无需填写）。</w:t>
      </w:r>
    </w:p>
    <w:p w14:paraId="779EBC41">
      <w:pPr>
        <w:spacing w:line="360" w:lineRule="auto"/>
        <w:ind w:firstLine="630" w:firstLineChars="300"/>
        <w:rPr>
          <w:rStyle w:val="48"/>
          <w:rFonts w:ascii="宋体" w:hAnsi="宋体" w:cs="宋体"/>
          <w:b w:val="0"/>
          <w:bCs/>
          <w:color w:val="333333"/>
          <w:szCs w:val="21"/>
          <w:highlight w:val="none"/>
          <w:shd w:val="clear" w:color="auto" w:fill="FFFFFF"/>
        </w:rPr>
      </w:pPr>
      <w:r>
        <w:rPr>
          <w:rFonts w:hint="eastAsia" w:ascii="宋体" w:hAnsi="宋体" w:cs="宋体"/>
          <w:bCs/>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209266">
      <w:pPr>
        <w:rPr>
          <w:rFonts w:ascii="宋体" w:hAnsi="宋体" w:cs="宋体"/>
          <w:b/>
          <w:szCs w:val="21"/>
          <w:highlight w:val="none"/>
          <w:lang w:val="zh-CN"/>
        </w:rPr>
      </w:pPr>
      <w:r>
        <w:rPr>
          <w:rFonts w:hint="eastAsia" w:ascii="宋体" w:hAnsi="宋体" w:cs="宋体"/>
          <w:b/>
          <w:szCs w:val="21"/>
          <w:highlight w:val="none"/>
          <w:lang w:val="zh-CN"/>
        </w:rPr>
        <w:br w:type="page"/>
      </w:r>
    </w:p>
    <w:p w14:paraId="29E5B9A8">
      <w:pPr>
        <w:spacing w:line="360" w:lineRule="auto"/>
        <w:rPr>
          <w:rFonts w:ascii="宋体" w:hAnsi="宋体" w:cs="宋体"/>
          <w:b/>
          <w:bCs/>
          <w:highlight w:val="none"/>
        </w:rPr>
      </w:pPr>
    </w:p>
    <w:p w14:paraId="4C55792F">
      <w:pPr>
        <w:pStyle w:val="39"/>
        <w:shd w:val="clear" w:color="auto" w:fill="FFFFFF"/>
        <w:spacing w:before="30" w:beforeAutospacing="0" w:after="30" w:afterAutospacing="0"/>
        <w:jc w:val="center"/>
        <w:rPr>
          <w:rStyle w:val="48"/>
          <w:sz w:val="36"/>
          <w:szCs w:val="36"/>
          <w:highlight w:val="none"/>
        </w:rPr>
      </w:pPr>
      <w:r>
        <w:rPr>
          <w:rStyle w:val="48"/>
          <w:rFonts w:hint="eastAsia"/>
          <w:sz w:val="36"/>
          <w:szCs w:val="36"/>
          <w:highlight w:val="none"/>
        </w:rPr>
        <w:t>产品成本占比承诺函</w:t>
      </w:r>
    </w:p>
    <w:p w14:paraId="266BF12B">
      <w:pPr>
        <w:pStyle w:val="39"/>
        <w:shd w:val="clear" w:color="auto" w:fill="FFFFFF"/>
        <w:spacing w:before="30" w:beforeAutospacing="0" w:after="30" w:afterAutospacing="0"/>
        <w:rPr>
          <w:rStyle w:val="48"/>
          <w:sz w:val="36"/>
          <w:szCs w:val="36"/>
          <w:highlight w:val="none"/>
        </w:rPr>
      </w:pPr>
    </w:p>
    <w:p w14:paraId="53CA2AF2">
      <w:pPr>
        <w:widowControl/>
        <w:spacing w:line="360" w:lineRule="auto"/>
        <w:ind w:firstLine="480" w:firstLineChars="200"/>
        <w:jc w:val="left"/>
        <w:rPr>
          <w:color w:val="333333"/>
          <w:sz w:val="24"/>
          <w:highlight w:val="none"/>
          <w:shd w:val="clear" w:color="auto" w:fill="FFFFFF"/>
        </w:rPr>
      </w:pPr>
      <w:r>
        <w:rPr>
          <w:rFonts w:hint="eastAsia"/>
          <w:color w:val="333333"/>
          <w:sz w:val="24"/>
          <w:highlight w:val="none"/>
          <w:shd w:val="clear" w:color="auto" w:fill="FFFFFF"/>
        </w:rPr>
        <w:t>我公司（单位）郑重承诺，我公司已阅读并理解《国务院办公厅关于在政府采购中实施本国产品标准及相关政策的通知》（国办发〔</w:t>
      </w:r>
      <w:r>
        <w:rPr>
          <w:color w:val="333333"/>
          <w:sz w:val="24"/>
          <w:highlight w:val="none"/>
          <w:shd w:val="clear" w:color="auto" w:fill="FFFFFF"/>
        </w:rPr>
        <w:t>2025</w:t>
      </w:r>
      <w:r>
        <w:rPr>
          <w:rFonts w:hint="eastAsia"/>
          <w:color w:val="333333"/>
          <w:sz w:val="24"/>
          <w:highlight w:val="none"/>
          <w:shd w:val="clear" w:color="auto" w:fill="FFFFFF"/>
        </w:rPr>
        <w:t>〕</w:t>
      </w:r>
      <w:r>
        <w:rPr>
          <w:color w:val="333333"/>
          <w:sz w:val="24"/>
          <w:highlight w:val="none"/>
          <w:shd w:val="clear" w:color="auto" w:fill="FFFFFF"/>
        </w:rPr>
        <w:t>34</w:t>
      </w:r>
      <w:r>
        <w:rPr>
          <w:rFonts w:hint="eastAsia"/>
          <w:color w:val="333333"/>
          <w:sz w:val="24"/>
          <w:highlight w:val="none"/>
          <w:shd w:val="clear" w:color="auto" w:fill="FFFFFF"/>
        </w:rPr>
        <w:t>号）的规定。据此承诺如下：</w:t>
      </w:r>
    </w:p>
    <w:p w14:paraId="3E8EB144">
      <w:pPr>
        <w:widowControl/>
        <w:spacing w:line="360" w:lineRule="auto"/>
        <w:ind w:firstLine="480" w:firstLineChars="200"/>
        <w:jc w:val="left"/>
        <w:rPr>
          <w:spacing w:val="6"/>
          <w:sz w:val="24"/>
          <w:highlight w:val="none"/>
        </w:rPr>
      </w:pPr>
      <w:r>
        <w:rPr>
          <w:rFonts w:hint="eastAsia"/>
          <w:color w:val="333333"/>
          <w:sz w:val="24"/>
          <w:highlight w:val="none"/>
          <w:shd w:val="clear" w:color="auto" w:fill="FFFFFF"/>
        </w:rPr>
        <w:t>为本采购项目或者采购包提供的符合本国产品标准的产品成本之和占提供的全部产品成本之和的比例为</w:t>
      </w:r>
      <w:r>
        <w:rPr>
          <w:spacing w:val="6"/>
          <w:sz w:val="24"/>
          <w:highlight w:val="none"/>
        </w:rPr>
        <w:t>______%</w:t>
      </w:r>
      <w:r>
        <w:rPr>
          <w:rFonts w:hint="eastAsia"/>
          <w:spacing w:val="6"/>
          <w:sz w:val="24"/>
          <w:highlight w:val="none"/>
        </w:rPr>
        <w:t>。</w:t>
      </w:r>
    </w:p>
    <w:p w14:paraId="36E05314">
      <w:pPr>
        <w:widowControl/>
        <w:spacing w:line="360" w:lineRule="auto"/>
        <w:ind w:firstLine="480" w:firstLineChars="200"/>
        <w:jc w:val="left"/>
        <w:rPr>
          <w:color w:val="000000"/>
          <w:sz w:val="24"/>
          <w:highlight w:val="none"/>
        </w:rPr>
      </w:pPr>
    </w:p>
    <w:p w14:paraId="1A54119C">
      <w:pPr>
        <w:pStyle w:val="39"/>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09D4D8B9">
      <w:pPr>
        <w:autoSpaceDE w:val="0"/>
        <w:autoSpaceDN w:val="0"/>
        <w:adjustRightInd w:val="0"/>
        <w:spacing w:line="360" w:lineRule="auto"/>
        <w:rPr>
          <w:rFonts w:ascii="宋体" w:hAnsi="宋体" w:cs="宋体"/>
          <w:b/>
          <w:highlight w:val="none"/>
        </w:rPr>
      </w:pPr>
      <w:r>
        <w:rPr>
          <w:rFonts w:hint="eastAsia"/>
          <w:color w:val="333333"/>
          <w:sz w:val="24"/>
          <w:highlight w:val="none"/>
          <w:shd w:val="clear" w:color="auto" w:fill="FFFFFF"/>
        </w:rPr>
        <w:t>日期：　     </w:t>
      </w:r>
      <w:r>
        <w:rPr>
          <w:rFonts w:hint="eastAsia" w:ascii="宋体" w:hAnsi="宋体" w:cs="宋体"/>
          <w:color w:val="333333"/>
          <w:sz w:val="24"/>
          <w:highlight w:val="none"/>
          <w:shd w:val="clear" w:color="auto" w:fill="FFFFFF"/>
        </w:rPr>
        <w:t>年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月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日</w:t>
      </w:r>
      <w:r>
        <w:rPr>
          <w:rFonts w:hint="eastAsia"/>
          <w:color w:val="333333"/>
          <w:sz w:val="24"/>
          <w:highlight w:val="none"/>
          <w:shd w:val="clear" w:color="auto" w:fill="FFFFFF"/>
        </w:rPr>
        <w:t>    </w:t>
      </w:r>
      <w:r>
        <w:rPr>
          <w:rFonts w:hint="eastAsia" w:ascii="宋体" w:hAnsi="宋体" w:cs="宋体"/>
          <w:b/>
          <w:szCs w:val="21"/>
          <w:highlight w:val="none"/>
          <w:lang w:val="zh-CN"/>
        </w:rPr>
        <w:br w:type="page"/>
      </w:r>
      <w:r>
        <w:rPr>
          <w:rFonts w:hint="eastAsia" w:ascii="宋体" w:hAnsi="宋体" w:cs="宋体"/>
          <w:b/>
          <w:highlight w:val="none"/>
        </w:rPr>
        <w:t>附件十二、无重大违法记录声明格式</w:t>
      </w:r>
    </w:p>
    <w:p w14:paraId="570E5FB2">
      <w:pPr>
        <w:spacing w:line="240" w:lineRule="atLeast"/>
        <w:jc w:val="center"/>
        <w:rPr>
          <w:rFonts w:ascii="宋体" w:hAnsi="宋体" w:cs="宋体"/>
          <w:sz w:val="28"/>
          <w:szCs w:val="36"/>
          <w:highlight w:val="none"/>
        </w:rPr>
      </w:pPr>
    </w:p>
    <w:p w14:paraId="639224E8">
      <w:pPr>
        <w:spacing w:line="240" w:lineRule="atLeast"/>
        <w:jc w:val="center"/>
        <w:rPr>
          <w:rFonts w:ascii="宋体" w:hAnsi="宋体" w:cs="宋体"/>
          <w:sz w:val="28"/>
          <w:szCs w:val="36"/>
          <w:highlight w:val="none"/>
        </w:rPr>
      </w:pPr>
      <w:r>
        <w:rPr>
          <w:rFonts w:hint="eastAsia" w:ascii="宋体" w:hAnsi="宋体" w:cs="宋体"/>
          <w:sz w:val="28"/>
          <w:szCs w:val="36"/>
          <w:highlight w:val="none"/>
        </w:rPr>
        <w:t>无重大违法记录声明</w:t>
      </w:r>
    </w:p>
    <w:p w14:paraId="3265DD92">
      <w:pPr>
        <w:spacing w:line="360" w:lineRule="auto"/>
        <w:rPr>
          <w:rFonts w:ascii="宋体" w:hAnsi="宋体" w:cs="宋体"/>
          <w:szCs w:val="21"/>
          <w:highlight w:val="none"/>
        </w:rPr>
      </w:pPr>
    </w:p>
    <w:p w14:paraId="1A115941">
      <w:pPr>
        <w:spacing w:line="360" w:lineRule="auto"/>
        <w:rPr>
          <w:rFonts w:ascii="宋体" w:hAnsi="宋体" w:cs="宋体"/>
          <w:szCs w:val="21"/>
          <w:highlight w:val="none"/>
        </w:rPr>
      </w:pPr>
      <w:r>
        <w:rPr>
          <w:rFonts w:hint="eastAsia" w:ascii="宋体" w:hAnsi="宋体" w:cs="宋体"/>
          <w:szCs w:val="21"/>
          <w:highlight w:val="none"/>
        </w:rPr>
        <w:t>江苏省设备成套股份有限公司：</w:t>
      </w:r>
    </w:p>
    <w:p w14:paraId="7C425A3C">
      <w:pPr>
        <w:spacing w:line="360" w:lineRule="auto"/>
        <w:rPr>
          <w:rFonts w:ascii="宋体" w:hAnsi="宋体" w:cs="宋体"/>
          <w:highlight w:val="none"/>
        </w:rPr>
      </w:pPr>
    </w:p>
    <w:p w14:paraId="7569E1D5">
      <w:pPr>
        <w:spacing w:line="360" w:lineRule="auto"/>
        <w:ind w:firstLine="336" w:firstLineChars="160"/>
        <w:rPr>
          <w:rFonts w:ascii="宋体" w:hAnsi="宋体" w:cs="宋体"/>
          <w:highlight w:val="none"/>
        </w:rPr>
      </w:pPr>
      <w:r>
        <w:rPr>
          <w:rFonts w:hint="eastAsia" w:ascii="宋体" w:hAnsi="宋体" w:cs="宋体"/>
          <w:highlight w:val="none"/>
        </w:rPr>
        <w:t>我单位（供应商名称）郑重声明：</w:t>
      </w:r>
    </w:p>
    <w:p w14:paraId="42CAD70D">
      <w:pPr>
        <w:widowControl/>
        <w:spacing w:line="360" w:lineRule="auto"/>
        <w:ind w:firstLine="308" w:firstLineChars="147"/>
        <w:rPr>
          <w:rFonts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，且不是失信被执行人、重大税收违法失信主体名单、政府采购严重违法失信行为记录名单的供应商。</w:t>
      </w:r>
    </w:p>
    <w:p w14:paraId="22BF9D34">
      <w:pPr>
        <w:spacing w:line="360" w:lineRule="auto"/>
        <w:ind w:firstLine="420" w:firstLineChars="200"/>
        <w:rPr>
          <w:rFonts w:ascii="宋体" w:hAnsi="宋体" w:cs="宋体"/>
          <w:highlight w:val="none"/>
        </w:rPr>
      </w:pPr>
    </w:p>
    <w:p w14:paraId="17EDF477">
      <w:pPr>
        <w:spacing w:line="360" w:lineRule="auto"/>
        <w:ind w:firstLine="315" w:firstLineChars="150"/>
        <w:rPr>
          <w:rFonts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28D1A42">
      <w:pPr>
        <w:spacing w:line="360" w:lineRule="auto"/>
        <w:rPr>
          <w:rFonts w:ascii="宋体" w:hAnsi="宋体" w:cs="宋体"/>
          <w:highlight w:val="none"/>
        </w:rPr>
      </w:pPr>
    </w:p>
    <w:p w14:paraId="1A987AED">
      <w:pPr>
        <w:spacing w:line="360" w:lineRule="auto"/>
        <w:rPr>
          <w:rFonts w:ascii="宋体" w:hAnsi="宋体" w:cs="宋体"/>
          <w:highlight w:val="none"/>
        </w:rPr>
      </w:pPr>
    </w:p>
    <w:p w14:paraId="2F609FC2">
      <w:pPr>
        <w:spacing w:line="360" w:lineRule="auto"/>
        <w:ind w:firstLine="5103" w:firstLineChars="2430"/>
        <w:rPr>
          <w:rFonts w:ascii="宋体" w:hAnsi="宋体" w:cs="宋体"/>
          <w:highlight w:val="none"/>
        </w:rPr>
      </w:pPr>
      <w:r>
        <w:rPr>
          <w:rFonts w:hint="eastAsia" w:ascii="宋体" w:hAnsi="宋体" w:cs="宋体"/>
          <w:highlight w:val="none"/>
        </w:rPr>
        <w:t>声明人：</w:t>
      </w:r>
      <w:r>
        <w:rPr>
          <w:rFonts w:hint="eastAsia" w:ascii="宋体" w:hAnsi="宋体" w:cs="宋体"/>
          <w:kern w:val="0"/>
          <w:szCs w:val="21"/>
          <w:highlight w:val="none"/>
        </w:rPr>
        <w:t>（加盖电子公章）</w:t>
      </w:r>
    </w:p>
    <w:p w14:paraId="135F731D">
      <w:pPr>
        <w:autoSpaceDE w:val="0"/>
        <w:autoSpaceDN w:val="0"/>
        <w:adjustRightInd w:val="0"/>
        <w:spacing w:line="360" w:lineRule="auto"/>
        <w:ind w:firstLine="5040" w:firstLineChars="2400"/>
        <w:rPr>
          <w:rFonts w:ascii="宋体" w:hAnsi="宋体" w:cs="宋体"/>
          <w:b/>
          <w:highlight w:val="none"/>
        </w:rPr>
      </w:pPr>
      <w:r>
        <w:rPr>
          <w:rFonts w:hint="eastAsia" w:ascii="宋体" w:hAnsi="宋体" w:cs="宋体"/>
          <w:szCs w:val="21"/>
          <w:highlight w:val="none"/>
          <w:lang w:val="zh-CN"/>
        </w:rPr>
        <w:t>日期：年月</w:t>
      </w:r>
      <w:r>
        <w:rPr>
          <w:rFonts w:hint="eastAsia" w:ascii="宋体" w:hAnsi="宋体" w:cs="宋体"/>
          <w:b/>
          <w:szCs w:val="21"/>
          <w:highlight w:val="none"/>
          <w:lang w:val="zh-CN"/>
        </w:rPr>
        <w:br w:type="page"/>
      </w:r>
    </w:p>
    <w:p w14:paraId="0EEFF44C">
      <w:pPr>
        <w:autoSpaceDE w:val="0"/>
        <w:autoSpaceDN w:val="0"/>
        <w:adjustRightInd w:val="0"/>
        <w:spacing w:line="360" w:lineRule="auto"/>
        <w:rPr>
          <w:rFonts w:ascii="宋体" w:hAnsi="宋体" w:cs="宋体"/>
          <w:b/>
          <w:highlight w:val="none"/>
        </w:rPr>
      </w:pPr>
      <w:r>
        <w:rPr>
          <w:rFonts w:hint="eastAsia" w:ascii="宋体" w:hAnsi="宋体" w:cs="宋体"/>
          <w:b/>
          <w:highlight w:val="none"/>
        </w:rPr>
        <w:t>附件十三、资格资信证明文件</w:t>
      </w:r>
    </w:p>
    <w:p w14:paraId="267BD0E4">
      <w:pPr>
        <w:autoSpaceDE w:val="0"/>
        <w:autoSpaceDN w:val="0"/>
        <w:adjustRightInd w:val="0"/>
        <w:spacing w:line="360" w:lineRule="auto"/>
        <w:rPr>
          <w:rFonts w:ascii="宋体" w:hAnsi="宋体" w:cs="宋体"/>
          <w:b/>
          <w:highlight w:val="none"/>
        </w:rPr>
      </w:pPr>
    </w:p>
    <w:p w14:paraId="5E140B40">
      <w:pPr>
        <w:autoSpaceDE w:val="0"/>
        <w:autoSpaceDN w:val="0"/>
        <w:adjustRightInd w:val="0"/>
        <w:spacing w:line="360" w:lineRule="auto"/>
        <w:rPr>
          <w:rFonts w:ascii="宋体" w:hAnsi="宋体" w:cs="宋体"/>
          <w:b/>
          <w:highlight w:val="none"/>
        </w:rPr>
      </w:pPr>
      <w:r>
        <w:rPr>
          <w:rFonts w:hint="eastAsia" w:ascii="宋体" w:hAnsi="宋体" w:cs="宋体"/>
          <w:b/>
          <w:highlight w:val="none"/>
        </w:rPr>
        <w:t>附件十四、联合体协议及联合体授权委托书（如允许联合体、格式自拟）</w:t>
      </w:r>
    </w:p>
    <w:p w14:paraId="62E9B18C">
      <w:pPr>
        <w:pStyle w:val="274"/>
        <w:rPr>
          <w:highlight w:val="none"/>
        </w:rPr>
      </w:pPr>
    </w:p>
    <w:p w14:paraId="77098707">
      <w:pPr>
        <w:autoSpaceDE w:val="0"/>
        <w:autoSpaceDN w:val="0"/>
        <w:adjustRightInd w:val="0"/>
        <w:spacing w:line="360" w:lineRule="auto"/>
        <w:rPr>
          <w:rFonts w:ascii="宋体" w:hAnsi="宋体" w:cs="宋体"/>
          <w:b/>
          <w:highlight w:val="none"/>
        </w:rPr>
      </w:pPr>
    </w:p>
    <w:p w14:paraId="3BA23E09">
      <w:pPr>
        <w:pStyle w:val="274"/>
        <w:spacing w:line="360" w:lineRule="auto"/>
        <w:ind w:firstLine="0"/>
        <w:jc w:val="left"/>
        <w:rPr>
          <w:rFonts w:ascii="宋体" w:hAnsi="宋体" w:cs="宋体"/>
          <w:b/>
          <w:highlight w:val="none"/>
        </w:rPr>
      </w:pPr>
    </w:p>
    <w:p w14:paraId="721A6C3A">
      <w:pPr>
        <w:pStyle w:val="274"/>
        <w:spacing w:line="360" w:lineRule="auto"/>
        <w:ind w:firstLine="0"/>
        <w:jc w:val="left"/>
        <w:rPr>
          <w:rFonts w:ascii="宋体" w:hAnsi="宋体" w:cs="宋体"/>
          <w:b/>
          <w:highlight w:val="none"/>
        </w:rPr>
      </w:pPr>
      <w:r>
        <w:rPr>
          <w:rFonts w:hint="eastAsia" w:ascii="宋体" w:hAnsi="宋体" w:cs="宋体"/>
          <w:b/>
          <w:highlight w:val="none"/>
        </w:rPr>
        <w:t>附件十五、投标人需要提供的其他材料</w:t>
      </w:r>
    </w:p>
    <w:p w14:paraId="3DDFFB44">
      <w:pPr>
        <w:pStyle w:val="17"/>
        <w:rPr>
          <w:rFonts w:ascii="宋体" w:hAnsi="宋体" w:cs="宋体"/>
          <w:b/>
          <w:highlight w:val="none"/>
        </w:rPr>
      </w:pPr>
    </w:p>
    <w:p w14:paraId="4944B01A">
      <w:pPr>
        <w:rPr>
          <w:highlight w:val="none"/>
        </w:rPr>
      </w:pPr>
    </w:p>
    <w:sectPr>
      <w:footerReference r:id="rId13" w:type="first"/>
      <w:headerReference r:id="rId11" w:type="default"/>
      <w:footerReference r:id="rId12"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57E19EC-116B-4542-806B-287F1F879384}"/>
  </w:font>
  <w:font w:name="黑体">
    <w:panose1 w:val="02010609060101010101"/>
    <w:charset w:val="86"/>
    <w:family w:val="auto"/>
    <w:pitch w:val="default"/>
    <w:sig w:usb0="800002BF" w:usb1="38CF7CFA" w:usb2="00000016" w:usb3="00000000" w:csb0="00040001" w:csb1="00000000"/>
    <w:embedRegular r:id="rId2" w:fontKey="{102CC3AC-740B-482A-81DB-32FDF73D6B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微软雅黑"/>
    <w:panose1 w:val="020B0604020202020204"/>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Ari">
    <w:altName w:val="Arial"/>
    <w:panose1 w:val="020B0604020202020204"/>
    <w:charset w:val="00"/>
    <w:family w:val="decorative"/>
    <w:pitch w:val="default"/>
    <w:sig w:usb0="00000000" w:usb1="00000000" w:usb2="00000000" w:usb3="00000000" w:csb0="00000001" w:csb1="00000000"/>
  </w:font>
  <w:font w:name="仿宋_GB2312">
    <w:altName w:val="仿宋"/>
    <w:panose1 w:val="020B0604020202020204"/>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NLe">
    <w:altName w:val="Times New Roman"/>
    <w:panose1 w:val="020B0604020202020204"/>
    <w:charset w:val="00"/>
    <w:family w:val="roman"/>
    <w:pitch w:val="default"/>
    <w:sig w:usb0="00000000" w:usb1="00000000" w:usb2="0000000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20B0604020202020204"/>
    <w:charset w:val="00"/>
    <w:family w:val="auto"/>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embedRegular r:id="rId3" w:fontKey="{51031E14-30B2-4C23-B1B0-41A234AAAA21}"/>
  </w:font>
  <w:font w:name="Segoe UI Symbol">
    <w:panose1 w:val="020B0502040204020203"/>
    <w:charset w:val="00"/>
    <w:family w:val="swiss"/>
    <w:pitch w:val="default"/>
    <w:sig w:usb0="800001E3" w:usb1="1200FFEF" w:usb2="00040000" w:usb3="04000000" w:csb0="00000001" w:csb1="40000000"/>
    <w:embedRegular r:id="rId4" w:fontKey="{A4AFE4A8-A65C-4835-B900-62D703FE6E75}"/>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F68FE">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DA4F9">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3E572">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7E264">
    <w:pPr>
      <w:snapToGrid w:val="0"/>
      <w:jc w:val="center"/>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27FC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06427FC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4224C">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4AC97">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3D4AC97">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AA990">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B957B">
                          <w:pPr>
                            <w:pStyle w:val="2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D4B957B">
                    <w:pPr>
                      <w:pStyle w:val="2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86429">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C7452">
                          <w:pPr>
                            <w:pStyle w:val="2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C4C7452">
                    <w:pPr>
                      <w:pStyle w:val="2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C8DFE">
    <w:pPr>
      <w:pStyle w:val="3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D47C1">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139C5">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E8DC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1"/>
      <w:isLgl/>
      <w:lvlText w:val="%1.%2"/>
      <w:lvlJc w:val="left"/>
      <w:pPr>
        <w:ind w:left="425" w:hanging="425"/>
      </w:pPr>
      <w:rPr>
        <w:rFonts w:hint="eastAsia" w:ascii="Arial Unicode MS" w:hAnsi="Arial Unicode MS" w:eastAsia="微软雅黑"/>
        <w:b/>
        <w:i w:val="0"/>
      </w:rPr>
    </w:lvl>
    <w:lvl w:ilvl="2" w:tentative="0">
      <w:start w:val="1"/>
      <w:numFmt w:val="decimal"/>
      <w:pStyle w:val="18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52BE844D"/>
    <w:multiLevelType w:val="singleLevel"/>
    <w:tmpl w:val="52BE844D"/>
    <w:lvl w:ilvl="0" w:tentative="0">
      <w:start w:val="1"/>
      <w:numFmt w:val="decimal"/>
      <w:lvlText w:val="%1."/>
      <w:lvlJc w:val="left"/>
      <w:pPr>
        <w:tabs>
          <w:tab w:val="left" w:pos="312"/>
        </w:tabs>
      </w:pPr>
    </w:lvl>
  </w:abstractNum>
  <w:abstractNum w:abstractNumId="5">
    <w:nsid w:val="5915610C"/>
    <w:multiLevelType w:val="singleLevel"/>
    <w:tmpl w:val="5915610C"/>
    <w:lvl w:ilvl="0" w:tentative="0">
      <w:start w:val="1"/>
      <w:numFmt w:val="decimal"/>
      <w:suff w:val="nothing"/>
      <w:lvlText w:val="%1、"/>
      <w:lvlJc w:val="left"/>
    </w:lvl>
  </w:abstractNum>
  <w:abstractNum w:abstractNumId="6">
    <w:nsid w:val="64B0665D"/>
    <w:multiLevelType w:val="singleLevel"/>
    <w:tmpl w:val="64B0665D"/>
    <w:lvl w:ilvl="0" w:tentative="0">
      <w:start w:val="7"/>
      <w:numFmt w:val="decimal"/>
      <w:suff w:val="nothing"/>
      <w:lvlText w:val="%1、"/>
      <w:lvlJc w:val="left"/>
    </w:lvl>
  </w:abstractNum>
  <w:num w:numId="1">
    <w:abstractNumId w:val="0"/>
  </w:num>
  <w:num w:numId="2">
    <w:abstractNumId w:val="3"/>
  </w:num>
  <w:num w:numId="3">
    <w:abstractNumId w:val="2"/>
  </w:num>
  <w:num w:numId="4">
    <w:abstractNumId w:val="6"/>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TrueTypeFonts/>
  <w:saveSubsetFonts/>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jNzgzNTdmYmJmYzk0OWEwOWIyYjBkMjVlZjUwODA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293"/>
    <w:rsid w:val="000163B7"/>
    <w:rsid w:val="000207B3"/>
    <w:rsid w:val="00020832"/>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F37"/>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5C9"/>
    <w:rsid w:val="00056E6B"/>
    <w:rsid w:val="000573CA"/>
    <w:rsid w:val="0006006F"/>
    <w:rsid w:val="00060B89"/>
    <w:rsid w:val="00062472"/>
    <w:rsid w:val="0006265F"/>
    <w:rsid w:val="000640E2"/>
    <w:rsid w:val="0006476D"/>
    <w:rsid w:val="00064BCC"/>
    <w:rsid w:val="00067D84"/>
    <w:rsid w:val="00071667"/>
    <w:rsid w:val="00071D19"/>
    <w:rsid w:val="00072185"/>
    <w:rsid w:val="00072FC5"/>
    <w:rsid w:val="000737C5"/>
    <w:rsid w:val="000758E2"/>
    <w:rsid w:val="00080619"/>
    <w:rsid w:val="00081250"/>
    <w:rsid w:val="000851FF"/>
    <w:rsid w:val="0008631F"/>
    <w:rsid w:val="00086DDF"/>
    <w:rsid w:val="000906B1"/>
    <w:rsid w:val="00090C02"/>
    <w:rsid w:val="0009280E"/>
    <w:rsid w:val="000944A4"/>
    <w:rsid w:val="000961D2"/>
    <w:rsid w:val="000963C4"/>
    <w:rsid w:val="00096BB7"/>
    <w:rsid w:val="00097207"/>
    <w:rsid w:val="00097293"/>
    <w:rsid w:val="00097411"/>
    <w:rsid w:val="000978F6"/>
    <w:rsid w:val="00097A13"/>
    <w:rsid w:val="00097C5F"/>
    <w:rsid w:val="000A2C8C"/>
    <w:rsid w:val="000A45A0"/>
    <w:rsid w:val="000A573E"/>
    <w:rsid w:val="000A72E5"/>
    <w:rsid w:val="000A7DA8"/>
    <w:rsid w:val="000A7DB5"/>
    <w:rsid w:val="000B086C"/>
    <w:rsid w:val="000B21A6"/>
    <w:rsid w:val="000B23F6"/>
    <w:rsid w:val="000B2B7D"/>
    <w:rsid w:val="000B4307"/>
    <w:rsid w:val="000B4AC4"/>
    <w:rsid w:val="000B6FEE"/>
    <w:rsid w:val="000B77FB"/>
    <w:rsid w:val="000C3C47"/>
    <w:rsid w:val="000C4107"/>
    <w:rsid w:val="000D1821"/>
    <w:rsid w:val="000D18A2"/>
    <w:rsid w:val="000D2E57"/>
    <w:rsid w:val="000D4CDD"/>
    <w:rsid w:val="000E0528"/>
    <w:rsid w:val="000E14EE"/>
    <w:rsid w:val="000E513A"/>
    <w:rsid w:val="000E5792"/>
    <w:rsid w:val="000E595A"/>
    <w:rsid w:val="000E6BE6"/>
    <w:rsid w:val="000E706E"/>
    <w:rsid w:val="000E70D0"/>
    <w:rsid w:val="000E782C"/>
    <w:rsid w:val="000E7AEC"/>
    <w:rsid w:val="000F3235"/>
    <w:rsid w:val="000F353A"/>
    <w:rsid w:val="000F3911"/>
    <w:rsid w:val="000F39B4"/>
    <w:rsid w:val="000F5394"/>
    <w:rsid w:val="000F64B8"/>
    <w:rsid w:val="000F78F6"/>
    <w:rsid w:val="00100C2D"/>
    <w:rsid w:val="00102973"/>
    <w:rsid w:val="00106DF5"/>
    <w:rsid w:val="00106FD6"/>
    <w:rsid w:val="0010745A"/>
    <w:rsid w:val="00107AD2"/>
    <w:rsid w:val="0011087D"/>
    <w:rsid w:val="00111319"/>
    <w:rsid w:val="001138E0"/>
    <w:rsid w:val="00113E29"/>
    <w:rsid w:val="001144F5"/>
    <w:rsid w:val="001152DD"/>
    <w:rsid w:val="00115425"/>
    <w:rsid w:val="00115C20"/>
    <w:rsid w:val="0011699D"/>
    <w:rsid w:val="00116AB7"/>
    <w:rsid w:val="00117CA2"/>
    <w:rsid w:val="00120F0A"/>
    <w:rsid w:val="00121249"/>
    <w:rsid w:val="00122C54"/>
    <w:rsid w:val="00123A13"/>
    <w:rsid w:val="001247D0"/>
    <w:rsid w:val="00124DDA"/>
    <w:rsid w:val="0012568D"/>
    <w:rsid w:val="00125FE2"/>
    <w:rsid w:val="001266F2"/>
    <w:rsid w:val="0013061E"/>
    <w:rsid w:val="00130C01"/>
    <w:rsid w:val="001315EC"/>
    <w:rsid w:val="001326EC"/>
    <w:rsid w:val="00132750"/>
    <w:rsid w:val="00132D0F"/>
    <w:rsid w:val="00133C84"/>
    <w:rsid w:val="001340E9"/>
    <w:rsid w:val="0013431C"/>
    <w:rsid w:val="00137BAE"/>
    <w:rsid w:val="0014045A"/>
    <w:rsid w:val="0014108C"/>
    <w:rsid w:val="00142258"/>
    <w:rsid w:val="0014415F"/>
    <w:rsid w:val="00145CD4"/>
    <w:rsid w:val="00147D5B"/>
    <w:rsid w:val="00147F1C"/>
    <w:rsid w:val="001505BC"/>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A5B"/>
    <w:rsid w:val="001B3EA3"/>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4E6"/>
    <w:rsid w:val="001D3678"/>
    <w:rsid w:val="001D4C43"/>
    <w:rsid w:val="001D56B2"/>
    <w:rsid w:val="001D7522"/>
    <w:rsid w:val="001E070F"/>
    <w:rsid w:val="001E28FB"/>
    <w:rsid w:val="001E4541"/>
    <w:rsid w:val="001E566C"/>
    <w:rsid w:val="001E638E"/>
    <w:rsid w:val="001E6506"/>
    <w:rsid w:val="001F2240"/>
    <w:rsid w:val="001F29E7"/>
    <w:rsid w:val="001F2C74"/>
    <w:rsid w:val="001F2EB7"/>
    <w:rsid w:val="001F3EF6"/>
    <w:rsid w:val="001F4114"/>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2C36"/>
    <w:rsid w:val="00224089"/>
    <w:rsid w:val="002256F3"/>
    <w:rsid w:val="00226A2F"/>
    <w:rsid w:val="00227213"/>
    <w:rsid w:val="00232DC8"/>
    <w:rsid w:val="00232F23"/>
    <w:rsid w:val="0023309F"/>
    <w:rsid w:val="002340E4"/>
    <w:rsid w:val="002351B6"/>
    <w:rsid w:val="00235A36"/>
    <w:rsid w:val="002368B0"/>
    <w:rsid w:val="0023761F"/>
    <w:rsid w:val="00241093"/>
    <w:rsid w:val="002410E3"/>
    <w:rsid w:val="00241BAE"/>
    <w:rsid w:val="00241C7D"/>
    <w:rsid w:val="0024336F"/>
    <w:rsid w:val="0024462B"/>
    <w:rsid w:val="00245DA2"/>
    <w:rsid w:val="0025013B"/>
    <w:rsid w:val="002504D9"/>
    <w:rsid w:val="00250EDD"/>
    <w:rsid w:val="00253197"/>
    <w:rsid w:val="00254080"/>
    <w:rsid w:val="0025426C"/>
    <w:rsid w:val="0025541A"/>
    <w:rsid w:val="00256BC3"/>
    <w:rsid w:val="002570EE"/>
    <w:rsid w:val="00257AE9"/>
    <w:rsid w:val="002604F0"/>
    <w:rsid w:val="002608FB"/>
    <w:rsid w:val="002617E6"/>
    <w:rsid w:val="00263349"/>
    <w:rsid w:val="002637B7"/>
    <w:rsid w:val="00264614"/>
    <w:rsid w:val="00265A8E"/>
    <w:rsid w:val="00267018"/>
    <w:rsid w:val="002708AF"/>
    <w:rsid w:val="002740C3"/>
    <w:rsid w:val="00274257"/>
    <w:rsid w:val="00275345"/>
    <w:rsid w:val="0027735C"/>
    <w:rsid w:val="0027753E"/>
    <w:rsid w:val="00277F81"/>
    <w:rsid w:val="002810AC"/>
    <w:rsid w:val="002812CC"/>
    <w:rsid w:val="00282044"/>
    <w:rsid w:val="00283518"/>
    <w:rsid w:val="00283EBD"/>
    <w:rsid w:val="002867C5"/>
    <w:rsid w:val="00291950"/>
    <w:rsid w:val="00292DEA"/>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2C04"/>
    <w:rsid w:val="002C4A64"/>
    <w:rsid w:val="002C58DF"/>
    <w:rsid w:val="002C607A"/>
    <w:rsid w:val="002C6711"/>
    <w:rsid w:val="002D10B1"/>
    <w:rsid w:val="002D2894"/>
    <w:rsid w:val="002D4D5F"/>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4636"/>
    <w:rsid w:val="002F5066"/>
    <w:rsid w:val="002F50C1"/>
    <w:rsid w:val="002F5701"/>
    <w:rsid w:val="002F5D82"/>
    <w:rsid w:val="002F6084"/>
    <w:rsid w:val="0030167A"/>
    <w:rsid w:val="00304E56"/>
    <w:rsid w:val="00305346"/>
    <w:rsid w:val="003055BF"/>
    <w:rsid w:val="00306641"/>
    <w:rsid w:val="003071C6"/>
    <w:rsid w:val="00307810"/>
    <w:rsid w:val="003106F7"/>
    <w:rsid w:val="00310809"/>
    <w:rsid w:val="003120B1"/>
    <w:rsid w:val="003129FD"/>
    <w:rsid w:val="00312B26"/>
    <w:rsid w:val="00313484"/>
    <w:rsid w:val="00313AEF"/>
    <w:rsid w:val="00313BF3"/>
    <w:rsid w:val="003141CA"/>
    <w:rsid w:val="003154A3"/>
    <w:rsid w:val="00315B2D"/>
    <w:rsid w:val="00317403"/>
    <w:rsid w:val="003203E5"/>
    <w:rsid w:val="0032061A"/>
    <w:rsid w:val="003246D4"/>
    <w:rsid w:val="00326C8C"/>
    <w:rsid w:val="00327533"/>
    <w:rsid w:val="003279E3"/>
    <w:rsid w:val="003309C5"/>
    <w:rsid w:val="003335D3"/>
    <w:rsid w:val="00334124"/>
    <w:rsid w:val="003350AB"/>
    <w:rsid w:val="0033645E"/>
    <w:rsid w:val="00340850"/>
    <w:rsid w:val="003413C2"/>
    <w:rsid w:val="0034418A"/>
    <w:rsid w:val="00345337"/>
    <w:rsid w:val="00345DB5"/>
    <w:rsid w:val="003469B0"/>
    <w:rsid w:val="00346E30"/>
    <w:rsid w:val="0034735E"/>
    <w:rsid w:val="00351AFA"/>
    <w:rsid w:val="003527FB"/>
    <w:rsid w:val="00352E13"/>
    <w:rsid w:val="0035365B"/>
    <w:rsid w:val="00355C4A"/>
    <w:rsid w:val="0035730E"/>
    <w:rsid w:val="00357CF7"/>
    <w:rsid w:val="00357D63"/>
    <w:rsid w:val="003600F4"/>
    <w:rsid w:val="003651BD"/>
    <w:rsid w:val="00366BD9"/>
    <w:rsid w:val="00366C7A"/>
    <w:rsid w:val="00367044"/>
    <w:rsid w:val="00367B81"/>
    <w:rsid w:val="0037007A"/>
    <w:rsid w:val="00371206"/>
    <w:rsid w:val="00372366"/>
    <w:rsid w:val="00372537"/>
    <w:rsid w:val="00372574"/>
    <w:rsid w:val="00373302"/>
    <w:rsid w:val="00374628"/>
    <w:rsid w:val="00375450"/>
    <w:rsid w:val="003762DA"/>
    <w:rsid w:val="003767C0"/>
    <w:rsid w:val="0037760B"/>
    <w:rsid w:val="00381242"/>
    <w:rsid w:val="00381E36"/>
    <w:rsid w:val="0038343A"/>
    <w:rsid w:val="00383892"/>
    <w:rsid w:val="00385C65"/>
    <w:rsid w:val="0038766E"/>
    <w:rsid w:val="003924B9"/>
    <w:rsid w:val="00393EC0"/>
    <w:rsid w:val="00395B3B"/>
    <w:rsid w:val="00395D23"/>
    <w:rsid w:val="003969C7"/>
    <w:rsid w:val="00396C5E"/>
    <w:rsid w:val="003A12C6"/>
    <w:rsid w:val="003A1936"/>
    <w:rsid w:val="003A2501"/>
    <w:rsid w:val="003A2F14"/>
    <w:rsid w:val="003A3E1F"/>
    <w:rsid w:val="003A40D8"/>
    <w:rsid w:val="003A4366"/>
    <w:rsid w:val="003A477C"/>
    <w:rsid w:val="003A5576"/>
    <w:rsid w:val="003A565F"/>
    <w:rsid w:val="003A5A66"/>
    <w:rsid w:val="003B03E6"/>
    <w:rsid w:val="003B1470"/>
    <w:rsid w:val="003B24D1"/>
    <w:rsid w:val="003B25AB"/>
    <w:rsid w:val="003B3CAC"/>
    <w:rsid w:val="003B4F8A"/>
    <w:rsid w:val="003B57AF"/>
    <w:rsid w:val="003B5E57"/>
    <w:rsid w:val="003B6680"/>
    <w:rsid w:val="003B6BFB"/>
    <w:rsid w:val="003B6DB0"/>
    <w:rsid w:val="003B7B34"/>
    <w:rsid w:val="003C0A54"/>
    <w:rsid w:val="003C1F02"/>
    <w:rsid w:val="003C3153"/>
    <w:rsid w:val="003C5B1B"/>
    <w:rsid w:val="003C7F64"/>
    <w:rsid w:val="003D11A8"/>
    <w:rsid w:val="003D1C4F"/>
    <w:rsid w:val="003D5379"/>
    <w:rsid w:val="003E0214"/>
    <w:rsid w:val="003E1379"/>
    <w:rsid w:val="003E35F2"/>
    <w:rsid w:val="003E582E"/>
    <w:rsid w:val="003F12C3"/>
    <w:rsid w:val="003F22CE"/>
    <w:rsid w:val="003F282F"/>
    <w:rsid w:val="003F2F8E"/>
    <w:rsid w:val="003F2FB9"/>
    <w:rsid w:val="003F374E"/>
    <w:rsid w:val="003F49F0"/>
    <w:rsid w:val="003F569B"/>
    <w:rsid w:val="003F604B"/>
    <w:rsid w:val="0040000B"/>
    <w:rsid w:val="00400EF4"/>
    <w:rsid w:val="00401780"/>
    <w:rsid w:val="00401DB3"/>
    <w:rsid w:val="00403E2E"/>
    <w:rsid w:val="004041F8"/>
    <w:rsid w:val="0040420E"/>
    <w:rsid w:val="004077E5"/>
    <w:rsid w:val="00407F04"/>
    <w:rsid w:val="0041032A"/>
    <w:rsid w:val="004112F7"/>
    <w:rsid w:val="004119C7"/>
    <w:rsid w:val="00413B7E"/>
    <w:rsid w:val="00413DA2"/>
    <w:rsid w:val="004157AF"/>
    <w:rsid w:val="0041654A"/>
    <w:rsid w:val="00416D57"/>
    <w:rsid w:val="0041706F"/>
    <w:rsid w:val="004170AE"/>
    <w:rsid w:val="00417B8E"/>
    <w:rsid w:val="00417D62"/>
    <w:rsid w:val="00417EF4"/>
    <w:rsid w:val="0042051E"/>
    <w:rsid w:val="00420A4C"/>
    <w:rsid w:val="00420AEA"/>
    <w:rsid w:val="00420B29"/>
    <w:rsid w:val="004218D4"/>
    <w:rsid w:val="0042338B"/>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2D73"/>
    <w:rsid w:val="00443704"/>
    <w:rsid w:val="004469B7"/>
    <w:rsid w:val="00447E6A"/>
    <w:rsid w:val="004500BD"/>
    <w:rsid w:val="004506CC"/>
    <w:rsid w:val="00451DDE"/>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1DC3"/>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C02"/>
    <w:rsid w:val="00492FA1"/>
    <w:rsid w:val="00492FA2"/>
    <w:rsid w:val="00494A57"/>
    <w:rsid w:val="00497549"/>
    <w:rsid w:val="004A1C78"/>
    <w:rsid w:val="004A24F0"/>
    <w:rsid w:val="004A2C31"/>
    <w:rsid w:val="004A2F60"/>
    <w:rsid w:val="004A5E41"/>
    <w:rsid w:val="004B0663"/>
    <w:rsid w:val="004B2A84"/>
    <w:rsid w:val="004B3846"/>
    <w:rsid w:val="004B389D"/>
    <w:rsid w:val="004B4285"/>
    <w:rsid w:val="004B5ADB"/>
    <w:rsid w:val="004B746D"/>
    <w:rsid w:val="004C1F95"/>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612"/>
    <w:rsid w:val="004F6C5C"/>
    <w:rsid w:val="004F6FB8"/>
    <w:rsid w:val="004F72B3"/>
    <w:rsid w:val="00501DC6"/>
    <w:rsid w:val="00502239"/>
    <w:rsid w:val="0050298B"/>
    <w:rsid w:val="00502CFD"/>
    <w:rsid w:val="00502FF2"/>
    <w:rsid w:val="005041F8"/>
    <w:rsid w:val="0050794D"/>
    <w:rsid w:val="00507FE8"/>
    <w:rsid w:val="00512D9D"/>
    <w:rsid w:val="00516AD7"/>
    <w:rsid w:val="00516CEF"/>
    <w:rsid w:val="005172E4"/>
    <w:rsid w:val="00517586"/>
    <w:rsid w:val="00517595"/>
    <w:rsid w:val="00520554"/>
    <w:rsid w:val="0052102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406B2"/>
    <w:rsid w:val="00542510"/>
    <w:rsid w:val="005430D6"/>
    <w:rsid w:val="005432D4"/>
    <w:rsid w:val="005442EF"/>
    <w:rsid w:val="00544A59"/>
    <w:rsid w:val="00544E95"/>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6A0F"/>
    <w:rsid w:val="00557436"/>
    <w:rsid w:val="005606F8"/>
    <w:rsid w:val="00561935"/>
    <w:rsid w:val="00561AEC"/>
    <w:rsid w:val="005627DD"/>
    <w:rsid w:val="0056374A"/>
    <w:rsid w:val="00565929"/>
    <w:rsid w:val="00566375"/>
    <w:rsid w:val="00566859"/>
    <w:rsid w:val="005674DC"/>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4D33"/>
    <w:rsid w:val="005A56EA"/>
    <w:rsid w:val="005A5A91"/>
    <w:rsid w:val="005A61D7"/>
    <w:rsid w:val="005A704F"/>
    <w:rsid w:val="005B7896"/>
    <w:rsid w:val="005C0875"/>
    <w:rsid w:val="005C088A"/>
    <w:rsid w:val="005C09DF"/>
    <w:rsid w:val="005C0BE9"/>
    <w:rsid w:val="005C0FD4"/>
    <w:rsid w:val="005C31E6"/>
    <w:rsid w:val="005C3479"/>
    <w:rsid w:val="005C3893"/>
    <w:rsid w:val="005C38E7"/>
    <w:rsid w:val="005C4816"/>
    <w:rsid w:val="005C4EDA"/>
    <w:rsid w:val="005C5E8D"/>
    <w:rsid w:val="005C6934"/>
    <w:rsid w:val="005C772A"/>
    <w:rsid w:val="005D00AF"/>
    <w:rsid w:val="005D3E66"/>
    <w:rsid w:val="005D3E88"/>
    <w:rsid w:val="005D5118"/>
    <w:rsid w:val="005D630D"/>
    <w:rsid w:val="005D6A45"/>
    <w:rsid w:val="005D6EC4"/>
    <w:rsid w:val="005E038D"/>
    <w:rsid w:val="005E04C9"/>
    <w:rsid w:val="005E0A69"/>
    <w:rsid w:val="005E0D79"/>
    <w:rsid w:val="005E3ADC"/>
    <w:rsid w:val="005E4330"/>
    <w:rsid w:val="005E4F2C"/>
    <w:rsid w:val="005E5029"/>
    <w:rsid w:val="005E58CC"/>
    <w:rsid w:val="005E6299"/>
    <w:rsid w:val="005E6C37"/>
    <w:rsid w:val="005F07FE"/>
    <w:rsid w:val="005F0947"/>
    <w:rsid w:val="005F1194"/>
    <w:rsid w:val="005F35E4"/>
    <w:rsid w:val="005F46BB"/>
    <w:rsid w:val="005F5BFD"/>
    <w:rsid w:val="005F5E49"/>
    <w:rsid w:val="005F6134"/>
    <w:rsid w:val="005F7704"/>
    <w:rsid w:val="00600CE3"/>
    <w:rsid w:val="00600CEF"/>
    <w:rsid w:val="00601094"/>
    <w:rsid w:val="00601875"/>
    <w:rsid w:val="00601B4B"/>
    <w:rsid w:val="0060368E"/>
    <w:rsid w:val="00603813"/>
    <w:rsid w:val="00604060"/>
    <w:rsid w:val="00606EDF"/>
    <w:rsid w:val="006128AC"/>
    <w:rsid w:val="0061542D"/>
    <w:rsid w:val="00616575"/>
    <w:rsid w:val="00620715"/>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6945"/>
    <w:rsid w:val="00657952"/>
    <w:rsid w:val="00661BA3"/>
    <w:rsid w:val="0066223F"/>
    <w:rsid w:val="00663C55"/>
    <w:rsid w:val="006643D5"/>
    <w:rsid w:val="006659A4"/>
    <w:rsid w:val="00667CB8"/>
    <w:rsid w:val="00671618"/>
    <w:rsid w:val="006730FD"/>
    <w:rsid w:val="00673B0F"/>
    <w:rsid w:val="0067483E"/>
    <w:rsid w:val="00674C28"/>
    <w:rsid w:val="00675C0E"/>
    <w:rsid w:val="0067674F"/>
    <w:rsid w:val="00676AA0"/>
    <w:rsid w:val="00676B2B"/>
    <w:rsid w:val="00681700"/>
    <w:rsid w:val="00681A74"/>
    <w:rsid w:val="00683612"/>
    <w:rsid w:val="006844C3"/>
    <w:rsid w:val="006874A0"/>
    <w:rsid w:val="0068770C"/>
    <w:rsid w:val="00687DD1"/>
    <w:rsid w:val="006903EB"/>
    <w:rsid w:val="006935CB"/>
    <w:rsid w:val="0069367E"/>
    <w:rsid w:val="006939C2"/>
    <w:rsid w:val="00694A08"/>
    <w:rsid w:val="0069514B"/>
    <w:rsid w:val="00696F43"/>
    <w:rsid w:val="00697BB5"/>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056"/>
    <w:rsid w:val="006C7827"/>
    <w:rsid w:val="006C7983"/>
    <w:rsid w:val="006D0719"/>
    <w:rsid w:val="006D09F2"/>
    <w:rsid w:val="006D1409"/>
    <w:rsid w:val="006D2667"/>
    <w:rsid w:val="006D343E"/>
    <w:rsid w:val="006D3BB9"/>
    <w:rsid w:val="006D3CAC"/>
    <w:rsid w:val="006D3D8B"/>
    <w:rsid w:val="006E0A0E"/>
    <w:rsid w:val="006E1B8C"/>
    <w:rsid w:val="006E3E65"/>
    <w:rsid w:val="006E4404"/>
    <w:rsid w:val="006E4BDF"/>
    <w:rsid w:val="006E7D40"/>
    <w:rsid w:val="006F0FCE"/>
    <w:rsid w:val="006F31BB"/>
    <w:rsid w:val="006F3293"/>
    <w:rsid w:val="006F36D3"/>
    <w:rsid w:val="006F6030"/>
    <w:rsid w:val="006F62A0"/>
    <w:rsid w:val="006F75D1"/>
    <w:rsid w:val="006F7B4F"/>
    <w:rsid w:val="007007DA"/>
    <w:rsid w:val="00700959"/>
    <w:rsid w:val="007011BE"/>
    <w:rsid w:val="007013E4"/>
    <w:rsid w:val="00701A01"/>
    <w:rsid w:val="00702945"/>
    <w:rsid w:val="0070316B"/>
    <w:rsid w:val="00703446"/>
    <w:rsid w:val="007045EC"/>
    <w:rsid w:val="00705AB6"/>
    <w:rsid w:val="007077A6"/>
    <w:rsid w:val="007118A7"/>
    <w:rsid w:val="00711B4E"/>
    <w:rsid w:val="0071236C"/>
    <w:rsid w:val="007139E4"/>
    <w:rsid w:val="007177BB"/>
    <w:rsid w:val="00720E8A"/>
    <w:rsid w:val="007213DC"/>
    <w:rsid w:val="0072184F"/>
    <w:rsid w:val="007221B0"/>
    <w:rsid w:val="007240F3"/>
    <w:rsid w:val="00727891"/>
    <w:rsid w:val="007305AB"/>
    <w:rsid w:val="0073090C"/>
    <w:rsid w:val="0073170E"/>
    <w:rsid w:val="00731C48"/>
    <w:rsid w:val="00731EF9"/>
    <w:rsid w:val="0073200D"/>
    <w:rsid w:val="00732078"/>
    <w:rsid w:val="00732750"/>
    <w:rsid w:val="00732CBF"/>
    <w:rsid w:val="00733822"/>
    <w:rsid w:val="00733BAB"/>
    <w:rsid w:val="007341A1"/>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0A3"/>
    <w:rsid w:val="00756342"/>
    <w:rsid w:val="007571EB"/>
    <w:rsid w:val="007604A0"/>
    <w:rsid w:val="00760E2D"/>
    <w:rsid w:val="0076252C"/>
    <w:rsid w:val="007639EB"/>
    <w:rsid w:val="00764437"/>
    <w:rsid w:val="00764D39"/>
    <w:rsid w:val="00766CDC"/>
    <w:rsid w:val="007670AD"/>
    <w:rsid w:val="00767F86"/>
    <w:rsid w:val="00771B11"/>
    <w:rsid w:val="00772285"/>
    <w:rsid w:val="00772B9E"/>
    <w:rsid w:val="00772C5A"/>
    <w:rsid w:val="00773D1C"/>
    <w:rsid w:val="00774485"/>
    <w:rsid w:val="00774A96"/>
    <w:rsid w:val="007752BE"/>
    <w:rsid w:val="00775C02"/>
    <w:rsid w:val="007763D4"/>
    <w:rsid w:val="007767E0"/>
    <w:rsid w:val="00776DAD"/>
    <w:rsid w:val="00777BF5"/>
    <w:rsid w:val="00781498"/>
    <w:rsid w:val="0078226B"/>
    <w:rsid w:val="00784A5B"/>
    <w:rsid w:val="00784E07"/>
    <w:rsid w:val="0079007B"/>
    <w:rsid w:val="007903B1"/>
    <w:rsid w:val="0079192A"/>
    <w:rsid w:val="00791BFE"/>
    <w:rsid w:val="00793211"/>
    <w:rsid w:val="0079589E"/>
    <w:rsid w:val="00795DE4"/>
    <w:rsid w:val="007A285E"/>
    <w:rsid w:val="007A3029"/>
    <w:rsid w:val="007A4437"/>
    <w:rsid w:val="007A4C35"/>
    <w:rsid w:val="007A5697"/>
    <w:rsid w:val="007A67CC"/>
    <w:rsid w:val="007A6D30"/>
    <w:rsid w:val="007A7822"/>
    <w:rsid w:val="007B00C4"/>
    <w:rsid w:val="007B0587"/>
    <w:rsid w:val="007B2825"/>
    <w:rsid w:val="007B4BE9"/>
    <w:rsid w:val="007B4D43"/>
    <w:rsid w:val="007B4D6A"/>
    <w:rsid w:val="007B6685"/>
    <w:rsid w:val="007C0A6C"/>
    <w:rsid w:val="007C0C37"/>
    <w:rsid w:val="007C1804"/>
    <w:rsid w:val="007C3478"/>
    <w:rsid w:val="007C3704"/>
    <w:rsid w:val="007C5F2D"/>
    <w:rsid w:val="007C6987"/>
    <w:rsid w:val="007C701D"/>
    <w:rsid w:val="007D1717"/>
    <w:rsid w:val="007D23BF"/>
    <w:rsid w:val="007D30E4"/>
    <w:rsid w:val="007D60DB"/>
    <w:rsid w:val="007D615F"/>
    <w:rsid w:val="007E05FE"/>
    <w:rsid w:val="007E0B5C"/>
    <w:rsid w:val="007E0C57"/>
    <w:rsid w:val="007E3ECC"/>
    <w:rsid w:val="007E5512"/>
    <w:rsid w:val="007F3BE9"/>
    <w:rsid w:val="007F403B"/>
    <w:rsid w:val="007F497B"/>
    <w:rsid w:val="00800176"/>
    <w:rsid w:val="00800BE9"/>
    <w:rsid w:val="008016B8"/>
    <w:rsid w:val="00801882"/>
    <w:rsid w:val="008022E4"/>
    <w:rsid w:val="00802408"/>
    <w:rsid w:val="00805CDE"/>
    <w:rsid w:val="00807B8A"/>
    <w:rsid w:val="008100C8"/>
    <w:rsid w:val="00813784"/>
    <w:rsid w:val="00813ACF"/>
    <w:rsid w:val="00813E14"/>
    <w:rsid w:val="00815A42"/>
    <w:rsid w:val="00815ED4"/>
    <w:rsid w:val="00816F31"/>
    <w:rsid w:val="00817050"/>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47F56"/>
    <w:rsid w:val="00850056"/>
    <w:rsid w:val="00852192"/>
    <w:rsid w:val="008528F2"/>
    <w:rsid w:val="00861FDD"/>
    <w:rsid w:val="0086227A"/>
    <w:rsid w:val="008635B9"/>
    <w:rsid w:val="00863672"/>
    <w:rsid w:val="00864412"/>
    <w:rsid w:val="0086648A"/>
    <w:rsid w:val="00866AA8"/>
    <w:rsid w:val="0086783C"/>
    <w:rsid w:val="00867AC7"/>
    <w:rsid w:val="00870D02"/>
    <w:rsid w:val="00870D28"/>
    <w:rsid w:val="00871321"/>
    <w:rsid w:val="00872E0F"/>
    <w:rsid w:val="0087323C"/>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ACF"/>
    <w:rsid w:val="00892E1D"/>
    <w:rsid w:val="0089353F"/>
    <w:rsid w:val="00893545"/>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C6CEF"/>
    <w:rsid w:val="008D0BF3"/>
    <w:rsid w:val="008D2503"/>
    <w:rsid w:val="008D2FEE"/>
    <w:rsid w:val="008D556A"/>
    <w:rsid w:val="008D5AA6"/>
    <w:rsid w:val="008D74B5"/>
    <w:rsid w:val="008E2792"/>
    <w:rsid w:val="008E2C55"/>
    <w:rsid w:val="008E309A"/>
    <w:rsid w:val="008E411E"/>
    <w:rsid w:val="008E4454"/>
    <w:rsid w:val="008E4653"/>
    <w:rsid w:val="008E5C87"/>
    <w:rsid w:val="008E6170"/>
    <w:rsid w:val="008E61D8"/>
    <w:rsid w:val="008E63A9"/>
    <w:rsid w:val="008E6E3E"/>
    <w:rsid w:val="008E7A24"/>
    <w:rsid w:val="008F00FD"/>
    <w:rsid w:val="008F1907"/>
    <w:rsid w:val="008F1C48"/>
    <w:rsid w:val="008F2544"/>
    <w:rsid w:val="008F2F83"/>
    <w:rsid w:val="008F49A1"/>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25E1"/>
    <w:rsid w:val="00923223"/>
    <w:rsid w:val="009238FC"/>
    <w:rsid w:val="009243DC"/>
    <w:rsid w:val="0092521B"/>
    <w:rsid w:val="009257C7"/>
    <w:rsid w:val="00927BA0"/>
    <w:rsid w:val="00927BA3"/>
    <w:rsid w:val="00927E3C"/>
    <w:rsid w:val="009300DD"/>
    <w:rsid w:val="00930CF2"/>
    <w:rsid w:val="00930FF5"/>
    <w:rsid w:val="00931DEC"/>
    <w:rsid w:val="00935161"/>
    <w:rsid w:val="00935B11"/>
    <w:rsid w:val="009361D3"/>
    <w:rsid w:val="00936D7E"/>
    <w:rsid w:val="00936F46"/>
    <w:rsid w:val="00937780"/>
    <w:rsid w:val="00940DF0"/>
    <w:rsid w:val="0094375E"/>
    <w:rsid w:val="009443CC"/>
    <w:rsid w:val="00950163"/>
    <w:rsid w:val="00951AAB"/>
    <w:rsid w:val="00953CE9"/>
    <w:rsid w:val="00954C60"/>
    <w:rsid w:val="00955A1E"/>
    <w:rsid w:val="00955B98"/>
    <w:rsid w:val="009560D2"/>
    <w:rsid w:val="00960ACF"/>
    <w:rsid w:val="00961017"/>
    <w:rsid w:val="00961335"/>
    <w:rsid w:val="00961F25"/>
    <w:rsid w:val="009627DA"/>
    <w:rsid w:val="00962947"/>
    <w:rsid w:val="00964046"/>
    <w:rsid w:val="00964EE9"/>
    <w:rsid w:val="00965C05"/>
    <w:rsid w:val="00971BE4"/>
    <w:rsid w:val="00971F85"/>
    <w:rsid w:val="009723B1"/>
    <w:rsid w:val="00974BBF"/>
    <w:rsid w:val="00976721"/>
    <w:rsid w:val="00980022"/>
    <w:rsid w:val="00981166"/>
    <w:rsid w:val="009819B0"/>
    <w:rsid w:val="00985AC0"/>
    <w:rsid w:val="009867A9"/>
    <w:rsid w:val="00987D75"/>
    <w:rsid w:val="00990AA1"/>
    <w:rsid w:val="009914FD"/>
    <w:rsid w:val="00991DED"/>
    <w:rsid w:val="00992892"/>
    <w:rsid w:val="009928FB"/>
    <w:rsid w:val="00995208"/>
    <w:rsid w:val="00995615"/>
    <w:rsid w:val="00995C2D"/>
    <w:rsid w:val="00996942"/>
    <w:rsid w:val="00996FFA"/>
    <w:rsid w:val="00997603"/>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600F"/>
    <w:rsid w:val="009D63BE"/>
    <w:rsid w:val="009D7A62"/>
    <w:rsid w:val="009D7AF9"/>
    <w:rsid w:val="009D7E3A"/>
    <w:rsid w:val="009D7FF4"/>
    <w:rsid w:val="009E04F7"/>
    <w:rsid w:val="009E1899"/>
    <w:rsid w:val="009E4318"/>
    <w:rsid w:val="009E5E59"/>
    <w:rsid w:val="009E5EE5"/>
    <w:rsid w:val="009E793F"/>
    <w:rsid w:val="009E7BF8"/>
    <w:rsid w:val="009F005A"/>
    <w:rsid w:val="009F060E"/>
    <w:rsid w:val="009F4805"/>
    <w:rsid w:val="009F4A60"/>
    <w:rsid w:val="009F4E4D"/>
    <w:rsid w:val="009F4F20"/>
    <w:rsid w:val="009F62C3"/>
    <w:rsid w:val="009F67DB"/>
    <w:rsid w:val="009F7123"/>
    <w:rsid w:val="00A009E1"/>
    <w:rsid w:val="00A01286"/>
    <w:rsid w:val="00A03561"/>
    <w:rsid w:val="00A044F3"/>
    <w:rsid w:val="00A04CAD"/>
    <w:rsid w:val="00A05EBA"/>
    <w:rsid w:val="00A06538"/>
    <w:rsid w:val="00A06C8F"/>
    <w:rsid w:val="00A07F8E"/>
    <w:rsid w:val="00A10507"/>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6F19"/>
    <w:rsid w:val="00A37343"/>
    <w:rsid w:val="00A4036E"/>
    <w:rsid w:val="00A412D5"/>
    <w:rsid w:val="00A437CD"/>
    <w:rsid w:val="00A4388C"/>
    <w:rsid w:val="00A448BE"/>
    <w:rsid w:val="00A451A3"/>
    <w:rsid w:val="00A4567F"/>
    <w:rsid w:val="00A45F50"/>
    <w:rsid w:val="00A46714"/>
    <w:rsid w:val="00A47017"/>
    <w:rsid w:val="00A52396"/>
    <w:rsid w:val="00A524A4"/>
    <w:rsid w:val="00A52781"/>
    <w:rsid w:val="00A53219"/>
    <w:rsid w:val="00A54843"/>
    <w:rsid w:val="00A5593E"/>
    <w:rsid w:val="00A56F2E"/>
    <w:rsid w:val="00A606EC"/>
    <w:rsid w:val="00A63D67"/>
    <w:rsid w:val="00A64CCC"/>
    <w:rsid w:val="00A64FA1"/>
    <w:rsid w:val="00A6611C"/>
    <w:rsid w:val="00A66B1F"/>
    <w:rsid w:val="00A66B41"/>
    <w:rsid w:val="00A67F31"/>
    <w:rsid w:val="00A70562"/>
    <w:rsid w:val="00A70DAE"/>
    <w:rsid w:val="00A722F2"/>
    <w:rsid w:val="00A729E5"/>
    <w:rsid w:val="00A72A24"/>
    <w:rsid w:val="00A7306A"/>
    <w:rsid w:val="00A73EE7"/>
    <w:rsid w:val="00A76434"/>
    <w:rsid w:val="00A8560A"/>
    <w:rsid w:val="00A87993"/>
    <w:rsid w:val="00A9111A"/>
    <w:rsid w:val="00A939FC"/>
    <w:rsid w:val="00A9574C"/>
    <w:rsid w:val="00A96D7B"/>
    <w:rsid w:val="00A97CAA"/>
    <w:rsid w:val="00AA0DFF"/>
    <w:rsid w:val="00AA32EC"/>
    <w:rsid w:val="00AA38B0"/>
    <w:rsid w:val="00AA48DB"/>
    <w:rsid w:val="00AA68C5"/>
    <w:rsid w:val="00AA6D6C"/>
    <w:rsid w:val="00AA7036"/>
    <w:rsid w:val="00AA76E0"/>
    <w:rsid w:val="00AB0C8C"/>
    <w:rsid w:val="00AB0F20"/>
    <w:rsid w:val="00AB17A5"/>
    <w:rsid w:val="00AB1E6B"/>
    <w:rsid w:val="00AB342B"/>
    <w:rsid w:val="00AB4B93"/>
    <w:rsid w:val="00AB7BC7"/>
    <w:rsid w:val="00AC0555"/>
    <w:rsid w:val="00AC1F3C"/>
    <w:rsid w:val="00AC2763"/>
    <w:rsid w:val="00AC3CE1"/>
    <w:rsid w:val="00AC5797"/>
    <w:rsid w:val="00AC5AFB"/>
    <w:rsid w:val="00AC6109"/>
    <w:rsid w:val="00AC7511"/>
    <w:rsid w:val="00AD2779"/>
    <w:rsid w:val="00AD4C59"/>
    <w:rsid w:val="00AD5827"/>
    <w:rsid w:val="00AD5D52"/>
    <w:rsid w:val="00AD6419"/>
    <w:rsid w:val="00AD664C"/>
    <w:rsid w:val="00AE1C40"/>
    <w:rsid w:val="00AE1CDC"/>
    <w:rsid w:val="00AE3DF9"/>
    <w:rsid w:val="00AE5721"/>
    <w:rsid w:val="00AE6EE4"/>
    <w:rsid w:val="00AE71A6"/>
    <w:rsid w:val="00AF0791"/>
    <w:rsid w:val="00AF0813"/>
    <w:rsid w:val="00AF2C54"/>
    <w:rsid w:val="00AF35B7"/>
    <w:rsid w:val="00AF4078"/>
    <w:rsid w:val="00AF4596"/>
    <w:rsid w:val="00AF5BB3"/>
    <w:rsid w:val="00AF62B4"/>
    <w:rsid w:val="00AF66ED"/>
    <w:rsid w:val="00B028E1"/>
    <w:rsid w:val="00B0306F"/>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38BA"/>
    <w:rsid w:val="00B26346"/>
    <w:rsid w:val="00B26A86"/>
    <w:rsid w:val="00B26F8E"/>
    <w:rsid w:val="00B3135E"/>
    <w:rsid w:val="00B32048"/>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CC4"/>
    <w:rsid w:val="00B51E6A"/>
    <w:rsid w:val="00B52ABC"/>
    <w:rsid w:val="00B52BCB"/>
    <w:rsid w:val="00B53034"/>
    <w:rsid w:val="00B60C6E"/>
    <w:rsid w:val="00B621D6"/>
    <w:rsid w:val="00B62640"/>
    <w:rsid w:val="00B62C19"/>
    <w:rsid w:val="00B6373B"/>
    <w:rsid w:val="00B6458E"/>
    <w:rsid w:val="00B646E8"/>
    <w:rsid w:val="00B64765"/>
    <w:rsid w:val="00B67BC8"/>
    <w:rsid w:val="00B70D16"/>
    <w:rsid w:val="00B72BD0"/>
    <w:rsid w:val="00B73B6F"/>
    <w:rsid w:val="00B74BB5"/>
    <w:rsid w:val="00B74E27"/>
    <w:rsid w:val="00B76210"/>
    <w:rsid w:val="00B8294D"/>
    <w:rsid w:val="00B8346C"/>
    <w:rsid w:val="00B83525"/>
    <w:rsid w:val="00B83C25"/>
    <w:rsid w:val="00B847F1"/>
    <w:rsid w:val="00B852CF"/>
    <w:rsid w:val="00B867AC"/>
    <w:rsid w:val="00B86BF1"/>
    <w:rsid w:val="00B871C6"/>
    <w:rsid w:val="00B908D5"/>
    <w:rsid w:val="00B95A8D"/>
    <w:rsid w:val="00B96B13"/>
    <w:rsid w:val="00B96BFF"/>
    <w:rsid w:val="00BA04FA"/>
    <w:rsid w:val="00BA1720"/>
    <w:rsid w:val="00BA2556"/>
    <w:rsid w:val="00BA5931"/>
    <w:rsid w:val="00BA643D"/>
    <w:rsid w:val="00BA69E6"/>
    <w:rsid w:val="00BA74D9"/>
    <w:rsid w:val="00BA77B1"/>
    <w:rsid w:val="00BA7827"/>
    <w:rsid w:val="00BB0653"/>
    <w:rsid w:val="00BB1D01"/>
    <w:rsid w:val="00BB2AF5"/>
    <w:rsid w:val="00BB479A"/>
    <w:rsid w:val="00BB5965"/>
    <w:rsid w:val="00BB6E73"/>
    <w:rsid w:val="00BB72AA"/>
    <w:rsid w:val="00BB76B2"/>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4FC"/>
    <w:rsid w:val="00BE18B2"/>
    <w:rsid w:val="00BE28FF"/>
    <w:rsid w:val="00BE3415"/>
    <w:rsid w:val="00BE421E"/>
    <w:rsid w:val="00BE47A9"/>
    <w:rsid w:val="00BE73AA"/>
    <w:rsid w:val="00BF0823"/>
    <w:rsid w:val="00BF2DEB"/>
    <w:rsid w:val="00BF3AF0"/>
    <w:rsid w:val="00BF3BDE"/>
    <w:rsid w:val="00BF53AE"/>
    <w:rsid w:val="00BF58A6"/>
    <w:rsid w:val="00BF59A7"/>
    <w:rsid w:val="00BF7529"/>
    <w:rsid w:val="00C0020E"/>
    <w:rsid w:val="00C00D89"/>
    <w:rsid w:val="00C014D5"/>
    <w:rsid w:val="00C01A68"/>
    <w:rsid w:val="00C02808"/>
    <w:rsid w:val="00C0348C"/>
    <w:rsid w:val="00C058F3"/>
    <w:rsid w:val="00C063BE"/>
    <w:rsid w:val="00C07CE5"/>
    <w:rsid w:val="00C10F9C"/>
    <w:rsid w:val="00C13769"/>
    <w:rsid w:val="00C13CD9"/>
    <w:rsid w:val="00C15A54"/>
    <w:rsid w:val="00C15CD4"/>
    <w:rsid w:val="00C15D9F"/>
    <w:rsid w:val="00C17EE9"/>
    <w:rsid w:val="00C20199"/>
    <w:rsid w:val="00C22E95"/>
    <w:rsid w:val="00C23A7A"/>
    <w:rsid w:val="00C24B83"/>
    <w:rsid w:val="00C25CF4"/>
    <w:rsid w:val="00C3442B"/>
    <w:rsid w:val="00C34DAD"/>
    <w:rsid w:val="00C34E2D"/>
    <w:rsid w:val="00C368A2"/>
    <w:rsid w:val="00C36C36"/>
    <w:rsid w:val="00C4112C"/>
    <w:rsid w:val="00C42190"/>
    <w:rsid w:val="00C44F54"/>
    <w:rsid w:val="00C45434"/>
    <w:rsid w:val="00C45F02"/>
    <w:rsid w:val="00C5138C"/>
    <w:rsid w:val="00C51FE2"/>
    <w:rsid w:val="00C52F0D"/>
    <w:rsid w:val="00C536D8"/>
    <w:rsid w:val="00C541EA"/>
    <w:rsid w:val="00C55E63"/>
    <w:rsid w:val="00C55F5D"/>
    <w:rsid w:val="00C60C03"/>
    <w:rsid w:val="00C61906"/>
    <w:rsid w:val="00C640E4"/>
    <w:rsid w:val="00C648AB"/>
    <w:rsid w:val="00C65A0F"/>
    <w:rsid w:val="00C65DC9"/>
    <w:rsid w:val="00C66416"/>
    <w:rsid w:val="00C6720B"/>
    <w:rsid w:val="00C6780C"/>
    <w:rsid w:val="00C72249"/>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098"/>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2DE"/>
    <w:rsid w:val="00CD76FF"/>
    <w:rsid w:val="00CD79C8"/>
    <w:rsid w:val="00CE03A7"/>
    <w:rsid w:val="00CE5447"/>
    <w:rsid w:val="00CE56C1"/>
    <w:rsid w:val="00CE64EF"/>
    <w:rsid w:val="00CF07A6"/>
    <w:rsid w:val="00CF0FFE"/>
    <w:rsid w:val="00CF257E"/>
    <w:rsid w:val="00CF3BD9"/>
    <w:rsid w:val="00CF439D"/>
    <w:rsid w:val="00CF467C"/>
    <w:rsid w:val="00CF52B0"/>
    <w:rsid w:val="00CF586B"/>
    <w:rsid w:val="00CF7CF7"/>
    <w:rsid w:val="00D0063F"/>
    <w:rsid w:val="00D028C5"/>
    <w:rsid w:val="00D03886"/>
    <w:rsid w:val="00D04600"/>
    <w:rsid w:val="00D0746D"/>
    <w:rsid w:val="00D10B08"/>
    <w:rsid w:val="00D1163E"/>
    <w:rsid w:val="00D1198F"/>
    <w:rsid w:val="00D13DFA"/>
    <w:rsid w:val="00D13F05"/>
    <w:rsid w:val="00D15918"/>
    <w:rsid w:val="00D1596B"/>
    <w:rsid w:val="00D16A2C"/>
    <w:rsid w:val="00D17CA5"/>
    <w:rsid w:val="00D21C98"/>
    <w:rsid w:val="00D23B2E"/>
    <w:rsid w:val="00D256F8"/>
    <w:rsid w:val="00D25B5E"/>
    <w:rsid w:val="00D27127"/>
    <w:rsid w:val="00D32AAA"/>
    <w:rsid w:val="00D34579"/>
    <w:rsid w:val="00D351D3"/>
    <w:rsid w:val="00D36535"/>
    <w:rsid w:val="00D40C1C"/>
    <w:rsid w:val="00D40D5F"/>
    <w:rsid w:val="00D41B43"/>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76ED1"/>
    <w:rsid w:val="00D77A49"/>
    <w:rsid w:val="00D80DD9"/>
    <w:rsid w:val="00D82692"/>
    <w:rsid w:val="00D83EC3"/>
    <w:rsid w:val="00D90426"/>
    <w:rsid w:val="00D917F2"/>
    <w:rsid w:val="00D922E2"/>
    <w:rsid w:val="00D93039"/>
    <w:rsid w:val="00D93137"/>
    <w:rsid w:val="00D9327D"/>
    <w:rsid w:val="00D95BAC"/>
    <w:rsid w:val="00D977DD"/>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360B"/>
    <w:rsid w:val="00DC39D1"/>
    <w:rsid w:val="00DC3D09"/>
    <w:rsid w:val="00DC409D"/>
    <w:rsid w:val="00DC426A"/>
    <w:rsid w:val="00DC4FCC"/>
    <w:rsid w:val="00DC52FA"/>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1376"/>
    <w:rsid w:val="00DF3897"/>
    <w:rsid w:val="00DF5769"/>
    <w:rsid w:val="00DF7AE1"/>
    <w:rsid w:val="00DF7E33"/>
    <w:rsid w:val="00E00838"/>
    <w:rsid w:val="00E00F42"/>
    <w:rsid w:val="00E014A6"/>
    <w:rsid w:val="00E02CEA"/>
    <w:rsid w:val="00E0387F"/>
    <w:rsid w:val="00E04305"/>
    <w:rsid w:val="00E04B2B"/>
    <w:rsid w:val="00E04BDD"/>
    <w:rsid w:val="00E04D4B"/>
    <w:rsid w:val="00E06032"/>
    <w:rsid w:val="00E070B5"/>
    <w:rsid w:val="00E117DE"/>
    <w:rsid w:val="00E12A33"/>
    <w:rsid w:val="00E12B81"/>
    <w:rsid w:val="00E13411"/>
    <w:rsid w:val="00E1366E"/>
    <w:rsid w:val="00E13CF7"/>
    <w:rsid w:val="00E1406D"/>
    <w:rsid w:val="00E147B5"/>
    <w:rsid w:val="00E1632E"/>
    <w:rsid w:val="00E170A1"/>
    <w:rsid w:val="00E171E1"/>
    <w:rsid w:val="00E17DAE"/>
    <w:rsid w:val="00E26533"/>
    <w:rsid w:val="00E303F7"/>
    <w:rsid w:val="00E30714"/>
    <w:rsid w:val="00E31976"/>
    <w:rsid w:val="00E31A4D"/>
    <w:rsid w:val="00E32546"/>
    <w:rsid w:val="00E32B6F"/>
    <w:rsid w:val="00E33199"/>
    <w:rsid w:val="00E334F0"/>
    <w:rsid w:val="00E338F7"/>
    <w:rsid w:val="00E34B96"/>
    <w:rsid w:val="00E364AF"/>
    <w:rsid w:val="00E369B3"/>
    <w:rsid w:val="00E36FA9"/>
    <w:rsid w:val="00E37171"/>
    <w:rsid w:val="00E374F0"/>
    <w:rsid w:val="00E40213"/>
    <w:rsid w:val="00E41469"/>
    <w:rsid w:val="00E41763"/>
    <w:rsid w:val="00E44361"/>
    <w:rsid w:val="00E503A3"/>
    <w:rsid w:val="00E51420"/>
    <w:rsid w:val="00E520E3"/>
    <w:rsid w:val="00E522B5"/>
    <w:rsid w:val="00E53B1C"/>
    <w:rsid w:val="00E56503"/>
    <w:rsid w:val="00E5657C"/>
    <w:rsid w:val="00E56CD5"/>
    <w:rsid w:val="00E60594"/>
    <w:rsid w:val="00E607AB"/>
    <w:rsid w:val="00E607E2"/>
    <w:rsid w:val="00E61798"/>
    <w:rsid w:val="00E63D31"/>
    <w:rsid w:val="00E65169"/>
    <w:rsid w:val="00E65408"/>
    <w:rsid w:val="00E6570F"/>
    <w:rsid w:val="00E658BE"/>
    <w:rsid w:val="00E658C5"/>
    <w:rsid w:val="00E7091A"/>
    <w:rsid w:val="00E7122E"/>
    <w:rsid w:val="00E71259"/>
    <w:rsid w:val="00E73389"/>
    <w:rsid w:val="00E73D06"/>
    <w:rsid w:val="00E73F56"/>
    <w:rsid w:val="00E7513C"/>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072"/>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1E1"/>
    <w:rsid w:val="00ED7BEF"/>
    <w:rsid w:val="00EE28B7"/>
    <w:rsid w:val="00EE59C9"/>
    <w:rsid w:val="00EE68B6"/>
    <w:rsid w:val="00EE78B2"/>
    <w:rsid w:val="00EF0DEA"/>
    <w:rsid w:val="00EF1EB3"/>
    <w:rsid w:val="00EF4558"/>
    <w:rsid w:val="00EF4CE3"/>
    <w:rsid w:val="00EF52AB"/>
    <w:rsid w:val="00EF716E"/>
    <w:rsid w:val="00F00286"/>
    <w:rsid w:val="00F02F2A"/>
    <w:rsid w:val="00F03651"/>
    <w:rsid w:val="00F0507D"/>
    <w:rsid w:val="00F05D5E"/>
    <w:rsid w:val="00F060AA"/>
    <w:rsid w:val="00F06B84"/>
    <w:rsid w:val="00F10C97"/>
    <w:rsid w:val="00F12552"/>
    <w:rsid w:val="00F12BE8"/>
    <w:rsid w:val="00F135DB"/>
    <w:rsid w:val="00F137C2"/>
    <w:rsid w:val="00F144BB"/>
    <w:rsid w:val="00F15B03"/>
    <w:rsid w:val="00F163AE"/>
    <w:rsid w:val="00F16B01"/>
    <w:rsid w:val="00F203E1"/>
    <w:rsid w:val="00F20F9C"/>
    <w:rsid w:val="00F2120F"/>
    <w:rsid w:val="00F23C2B"/>
    <w:rsid w:val="00F27CB2"/>
    <w:rsid w:val="00F300F7"/>
    <w:rsid w:val="00F30221"/>
    <w:rsid w:val="00F305F9"/>
    <w:rsid w:val="00F315CF"/>
    <w:rsid w:val="00F3169A"/>
    <w:rsid w:val="00F31E88"/>
    <w:rsid w:val="00F322ED"/>
    <w:rsid w:val="00F3575F"/>
    <w:rsid w:val="00F365C1"/>
    <w:rsid w:val="00F40680"/>
    <w:rsid w:val="00F42E7A"/>
    <w:rsid w:val="00F42E9D"/>
    <w:rsid w:val="00F4340B"/>
    <w:rsid w:val="00F4481E"/>
    <w:rsid w:val="00F44E1D"/>
    <w:rsid w:val="00F45A1A"/>
    <w:rsid w:val="00F465E5"/>
    <w:rsid w:val="00F46B07"/>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55C"/>
    <w:rsid w:val="00F84879"/>
    <w:rsid w:val="00F8613C"/>
    <w:rsid w:val="00F87634"/>
    <w:rsid w:val="00F90B71"/>
    <w:rsid w:val="00F91B2B"/>
    <w:rsid w:val="00F925CB"/>
    <w:rsid w:val="00F92AF7"/>
    <w:rsid w:val="00F92FA8"/>
    <w:rsid w:val="00F93507"/>
    <w:rsid w:val="00F93B98"/>
    <w:rsid w:val="00F940D5"/>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0E10"/>
    <w:rsid w:val="00FC12BF"/>
    <w:rsid w:val="00FC1F29"/>
    <w:rsid w:val="00FC2638"/>
    <w:rsid w:val="00FC36B9"/>
    <w:rsid w:val="00FC4D67"/>
    <w:rsid w:val="00FC4F35"/>
    <w:rsid w:val="00FC4F99"/>
    <w:rsid w:val="00FC546B"/>
    <w:rsid w:val="00FC6020"/>
    <w:rsid w:val="00FD0A22"/>
    <w:rsid w:val="00FD24E1"/>
    <w:rsid w:val="00FD2D54"/>
    <w:rsid w:val="00FD4AD6"/>
    <w:rsid w:val="00FD6875"/>
    <w:rsid w:val="00FE0272"/>
    <w:rsid w:val="00FE04CE"/>
    <w:rsid w:val="00FE152C"/>
    <w:rsid w:val="00FE1CDE"/>
    <w:rsid w:val="00FE2ADF"/>
    <w:rsid w:val="00FE2D29"/>
    <w:rsid w:val="00FE3CC9"/>
    <w:rsid w:val="00FE4057"/>
    <w:rsid w:val="00FE4237"/>
    <w:rsid w:val="00FE42F7"/>
    <w:rsid w:val="00FE464E"/>
    <w:rsid w:val="00FE471D"/>
    <w:rsid w:val="00FE5085"/>
    <w:rsid w:val="00FE675C"/>
    <w:rsid w:val="00FE74FC"/>
    <w:rsid w:val="00FF0106"/>
    <w:rsid w:val="00FF04AB"/>
    <w:rsid w:val="00FF0DB2"/>
    <w:rsid w:val="00FF19BA"/>
    <w:rsid w:val="00FF2F69"/>
    <w:rsid w:val="00FF617C"/>
    <w:rsid w:val="011419A3"/>
    <w:rsid w:val="011B5492"/>
    <w:rsid w:val="011D5EFB"/>
    <w:rsid w:val="01214A1E"/>
    <w:rsid w:val="01243D57"/>
    <w:rsid w:val="0132265F"/>
    <w:rsid w:val="0136557F"/>
    <w:rsid w:val="013B5608"/>
    <w:rsid w:val="014F1B49"/>
    <w:rsid w:val="015360F5"/>
    <w:rsid w:val="01544747"/>
    <w:rsid w:val="0161201C"/>
    <w:rsid w:val="01674AD8"/>
    <w:rsid w:val="016F0A91"/>
    <w:rsid w:val="017B15F7"/>
    <w:rsid w:val="0183728A"/>
    <w:rsid w:val="018502B5"/>
    <w:rsid w:val="0194102D"/>
    <w:rsid w:val="0194674A"/>
    <w:rsid w:val="019B2A51"/>
    <w:rsid w:val="01A076E1"/>
    <w:rsid w:val="01B80B7A"/>
    <w:rsid w:val="01BB069A"/>
    <w:rsid w:val="01BB3CD7"/>
    <w:rsid w:val="01BD17FD"/>
    <w:rsid w:val="01C00AFF"/>
    <w:rsid w:val="01CA09D6"/>
    <w:rsid w:val="01CB2700"/>
    <w:rsid w:val="01E4322D"/>
    <w:rsid w:val="01EE6DBE"/>
    <w:rsid w:val="02086D7A"/>
    <w:rsid w:val="020E7F3F"/>
    <w:rsid w:val="020F5B76"/>
    <w:rsid w:val="021A6004"/>
    <w:rsid w:val="021B535E"/>
    <w:rsid w:val="022E08B9"/>
    <w:rsid w:val="023A07E4"/>
    <w:rsid w:val="023C3F99"/>
    <w:rsid w:val="025D291A"/>
    <w:rsid w:val="0261662C"/>
    <w:rsid w:val="02645D95"/>
    <w:rsid w:val="027202B1"/>
    <w:rsid w:val="02721F48"/>
    <w:rsid w:val="02805163"/>
    <w:rsid w:val="02815E8D"/>
    <w:rsid w:val="029167E5"/>
    <w:rsid w:val="02954528"/>
    <w:rsid w:val="0299522D"/>
    <w:rsid w:val="029B032D"/>
    <w:rsid w:val="02A32100"/>
    <w:rsid w:val="02A372CB"/>
    <w:rsid w:val="02DC5445"/>
    <w:rsid w:val="02E41BF4"/>
    <w:rsid w:val="02F07CB0"/>
    <w:rsid w:val="03054218"/>
    <w:rsid w:val="030D75EF"/>
    <w:rsid w:val="031168BC"/>
    <w:rsid w:val="032D331F"/>
    <w:rsid w:val="032E3A9C"/>
    <w:rsid w:val="0330036D"/>
    <w:rsid w:val="03343D40"/>
    <w:rsid w:val="0341645D"/>
    <w:rsid w:val="03426C59"/>
    <w:rsid w:val="03433AF1"/>
    <w:rsid w:val="034D095E"/>
    <w:rsid w:val="03501AE4"/>
    <w:rsid w:val="03525C5C"/>
    <w:rsid w:val="0358051C"/>
    <w:rsid w:val="03716722"/>
    <w:rsid w:val="037A0524"/>
    <w:rsid w:val="037E7D41"/>
    <w:rsid w:val="03802C3C"/>
    <w:rsid w:val="039B623A"/>
    <w:rsid w:val="03A10CAA"/>
    <w:rsid w:val="03B31109"/>
    <w:rsid w:val="03B44AA5"/>
    <w:rsid w:val="03BC22A0"/>
    <w:rsid w:val="03F10150"/>
    <w:rsid w:val="040020A7"/>
    <w:rsid w:val="04090D29"/>
    <w:rsid w:val="04094FA4"/>
    <w:rsid w:val="041307E8"/>
    <w:rsid w:val="041B12F8"/>
    <w:rsid w:val="041E1308"/>
    <w:rsid w:val="042747BE"/>
    <w:rsid w:val="04473247"/>
    <w:rsid w:val="044D2B93"/>
    <w:rsid w:val="04610781"/>
    <w:rsid w:val="04785F16"/>
    <w:rsid w:val="047C435C"/>
    <w:rsid w:val="04833676"/>
    <w:rsid w:val="04907C1C"/>
    <w:rsid w:val="04930DBB"/>
    <w:rsid w:val="049A3342"/>
    <w:rsid w:val="04A2371F"/>
    <w:rsid w:val="04A53BA4"/>
    <w:rsid w:val="04A9250C"/>
    <w:rsid w:val="04AA1834"/>
    <w:rsid w:val="04C726C7"/>
    <w:rsid w:val="04C97F5D"/>
    <w:rsid w:val="04D17C83"/>
    <w:rsid w:val="04E374DE"/>
    <w:rsid w:val="04FF00EB"/>
    <w:rsid w:val="0501459E"/>
    <w:rsid w:val="05175FCF"/>
    <w:rsid w:val="052263A0"/>
    <w:rsid w:val="054E1F78"/>
    <w:rsid w:val="054E23E8"/>
    <w:rsid w:val="05586075"/>
    <w:rsid w:val="0564394D"/>
    <w:rsid w:val="058E5789"/>
    <w:rsid w:val="059C5E7A"/>
    <w:rsid w:val="059F3F35"/>
    <w:rsid w:val="05AB2DB2"/>
    <w:rsid w:val="05C127AF"/>
    <w:rsid w:val="05C342DE"/>
    <w:rsid w:val="05C5148B"/>
    <w:rsid w:val="05C869C2"/>
    <w:rsid w:val="05D56659"/>
    <w:rsid w:val="05E530D0"/>
    <w:rsid w:val="05EA2DDC"/>
    <w:rsid w:val="05EB76F4"/>
    <w:rsid w:val="05EC4B85"/>
    <w:rsid w:val="05F56B6A"/>
    <w:rsid w:val="05F7106C"/>
    <w:rsid w:val="05F74355"/>
    <w:rsid w:val="06027766"/>
    <w:rsid w:val="061B11E8"/>
    <w:rsid w:val="06235043"/>
    <w:rsid w:val="06255BC2"/>
    <w:rsid w:val="06305727"/>
    <w:rsid w:val="06315DBA"/>
    <w:rsid w:val="06322461"/>
    <w:rsid w:val="06341A12"/>
    <w:rsid w:val="06440D68"/>
    <w:rsid w:val="064F49ED"/>
    <w:rsid w:val="06500E91"/>
    <w:rsid w:val="0661309E"/>
    <w:rsid w:val="06647C6C"/>
    <w:rsid w:val="06652B20"/>
    <w:rsid w:val="06665E33"/>
    <w:rsid w:val="067F1204"/>
    <w:rsid w:val="06936D88"/>
    <w:rsid w:val="069845E6"/>
    <w:rsid w:val="06A25465"/>
    <w:rsid w:val="06A31CA0"/>
    <w:rsid w:val="06D31947"/>
    <w:rsid w:val="06D70734"/>
    <w:rsid w:val="06D92562"/>
    <w:rsid w:val="06DC338F"/>
    <w:rsid w:val="06E04E90"/>
    <w:rsid w:val="06E760D7"/>
    <w:rsid w:val="06EA54F3"/>
    <w:rsid w:val="06F3181D"/>
    <w:rsid w:val="06F650AE"/>
    <w:rsid w:val="07075B45"/>
    <w:rsid w:val="070A76BD"/>
    <w:rsid w:val="071A149F"/>
    <w:rsid w:val="071E0F8F"/>
    <w:rsid w:val="072B1669"/>
    <w:rsid w:val="072E5643"/>
    <w:rsid w:val="073D7196"/>
    <w:rsid w:val="07504429"/>
    <w:rsid w:val="07517B0E"/>
    <w:rsid w:val="075B21AD"/>
    <w:rsid w:val="07612720"/>
    <w:rsid w:val="07656730"/>
    <w:rsid w:val="07792B42"/>
    <w:rsid w:val="077E3D0B"/>
    <w:rsid w:val="078C511B"/>
    <w:rsid w:val="078D2D8A"/>
    <w:rsid w:val="07A36C6C"/>
    <w:rsid w:val="07A64EA7"/>
    <w:rsid w:val="07AB5A00"/>
    <w:rsid w:val="07AC2FBC"/>
    <w:rsid w:val="07BE2A34"/>
    <w:rsid w:val="07CF37B1"/>
    <w:rsid w:val="07D43E3E"/>
    <w:rsid w:val="07D94EB6"/>
    <w:rsid w:val="07DE24CD"/>
    <w:rsid w:val="07DF1893"/>
    <w:rsid w:val="07E53F70"/>
    <w:rsid w:val="07F03CBF"/>
    <w:rsid w:val="07F42B67"/>
    <w:rsid w:val="07FB4E2D"/>
    <w:rsid w:val="07FB6F5F"/>
    <w:rsid w:val="080D0CE3"/>
    <w:rsid w:val="08161C67"/>
    <w:rsid w:val="0842419B"/>
    <w:rsid w:val="084C38DA"/>
    <w:rsid w:val="085D11B5"/>
    <w:rsid w:val="08607688"/>
    <w:rsid w:val="086626CB"/>
    <w:rsid w:val="087522BE"/>
    <w:rsid w:val="08790814"/>
    <w:rsid w:val="08817F9A"/>
    <w:rsid w:val="08847D87"/>
    <w:rsid w:val="08887267"/>
    <w:rsid w:val="08933F38"/>
    <w:rsid w:val="089E56D2"/>
    <w:rsid w:val="08B472FE"/>
    <w:rsid w:val="08B614BD"/>
    <w:rsid w:val="08B937A7"/>
    <w:rsid w:val="08CA572C"/>
    <w:rsid w:val="08CD671D"/>
    <w:rsid w:val="08D46E3C"/>
    <w:rsid w:val="08D83875"/>
    <w:rsid w:val="08E06553"/>
    <w:rsid w:val="08F56067"/>
    <w:rsid w:val="08F56798"/>
    <w:rsid w:val="09072AF5"/>
    <w:rsid w:val="090C4E18"/>
    <w:rsid w:val="090D78C9"/>
    <w:rsid w:val="09101FB3"/>
    <w:rsid w:val="091B65FD"/>
    <w:rsid w:val="092403B3"/>
    <w:rsid w:val="09296C06"/>
    <w:rsid w:val="092C3A18"/>
    <w:rsid w:val="09311994"/>
    <w:rsid w:val="095567BF"/>
    <w:rsid w:val="09A334F2"/>
    <w:rsid w:val="09B63558"/>
    <w:rsid w:val="09B66FAD"/>
    <w:rsid w:val="09BB0D18"/>
    <w:rsid w:val="09CA0506"/>
    <w:rsid w:val="09D5558C"/>
    <w:rsid w:val="09F8752F"/>
    <w:rsid w:val="0A0D439F"/>
    <w:rsid w:val="0A0F0D09"/>
    <w:rsid w:val="0A1D4600"/>
    <w:rsid w:val="0A1F68B2"/>
    <w:rsid w:val="0A210F95"/>
    <w:rsid w:val="0A2836E0"/>
    <w:rsid w:val="0A29194C"/>
    <w:rsid w:val="0A4D56E8"/>
    <w:rsid w:val="0A593073"/>
    <w:rsid w:val="0A690774"/>
    <w:rsid w:val="0A6F1B02"/>
    <w:rsid w:val="0A7B3CEB"/>
    <w:rsid w:val="0A87602F"/>
    <w:rsid w:val="0A8A2603"/>
    <w:rsid w:val="0A8E5529"/>
    <w:rsid w:val="0A8F28C8"/>
    <w:rsid w:val="0A9B43BB"/>
    <w:rsid w:val="0AA27AB9"/>
    <w:rsid w:val="0AA96DC2"/>
    <w:rsid w:val="0AAA2B3A"/>
    <w:rsid w:val="0AAA48E8"/>
    <w:rsid w:val="0AB44EF5"/>
    <w:rsid w:val="0ABC1606"/>
    <w:rsid w:val="0ABD33E4"/>
    <w:rsid w:val="0AC159A6"/>
    <w:rsid w:val="0AC736EC"/>
    <w:rsid w:val="0AD35BED"/>
    <w:rsid w:val="0AE34BB1"/>
    <w:rsid w:val="0AEC3153"/>
    <w:rsid w:val="0AED0B6E"/>
    <w:rsid w:val="0AF30F1C"/>
    <w:rsid w:val="0B493559"/>
    <w:rsid w:val="0B4B7099"/>
    <w:rsid w:val="0B4E0F31"/>
    <w:rsid w:val="0B747542"/>
    <w:rsid w:val="0B974E6D"/>
    <w:rsid w:val="0B9E1A60"/>
    <w:rsid w:val="0BAD70EA"/>
    <w:rsid w:val="0BC93022"/>
    <w:rsid w:val="0BCD088E"/>
    <w:rsid w:val="0BD460C1"/>
    <w:rsid w:val="0BE60C5C"/>
    <w:rsid w:val="0BFC5617"/>
    <w:rsid w:val="0C161A76"/>
    <w:rsid w:val="0C296CAE"/>
    <w:rsid w:val="0C365370"/>
    <w:rsid w:val="0C402A9E"/>
    <w:rsid w:val="0C41127C"/>
    <w:rsid w:val="0C442C80"/>
    <w:rsid w:val="0C4B30F1"/>
    <w:rsid w:val="0C4D7C21"/>
    <w:rsid w:val="0C5C35DE"/>
    <w:rsid w:val="0C716C43"/>
    <w:rsid w:val="0C7376A8"/>
    <w:rsid w:val="0C801F53"/>
    <w:rsid w:val="0C8076E1"/>
    <w:rsid w:val="0C8D626F"/>
    <w:rsid w:val="0CA97841"/>
    <w:rsid w:val="0CAF7FF4"/>
    <w:rsid w:val="0CEB7150"/>
    <w:rsid w:val="0CED0068"/>
    <w:rsid w:val="0CF22F65"/>
    <w:rsid w:val="0CF32701"/>
    <w:rsid w:val="0CF5297F"/>
    <w:rsid w:val="0CFD3771"/>
    <w:rsid w:val="0D001BEA"/>
    <w:rsid w:val="0D023EA9"/>
    <w:rsid w:val="0D0A7F77"/>
    <w:rsid w:val="0D1122FB"/>
    <w:rsid w:val="0D167C75"/>
    <w:rsid w:val="0D1B1ACD"/>
    <w:rsid w:val="0D3C25EF"/>
    <w:rsid w:val="0D455E22"/>
    <w:rsid w:val="0D4D0748"/>
    <w:rsid w:val="0D5F5515"/>
    <w:rsid w:val="0D604D54"/>
    <w:rsid w:val="0D7C1727"/>
    <w:rsid w:val="0D8943DC"/>
    <w:rsid w:val="0D8A04E4"/>
    <w:rsid w:val="0D932BB8"/>
    <w:rsid w:val="0D9451FA"/>
    <w:rsid w:val="0D98461B"/>
    <w:rsid w:val="0DB00467"/>
    <w:rsid w:val="0DB904D9"/>
    <w:rsid w:val="0DBB0918"/>
    <w:rsid w:val="0DC5681D"/>
    <w:rsid w:val="0DC70662"/>
    <w:rsid w:val="0DC83A03"/>
    <w:rsid w:val="0DCE0020"/>
    <w:rsid w:val="0DD63544"/>
    <w:rsid w:val="0DE25782"/>
    <w:rsid w:val="0DEE271A"/>
    <w:rsid w:val="0DF148E8"/>
    <w:rsid w:val="0E210D90"/>
    <w:rsid w:val="0E280BF1"/>
    <w:rsid w:val="0E2A2732"/>
    <w:rsid w:val="0E2F7B01"/>
    <w:rsid w:val="0E3177FA"/>
    <w:rsid w:val="0E3401DC"/>
    <w:rsid w:val="0E4B5699"/>
    <w:rsid w:val="0E512E80"/>
    <w:rsid w:val="0E644A75"/>
    <w:rsid w:val="0E6C0832"/>
    <w:rsid w:val="0E6E1A32"/>
    <w:rsid w:val="0E803DF8"/>
    <w:rsid w:val="0E8C683F"/>
    <w:rsid w:val="0E915BD0"/>
    <w:rsid w:val="0E940398"/>
    <w:rsid w:val="0ECD4128"/>
    <w:rsid w:val="0ED40186"/>
    <w:rsid w:val="0ED73668"/>
    <w:rsid w:val="0EDB0027"/>
    <w:rsid w:val="0EE20AF5"/>
    <w:rsid w:val="0EE52393"/>
    <w:rsid w:val="0EEE1C53"/>
    <w:rsid w:val="0EF05635"/>
    <w:rsid w:val="0EFF0CC6"/>
    <w:rsid w:val="0F0913A4"/>
    <w:rsid w:val="0F360DD3"/>
    <w:rsid w:val="0F3E453D"/>
    <w:rsid w:val="0F6B1793"/>
    <w:rsid w:val="0F7B5DFB"/>
    <w:rsid w:val="0F953DB9"/>
    <w:rsid w:val="0F961162"/>
    <w:rsid w:val="0FC8388F"/>
    <w:rsid w:val="0FE46ECC"/>
    <w:rsid w:val="0FEE72A4"/>
    <w:rsid w:val="0FF07241"/>
    <w:rsid w:val="0FF37EF3"/>
    <w:rsid w:val="0FFE4C46"/>
    <w:rsid w:val="10024DAE"/>
    <w:rsid w:val="10064480"/>
    <w:rsid w:val="100930B7"/>
    <w:rsid w:val="100E52E5"/>
    <w:rsid w:val="10156FD1"/>
    <w:rsid w:val="10235C2C"/>
    <w:rsid w:val="10362C26"/>
    <w:rsid w:val="10371F2F"/>
    <w:rsid w:val="103D2D3A"/>
    <w:rsid w:val="105A6D80"/>
    <w:rsid w:val="1074209B"/>
    <w:rsid w:val="107B23CF"/>
    <w:rsid w:val="107E1871"/>
    <w:rsid w:val="10824E25"/>
    <w:rsid w:val="10AF0EAA"/>
    <w:rsid w:val="10BB79B4"/>
    <w:rsid w:val="10BD5626"/>
    <w:rsid w:val="10C34956"/>
    <w:rsid w:val="10C5422A"/>
    <w:rsid w:val="10C85301"/>
    <w:rsid w:val="10E34E83"/>
    <w:rsid w:val="10EA1EE2"/>
    <w:rsid w:val="10F5099F"/>
    <w:rsid w:val="11046680"/>
    <w:rsid w:val="110E3B34"/>
    <w:rsid w:val="11160F29"/>
    <w:rsid w:val="112A0531"/>
    <w:rsid w:val="112C24FB"/>
    <w:rsid w:val="113B273E"/>
    <w:rsid w:val="11423CF0"/>
    <w:rsid w:val="11524B41"/>
    <w:rsid w:val="1159255C"/>
    <w:rsid w:val="115D038D"/>
    <w:rsid w:val="11627CCB"/>
    <w:rsid w:val="11631C8B"/>
    <w:rsid w:val="11660A66"/>
    <w:rsid w:val="116741A8"/>
    <w:rsid w:val="117307D6"/>
    <w:rsid w:val="11785740"/>
    <w:rsid w:val="11887A9E"/>
    <w:rsid w:val="11906E7E"/>
    <w:rsid w:val="11935272"/>
    <w:rsid w:val="119D5213"/>
    <w:rsid w:val="119E030F"/>
    <w:rsid w:val="11A37371"/>
    <w:rsid w:val="11A402E3"/>
    <w:rsid w:val="11AB1672"/>
    <w:rsid w:val="11AC3296"/>
    <w:rsid w:val="11B43285"/>
    <w:rsid w:val="11BF3764"/>
    <w:rsid w:val="11BF5D6D"/>
    <w:rsid w:val="11D61938"/>
    <w:rsid w:val="11EA4C32"/>
    <w:rsid w:val="11EE77B0"/>
    <w:rsid w:val="11EF6486"/>
    <w:rsid w:val="11F75962"/>
    <w:rsid w:val="11FC0451"/>
    <w:rsid w:val="1203353A"/>
    <w:rsid w:val="120C4EB8"/>
    <w:rsid w:val="122D760A"/>
    <w:rsid w:val="12311F5A"/>
    <w:rsid w:val="1238237C"/>
    <w:rsid w:val="12427601"/>
    <w:rsid w:val="125944FB"/>
    <w:rsid w:val="125F062A"/>
    <w:rsid w:val="12624EB7"/>
    <w:rsid w:val="12672FB7"/>
    <w:rsid w:val="126B2BAF"/>
    <w:rsid w:val="126E605B"/>
    <w:rsid w:val="127952CC"/>
    <w:rsid w:val="127B569A"/>
    <w:rsid w:val="1282388F"/>
    <w:rsid w:val="1282549A"/>
    <w:rsid w:val="128572E6"/>
    <w:rsid w:val="128A0F8B"/>
    <w:rsid w:val="129139EE"/>
    <w:rsid w:val="12B26461"/>
    <w:rsid w:val="12CF75E2"/>
    <w:rsid w:val="12D228CA"/>
    <w:rsid w:val="12E3308D"/>
    <w:rsid w:val="12E82DC7"/>
    <w:rsid w:val="12F36759"/>
    <w:rsid w:val="12F9465F"/>
    <w:rsid w:val="1300045E"/>
    <w:rsid w:val="130A6921"/>
    <w:rsid w:val="13392CAD"/>
    <w:rsid w:val="133D024F"/>
    <w:rsid w:val="133D6D87"/>
    <w:rsid w:val="13436291"/>
    <w:rsid w:val="135E2A54"/>
    <w:rsid w:val="13716BB4"/>
    <w:rsid w:val="137D6E8E"/>
    <w:rsid w:val="13821EE1"/>
    <w:rsid w:val="138516B3"/>
    <w:rsid w:val="13890B9C"/>
    <w:rsid w:val="138A52B7"/>
    <w:rsid w:val="13963C5C"/>
    <w:rsid w:val="13A1048C"/>
    <w:rsid w:val="13A2174F"/>
    <w:rsid w:val="13A411E9"/>
    <w:rsid w:val="13CB4137"/>
    <w:rsid w:val="13D11AEC"/>
    <w:rsid w:val="13D42386"/>
    <w:rsid w:val="13F27FD8"/>
    <w:rsid w:val="13F53078"/>
    <w:rsid w:val="13FA3C10"/>
    <w:rsid w:val="141334FE"/>
    <w:rsid w:val="14197590"/>
    <w:rsid w:val="141C7AF8"/>
    <w:rsid w:val="142D5867"/>
    <w:rsid w:val="14311C3C"/>
    <w:rsid w:val="14602940"/>
    <w:rsid w:val="14667AD2"/>
    <w:rsid w:val="148F7029"/>
    <w:rsid w:val="14A05CEA"/>
    <w:rsid w:val="14A800EA"/>
    <w:rsid w:val="14BA7BD0"/>
    <w:rsid w:val="14BE0DA8"/>
    <w:rsid w:val="14C10F31"/>
    <w:rsid w:val="14DF2DE8"/>
    <w:rsid w:val="14E20E88"/>
    <w:rsid w:val="14E71B9C"/>
    <w:rsid w:val="14E8498B"/>
    <w:rsid w:val="14ED24C4"/>
    <w:rsid w:val="14FE6E45"/>
    <w:rsid w:val="15030DD2"/>
    <w:rsid w:val="151246C1"/>
    <w:rsid w:val="151D69CC"/>
    <w:rsid w:val="152B1B0C"/>
    <w:rsid w:val="15300534"/>
    <w:rsid w:val="15430081"/>
    <w:rsid w:val="1549179A"/>
    <w:rsid w:val="155855A0"/>
    <w:rsid w:val="15760A82"/>
    <w:rsid w:val="15771F23"/>
    <w:rsid w:val="15885993"/>
    <w:rsid w:val="15943580"/>
    <w:rsid w:val="15954377"/>
    <w:rsid w:val="15993399"/>
    <w:rsid w:val="159F71E4"/>
    <w:rsid w:val="15A908B2"/>
    <w:rsid w:val="15C03212"/>
    <w:rsid w:val="15D252B6"/>
    <w:rsid w:val="15DA54BE"/>
    <w:rsid w:val="15DE1A29"/>
    <w:rsid w:val="15F15AC1"/>
    <w:rsid w:val="160317FF"/>
    <w:rsid w:val="16091932"/>
    <w:rsid w:val="1629525B"/>
    <w:rsid w:val="16325D9E"/>
    <w:rsid w:val="166636FC"/>
    <w:rsid w:val="16753FFC"/>
    <w:rsid w:val="16883ABF"/>
    <w:rsid w:val="169D3553"/>
    <w:rsid w:val="16A90098"/>
    <w:rsid w:val="16AA3EEF"/>
    <w:rsid w:val="16AD19E8"/>
    <w:rsid w:val="16B33439"/>
    <w:rsid w:val="16BB65F1"/>
    <w:rsid w:val="16C30E50"/>
    <w:rsid w:val="16DF70C3"/>
    <w:rsid w:val="16E13DB6"/>
    <w:rsid w:val="16E36A8E"/>
    <w:rsid w:val="16E6312D"/>
    <w:rsid w:val="170C16D5"/>
    <w:rsid w:val="17174321"/>
    <w:rsid w:val="171B1048"/>
    <w:rsid w:val="172D6C4D"/>
    <w:rsid w:val="17382C6C"/>
    <w:rsid w:val="17445B8B"/>
    <w:rsid w:val="174C1201"/>
    <w:rsid w:val="17590C54"/>
    <w:rsid w:val="17950C6C"/>
    <w:rsid w:val="179901BE"/>
    <w:rsid w:val="179B360F"/>
    <w:rsid w:val="17AA23CB"/>
    <w:rsid w:val="17AC7EF2"/>
    <w:rsid w:val="17B2733D"/>
    <w:rsid w:val="17C52900"/>
    <w:rsid w:val="17D32110"/>
    <w:rsid w:val="17D74C76"/>
    <w:rsid w:val="17DA72D6"/>
    <w:rsid w:val="17DF4157"/>
    <w:rsid w:val="17EF333D"/>
    <w:rsid w:val="17F736BA"/>
    <w:rsid w:val="180A539C"/>
    <w:rsid w:val="180B1C8C"/>
    <w:rsid w:val="18273A1C"/>
    <w:rsid w:val="182859FC"/>
    <w:rsid w:val="183B45F3"/>
    <w:rsid w:val="1856228A"/>
    <w:rsid w:val="1857712C"/>
    <w:rsid w:val="18655549"/>
    <w:rsid w:val="18673E19"/>
    <w:rsid w:val="187266B8"/>
    <w:rsid w:val="18731F52"/>
    <w:rsid w:val="189D5730"/>
    <w:rsid w:val="18A24E51"/>
    <w:rsid w:val="18AE6BDF"/>
    <w:rsid w:val="18BC41FE"/>
    <w:rsid w:val="18D255E8"/>
    <w:rsid w:val="18E60D73"/>
    <w:rsid w:val="18E73115"/>
    <w:rsid w:val="190A6030"/>
    <w:rsid w:val="191206D3"/>
    <w:rsid w:val="191752E5"/>
    <w:rsid w:val="191F53BB"/>
    <w:rsid w:val="192D3625"/>
    <w:rsid w:val="192E2BD3"/>
    <w:rsid w:val="193463F1"/>
    <w:rsid w:val="19362545"/>
    <w:rsid w:val="19495A8C"/>
    <w:rsid w:val="194C0604"/>
    <w:rsid w:val="194D74B2"/>
    <w:rsid w:val="196A1E12"/>
    <w:rsid w:val="197B5636"/>
    <w:rsid w:val="19864E1F"/>
    <w:rsid w:val="198C7FDB"/>
    <w:rsid w:val="198D30EC"/>
    <w:rsid w:val="199926F8"/>
    <w:rsid w:val="19A834D4"/>
    <w:rsid w:val="19EB4862"/>
    <w:rsid w:val="19F274CB"/>
    <w:rsid w:val="19F62F82"/>
    <w:rsid w:val="1A134258"/>
    <w:rsid w:val="1A200C49"/>
    <w:rsid w:val="1A2340A7"/>
    <w:rsid w:val="1A2C7C12"/>
    <w:rsid w:val="1A313904"/>
    <w:rsid w:val="1A382E26"/>
    <w:rsid w:val="1A3A5DAF"/>
    <w:rsid w:val="1A55569C"/>
    <w:rsid w:val="1A564A70"/>
    <w:rsid w:val="1A5B175B"/>
    <w:rsid w:val="1A5C16D9"/>
    <w:rsid w:val="1A5C6D63"/>
    <w:rsid w:val="1A705206"/>
    <w:rsid w:val="1A7636B6"/>
    <w:rsid w:val="1A7B17BE"/>
    <w:rsid w:val="1A9A04D5"/>
    <w:rsid w:val="1ABF7F3C"/>
    <w:rsid w:val="1AC8028B"/>
    <w:rsid w:val="1ACF0F77"/>
    <w:rsid w:val="1AD555B8"/>
    <w:rsid w:val="1AE133EF"/>
    <w:rsid w:val="1AEF4DAE"/>
    <w:rsid w:val="1AF677A2"/>
    <w:rsid w:val="1AF77FAB"/>
    <w:rsid w:val="1AFB020E"/>
    <w:rsid w:val="1B1B658D"/>
    <w:rsid w:val="1B21530E"/>
    <w:rsid w:val="1B324BB2"/>
    <w:rsid w:val="1B3D1939"/>
    <w:rsid w:val="1B46240B"/>
    <w:rsid w:val="1B492FF3"/>
    <w:rsid w:val="1B4950A4"/>
    <w:rsid w:val="1B556620"/>
    <w:rsid w:val="1B7A20B5"/>
    <w:rsid w:val="1B924A70"/>
    <w:rsid w:val="1BA324C2"/>
    <w:rsid w:val="1BA61267"/>
    <w:rsid w:val="1BA710FC"/>
    <w:rsid w:val="1BAF2B44"/>
    <w:rsid w:val="1BC1484E"/>
    <w:rsid w:val="1BE0460E"/>
    <w:rsid w:val="1BE237E4"/>
    <w:rsid w:val="1BF400B9"/>
    <w:rsid w:val="1C0F6CA1"/>
    <w:rsid w:val="1C1147C7"/>
    <w:rsid w:val="1C2663BF"/>
    <w:rsid w:val="1C36433C"/>
    <w:rsid w:val="1C376E21"/>
    <w:rsid w:val="1C422BD3"/>
    <w:rsid w:val="1C473B3B"/>
    <w:rsid w:val="1C607E4F"/>
    <w:rsid w:val="1C6C7C4F"/>
    <w:rsid w:val="1C721035"/>
    <w:rsid w:val="1C751981"/>
    <w:rsid w:val="1C7F7983"/>
    <w:rsid w:val="1C821221"/>
    <w:rsid w:val="1C887DF5"/>
    <w:rsid w:val="1C89288A"/>
    <w:rsid w:val="1C9547C0"/>
    <w:rsid w:val="1CA47846"/>
    <w:rsid w:val="1CCC4B05"/>
    <w:rsid w:val="1CD565D5"/>
    <w:rsid w:val="1CDF6675"/>
    <w:rsid w:val="1CEB174F"/>
    <w:rsid w:val="1CEF14EF"/>
    <w:rsid w:val="1CEF4A97"/>
    <w:rsid w:val="1CEF6977"/>
    <w:rsid w:val="1CF43006"/>
    <w:rsid w:val="1CFE1CEE"/>
    <w:rsid w:val="1D077570"/>
    <w:rsid w:val="1D13456F"/>
    <w:rsid w:val="1D1A4F19"/>
    <w:rsid w:val="1D325942"/>
    <w:rsid w:val="1D52260D"/>
    <w:rsid w:val="1D672B1F"/>
    <w:rsid w:val="1D68660F"/>
    <w:rsid w:val="1D7C2114"/>
    <w:rsid w:val="1D856076"/>
    <w:rsid w:val="1D8B3670"/>
    <w:rsid w:val="1D8E2134"/>
    <w:rsid w:val="1D9317D5"/>
    <w:rsid w:val="1DA73124"/>
    <w:rsid w:val="1DAE0556"/>
    <w:rsid w:val="1DB1270C"/>
    <w:rsid w:val="1DB25B36"/>
    <w:rsid w:val="1DB67C12"/>
    <w:rsid w:val="1DC55869"/>
    <w:rsid w:val="1DC63622"/>
    <w:rsid w:val="1DD50B1E"/>
    <w:rsid w:val="1DD957B9"/>
    <w:rsid w:val="1DFC5ADA"/>
    <w:rsid w:val="1E060554"/>
    <w:rsid w:val="1E0F6E32"/>
    <w:rsid w:val="1E407A47"/>
    <w:rsid w:val="1E415560"/>
    <w:rsid w:val="1E4A7C66"/>
    <w:rsid w:val="1E543D91"/>
    <w:rsid w:val="1E5D18EA"/>
    <w:rsid w:val="1E5D3CF4"/>
    <w:rsid w:val="1E604A81"/>
    <w:rsid w:val="1E6449A1"/>
    <w:rsid w:val="1E702BF6"/>
    <w:rsid w:val="1E706AC5"/>
    <w:rsid w:val="1E706D9C"/>
    <w:rsid w:val="1E841A5F"/>
    <w:rsid w:val="1EA33881"/>
    <w:rsid w:val="1EA40105"/>
    <w:rsid w:val="1EA972F9"/>
    <w:rsid w:val="1EAC6298"/>
    <w:rsid w:val="1EB12291"/>
    <w:rsid w:val="1EBC7CC4"/>
    <w:rsid w:val="1EC665E8"/>
    <w:rsid w:val="1ED01E61"/>
    <w:rsid w:val="1EDA5344"/>
    <w:rsid w:val="1EDC6093"/>
    <w:rsid w:val="1EE20644"/>
    <w:rsid w:val="1F06438B"/>
    <w:rsid w:val="1F0C725C"/>
    <w:rsid w:val="1F325E08"/>
    <w:rsid w:val="1F3507CD"/>
    <w:rsid w:val="1F3909F5"/>
    <w:rsid w:val="1F494278"/>
    <w:rsid w:val="1F4A1A14"/>
    <w:rsid w:val="1F4B7FF0"/>
    <w:rsid w:val="1F4C5B16"/>
    <w:rsid w:val="1F5042CA"/>
    <w:rsid w:val="1F524DE1"/>
    <w:rsid w:val="1F542354"/>
    <w:rsid w:val="1F54685B"/>
    <w:rsid w:val="1F57756B"/>
    <w:rsid w:val="1F69585D"/>
    <w:rsid w:val="1F6A130D"/>
    <w:rsid w:val="1F6B38B0"/>
    <w:rsid w:val="1F730709"/>
    <w:rsid w:val="1F811C64"/>
    <w:rsid w:val="1FA6791C"/>
    <w:rsid w:val="1FBC4C20"/>
    <w:rsid w:val="1FBC7140"/>
    <w:rsid w:val="1FD0749B"/>
    <w:rsid w:val="1FE35ADC"/>
    <w:rsid w:val="1FF2076E"/>
    <w:rsid w:val="1FF24910"/>
    <w:rsid w:val="2003301C"/>
    <w:rsid w:val="20043AAA"/>
    <w:rsid w:val="200D12EE"/>
    <w:rsid w:val="20126D77"/>
    <w:rsid w:val="201D72F1"/>
    <w:rsid w:val="20211FF7"/>
    <w:rsid w:val="203A5CDB"/>
    <w:rsid w:val="203F40E9"/>
    <w:rsid w:val="205A5568"/>
    <w:rsid w:val="20604875"/>
    <w:rsid w:val="206823A1"/>
    <w:rsid w:val="206A4B72"/>
    <w:rsid w:val="20743577"/>
    <w:rsid w:val="207540D6"/>
    <w:rsid w:val="20781B6F"/>
    <w:rsid w:val="207A43DF"/>
    <w:rsid w:val="207F6629"/>
    <w:rsid w:val="20AF57FC"/>
    <w:rsid w:val="20B24112"/>
    <w:rsid w:val="20B63B8F"/>
    <w:rsid w:val="20C5523A"/>
    <w:rsid w:val="20CB4F5C"/>
    <w:rsid w:val="20D91DD8"/>
    <w:rsid w:val="20DD5762"/>
    <w:rsid w:val="20EE43F2"/>
    <w:rsid w:val="20F301B2"/>
    <w:rsid w:val="20F716A2"/>
    <w:rsid w:val="20F903BB"/>
    <w:rsid w:val="20FA3A7C"/>
    <w:rsid w:val="21011A51"/>
    <w:rsid w:val="21096B24"/>
    <w:rsid w:val="210B25F8"/>
    <w:rsid w:val="21116BA3"/>
    <w:rsid w:val="211E2099"/>
    <w:rsid w:val="2123675E"/>
    <w:rsid w:val="21242DBE"/>
    <w:rsid w:val="213D605E"/>
    <w:rsid w:val="213E6057"/>
    <w:rsid w:val="215C1EE3"/>
    <w:rsid w:val="215C5109"/>
    <w:rsid w:val="21611D4D"/>
    <w:rsid w:val="21637A27"/>
    <w:rsid w:val="216B4EF8"/>
    <w:rsid w:val="216C08BA"/>
    <w:rsid w:val="216D79F4"/>
    <w:rsid w:val="21724815"/>
    <w:rsid w:val="217D46AD"/>
    <w:rsid w:val="21A665AD"/>
    <w:rsid w:val="21A734D8"/>
    <w:rsid w:val="21B33C19"/>
    <w:rsid w:val="21BB34D8"/>
    <w:rsid w:val="21C150D5"/>
    <w:rsid w:val="21D722C1"/>
    <w:rsid w:val="21DF24FF"/>
    <w:rsid w:val="21E14D78"/>
    <w:rsid w:val="21F11F6F"/>
    <w:rsid w:val="22136A87"/>
    <w:rsid w:val="222C0C93"/>
    <w:rsid w:val="222F1E4B"/>
    <w:rsid w:val="224B3D5F"/>
    <w:rsid w:val="2258252F"/>
    <w:rsid w:val="225E4F1E"/>
    <w:rsid w:val="225F5E9E"/>
    <w:rsid w:val="22811875"/>
    <w:rsid w:val="22845C10"/>
    <w:rsid w:val="228F63A9"/>
    <w:rsid w:val="22A177E6"/>
    <w:rsid w:val="22B67E76"/>
    <w:rsid w:val="22B83BEE"/>
    <w:rsid w:val="22BC7E0C"/>
    <w:rsid w:val="22C143A8"/>
    <w:rsid w:val="22D447A0"/>
    <w:rsid w:val="22D95913"/>
    <w:rsid w:val="22E07C0E"/>
    <w:rsid w:val="22E6677E"/>
    <w:rsid w:val="22EA23F7"/>
    <w:rsid w:val="22F17100"/>
    <w:rsid w:val="22FF2B3B"/>
    <w:rsid w:val="230E7CE8"/>
    <w:rsid w:val="231D3794"/>
    <w:rsid w:val="231E5EDF"/>
    <w:rsid w:val="23216ED5"/>
    <w:rsid w:val="233236E3"/>
    <w:rsid w:val="23360FB7"/>
    <w:rsid w:val="23384D2F"/>
    <w:rsid w:val="233B768D"/>
    <w:rsid w:val="2346752C"/>
    <w:rsid w:val="234B3D79"/>
    <w:rsid w:val="23502079"/>
    <w:rsid w:val="23585DD8"/>
    <w:rsid w:val="235B4AD3"/>
    <w:rsid w:val="235B597F"/>
    <w:rsid w:val="237613B4"/>
    <w:rsid w:val="23774E19"/>
    <w:rsid w:val="237D05D8"/>
    <w:rsid w:val="2385331C"/>
    <w:rsid w:val="239B1C02"/>
    <w:rsid w:val="23AB3963"/>
    <w:rsid w:val="23B819CC"/>
    <w:rsid w:val="23BA5744"/>
    <w:rsid w:val="23BA793E"/>
    <w:rsid w:val="23CA2FF6"/>
    <w:rsid w:val="23D17044"/>
    <w:rsid w:val="23D172B3"/>
    <w:rsid w:val="23D841ED"/>
    <w:rsid w:val="23DF2B6D"/>
    <w:rsid w:val="23E40684"/>
    <w:rsid w:val="23F23381"/>
    <w:rsid w:val="23FC435C"/>
    <w:rsid w:val="2411563C"/>
    <w:rsid w:val="241158DE"/>
    <w:rsid w:val="242447AF"/>
    <w:rsid w:val="242B0434"/>
    <w:rsid w:val="24334C53"/>
    <w:rsid w:val="243C16A4"/>
    <w:rsid w:val="24417C14"/>
    <w:rsid w:val="24431BDE"/>
    <w:rsid w:val="24442987"/>
    <w:rsid w:val="245260B7"/>
    <w:rsid w:val="246D27B7"/>
    <w:rsid w:val="24771FAD"/>
    <w:rsid w:val="24941BD4"/>
    <w:rsid w:val="249D7540"/>
    <w:rsid w:val="24A15D95"/>
    <w:rsid w:val="24A7216D"/>
    <w:rsid w:val="24C41DFA"/>
    <w:rsid w:val="24CF3471"/>
    <w:rsid w:val="24D75451"/>
    <w:rsid w:val="24DB6206"/>
    <w:rsid w:val="24DC47FF"/>
    <w:rsid w:val="24F904EE"/>
    <w:rsid w:val="25005256"/>
    <w:rsid w:val="250439EF"/>
    <w:rsid w:val="25260879"/>
    <w:rsid w:val="252E0198"/>
    <w:rsid w:val="2557729C"/>
    <w:rsid w:val="255A6A4F"/>
    <w:rsid w:val="257239B5"/>
    <w:rsid w:val="2573525C"/>
    <w:rsid w:val="2573603F"/>
    <w:rsid w:val="257A3E03"/>
    <w:rsid w:val="258C3DF5"/>
    <w:rsid w:val="25B60C44"/>
    <w:rsid w:val="25D72DB2"/>
    <w:rsid w:val="25E1786F"/>
    <w:rsid w:val="25E83AD3"/>
    <w:rsid w:val="25EB11E1"/>
    <w:rsid w:val="25F252DE"/>
    <w:rsid w:val="25F453F1"/>
    <w:rsid w:val="25F574EA"/>
    <w:rsid w:val="260B280F"/>
    <w:rsid w:val="261E020C"/>
    <w:rsid w:val="263A0DBE"/>
    <w:rsid w:val="263F3EBB"/>
    <w:rsid w:val="26463DD7"/>
    <w:rsid w:val="26571970"/>
    <w:rsid w:val="26574DB8"/>
    <w:rsid w:val="265A05A4"/>
    <w:rsid w:val="266E1364"/>
    <w:rsid w:val="268E2249"/>
    <w:rsid w:val="269229A8"/>
    <w:rsid w:val="26A67D94"/>
    <w:rsid w:val="26C52C94"/>
    <w:rsid w:val="26D703BB"/>
    <w:rsid w:val="26D90505"/>
    <w:rsid w:val="26E51871"/>
    <w:rsid w:val="26E56F7C"/>
    <w:rsid w:val="26EC52C4"/>
    <w:rsid w:val="26FD1062"/>
    <w:rsid w:val="2712322F"/>
    <w:rsid w:val="2718121A"/>
    <w:rsid w:val="27224B0F"/>
    <w:rsid w:val="27271343"/>
    <w:rsid w:val="272F1E9F"/>
    <w:rsid w:val="27313F6F"/>
    <w:rsid w:val="274E1A68"/>
    <w:rsid w:val="2764417B"/>
    <w:rsid w:val="27795A37"/>
    <w:rsid w:val="278476CC"/>
    <w:rsid w:val="27A45AD4"/>
    <w:rsid w:val="27B54BA0"/>
    <w:rsid w:val="27F710A0"/>
    <w:rsid w:val="27FC457D"/>
    <w:rsid w:val="27FD20A3"/>
    <w:rsid w:val="280653FC"/>
    <w:rsid w:val="280E2503"/>
    <w:rsid w:val="28136B87"/>
    <w:rsid w:val="281A16BA"/>
    <w:rsid w:val="282E0D0A"/>
    <w:rsid w:val="283659E1"/>
    <w:rsid w:val="284F7247"/>
    <w:rsid w:val="2851741F"/>
    <w:rsid w:val="2854115A"/>
    <w:rsid w:val="286744CD"/>
    <w:rsid w:val="287B2854"/>
    <w:rsid w:val="2887096F"/>
    <w:rsid w:val="28891A68"/>
    <w:rsid w:val="28990E60"/>
    <w:rsid w:val="28996270"/>
    <w:rsid w:val="289D6BC0"/>
    <w:rsid w:val="289E3886"/>
    <w:rsid w:val="28B0142C"/>
    <w:rsid w:val="28B031C4"/>
    <w:rsid w:val="28B813D8"/>
    <w:rsid w:val="28B83A73"/>
    <w:rsid w:val="28C05393"/>
    <w:rsid w:val="28C15F16"/>
    <w:rsid w:val="28C46D91"/>
    <w:rsid w:val="28C8217E"/>
    <w:rsid w:val="28D13A25"/>
    <w:rsid w:val="28D728F5"/>
    <w:rsid w:val="28D8259C"/>
    <w:rsid w:val="28D842A6"/>
    <w:rsid w:val="28DC615D"/>
    <w:rsid w:val="28DE402A"/>
    <w:rsid w:val="28E23AA6"/>
    <w:rsid w:val="28E60D8A"/>
    <w:rsid w:val="28F803C3"/>
    <w:rsid w:val="291433AE"/>
    <w:rsid w:val="292274D8"/>
    <w:rsid w:val="29257B04"/>
    <w:rsid w:val="29347D47"/>
    <w:rsid w:val="29432A42"/>
    <w:rsid w:val="294D2BB7"/>
    <w:rsid w:val="294F62D4"/>
    <w:rsid w:val="29542197"/>
    <w:rsid w:val="2971641B"/>
    <w:rsid w:val="2976043F"/>
    <w:rsid w:val="29826D04"/>
    <w:rsid w:val="29834CA6"/>
    <w:rsid w:val="298429E5"/>
    <w:rsid w:val="29871592"/>
    <w:rsid w:val="299627B0"/>
    <w:rsid w:val="29A94291"/>
    <w:rsid w:val="29AA7F26"/>
    <w:rsid w:val="29BD3F19"/>
    <w:rsid w:val="29C70BBB"/>
    <w:rsid w:val="29D250A3"/>
    <w:rsid w:val="29D97152"/>
    <w:rsid w:val="29DA563F"/>
    <w:rsid w:val="29E03A2B"/>
    <w:rsid w:val="29EA6773"/>
    <w:rsid w:val="29F64FFC"/>
    <w:rsid w:val="29FA3298"/>
    <w:rsid w:val="2A1738F0"/>
    <w:rsid w:val="2A1757C0"/>
    <w:rsid w:val="2A1D07DB"/>
    <w:rsid w:val="2A247307"/>
    <w:rsid w:val="2A2622F9"/>
    <w:rsid w:val="2A2E7A7E"/>
    <w:rsid w:val="2A323B4A"/>
    <w:rsid w:val="2A3C1140"/>
    <w:rsid w:val="2A4735A8"/>
    <w:rsid w:val="2A5F0725"/>
    <w:rsid w:val="2A5F40B6"/>
    <w:rsid w:val="2A66617B"/>
    <w:rsid w:val="2A7C3754"/>
    <w:rsid w:val="2A9456D6"/>
    <w:rsid w:val="2A9F070C"/>
    <w:rsid w:val="2A9F5694"/>
    <w:rsid w:val="2AC375D4"/>
    <w:rsid w:val="2AC903E1"/>
    <w:rsid w:val="2ACA7B37"/>
    <w:rsid w:val="2AE10F41"/>
    <w:rsid w:val="2B1A174A"/>
    <w:rsid w:val="2B3002E1"/>
    <w:rsid w:val="2B317013"/>
    <w:rsid w:val="2B332625"/>
    <w:rsid w:val="2B565C6F"/>
    <w:rsid w:val="2B565E56"/>
    <w:rsid w:val="2B683DC4"/>
    <w:rsid w:val="2B721990"/>
    <w:rsid w:val="2B7865F9"/>
    <w:rsid w:val="2B835B5E"/>
    <w:rsid w:val="2B8C374E"/>
    <w:rsid w:val="2B8F46B6"/>
    <w:rsid w:val="2B991DFF"/>
    <w:rsid w:val="2BA00853"/>
    <w:rsid w:val="2BBB64FD"/>
    <w:rsid w:val="2BCF3B14"/>
    <w:rsid w:val="2BD22877"/>
    <w:rsid w:val="2BDC385F"/>
    <w:rsid w:val="2BF24C23"/>
    <w:rsid w:val="2BFA5278"/>
    <w:rsid w:val="2BFC6B25"/>
    <w:rsid w:val="2BFD08C4"/>
    <w:rsid w:val="2C153E60"/>
    <w:rsid w:val="2C1A6335"/>
    <w:rsid w:val="2C291E13"/>
    <w:rsid w:val="2C293467"/>
    <w:rsid w:val="2C421FD2"/>
    <w:rsid w:val="2C570661"/>
    <w:rsid w:val="2C6B4093"/>
    <w:rsid w:val="2C6E5E3A"/>
    <w:rsid w:val="2C884F4B"/>
    <w:rsid w:val="2C997AF3"/>
    <w:rsid w:val="2C997CDE"/>
    <w:rsid w:val="2C9C00DD"/>
    <w:rsid w:val="2C9C05F6"/>
    <w:rsid w:val="2C9E14E5"/>
    <w:rsid w:val="2CA62764"/>
    <w:rsid w:val="2CCA2E9C"/>
    <w:rsid w:val="2CD25FF8"/>
    <w:rsid w:val="2CE67F8C"/>
    <w:rsid w:val="2CEB4BC0"/>
    <w:rsid w:val="2CF3392B"/>
    <w:rsid w:val="2CF67846"/>
    <w:rsid w:val="2CFC0B7C"/>
    <w:rsid w:val="2CFC6F16"/>
    <w:rsid w:val="2D031F0A"/>
    <w:rsid w:val="2D0B5263"/>
    <w:rsid w:val="2D297BC6"/>
    <w:rsid w:val="2D377655"/>
    <w:rsid w:val="2D403484"/>
    <w:rsid w:val="2D626F6B"/>
    <w:rsid w:val="2D651E34"/>
    <w:rsid w:val="2DAB5DC1"/>
    <w:rsid w:val="2DD12008"/>
    <w:rsid w:val="2DD13271"/>
    <w:rsid w:val="2DE0224B"/>
    <w:rsid w:val="2DEE2D62"/>
    <w:rsid w:val="2DF14475"/>
    <w:rsid w:val="2DF83CAE"/>
    <w:rsid w:val="2E1036F7"/>
    <w:rsid w:val="2E22693F"/>
    <w:rsid w:val="2E24038A"/>
    <w:rsid w:val="2E244B0B"/>
    <w:rsid w:val="2E2760CC"/>
    <w:rsid w:val="2E2F76FC"/>
    <w:rsid w:val="2E3507E9"/>
    <w:rsid w:val="2E3B3187"/>
    <w:rsid w:val="2E422DCC"/>
    <w:rsid w:val="2E6F5414"/>
    <w:rsid w:val="2E754540"/>
    <w:rsid w:val="2E905186"/>
    <w:rsid w:val="2EA313FB"/>
    <w:rsid w:val="2EAF3631"/>
    <w:rsid w:val="2EC13E2B"/>
    <w:rsid w:val="2ED2330B"/>
    <w:rsid w:val="2ED26038"/>
    <w:rsid w:val="2ED705EB"/>
    <w:rsid w:val="2EDC447A"/>
    <w:rsid w:val="2EE239FE"/>
    <w:rsid w:val="2EE5733A"/>
    <w:rsid w:val="2EEE11AC"/>
    <w:rsid w:val="2EFC0479"/>
    <w:rsid w:val="2EFE35E8"/>
    <w:rsid w:val="2F315682"/>
    <w:rsid w:val="2F4E6128"/>
    <w:rsid w:val="2F593497"/>
    <w:rsid w:val="2F5B2585"/>
    <w:rsid w:val="2F6D2390"/>
    <w:rsid w:val="2F80221D"/>
    <w:rsid w:val="2F805A94"/>
    <w:rsid w:val="2F81648B"/>
    <w:rsid w:val="2F822951"/>
    <w:rsid w:val="2F8E1FB0"/>
    <w:rsid w:val="2FA6202F"/>
    <w:rsid w:val="2FC31C91"/>
    <w:rsid w:val="2FC75471"/>
    <w:rsid w:val="2FD04502"/>
    <w:rsid w:val="2FD47B8E"/>
    <w:rsid w:val="2FDB47FA"/>
    <w:rsid w:val="2FE870C5"/>
    <w:rsid w:val="2FEC4ED7"/>
    <w:rsid w:val="30222090"/>
    <w:rsid w:val="302C79CA"/>
    <w:rsid w:val="303F08C7"/>
    <w:rsid w:val="30412492"/>
    <w:rsid w:val="304704C5"/>
    <w:rsid w:val="304828E0"/>
    <w:rsid w:val="30581961"/>
    <w:rsid w:val="305C1F96"/>
    <w:rsid w:val="30615FED"/>
    <w:rsid w:val="30717AD3"/>
    <w:rsid w:val="3086532C"/>
    <w:rsid w:val="308F3CE9"/>
    <w:rsid w:val="30933F17"/>
    <w:rsid w:val="309713C6"/>
    <w:rsid w:val="30981D7F"/>
    <w:rsid w:val="309B5A24"/>
    <w:rsid w:val="30A232E4"/>
    <w:rsid w:val="30BA4FD6"/>
    <w:rsid w:val="30C50C66"/>
    <w:rsid w:val="30DC319E"/>
    <w:rsid w:val="30ED1711"/>
    <w:rsid w:val="30EF17E0"/>
    <w:rsid w:val="3103697D"/>
    <w:rsid w:val="31167200"/>
    <w:rsid w:val="312C69BA"/>
    <w:rsid w:val="3135798D"/>
    <w:rsid w:val="3138643E"/>
    <w:rsid w:val="31393DCB"/>
    <w:rsid w:val="31636DC3"/>
    <w:rsid w:val="316A224B"/>
    <w:rsid w:val="316D2854"/>
    <w:rsid w:val="31712EBC"/>
    <w:rsid w:val="31772EC7"/>
    <w:rsid w:val="317B29B7"/>
    <w:rsid w:val="317D5FB6"/>
    <w:rsid w:val="31837ABD"/>
    <w:rsid w:val="318C7F04"/>
    <w:rsid w:val="319C5AA7"/>
    <w:rsid w:val="319F465C"/>
    <w:rsid w:val="31B50B0C"/>
    <w:rsid w:val="31C32FA3"/>
    <w:rsid w:val="31CD468B"/>
    <w:rsid w:val="31D13B19"/>
    <w:rsid w:val="31D91BE1"/>
    <w:rsid w:val="31E60856"/>
    <w:rsid w:val="31EA35E8"/>
    <w:rsid w:val="31FC212A"/>
    <w:rsid w:val="322C0610"/>
    <w:rsid w:val="322E1BFD"/>
    <w:rsid w:val="32303773"/>
    <w:rsid w:val="32347F69"/>
    <w:rsid w:val="323963CE"/>
    <w:rsid w:val="323A3E96"/>
    <w:rsid w:val="323E22F7"/>
    <w:rsid w:val="324234D5"/>
    <w:rsid w:val="32487229"/>
    <w:rsid w:val="324F7EB1"/>
    <w:rsid w:val="325162B6"/>
    <w:rsid w:val="3252691D"/>
    <w:rsid w:val="3255145A"/>
    <w:rsid w:val="326F4D06"/>
    <w:rsid w:val="328B4E7C"/>
    <w:rsid w:val="32A5173A"/>
    <w:rsid w:val="32BB148C"/>
    <w:rsid w:val="32BB6217"/>
    <w:rsid w:val="32D16607"/>
    <w:rsid w:val="32F44A61"/>
    <w:rsid w:val="33111456"/>
    <w:rsid w:val="33184235"/>
    <w:rsid w:val="33291ACF"/>
    <w:rsid w:val="332C1220"/>
    <w:rsid w:val="332D2447"/>
    <w:rsid w:val="333D7CDA"/>
    <w:rsid w:val="33407A27"/>
    <w:rsid w:val="3350465C"/>
    <w:rsid w:val="336C20F6"/>
    <w:rsid w:val="337D6DD6"/>
    <w:rsid w:val="33824B11"/>
    <w:rsid w:val="33867AAC"/>
    <w:rsid w:val="33907FCF"/>
    <w:rsid w:val="33941B0E"/>
    <w:rsid w:val="339670C9"/>
    <w:rsid w:val="33982C90"/>
    <w:rsid w:val="339B1966"/>
    <w:rsid w:val="33A23507"/>
    <w:rsid w:val="33A45AC9"/>
    <w:rsid w:val="33C1178D"/>
    <w:rsid w:val="33CD5CBF"/>
    <w:rsid w:val="33CF6A93"/>
    <w:rsid w:val="33D52CF0"/>
    <w:rsid w:val="33D91C17"/>
    <w:rsid w:val="33E3198C"/>
    <w:rsid w:val="33E51A47"/>
    <w:rsid w:val="33EB5AE0"/>
    <w:rsid w:val="33F352AE"/>
    <w:rsid w:val="340E0074"/>
    <w:rsid w:val="341063AE"/>
    <w:rsid w:val="3411315F"/>
    <w:rsid w:val="341663D8"/>
    <w:rsid w:val="342009F1"/>
    <w:rsid w:val="342D0975"/>
    <w:rsid w:val="34491953"/>
    <w:rsid w:val="344D3628"/>
    <w:rsid w:val="344F1FA8"/>
    <w:rsid w:val="345721E6"/>
    <w:rsid w:val="34750D1D"/>
    <w:rsid w:val="34751483"/>
    <w:rsid w:val="347A51A8"/>
    <w:rsid w:val="34825689"/>
    <w:rsid w:val="348778C5"/>
    <w:rsid w:val="348E0C53"/>
    <w:rsid w:val="349139C4"/>
    <w:rsid w:val="34A20947"/>
    <w:rsid w:val="34A65901"/>
    <w:rsid w:val="34A84ADE"/>
    <w:rsid w:val="34B44B7E"/>
    <w:rsid w:val="34B57235"/>
    <w:rsid w:val="34CD0D87"/>
    <w:rsid w:val="34D42DBE"/>
    <w:rsid w:val="34D51B5D"/>
    <w:rsid w:val="35056F41"/>
    <w:rsid w:val="3507749B"/>
    <w:rsid w:val="350941D0"/>
    <w:rsid w:val="350A4AD0"/>
    <w:rsid w:val="350F0702"/>
    <w:rsid w:val="35223831"/>
    <w:rsid w:val="35344EF7"/>
    <w:rsid w:val="35417A73"/>
    <w:rsid w:val="35537C83"/>
    <w:rsid w:val="3569521C"/>
    <w:rsid w:val="356D46C3"/>
    <w:rsid w:val="35872663"/>
    <w:rsid w:val="358D2CB9"/>
    <w:rsid w:val="35A873D1"/>
    <w:rsid w:val="35C76FEA"/>
    <w:rsid w:val="35ED6974"/>
    <w:rsid w:val="35EF127D"/>
    <w:rsid w:val="360D6F99"/>
    <w:rsid w:val="36160F00"/>
    <w:rsid w:val="36312097"/>
    <w:rsid w:val="3634288E"/>
    <w:rsid w:val="363B44C3"/>
    <w:rsid w:val="36427105"/>
    <w:rsid w:val="36460B81"/>
    <w:rsid w:val="36495886"/>
    <w:rsid w:val="364A0BAA"/>
    <w:rsid w:val="36637A63"/>
    <w:rsid w:val="366C3D62"/>
    <w:rsid w:val="367967B8"/>
    <w:rsid w:val="367F4F73"/>
    <w:rsid w:val="368220F2"/>
    <w:rsid w:val="36A00700"/>
    <w:rsid w:val="36A045AD"/>
    <w:rsid w:val="36BB5604"/>
    <w:rsid w:val="36C95F72"/>
    <w:rsid w:val="36CC5A63"/>
    <w:rsid w:val="36CF7301"/>
    <w:rsid w:val="36D97DE3"/>
    <w:rsid w:val="36DF1B09"/>
    <w:rsid w:val="36EC1371"/>
    <w:rsid w:val="36F54FB9"/>
    <w:rsid w:val="36F5558D"/>
    <w:rsid w:val="36FA75CB"/>
    <w:rsid w:val="36FE69CC"/>
    <w:rsid w:val="37077031"/>
    <w:rsid w:val="370A446C"/>
    <w:rsid w:val="370D11A6"/>
    <w:rsid w:val="37171462"/>
    <w:rsid w:val="37186290"/>
    <w:rsid w:val="371F5514"/>
    <w:rsid w:val="37236D14"/>
    <w:rsid w:val="37275392"/>
    <w:rsid w:val="374A1271"/>
    <w:rsid w:val="374B3ABC"/>
    <w:rsid w:val="37667C65"/>
    <w:rsid w:val="376806DB"/>
    <w:rsid w:val="3784633D"/>
    <w:rsid w:val="37846EE5"/>
    <w:rsid w:val="37904CE2"/>
    <w:rsid w:val="379461DF"/>
    <w:rsid w:val="379C5527"/>
    <w:rsid w:val="379F25AA"/>
    <w:rsid w:val="37A95DA4"/>
    <w:rsid w:val="37B7331B"/>
    <w:rsid w:val="37BE432D"/>
    <w:rsid w:val="37C0269B"/>
    <w:rsid w:val="37C20289"/>
    <w:rsid w:val="37C87C23"/>
    <w:rsid w:val="37CC113C"/>
    <w:rsid w:val="37D437CC"/>
    <w:rsid w:val="37D50947"/>
    <w:rsid w:val="37DD3769"/>
    <w:rsid w:val="37E61C1D"/>
    <w:rsid w:val="37FE4685"/>
    <w:rsid w:val="381074B7"/>
    <w:rsid w:val="383046D1"/>
    <w:rsid w:val="38316343"/>
    <w:rsid w:val="383B3EE8"/>
    <w:rsid w:val="38540962"/>
    <w:rsid w:val="386A72E1"/>
    <w:rsid w:val="38727B02"/>
    <w:rsid w:val="38812AD7"/>
    <w:rsid w:val="388616CE"/>
    <w:rsid w:val="389F5CD8"/>
    <w:rsid w:val="38A10A8B"/>
    <w:rsid w:val="38AA6BDA"/>
    <w:rsid w:val="38AE3672"/>
    <w:rsid w:val="38B279EB"/>
    <w:rsid w:val="38B82AF5"/>
    <w:rsid w:val="38C7204D"/>
    <w:rsid w:val="38EA6C83"/>
    <w:rsid w:val="39042812"/>
    <w:rsid w:val="3914724D"/>
    <w:rsid w:val="392B1828"/>
    <w:rsid w:val="39415A8A"/>
    <w:rsid w:val="3942200C"/>
    <w:rsid w:val="394D58E5"/>
    <w:rsid w:val="398656D3"/>
    <w:rsid w:val="39873EC3"/>
    <w:rsid w:val="398914A4"/>
    <w:rsid w:val="398E0DAD"/>
    <w:rsid w:val="399027B5"/>
    <w:rsid w:val="39933B19"/>
    <w:rsid w:val="39994DF0"/>
    <w:rsid w:val="39A33CED"/>
    <w:rsid w:val="39A44A75"/>
    <w:rsid w:val="39B34CB8"/>
    <w:rsid w:val="39B63F14"/>
    <w:rsid w:val="39BB11C0"/>
    <w:rsid w:val="39CC2A82"/>
    <w:rsid w:val="39E55B1B"/>
    <w:rsid w:val="39E66E3B"/>
    <w:rsid w:val="39ED5AEC"/>
    <w:rsid w:val="39F25C1A"/>
    <w:rsid w:val="39F33306"/>
    <w:rsid w:val="39FC665F"/>
    <w:rsid w:val="39FD5585"/>
    <w:rsid w:val="3A0D241C"/>
    <w:rsid w:val="3A1A5808"/>
    <w:rsid w:val="3A2A62F1"/>
    <w:rsid w:val="3A2B463D"/>
    <w:rsid w:val="3A386A14"/>
    <w:rsid w:val="3A3C0A2C"/>
    <w:rsid w:val="3A453174"/>
    <w:rsid w:val="3A5133D0"/>
    <w:rsid w:val="3A52381C"/>
    <w:rsid w:val="3A58654F"/>
    <w:rsid w:val="3A687E26"/>
    <w:rsid w:val="3A7C1BE1"/>
    <w:rsid w:val="3A804B9A"/>
    <w:rsid w:val="3A830B2E"/>
    <w:rsid w:val="3A8322BE"/>
    <w:rsid w:val="3A8521B0"/>
    <w:rsid w:val="3A9F68CE"/>
    <w:rsid w:val="3ABD57F2"/>
    <w:rsid w:val="3AC16F61"/>
    <w:rsid w:val="3AC7029B"/>
    <w:rsid w:val="3AC7728A"/>
    <w:rsid w:val="3ACB380C"/>
    <w:rsid w:val="3ACD1DA9"/>
    <w:rsid w:val="3AE30266"/>
    <w:rsid w:val="3AE64634"/>
    <w:rsid w:val="3AE80991"/>
    <w:rsid w:val="3AF6205F"/>
    <w:rsid w:val="3B050D2B"/>
    <w:rsid w:val="3B117EE8"/>
    <w:rsid w:val="3B1D2FE9"/>
    <w:rsid w:val="3B1F566C"/>
    <w:rsid w:val="3B265D2B"/>
    <w:rsid w:val="3B273268"/>
    <w:rsid w:val="3B343BD6"/>
    <w:rsid w:val="3B384250"/>
    <w:rsid w:val="3B422645"/>
    <w:rsid w:val="3B497D60"/>
    <w:rsid w:val="3B4D0406"/>
    <w:rsid w:val="3B4E2EEA"/>
    <w:rsid w:val="3B4F3729"/>
    <w:rsid w:val="3B5C1C29"/>
    <w:rsid w:val="3B716F78"/>
    <w:rsid w:val="3B8725C8"/>
    <w:rsid w:val="3B9119EE"/>
    <w:rsid w:val="3BB54638"/>
    <w:rsid w:val="3BB71A45"/>
    <w:rsid w:val="3BBD376F"/>
    <w:rsid w:val="3BD50879"/>
    <w:rsid w:val="3BD62991"/>
    <w:rsid w:val="3BD95935"/>
    <w:rsid w:val="3BE55FE8"/>
    <w:rsid w:val="3BF34A5A"/>
    <w:rsid w:val="3BFD046C"/>
    <w:rsid w:val="3BFE376A"/>
    <w:rsid w:val="3C0812EB"/>
    <w:rsid w:val="3C264489"/>
    <w:rsid w:val="3C2A50F0"/>
    <w:rsid w:val="3C2B11E4"/>
    <w:rsid w:val="3C40286C"/>
    <w:rsid w:val="3C4373C4"/>
    <w:rsid w:val="3C5A0F14"/>
    <w:rsid w:val="3C6329C5"/>
    <w:rsid w:val="3C7050E2"/>
    <w:rsid w:val="3C720E5A"/>
    <w:rsid w:val="3C9508B9"/>
    <w:rsid w:val="3CAD3C40"/>
    <w:rsid w:val="3CB3794A"/>
    <w:rsid w:val="3CBE1861"/>
    <w:rsid w:val="3CC449FF"/>
    <w:rsid w:val="3CD06F1D"/>
    <w:rsid w:val="3CD9405C"/>
    <w:rsid w:val="3CDB019A"/>
    <w:rsid w:val="3CDF7E51"/>
    <w:rsid w:val="3CE82ECA"/>
    <w:rsid w:val="3CE83CA8"/>
    <w:rsid w:val="3CF672F5"/>
    <w:rsid w:val="3D11065F"/>
    <w:rsid w:val="3D112817"/>
    <w:rsid w:val="3D32517E"/>
    <w:rsid w:val="3D364DBF"/>
    <w:rsid w:val="3D43120E"/>
    <w:rsid w:val="3D43157A"/>
    <w:rsid w:val="3D5B4B1B"/>
    <w:rsid w:val="3D7778E1"/>
    <w:rsid w:val="3D7D0CF0"/>
    <w:rsid w:val="3D9A0A54"/>
    <w:rsid w:val="3DB17760"/>
    <w:rsid w:val="3DD64A42"/>
    <w:rsid w:val="3DE91F16"/>
    <w:rsid w:val="3DE9514C"/>
    <w:rsid w:val="3DFB5A2F"/>
    <w:rsid w:val="3DFF7691"/>
    <w:rsid w:val="3E0E5257"/>
    <w:rsid w:val="3E21293C"/>
    <w:rsid w:val="3E414576"/>
    <w:rsid w:val="3E5B0DA3"/>
    <w:rsid w:val="3E6A644A"/>
    <w:rsid w:val="3E704F26"/>
    <w:rsid w:val="3E711D4C"/>
    <w:rsid w:val="3E720C9E"/>
    <w:rsid w:val="3E7A3FF6"/>
    <w:rsid w:val="3E7F552E"/>
    <w:rsid w:val="3E861F2A"/>
    <w:rsid w:val="3E865C72"/>
    <w:rsid w:val="3E8E35FE"/>
    <w:rsid w:val="3E920965"/>
    <w:rsid w:val="3E92378D"/>
    <w:rsid w:val="3E9C5D1B"/>
    <w:rsid w:val="3EBC63BD"/>
    <w:rsid w:val="3EC57D85"/>
    <w:rsid w:val="3EC64F43"/>
    <w:rsid w:val="3ED41958"/>
    <w:rsid w:val="3ED81093"/>
    <w:rsid w:val="3EE020AB"/>
    <w:rsid w:val="3EED2A1A"/>
    <w:rsid w:val="3EF76DEB"/>
    <w:rsid w:val="3F147322"/>
    <w:rsid w:val="3F185CE9"/>
    <w:rsid w:val="3F1B7BDA"/>
    <w:rsid w:val="3F3E3276"/>
    <w:rsid w:val="3F47212A"/>
    <w:rsid w:val="3F4E216F"/>
    <w:rsid w:val="3F4F53D8"/>
    <w:rsid w:val="3F4F7231"/>
    <w:rsid w:val="3F621DA3"/>
    <w:rsid w:val="3F6C7DE3"/>
    <w:rsid w:val="3F7561FB"/>
    <w:rsid w:val="3F7647BE"/>
    <w:rsid w:val="3F7930E1"/>
    <w:rsid w:val="3F7B12CB"/>
    <w:rsid w:val="3F8175A9"/>
    <w:rsid w:val="3F8213B4"/>
    <w:rsid w:val="3F9110FB"/>
    <w:rsid w:val="3F970AC9"/>
    <w:rsid w:val="3F983970"/>
    <w:rsid w:val="3FA04C1F"/>
    <w:rsid w:val="3FA05CDE"/>
    <w:rsid w:val="3FAB3EF2"/>
    <w:rsid w:val="3FB64F82"/>
    <w:rsid w:val="3FB74B79"/>
    <w:rsid w:val="3FB857E0"/>
    <w:rsid w:val="3FB97FE1"/>
    <w:rsid w:val="3FC02BDF"/>
    <w:rsid w:val="3FC62C11"/>
    <w:rsid w:val="3FDD02E8"/>
    <w:rsid w:val="3FDD2A8F"/>
    <w:rsid w:val="3FDD483D"/>
    <w:rsid w:val="3FDD6F27"/>
    <w:rsid w:val="3FE10133"/>
    <w:rsid w:val="3FE43E1D"/>
    <w:rsid w:val="3FE76F82"/>
    <w:rsid w:val="3FEC0F24"/>
    <w:rsid w:val="3FF03FC2"/>
    <w:rsid w:val="3FF1653A"/>
    <w:rsid w:val="3FFB6537"/>
    <w:rsid w:val="400F586A"/>
    <w:rsid w:val="401A527D"/>
    <w:rsid w:val="40225FCC"/>
    <w:rsid w:val="402C43AB"/>
    <w:rsid w:val="402D0F85"/>
    <w:rsid w:val="402F0231"/>
    <w:rsid w:val="4031573F"/>
    <w:rsid w:val="403645F3"/>
    <w:rsid w:val="403B0B6F"/>
    <w:rsid w:val="40476418"/>
    <w:rsid w:val="40491F46"/>
    <w:rsid w:val="40651646"/>
    <w:rsid w:val="406D4B69"/>
    <w:rsid w:val="40750522"/>
    <w:rsid w:val="408847A8"/>
    <w:rsid w:val="40957851"/>
    <w:rsid w:val="40A01D69"/>
    <w:rsid w:val="40A86353"/>
    <w:rsid w:val="40B41A41"/>
    <w:rsid w:val="40CC47B9"/>
    <w:rsid w:val="40D422F9"/>
    <w:rsid w:val="40E41DEF"/>
    <w:rsid w:val="40F17FA1"/>
    <w:rsid w:val="40F2485A"/>
    <w:rsid w:val="40F410CA"/>
    <w:rsid w:val="40FC47E1"/>
    <w:rsid w:val="411C4B49"/>
    <w:rsid w:val="41345493"/>
    <w:rsid w:val="4138297C"/>
    <w:rsid w:val="41610010"/>
    <w:rsid w:val="41685D5D"/>
    <w:rsid w:val="417B430D"/>
    <w:rsid w:val="4188317F"/>
    <w:rsid w:val="418E79DF"/>
    <w:rsid w:val="41924FB9"/>
    <w:rsid w:val="41B34DF1"/>
    <w:rsid w:val="41B62002"/>
    <w:rsid w:val="41BB0480"/>
    <w:rsid w:val="41BF708C"/>
    <w:rsid w:val="41D91E7D"/>
    <w:rsid w:val="42041BE8"/>
    <w:rsid w:val="42097713"/>
    <w:rsid w:val="420D42E6"/>
    <w:rsid w:val="42132798"/>
    <w:rsid w:val="42186FAF"/>
    <w:rsid w:val="421A58D4"/>
    <w:rsid w:val="4226071D"/>
    <w:rsid w:val="423000FD"/>
    <w:rsid w:val="42436B6D"/>
    <w:rsid w:val="424C6F4F"/>
    <w:rsid w:val="424D5765"/>
    <w:rsid w:val="42507548"/>
    <w:rsid w:val="42552980"/>
    <w:rsid w:val="426217F9"/>
    <w:rsid w:val="42635B8E"/>
    <w:rsid w:val="4269685C"/>
    <w:rsid w:val="426D00FA"/>
    <w:rsid w:val="427D17F0"/>
    <w:rsid w:val="427E41C7"/>
    <w:rsid w:val="427E7BC1"/>
    <w:rsid w:val="42804160"/>
    <w:rsid w:val="428E5B12"/>
    <w:rsid w:val="42A41642"/>
    <w:rsid w:val="42BB2A5D"/>
    <w:rsid w:val="42C30D35"/>
    <w:rsid w:val="42CB6444"/>
    <w:rsid w:val="42F14175"/>
    <w:rsid w:val="42F27836"/>
    <w:rsid w:val="42FB3A6B"/>
    <w:rsid w:val="430A6E5A"/>
    <w:rsid w:val="43122A4F"/>
    <w:rsid w:val="43133B07"/>
    <w:rsid w:val="431C1B20"/>
    <w:rsid w:val="431F6C79"/>
    <w:rsid w:val="4323476C"/>
    <w:rsid w:val="4323717C"/>
    <w:rsid w:val="4330416F"/>
    <w:rsid w:val="433E2AAC"/>
    <w:rsid w:val="434F7A62"/>
    <w:rsid w:val="43670FED"/>
    <w:rsid w:val="436752A6"/>
    <w:rsid w:val="43690EAC"/>
    <w:rsid w:val="436E61ED"/>
    <w:rsid w:val="43784FA8"/>
    <w:rsid w:val="43804E58"/>
    <w:rsid w:val="43843FDD"/>
    <w:rsid w:val="4387567F"/>
    <w:rsid w:val="439253D7"/>
    <w:rsid w:val="439F0E69"/>
    <w:rsid w:val="43B43B06"/>
    <w:rsid w:val="43C01C71"/>
    <w:rsid w:val="43D7406A"/>
    <w:rsid w:val="43D877F5"/>
    <w:rsid w:val="43DC5799"/>
    <w:rsid w:val="43EA1140"/>
    <w:rsid w:val="43EB3248"/>
    <w:rsid w:val="43F42B17"/>
    <w:rsid w:val="4407632C"/>
    <w:rsid w:val="441A3D23"/>
    <w:rsid w:val="441E1F6C"/>
    <w:rsid w:val="44226CC2"/>
    <w:rsid w:val="44284DFE"/>
    <w:rsid w:val="443A5D06"/>
    <w:rsid w:val="443B29FC"/>
    <w:rsid w:val="443B4DCB"/>
    <w:rsid w:val="443D5D23"/>
    <w:rsid w:val="44444E8A"/>
    <w:rsid w:val="4464327A"/>
    <w:rsid w:val="446A3FBF"/>
    <w:rsid w:val="448E25A9"/>
    <w:rsid w:val="44953938"/>
    <w:rsid w:val="44A72960"/>
    <w:rsid w:val="44CA076D"/>
    <w:rsid w:val="44CC2B81"/>
    <w:rsid w:val="44D83825"/>
    <w:rsid w:val="44D8473A"/>
    <w:rsid w:val="44E37827"/>
    <w:rsid w:val="44E4666D"/>
    <w:rsid w:val="44E701A5"/>
    <w:rsid w:val="44E87F0C"/>
    <w:rsid w:val="45080D22"/>
    <w:rsid w:val="450E74EC"/>
    <w:rsid w:val="450F36EA"/>
    <w:rsid w:val="451340A4"/>
    <w:rsid w:val="45265484"/>
    <w:rsid w:val="45267A35"/>
    <w:rsid w:val="452B429C"/>
    <w:rsid w:val="452D74E0"/>
    <w:rsid w:val="45337226"/>
    <w:rsid w:val="45396AC7"/>
    <w:rsid w:val="4550115B"/>
    <w:rsid w:val="457C4123"/>
    <w:rsid w:val="45855844"/>
    <w:rsid w:val="458B69F6"/>
    <w:rsid w:val="458D5460"/>
    <w:rsid w:val="45905EAD"/>
    <w:rsid w:val="45A647C9"/>
    <w:rsid w:val="45C73FC5"/>
    <w:rsid w:val="45C943D0"/>
    <w:rsid w:val="45D95AA6"/>
    <w:rsid w:val="45DA6D30"/>
    <w:rsid w:val="45DE14B8"/>
    <w:rsid w:val="45E36925"/>
    <w:rsid w:val="461832BD"/>
    <w:rsid w:val="461E71F2"/>
    <w:rsid w:val="4626526C"/>
    <w:rsid w:val="463842DE"/>
    <w:rsid w:val="46386E53"/>
    <w:rsid w:val="4639036D"/>
    <w:rsid w:val="463A05A5"/>
    <w:rsid w:val="463A5557"/>
    <w:rsid w:val="46460291"/>
    <w:rsid w:val="464A0A81"/>
    <w:rsid w:val="46625A9D"/>
    <w:rsid w:val="4666004F"/>
    <w:rsid w:val="46707BA3"/>
    <w:rsid w:val="46766F1C"/>
    <w:rsid w:val="468F6164"/>
    <w:rsid w:val="4694235E"/>
    <w:rsid w:val="469506DA"/>
    <w:rsid w:val="469B1818"/>
    <w:rsid w:val="46A9385A"/>
    <w:rsid w:val="46AE0CE1"/>
    <w:rsid w:val="46CA4E0D"/>
    <w:rsid w:val="46E05A15"/>
    <w:rsid w:val="46E2098A"/>
    <w:rsid w:val="47037361"/>
    <w:rsid w:val="470B23CA"/>
    <w:rsid w:val="470E1E21"/>
    <w:rsid w:val="470F1ABE"/>
    <w:rsid w:val="471A1ED2"/>
    <w:rsid w:val="47227A3A"/>
    <w:rsid w:val="47260E83"/>
    <w:rsid w:val="472762D3"/>
    <w:rsid w:val="472D4D19"/>
    <w:rsid w:val="47454177"/>
    <w:rsid w:val="474B6530"/>
    <w:rsid w:val="474F15D8"/>
    <w:rsid w:val="475278BE"/>
    <w:rsid w:val="4754049B"/>
    <w:rsid w:val="47595FA4"/>
    <w:rsid w:val="475E7C0D"/>
    <w:rsid w:val="476415D8"/>
    <w:rsid w:val="47701558"/>
    <w:rsid w:val="477426A5"/>
    <w:rsid w:val="47857C94"/>
    <w:rsid w:val="47873BD6"/>
    <w:rsid w:val="478A3D1B"/>
    <w:rsid w:val="47B2336A"/>
    <w:rsid w:val="47B354DF"/>
    <w:rsid w:val="47BA4F6E"/>
    <w:rsid w:val="47D51BDC"/>
    <w:rsid w:val="47D7366E"/>
    <w:rsid w:val="47DC0EF2"/>
    <w:rsid w:val="47DC356D"/>
    <w:rsid w:val="47E12DA0"/>
    <w:rsid w:val="47EB386F"/>
    <w:rsid w:val="47F347CD"/>
    <w:rsid w:val="48057437"/>
    <w:rsid w:val="480E5EDB"/>
    <w:rsid w:val="48153998"/>
    <w:rsid w:val="481B23A6"/>
    <w:rsid w:val="482A083B"/>
    <w:rsid w:val="486C3D94"/>
    <w:rsid w:val="486F44A0"/>
    <w:rsid w:val="48826805"/>
    <w:rsid w:val="48900E0E"/>
    <w:rsid w:val="48A226AD"/>
    <w:rsid w:val="48B2699F"/>
    <w:rsid w:val="48B3438D"/>
    <w:rsid w:val="48B64853"/>
    <w:rsid w:val="48B67D8D"/>
    <w:rsid w:val="48BD345D"/>
    <w:rsid w:val="48C260C0"/>
    <w:rsid w:val="48C7608A"/>
    <w:rsid w:val="48F826E7"/>
    <w:rsid w:val="48FA020D"/>
    <w:rsid w:val="4902628A"/>
    <w:rsid w:val="490B2882"/>
    <w:rsid w:val="492412C0"/>
    <w:rsid w:val="492B68E3"/>
    <w:rsid w:val="493A38BD"/>
    <w:rsid w:val="49454B79"/>
    <w:rsid w:val="494E7D53"/>
    <w:rsid w:val="495E69EE"/>
    <w:rsid w:val="496376C0"/>
    <w:rsid w:val="496D4E83"/>
    <w:rsid w:val="497D5F20"/>
    <w:rsid w:val="49804BB7"/>
    <w:rsid w:val="4988006D"/>
    <w:rsid w:val="49935F13"/>
    <w:rsid w:val="499646A6"/>
    <w:rsid w:val="499F4D25"/>
    <w:rsid w:val="49A27FA8"/>
    <w:rsid w:val="49B26E0D"/>
    <w:rsid w:val="49BB06FB"/>
    <w:rsid w:val="49BC2A68"/>
    <w:rsid w:val="49DC1BF0"/>
    <w:rsid w:val="49DC3654"/>
    <w:rsid w:val="49E03630"/>
    <w:rsid w:val="49EA25C9"/>
    <w:rsid w:val="49EF5898"/>
    <w:rsid w:val="49F04BCB"/>
    <w:rsid w:val="49F11559"/>
    <w:rsid w:val="49FD451C"/>
    <w:rsid w:val="4A0444C5"/>
    <w:rsid w:val="4A1452FF"/>
    <w:rsid w:val="4A152F65"/>
    <w:rsid w:val="4A3E0914"/>
    <w:rsid w:val="4A3F1207"/>
    <w:rsid w:val="4A470F8E"/>
    <w:rsid w:val="4A4A158E"/>
    <w:rsid w:val="4A4B1595"/>
    <w:rsid w:val="4A57472F"/>
    <w:rsid w:val="4A715E3D"/>
    <w:rsid w:val="4A835FE1"/>
    <w:rsid w:val="4AB72982"/>
    <w:rsid w:val="4AD056CA"/>
    <w:rsid w:val="4AEC002A"/>
    <w:rsid w:val="4AF40C8C"/>
    <w:rsid w:val="4B1B2082"/>
    <w:rsid w:val="4B1F3F5B"/>
    <w:rsid w:val="4B34383E"/>
    <w:rsid w:val="4B497EFB"/>
    <w:rsid w:val="4B635F8B"/>
    <w:rsid w:val="4B65032C"/>
    <w:rsid w:val="4B712A43"/>
    <w:rsid w:val="4B75001F"/>
    <w:rsid w:val="4B82202B"/>
    <w:rsid w:val="4B920BD1"/>
    <w:rsid w:val="4B942E31"/>
    <w:rsid w:val="4BAF0419"/>
    <w:rsid w:val="4BB66175"/>
    <w:rsid w:val="4BBA1ED6"/>
    <w:rsid w:val="4BBE1692"/>
    <w:rsid w:val="4BCA0C2B"/>
    <w:rsid w:val="4BD65A7B"/>
    <w:rsid w:val="4BD765E4"/>
    <w:rsid w:val="4BDB41D0"/>
    <w:rsid w:val="4BE60043"/>
    <w:rsid w:val="4BEA4569"/>
    <w:rsid w:val="4BEF7DD1"/>
    <w:rsid w:val="4BFC604B"/>
    <w:rsid w:val="4C0B49E3"/>
    <w:rsid w:val="4C180EC0"/>
    <w:rsid w:val="4C333DA3"/>
    <w:rsid w:val="4C4B03CE"/>
    <w:rsid w:val="4C5E135D"/>
    <w:rsid w:val="4C696745"/>
    <w:rsid w:val="4C6D18EF"/>
    <w:rsid w:val="4C737423"/>
    <w:rsid w:val="4C885B30"/>
    <w:rsid w:val="4C955322"/>
    <w:rsid w:val="4C987A51"/>
    <w:rsid w:val="4C993ABE"/>
    <w:rsid w:val="4CAA2DCE"/>
    <w:rsid w:val="4CB46925"/>
    <w:rsid w:val="4CB96EE9"/>
    <w:rsid w:val="4CD66C96"/>
    <w:rsid w:val="4CDC5A3B"/>
    <w:rsid w:val="4CDF0E5D"/>
    <w:rsid w:val="4CE376D5"/>
    <w:rsid w:val="4D0D3FCB"/>
    <w:rsid w:val="4D12010F"/>
    <w:rsid w:val="4D20220D"/>
    <w:rsid w:val="4D280486"/>
    <w:rsid w:val="4D48526E"/>
    <w:rsid w:val="4D490CE6"/>
    <w:rsid w:val="4D547564"/>
    <w:rsid w:val="4D622825"/>
    <w:rsid w:val="4D671BE9"/>
    <w:rsid w:val="4D6C65CD"/>
    <w:rsid w:val="4D8217BA"/>
    <w:rsid w:val="4D950505"/>
    <w:rsid w:val="4D962179"/>
    <w:rsid w:val="4D984841"/>
    <w:rsid w:val="4D9C1BB4"/>
    <w:rsid w:val="4DA130D4"/>
    <w:rsid w:val="4DA41222"/>
    <w:rsid w:val="4DA8143A"/>
    <w:rsid w:val="4DAB1FDE"/>
    <w:rsid w:val="4DB87097"/>
    <w:rsid w:val="4DBA0DBC"/>
    <w:rsid w:val="4DC65A69"/>
    <w:rsid w:val="4DE44FE8"/>
    <w:rsid w:val="4DEF11A1"/>
    <w:rsid w:val="4DF4626D"/>
    <w:rsid w:val="4DFC20A2"/>
    <w:rsid w:val="4DFC2C44"/>
    <w:rsid w:val="4DFF1B97"/>
    <w:rsid w:val="4E020B1B"/>
    <w:rsid w:val="4E043535"/>
    <w:rsid w:val="4E13324D"/>
    <w:rsid w:val="4E1362FB"/>
    <w:rsid w:val="4E25360E"/>
    <w:rsid w:val="4E2719FC"/>
    <w:rsid w:val="4E5C49CB"/>
    <w:rsid w:val="4E5E12F1"/>
    <w:rsid w:val="4E62045F"/>
    <w:rsid w:val="4E783F31"/>
    <w:rsid w:val="4E847AF1"/>
    <w:rsid w:val="4E870795"/>
    <w:rsid w:val="4E8F5CE6"/>
    <w:rsid w:val="4EAC689C"/>
    <w:rsid w:val="4EB25AA5"/>
    <w:rsid w:val="4EC70B92"/>
    <w:rsid w:val="4ECC61A8"/>
    <w:rsid w:val="4ED96B17"/>
    <w:rsid w:val="4EDD2691"/>
    <w:rsid w:val="4EDE5EDB"/>
    <w:rsid w:val="4EE96D5A"/>
    <w:rsid w:val="4EEC05F8"/>
    <w:rsid w:val="4EF911E3"/>
    <w:rsid w:val="4EF94046"/>
    <w:rsid w:val="4F0048E8"/>
    <w:rsid w:val="4F0C760F"/>
    <w:rsid w:val="4F15188C"/>
    <w:rsid w:val="4F1B712F"/>
    <w:rsid w:val="4F255836"/>
    <w:rsid w:val="4F29165C"/>
    <w:rsid w:val="4F2944F1"/>
    <w:rsid w:val="4F3A5875"/>
    <w:rsid w:val="4F3F24FD"/>
    <w:rsid w:val="4F4F67C3"/>
    <w:rsid w:val="4F512B51"/>
    <w:rsid w:val="4F580453"/>
    <w:rsid w:val="4F647CAE"/>
    <w:rsid w:val="4F7A20A8"/>
    <w:rsid w:val="4F7F4759"/>
    <w:rsid w:val="4F8A3560"/>
    <w:rsid w:val="4F8A6E9D"/>
    <w:rsid w:val="4FA00EA1"/>
    <w:rsid w:val="4FA7410F"/>
    <w:rsid w:val="4FB10DBD"/>
    <w:rsid w:val="4FCB3402"/>
    <w:rsid w:val="4FD02150"/>
    <w:rsid w:val="4FD47514"/>
    <w:rsid w:val="4FD55530"/>
    <w:rsid w:val="4FD65E48"/>
    <w:rsid w:val="4FDC31A9"/>
    <w:rsid w:val="4FE15CB0"/>
    <w:rsid w:val="4FE63299"/>
    <w:rsid w:val="4FF525AA"/>
    <w:rsid w:val="4FF63DCE"/>
    <w:rsid w:val="4FF85503"/>
    <w:rsid w:val="500A5543"/>
    <w:rsid w:val="501516A2"/>
    <w:rsid w:val="501D01A2"/>
    <w:rsid w:val="501D19C7"/>
    <w:rsid w:val="502344EE"/>
    <w:rsid w:val="503340AE"/>
    <w:rsid w:val="50364C2C"/>
    <w:rsid w:val="50372FFC"/>
    <w:rsid w:val="50381A05"/>
    <w:rsid w:val="504305E6"/>
    <w:rsid w:val="504B393E"/>
    <w:rsid w:val="504C6018"/>
    <w:rsid w:val="50500C93"/>
    <w:rsid w:val="50502E09"/>
    <w:rsid w:val="505C17AE"/>
    <w:rsid w:val="506E1264"/>
    <w:rsid w:val="507408A5"/>
    <w:rsid w:val="50812D7E"/>
    <w:rsid w:val="508B7406"/>
    <w:rsid w:val="509F73B0"/>
    <w:rsid w:val="50B0172B"/>
    <w:rsid w:val="50B26A6B"/>
    <w:rsid w:val="50B4221A"/>
    <w:rsid w:val="50C20F4E"/>
    <w:rsid w:val="50D40C4B"/>
    <w:rsid w:val="50D77086"/>
    <w:rsid w:val="50E46F54"/>
    <w:rsid w:val="50E52814"/>
    <w:rsid w:val="50F07DF4"/>
    <w:rsid w:val="50F973B5"/>
    <w:rsid w:val="50FF7A17"/>
    <w:rsid w:val="5100482F"/>
    <w:rsid w:val="511B3845"/>
    <w:rsid w:val="512A7664"/>
    <w:rsid w:val="51393091"/>
    <w:rsid w:val="513E4BAF"/>
    <w:rsid w:val="5144267E"/>
    <w:rsid w:val="514D07CA"/>
    <w:rsid w:val="51604849"/>
    <w:rsid w:val="516E79EA"/>
    <w:rsid w:val="51735001"/>
    <w:rsid w:val="51747844"/>
    <w:rsid w:val="51777F08"/>
    <w:rsid w:val="517F7AC8"/>
    <w:rsid w:val="5189484F"/>
    <w:rsid w:val="518F170F"/>
    <w:rsid w:val="51912DDA"/>
    <w:rsid w:val="51915487"/>
    <w:rsid w:val="519354F5"/>
    <w:rsid w:val="51A96C75"/>
    <w:rsid w:val="51AB47E1"/>
    <w:rsid w:val="51B047FE"/>
    <w:rsid w:val="51B204B9"/>
    <w:rsid w:val="51B56296"/>
    <w:rsid w:val="51C72834"/>
    <w:rsid w:val="51D11D27"/>
    <w:rsid w:val="51E74EF3"/>
    <w:rsid w:val="520008D8"/>
    <w:rsid w:val="5201260D"/>
    <w:rsid w:val="520C2961"/>
    <w:rsid w:val="5216600B"/>
    <w:rsid w:val="5223678D"/>
    <w:rsid w:val="522657D8"/>
    <w:rsid w:val="522F500B"/>
    <w:rsid w:val="523852D6"/>
    <w:rsid w:val="523E768F"/>
    <w:rsid w:val="5242577E"/>
    <w:rsid w:val="52592449"/>
    <w:rsid w:val="525A1D1D"/>
    <w:rsid w:val="526D7CA2"/>
    <w:rsid w:val="527076ED"/>
    <w:rsid w:val="52727066"/>
    <w:rsid w:val="52783884"/>
    <w:rsid w:val="52860D64"/>
    <w:rsid w:val="5292552E"/>
    <w:rsid w:val="52966AAF"/>
    <w:rsid w:val="52A558E3"/>
    <w:rsid w:val="52AC28BC"/>
    <w:rsid w:val="52B05067"/>
    <w:rsid w:val="52CC23E6"/>
    <w:rsid w:val="52D7787C"/>
    <w:rsid w:val="52DE5C37"/>
    <w:rsid w:val="52E07238"/>
    <w:rsid w:val="52EA11D5"/>
    <w:rsid w:val="52FB52AE"/>
    <w:rsid w:val="52FC40BD"/>
    <w:rsid w:val="53010E60"/>
    <w:rsid w:val="5301108F"/>
    <w:rsid w:val="530254EA"/>
    <w:rsid w:val="531D3476"/>
    <w:rsid w:val="53210238"/>
    <w:rsid w:val="532366DF"/>
    <w:rsid w:val="5329120F"/>
    <w:rsid w:val="53355CDF"/>
    <w:rsid w:val="534575E0"/>
    <w:rsid w:val="534A7FE3"/>
    <w:rsid w:val="536F68C7"/>
    <w:rsid w:val="5382736B"/>
    <w:rsid w:val="53901867"/>
    <w:rsid w:val="539E491F"/>
    <w:rsid w:val="53A771E4"/>
    <w:rsid w:val="53B24EEA"/>
    <w:rsid w:val="53B97E84"/>
    <w:rsid w:val="53BF4F14"/>
    <w:rsid w:val="53C72845"/>
    <w:rsid w:val="53CA6414"/>
    <w:rsid w:val="53CC2CC8"/>
    <w:rsid w:val="53D00E36"/>
    <w:rsid w:val="53D0574A"/>
    <w:rsid w:val="53D31D47"/>
    <w:rsid w:val="53DD499C"/>
    <w:rsid w:val="53E21FCA"/>
    <w:rsid w:val="53E92CA6"/>
    <w:rsid w:val="53EF09CA"/>
    <w:rsid w:val="53F014B1"/>
    <w:rsid w:val="53FA37B7"/>
    <w:rsid w:val="5406215C"/>
    <w:rsid w:val="5408182A"/>
    <w:rsid w:val="54125F57"/>
    <w:rsid w:val="541703C2"/>
    <w:rsid w:val="54187343"/>
    <w:rsid w:val="541C31AF"/>
    <w:rsid w:val="5420466B"/>
    <w:rsid w:val="542F4AAF"/>
    <w:rsid w:val="5433414C"/>
    <w:rsid w:val="54442C85"/>
    <w:rsid w:val="54465F20"/>
    <w:rsid w:val="545D4199"/>
    <w:rsid w:val="54831B18"/>
    <w:rsid w:val="549502FD"/>
    <w:rsid w:val="549B1310"/>
    <w:rsid w:val="549C03CB"/>
    <w:rsid w:val="54A6749B"/>
    <w:rsid w:val="54AB09A6"/>
    <w:rsid w:val="54AF20D4"/>
    <w:rsid w:val="54B72A99"/>
    <w:rsid w:val="54BC49A0"/>
    <w:rsid w:val="54D51764"/>
    <w:rsid w:val="54E05D49"/>
    <w:rsid w:val="54E8205E"/>
    <w:rsid w:val="54FE1085"/>
    <w:rsid w:val="55022976"/>
    <w:rsid w:val="55067F3A"/>
    <w:rsid w:val="551408A9"/>
    <w:rsid w:val="55180399"/>
    <w:rsid w:val="551C096F"/>
    <w:rsid w:val="55240097"/>
    <w:rsid w:val="55280F4B"/>
    <w:rsid w:val="55282615"/>
    <w:rsid w:val="552C3D46"/>
    <w:rsid w:val="55483D0E"/>
    <w:rsid w:val="554D13EE"/>
    <w:rsid w:val="554F18E1"/>
    <w:rsid w:val="55546EF7"/>
    <w:rsid w:val="555D3FFE"/>
    <w:rsid w:val="557936E5"/>
    <w:rsid w:val="557945E4"/>
    <w:rsid w:val="557B26D6"/>
    <w:rsid w:val="559341A6"/>
    <w:rsid w:val="55BD2CEE"/>
    <w:rsid w:val="55C57ADE"/>
    <w:rsid w:val="55CA4D19"/>
    <w:rsid w:val="55CC1183"/>
    <w:rsid w:val="55CD2CA6"/>
    <w:rsid w:val="55CE22F2"/>
    <w:rsid w:val="55E90035"/>
    <w:rsid w:val="55FA1A6B"/>
    <w:rsid w:val="561072C2"/>
    <w:rsid w:val="56160365"/>
    <w:rsid w:val="561717F3"/>
    <w:rsid w:val="5624351D"/>
    <w:rsid w:val="56266D7D"/>
    <w:rsid w:val="565047BF"/>
    <w:rsid w:val="56552F27"/>
    <w:rsid w:val="5659369F"/>
    <w:rsid w:val="566E6821"/>
    <w:rsid w:val="568F2F95"/>
    <w:rsid w:val="569577C7"/>
    <w:rsid w:val="569C4DDB"/>
    <w:rsid w:val="56B5345C"/>
    <w:rsid w:val="56C23211"/>
    <w:rsid w:val="56C7141F"/>
    <w:rsid w:val="56D53469"/>
    <w:rsid w:val="56DD747D"/>
    <w:rsid w:val="56E37DCE"/>
    <w:rsid w:val="56EE039D"/>
    <w:rsid w:val="56F16387"/>
    <w:rsid w:val="56F96728"/>
    <w:rsid w:val="56FD4CC1"/>
    <w:rsid w:val="57063B57"/>
    <w:rsid w:val="570861EB"/>
    <w:rsid w:val="571F273F"/>
    <w:rsid w:val="57203535"/>
    <w:rsid w:val="572F7A73"/>
    <w:rsid w:val="574D3BFE"/>
    <w:rsid w:val="57511940"/>
    <w:rsid w:val="575B5634"/>
    <w:rsid w:val="575D7EC0"/>
    <w:rsid w:val="576138FC"/>
    <w:rsid w:val="57672F12"/>
    <w:rsid w:val="578736CD"/>
    <w:rsid w:val="578739BB"/>
    <w:rsid w:val="57893C0F"/>
    <w:rsid w:val="578A4E52"/>
    <w:rsid w:val="5798256F"/>
    <w:rsid w:val="579840C7"/>
    <w:rsid w:val="57B819BF"/>
    <w:rsid w:val="57C2221D"/>
    <w:rsid w:val="57C85CE0"/>
    <w:rsid w:val="57CC4F2E"/>
    <w:rsid w:val="57D83E10"/>
    <w:rsid w:val="57E1536E"/>
    <w:rsid w:val="57F26D57"/>
    <w:rsid w:val="57FD673B"/>
    <w:rsid w:val="58093FC9"/>
    <w:rsid w:val="580F253B"/>
    <w:rsid w:val="581375D9"/>
    <w:rsid w:val="583A7FA8"/>
    <w:rsid w:val="583E35C6"/>
    <w:rsid w:val="584E40D2"/>
    <w:rsid w:val="58544955"/>
    <w:rsid w:val="58566AE7"/>
    <w:rsid w:val="585962B5"/>
    <w:rsid w:val="585C4D9F"/>
    <w:rsid w:val="585F5B75"/>
    <w:rsid w:val="5866766D"/>
    <w:rsid w:val="587A4269"/>
    <w:rsid w:val="58825B29"/>
    <w:rsid w:val="589A5A5F"/>
    <w:rsid w:val="58A3441E"/>
    <w:rsid w:val="58B303D9"/>
    <w:rsid w:val="58B94375"/>
    <w:rsid w:val="58BA4A70"/>
    <w:rsid w:val="58C17CFE"/>
    <w:rsid w:val="58D95E36"/>
    <w:rsid w:val="59017396"/>
    <w:rsid w:val="5902444F"/>
    <w:rsid w:val="5911673E"/>
    <w:rsid w:val="591B5CBF"/>
    <w:rsid w:val="59217D07"/>
    <w:rsid w:val="5927514C"/>
    <w:rsid w:val="592858A0"/>
    <w:rsid w:val="592941F7"/>
    <w:rsid w:val="593869CA"/>
    <w:rsid w:val="59394528"/>
    <w:rsid w:val="593B4804"/>
    <w:rsid w:val="594448C0"/>
    <w:rsid w:val="594F610B"/>
    <w:rsid w:val="595105F8"/>
    <w:rsid w:val="59600EE5"/>
    <w:rsid w:val="59634BDC"/>
    <w:rsid w:val="59690770"/>
    <w:rsid w:val="598D69D9"/>
    <w:rsid w:val="599228E0"/>
    <w:rsid w:val="59941B20"/>
    <w:rsid w:val="599A4004"/>
    <w:rsid w:val="599B086D"/>
    <w:rsid w:val="59A2180E"/>
    <w:rsid w:val="59B52556"/>
    <w:rsid w:val="59B927ED"/>
    <w:rsid w:val="59BB12F3"/>
    <w:rsid w:val="59BF5C8E"/>
    <w:rsid w:val="59C75EEA"/>
    <w:rsid w:val="59D44CEE"/>
    <w:rsid w:val="59D97EC2"/>
    <w:rsid w:val="59DE3A54"/>
    <w:rsid w:val="59E27409"/>
    <w:rsid w:val="59E52BA1"/>
    <w:rsid w:val="59ED36DC"/>
    <w:rsid w:val="59FB29AF"/>
    <w:rsid w:val="59FC781F"/>
    <w:rsid w:val="59FE7432"/>
    <w:rsid w:val="5A026F22"/>
    <w:rsid w:val="5A221372"/>
    <w:rsid w:val="5A296BA4"/>
    <w:rsid w:val="5A3526A3"/>
    <w:rsid w:val="5A3C11EF"/>
    <w:rsid w:val="5A412E86"/>
    <w:rsid w:val="5A43745D"/>
    <w:rsid w:val="5A4E41C1"/>
    <w:rsid w:val="5A6210CC"/>
    <w:rsid w:val="5A621727"/>
    <w:rsid w:val="5A7348C9"/>
    <w:rsid w:val="5A7521D8"/>
    <w:rsid w:val="5A7E7218"/>
    <w:rsid w:val="5A9725BE"/>
    <w:rsid w:val="5AA51FE5"/>
    <w:rsid w:val="5AC34ADF"/>
    <w:rsid w:val="5AC76508"/>
    <w:rsid w:val="5AD45AFB"/>
    <w:rsid w:val="5AFC1624"/>
    <w:rsid w:val="5B0373F5"/>
    <w:rsid w:val="5B095493"/>
    <w:rsid w:val="5B115BA8"/>
    <w:rsid w:val="5B235AE9"/>
    <w:rsid w:val="5B246A53"/>
    <w:rsid w:val="5B2A2BD4"/>
    <w:rsid w:val="5B316CA1"/>
    <w:rsid w:val="5B370E4D"/>
    <w:rsid w:val="5B416E74"/>
    <w:rsid w:val="5B437EA2"/>
    <w:rsid w:val="5B527A35"/>
    <w:rsid w:val="5B534ED1"/>
    <w:rsid w:val="5B814D34"/>
    <w:rsid w:val="5B8859A0"/>
    <w:rsid w:val="5B9F7743"/>
    <w:rsid w:val="5BB522B5"/>
    <w:rsid w:val="5BB94B97"/>
    <w:rsid w:val="5BBA4618"/>
    <w:rsid w:val="5BD352F0"/>
    <w:rsid w:val="5BD448EE"/>
    <w:rsid w:val="5BE32D83"/>
    <w:rsid w:val="5BE92E35"/>
    <w:rsid w:val="5BF84DDB"/>
    <w:rsid w:val="5C0C22DA"/>
    <w:rsid w:val="5C0F3B78"/>
    <w:rsid w:val="5C111338"/>
    <w:rsid w:val="5C3A6E47"/>
    <w:rsid w:val="5C5D53FB"/>
    <w:rsid w:val="5C6210C9"/>
    <w:rsid w:val="5C691941"/>
    <w:rsid w:val="5C7165E1"/>
    <w:rsid w:val="5C7919DF"/>
    <w:rsid w:val="5C7A1FAE"/>
    <w:rsid w:val="5C885591"/>
    <w:rsid w:val="5C8C4ACF"/>
    <w:rsid w:val="5CAF2C65"/>
    <w:rsid w:val="5CB35D47"/>
    <w:rsid w:val="5CC85C68"/>
    <w:rsid w:val="5CD050B5"/>
    <w:rsid w:val="5CEC3A93"/>
    <w:rsid w:val="5CEF405D"/>
    <w:rsid w:val="5CF12A8E"/>
    <w:rsid w:val="5CFE5040"/>
    <w:rsid w:val="5CFF599B"/>
    <w:rsid w:val="5D052FD7"/>
    <w:rsid w:val="5D1341B2"/>
    <w:rsid w:val="5D251093"/>
    <w:rsid w:val="5D287B54"/>
    <w:rsid w:val="5D3047D1"/>
    <w:rsid w:val="5D4723BF"/>
    <w:rsid w:val="5D494018"/>
    <w:rsid w:val="5D541610"/>
    <w:rsid w:val="5D6B14A2"/>
    <w:rsid w:val="5D6F7055"/>
    <w:rsid w:val="5D777911"/>
    <w:rsid w:val="5D8101DF"/>
    <w:rsid w:val="5D9B0E6A"/>
    <w:rsid w:val="5D9E1AED"/>
    <w:rsid w:val="5D9E4E16"/>
    <w:rsid w:val="5D9F097F"/>
    <w:rsid w:val="5DAB167E"/>
    <w:rsid w:val="5DB03139"/>
    <w:rsid w:val="5DB83D3A"/>
    <w:rsid w:val="5DBA0135"/>
    <w:rsid w:val="5DCD5DE5"/>
    <w:rsid w:val="5DD437EF"/>
    <w:rsid w:val="5DF16302"/>
    <w:rsid w:val="5DF94AE0"/>
    <w:rsid w:val="5DFF4B46"/>
    <w:rsid w:val="5E27164D"/>
    <w:rsid w:val="5E3653EC"/>
    <w:rsid w:val="5E3B0A10"/>
    <w:rsid w:val="5E424B71"/>
    <w:rsid w:val="5E513D69"/>
    <w:rsid w:val="5E5B6A34"/>
    <w:rsid w:val="5E693A13"/>
    <w:rsid w:val="5E7128C8"/>
    <w:rsid w:val="5E7B7098"/>
    <w:rsid w:val="5E881A80"/>
    <w:rsid w:val="5EA70098"/>
    <w:rsid w:val="5EB51AB3"/>
    <w:rsid w:val="5EC33621"/>
    <w:rsid w:val="5EC43A2E"/>
    <w:rsid w:val="5ED75BF1"/>
    <w:rsid w:val="5EF31C67"/>
    <w:rsid w:val="5EF4004E"/>
    <w:rsid w:val="5EF96ED2"/>
    <w:rsid w:val="5EFA106E"/>
    <w:rsid w:val="5EFF06CD"/>
    <w:rsid w:val="5EFF08E7"/>
    <w:rsid w:val="5F010576"/>
    <w:rsid w:val="5F0251FA"/>
    <w:rsid w:val="5F261904"/>
    <w:rsid w:val="5F3062DF"/>
    <w:rsid w:val="5F366419"/>
    <w:rsid w:val="5F4475AE"/>
    <w:rsid w:val="5F4A6799"/>
    <w:rsid w:val="5F520AB8"/>
    <w:rsid w:val="5F685A79"/>
    <w:rsid w:val="5F6C2424"/>
    <w:rsid w:val="5F784CF1"/>
    <w:rsid w:val="5F946A7C"/>
    <w:rsid w:val="5FBA79B0"/>
    <w:rsid w:val="5FBB029F"/>
    <w:rsid w:val="5FC61813"/>
    <w:rsid w:val="5FD57CF6"/>
    <w:rsid w:val="5FDA449D"/>
    <w:rsid w:val="5FE80968"/>
    <w:rsid w:val="5FEC48FC"/>
    <w:rsid w:val="5FF50EAD"/>
    <w:rsid w:val="5FF55D92"/>
    <w:rsid w:val="5FFF554A"/>
    <w:rsid w:val="60030525"/>
    <w:rsid w:val="600676E3"/>
    <w:rsid w:val="60077556"/>
    <w:rsid w:val="60111CAB"/>
    <w:rsid w:val="601C5687"/>
    <w:rsid w:val="601D636B"/>
    <w:rsid w:val="602B7B91"/>
    <w:rsid w:val="602D6CC3"/>
    <w:rsid w:val="602F2C44"/>
    <w:rsid w:val="60391C4C"/>
    <w:rsid w:val="603B021E"/>
    <w:rsid w:val="604C38C0"/>
    <w:rsid w:val="60584683"/>
    <w:rsid w:val="605E3C41"/>
    <w:rsid w:val="60647840"/>
    <w:rsid w:val="606F768E"/>
    <w:rsid w:val="608D00E3"/>
    <w:rsid w:val="60992490"/>
    <w:rsid w:val="609E3C6B"/>
    <w:rsid w:val="60A1419A"/>
    <w:rsid w:val="60A43A47"/>
    <w:rsid w:val="60C33C2B"/>
    <w:rsid w:val="60C44977"/>
    <w:rsid w:val="60E530CD"/>
    <w:rsid w:val="60E97ACC"/>
    <w:rsid w:val="61025A59"/>
    <w:rsid w:val="61160E7E"/>
    <w:rsid w:val="611A7247"/>
    <w:rsid w:val="612029DF"/>
    <w:rsid w:val="61251748"/>
    <w:rsid w:val="612B536C"/>
    <w:rsid w:val="61311E12"/>
    <w:rsid w:val="613A2575"/>
    <w:rsid w:val="613A51F3"/>
    <w:rsid w:val="614147D4"/>
    <w:rsid w:val="61637659"/>
    <w:rsid w:val="617C570B"/>
    <w:rsid w:val="61817FB0"/>
    <w:rsid w:val="61840B64"/>
    <w:rsid w:val="61853804"/>
    <w:rsid w:val="619B53CA"/>
    <w:rsid w:val="61A56DFA"/>
    <w:rsid w:val="61AB5C8F"/>
    <w:rsid w:val="61CB22EF"/>
    <w:rsid w:val="61CD250B"/>
    <w:rsid w:val="61DC654E"/>
    <w:rsid w:val="61DE11B3"/>
    <w:rsid w:val="61EB5F1D"/>
    <w:rsid w:val="61FC06FB"/>
    <w:rsid w:val="62117133"/>
    <w:rsid w:val="62167684"/>
    <w:rsid w:val="621B5631"/>
    <w:rsid w:val="621F3644"/>
    <w:rsid w:val="6230510D"/>
    <w:rsid w:val="626B762E"/>
    <w:rsid w:val="626D5F91"/>
    <w:rsid w:val="627E7D9D"/>
    <w:rsid w:val="628232F6"/>
    <w:rsid w:val="628407FE"/>
    <w:rsid w:val="62880405"/>
    <w:rsid w:val="629073C4"/>
    <w:rsid w:val="62996318"/>
    <w:rsid w:val="629C7308"/>
    <w:rsid w:val="62AA6D2C"/>
    <w:rsid w:val="62B0179B"/>
    <w:rsid w:val="62B9550B"/>
    <w:rsid w:val="62CC094F"/>
    <w:rsid w:val="62E95123"/>
    <w:rsid w:val="630334E9"/>
    <w:rsid w:val="6313173E"/>
    <w:rsid w:val="631B72A6"/>
    <w:rsid w:val="63242B23"/>
    <w:rsid w:val="63294492"/>
    <w:rsid w:val="635C73A1"/>
    <w:rsid w:val="63743838"/>
    <w:rsid w:val="637455EF"/>
    <w:rsid w:val="637509AF"/>
    <w:rsid w:val="637A32B6"/>
    <w:rsid w:val="63844E4C"/>
    <w:rsid w:val="638F4A5D"/>
    <w:rsid w:val="63A23228"/>
    <w:rsid w:val="63A8314E"/>
    <w:rsid w:val="63AB5D44"/>
    <w:rsid w:val="63AC705A"/>
    <w:rsid w:val="63B04CF8"/>
    <w:rsid w:val="63BA7188"/>
    <w:rsid w:val="63DF59C2"/>
    <w:rsid w:val="63E6136F"/>
    <w:rsid w:val="63EA625B"/>
    <w:rsid w:val="63F91396"/>
    <w:rsid w:val="63FC6F31"/>
    <w:rsid w:val="642E4F72"/>
    <w:rsid w:val="64392087"/>
    <w:rsid w:val="643C5726"/>
    <w:rsid w:val="64475558"/>
    <w:rsid w:val="64591E34"/>
    <w:rsid w:val="646469D4"/>
    <w:rsid w:val="647A419D"/>
    <w:rsid w:val="64813139"/>
    <w:rsid w:val="64846083"/>
    <w:rsid w:val="64851089"/>
    <w:rsid w:val="64983CC9"/>
    <w:rsid w:val="64A73F2B"/>
    <w:rsid w:val="64A82A93"/>
    <w:rsid w:val="64AB6F55"/>
    <w:rsid w:val="64AF414A"/>
    <w:rsid w:val="64B109D5"/>
    <w:rsid w:val="64B477AE"/>
    <w:rsid w:val="64CA0F84"/>
    <w:rsid w:val="64E43E7F"/>
    <w:rsid w:val="64EA5182"/>
    <w:rsid w:val="64F8151B"/>
    <w:rsid w:val="64FE5C71"/>
    <w:rsid w:val="65107E36"/>
    <w:rsid w:val="651D7774"/>
    <w:rsid w:val="654E476E"/>
    <w:rsid w:val="65640A91"/>
    <w:rsid w:val="657B11CD"/>
    <w:rsid w:val="6582705D"/>
    <w:rsid w:val="658A6BCD"/>
    <w:rsid w:val="65942372"/>
    <w:rsid w:val="659D0782"/>
    <w:rsid w:val="659D7C90"/>
    <w:rsid w:val="65D04EEB"/>
    <w:rsid w:val="65D32FDF"/>
    <w:rsid w:val="65D424B9"/>
    <w:rsid w:val="65D976D1"/>
    <w:rsid w:val="66001BA4"/>
    <w:rsid w:val="66025947"/>
    <w:rsid w:val="661A6CA5"/>
    <w:rsid w:val="662F1A2F"/>
    <w:rsid w:val="663C7469"/>
    <w:rsid w:val="6651279A"/>
    <w:rsid w:val="665E3005"/>
    <w:rsid w:val="665F6454"/>
    <w:rsid w:val="66686C04"/>
    <w:rsid w:val="66882EA5"/>
    <w:rsid w:val="66884C53"/>
    <w:rsid w:val="669064F3"/>
    <w:rsid w:val="669D39BC"/>
    <w:rsid w:val="66A62086"/>
    <w:rsid w:val="66B07D06"/>
    <w:rsid w:val="66B8269C"/>
    <w:rsid w:val="66DA6749"/>
    <w:rsid w:val="66E77BCB"/>
    <w:rsid w:val="66F94ADD"/>
    <w:rsid w:val="66FE6CC3"/>
    <w:rsid w:val="67191D4F"/>
    <w:rsid w:val="671B7578"/>
    <w:rsid w:val="671D46C8"/>
    <w:rsid w:val="671F22A3"/>
    <w:rsid w:val="67266031"/>
    <w:rsid w:val="67291A35"/>
    <w:rsid w:val="673669FF"/>
    <w:rsid w:val="67393CB7"/>
    <w:rsid w:val="673C6439"/>
    <w:rsid w:val="674A015A"/>
    <w:rsid w:val="676A0B2B"/>
    <w:rsid w:val="676C3006"/>
    <w:rsid w:val="67827A7F"/>
    <w:rsid w:val="67851192"/>
    <w:rsid w:val="67A54CA2"/>
    <w:rsid w:val="67A65546"/>
    <w:rsid w:val="67A667D3"/>
    <w:rsid w:val="67A74C82"/>
    <w:rsid w:val="67A95111"/>
    <w:rsid w:val="67C365BF"/>
    <w:rsid w:val="67D4225B"/>
    <w:rsid w:val="67D8341E"/>
    <w:rsid w:val="67E46FF5"/>
    <w:rsid w:val="67ED6C16"/>
    <w:rsid w:val="680A6C82"/>
    <w:rsid w:val="680E607A"/>
    <w:rsid w:val="681B3FAD"/>
    <w:rsid w:val="681E0A45"/>
    <w:rsid w:val="6824034C"/>
    <w:rsid w:val="683706DE"/>
    <w:rsid w:val="683C4EA8"/>
    <w:rsid w:val="683E3347"/>
    <w:rsid w:val="6841155D"/>
    <w:rsid w:val="68444BA9"/>
    <w:rsid w:val="684E469A"/>
    <w:rsid w:val="68501E11"/>
    <w:rsid w:val="685E57CE"/>
    <w:rsid w:val="685F4AA0"/>
    <w:rsid w:val="68623D3F"/>
    <w:rsid w:val="686C7E0A"/>
    <w:rsid w:val="687416FD"/>
    <w:rsid w:val="68757042"/>
    <w:rsid w:val="687D6111"/>
    <w:rsid w:val="68817BAC"/>
    <w:rsid w:val="6886166B"/>
    <w:rsid w:val="68954A3C"/>
    <w:rsid w:val="689B0DF8"/>
    <w:rsid w:val="689B3951"/>
    <w:rsid w:val="68A87665"/>
    <w:rsid w:val="68A950FB"/>
    <w:rsid w:val="68A964DB"/>
    <w:rsid w:val="68B5096E"/>
    <w:rsid w:val="68B81BD2"/>
    <w:rsid w:val="68CC10BC"/>
    <w:rsid w:val="68D04C43"/>
    <w:rsid w:val="68D128E1"/>
    <w:rsid w:val="68EE1FD2"/>
    <w:rsid w:val="68F44B09"/>
    <w:rsid w:val="68FA1B9A"/>
    <w:rsid w:val="69197DE4"/>
    <w:rsid w:val="691E3D24"/>
    <w:rsid w:val="692D08A7"/>
    <w:rsid w:val="69307272"/>
    <w:rsid w:val="694E046E"/>
    <w:rsid w:val="69652D27"/>
    <w:rsid w:val="696A09F3"/>
    <w:rsid w:val="69782D5D"/>
    <w:rsid w:val="6981433F"/>
    <w:rsid w:val="69952A0C"/>
    <w:rsid w:val="699A1218"/>
    <w:rsid w:val="699B4BDB"/>
    <w:rsid w:val="69A51678"/>
    <w:rsid w:val="69BB329B"/>
    <w:rsid w:val="69BD4C61"/>
    <w:rsid w:val="69C77525"/>
    <w:rsid w:val="69D05745"/>
    <w:rsid w:val="69EF4D05"/>
    <w:rsid w:val="69FC56C6"/>
    <w:rsid w:val="69FD3B6F"/>
    <w:rsid w:val="6A0065EF"/>
    <w:rsid w:val="6A1119AC"/>
    <w:rsid w:val="6A112F7C"/>
    <w:rsid w:val="6A1F1C32"/>
    <w:rsid w:val="6A3517B7"/>
    <w:rsid w:val="6A445335"/>
    <w:rsid w:val="6A486BD3"/>
    <w:rsid w:val="6A576E16"/>
    <w:rsid w:val="6A594E5C"/>
    <w:rsid w:val="6A6137B1"/>
    <w:rsid w:val="6A616283"/>
    <w:rsid w:val="6A641407"/>
    <w:rsid w:val="6A656882"/>
    <w:rsid w:val="6A7C4ACE"/>
    <w:rsid w:val="6A7F3555"/>
    <w:rsid w:val="6A841BD5"/>
    <w:rsid w:val="6A8B60FB"/>
    <w:rsid w:val="6A9674BF"/>
    <w:rsid w:val="6A9A37E0"/>
    <w:rsid w:val="6AA604CA"/>
    <w:rsid w:val="6AB67B97"/>
    <w:rsid w:val="6AC76CC7"/>
    <w:rsid w:val="6ACE3652"/>
    <w:rsid w:val="6ADB41F3"/>
    <w:rsid w:val="6ADC37BF"/>
    <w:rsid w:val="6ADD5CCB"/>
    <w:rsid w:val="6AE10DD5"/>
    <w:rsid w:val="6AFB4F4A"/>
    <w:rsid w:val="6B113469"/>
    <w:rsid w:val="6B12444F"/>
    <w:rsid w:val="6B1B6095"/>
    <w:rsid w:val="6B2A12A7"/>
    <w:rsid w:val="6B4533C9"/>
    <w:rsid w:val="6B5C1377"/>
    <w:rsid w:val="6B5C39DF"/>
    <w:rsid w:val="6B5C507D"/>
    <w:rsid w:val="6B5E11EE"/>
    <w:rsid w:val="6B611EB1"/>
    <w:rsid w:val="6B621F16"/>
    <w:rsid w:val="6B851761"/>
    <w:rsid w:val="6B961766"/>
    <w:rsid w:val="6BA37C5C"/>
    <w:rsid w:val="6BB6063D"/>
    <w:rsid w:val="6BBB5183"/>
    <w:rsid w:val="6BC8334A"/>
    <w:rsid w:val="6BD61A98"/>
    <w:rsid w:val="6BE272A9"/>
    <w:rsid w:val="6BF54B38"/>
    <w:rsid w:val="6BF77F96"/>
    <w:rsid w:val="6BFE19E1"/>
    <w:rsid w:val="6C050A47"/>
    <w:rsid w:val="6C0B1A74"/>
    <w:rsid w:val="6C16659B"/>
    <w:rsid w:val="6C27235B"/>
    <w:rsid w:val="6C3342D8"/>
    <w:rsid w:val="6C394A8B"/>
    <w:rsid w:val="6C420156"/>
    <w:rsid w:val="6C44161C"/>
    <w:rsid w:val="6C5142B7"/>
    <w:rsid w:val="6C5E4626"/>
    <w:rsid w:val="6C7457E7"/>
    <w:rsid w:val="6C783074"/>
    <w:rsid w:val="6C7D6E82"/>
    <w:rsid w:val="6C8311C3"/>
    <w:rsid w:val="6C8B0FF9"/>
    <w:rsid w:val="6C8C62B9"/>
    <w:rsid w:val="6C9B1C56"/>
    <w:rsid w:val="6CA47C41"/>
    <w:rsid w:val="6CA5691E"/>
    <w:rsid w:val="6CFC1EEB"/>
    <w:rsid w:val="6CFD2D93"/>
    <w:rsid w:val="6D192AA9"/>
    <w:rsid w:val="6D1A237D"/>
    <w:rsid w:val="6D1B3C07"/>
    <w:rsid w:val="6D2643FD"/>
    <w:rsid w:val="6D290842"/>
    <w:rsid w:val="6D2E17C1"/>
    <w:rsid w:val="6D305867"/>
    <w:rsid w:val="6D321190"/>
    <w:rsid w:val="6D372F2F"/>
    <w:rsid w:val="6D3B211F"/>
    <w:rsid w:val="6D4078A1"/>
    <w:rsid w:val="6D4742BE"/>
    <w:rsid w:val="6D4A0EB4"/>
    <w:rsid w:val="6D631F76"/>
    <w:rsid w:val="6D680792"/>
    <w:rsid w:val="6D917649"/>
    <w:rsid w:val="6D965EA7"/>
    <w:rsid w:val="6DA55D12"/>
    <w:rsid w:val="6DAA54AF"/>
    <w:rsid w:val="6DAB0FE0"/>
    <w:rsid w:val="6DCF760B"/>
    <w:rsid w:val="6DEE7FF8"/>
    <w:rsid w:val="6DF40E20"/>
    <w:rsid w:val="6E0B6604"/>
    <w:rsid w:val="6E1E5CB1"/>
    <w:rsid w:val="6E244ACA"/>
    <w:rsid w:val="6E4771A1"/>
    <w:rsid w:val="6E494CC8"/>
    <w:rsid w:val="6E51496A"/>
    <w:rsid w:val="6E5C7A3D"/>
    <w:rsid w:val="6E8555D0"/>
    <w:rsid w:val="6E876629"/>
    <w:rsid w:val="6E893B3A"/>
    <w:rsid w:val="6E8D72AA"/>
    <w:rsid w:val="6E8E3022"/>
    <w:rsid w:val="6E906D9A"/>
    <w:rsid w:val="6EA13A4A"/>
    <w:rsid w:val="6ED8745A"/>
    <w:rsid w:val="6EDA7020"/>
    <w:rsid w:val="6EDF1C43"/>
    <w:rsid w:val="6F08338C"/>
    <w:rsid w:val="6F122FD4"/>
    <w:rsid w:val="6F3239AE"/>
    <w:rsid w:val="6F3336B2"/>
    <w:rsid w:val="6F3809B5"/>
    <w:rsid w:val="6F416D8D"/>
    <w:rsid w:val="6F492FDA"/>
    <w:rsid w:val="6F51694A"/>
    <w:rsid w:val="6F561A7D"/>
    <w:rsid w:val="6F6005AE"/>
    <w:rsid w:val="6F997ED1"/>
    <w:rsid w:val="6FA629B9"/>
    <w:rsid w:val="6FAD572A"/>
    <w:rsid w:val="6FB41CDF"/>
    <w:rsid w:val="6FD70D7C"/>
    <w:rsid w:val="6FE52B7F"/>
    <w:rsid w:val="6FEB684D"/>
    <w:rsid w:val="6FEE1FCA"/>
    <w:rsid w:val="6FF567B4"/>
    <w:rsid w:val="70001CFE"/>
    <w:rsid w:val="70047746"/>
    <w:rsid w:val="70096E76"/>
    <w:rsid w:val="700C06A3"/>
    <w:rsid w:val="701B22C2"/>
    <w:rsid w:val="703674CE"/>
    <w:rsid w:val="70367F85"/>
    <w:rsid w:val="70421DF0"/>
    <w:rsid w:val="704A18A5"/>
    <w:rsid w:val="704E2A69"/>
    <w:rsid w:val="70535193"/>
    <w:rsid w:val="705353D7"/>
    <w:rsid w:val="70595CFD"/>
    <w:rsid w:val="705F4C76"/>
    <w:rsid w:val="70731CBA"/>
    <w:rsid w:val="70802164"/>
    <w:rsid w:val="70882239"/>
    <w:rsid w:val="709D579F"/>
    <w:rsid w:val="70A53C69"/>
    <w:rsid w:val="70A676AA"/>
    <w:rsid w:val="70AB2A5F"/>
    <w:rsid w:val="70C40F6B"/>
    <w:rsid w:val="70ED2282"/>
    <w:rsid w:val="70F3458C"/>
    <w:rsid w:val="70FF2B52"/>
    <w:rsid w:val="71017ADB"/>
    <w:rsid w:val="71053071"/>
    <w:rsid w:val="710C4547"/>
    <w:rsid w:val="71132EB6"/>
    <w:rsid w:val="71146B3B"/>
    <w:rsid w:val="711E1A75"/>
    <w:rsid w:val="713711A7"/>
    <w:rsid w:val="71416999"/>
    <w:rsid w:val="71477B9E"/>
    <w:rsid w:val="715E5257"/>
    <w:rsid w:val="716F2C75"/>
    <w:rsid w:val="717B788E"/>
    <w:rsid w:val="718176C8"/>
    <w:rsid w:val="71881451"/>
    <w:rsid w:val="718B2F22"/>
    <w:rsid w:val="71A1306D"/>
    <w:rsid w:val="71A60683"/>
    <w:rsid w:val="71AF5789"/>
    <w:rsid w:val="71BB1264"/>
    <w:rsid w:val="71C14470"/>
    <w:rsid w:val="71C363C4"/>
    <w:rsid w:val="71D23226"/>
    <w:rsid w:val="71D46D23"/>
    <w:rsid w:val="71DD01AD"/>
    <w:rsid w:val="71E01DDD"/>
    <w:rsid w:val="71EF3DD8"/>
    <w:rsid w:val="720B63C0"/>
    <w:rsid w:val="723D0AFC"/>
    <w:rsid w:val="723D68AF"/>
    <w:rsid w:val="724721AC"/>
    <w:rsid w:val="725378F4"/>
    <w:rsid w:val="72553913"/>
    <w:rsid w:val="726259F7"/>
    <w:rsid w:val="72670308"/>
    <w:rsid w:val="72705108"/>
    <w:rsid w:val="72750781"/>
    <w:rsid w:val="727B40A7"/>
    <w:rsid w:val="727C6384"/>
    <w:rsid w:val="729452D5"/>
    <w:rsid w:val="72992944"/>
    <w:rsid w:val="72B15531"/>
    <w:rsid w:val="72BB3CBA"/>
    <w:rsid w:val="72D07765"/>
    <w:rsid w:val="72D30125"/>
    <w:rsid w:val="72F657B0"/>
    <w:rsid w:val="72FC409A"/>
    <w:rsid w:val="73032FC0"/>
    <w:rsid w:val="730B4E2F"/>
    <w:rsid w:val="730D6C0C"/>
    <w:rsid w:val="730F48D7"/>
    <w:rsid w:val="73253B84"/>
    <w:rsid w:val="73300005"/>
    <w:rsid w:val="73302A16"/>
    <w:rsid w:val="733D0BED"/>
    <w:rsid w:val="735A34D3"/>
    <w:rsid w:val="735E0012"/>
    <w:rsid w:val="738707F8"/>
    <w:rsid w:val="738754CA"/>
    <w:rsid w:val="738B6F89"/>
    <w:rsid w:val="738F72FB"/>
    <w:rsid w:val="73927111"/>
    <w:rsid w:val="739A0276"/>
    <w:rsid w:val="73C056D8"/>
    <w:rsid w:val="73C51294"/>
    <w:rsid w:val="73CB6AC4"/>
    <w:rsid w:val="73E22FE9"/>
    <w:rsid w:val="73EC26D2"/>
    <w:rsid w:val="73ED1A3A"/>
    <w:rsid w:val="73F05696"/>
    <w:rsid w:val="73F43927"/>
    <w:rsid w:val="73F50B6F"/>
    <w:rsid w:val="740011C8"/>
    <w:rsid w:val="74146799"/>
    <w:rsid w:val="741A1B16"/>
    <w:rsid w:val="741C3D5C"/>
    <w:rsid w:val="741E67C6"/>
    <w:rsid w:val="742C5E27"/>
    <w:rsid w:val="74472122"/>
    <w:rsid w:val="74551D23"/>
    <w:rsid w:val="745919DD"/>
    <w:rsid w:val="745D7B18"/>
    <w:rsid w:val="745F299C"/>
    <w:rsid w:val="746F1484"/>
    <w:rsid w:val="74844CAB"/>
    <w:rsid w:val="74A40EAA"/>
    <w:rsid w:val="74B800CA"/>
    <w:rsid w:val="74D774D1"/>
    <w:rsid w:val="74EE65C9"/>
    <w:rsid w:val="74F55B27"/>
    <w:rsid w:val="750F567F"/>
    <w:rsid w:val="752768CA"/>
    <w:rsid w:val="752F1C4C"/>
    <w:rsid w:val="753D165B"/>
    <w:rsid w:val="75511543"/>
    <w:rsid w:val="755D54FC"/>
    <w:rsid w:val="756B2471"/>
    <w:rsid w:val="75726F76"/>
    <w:rsid w:val="75805B4E"/>
    <w:rsid w:val="758410BA"/>
    <w:rsid w:val="75850F92"/>
    <w:rsid w:val="758D6086"/>
    <w:rsid w:val="758F1A33"/>
    <w:rsid w:val="75986481"/>
    <w:rsid w:val="75BE41ED"/>
    <w:rsid w:val="75BF7F65"/>
    <w:rsid w:val="75C8596C"/>
    <w:rsid w:val="75E850A3"/>
    <w:rsid w:val="75F8009A"/>
    <w:rsid w:val="75FD30F1"/>
    <w:rsid w:val="76120095"/>
    <w:rsid w:val="76161571"/>
    <w:rsid w:val="761E2EDE"/>
    <w:rsid w:val="76277FE4"/>
    <w:rsid w:val="763653BA"/>
    <w:rsid w:val="7637063A"/>
    <w:rsid w:val="763A138B"/>
    <w:rsid w:val="763A3819"/>
    <w:rsid w:val="76464EFD"/>
    <w:rsid w:val="76471DE8"/>
    <w:rsid w:val="764C1D57"/>
    <w:rsid w:val="76701D3D"/>
    <w:rsid w:val="76911902"/>
    <w:rsid w:val="76951140"/>
    <w:rsid w:val="76974BD9"/>
    <w:rsid w:val="76974C1D"/>
    <w:rsid w:val="76977026"/>
    <w:rsid w:val="769B77F4"/>
    <w:rsid w:val="76A70C95"/>
    <w:rsid w:val="76CA72D3"/>
    <w:rsid w:val="76D15D09"/>
    <w:rsid w:val="76D60049"/>
    <w:rsid w:val="76E56BA6"/>
    <w:rsid w:val="76EB626F"/>
    <w:rsid w:val="76F57B1F"/>
    <w:rsid w:val="76F679B7"/>
    <w:rsid w:val="771349E5"/>
    <w:rsid w:val="7714635C"/>
    <w:rsid w:val="771C30FA"/>
    <w:rsid w:val="77206134"/>
    <w:rsid w:val="772C06BD"/>
    <w:rsid w:val="772F3A61"/>
    <w:rsid w:val="773553A7"/>
    <w:rsid w:val="77470212"/>
    <w:rsid w:val="774946B3"/>
    <w:rsid w:val="77514BED"/>
    <w:rsid w:val="77580A66"/>
    <w:rsid w:val="778D01FE"/>
    <w:rsid w:val="779313F9"/>
    <w:rsid w:val="77974F54"/>
    <w:rsid w:val="77A3436B"/>
    <w:rsid w:val="77B86288"/>
    <w:rsid w:val="77C76754"/>
    <w:rsid w:val="77F437B1"/>
    <w:rsid w:val="780738D1"/>
    <w:rsid w:val="78140E63"/>
    <w:rsid w:val="782226C6"/>
    <w:rsid w:val="782D29FE"/>
    <w:rsid w:val="783D4AFF"/>
    <w:rsid w:val="784D30F3"/>
    <w:rsid w:val="78686692"/>
    <w:rsid w:val="78693C27"/>
    <w:rsid w:val="78747106"/>
    <w:rsid w:val="78764DC8"/>
    <w:rsid w:val="788A2C6A"/>
    <w:rsid w:val="78A27DF6"/>
    <w:rsid w:val="78AD0D21"/>
    <w:rsid w:val="78AE679B"/>
    <w:rsid w:val="78AF70A8"/>
    <w:rsid w:val="78B5001F"/>
    <w:rsid w:val="78B65A67"/>
    <w:rsid w:val="78B73B4F"/>
    <w:rsid w:val="78B934ED"/>
    <w:rsid w:val="78C37C8A"/>
    <w:rsid w:val="78D62F20"/>
    <w:rsid w:val="78DE2D7C"/>
    <w:rsid w:val="78EA6025"/>
    <w:rsid w:val="78FA1FA9"/>
    <w:rsid w:val="78FF6FF6"/>
    <w:rsid w:val="790C1C51"/>
    <w:rsid w:val="79144A42"/>
    <w:rsid w:val="79204585"/>
    <w:rsid w:val="7922596C"/>
    <w:rsid w:val="792F01A6"/>
    <w:rsid w:val="79382965"/>
    <w:rsid w:val="793A002E"/>
    <w:rsid w:val="793B7903"/>
    <w:rsid w:val="794C1894"/>
    <w:rsid w:val="794F15B3"/>
    <w:rsid w:val="795161CA"/>
    <w:rsid w:val="797311EB"/>
    <w:rsid w:val="797549FF"/>
    <w:rsid w:val="797C0647"/>
    <w:rsid w:val="79820F11"/>
    <w:rsid w:val="798D4602"/>
    <w:rsid w:val="798E3ED6"/>
    <w:rsid w:val="799F172E"/>
    <w:rsid w:val="79A22FB7"/>
    <w:rsid w:val="79A71D90"/>
    <w:rsid w:val="79A81252"/>
    <w:rsid w:val="79AA0D57"/>
    <w:rsid w:val="79AC037E"/>
    <w:rsid w:val="79AE4579"/>
    <w:rsid w:val="79B4594A"/>
    <w:rsid w:val="79B978EA"/>
    <w:rsid w:val="79BC708D"/>
    <w:rsid w:val="79EB1C7D"/>
    <w:rsid w:val="79FA5A10"/>
    <w:rsid w:val="7A063B66"/>
    <w:rsid w:val="7A1268B5"/>
    <w:rsid w:val="7A187C44"/>
    <w:rsid w:val="7A1B476E"/>
    <w:rsid w:val="7A241CE1"/>
    <w:rsid w:val="7A50702E"/>
    <w:rsid w:val="7A685337"/>
    <w:rsid w:val="7A721A4A"/>
    <w:rsid w:val="7A811C8D"/>
    <w:rsid w:val="7A85352B"/>
    <w:rsid w:val="7A9722EA"/>
    <w:rsid w:val="7AA240DD"/>
    <w:rsid w:val="7AA274F5"/>
    <w:rsid w:val="7AA65250"/>
    <w:rsid w:val="7AA8721A"/>
    <w:rsid w:val="7AAC0AB8"/>
    <w:rsid w:val="7AAC4F5C"/>
    <w:rsid w:val="7AB756AF"/>
    <w:rsid w:val="7AE321FA"/>
    <w:rsid w:val="7AF27BF0"/>
    <w:rsid w:val="7AF64429"/>
    <w:rsid w:val="7AFF24F3"/>
    <w:rsid w:val="7B1A6AB5"/>
    <w:rsid w:val="7B284531"/>
    <w:rsid w:val="7B327BB5"/>
    <w:rsid w:val="7B33563C"/>
    <w:rsid w:val="7B4C0E94"/>
    <w:rsid w:val="7B4C1878"/>
    <w:rsid w:val="7B5737ED"/>
    <w:rsid w:val="7B576EF9"/>
    <w:rsid w:val="7B594633"/>
    <w:rsid w:val="7B5C21FC"/>
    <w:rsid w:val="7B6748E0"/>
    <w:rsid w:val="7B6D1672"/>
    <w:rsid w:val="7B763FD0"/>
    <w:rsid w:val="7B8D6D12"/>
    <w:rsid w:val="7B9147B3"/>
    <w:rsid w:val="7BA5601D"/>
    <w:rsid w:val="7BAB0D70"/>
    <w:rsid w:val="7BAC1017"/>
    <w:rsid w:val="7BB06C82"/>
    <w:rsid w:val="7BC5015F"/>
    <w:rsid w:val="7BCD518A"/>
    <w:rsid w:val="7BDB40C8"/>
    <w:rsid w:val="7BE129E3"/>
    <w:rsid w:val="7BEE6EAE"/>
    <w:rsid w:val="7BFC639E"/>
    <w:rsid w:val="7C1060A4"/>
    <w:rsid w:val="7C212B16"/>
    <w:rsid w:val="7C342938"/>
    <w:rsid w:val="7C344D27"/>
    <w:rsid w:val="7C546CFC"/>
    <w:rsid w:val="7C5F7DAC"/>
    <w:rsid w:val="7C6034EF"/>
    <w:rsid w:val="7C605FFE"/>
    <w:rsid w:val="7C6929D9"/>
    <w:rsid w:val="7C8F3841"/>
    <w:rsid w:val="7C927737"/>
    <w:rsid w:val="7CCA16C9"/>
    <w:rsid w:val="7CCE4C63"/>
    <w:rsid w:val="7CE055BA"/>
    <w:rsid w:val="7CE11A06"/>
    <w:rsid w:val="7CE72D65"/>
    <w:rsid w:val="7CF12392"/>
    <w:rsid w:val="7CFC1051"/>
    <w:rsid w:val="7D15058B"/>
    <w:rsid w:val="7D157DA1"/>
    <w:rsid w:val="7D1D6919"/>
    <w:rsid w:val="7D213138"/>
    <w:rsid w:val="7D2521B2"/>
    <w:rsid w:val="7D317598"/>
    <w:rsid w:val="7D3230DC"/>
    <w:rsid w:val="7D353F3A"/>
    <w:rsid w:val="7D364FB1"/>
    <w:rsid w:val="7D3D4761"/>
    <w:rsid w:val="7D4172EA"/>
    <w:rsid w:val="7D4D08D5"/>
    <w:rsid w:val="7D510DB8"/>
    <w:rsid w:val="7D511DEB"/>
    <w:rsid w:val="7D551F58"/>
    <w:rsid w:val="7D5611AF"/>
    <w:rsid w:val="7D686B1F"/>
    <w:rsid w:val="7D6A282B"/>
    <w:rsid w:val="7D6C2781"/>
    <w:rsid w:val="7D7405B4"/>
    <w:rsid w:val="7D8775BA"/>
    <w:rsid w:val="7D8D7458"/>
    <w:rsid w:val="7D9046C1"/>
    <w:rsid w:val="7D9254EB"/>
    <w:rsid w:val="7DA0478D"/>
    <w:rsid w:val="7DB042A2"/>
    <w:rsid w:val="7DB859C6"/>
    <w:rsid w:val="7DD345AE"/>
    <w:rsid w:val="7DE844FD"/>
    <w:rsid w:val="7DF04831"/>
    <w:rsid w:val="7DF22A1C"/>
    <w:rsid w:val="7DF806EE"/>
    <w:rsid w:val="7DFE44E6"/>
    <w:rsid w:val="7E091328"/>
    <w:rsid w:val="7E0E1134"/>
    <w:rsid w:val="7E282CD5"/>
    <w:rsid w:val="7E3672A9"/>
    <w:rsid w:val="7E3E713E"/>
    <w:rsid w:val="7E4618EE"/>
    <w:rsid w:val="7E49452F"/>
    <w:rsid w:val="7E4D2A1C"/>
    <w:rsid w:val="7E505923"/>
    <w:rsid w:val="7E550AA9"/>
    <w:rsid w:val="7E577B57"/>
    <w:rsid w:val="7E5E656D"/>
    <w:rsid w:val="7E670FB0"/>
    <w:rsid w:val="7E787819"/>
    <w:rsid w:val="7E7A400D"/>
    <w:rsid w:val="7E852C8D"/>
    <w:rsid w:val="7E872237"/>
    <w:rsid w:val="7E873820"/>
    <w:rsid w:val="7E8C3F75"/>
    <w:rsid w:val="7E915D2D"/>
    <w:rsid w:val="7E9832EF"/>
    <w:rsid w:val="7EA55C41"/>
    <w:rsid w:val="7EA55D91"/>
    <w:rsid w:val="7EA80241"/>
    <w:rsid w:val="7EAB6E1B"/>
    <w:rsid w:val="7EB96890"/>
    <w:rsid w:val="7ED76DD4"/>
    <w:rsid w:val="7EE354CD"/>
    <w:rsid w:val="7EF150E4"/>
    <w:rsid w:val="7EF23159"/>
    <w:rsid w:val="7F06366D"/>
    <w:rsid w:val="7F0709B3"/>
    <w:rsid w:val="7F075EFD"/>
    <w:rsid w:val="7F0E1779"/>
    <w:rsid w:val="7F13011A"/>
    <w:rsid w:val="7F5456A0"/>
    <w:rsid w:val="7F5C0130"/>
    <w:rsid w:val="7F7221CA"/>
    <w:rsid w:val="7F79289E"/>
    <w:rsid w:val="7F824024"/>
    <w:rsid w:val="7F8F1F7C"/>
    <w:rsid w:val="7FA02BB5"/>
    <w:rsid w:val="7FA64697"/>
    <w:rsid w:val="7FA8445B"/>
    <w:rsid w:val="7FC03F1F"/>
    <w:rsid w:val="7FCA114D"/>
    <w:rsid w:val="7FD338C7"/>
    <w:rsid w:val="7FD422E4"/>
    <w:rsid w:val="7FD6038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8"/>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7"/>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6"/>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4"/>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6"/>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2"/>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37"/>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2"/>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0"/>
    <w:qFormat/>
    <w:uiPriority w:val="0"/>
    <w:pPr>
      <w:keepNext/>
      <w:keepLines/>
      <w:numPr>
        <w:ilvl w:val="8"/>
        <w:numId w:val="1"/>
      </w:numPr>
      <w:spacing w:before="240" w:after="64" w:line="320" w:lineRule="auto"/>
      <w:outlineLvl w:val="8"/>
    </w:pPr>
    <w:rPr>
      <w:rFonts w:ascii="Cambria" w:hAnsi="Cambria"/>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0"/>
    <w:qFormat/>
    <w:uiPriority w:val="0"/>
    <w:rPr>
      <w:rFonts w:ascii="宋体"/>
      <w:sz w:val="18"/>
      <w:szCs w:val="18"/>
    </w:rPr>
  </w:style>
  <w:style w:type="paragraph" w:styleId="17">
    <w:name w:val="annotation text"/>
    <w:basedOn w:val="1"/>
    <w:link w:val="114"/>
    <w:qFormat/>
    <w:uiPriority w:val="0"/>
    <w:pPr>
      <w:jc w:val="left"/>
    </w:pPr>
  </w:style>
  <w:style w:type="paragraph" w:styleId="18">
    <w:name w:val="Body Text 3"/>
    <w:basedOn w:val="1"/>
    <w:link w:val="133"/>
    <w:qFormat/>
    <w:uiPriority w:val="0"/>
    <w:rPr>
      <w:rFonts w:ascii="宋体"/>
      <w:sz w:val="24"/>
      <w:szCs w:val="20"/>
    </w:rPr>
  </w:style>
  <w:style w:type="paragraph" w:styleId="19">
    <w:name w:val="Body Text"/>
    <w:basedOn w:val="1"/>
    <w:link w:val="121"/>
    <w:qFormat/>
    <w:uiPriority w:val="0"/>
    <w:pPr>
      <w:jc w:val="center"/>
    </w:pPr>
    <w:rPr>
      <w:rFonts w:eastAsia="幼圆"/>
      <w:b/>
      <w:bCs/>
      <w:sz w:val="44"/>
    </w:rPr>
  </w:style>
  <w:style w:type="paragraph" w:styleId="20">
    <w:name w:val="Body Text Indent"/>
    <w:basedOn w:val="1"/>
    <w:next w:val="1"/>
    <w:link w:val="77"/>
    <w:qFormat/>
    <w:uiPriority w:val="0"/>
    <w:pPr>
      <w:spacing w:after="120"/>
      <w:ind w:left="420" w:leftChars="2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83"/>
    <w:qFormat/>
    <w:uiPriority w:val="0"/>
    <w:rPr>
      <w:rFonts w:ascii="Ari"/>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91"/>
    <w:unhideWhenUsed/>
    <w:qFormat/>
    <w:uiPriority w:val="0"/>
  </w:style>
  <w:style w:type="paragraph" w:styleId="27">
    <w:name w:val="Body Text Indent 2"/>
    <w:basedOn w:val="1"/>
    <w:link w:val="113"/>
    <w:unhideWhenUsed/>
    <w:qFormat/>
    <w:uiPriority w:val="99"/>
    <w:pPr>
      <w:spacing w:line="420" w:lineRule="exact"/>
      <w:ind w:firstLine="525"/>
    </w:pPr>
    <w:rPr>
      <w:rFonts w:ascii="宋体"/>
      <w:kern w:val="0"/>
      <w:sz w:val="20"/>
      <w:szCs w:val="20"/>
    </w:rPr>
  </w:style>
  <w:style w:type="paragraph" w:styleId="28">
    <w:name w:val="Balloon Text"/>
    <w:basedOn w:val="1"/>
    <w:link w:val="136"/>
    <w:qFormat/>
    <w:uiPriority w:val="0"/>
    <w:rPr>
      <w:sz w:val="18"/>
      <w:szCs w:val="18"/>
    </w:rPr>
  </w:style>
  <w:style w:type="paragraph" w:styleId="29">
    <w:name w:val="footer"/>
    <w:basedOn w:val="1"/>
    <w:next w:val="30"/>
    <w:link w:val="126"/>
    <w:qFormat/>
    <w:uiPriority w:val="99"/>
    <w:pPr>
      <w:tabs>
        <w:tab w:val="center" w:pos="4153"/>
        <w:tab w:val="right" w:pos="8306"/>
      </w:tabs>
      <w:snapToGrid w:val="0"/>
      <w:jc w:val="left"/>
    </w:pPr>
    <w:rPr>
      <w:sz w:val="18"/>
      <w:szCs w:val="18"/>
    </w:rPr>
  </w:style>
  <w:style w:type="paragraph" w:styleId="30">
    <w:name w:val="toc 2"/>
    <w:basedOn w:val="1"/>
    <w:next w:val="1"/>
    <w:qFormat/>
    <w:uiPriority w:val="39"/>
    <w:pPr>
      <w:ind w:left="420" w:leftChars="200"/>
    </w:pPr>
    <w:rPr>
      <w:rFonts w:ascii="Calibri" w:hAnsi="Calibri"/>
      <w:szCs w:val="22"/>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Subtitle"/>
    <w:basedOn w:val="1"/>
    <w:next w:val="1"/>
    <w:link w:val="109"/>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134"/>
    <w:qFormat/>
    <w:uiPriority w:val="0"/>
    <w:pPr>
      <w:spacing w:after="120"/>
      <w:ind w:left="420" w:leftChars="200"/>
    </w:pPr>
    <w:rPr>
      <w:sz w:val="16"/>
      <w:szCs w:val="20"/>
    </w:rPr>
  </w:style>
  <w:style w:type="paragraph" w:styleId="37">
    <w:name w:val="toc 9"/>
    <w:basedOn w:val="1"/>
    <w:next w:val="1"/>
    <w:unhideWhenUsed/>
    <w:qFormat/>
    <w:uiPriority w:val="39"/>
    <w:pPr>
      <w:ind w:left="3360" w:leftChars="1600"/>
    </w:pPr>
    <w:rPr>
      <w:rFonts w:ascii="Calibri" w:hAnsi="Calibri"/>
      <w:szCs w:val="22"/>
    </w:rPr>
  </w:style>
  <w:style w:type="paragraph" w:styleId="38">
    <w:name w:val="HTML Preformatted"/>
    <w:basedOn w:val="1"/>
    <w:link w:val="21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hAnsi="Calibri" w:eastAsia="仿宋_GB2312"/>
      <w:szCs w:val="22"/>
    </w:rPr>
  </w:style>
  <w:style w:type="paragraph" w:styleId="41">
    <w:name w:val="Title"/>
    <w:basedOn w:val="1"/>
    <w:link w:val="86"/>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7"/>
    <w:next w:val="17"/>
    <w:link w:val="124"/>
    <w:qFormat/>
    <w:uiPriority w:val="0"/>
    <w:rPr>
      <w:b/>
      <w:bCs/>
    </w:rPr>
  </w:style>
  <w:style w:type="paragraph" w:styleId="43">
    <w:name w:val="Body Text First Indent"/>
    <w:basedOn w:val="19"/>
    <w:qFormat/>
    <w:uiPriority w:val="0"/>
    <w:pPr>
      <w:autoSpaceDE w:val="0"/>
      <w:autoSpaceDN w:val="0"/>
      <w:adjustRightInd w:val="0"/>
      <w:spacing w:line="360" w:lineRule="auto"/>
      <w:ind w:right="-24" w:rightChars="-10" w:firstLine="425" w:firstLineChars="225"/>
    </w:pPr>
    <w:rPr>
      <w:rFonts w:ascii="Arial" w:hAnsi="Arial" w:eastAsia="仿宋_GB2312" w:cs="Arial"/>
      <w:kern w:val="0"/>
      <w:szCs w:val="32"/>
    </w:rPr>
  </w:style>
  <w:style w:type="paragraph" w:styleId="44">
    <w:name w:val="Body Text First Indent 2"/>
    <w:basedOn w:val="20"/>
    <w:next w:val="43"/>
    <w:semiHidden/>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22"/>
    <w:rPr>
      <w:rFonts w:cs="Times New Roman"/>
      <w:b/>
    </w:rPr>
  </w:style>
  <w:style w:type="character" w:styleId="49">
    <w:name w:val="page number"/>
    <w:qFormat/>
    <w:uiPriority w:val="0"/>
    <w:rPr>
      <w:rFonts w:eastAsia="宋体"/>
      <w:b/>
      <w:spacing w:val="0"/>
      <w:kern w:val="2"/>
      <w:sz w:val="24"/>
      <w:szCs w:val="24"/>
      <w:vertAlign w:val="baseline"/>
      <w:lang w:val="en-US" w:eastAsia="zh-CN" w:bidi="ar-SA"/>
    </w:rPr>
  </w:style>
  <w:style w:type="character" w:styleId="50">
    <w:name w:val="FollowedHyperlink"/>
    <w:qFormat/>
    <w:uiPriority w:val="0"/>
    <w:rPr>
      <w:color w:val="800080"/>
      <w:u w:val="single"/>
    </w:rPr>
  </w:style>
  <w:style w:type="character" w:styleId="51">
    <w:name w:val="Emphasis"/>
    <w:basedOn w:val="47"/>
    <w:qFormat/>
    <w:uiPriority w:val="0"/>
    <w:rPr>
      <w:color w:val="CC0000"/>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HTML Cite"/>
    <w:qFormat/>
    <w:uiPriority w:val="0"/>
    <w:rPr>
      <w:color w:val="008000"/>
    </w:rPr>
  </w:style>
  <w:style w:type="paragraph" w:customStyle="1" w:styleId="55">
    <w:name w:val="索引 41"/>
    <w:basedOn w:val="1"/>
    <w:next w:val="1"/>
    <w:semiHidden/>
    <w:qFormat/>
    <w:uiPriority w:val="0"/>
    <w:pPr>
      <w:ind w:left="1260"/>
    </w:pPr>
    <w:rPr>
      <w:rFonts w:ascii="Calibri" w:hAnsi="Calibri" w:eastAsia="Calibri" w:cs="宋体"/>
      <w:sz w:val="20"/>
      <w:lang w:val="zh-CN"/>
    </w:rPr>
  </w:style>
  <w:style w:type="paragraph" w:customStyle="1" w:styleId="56">
    <w:name w:val="NormalIndent"/>
    <w:basedOn w:val="1"/>
    <w:qFormat/>
    <w:uiPriority w:val="0"/>
    <w:pPr>
      <w:ind w:firstLine="420"/>
    </w:pPr>
  </w:style>
  <w:style w:type="paragraph" w:customStyle="1" w:styleId="5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8">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Body Text First Indent 21"/>
    <w:basedOn w:val="60"/>
    <w:qFormat/>
    <w:uiPriority w:val="0"/>
    <w:pPr>
      <w:ind w:firstLine="420"/>
    </w:pPr>
  </w:style>
  <w:style w:type="paragraph" w:customStyle="1" w:styleId="60">
    <w:name w:val="Body Text Indent1"/>
    <w:basedOn w:val="1"/>
    <w:qFormat/>
    <w:uiPriority w:val="0"/>
    <w:pPr>
      <w:ind w:left="420" w:leftChars="200"/>
    </w:pPr>
  </w:style>
  <w:style w:type="paragraph" w:styleId="61">
    <w:name w:val="List Paragraph"/>
    <w:basedOn w:val="1"/>
    <w:next w:val="17"/>
    <w:link w:val="243"/>
    <w:qFormat/>
    <w:uiPriority w:val="99"/>
    <w:pPr>
      <w:ind w:firstLine="420" w:firstLineChars="200"/>
    </w:pPr>
  </w:style>
  <w:style w:type="character" w:customStyle="1" w:styleId="62">
    <w:name w:val="明显强调1"/>
    <w:qFormat/>
    <w:uiPriority w:val="0"/>
    <w:rPr>
      <w:b/>
      <w:bCs/>
      <w:i/>
      <w:iCs/>
      <w:color w:val="4F81BD"/>
    </w:rPr>
  </w:style>
  <w:style w:type="character" w:customStyle="1" w:styleId="63">
    <w:name w:val="批注文字 Char2"/>
    <w:qFormat/>
    <w:uiPriority w:val="0"/>
    <w:rPr>
      <w:kern w:val="2"/>
      <w:sz w:val="21"/>
    </w:rPr>
  </w:style>
  <w:style w:type="character" w:customStyle="1" w:styleId="64">
    <w:name w:val="标题 3 Char_0"/>
    <w:link w:val="65"/>
    <w:qFormat/>
    <w:uiPriority w:val="0"/>
    <w:rPr>
      <w:b/>
      <w:bCs/>
      <w:sz w:val="32"/>
      <w:szCs w:val="32"/>
    </w:rPr>
  </w:style>
  <w:style w:type="paragraph" w:customStyle="1" w:styleId="65">
    <w:name w:val="标题 3_0"/>
    <w:basedOn w:val="66"/>
    <w:next w:val="66"/>
    <w:link w:val="64"/>
    <w:qFormat/>
    <w:uiPriority w:val="0"/>
    <w:pPr>
      <w:keepNext/>
      <w:keepLines/>
      <w:spacing w:before="260" w:after="260" w:line="416" w:lineRule="auto"/>
      <w:outlineLvl w:val="2"/>
    </w:pPr>
    <w:rPr>
      <w:b/>
      <w:bCs/>
      <w:kern w:val="0"/>
      <w:sz w:val="32"/>
      <w:szCs w:val="32"/>
    </w:rPr>
  </w:style>
  <w:style w:type="paragraph" w:customStyle="1" w:styleId="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7">
    <w:name w:val="标题 2 字符"/>
    <w:link w:val="3"/>
    <w:qFormat/>
    <w:uiPriority w:val="0"/>
    <w:rPr>
      <w:rFonts w:ascii="Cambria" w:hAnsi="Cambria"/>
      <w:b/>
      <w:bCs/>
      <w:kern w:val="2"/>
      <w:sz w:val="32"/>
      <w:szCs w:val="32"/>
    </w:rPr>
  </w:style>
  <w:style w:type="character" w:customStyle="1" w:styleId="68">
    <w:name w:val="正文文本 Char2"/>
    <w:semiHidden/>
    <w:qFormat/>
    <w:uiPriority w:val="99"/>
    <w:rPr>
      <w:rFonts w:ascii="Calibri" w:hAnsi="Calibri" w:eastAsia="宋体" w:cs="Times New Roman"/>
    </w:rPr>
  </w:style>
  <w:style w:type="character" w:customStyle="1" w:styleId="69">
    <w:name w:val="页脚 Char1"/>
    <w:semiHidden/>
    <w:qFormat/>
    <w:uiPriority w:val="99"/>
    <w:rPr>
      <w:rFonts w:ascii="Calibri" w:hAnsi="Calibri" w:eastAsia="宋体" w:cs="Times New Roman"/>
      <w:sz w:val="18"/>
      <w:szCs w:val="18"/>
    </w:rPr>
  </w:style>
  <w:style w:type="character" w:customStyle="1" w:styleId="70">
    <w:name w:val="明显引用 Char2"/>
    <w:qFormat/>
    <w:uiPriority w:val="99"/>
    <w:rPr>
      <w:b/>
      <w:bCs/>
      <w:i/>
      <w:iCs/>
      <w:color w:val="4F81BD"/>
      <w:kern w:val="2"/>
      <w:sz w:val="21"/>
      <w:szCs w:val="24"/>
    </w:rPr>
  </w:style>
  <w:style w:type="character" w:customStyle="1" w:styleId="71">
    <w:name w:val="引用 Char"/>
    <w:link w:val="72"/>
    <w:qFormat/>
    <w:uiPriority w:val="0"/>
    <w:rPr>
      <w:i/>
      <w:iCs/>
      <w:color w:val="000000"/>
    </w:rPr>
  </w:style>
  <w:style w:type="paragraph" w:customStyle="1" w:styleId="72">
    <w:name w:val="引用1"/>
    <w:basedOn w:val="1"/>
    <w:next w:val="1"/>
    <w:link w:val="71"/>
    <w:qFormat/>
    <w:uiPriority w:val="0"/>
    <w:rPr>
      <w:i/>
      <w:iCs/>
      <w:color w:val="000000"/>
      <w:kern w:val="0"/>
      <w:sz w:val="20"/>
      <w:szCs w:val="20"/>
    </w:rPr>
  </w:style>
  <w:style w:type="character" w:customStyle="1" w:styleId="73">
    <w:name w:val="标题 1 Char_0"/>
    <w:link w:val="74"/>
    <w:qFormat/>
    <w:uiPriority w:val="0"/>
    <w:rPr>
      <w:b/>
      <w:bCs/>
      <w:kern w:val="44"/>
      <w:sz w:val="44"/>
      <w:szCs w:val="44"/>
    </w:rPr>
  </w:style>
  <w:style w:type="paragraph" w:customStyle="1" w:styleId="74">
    <w:name w:val="标题 1_0"/>
    <w:basedOn w:val="66"/>
    <w:next w:val="66"/>
    <w:link w:val="73"/>
    <w:qFormat/>
    <w:uiPriority w:val="0"/>
    <w:pPr>
      <w:keepNext/>
      <w:keepLines/>
      <w:spacing w:before="340" w:after="330" w:line="578" w:lineRule="auto"/>
      <w:outlineLvl w:val="0"/>
    </w:pPr>
    <w:rPr>
      <w:b/>
      <w:bCs/>
      <w:kern w:val="44"/>
      <w:sz w:val="44"/>
      <w:szCs w:val="44"/>
    </w:rPr>
  </w:style>
  <w:style w:type="character" w:customStyle="1" w:styleId="75">
    <w:name w:val="正文文本缩进 3 Char1"/>
    <w:semiHidden/>
    <w:qFormat/>
    <w:uiPriority w:val="99"/>
    <w:rPr>
      <w:kern w:val="2"/>
      <w:sz w:val="16"/>
      <w:szCs w:val="16"/>
    </w:rPr>
  </w:style>
  <w:style w:type="character" w:customStyle="1" w:styleId="76">
    <w:name w:val="引用 Char1"/>
    <w:qFormat/>
    <w:uiPriority w:val="29"/>
    <w:rPr>
      <w:i/>
      <w:iCs/>
      <w:color w:val="000000"/>
      <w:kern w:val="2"/>
      <w:sz w:val="21"/>
    </w:rPr>
  </w:style>
  <w:style w:type="character" w:customStyle="1" w:styleId="77">
    <w:name w:val="正文文本缩进 字符"/>
    <w:link w:val="20"/>
    <w:qFormat/>
    <w:uiPriority w:val="0"/>
    <w:rPr>
      <w:kern w:val="2"/>
      <w:sz w:val="21"/>
      <w:szCs w:val="24"/>
    </w:rPr>
  </w:style>
  <w:style w:type="character" w:customStyle="1" w:styleId="78">
    <w:name w:val="font161"/>
    <w:qFormat/>
    <w:uiPriority w:val="0"/>
    <w:rPr>
      <w:b/>
      <w:sz w:val="32"/>
    </w:rPr>
  </w:style>
  <w:style w:type="character" w:customStyle="1" w:styleId="79">
    <w:name w:val="标题 4 Char_0"/>
    <w:link w:val="80"/>
    <w:qFormat/>
    <w:uiPriority w:val="0"/>
    <w:rPr>
      <w:rFonts w:ascii="Arial" w:hAnsi="Arial" w:eastAsia="黑体"/>
      <w:b/>
      <w:bCs/>
      <w:sz w:val="28"/>
      <w:szCs w:val="28"/>
    </w:rPr>
  </w:style>
  <w:style w:type="paragraph" w:customStyle="1" w:styleId="80">
    <w:name w:val="标题 4_0"/>
    <w:basedOn w:val="66"/>
    <w:next w:val="66"/>
    <w:link w:val="79"/>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1">
    <w:name w:val="页眉 字符"/>
    <w:link w:val="31"/>
    <w:qFormat/>
    <w:uiPriority w:val="0"/>
    <w:rPr>
      <w:kern w:val="2"/>
      <w:sz w:val="18"/>
      <w:szCs w:val="18"/>
    </w:rPr>
  </w:style>
  <w:style w:type="character" w:customStyle="1" w:styleId="82">
    <w:name w:val="标题 6 字符"/>
    <w:link w:val="7"/>
    <w:qFormat/>
    <w:uiPriority w:val="0"/>
    <w:rPr>
      <w:rFonts w:ascii="Cambria" w:hAnsi="Cambria"/>
      <w:b/>
      <w:bCs/>
      <w:kern w:val="2"/>
      <w:sz w:val="24"/>
      <w:szCs w:val="24"/>
    </w:rPr>
  </w:style>
  <w:style w:type="character" w:customStyle="1" w:styleId="83">
    <w:name w:val="纯文本 字符"/>
    <w:link w:val="24"/>
    <w:qFormat/>
    <w:uiPriority w:val="99"/>
    <w:rPr>
      <w:rFonts w:ascii="Ari"/>
      <w:lang w:val="en-US" w:eastAsia="zh-CN" w:bidi="ar-SA"/>
    </w:rPr>
  </w:style>
  <w:style w:type="character" w:customStyle="1" w:styleId="84">
    <w:name w:val="引用 Char2"/>
    <w:qFormat/>
    <w:uiPriority w:val="99"/>
    <w:rPr>
      <w:i/>
      <w:iCs/>
      <w:color w:val="000000"/>
      <w:kern w:val="2"/>
      <w:sz w:val="21"/>
      <w:szCs w:val="24"/>
    </w:rPr>
  </w:style>
  <w:style w:type="character" w:customStyle="1" w:styleId="85">
    <w:name w:val="rvts11"/>
    <w:qFormat/>
    <w:uiPriority w:val="0"/>
    <w:rPr>
      <w:rFonts w:hint="default" w:ascii="KNLe" w:hAnsi="KNLe"/>
      <w:sz w:val="24"/>
      <w:szCs w:val="24"/>
      <w:u w:val="single"/>
    </w:rPr>
  </w:style>
  <w:style w:type="character" w:customStyle="1" w:styleId="86">
    <w:name w:val="标题 字符"/>
    <w:link w:val="41"/>
    <w:qFormat/>
    <w:uiPriority w:val="0"/>
    <w:rPr>
      <w:rFonts w:ascii="Arial" w:hAnsi="Arial"/>
      <w:b/>
      <w:sz w:val="32"/>
    </w:rPr>
  </w:style>
  <w:style w:type="character" w:customStyle="1" w:styleId="87">
    <w:name w:val="标题5 Char Char"/>
    <w:link w:val="88"/>
    <w:qFormat/>
    <w:uiPriority w:val="0"/>
    <w:rPr>
      <w:rFonts w:ascii="Arial" w:hAnsi="Arial"/>
      <w:b/>
      <w:bCs/>
      <w:sz w:val="24"/>
      <w:szCs w:val="32"/>
    </w:rPr>
  </w:style>
  <w:style w:type="paragraph" w:customStyle="1" w:styleId="88">
    <w:name w:val="标题5"/>
    <w:basedOn w:val="4"/>
    <w:link w:val="87"/>
    <w:qFormat/>
    <w:uiPriority w:val="0"/>
    <w:pPr>
      <w:numPr>
        <w:ilvl w:val="0"/>
        <w:numId w:val="0"/>
      </w:numPr>
      <w:spacing w:line="413" w:lineRule="auto"/>
    </w:pPr>
    <w:rPr>
      <w:rFonts w:ascii="Arial" w:hAnsi="Arial"/>
      <w:kern w:val="0"/>
      <w:sz w:val="24"/>
    </w:rPr>
  </w:style>
  <w:style w:type="character" w:customStyle="1" w:styleId="89">
    <w:name w:val="副标题 Char2"/>
    <w:qFormat/>
    <w:uiPriority w:val="11"/>
    <w:rPr>
      <w:rFonts w:ascii="Cambria" w:hAnsi="Cambria" w:cs="Times New Roman"/>
      <w:b/>
      <w:bCs/>
      <w:kern w:val="28"/>
      <w:sz w:val="32"/>
      <w:szCs w:val="32"/>
    </w:rPr>
  </w:style>
  <w:style w:type="character" w:customStyle="1" w:styleId="90">
    <w:name w:val="文档结构图 字符"/>
    <w:link w:val="16"/>
    <w:qFormat/>
    <w:uiPriority w:val="0"/>
    <w:rPr>
      <w:rFonts w:ascii="宋体"/>
      <w:kern w:val="2"/>
      <w:sz w:val="18"/>
      <w:szCs w:val="18"/>
    </w:rPr>
  </w:style>
  <w:style w:type="character" w:customStyle="1" w:styleId="91">
    <w:name w:val="日期 字符"/>
    <w:link w:val="26"/>
    <w:qFormat/>
    <w:uiPriority w:val="0"/>
    <w:rPr>
      <w:kern w:val="2"/>
      <w:sz w:val="21"/>
      <w:szCs w:val="24"/>
    </w:rPr>
  </w:style>
  <w:style w:type="character" w:customStyle="1" w:styleId="92">
    <w:name w:val="批注主题 Char1"/>
    <w:qFormat/>
    <w:uiPriority w:val="0"/>
    <w:rPr>
      <w:b/>
      <w:bCs/>
      <w:kern w:val="2"/>
      <w:sz w:val="21"/>
      <w:szCs w:val="22"/>
    </w:rPr>
  </w:style>
  <w:style w:type="character" w:customStyle="1" w:styleId="93">
    <w:name w:val="font31"/>
    <w:qFormat/>
    <w:uiPriority w:val="0"/>
    <w:rPr>
      <w:rFonts w:hint="eastAsia" w:ascii="宋体" w:hAnsi="宋体" w:eastAsia="宋体" w:cs="宋体"/>
      <w:color w:val="000000"/>
      <w:sz w:val="20"/>
      <w:szCs w:val="20"/>
      <w:u w:val="none"/>
    </w:rPr>
  </w:style>
  <w:style w:type="character" w:customStyle="1" w:styleId="94">
    <w:name w:val="明显引用 Char"/>
    <w:link w:val="95"/>
    <w:qFormat/>
    <w:uiPriority w:val="0"/>
    <w:rPr>
      <w:b/>
      <w:bCs/>
      <w:i/>
      <w:iCs/>
      <w:color w:val="4F81BD"/>
    </w:rPr>
  </w:style>
  <w:style w:type="paragraph" w:customStyle="1" w:styleId="95">
    <w:name w:val="明显引用1"/>
    <w:basedOn w:val="1"/>
    <w:next w:val="1"/>
    <w:link w:val="9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6">
    <w:name w:val="标题 5 字符"/>
    <w:link w:val="6"/>
    <w:qFormat/>
    <w:uiPriority w:val="0"/>
    <w:rPr>
      <w:b/>
      <w:bCs/>
      <w:kern w:val="2"/>
      <w:sz w:val="28"/>
      <w:szCs w:val="28"/>
    </w:rPr>
  </w:style>
  <w:style w:type="character" w:customStyle="1" w:styleId="97">
    <w:name w:val="日期 Char1"/>
    <w:qFormat/>
    <w:uiPriority w:val="0"/>
    <w:rPr>
      <w:rFonts w:ascii="Calibri" w:hAnsi="Calibri" w:eastAsia="宋体" w:cs="Times New Roman"/>
    </w:rPr>
  </w:style>
  <w:style w:type="character" w:customStyle="1" w:styleId="98">
    <w:name w:val="批注框文本 Char1"/>
    <w:qFormat/>
    <w:uiPriority w:val="0"/>
    <w:rPr>
      <w:kern w:val="2"/>
      <w:sz w:val="18"/>
      <w:szCs w:val="18"/>
    </w:rPr>
  </w:style>
  <w:style w:type="character" w:customStyle="1" w:styleId="99">
    <w:name w:val="标题 Char1"/>
    <w:qFormat/>
    <w:uiPriority w:val="10"/>
    <w:rPr>
      <w:rFonts w:ascii="Cambria" w:hAnsi="Cambria" w:eastAsia="宋体" w:cs="Times New Roman"/>
      <w:b/>
      <w:bCs/>
      <w:sz w:val="32"/>
      <w:szCs w:val="32"/>
    </w:rPr>
  </w:style>
  <w:style w:type="character" w:customStyle="1" w:styleId="100">
    <w:name w:val="标题 9 字符"/>
    <w:link w:val="10"/>
    <w:qFormat/>
    <w:uiPriority w:val="0"/>
    <w:rPr>
      <w:rFonts w:ascii="Cambria" w:hAnsi="Cambria"/>
      <w:kern w:val="2"/>
      <w:sz w:val="21"/>
      <w:szCs w:val="21"/>
    </w:rPr>
  </w:style>
  <w:style w:type="character" w:customStyle="1" w:styleId="101">
    <w:name w:val="不明显参考1"/>
    <w:qFormat/>
    <w:uiPriority w:val="0"/>
    <w:rPr>
      <w:smallCaps/>
      <w:color w:val="C0504D"/>
      <w:u w:val="single"/>
    </w:rPr>
  </w:style>
  <w:style w:type="character" w:customStyle="1" w:styleId="102">
    <w:name w:val="批注文字 Char1"/>
    <w:qFormat/>
    <w:uiPriority w:val="0"/>
    <w:rPr>
      <w:rFonts w:ascii="Calibri" w:hAnsi="Calibri" w:eastAsia="宋体" w:cs="Times New Roman"/>
    </w:rPr>
  </w:style>
  <w:style w:type="character" w:customStyle="1" w:styleId="103">
    <w:name w:val="标题 Char2"/>
    <w:qFormat/>
    <w:uiPriority w:val="10"/>
    <w:rPr>
      <w:rFonts w:ascii="Cambria" w:hAnsi="Cambria" w:cs="Times New Roman"/>
      <w:b/>
      <w:bCs/>
      <w:kern w:val="2"/>
      <w:sz w:val="32"/>
      <w:szCs w:val="32"/>
    </w:rPr>
  </w:style>
  <w:style w:type="character" w:customStyle="1" w:styleId="104">
    <w:name w:val="正文文本 3 Char1"/>
    <w:semiHidden/>
    <w:qFormat/>
    <w:uiPriority w:val="99"/>
    <w:rPr>
      <w:kern w:val="2"/>
      <w:sz w:val="16"/>
      <w:szCs w:val="16"/>
    </w:rPr>
  </w:style>
  <w:style w:type="character" w:customStyle="1" w:styleId="105">
    <w:name w:val="批注主题 Char2"/>
    <w:qFormat/>
    <w:uiPriority w:val="0"/>
    <w:rPr>
      <w:b/>
      <w:bCs/>
      <w:kern w:val="2"/>
      <w:sz w:val="21"/>
    </w:rPr>
  </w:style>
  <w:style w:type="character" w:customStyle="1" w:styleId="106">
    <w:name w:val="标题 3 字符"/>
    <w:link w:val="4"/>
    <w:qFormat/>
    <w:uiPriority w:val="0"/>
    <w:rPr>
      <w:b/>
      <w:bCs/>
      <w:kern w:val="2"/>
      <w:sz w:val="32"/>
      <w:szCs w:val="32"/>
    </w:rPr>
  </w:style>
  <w:style w:type="character" w:customStyle="1" w:styleId="107">
    <w:name w:val="正文文本 Char_0"/>
    <w:link w:val="108"/>
    <w:qFormat/>
    <w:uiPriority w:val="0"/>
    <w:rPr>
      <w:szCs w:val="24"/>
    </w:rPr>
  </w:style>
  <w:style w:type="paragraph" w:customStyle="1" w:styleId="108">
    <w:name w:val="正文文本_0"/>
    <w:basedOn w:val="66"/>
    <w:link w:val="107"/>
    <w:qFormat/>
    <w:uiPriority w:val="0"/>
    <w:pPr>
      <w:spacing w:after="120"/>
    </w:pPr>
    <w:rPr>
      <w:kern w:val="0"/>
      <w:sz w:val="20"/>
    </w:rPr>
  </w:style>
  <w:style w:type="character" w:customStyle="1" w:styleId="109">
    <w:name w:val="副标题 字符"/>
    <w:link w:val="34"/>
    <w:qFormat/>
    <w:uiPriority w:val="0"/>
    <w:rPr>
      <w:rFonts w:ascii="Cambria" w:hAnsi="Cambria"/>
      <w:b/>
      <w:bCs/>
      <w:kern w:val="28"/>
      <w:sz w:val="32"/>
      <w:szCs w:val="32"/>
    </w:rPr>
  </w:style>
  <w:style w:type="character" w:customStyle="1" w:styleId="110">
    <w:name w:val="bookmark"/>
    <w:basedOn w:val="47"/>
    <w:qFormat/>
    <w:uiPriority w:val="0"/>
  </w:style>
  <w:style w:type="character" w:customStyle="1" w:styleId="111">
    <w:name w:val="标题 5 Char_0"/>
    <w:link w:val="112"/>
    <w:qFormat/>
    <w:uiPriority w:val="0"/>
    <w:rPr>
      <w:rFonts w:ascii="Calibri" w:hAnsi="Calibri"/>
      <w:b/>
      <w:bCs/>
      <w:sz w:val="28"/>
      <w:szCs w:val="28"/>
    </w:rPr>
  </w:style>
  <w:style w:type="paragraph" w:customStyle="1" w:styleId="112">
    <w:name w:val="标题 5_0"/>
    <w:basedOn w:val="66"/>
    <w:next w:val="66"/>
    <w:link w:val="111"/>
    <w:qFormat/>
    <w:uiPriority w:val="0"/>
    <w:pPr>
      <w:keepNext/>
      <w:keepLines/>
      <w:spacing w:before="280" w:after="290" w:line="372" w:lineRule="auto"/>
      <w:outlineLvl w:val="4"/>
    </w:pPr>
    <w:rPr>
      <w:rFonts w:ascii="Calibri" w:hAnsi="Calibri"/>
      <w:b/>
      <w:bCs/>
      <w:kern w:val="0"/>
      <w:sz w:val="28"/>
      <w:szCs w:val="28"/>
    </w:rPr>
  </w:style>
  <w:style w:type="character" w:customStyle="1" w:styleId="113">
    <w:name w:val="正文文本缩进 2 字符"/>
    <w:link w:val="27"/>
    <w:qFormat/>
    <w:uiPriority w:val="99"/>
    <w:rPr>
      <w:rFonts w:ascii="宋体"/>
    </w:rPr>
  </w:style>
  <w:style w:type="character" w:customStyle="1" w:styleId="114">
    <w:name w:val="批注文字 字符"/>
    <w:link w:val="17"/>
    <w:qFormat/>
    <w:uiPriority w:val="0"/>
    <w:rPr>
      <w:kern w:val="2"/>
      <w:sz w:val="21"/>
      <w:szCs w:val="24"/>
    </w:rPr>
  </w:style>
  <w:style w:type="character" w:customStyle="1" w:styleId="115">
    <w:name w:val="font11"/>
    <w:qFormat/>
    <w:uiPriority w:val="0"/>
    <w:rPr>
      <w:rFonts w:hint="eastAsia" w:ascii="宋体" w:hAnsi="宋体" w:eastAsia="宋体" w:cs="宋体"/>
      <w:color w:val="000000"/>
      <w:sz w:val="20"/>
      <w:szCs w:val="20"/>
      <w:u w:val="none"/>
    </w:rPr>
  </w:style>
  <w:style w:type="character" w:customStyle="1" w:styleId="116">
    <w:name w:val="明显参考1"/>
    <w:qFormat/>
    <w:uiPriority w:val="0"/>
    <w:rPr>
      <w:b/>
      <w:bCs/>
      <w:smallCaps/>
      <w:color w:val="C0504D"/>
      <w:spacing w:val="5"/>
      <w:u w:val="single"/>
    </w:rPr>
  </w:style>
  <w:style w:type="character" w:customStyle="1" w:styleId="117">
    <w:name w:val="超链接_0"/>
    <w:qFormat/>
    <w:uiPriority w:val="99"/>
    <w:rPr>
      <w:rFonts w:ascii="Calibri" w:hAnsi="Calibri"/>
      <w:color w:val="0000FF"/>
      <w:u w:val="single"/>
    </w:rPr>
  </w:style>
  <w:style w:type="character" w:customStyle="1" w:styleId="118">
    <w:name w:val="文档结构图 Char2"/>
    <w:semiHidden/>
    <w:qFormat/>
    <w:uiPriority w:val="99"/>
    <w:rPr>
      <w:rFonts w:ascii="宋体" w:hAnsi="Calibri" w:eastAsia="宋体" w:cs="Times New Roman"/>
      <w:sz w:val="18"/>
      <w:szCs w:val="18"/>
    </w:rPr>
  </w:style>
  <w:style w:type="character" w:customStyle="1" w:styleId="119">
    <w:name w:val="textcontents"/>
    <w:qFormat/>
    <w:uiPriority w:val="0"/>
    <w:rPr>
      <w:rFonts w:cs="Times New Roman"/>
    </w:rPr>
  </w:style>
  <w:style w:type="character" w:customStyle="1" w:styleId="120">
    <w:name w:val="标题 1 Char"/>
    <w:qFormat/>
    <w:uiPriority w:val="0"/>
    <w:rPr>
      <w:b/>
      <w:bCs/>
      <w:kern w:val="44"/>
      <w:sz w:val="32"/>
      <w:szCs w:val="44"/>
    </w:rPr>
  </w:style>
  <w:style w:type="character" w:customStyle="1" w:styleId="121">
    <w:name w:val="正文文本 字符"/>
    <w:link w:val="19"/>
    <w:qFormat/>
    <w:uiPriority w:val="0"/>
    <w:rPr>
      <w:rFonts w:eastAsia="幼圆"/>
      <w:b/>
      <w:bCs/>
      <w:kern w:val="2"/>
      <w:sz w:val="44"/>
      <w:szCs w:val="24"/>
    </w:rPr>
  </w:style>
  <w:style w:type="character" w:customStyle="1" w:styleId="122">
    <w:name w:val="标题 8 字符"/>
    <w:link w:val="9"/>
    <w:qFormat/>
    <w:uiPriority w:val="0"/>
    <w:rPr>
      <w:rFonts w:ascii="Cambria" w:hAnsi="Cambria"/>
      <w:kern w:val="2"/>
      <w:sz w:val="24"/>
      <w:szCs w:val="24"/>
    </w:rPr>
  </w:style>
  <w:style w:type="character" w:customStyle="1" w:styleId="123">
    <w:name w:val="副标题 Char1"/>
    <w:qFormat/>
    <w:uiPriority w:val="11"/>
    <w:rPr>
      <w:rFonts w:ascii="Cambria" w:hAnsi="Cambria" w:cs="Times New Roman"/>
      <w:b/>
      <w:bCs/>
      <w:kern w:val="28"/>
      <w:sz w:val="32"/>
      <w:szCs w:val="32"/>
    </w:rPr>
  </w:style>
  <w:style w:type="character" w:customStyle="1" w:styleId="124">
    <w:name w:val="批注主题 字符"/>
    <w:link w:val="42"/>
    <w:qFormat/>
    <w:uiPriority w:val="0"/>
    <w:rPr>
      <w:b/>
      <w:bCs/>
      <w:kern w:val="2"/>
      <w:sz w:val="21"/>
      <w:szCs w:val="24"/>
    </w:rPr>
  </w:style>
  <w:style w:type="character" w:customStyle="1" w:styleId="125">
    <w:name w:val="书籍标题1"/>
    <w:qFormat/>
    <w:uiPriority w:val="0"/>
    <w:rPr>
      <w:b/>
      <w:bCs/>
      <w:smallCaps/>
      <w:spacing w:val="5"/>
    </w:rPr>
  </w:style>
  <w:style w:type="character" w:customStyle="1" w:styleId="126">
    <w:name w:val="页脚 字符"/>
    <w:link w:val="29"/>
    <w:qFormat/>
    <w:uiPriority w:val="99"/>
    <w:rPr>
      <w:kern w:val="2"/>
      <w:sz w:val="18"/>
      <w:szCs w:val="18"/>
    </w:rPr>
  </w:style>
  <w:style w:type="character" w:customStyle="1" w:styleId="127">
    <w:name w:val="标题4 Char Char"/>
    <w:link w:val="128"/>
    <w:qFormat/>
    <w:uiPriority w:val="0"/>
    <w:rPr>
      <w:rFonts w:ascii="Arial" w:hAnsi="Arial"/>
      <w:b/>
      <w:bCs/>
      <w:sz w:val="24"/>
      <w:szCs w:val="32"/>
    </w:rPr>
  </w:style>
  <w:style w:type="paragraph" w:customStyle="1" w:styleId="128">
    <w:name w:val="标题4"/>
    <w:basedOn w:val="3"/>
    <w:next w:val="21"/>
    <w:link w:val="127"/>
    <w:qFormat/>
    <w:uiPriority w:val="0"/>
    <w:pPr>
      <w:numPr>
        <w:ilvl w:val="0"/>
        <w:numId w:val="0"/>
      </w:numPr>
      <w:spacing w:line="413" w:lineRule="auto"/>
    </w:pPr>
    <w:rPr>
      <w:rFonts w:ascii="Arial" w:hAnsi="Arial"/>
      <w:kern w:val="0"/>
      <w:sz w:val="24"/>
    </w:rPr>
  </w:style>
  <w:style w:type="character" w:customStyle="1" w:styleId="129">
    <w:name w:val="正文文本 Char1"/>
    <w:qFormat/>
    <w:uiPriority w:val="0"/>
    <w:rPr>
      <w:rFonts w:ascii="Calibri" w:hAnsi="Calibri" w:eastAsia="宋体" w:cs="Times New Roman"/>
    </w:rPr>
  </w:style>
  <w:style w:type="character" w:customStyle="1" w:styleId="130">
    <w:name w:val="明显引用 Char1"/>
    <w:qFormat/>
    <w:uiPriority w:val="30"/>
    <w:rPr>
      <w:b/>
      <w:bCs/>
      <w:i/>
      <w:iCs/>
      <w:color w:val="4F81BD"/>
      <w:kern w:val="2"/>
      <w:sz w:val="21"/>
    </w:rPr>
  </w:style>
  <w:style w:type="character" w:customStyle="1" w:styleId="131">
    <w:name w:val="页眉 Char1"/>
    <w:semiHidden/>
    <w:qFormat/>
    <w:uiPriority w:val="99"/>
    <w:rPr>
      <w:rFonts w:ascii="Calibri" w:hAnsi="Calibri" w:eastAsia="宋体" w:cs="Times New Roman"/>
      <w:sz w:val="18"/>
      <w:szCs w:val="18"/>
    </w:rPr>
  </w:style>
  <w:style w:type="character" w:customStyle="1" w:styleId="132">
    <w:name w:val="不明显强调1"/>
    <w:qFormat/>
    <w:uiPriority w:val="0"/>
    <w:rPr>
      <w:i/>
      <w:iCs/>
      <w:color w:val="808080"/>
    </w:rPr>
  </w:style>
  <w:style w:type="character" w:customStyle="1" w:styleId="133">
    <w:name w:val="正文文本 3 字符"/>
    <w:link w:val="18"/>
    <w:qFormat/>
    <w:uiPriority w:val="0"/>
    <w:rPr>
      <w:rFonts w:ascii="宋体"/>
      <w:kern w:val="2"/>
      <w:sz w:val="24"/>
    </w:rPr>
  </w:style>
  <w:style w:type="character" w:customStyle="1" w:styleId="134">
    <w:name w:val="正文文本缩进 3 字符"/>
    <w:link w:val="36"/>
    <w:qFormat/>
    <w:uiPriority w:val="0"/>
    <w:rPr>
      <w:kern w:val="2"/>
      <w:sz w:val="16"/>
    </w:rPr>
  </w:style>
  <w:style w:type="character" w:customStyle="1" w:styleId="135">
    <w:name w:val="font21"/>
    <w:qFormat/>
    <w:uiPriority w:val="0"/>
    <w:rPr>
      <w:rFonts w:hint="eastAsia" w:ascii="宋体" w:hAnsi="宋体" w:eastAsia="宋体" w:cs="宋体"/>
      <w:color w:val="000000"/>
      <w:sz w:val="20"/>
      <w:szCs w:val="20"/>
      <w:u w:val="none"/>
    </w:rPr>
  </w:style>
  <w:style w:type="character" w:customStyle="1" w:styleId="136">
    <w:name w:val="批注框文本 字符"/>
    <w:link w:val="28"/>
    <w:qFormat/>
    <w:uiPriority w:val="0"/>
    <w:rPr>
      <w:kern w:val="2"/>
      <w:sz w:val="18"/>
      <w:szCs w:val="18"/>
    </w:rPr>
  </w:style>
  <w:style w:type="character" w:customStyle="1" w:styleId="137">
    <w:name w:val="标题 7 字符"/>
    <w:link w:val="8"/>
    <w:qFormat/>
    <w:uiPriority w:val="0"/>
    <w:rPr>
      <w:b/>
      <w:bCs/>
      <w:kern w:val="2"/>
      <w:sz w:val="24"/>
      <w:szCs w:val="24"/>
    </w:rPr>
  </w:style>
  <w:style w:type="character" w:customStyle="1" w:styleId="138">
    <w:name w:val="标题 1 字符"/>
    <w:link w:val="2"/>
    <w:qFormat/>
    <w:uiPriority w:val="0"/>
    <w:rPr>
      <w:b/>
      <w:bCs/>
      <w:kern w:val="44"/>
      <w:sz w:val="32"/>
      <w:szCs w:val="44"/>
    </w:rPr>
  </w:style>
  <w:style w:type="character" w:customStyle="1" w:styleId="139">
    <w:name w:val="文档结构图 Char1"/>
    <w:qFormat/>
    <w:uiPriority w:val="0"/>
    <w:rPr>
      <w:rFonts w:ascii="宋体" w:hAnsi="Calibri" w:eastAsia="宋体" w:cs="Times New Roman"/>
      <w:sz w:val="18"/>
      <w:szCs w:val="18"/>
    </w:rPr>
  </w:style>
  <w:style w:type="character" w:customStyle="1" w:styleId="140">
    <w:name w:val="标题 2 Char_0"/>
    <w:link w:val="141"/>
    <w:qFormat/>
    <w:uiPriority w:val="0"/>
    <w:rPr>
      <w:rFonts w:ascii="Cambria" w:hAnsi="Cambria"/>
      <w:b/>
      <w:bCs/>
      <w:sz w:val="32"/>
      <w:szCs w:val="32"/>
    </w:rPr>
  </w:style>
  <w:style w:type="paragraph" w:customStyle="1" w:styleId="141">
    <w:name w:val="标题 2_0"/>
    <w:basedOn w:val="66"/>
    <w:next w:val="66"/>
    <w:link w:val="140"/>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2">
    <w:name w:val="日期 Char2"/>
    <w:semiHidden/>
    <w:qFormat/>
    <w:uiPriority w:val="99"/>
    <w:rPr>
      <w:rFonts w:ascii="Calibri" w:hAnsi="Calibri" w:eastAsia="宋体" w:cs="Times New Roman"/>
    </w:rPr>
  </w:style>
  <w:style w:type="character" w:customStyle="1" w:styleId="143">
    <w:name w:val="批注框文本 Char2"/>
    <w:semiHidden/>
    <w:qFormat/>
    <w:uiPriority w:val="99"/>
    <w:rPr>
      <w:rFonts w:ascii="Calibri" w:hAnsi="Calibri" w:eastAsia="宋体" w:cs="Times New Roman"/>
      <w:sz w:val="18"/>
      <w:szCs w:val="18"/>
    </w:rPr>
  </w:style>
  <w:style w:type="character" w:customStyle="1" w:styleId="144">
    <w:name w:val="标题 4 字符"/>
    <w:link w:val="5"/>
    <w:qFormat/>
    <w:uiPriority w:val="0"/>
    <w:rPr>
      <w:rFonts w:ascii="Cambria" w:hAnsi="Cambria"/>
      <w:b/>
      <w:bCs/>
      <w:kern w:val="2"/>
      <w:sz w:val="28"/>
      <w:szCs w:val="28"/>
    </w:rPr>
  </w:style>
  <w:style w:type="character" w:customStyle="1" w:styleId="145">
    <w:name w:val="列出段落 Char"/>
    <w:link w:val="146"/>
    <w:qFormat/>
    <w:locked/>
    <w:uiPriority w:val="34"/>
    <w:rPr>
      <w:kern w:val="2"/>
      <w:sz w:val="21"/>
      <w:szCs w:val="24"/>
    </w:rPr>
  </w:style>
  <w:style w:type="paragraph" w:customStyle="1" w:styleId="146">
    <w:name w:val="List Paragraph1"/>
    <w:basedOn w:val="1"/>
    <w:link w:val="145"/>
    <w:qFormat/>
    <w:uiPriority w:val="34"/>
    <w:pPr>
      <w:ind w:firstLine="420" w:firstLineChars="200"/>
    </w:pPr>
  </w:style>
  <w:style w:type="paragraph" w:customStyle="1" w:styleId="14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66"/>
    <w:next w:val="66"/>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92"/>
    <w:qFormat/>
    <w:uiPriority w:val="0"/>
    <w:pPr>
      <w:adjustRightInd w:val="0"/>
      <w:spacing w:line="420" w:lineRule="atLeast"/>
      <w:jc w:val="left"/>
      <w:textAlignment w:val="baseline"/>
    </w:pPr>
    <w:rPr>
      <w:rFonts w:ascii="Calibri" w:hAnsi="Calibri"/>
      <w:kern w:val="0"/>
      <w:szCs w:val="22"/>
    </w:rPr>
  </w:style>
  <w:style w:type="paragraph" w:customStyle="1" w:styleId="16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6">
    <w:name w:val="表格"/>
    <w:basedOn w:val="1"/>
    <w:qFormat/>
    <w:uiPriority w:val="0"/>
    <w:pPr>
      <w:jc w:val="center"/>
      <w:textAlignment w:val="center"/>
    </w:pPr>
    <w:rPr>
      <w:rFonts w:ascii="华文细黑" w:hAnsi="华文细黑"/>
      <w:kern w:val="0"/>
      <w:szCs w:val="22"/>
    </w:rPr>
  </w:style>
  <w:style w:type="paragraph" w:customStyle="1" w:styleId="16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8">
    <w:name w:val="列出段落2"/>
    <w:basedOn w:val="1"/>
    <w:qFormat/>
    <w:uiPriority w:val="34"/>
    <w:pPr>
      <w:ind w:firstLine="420" w:firstLineChars="200"/>
    </w:pPr>
  </w:style>
  <w:style w:type="paragraph" w:customStyle="1" w:styleId="16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0">
    <w:name w:val="Char Char Char Char Char Char Char"/>
    <w:basedOn w:val="1"/>
    <w:qFormat/>
    <w:uiPriority w:val="0"/>
    <w:pPr>
      <w:adjustRightInd w:val="0"/>
      <w:spacing w:line="360" w:lineRule="auto"/>
    </w:pPr>
    <w:rPr>
      <w:kern w:val="0"/>
      <w:sz w:val="24"/>
      <w:szCs w:val="20"/>
    </w:rPr>
  </w:style>
  <w:style w:type="paragraph" w:customStyle="1" w:styleId="171">
    <w:name w:val="2方案格式2"/>
    <w:basedOn w:val="152"/>
    <w:qFormat/>
    <w:uiPriority w:val="0"/>
    <w:pPr>
      <w:numPr>
        <w:ilvl w:val="1"/>
      </w:numPr>
      <w:spacing w:before="50" w:after="50" w:line="240" w:lineRule="auto"/>
      <w:outlineLvl w:val="1"/>
    </w:pPr>
    <w:rPr>
      <w:sz w:val="44"/>
    </w:rPr>
  </w:style>
  <w:style w:type="paragraph" w:customStyle="1" w:styleId="17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目录 4_0"/>
    <w:basedOn w:val="66"/>
    <w:next w:val="66"/>
    <w:qFormat/>
    <w:uiPriority w:val="39"/>
    <w:pPr>
      <w:ind w:left="1260" w:leftChars="600"/>
    </w:pPr>
    <w:rPr>
      <w:rFonts w:ascii="Calibri" w:hAnsi="Calibri"/>
    </w:rPr>
  </w:style>
  <w:style w:type="paragraph" w:customStyle="1" w:styleId="175">
    <w:name w:val="目录 3_0"/>
    <w:basedOn w:val="66"/>
    <w:next w:val="66"/>
    <w:qFormat/>
    <w:uiPriority w:val="39"/>
    <w:pPr>
      <w:ind w:left="840" w:leftChars="400"/>
    </w:pPr>
    <w:rPr>
      <w:rFonts w:ascii="Calibri" w:hAnsi="Calibri"/>
    </w:rPr>
  </w:style>
  <w:style w:type="paragraph" w:customStyle="1" w:styleId="17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77">
    <w:name w:val="1"/>
    <w:basedOn w:val="1"/>
    <w:next w:val="1"/>
    <w:qFormat/>
    <w:uiPriority w:val="0"/>
    <w:rPr>
      <w:rFonts w:ascii="Calibri" w:hAnsi="Calibri"/>
      <w:szCs w:val="22"/>
    </w:rPr>
  </w:style>
  <w:style w:type="paragraph" w:customStyle="1" w:styleId="178">
    <w:name w:val="Blockquote_0"/>
    <w:basedOn w:val="66"/>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p0"/>
    <w:basedOn w:val="1"/>
    <w:qFormat/>
    <w:uiPriority w:val="0"/>
    <w:pPr>
      <w:widowControl/>
    </w:pPr>
    <w:rPr>
      <w:b/>
      <w:bCs/>
      <w:kern w:val="0"/>
      <w:sz w:val="24"/>
    </w:rPr>
  </w:style>
  <w:style w:type="paragraph" w:customStyle="1" w:styleId="18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4">
    <w:name w:val="3方案格式3"/>
    <w:basedOn w:val="171"/>
    <w:qFormat/>
    <w:uiPriority w:val="0"/>
    <w:pPr>
      <w:numPr>
        <w:ilvl w:val="2"/>
      </w:numPr>
      <w:outlineLvl w:val="2"/>
    </w:pPr>
    <w:rPr>
      <w:sz w:val="32"/>
    </w:rPr>
  </w:style>
  <w:style w:type="paragraph" w:customStyle="1" w:styleId="18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6">
    <w:name w:val="标题2"/>
    <w:basedOn w:val="3"/>
    <w:next w:val="19"/>
    <w:qFormat/>
    <w:uiPriority w:val="0"/>
    <w:pPr>
      <w:spacing w:before="156" w:after="156" w:line="360" w:lineRule="auto"/>
    </w:pPr>
    <w:rPr>
      <w:bCs w:val="0"/>
      <w:sz w:val="24"/>
    </w:rPr>
  </w:style>
  <w:style w:type="paragraph" w:customStyle="1" w:styleId="1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8">
    <w:name w:val="正文11"/>
    <w:qFormat/>
    <w:uiPriority w:val="0"/>
    <w:rPr>
      <w:rFonts w:ascii="Calibri" w:hAnsi="Calibri" w:eastAsia="宋体" w:cs="Calibri"/>
      <w:sz w:val="24"/>
      <w:szCs w:val="24"/>
      <w:lang w:val="en-US" w:eastAsia="zh-CN" w:bidi="ar-SA"/>
    </w:rPr>
  </w:style>
  <w:style w:type="paragraph" w:customStyle="1" w:styleId="189">
    <w:name w:val="正文2"/>
    <w:qFormat/>
    <w:uiPriority w:val="0"/>
    <w:rPr>
      <w:rFonts w:ascii="Times New Roman" w:hAnsi="Times New Roman" w:eastAsia="微软雅黑" w:cs="Times New Roman"/>
      <w:sz w:val="24"/>
      <w:szCs w:val="24"/>
      <w:lang w:val="en-US" w:eastAsia="zh-CN" w:bidi="ar-SA"/>
    </w:rPr>
  </w:style>
  <w:style w:type="paragraph" w:customStyle="1" w:styleId="19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1">
    <w:name w:val="纯文本2"/>
    <w:basedOn w:val="1"/>
    <w:qFormat/>
    <w:uiPriority w:val="0"/>
    <w:pPr>
      <w:jc w:val="left"/>
    </w:pPr>
    <w:rPr>
      <w:rFonts w:hint="eastAsia" w:ascii="宋体" w:hAnsi="宋体" w:cs="Courier New"/>
      <w:kern w:val="1"/>
      <w:sz w:val="24"/>
      <w:szCs w:val="20"/>
      <w:lang w:bidi="hi-IN"/>
    </w:rPr>
  </w:style>
  <w:style w:type="character" w:customStyle="1" w:styleId="192">
    <w:name w:val="表格文字 字符"/>
    <w:link w:val="163"/>
    <w:qFormat/>
    <w:uiPriority w:val="0"/>
    <w:rPr>
      <w:rFonts w:ascii="Calibri" w:hAnsi="Calibri" w:eastAsia="宋体" w:cs="Times New Roman"/>
      <w:sz w:val="21"/>
      <w:szCs w:val="22"/>
    </w:rPr>
  </w:style>
  <w:style w:type="paragraph" w:customStyle="1" w:styleId="19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4">
    <w:name w:val="未处理的提及1"/>
    <w:basedOn w:val="47"/>
    <w:semiHidden/>
    <w:unhideWhenUsed/>
    <w:qFormat/>
    <w:uiPriority w:val="99"/>
    <w:rPr>
      <w:color w:val="605E5C"/>
      <w:shd w:val="clear" w:color="auto" w:fill="E1DFDD"/>
    </w:rPr>
  </w:style>
  <w:style w:type="paragraph" w:customStyle="1" w:styleId="195">
    <w:name w:val="_Style 3"/>
    <w:basedOn w:val="1"/>
    <w:qFormat/>
    <w:uiPriority w:val="99"/>
    <w:pPr>
      <w:ind w:firstLine="420" w:firstLineChars="200"/>
    </w:pPr>
    <w:rPr>
      <w:szCs w:val="22"/>
    </w:rPr>
  </w:style>
  <w:style w:type="table" w:customStyle="1" w:styleId="196">
    <w:name w:val="网格型1"/>
    <w:basedOn w:val="45"/>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7">
    <w:name w:val="批注文字 字符1"/>
    <w:qFormat/>
    <w:uiPriority w:val="99"/>
    <w:rPr>
      <w:sz w:val="24"/>
      <w:szCs w:val="22"/>
    </w:rPr>
  </w:style>
  <w:style w:type="character" w:customStyle="1" w:styleId="198">
    <w:name w:val="f141"/>
    <w:qFormat/>
    <w:uiPriority w:val="0"/>
    <w:rPr>
      <w:sz w:val="21"/>
      <w:szCs w:val="21"/>
    </w:rPr>
  </w:style>
  <w:style w:type="character" w:customStyle="1" w:styleId="199">
    <w:name w:val="p141"/>
    <w:qFormat/>
    <w:uiPriority w:val="0"/>
    <w:rPr>
      <w:sz w:val="21"/>
      <w:szCs w:val="21"/>
    </w:rPr>
  </w:style>
  <w:style w:type="character" w:customStyle="1" w:styleId="200">
    <w:name w:val="s10pv000000"/>
    <w:basedOn w:val="47"/>
    <w:qFormat/>
    <w:uiPriority w:val="0"/>
  </w:style>
  <w:style w:type="paragraph" w:customStyle="1" w:styleId="20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4">
    <w:name w:val="样式4"/>
    <w:basedOn w:val="1"/>
    <w:qFormat/>
    <w:uiPriority w:val="0"/>
    <w:pPr>
      <w:tabs>
        <w:tab w:val="left" w:pos="2328"/>
      </w:tabs>
      <w:ind w:left="2328" w:hanging="708"/>
    </w:pPr>
  </w:style>
  <w:style w:type="paragraph" w:customStyle="1" w:styleId="20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6">
    <w:name w:val="3 Char"/>
    <w:basedOn w:val="1"/>
    <w:qFormat/>
    <w:uiPriority w:val="0"/>
    <w:pPr>
      <w:widowControl/>
      <w:spacing w:line="400" w:lineRule="exact"/>
      <w:jc w:val="center"/>
    </w:pPr>
    <w:rPr>
      <w:rFonts w:ascii="Verdana" w:hAnsi="Verdana"/>
      <w:kern w:val="0"/>
      <w:szCs w:val="20"/>
      <w:lang w:eastAsia="en-US"/>
    </w:rPr>
  </w:style>
  <w:style w:type="paragraph" w:customStyle="1" w:styleId="20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0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0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4">
    <w:name w:val="默认段落字体 Para Char Char Char Char"/>
    <w:basedOn w:val="1"/>
    <w:qFormat/>
    <w:uiPriority w:val="0"/>
    <w:rPr>
      <w:szCs w:val="20"/>
    </w:rPr>
  </w:style>
  <w:style w:type="paragraph" w:customStyle="1" w:styleId="21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18">
    <w:name w:val="纯文本 Char1"/>
    <w:basedOn w:val="47"/>
    <w:qFormat/>
    <w:uiPriority w:val="0"/>
    <w:rPr>
      <w:rFonts w:ascii="宋体" w:hAnsi="Courier New" w:eastAsia="宋体" w:cs="Courier New"/>
      <w:szCs w:val="21"/>
    </w:rPr>
  </w:style>
  <w:style w:type="character" w:customStyle="1" w:styleId="219">
    <w:name w:val="HTML 预设格式 字符"/>
    <w:basedOn w:val="47"/>
    <w:link w:val="38"/>
    <w:qFormat/>
    <w:uiPriority w:val="99"/>
    <w:rPr>
      <w:rFonts w:ascii="宋体" w:hAnsi="宋体"/>
      <w:sz w:val="24"/>
      <w:szCs w:val="24"/>
    </w:rPr>
  </w:style>
  <w:style w:type="paragraph" w:customStyle="1" w:styleId="220">
    <w:name w:val="Char1 Char Char Char"/>
    <w:basedOn w:val="1"/>
    <w:qFormat/>
    <w:uiPriority w:val="0"/>
    <w:rPr>
      <w:szCs w:val="20"/>
    </w:rPr>
  </w:style>
  <w:style w:type="paragraph" w:customStyle="1" w:styleId="221">
    <w:name w:val="Char1"/>
    <w:basedOn w:val="1"/>
    <w:qFormat/>
    <w:uiPriority w:val="0"/>
    <w:pPr>
      <w:widowControl/>
      <w:spacing w:after="160" w:line="240" w:lineRule="exact"/>
      <w:jc w:val="left"/>
    </w:pPr>
    <w:rPr>
      <w:sz w:val="24"/>
    </w:rPr>
  </w:style>
  <w:style w:type="paragraph" w:customStyle="1" w:styleId="222">
    <w:name w:val="默认段落字体 Para Char"/>
    <w:basedOn w:val="1"/>
    <w:qFormat/>
    <w:uiPriority w:val="0"/>
  </w:style>
  <w:style w:type="paragraph" w:customStyle="1" w:styleId="22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5">
    <w:name w:val="Char Char2 Char"/>
    <w:basedOn w:val="1"/>
    <w:qFormat/>
    <w:uiPriority w:val="0"/>
    <w:rPr>
      <w:rFonts w:ascii="宋体" w:hAnsi="宋体"/>
      <w:b/>
      <w:sz w:val="28"/>
      <w:szCs w:val="28"/>
    </w:rPr>
  </w:style>
  <w:style w:type="character" w:customStyle="1" w:styleId="226">
    <w:name w:val="正文缩进 字符"/>
    <w:link w:val="14"/>
    <w:qFormat/>
    <w:uiPriority w:val="0"/>
    <w:rPr>
      <w:b/>
      <w:kern w:val="2"/>
      <w:sz w:val="24"/>
    </w:rPr>
  </w:style>
  <w:style w:type="paragraph" w:customStyle="1" w:styleId="227">
    <w:name w:val="Char Char Char"/>
    <w:basedOn w:val="1"/>
    <w:qFormat/>
    <w:uiPriority w:val="0"/>
    <w:rPr>
      <w:rFonts w:ascii="宋体" w:hAnsi="宋体"/>
      <w:b/>
      <w:sz w:val="28"/>
      <w:szCs w:val="28"/>
    </w:rPr>
  </w:style>
  <w:style w:type="paragraph" w:customStyle="1" w:styleId="228">
    <w:name w:val="Char2"/>
    <w:basedOn w:val="1"/>
    <w:qFormat/>
    <w:uiPriority w:val="0"/>
    <w:pPr>
      <w:widowControl/>
      <w:spacing w:after="160" w:line="240" w:lineRule="exact"/>
      <w:jc w:val="left"/>
    </w:pPr>
    <w:rPr>
      <w:szCs w:val="20"/>
    </w:rPr>
  </w:style>
  <w:style w:type="paragraph" w:customStyle="1" w:styleId="22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0">
    <w:name w:val="description5"/>
    <w:basedOn w:val="47"/>
    <w:qFormat/>
    <w:uiPriority w:val="0"/>
  </w:style>
  <w:style w:type="character" w:styleId="231">
    <w:name w:val="Placeholder Text"/>
    <w:semiHidden/>
    <w:qFormat/>
    <w:uiPriority w:val="99"/>
    <w:rPr>
      <w:color w:val="808080"/>
    </w:rPr>
  </w:style>
  <w:style w:type="paragraph" w:customStyle="1" w:styleId="232">
    <w:name w:val="Table Paragraph"/>
    <w:basedOn w:val="1"/>
    <w:qFormat/>
    <w:uiPriority w:val="1"/>
    <w:pPr>
      <w:autoSpaceDE w:val="0"/>
      <w:autoSpaceDN w:val="0"/>
      <w:adjustRightInd w:val="0"/>
      <w:jc w:val="left"/>
    </w:pPr>
    <w:rPr>
      <w:kern w:val="0"/>
      <w:sz w:val="24"/>
    </w:rPr>
  </w:style>
  <w:style w:type="character" w:customStyle="1" w:styleId="233">
    <w:name w:val="Char Char7"/>
    <w:qFormat/>
    <w:locked/>
    <w:uiPriority w:val="0"/>
    <w:rPr>
      <w:rFonts w:ascii="Tahoma" w:hAnsi="Tahoma" w:eastAsia="微软雅黑"/>
      <w:b/>
      <w:bCs/>
      <w:sz w:val="32"/>
      <w:szCs w:val="32"/>
      <w:lang w:val="en-US" w:eastAsia="zh-CN" w:bidi="ar-SA"/>
    </w:rPr>
  </w:style>
  <w:style w:type="character" w:customStyle="1" w:styleId="234">
    <w:name w:val="font01"/>
    <w:qFormat/>
    <w:uiPriority w:val="0"/>
    <w:rPr>
      <w:rFonts w:hint="eastAsia" w:ascii="宋体" w:hAnsi="宋体" w:eastAsia="宋体" w:cs="宋体"/>
      <w:color w:val="000000"/>
      <w:sz w:val="20"/>
      <w:szCs w:val="20"/>
      <w:u w:val="none"/>
    </w:rPr>
  </w:style>
  <w:style w:type="character" w:customStyle="1" w:styleId="235">
    <w:name w:val="font81"/>
    <w:qFormat/>
    <w:uiPriority w:val="0"/>
    <w:rPr>
      <w:rFonts w:hint="eastAsia" w:ascii="宋体" w:hAnsi="宋体" w:eastAsia="宋体" w:cs="宋体"/>
      <w:color w:val="000000"/>
      <w:sz w:val="22"/>
      <w:szCs w:val="22"/>
      <w:u w:val="none"/>
    </w:rPr>
  </w:style>
  <w:style w:type="character" w:customStyle="1" w:styleId="236">
    <w:name w:val="font71"/>
    <w:qFormat/>
    <w:uiPriority w:val="0"/>
    <w:rPr>
      <w:rFonts w:hint="eastAsia" w:ascii="宋体" w:hAnsi="宋体" w:eastAsia="宋体" w:cs="宋体"/>
      <w:color w:val="000000"/>
      <w:sz w:val="22"/>
      <w:szCs w:val="22"/>
      <w:u w:val="none"/>
    </w:rPr>
  </w:style>
  <w:style w:type="character" w:customStyle="1" w:styleId="237">
    <w:name w:val="font51"/>
    <w:qFormat/>
    <w:uiPriority w:val="0"/>
    <w:rPr>
      <w:rFonts w:hint="default" w:ascii="Calibri" w:hAnsi="Calibri" w:cs="Calibri"/>
      <w:color w:val="000000"/>
      <w:sz w:val="22"/>
      <w:szCs w:val="22"/>
      <w:u w:val="none"/>
    </w:rPr>
  </w:style>
  <w:style w:type="character" w:customStyle="1" w:styleId="238">
    <w:name w:val="font61"/>
    <w:qFormat/>
    <w:uiPriority w:val="0"/>
    <w:rPr>
      <w:rFonts w:hint="default" w:ascii="Calibri" w:hAnsi="Calibri" w:cs="Calibri"/>
      <w:color w:val="000000"/>
      <w:sz w:val="22"/>
      <w:szCs w:val="22"/>
      <w:u w:val="none"/>
    </w:rPr>
  </w:style>
  <w:style w:type="character" w:customStyle="1" w:styleId="239">
    <w:name w:val="font41"/>
    <w:qFormat/>
    <w:uiPriority w:val="0"/>
    <w:rPr>
      <w:rFonts w:hint="eastAsia" w:ascii="宋体" w:hAnsi="宋体" w:eastAsia="宋体" w:cs="宋体"/>
      <w:color w:val="000000"/>
      <w:sz w:val="22"/>
      <w:szCs w:val="22"/>
      <w:u w:val="none"/>
    </w:rPr>
  </w:style>
  <w:style w:type="character" w:customStyle="1" w:styleId="240">
    <w:name w:val="未处理的提及2"/>
    <w:basedOn w:val="47"/>
    <w:semiHidden/>
    <w:unhideWhenUsed/>
    <w:qFormat/>
    <w:uiPriority w:val="99"/>
    <w:rPr>
      <w:color w:val="605E5C"/>
      <w:shd w:val="clear" w:color="auto" w:fill="E1DFDD"/>
    </w:rPr>
  </w:style>
  <w:style w:type="character" w:customStyle="1" w:styleId="241">
    <w:name w:val="未处理的提及3"/>
    <w:basedOn w:val="47"/>
    <w:semiHidden/>
    <w:unhideWhenUsed/>
    <w:qFormat/>
    <w:uiPriority w:val="99"/>
    <w:rPr>
      <w:color w:val="605E5C"/>
      <w:shd w:val="clear" w:color="auto" w:fill="E1DFDD"/>
    </w:rPr>
  </w:style>
  <w:style w:type="paragraph" w:customStyle="1" w:styleId="242">
    <w:name w:val="_Style 234"/>
    <w:basedOn w:val="1"/>
    <w:next w:val="61"/>
    <w:qFormat/>
    <w:uiPriority w:val="34"/>
    <w:pPr>
      <w:spacing w:line="400" w:lineRule="exact"/>
      <w:ind w:left="420" w:firstLine="420" w:firstLineChars="200"/>
    </w:pPr>
    <w:rPr>
      <w:rFonts w:ascii="Calibri" w:hAnsi="Calibri"/>
    </w:rPr>
  </w:style>
  <w:style w:type="character" w:customStyle="1" w:styleId="243">
    <w:name w:val="列表段落 字符"/>
    <w:link w:val="61"/>
    <w:qFormat/>
    <w:locked/>
    <w:uiPriority w:val="99"/>
    <w:rPr>
      <w:kern w:val="2"/>
      <w:sz w:val="21"/>
      <w:szCs w:val="24"/>
    </w:rPr>
  </w:style>
  <w:style w:type="character" w:customStyle="1" w:styleId="244">
    <w:name w:val="彩色列表 - 强调文字颜色 1字符"/>
    <w:qFormat/>
    <w:uiPriority w:val="34"/>
    <w:rPr>
      <w:rFonts w:ascii="Calibri" w:hAnsi="Calibri"/>
      <w:kern w:val="2"/>
      <w:sz w:val="21"/>
      <w:szCs w:val="24"/>
    </w:rPr>
  </w:style>
  <w:style w:type="character" w:customStyle="1" w:styleId="245">
    <w:name w:val="批注主题 字符1"/>
    <w:basedOn w:val="197"/>
    <w:semiHidden/>
    <w:qFormat/>
    <w:uiPriority w:val="99"/>
    <w:rPr>
      <w:rFonts w:ascii="Calibri" w:hAnsi="Calibri" w:eastAsia="宋体" w:cs="Times New Roman"/>
      <w:b/>
      <w:bCs/>
      <w:sz w:val="24"/>
      <w:szCs w:val="24"/>
    </w:rPr>
  </w:style>
  <w:style w:type="character" w:customStyle="1" w:styleId="246">
    <w:name w:val="正文文本缩进 2 字符1"/>
    <w:basedOn w:val="47"/>
    <w:semiHidden/>
    <w:qFormat/>
    <w:uiPriority w:val="99"/>
    <w:rPr>
      <w:rFonts w:ascii="Calibri" w:hAnsi="Calibri" w:eastAsia="宋体" w:cs="Times New Roman"/>
      <w:szCs w:val="24"/>
    </w:rPr>
  </w:style>
  <w:style w:type="character" w:customStyle="1" w:styleId="247">
    <w:name w:val="标题 字符1"/>
    <w:basedOn w:val="47"/>
    <w:qFormat/>
    <w:uiPriority w:val="10"/>
    <w:rPr>
      <w:rFonts w:asciiTheme="majorHAnsi" w:hAnsiTheme="majorHAnsi" w:eastAsiaTheme="majorEastAsia" w:cstheme="majorBidi"/>
      <w:b/>
      <w:bCs/>
      <w:sz w:val="32"/>
      <w:szCs w:val="32"/>
    </w:rPr>
  </w:style>
  <w:style w:type="character" w:customStyle="1" w:styleId="248">
    <w:name w:val="正文文本缩进 字符1"/>
    <w:basedOn w:val="47"/>
    <w:semiHidden/>
    <w:qFormat/>
    <w:uiPriority w:val="99"/>
    <w:rPr>
      <w:rFonts w:ascii="Calibri" w:hAnsi="Calibri" w:eastAsia="宋体" w:cs="Times New Roman"/>
      <w:szCs w:val="24"/>
    </w:rPr>
  </w:style>
  <w:style w:type="character" w:customStyle="1" w:styleId="249">
    <w:name w:val="副标题 字符1"/>
    <w:basedOn w:val="47"/>
    <w:qFormat/>
    <w:uiPriority w:val="11"/>
    <w:rPr>
      <w:b/>
      <w:bCs/>
      <w:kern w:val="28"/>
      <w:sz w:val="32"/>
      <w:szCs w:val="32"/>
    </w:rPr>
  </w:style>
  <w:style w:type="character" w:customStyle="1" w:styleId="250">
    <w:name w:val="日期 字符1"/>
    <w:basedOn w:val="47"/>
    <w:semiHidden/>
    <w:qFormat/>
    <w:uiPriority w:val="99"/>
    <w:rPr>
      <w:rFonts w:ascii="Calibri" w:hAnsi="Calibri" w:eastAsia="宋体" w:cs="Times New Roman"/>
      <w:szCs w:val="24"/>
    </w:rPr>
  </w:style>
  <w:style w:type="paragraph" w:customStyle="1" w:styleId="251">
    <w:name w:val="修订2"/>
    <w:unhideWhenUsed/>
    <w:qFormat/>
    <w:uiPriority w:val="99"/>
    <w:rPr>
      <w:rFonts w:ascii="Calibri" w:hAnsi="Calibri" w:eastAsia="宋体" w:cs="Times New Roman"/>
      <w:kern w:val="2"/>
      <w:sz w:val="21"/>
      <w:szCs w:val="24"/>
      <w:lang w:val="en-US" w:eastAsia="zh-CN" w:bidi="ar-SA"/>
    </w:rPr>
  </w:style>
  <w:style w:type="character" w:customStyle="1" w:styleId="252">
    <w:name w:val="正文文本 字符1"/>
    <w:basedOn w:val="47"/>
    <w:semiHidden/>
    <w:qFormat/>
    <w:uiPriority w:val="99"/>
    <w:rPr>
      <w:rFonts w:ascii="Calibri" w:hAnsi="Calibri" w:eastAsia="宋体" w:cs="Times New Roman"/>
      <w:szCs w:val="24"/>
    </w:rPr>
  </w:style>
  <w:style w:type="character" w:customStyle="1" w:styleId="253">
    <w:name w:val="批注框文本 字符1"/>
    <w:basedOn w:val="47"/>
    <w:semiHidden/>
    <w:qFormat/>
    <w:uiPriority w:val="99"/>
    <w:rPr>
      <w:rFonts w:ascii="Calibri" w:hAnsi="Calibri" w:eastAsia="宋体" w:cs="Times New Roman"/>
      <w:sz w:val="18"/>
      <w:szCs w:val="18"/>
    </w:rPr>
  </w:style>
  <w:style w:type="paragraph" w:customStyle="1" w:styleId="25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5">
    <w:name w:val="纯文本 字符1"/>
    <w:basedOn w:val="47"/>
    <w:semiHidden/>
    <w:qFormat/>
    <w:uiPriority w:val="99"/>
    <w:rPr>
      <w:rFonts w:hAnsi="Courier New" w:cs="Courier New" w:asciiTheme="minorEastAsia"/>
      <w:szCs w:val="24"/>
    </w:rPr>
  </w:style>
  <w:style w:type="character" w:customStyle="1" w:styleId="256">
    <w:name w:val="文档结构图 字符1"/>
    <w:basedOn w:val="47"/>
    <w:semiHidden/>
    <w:qFormat/>
    <w:uiPriority w:val="99"/>
    <w:rPr>
      <w:rFonts w:ascii="Microsoft YaHei UI" w:hAnsi="Calibri" w:eastAsia="Microsoft YaHei UI" w:cs="Times New Roman"/>
      <w:sz w:val="18"/>
      <w:szCs w:val="18"/>
    </w:rPr>
  </w:style>
  <w:style w:type="character" w:customStyle="1" w:styleId="257">
    <w:name w:val="正文文本 3 字符1"/>
    <w:basedOn w:val="47"/>
    <w:semiHidden/>
    <w:qFormat/>
    <w:uiPriority w:val="99"/>
    <w:rPr>
      <w:rFonts w:ascii="Calibri" w:hAnsi="Calibri" w:eastAsia="宋体" w:cs="Times New Roman"/>
      <w:sz w:val="16"/>
      <w:szCs w:val="16"/>
    </w:rPr>
  </w:style>
  <w:style w:type="paragraph" w:customStyle="1" w:styleId="258">
    <w:name w:val="_Style 106"/>
    <w:basedOn w:val="1"/>
    <w:next w:val="61"/>
    <w:qFormat/>
    <w:uiPriority w:val="34"/>
    <w:pPr>
      <w:spacing w:line="400" w:lineRule="exact"/>
      <w:ind w:left="420" w:firstLine="420" w:firstLineChars="200"/>
    </w:pPr>
    <w:rPr>
      <w:rFonts w:ascii="Calibri" w:hAnsi="Calibri"/>
    </w:rPr>
  </w:style>
  <w:style w:type="character" w:customStyle="1" w:styleId="259">
    <w:name w:val="正文文本缩进 3 字符1"/>
    <w:basedOn w:val="47"/>
    <w:semiHidden/>
    <w:qFormat/>
    <w:uiPriority w:val="99"/>
    <w:rPr>
      <w:rFonts w:ascii="Calibri" w:hAnsi="Calibri" w:eastAsia="宋体" w:cs="Times New Roman"/>
      <w:sz w:val="16"/>
      <w:szCs w:val="16"/>
    </w:rPr>
  </w:style>
  <w:style w:type="character" w:customStyle="1" w:styleId="260">
    <w:name w:val="未处理的提及4"/>
    <w:basedOn w:val="47"/>
    <w:semiHidden/>
    <w:unhideWhenUsed/>
    <w:qFormat/>
    <w:uiPriority w:val="99"/>
    <w:rPr>
      <w:color w:val="605E5C"/>
      <w:shd w:val="clear" w:color="auto" w:fill="E1DFDD"/>
    </w:rPr>
  </w:style>
  <w:style w:type="character" w:customStyle="1" w:styleId="261">
    <w:name w:val="未处理的提及5"/>
    <w:basedOn w:val="47"/>
    <w:semiHidden/>
    <w:unhideWhenUsed/>
    <w:qFormat/>
    <w:uiPriority w:val="99"/>
    <w:rPr>
      <w:color w:val="605E5C"/>
      <w:shd w:val="clear" w:color="auto" w:fill="E1DFDD"/>
    </w:rPr>
  </w:style>
  <w:style w:type="character" w:customStyle="1" w:styleId="262">
    <w:name w:val="未处理的提及6"/>
    <w:basedOn w:val="47"/>
    <w:semiHidden/>
    <w:unhideWhenUsed/>
    <w:qFormat/>
    <w:uiPriority w:val="99"/>
    <w:rPr>
      <w:color w:val="605E5C"/>
      <w:shd w:val="clear" w:color="auto" w:fill="E1DFDD"/>
    </w:rPr>
  </w:style>
  <w:style w:type="character" w:customStyle="1" w:styleId="263">
    <w:name w:val="font101"/>
    <w:qFormat/>
    <w:uiPriority w:val="0"/>
    <w:rPr>
      <w:rFonts w:ascii="PingFangTC-light" w:hAnsi="PingFangTC-light" w:eastAsia="PingFangTC-light" w:cs="PingFangTC-light"/>
      <w:color w:val="FF0000"/>
      <w:sz w:val="22"/>
      <w:szCs w:val="22"/>
      <w:u w:val="none"/>
    </w:rPr>
  </w:style>
  <w:style w:type="character" w:customStyle="1" w:styleId="264">
    <w:name w:val="font112"/>
    <w:qFormat/>
    <w:uiPriority w:val="0"/>
    <w:rPr>
      <w:rFonts w:ascii="Calibri" w:hAnsi="Calibri" w:cs="Calibri"/>
      <w:color w:val="FF0000"/>
      <w:sz w:val="21"/>
      <w:szCs w:val="21"/>
      <w:u w:val="none"/>
    </w:rPr>
  </w:style>
  <w:style w:type="character" w:customStyle="1" w:styleId="265">
    <w:name w:val="font121"/>
    <w:qFormat/>
    <w:uiPriority w:val="0"/>
    <w:rPr>
      <w:rFonts w:hint="eastAsia" w:ascii="宋体" w:hAnsi="宋体" w:eastAsia="宋体" w:cs="宋体"/>
      <w:color w:val="000000"/>
      <w:sz w:val="20"/>
      <w:szCs w:val="20"/>
      <w:u w:val="none"/>
    </w:rPr>
  </w:style>
  <w:style w:type="character" w:customStyle="1" w:styleId="266">
    <w:name w:val="纯文本 Char"/>
    <w:qFormat/>
    <w:uiPriority w:val="0"/>
    <w:rPr>
      <w:rFonts w:ascii="宋体" w:hAnsi="Courier New" w:eastAsia="宋体" w:cs="Courier New"/>
      <w:szCs w:val="21"/>
    </w:rPr>
  </w:style>
  <w:style w:type="character" w:customStyle="1" w:styleId="267">
    <w:name w:val="NormalCharacter"/>
    <w:qFormat/>
    <w:uiPriority w:val="0"/>
    <w:rPr>
      <w:rFonts w:ascii="Times New Roman" w:hAnsi="Times New Roman" w:eastAsia="宋体" w:cs="Times New Roman"/>
      <w:kern w:val="2"/>
      <w:sz w:val="21"/>
      <w:szCs w:val="22"/>
      <w:lang w:val="en-US" w:eastAsia="zh-CN" w:bidi="ar-SA"/>
    </w:rPr>
  </w:style>
  <w:style w:type="paragraph" w:customStyle="1" w:styleId="26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69">
    <w:name w:val="一级条标题"/>
    <w:basedOn w:val="270"/>
    <w:next w:val="27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0">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271">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272">
    <w:name w:val="首行缩进"/>
    <w:autoRedefine/>
    <w:qFormat/>
    <w:uiPriority w:val="0"/>
    <w:pPr>
      <w:widowControl w:val="0"/>
      <w:spacing w:line="360" w:lineRule="auto"/>
      <w:ind w:firstLine="480" w:firstLineChars="200"/>
    </w:pPr>
    <w:rPr>
      <w:rFonts w:ascii="宋体" w:hAnsi="宋体" w:eastAsia="宋体" w:cs="宋体"/>
      <w:kern w:val="2"/>
      <w:sz w:val="24"/>
      <w:szCs w:val="24"/>
      <w:lang w:val="en-US" w:eastAsia="zh-CN" w:bidi="ar-SA"/>
    </w:rPr>
  </w:style>
  <w:style w:type="paragraph" w:customStyle="1" w:styleId="273">
    <w:name w:val="RZM投标图片和表格"/>
    <w:basedOn w:val="1"/>
    <w:qFormat/>
    <w:uiPriority w:val="0"/>
    <w:rPr>
      <w:szCs w:val="20"/>
    </w:rPr>
  </w:style>
  <w:style w:type="paragraph" w:customStyle="1" w:styleId="274">
    <w:name w:val="列表段落1"/>
    <w:basedOn w:val="1"/>
    <w:next w:val="17"/>
    <w:qFormat/>
    <w:uiPriority w:val="0"/>
    <w:pPr>
      <w:ind w:firstLine="420"/>
    </w:pPr>
  </w:style>
  <w:style w:type="paragraph" w:customStyle="1" w:styleId="275">
    <w:name w:val="正文缩进1"/>
    <w:basedOn w:val="1"/>
    <w:next w:val="1"/>
    <w:qFormat/>
    <w:uiPriority w:val="0"/>
    <w:pPr>
      <w:ind w:firstLine="420"/>
    </w:pPr>
    <w:rPr>
      <w:szCs w:val="21"/>
    </w:rPr>
  </w:style>
  <w:style w:type="paragraph" w:customStyle="1" w:styleId="276">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7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78">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79">
    <w:name w:val="biaoge wenben"/>
    <w:qFormat/>
    <w:uiPriority w:val="0"/>
    <w:pPr>
      <w:widowControl w:val="0"/>
      <w:suppressAutoHyphens/>
    </w:pPr>
    <w:rPr>
      <w:rFonts w:ascii="Times New Roman" w:hAnsi="Times New Roman" w:eastAsia="宋体" w:cs="Times New Roman"/>
      <w:kern w:val="2"/>
      <w:sz w:val="24"/>
      <w:szCs w:val="22"/>
      <w:lang w:val="en-US" w:eastAsia="zh-CN" w:bidi="ar-SA"/>
    </w:rPr>
  </w:style>
  <w:style w:type="paragraph" w:customStyle="1" w:styleId="280">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81">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282">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0873C3-1D62-4EB1-90CA-246183C3F169}">
  <ds:schemaRefs/>
</ds:datastoreItem>
</file>

<file path=customXml/itemProps3.xml><?xml version="1.0" encoding="utf-8"?>
<ds:datastoreItem xmlns:ds="http://schemas.openxmlformats.org/officeDocument/2006/customXml" ds:itemID="{AE97110C-3F70-47BD-B1BC-E739F75BC1EA}">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74</Pages>
  <Words>237</Words>
  <Characters>279</Characters>
  <Lines>369</Lines>
  <Paragraphs>104</Paragraphs>
  <TotalTime>16</TotalTime>
  <ScaleCrop>false</ScaleCrop>
  <LinksUpToDate>false</LinksUpToDate>
  <CharactersWithSpaces>295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2022-09-22T01:08:00Z</dcterms:created>
  <dc:creator>Lenovo User</dc:creator>
  <cp:lastModifiedBy>sugussss</cp:lastModifiedBy>
  <cp:lastPrinted>2026-03-26T02:39:00Z</cp:lastPrinted>
  <dcterms:modified xsi:type="dcterms:W3CDTF">2026-09-30T00:01:24Z</dcterms:modified>
  <dc:title>公开招标文件</dc:title>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506B9FB0D3B747F694A620DA7E5E3473_13</vt:lpwstr>
  </property>
  <property fmtid="{D5CDD505-2E9C-101B-9397-08002B2CF9AE}" pid="4" name="KSOTemplateDocerSaveRecord">
    <vt:lpwstr>eyJoZGlkIjoiYTc2ZGZiNzZiNDVlOGViOWVmM2JhOTY0NGJkNjUyYzgiLCJ1c2VySWQiOiIxMTQ0NDg0NzI4In0=</vt:lpwstr>
  </property>
</Properties>
</file>