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pStyle w:val="1016"/>
        <w:rPr>
          <w:rFonts w:ascii="Times New Roman"/>
          <w:color w:val="000000"/>
        </w:rPr>
      </w:pPr>
      <w:r>
        <w:rPr>
          <w:rFonts w:ascii="Times New Roman"/>
          <w:color w:val="000000"/>
        </w:rPr>
      </w:r>
      <w:r/>
    </w:p>
    <w:p>
      <w:pPr>
        <w:pStyle w:val="1044"/>
        <w:ind w:firstLine="280"/>
        <w:rPr>
          <w:rFonts w:ascii="Times New Roman"/>
          <w:color w:val="000000"/>
        </w:rPr>
      </w:pPr>
      <w:r>
        <w:rPr>
          <w:rFonts w:ascii="Times New Roman"/>
          <w:color w:val="000000"/>
        </w:rPr>
      </w:r>
      <w:r/>
    </w:p>
    <w:p>
      <w:pPr>
        <w:pStyle w:val="1121"/>
        <w:ind w:firstLine="0"/>
        <w:jc w:val="both"/>
        <w:spacing w:before="312" w:after="156"/>
        <w:rPr>
          <w:rFonts w:ascii="Times New Roman" w:hAnsi="Times New Roman" w:eastAsia="华文中宋"/>
          <w:b/>
          <w:color w:val="000000"/>
          <w:sz w:val="80"/>
          <w:szCs w:val="80"/>
        </w:rPr>
      </w:pPr>
      <w:r>
        <w:rPr>
          <w:rFonts w:ascii="Times New Roman" w:hAnsi="Times New Roman" w:eastAsia="华文中宋"/>
          <w:b/>
          <w:color w:val="000000"/>
          <w:sz w:val="80"/>
          <w:szCs w:val="80"/>
        </w:rPr>
        <w:t xml:space="preserve">江苏省质量和标准化研究院</w:t>
      </w:r>
      <w:r/>
    </w:p>
    <w:p>
      <w:pPr>
        <w:pStyle w:val="1121"/>
        <w:ind w:firstLine="0"/>
        <w:jc w:val="center"/>
        <w:spacing w:before="312" w:after="156"/>
        <w:rPr>
          <w:rFonts w:ascii="Times New Roman" w:hAnsi="Times New Roman" w:eastAsia="华文中宋"/>
          <w:bCs/>
          <w:color w:val="000000"/>
          <w:sz w:val="80"/>
          <w:szCs w:val="80"/>
        </w:rPr>
      </w:pPr>
      <w:r>
        <w:rPr>
          <w:rFonts w:ascii="Times New Roman" w:hAnsi="Times New Roman" w:eastAsia="华文中宋"/>
          <w:bCs/>
          <w:color w:val="000000"/>
          <w:sz w:val="80"/>
          <w:szCs w:val="80"/>
        </w:rPr>
        <w:t xml:space="preserve">竞争性磋商文件</w:t>
      </w:r>
      <w:r/>
    </w:p>
    <w:p>
      <w:pPr>
        <w:jc w:val="center"/>
        <w:spacing w:line="360" w:lineRule="auto"/>
        <w:rPr>
          <w:rFonts w:eastAsia="隶书"/>
          <w:color w:val="000000"/>
          <w:sz w:val="84"/>
          <w:szCs w:val="84"/>
        </w:rPr>
      </w:pPr>
      <w:r>
        <w:rPr>
          <w:rFonts w:eastAsia="隶书"/>
          <w:color w:val="000000"/>
          <w:sz w:val="84"/>
          <w:szCs w:val="84"/>
        </w:rPr>
      </w:r>
      <w:r/>
    </w:p>
    <w:p>
      <w:pPr>
        <w:pStyle w:val="1016"/>
        <w:rPr>
          <w:rFonts w:ascii="Times New Roman"/>
          <w:color w:val="000000"/>
        </w:rPr>
      </w:pPr>
      <w:r>
        <w:rPr>
          <w:rFonts w:ascii="Times New Roman"/>
          <w:color w:val="000000"/>
        </w:rPr>
      </w:r>
      <w:r/>
    </w:p>
    <w:p>
      <w:pPr>
        <w:pStyle w:val="1044"/>
        <w:ind w:firstLine="280"/>
        <w:rPr>
          <w:rFonts w:ascii="Times New Roman"/>
          <w:color w:val="000000"/>
        </w:rPr>
      </w:pPr>
      <w:r>
        <w:rPr>
          <w:rFonts w:ascii="Times New Roman"/>
          <w:color w:val="000000"/>
        </w:rPr>
      </w:r>
      <w:r/>
    </w:p>
    <w:p>
      <w:pPr>
        <w:pStyle w:val="1121"/>
        <w:ind w:left="2891" w:hanging="2891"/>
        <w:spacing w:before="0" w:after="0"/>
        <w:rPr>
          <w:rFonts w:hint="default" w:ascii="Times New Roman" w:hAnsi="Times New Roman" w:eastAsia="宋体"/>
          <w:b/>
          <w:bCs/>
          <w:color w:val="000000"/>
          <w:sz w:val="36"/>
          <w:szCs w:val="36"/>
          <w:lang w:val="en-US" w:eastAsia="zh-CN"/>
        </w:rPr>
      </w:pPr>
      <w:r>
        <w:rPr>
          <w:rFonts w:ascii="Times New Roman" w:hAnsi="Times New Roman"/>
          <w:b/>
          <w:bCs/>
          <w:color w:val="000000"/>
          <w:sz w:val="36"/>
          <w:szCs w:val="36"/>
        </w:rPr>
        <w:t xml:space="preserve">  项目名称：</w:t>
      </w:r>
      <w:r>
        <w:rPr>
          <w:rFonts w:hint="eastAsia" w:ascii="Times New Roman" w:hAnsi="Times New Roman"/>
          <w:b/>
          <w:bCs/>
          <w:color w:val="000000"/>
          <w:sz w:val="36"/>
          <w:szCs w:val="36"/>
          <w:lang w:eastAsia="zh-CN"/>
        </w:rPr>
        <w:t xml:space="preserve">标准实施情况数据采集、统计分析</w:t>
      </w:r>
      <w:r/>
    </w:p>
    <w:p>
      <w:pPr>
        <w:jc w:val="left"/>
        <w:rPr>
          <w:rFonts w:hint="default" w:eastAsia="宋体"/>
          <w:color w:val="000000"/>
          <w:sz w:val="36"/>
          <w:szCs w:val="36"/>
          <w:lang w:val="en-US" w:eastAsia="zh-CN"/>
        </w:rPr>
      </w:pPr>
      <w:r>
        <w:rPr>
          <w:b/>
          <w:bCs/>
          <w:color w:val="000000"/>
          <w:sz w:val="36"/>
          <w:szCs w:val="36"/>
        </w:rPr>
        <w:t xml:space="preserve">  项目编号：</w:t>
      </w:r>
      <w:bookmarkStart w:id="154" w:name="_GoBack"/>
      <w:r/>
      <w:bookmarkEnd w:id="154"/>
      <w:r>
        <w:rPr>
          <w:rFonts w:hint="eastAsia"/>
          <w:color w:val="000000"/>
          <w:sz w:val="36"/>
          <w:szCs w:val="36"/>
          <w:lang w:eastAsia="zh-CN"/>
        </w:rPr>
        <w:t xml:space="preserve">JSZC-320000-LBZB-C2026-0015</w:t>
      </w:r>
      <w:r/>
    </w:p>
    <w:p>
      <w:pPr>
        <w:spacing w:line="360" w:lineRule="auto"/>
        <w:rPr>
          <w:rFonts w:eastAsia="隶书"/>
          <w:color w:val="000000"/>
          <w:szCs w:val="21"/>
        </w:rPr>
      </w:pPr>
      <w:r>
        <w:rPr>
          <w:rFonts w:eastAsia="隶书"/>
          <w:color w:val="000000"/>
          <w:szCs w:val="21"/>
        </w:rPr>
      </w:r>
      <w:r/>
    </w:p>
    <w:p>
      <w:pPr>
        <w:pStyle w:val="1016"/>
        <w:rPr>
          <w:rFonts w:ascii="Times New Roman"/>
          <w:color w:val="000000"/>
        </w:rPr>
      </w:pPr>
      <w:r>
        <w:rPr>
          <w:rFonts w:ascii="Times New Roman"/>
          <w:color w:val="000000"/>
        </w:rPr>
      </w:r>
      <w:r/>
    </w:p>
    <w:p>
      <w:pPr>
        <w:pStyle w:val="1044"/>
        <w:ind w:firstLine="280"/>
        <w:rPr>
          <w:rFonts w:ascii="Times New Roman"/>
          <w:color w:val="000000"/>
        </w:rPr>
      </w:pPr>
      <w:r>
        <w:rPr>
          <w:rFonts w:ascii="Times New Roman"/>
          <w:color w:val="000000"/>
        </w:rPr>
      </w:r>
      <w:r/>
    </w:p>
    <w:p>
      <w:pPr>
        <w:pStyle w:val="1044"/>
        <w:ind w:firstLine="280"/>
        <w:rPr>
          <w:rFonts w:ascii="Times New Roman"/>
          <w:color w:val="000000"/>
        </w:rPr>
      </w:pPr>
      <w:r>
        <w:rPr>
          <w:rFonts w:ascii="Times New Roman"/>
          <w:color w:val="000000"/>
        </w:rPr>
      </w:r>
      <w:r/>
    </w:p>
    <w:p>
      <w:pPr>
        <w:spacing w:line="360" w:lineRule="auto"/>
        <w:rPr>
          <w:rFonts w:eastAsia="隶书"/>
          <w:color w:val="000000"/>
          <w:sz w:val="32"/>
        </w:rPr>
      </w:pPr>
      <w:r>
        <w:rPr>
          <w:rFonts w:eastAsia="隶书"/>
          <w:color w:val="000000"/>
          <w:sz w:val="32"/>
        </w:rPr>
      </w:r>
      <w:r/>
    </w:p>
    <w:p>
      <w:pPr>
        <w:jc w:val="center"/>
        <w:spacing w:line="360" w:lineRule="auto"/>
        <w:rPr>
          <w:b/>
          <w:bCs/>
          <w:color w:val="000000"/>
          <w:sz w:val="32"/>
          <w:szCs w:val="32"/>
        </w:rPr>
      </w:pPr>
      <w:r>
        <w:rPr>
          <w:b/>
          <w:bCs/>
          <w:color w:val="000000"/>
          <w:sz w:val="32"/>
          <w:szCs w:val="32"/>
        </w:rPr>
        <w:t xml:space="preserve">采购代理机构：江苏励邦招标代理有限公司</w:t>
      </w:r>
      <w:r/>
    </w:p>
    <w:p>
      <w:pPr>
        <w:jc w:val="center"/>
        <w:spacing w:line="360" w:lineRule="auto"/>
        <w:rPr>
          <w:b/>
          <w:bCs/>
          <w:color w:val="000000"/>
          <w:sz w:val="32"/>
          <w:szCs w:val="32"/>
        </w:rPr>
      </w:pPr>
      <w:r>
        <w:rPr>
          <w:rFonts w:hint="eastAsia"/>
          <w:b/>
          <w:bCs/>
          <w:color w:val="000000"/>
          <w:sz w:val="32"/>
          <w:szCs w:val="32"/>
        </w:rPr>
        <w:t xml:space="preserve">2026</w:t>
      </w:r>
      <w:r>
        <w:rPr>
          <w:b/>
          <w:bCs/>
          <w:color w:val="000000"/>
          <w:sz w:val="32"/>
          <w:szCs w:val="32"/>
        </w:rPr>
        <w:t xml:space="preserve">年</w:t>
      </w:r>
      <w:r>
        <w:rPr>
          <w:rFonts w:hint="eastAsia"/>
          <w:b/>
          <w:bCs/>
          <w:color w:val="000000"/>
          <w:sz w:val="32"/>
          <w:szCs w:val="32"/>
          <w:lang w:val="en-US" w:eastAsia="zh-CN"/>
        </w:rPr>
        <w:t xml:space="preserve">9</w:t>
      </w:r>
      <w:r>
        <w:rPr>
          <w:b/>
          <w:bCs/>
          <w:color w:val="000000"/>
          <w:sz w:val="32"/>
          <w:szCs w:val="32"/>
        </w:rPr>
        <w:t xml:space="preserve">月</w:t>
      </w:r>
      <w:r/>
    </w:p>
    <w:p>
      <w:pPr>
        <w:jc w:val="center"/>
        <w:spacing w:line="360" w:lineRule="auto"/>
        <w:rPr>
          <w:b/>
          <w:bCs/>
          <w:color w:val="000000"/>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720" w:equalWidth="1"/>
          <w:docGrid w:linePitch="360"/>
        </w:sectPr>
      </w:pPr>
      <w:r>
        <w:rPr>
          <w:b/>
          <w:bCs/>
          <w:color w:val="000000"/>
          <w:sz w:val="32"/>
          <w:szCs w:val="32"/>
        </w:rPr>
      </w:r>
      <w:r/>
    </w:p>
    <w:p>
      <w:pPr>
        <w:jc w:val="center"/>
        <w:spacing w:line="440" w:lineRule="exact"/>
        <w:rPr>
          <w:b/>
          <w:color w:val="000000"/>
          <w:sz w:val="32"/>
        </w:rPr>
      </w:pPr>
      <w:r>
        <w:rPr>
          <w:b/>
          <w:color w:val="000000"/>
          <w:sz w:val="32"/>
        </w:rPr>
      </w:r>
      <w:r/>
    </w:p>
    <w:p>
      <w:pPr>
        <w:ind w:left="0" w:right="0" w:firstLine="0"/>
        <w:jc w:val="center"/>
        <w:spacing w:before="0" w:after="0"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目录</w:t>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_Toc4225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 竞争性磋商邀请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_Toc4225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_Toc16699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_Toc16699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_Toc24718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合同</w:t>
      </w:r>
      <w:r>
        <w:rPr>
          <w:rFonts w:hint="eastAsia" w:ascii="宋体" w:hAnsi="宋体" w:eastAsia="宋体" w:cs="宋体"/>
          <w:sz w:val="30"/>
          <w:szCs w:val="30"/>
          <w:lang w:val="en-US"/>
        </w:rPr>
        <w:t xml:space="preserve">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_Toc24718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_Toc8830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w:t>
      </w:r>
      <w:r>
        <w:rPr>
          <w:rFonts w:hint="eastAsia" w:ascii="宋体" w:hAnsi="宋体" w:eastAsia="宋体" w:cs="宋体"/>
          <w:sz w:val="30"/>
          <w:szCs w:val="30"/>
          <w:lang w:val="en-US"/>
        </w:rPr>
        <w:t xml:space="preserve">四</w:t>
      </w:r>
      <w:r>
        <w:rPr>
          <w:rFonts w:hint="eastAsia" w:ascii="宋体" w:hAnsi="宋体" w:eastAsia="宋体" w:cs="宋体"/>
          <w:sz w:val="30"/>
          <w:szCs w:val="30"/>
        </w:rPr>
        <w:t xml:space="preserve">章  </w:t>
      </w:r>
      <w:r>
        <w:rPr>
          <w:rFonts w:hint="eastAsia" w:ascii="宋体" w:hAnsi="宋体" w:eastAsia="宋体" w:cs="宋体"/>
          <w:sz w:val="30"/>
          <w:szCs w:val="30"/>
          <w:lang w:val="en-US"/>
        </w:rPr>
        <w:t xml:space="preserve">项目需求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_Toc8830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14</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_Toc8101 </w:instrText>
      </w:r>
      <w:r>
        <w:rPr>
          <w:rFonts w:hint="eastAsia" w:ascii="宋体" w:hAnsi="宋体" w:eastAsia="宋体" w:cs="宋体"/>
          <w:sz w:val="30"/>
          <w:szCs w:val="30"/>
        </w:rPr>
        <w:fldChar w:fldCharType="separate"/>
      </w:r>
      <w:r>
        <w:rPr>
          <w:rFonts w:hint="eastAsia" w:ascii="宋体" w:hAnsi="宋体" w:eastAsia="宋体" w:cs="宋体"/>
          <w:sz w:val="30"/>
          <w:szCs w:val="30"/>
          <w:lang w:val="en-US"/>
        </w:rPr>
        <w:t xml:space="preserve">第五章  评审方法和评审标准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_Toc8101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1"/>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_Toc14144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_Toc14144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jc w:val="center"/>
        <w:keepLines w:val="0"/>
        <w:keepNext w:val="0"/>
        <w:pageBreakBefore w:val="0"/>
        <w:spacing w:line="360" w:lineRule="auto"/>
        <w:widowControl w:val="off"/>
      </w:pPr>
      <w:r>
        <w:rPr>
          <w:rFonts w:hint="eastAsia" w:ascii="宋体" w:hAnsi="宋体" w:eastAsia="宋体" w:cs="宋体"/>
          <w:sz w:val="30"/>
          <w:szCs w:val="30"/>
        </w:rPr>
        <w:fldChar w:fldCharType="end"/>
      </w:r>
      <w:r/>
    </w:p>
    <w:p>
      <w:r/>
      <w:r/>
    </w:p>
    <w:p>
      <w:pPr>
        <w:pStyle w:val="1004"/>
        <w:sectPr>
          <w:footnotePr/>
          <w:endnotePr/>
          <w:type w:val="nextPage"/>
          <w:pgSz w:w="11910" w:h="16840" w:orient="portrait"/>
          <w:pgMar w:top="1480" w:right="1418" w:bottom="1202" w:left="1418" w:header="1020" w:footer="964" w:gutter="0"/>
          <w:cols w:num="1" w:sep="0" w:space="720" w:equalWidth="1"/>
          <w:docGrid w:linePitch="360"/>
        </w:sectPr>
      </w:pPr>
      <w:r/>
      <w:r/>
    </w:p>
    <w:p>
      <w:r/>
      <w:r/>
    </w:p>
    <w:p>
      <w:pPr>
        <w:rPr>
          <w:color w:val="000000"/>
        </w:rPr>
      </w:pPr>
      <w:r>
        <w:rPr>
          <w:color w:val="000000"/>
        </w:rPr>
      </w:r>
      <w:r/>
    </w:p>
    <w:p>
      <w:pPr>
        <w:pStyle w:val="1001"/>
        <w:numPr>
          <w:ilvl w:val="0"/>
          <w:numId w:val="4"/>
        </w:numPr>
        <w:spacing w:line="240" w:lineRule="auto"/>
        <w:rPr>
          <w:rFonts w:ascii="Times New Roman" w:eastAsia="黑体"/>
          <w:color w:val="000000"/>
          <w:sz w:val="36"/>
          <w:szCs w:val="36"/>
        </w:rPr>
      </w:pPr>
      <w:r/>
      <w:bookmarkStart w:id="0" w:name="_Toc27253"/>
      <w:r>
        <w:rPr>
          <w:rFonts w:hint="eastAsia" w:ascii="Times New Roman" w:eastAsia="黑体"/>
          <w:color w:val="000000"/>
          <w:sz w:val="36"/>
          <w:szCs w:val="36"/>
        </w:rPr>
        <w:t xml:space="preserve">  </w:t>
      </w:r>
      <w:bookmarkStart w:id="1" w:name="_Toc20697"/>
      <w:r/>
      <w:bookmarkStart w:id="2" w:name="_Toc4225"/>
      <w:r>
        <w:rPr>
          <w:rFonts w:ascii="Times New Roman" w:eastAsia="黑体"/>
          <w:color w:val="000000"/>
          <w:sz w:val="36"/>
          <w:szCs w:val="36"/>
        </w:rPr>
        <w:t xml:space="preserve">竞争性磋商邀请</w:t>
      </w:r>
      <w:bookmarkEnd w:id="0"/>
      <w:r/>
      <w:bookmarkEnd w:id="1"/>
      <w:r/>
      <w:bookmarkEnd w:id="2"/>
      <w:r/>
      <w:bookmarkStart w:id="3" w:name="_Toc14577347"/>
      <w:r/>
      <w:bookmarkStart w:id="4" w:name="_Toc513029209"/>
      <w:r/>
      <w:bookmarkStart w:id="5" w:name="_Toc61149549"/>
      <w:r/>
      <w:r/>
    </w:p>
    <w:p>
      <w:pPr>
        <w:rPr>
          <w:color w:val="000000"/>
        </w:rPr>
      </w:pPr>
      <w:r>
        <w:rPr>
          <w:color w:val="000000"/>
        </w:rPr>
      </w:r>
      <w:r/>
    </w:p>
    <w:p>
      <w:pPr>
        <w:ind w:firstLine="480"/>
        <w:jc w:val="left"/>
        <w:keepLines w:val="0"/>
        <w:keepNext w:val="0"/>
        <w:pageBreakBefore w:val="0"/>
        <w:spacing w:line="320" w:lineRule="exact"/>
        <w:widowControl/>
        <w:rPr>
          <w:color w:val="000000"/>
          <w:szCs w:val="21"/>
          <w:u w:val="single"/>
        </w:rPr>
      </w:pPr>
      <w:r>
        <w:rPr>
          <w:color w:val="000000"/>
          <w:szCs w:val="21"/>
          <w:u w:val="single"/>
        </w:rPr>
        <w:t xml:space="preserve">江苏励邦招标代理有限公司</w:t>
      </w:r>
      <w:r>
        <w:rPr>
          <w:color w:val="000000"/>
          <w:szCs w:val="21"/>
        </w:rPr>
        <w:t xml:space="preserve">受</w:t>
      </w:r>
      <w:r>
        <w:rPr>
          <w:color w:val="000000"/>
          <w:szCs w:val="21"/>
          <w:u w:val="single"/>
        </w:rPr>
        <w:t xml:space="preserve">江苏省质量和标准化研究院</w:t>
      </w:r>
      <w:r>
        <w:rPr>
          <w:color w:val="000000"/>
          <w:szCs w:val="21"/>
        </w:rPr>
        <w:t xml:space="preserve">的委托，就</w:t>
      </w:r>
      <w:r>
        <w:rPr>
          <w:rFonts w:hint="eastAsia"/>
          <w:color w:val="000000"/>
          <w:szCs w:val="21"/>
          <w:u w:val="single"/>
          <w:lang w:eastAsia="zh-CN"/>
        </w:rPr>
        <w:t xml:space="preserve">标准实施情况数据采集、统计分析</w:t>
      </w:r>
      <w:r>
        <w:rPr>
          <w:color w:val="000000"/>
          <w:szCs w:val="21"/>
        </w:rPr>
        <w:t xml:space="preserve">项目（项目编号：</w:t>
      </w:r>
      <w:r>
        <w:rPr>
          <w:rFonts w:hint="eastAsia"/>
          <w:color w:val="000000"/>
          <w:szCs w:val="21"/>
          <w:lang w:eastAsia="zh-CN"/>
        </w:rPr>
        <w:t xml:space="preserve">JSZC-320000-LBZB-C2026-0015</w:t>
      </w:r>
      <w:r>
        <w:rPr>
          <w:color w:val="000000"/>
          <w:szCs w:val="21"/>
          <w:highlight w:val="none"/>
        </w:rPr>
        <w:t xml:space="preserve">）进</w:t>
      </w:r>
      <w:r>
        <w:rPr>
          <w:color w:val="000000"/>
          <w:szCs w:val="21"/>
        </w:rPr>
        <w:t xml:space="preserve">行竞争性磋商采购，欢迎符合资格条件的供应商参加报价和磋商。</w:t>
      </w:r>
      <w:r/>
    </w:p>
    <w:p>
      <w:pPr>
        <w:ind w:firstLine="420"/>
        <w:keepLines w:val="0"/>
        <w:keepNext w:val="0"/>
        <w:pageBreakBefore w:val="0"/>
        <w:spacing w:line="320" w:lineRule="exact"/>
        <w:rPr>
          <w:color w:val="000000"/>
          <w:szCs w:val="21"/>
        </w:rPr>
        <w:pBdr>
          <w:top w:val="single" w:color="auto" w:sz="4" w:space="1"/>
          <w:left w:val="single" w:color="auto" w:sz="4" w:space="4"/>
          <w:bottom w:val="single" w:color="auto" w:sz="4" w:space="1"/>
          <w:right w:val="single" w:color="auto" w:sz="4" w:space="4"/>
        </w:pBdr>
      </w:pPr>
      <w:r>
        <w:rPr>
          <w:color w:val="000000"/>
          <w:szCs w:val="21"/>
        </w:rPr>
        <w:t xml:space="preserve">项目概况</w:t>
      </w:r>
      <w:r/>
    </w:p>
    <w:p>
      <w:pPr>
        <w:ind w:firstLine="420"/>
        <w:keepLines w:val="0"/>
        <w:keepNext w:val="0"/>
        <w:pageBreakBefore w:val="0"/>
        <w:spacing w:line="320" w:lineRule="exact"/>
        <w:rPr>
          <w:color w:val="000000"/>
          <w:szCs w:val="21"/>
          <w:highlight w:val="none"/>
        </w:rPr>
        <w:pBdr>
          <w:top w:val="single" w:color="auto" w:sz="4" w:space="1"/>
          <w:left w:val="single" w:color="auto" w:sz="4" w:space="4"/>
          <w:bottom w:val="single" w:color="auto" w:sz="4" w:space="1"/>
          <w:right w:val="single" w:color="auto" w:sz="4" w:space="4"/>
        </w:pBdr>
      </w:pPr>
      <w:r>
        <w:rPr>
          <w:rFonts w:hint="eastAsia"/>
          <w:color w:val="000000"/>
          <w:szCs w:val="21"/>
          <w:highlight w:val="none"/>
          <w:u w:val="single"/>
          <w:lang w:eastAsia="zh-CN"/>
        </w:rPr>
        <w:t xml:space="preserve">标准实施情况数据采集、统计分析</w:t>
      </w:r>
      <w:r>
        <w:rPr>
          <w:color w:val="000000"/>
          <w:szCs w:val="21"/>
          <w:highlight w:val="none"/>
        </w:rPr>
        <w:t xml:space="preserve">项目的潜在供应商应在</w:t>
      </w:r>
      <w:r>
        <w:rPr>
          <w:rFonts w:hint="eastAsia"/>
          <w:highlight w:val="none"/>
          <w:u w:val="single"/>
          <w:lang w:val="en-US" w:eastAsia="zh-CN"/>
        </w:rPr>
        <w:t xml:space="preserve">江苏政府采购网</w:t>
      </w:r>
      <w:r>
        <w:rPr>
          <w:color w:val="000000"/>
          <w:szCs w:val="21"/>
          <w:highlight w:val="none"/>
        </w:rPr>
        <w:t xml:space="preserve">获取采购文件，并于</w:t>
      </w:r>
      <w:r>
        <w:rPr>
          <w:rFonts w:hint="eastAsia"/>
          <w:color w:val="000000"/>
          <w:szCs w:val="21"/>
          <w:highlight w:val="none"/>
          <w:u w:val="single"/>
        </w:rPr>
        <w:t xml:space="preserve">2026</w:t>
      </w:r>
      <w:r>
        <w:rPr>
          <w:color w:val="000000"/>
          <w:szCs w:val="21"/>
          <w:highlight w:val="none"/>
          <w:u w:val="single"/>
        </w:rPr>
        <w:t xml:space="preserve">年</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 10</w:t>
      </w:r>
      <w:r>
        <w:rPr>
          <w:color w:val="000000"/>
          <w:szCs w:val="21"/>
          <w:highlight w:val="none"/>
          <w:u w:val="single"/>
        </w:rPr>
        <w:t xml:space="preserve">月</w:t>
      </w:r>
      <w:r>
        <w:rPr>
          <w:rFonts w:hint="eastAsia"/>
          <w:color w:val="000000"/>
          <w:szCs w:val="21"/>
          <w:highlight w:val="none"/>
          <w:u w:val="single"/>
          <w:lang w:val="en-US" w:eastAsia="zh-CN"/>
        </w:rPr>
        <w:t xml:space="preserve">10</w:t>
      </w:r>
      <w:r>
        <w:rPr>
          <w:color w:val="000000"/>
          <w:szCs w:val="21"/>
          <w:highlight w:val="none"/>
          <w:u w:val="single"/>
        </w:rPr>
        <w:t xml:space="preserve">日</w:t>
      </w:r>
      <w:r>
        <w:rPr>
          <w:rFonts w:hint="eastAsia"/>
          <w:color w:val="000000"/>
          <w:szCs w:val="21"/>
          <w:highlight w:val="none"/>
          <w:u w:val="single"/>
          <w:lang w:val="en-US" w:eastAsia="zh-CN"/>
        </w:rPr>
        <w:t xml:space="preserve">14</w:t>
      </w:r>
      <w:r>
        <w:rPr>
          <w:color w:val="000000"/>
          <w:szCs w:val="21"/>
          <w:highlight w:val="none"/>
          <w:u w:val="single"/>
        </w:rPr>
        <w:t xml:space="preserve">点</w:t>
      </w:r>
      <w:r>
        <w:rPr>
          <w:rFonts w:hint="eastAsia"/>
          <w:color w:val="000000"/>
          <w:szCs w:val="21"/>
          <w:highlight w:val="none"/>
          <w:u w:val="single"/>
          <w:lang w:val="en-US" w:eastAsia="zh-CN"/>
        </w:rPr>
        <w:t xml:space="preserve">30</w:t>
      </w:r>
      <w:r>
        <w:rPr>
          <w:color w:val="000000"/>
          <w:szCs w:val="21"/>
          <w:highlight w:val="none"/>
          <w:u w:val="single"/>
        </w:rPr>
        <w:t xml:space="preserve">分</w:t>
      </w:r>
      <w:r>
        <w:rPr>
          <w:bCs/>
          <w:color w:val="000000"/>
          <w:szCs w:val="21"/>
          <w:highlight w:val="none"/>
        </w:rPr>
        <w:t xml:space="preserve">（北京时间）前提交响应文件</w:t>
      </w:r>
      <w:r>
        <w:rPr>
          <w:color w:val="000000"/>
          <w:szCs w:val="21"/>
          <w:highlight w:val="none"/>
        </w:rPr>
        <w:t xml:space="preserve">。</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一、项目基本情况</w:t>
      </w:r>
      <w:r/>
    </w:p>
    <w:p>
      <w:pPr>
        <w:ind w:firstLine="420"/>
        <w:keepLines w:val="0"/>
        <w:keepNext w:val="0"/>
        <w:pageBreakBefore w:val="0"/>
        <w:spacing w:line="320" w:lineRule="exact"/>
        <w:rPr>
          <w:rFonts w:hint="default" w:eastAsia="宋体"/>
          <w:color w:val="000000"/>
          <w:szCs w:val="21"/>
          <w:highlight w:val="none"/>
          <w:lang w:val="en-US" w:eastAsia="zh-CN"/>
        </w:rPr>
      </w:pPr>
      <w:r>
        <w:rPr>
          <w:rFonts w:hint="eastAsia"/>
          <w:color w:val="000000"/>
          <w:szCs w:val="21"/>
          <w:highlight w:val="none"/>
        </w:rPr>
        <w:t xml:space="preserve">1.</w:t>
      </w:r>
      <w:r>
        <w:rPr>
          <w:color w:val="000000"/>
          <w:szCs w:val="21"/>
          <w:highlight w:val="none"/>
        </w:rPr>
        <w:t xml:space="preserve">项目编号：</w:t>
      </w:r>
      <w:r>
        <w:rPr>
          <w:rFonts w:hint="eastAsia"/>
          <w:color w:val="000000"/>
          <w:szCs w:val="21"/>
          <w:highlight w:val="none"/>
          <w:lang w:eastAsia="zh-CN"/>
        </w:rPr>
        <w:t xml:space="preserve">JSZC-320000-LBZB-C2026-0015</w:t>
      </w:r>
      <w:r/>
    </w:p>
    <w:p>
      <w:pPr>
        <w:ind w:firstLine="420"/>
        <w:keepLines w:val="0"/>
        <w:keepNext w:val="0"/>
        <w:pageBreakBefore w:val="0"/>
        <w:spacing w:line="320" w:lineRule="exact"/>
        <w:rPr>
          <w:rFonts w:hint="eastAsia" w:eastAsia="宋体"/>
          <w:color w:val="000000"/>
          <w:szCs w:val="21"/>
          <w:highlight w:val="none"/>
          <w:lang w:eastAsia="zh-CN"/>
        </w:rPr>
      </w:pPr>
      <w:r>
        <w:rPr>
          <w:rFonts w:hint="eastAsia"/>
          <w:color w:val="000000"/>
          <w:szCs w:val="21"/>
          <w:highlight w:val="none"/>
        </w:rPr>
        <w:t xml:space="preserve">2.</w:t>
      </w:r>
      <w:r>
        <w:rPr>
          <w:color w:val="000000"/>
          <w:szCs w:val="21"/>
          <w:highlight w:val="none"/>
        </w:rPr>
        <w:t xml:space="preserve">项目名称：</w:t>
      </w:r>
      <w:r>
        <w:rPr>
          <w:rFonts w:hint="eastAsia"/>
          <w:color w:val="000000"/>
          <w:szCs w:val="21"/>
          <w:highlight w:val="none"/>
          <w:lang w:eastAsia="zh-CN"/>
        </w:rPr>
        <w:t xml:space="preserve">标准实施情况数据采集、统计分析</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3.</w:t>
      </w:r>
      <w:r>
        <w:rPr>
          <w:color w:val="000000"/>
          <w:szCs w:val="21"/>
          <w:highlight w:val="none"/>
        </w:rPr>
        <w:t xml:space="preserve">采购方式：竞争性磋商</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4.</w:t>
      </w:r>
      <w:r>
        <w:rPr>
          <w:color w:val="000000"/>
          <w:szCs w:val="21"/>
          <w:highlight w:val="none"/>
        </w:rPr>
        <w:t xml:space="preserve">预算金额及最高限价：</w:t>
      </w:r>
      <w:r>
        <w:rPr>
          <w:rFonts w:hint="eastAsia"/>
          <w:color w:val="000000"/>
          <w:szCs w:val="21"/>
          <w:highlight w:val="none"/>
        </w:rPr>
        <w:t xml:space="preserve">136万元。本项目共有</w:t>
      </w:r>
      <w:r>
        <w:rPr>
          <w:rFonts w:hint="eastAsia"/>
          <w:color w:val="000000"/>
          <w:szCs w:val="21"/>
          <w:highlight w:val="none"/>
          <w:lang w:val="en-US" w:eastAsia="zh-CN"/>
        </w:rPr>
        <w:t xml:space="preserve">4</w:t>
      </w:r>
      <w:r>
        <w:rPr>
          <w:rFonts w:hint="eastAsia"/>
          <w:color w:val="000000"/>
          <w:szCs w:val="21"/>
          <w:highlight w:val="none"/>
        </w:rPr>
        <w:t xml:space="preserve">个分包，其中：采购包1：38万元；采购包2：38万元；采购包3：40万元；采购包4：20万元。</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5.</w:t>
      </w:r>
      <w:r>
        <w:rPr>
          <w:color w:val="000000"/>
          <w:szCs w:val="21"/>
          <w:highlight w:val="none"/>
        </w:rPr>
        <w:t xml:space="preserve">采购需求：</w:t>
      </w:r>
      <w:r>
        <w:rPr>
          <w:rFonts w:hint="eastAsia"/>
          <w:color w:val="000000"/>
          <w:szCs w:val="21"/>
          <w:highlight w:val="none"/>
        </w:rPr>
        <w:t xml:space="preserve">协作</w:t>
      </w:r>
      <w:r>
        <w:rPr>
          <w:rFonts w:hint="eastAsia"/>
          <w:color w:val="000000"/>
          <w:szCs w:val="21"/>
          <w:highlight w:val="none"/>
          <w:lang w:val="en-US" w:eastAsia="zh-CN"/>
        </w:rPr>
        <w:t xml:space="preserve">江苏省质量和标准化研究院</w:t>
      </w:r>
      <w:r>
        <w:rPr>
          <w:rFonts w:hint="eastAsia"/>
          <w:color w:val="000000"/>
          <w:szCs w:val="21"/>
          <w:highlight w:val="none"/>
        </w:rPr>
        <w:t xml:space="preserve">开展标准实施情况数据采集、统计分析</w:t>
      </w:r>
      <w:r>
        <w:rPr>
          <w:rFonts w:hint="eastAsia"/>
          <w:color w:val="000000"/>
          <w:szCs w:val="21"/>
          <w:highlight w:val="none"/>
          <w:lang w:val="en-US" w:eastAsia="zh-CN"/>
        </w:rPr>
        <w:t xml:space="preserve">等</w:t>
      </w:r>
      <w:r>
        <w:rPr>
          <w:rFonts w:hint="eastAsia"/>
          <w:color w:val="000000"/>
          <w:szCs w:val="21"/>
          <w:highlight w:val="none"/>
        </w:rPr>
        <w:t xml:space="preserve">相关工作。详见第四章项目需求。</w:t>
      </w:r>
      <w:r>
        <w:rPr>
          <w:rFonts w:hint="eastAsia"/>
          <w:color w:val="000000"/>
          <w:szCs w:val="21"/>
          <w:highlight w:val="none"/>
          <w:lang w:val="en-US" w:eastAsia="zh-CN"/>
        </w:rPr>
        <w:t xml:space="preserve">工作清单见</w:t>
      </w:r>
      <w:r>
        <w:rPr>
          <w:rFonts w:hint="eastAsia"/>
          <w:color w:val="000000"/>
          <w:szCs w:val="21"/>
          <w:highlight w:val="none"/>
        </w:rPr>
        <w:t xml:space="preserve">下表：</w:t>
      </w:r>
      <w:r/>
    </w:p>
    <w:tbl>
      <w:tblPr>
        <w:tblStyle w:val="1008"/>
        <w:tblW w:w="89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3739"/>
        <w:gridCol w:w="1295"/>
        <w:gridCol w:w="1235"/>
        <w:gridCol w:w="1419"/>
      </w:tblGrid>
      <w:tr>
        <w:trPr>
          <w:jc w:val="center"/>
          <w:trHeight w:val="499"/>
        </w:trPr>
        <w:tc>
          <w:tcPr>
            <w:tcBorders>
              <w:bottom w:val="single" w:color="auto"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分包号</w:t>
            </w:r>
            <w:r/>
          </w:p>
        </w:tc>
        <w:tc>
          <w:tcPr>
            <w:tcBorders>
              <w:left w:val="single" w:color="auto" w:sz="4" w:space="0"/>
              <w:bottom w:val="single" w:color="auto" w:sz="4" w:space="0"/>
              <w:right w:val="single" w:color="auto" w:sz="4" w:space="0"/>
            </w:tcBorders>
            <w:tcW w:w="373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分包内容</w:t>
            </w:r>
            <w:r/>
          </w:p>
        </w:tc>
        <w:tc>
          <w:tcPr>
            <w:tcBorders>
              <w:left w:val="single" w:color="auto" w:sz="4" w:space="0"/>
              <w:bottom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采购品目</w:t>
            </w:r>
            <w:r/>
          </w:p>
        </w:tc>
        <w:tc>
          <w:tcPr>
            <w:tcBorders>
              <w:left w:val="single" w:color="auto" w:sz="4" w:space="0"/>
              <w:bottom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采购数量</w:t>
            </w:r>
            <w:r/>
          </w:p>
        </w:tc>
        <w:tc>
          <w:tcPr>
            <w:tcBorders>
              <w:left w:val="single" w:color="auto" w:sz="4" w:space="0"/>
              <w:bottom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color w:val="000000"/>
                <w:szCs w:val="21"/>
                <w:highlight w:val="none"/>
              </w:rPr>
              <w:t xml:space="preserve">预算金额及最高限价</w:t>
            </w:r>
            <w:r/>
          </w:p>
        </w:tc>
      </w:tr>
      <w:tr>
        <w:trPr>
          <w:jc w:val="center"/>
          <w:trHeight w:val="499"/>
        </w:trPr>
        <w:tc>
          <w:tcPr>
            <w:tcBorders>
              <w:top w:val="none" w:color="000000" w:sz="4" w:space="0"/>
              <w:bottom w:val="single" w:color="auto"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3739" w:type="dxa"/>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12项节能环保领域标准实施情况数据采集、统计分析</w:t>
            </w:r>
            <w:r/>
          </w:p>
        </w:tc>
        <w:tc>
          <w:tcPr>
            <w:tcBorders>
              <w:top w:val="none" w:color="000000" w:sz="4" w:space="0"/>
              <w:left w:val="single" w:color="auto" w:sz="4" w:space="0"/>
              <w:bottom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38万元</w:t>
            </w:r>
            <w:r/>
          </w:p>
        </w:tc>
      </w:tr>
      <w:tr>
        <w:trPr>
          <w:jc w:val="center"/>
          <w:trHeight w:val="499"/>
        </w:trPr>
        <w:tc>
          <w:tcPr>
            <w:tcBorders>
              <w:top w:val="none" w:color="000000" w:sz="4" w:space="0"/>
              <w:bottom w:val="single" w:color="auto"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p>
        </w:tc>
        <w:tc>
          <w:tcPr>
            <w:tcBorders>
              <w:top w:val="none" w:color="000000" w:sz="4" w:space="0"/>
              <w:left w:val="single" w:color="auto" w:sz="4" w:space="0"/>
              <w:bottom w:val="single" w:color="auto" w:sz="4" w:space="0"/>
              <w:right w:val="single" w:color="auto" w:sz="4" w:space="0"/>
            </w:tcBorders>
            <w:tcW w:w="3739" w:type="dxa"/>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12项大数据与数字政府领域标准实施情况数据采集、统计分析</w:t>
            </w:r>
            <w:r/>
          </w:p>
        </w:tc>
        <w:tc>
          <w:tcPr>
            <w:tcBorders>
              <w:top w:val="none" w:color="000000" w:sz="4" w:space="0"/>
              <w:left w:val="single" w:color="auto" w:sz="4" w:space="0"/>
              <w:bottom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38万元</w:t>
            </w:r>
            <w:r/>
          </w:p>
        </w:tc>
      </w:tr>
      <w:tr>
        <w:trPr>
          <w:jc w:val="center"/>
          <w:trHeight w:val="499"/>
        </w:trPr>
        <w:tc>
          <w:tcPr>
            <w:tcBorders>
              <w:top w:val="none" w:color="000000" w:sz="4" w:space="0"/>
              <w:bottom w:val="single" w:color="auto"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3739" w:type="dxa"/>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12项养老服务领域标准实施情况数据采集、统计分析</w:t>
            </w:r>
            <w:r/>
          </w:p>
        </w:tc>
        <w:tc>
          <w:tcPr>
            <w:tcBorders>
              <w:top w:val="none" w:color="000000" w:sz="4" w:space="0"/>
              <w:left w:val="single" w:color="auto" w:sz="4" w:space="0"/>
              <w:bottom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40万元</w:t>
            </w:r>
            <w:r/>
          </w:p>
        </w:tc>
      </w:tr>
      <w:tr>
        <w:trPr>
          <w:jc w:val="center"/>
          <w:trHeight w:val="499"/>
        </w:trPr>
        <w:tc>
          <w:tcPr>
            <w:tcBorders>
              <w:top w:val="none" w:color="000000"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w:t>
            </w:r>
            <w:r/>
          </w:p>
        </w:tc>
        <w:tc>
          <w:tcPr>
            <w:tcBorders>
              <w:top w:val="none" w:color="000000" w:sz="4" w:space="0"/>
              <w:left w:val="single" w:color="auto" w:sz="4" w:space="0"/>
              <w:right w:val="single" w:color="auto" w:sz="4" w:space="0"/>
            </w:tcBorders>
            <w:tcW w:w="3739" w:type="dxa"/>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4项服务消费与现代服务业领域标准实施情况数据采集、统计分析及总体核查统计</w:t>
            </w:r>
            <w:r/>
          </w:p>
        </w:tc>
        <w:tc>
          <w:tcPr>
            <w:tcBorders>
              <w:top w:val="none" w:color="000000" w:sz="4" w:space="0"/>
              <w:left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20万元</w:t>
            </w:r>
            <w:r/>
          </w:p>
        </w:tc>
      </w:tr>
    </w:tbl>
    <w:p>
      <w:pPr>
        <w:ind w:firstLine="422"/>
        <w:keepLines w:val="0"/>
        <w:keepNext w:val="0"/>
        <w:pageBreakBefore w:val="0"/>
        <w:spacing w:line="320" w:lineRule="exact"/>
        <w:widowControl w:val="off"/>
        <w:rPr>
          <w:highlight w:val="yellow"/>
        </w:rPr>
      </w:pPr>
      <w:r>
        <w:rPr>
          <w:rFonts w:hint="eastAsia"/>
          <w:b/>
          <w:bCs/>
          <w:highlight w:val="none"/>
        </w:rPr>
        <w:t xml:space="preserve">注：</w:t>
      </w:r>
      <w:r>
        <w:rPr>
          <w:rFonts w:hint="eastAsia"/>
          <w:b/>
          <w:bCs/>
          <w:highlight w:val="none"/>
          <w:lang w:val="en-US" w:eastAsia="zh-CN"/>
        </w:rPr>
        <w:t xml:space="preserve">供应商</w:t>
      </w:r>
      <w:r>
        <w:rPr>
          <w:rFonts w:hint="eastAsia"/>
          <w:b/>
          <w:bCs/>
          <w:highlight w:val="none"/>
        </w:rPr>
        <w:t xml:space="preserve">所投</w:t>
      </w:r>
      <w:r>
        <w:rPr>
          <w:rFonts w:hint="eastAsia"/>
          <w:b/>
          <w:bCs/>
          <w:highlight w:val="none"/>
          <w:lang w:val="en-US" w:eastAsia="zh-CN"/>
        </w:rPr>
        <w:t xml:space="preserve">各分包</w:t>
      </w:r>
      <w:r>
        <w:rPr>
          <w:rFonts w:hint="eastAsia"/>
          <w:b/>
          <w:bCs/>
          <w:highlight w:val="none"/>
        </w:rPr>
        <w:t xml:space="preserve">报价不得超过该</w:t>
      </w:r>
      <w:r>
        <w:rPr>
          <w:rFonts w:hint="eastAsia"/>
          <w:b/>
          <w:bCs/>
          <w:highlight w:val="none"/>
          <w:lang w:val="en-US" w:eastAsia="zh-CN"/>
        </w:rPr>
        <w:t xml:space="preserve">分包</w:t>
      </w:r>
      <w:r>
        <w:rPr>
          <w:rFonts w:hint="eastAsia"/>
          <w:b/>
          <w:bCs/>
          <w:highlight w:val="none"/>
        </w:rPr>
        <w:t xml:space="preserve">所对应的预算金额及最高限价，否则作无效</w:t>
      </w:r>
      <w:r>
        <w:rPr>
          <w:rFonts w:hint="eastAsia"/>
          <w:b/>
          <w:bCs/>
          <w:highlight w:val="none"/>
          <w:lang w:val="en-US" w:eastAsia="zh-CN"/>
        </w:rPr>
        <w:t xml:space="preserve">响应</w:t>
      </w:r>
      <w:r>
        <w:rPr>
          <w:rFonts w:hint="eastAsia"/>
          <w:b/>
          <w:bCs/>
          <w:highlight w:val="none"/>
        </w:rPr>
        <w:t xml:space="preserve">处理。</w:t>
      </w:r>
      <w:r/>
    </w:p>
    <w:p>
      <w:pPr>
        <w:ind w:firstLine="420"/>
        <w:keepLines w:val="0"/>
        <w:keepNext w:val="0"/>
        <w:pageBreakBefore w:val="0"/>
        <w:spacing w:line="320" w:lineRule="exact"/>
        <w:rPr>
          <w:bCs/>
          <w:color w:val="000000"/>
          <w:szCs w:val="21"/>
          <w:highlight w:val="none"/>
          <w:u w:val="single"/>
        </w:rPr>
      </w:pPr>
      <w:r>
        <w:rPr>
          <w:rFonts w:hint="eastAsia"/>
          <w:color w:val="000000"/>
          <w:szCs w:val="21"/>
          <w:highlight w:val="none"/>
        </w:rPr>
        <w:t xml:space="preserve">6.</w:t>
      </w:r>
      <w:r>
        <w:rPr>
          <w:color w:val="000000"/>
          <w:szCs w:val="21"/>
          <w:highlight w:val="none"/>
        </w:rPr>
        <w:t xml:space="preserve">合同履行期限：</w:t>
      </w:r>
      <w:r>
        <w:rPr>
          <w:rFonts w:hint="default" w:ascii="Times New Roman" w:hAnsi="Times New Roman" w:eastAsia="宋体" w:cs="Times New Roman"/>
          <w:color w:val="000000"/>
          <w:szCs w:val="21"/>
          <w:highlight w:val="none"/>
          <w:lang w:val="en-US" w:eastAsia="zh-CN"/>
        </w:rPr>
        <w:t xml:space="preserve">合同签订之日起至202</w:t>
      </w:r>
      <w:r>
        <w:rPr>
          <w:rFonts w:hint="eastAsia" w:ascii="Times New Roman" w:hAnsi="Times New Roman" w:eastAsia="宋体" w:cs="Times New Roman"/>
          <w:color w:val="000000"/>
          <w:szCs w:val="21"/>
          <w:highlight w:val="none"/>
          <w:lang w:val="en-US" w:eastAsia="zh-CN"/>
        </w:rPr>
        <w:t xml:space="preserve">6</w:t>
      </w:r>
      <w:r>
        <w:rPr>
          <w:rFonts w:hint="default" w:ascii="Times New Roman" w:hAnsi="Times New Roman" w:eastAsia="宋体" w:cs="Times New Roman"/>
          <w:color w:val="000000"/>
          <w:szCs w:val="21"/>
          <w:highlight w:val="none"/>
          <w:lang w:val="en-US" w:eastAsia="zh-CN"/>
        </w:rPr>
        <w:t xml:space="preserve">年11月30日完成并通过验收</w:t>
      </w:r>
      <w:r>
        <w:rPr>
          <w:rFonts w:ascii="Times New Roman" w:hAnsi="Times New Roman" w:eastAsia="宋体" w:cs="Times New Roman"/>
          <w:color w:val="000000"/>
          <w:szCs w:val="21"/>
          <w:highlight w:val="none"/>
        </w:rPr>
        <w:t xml:space="preserve">。</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7.</w:t>
      </w:r>
      <w:r>
        <w:rPr>
          <w:color w:val="000000"/>
          <w:szCs w:val="21"/>
          <w:highlight w:val="none"/>
        </w:rPr>
        <w:t xml:space="preserve">本项目所属行业为其他未列明行业。</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二、申请人的资格要求</w:t>
      </w:r>
      <w:r/>
    </w:p>
    <w:p>
      <w:pPr>
        <w:ind w:firstLine="420"/>
        <w:keepLines w:val="0"/>
        <w:keepNext w:val="0"/>
        <w:pageBreakBefore w:val="0"/>
        <w:spacing w:line="320" w:lineRule="exact"/>
        <w:rPr>
          <w:color w:val="000000"/>
          <w:szCs w:val="21"/>
          <w:highlight w:val="none"/>
        </w:rPr>
      </w:pPr>
      <w:r>
        <w:rPr>
          <w:color w:val="000000"/>
          <w:szCs w:val="21"/>
          <w:highlight w:val="none"/>
        </w:rPr>
        <w:t xml:space="preserve">（一）通用资格要求</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1.</w:t>
      </w:r>
      <w:r>
        <w:rPr>
          <w:color w:val="000000"/>
          <w:szCs w:val="21"/>
          <w:highlight w:val="none"/>
        </w:rPr>
        <w:t xml:space="preserve">满足《中华人民共和国政府采购法》第二十二条规定：</w:t>
      </w:r>
      <w:r/>
    </w:p>
    <w:p>
      <w:pPr>
        <w:ind w:firstLine="420"/>
        <w:keepLines w:val="0"/>
        <w:keepNext w:val="0"/>
        <w:pageBreakBefore w:val="0"/>
        <w:spacing w:line="320" w:lineRule="exact"/>
        <w:rPr>
          <w:color w:val="000000"/>
          <w:szCs w:val="21"/>
          <w:highlight w:val="none"/>
        </w:rPr>
      </w:pPr>
      <w:r>
        <w:rPr>
          <w:color w:val="000000"/>
          <w:szCs w:val="21"/>
          <w:highlight w:val="none"/>
        </w:rPr>
        <w:t xml:space="preserve">1.1法人或者其他组织的营业执照等证明材料，自然人的身份证明；</w:t>
      </w:r>
      <w:r/>
    </w:p>
    <w:p>
      <w:pPr>
        <w:ind w:firstLine="420"/>
        <w:keepLines w:val="0"/>
        <w:keepNext w:val="0"/>
        <w:pageBreakBefore w:val="0"/>
        <w:spacing w:line="320" w:lineRule="exact"/>
        <w:rPr>
          <w:color w:val="000000"/>
          <w:szCs w:val="21"/>
          <w:highlight w:val="none"/>
        </w:rPr>
      </w:pPr>
      <w:r>
        <w:rPr>
          <w:color w:val="000000"/>
          <w:szCs w:val="21"/>
          <w:highlight w:val="none"/>
        </w:rPr>
        <w:t xml:space="preserve">1.2上一年度的财务状况报告（成立不满一年无需提供）；</w:t>
      </w:r>
      <w:r/>
    </w:p>
    <w:p>
      <w:pPr>
        <w:ind w:firstLine="420"/>
        <w:keepLines w:val="0"/>
        <w:keepNext w:val="0"/>
        <w:pageBreakBefore w:val="0"/>
        <w:spacing w:line="320" w:lineRule="exact"/>
        <w:rPr>
          <w:color w:val="000000"/>
          <w:szCs w:val="21"/>
          <w:highlight w:val="none"/>
        </w:rPr>
      </w:pPr>
      <w:r>
        <w:rPr>
          <w:color w:val="000000"/>
          <w:szCs w:val="21"/>
          <w:highlight w:val="none"/>
        </w:rPr>
        <w:t xml:space="preserve">1.3依法缴纳税收和社会保障资金的相关材料（提供提交响应文件截止时间前一年内至少一个月依法缴纳税收及缴纳社会保障资金的证明材料</w:t>
      </w:r>
      <w:r>
        <w:rPr>
          <w:rFonts w:hint="eastAsia"/>
          <w:color w:val="000000"/>
          <w:szCs w:val="21"/>
          <w:highlight w:val="none"/>
        </w:rPr>
        <w:t xml:space="preserve">；</w:t>
      </w:r>
      <w:r>
        <w:rPr>
          <w:color w:val="000000"/>
          <w:szCs w:val="21"/>
          <w:highlight w:val="none"/>
        </w:rPr>
        <w:t xml:space="preserve">供应商依法享受缓缴、免缴税收、社会保障资金的提供证明材料）；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1.4具备履行合同所必需的设备和专业技术能力的证明材料；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1.5参加本项目竞争性磋商活动前3年内（距提交响应文件截止之日前</w:t>
      </w:r>
      <w:r>
        <w:rPr>
          <w:color w:val="000000"/>
          <w:spacing w:val="-10"/>
          <w:szCs w:val="21"/>
          <w:highlight w:val="none"/>
        </w:rPr>
        <w:t xml:space="preserve">）</w:t>
      </w:r>
      <w:r>
        <w:rPr>
          <w:color w:val="000000"/>
          <w:szCs w:val="21"/>
          <w:highlight w:val="none"/>
        </w:rPr>
        <w:t xml:space="preserve">在经营活动中没有重大违法记录的书面证明材料；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1.6具备法律、行政法规规定的其他条件的证明材料。</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2.</w:t>
      </w:r>
      <w:r>
        <w:rPr>
          <w:color w:val="000000"/>
          <w:szCs w:val="21"/>
          <w:highlight w:val="none"/>
        </w:rPr>
        <w:t xml:space="preserve">落实政府采购政策需满足的资格要求：无。</w:t>
      </w:r>
      <w:r/>
    </w:p>
    <w:p>
      <w:pPr>
        <w:ind w:firstLine="420"/>
        <w:keepLines w:val="0"/>
        <w:keepNext w:val="0"/>
        <w:pageBreakBefore w:val="0"/>
        <w:spacing w:line="320" w:lineRule="exact"/>
        <w:tabs>
          <w:tab w:val="left" w:pos="3769" w:leader="none"/>
        </w:tabs>
        <w:rPr>
          <w:color w:val="000000"/>
          <w:szCs w:val="21"/>
          <w:highlight w:val="none"/>
        </w:rPr>
      </w:pPr>
      <w:r>
        <w:rPr>
          <w:rFonts w:hint="eastAsia"/>
          <w:color w:val="000000"/>
          <w:szCs w:val="21"/>
          <w:highlight w:val="none"/>
        </w:rPr>
        <w:t xml:space="preserve">3.</w:t>
      </w:r>
      <w:r>
        <w:rPr>
          <w:color w:val="000000"/>
          <w:szCs w:val="21"/>
          <w:highlight w:val="none"/>
        </w:rPr>
        <w:t xml:space="preserve">本项目不接受联合体投标。</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4.</w:t>
      </w:r>
      <w:r>
        <w:rPr>
          <w:color w:val="000000"/>
          <w:szCs w:val="21"/>
          <w:highlight w:val="none"/>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5.</w:t>
      </w:r>
      <w:r>
        <w:rPr>
          <w:color w:val="000000"/>
          <w:szCs w:val="21"/>
          <w:highlight w:val="none"/>
        </w:rPr>
        <w:t xml:space="preserve">本项目拒绝下述供应商参加本次采购活动： </w:t>
      </w:r>
      <w:r/>
    </w:p>
    <w:p>
      <w:pPr>
        <w:ind w:firstLine="420"/>
        <w:keepLines w:val="0"/>
        <w:keepNext w:val="0"/>
        <w:pageBreakBefore w:val="0"/>
        <w:spacing w:line="320" w:lineRule="exact"/>
        <w:rPr>
          <w:color w:val="000000"/>
          <w:szCs w:val="21"/>
          <w:highlight w:val="none"/>
        </w:rPr>
      </w:pPr>
      <w:r>
        <w:rPr>
          <w:color w:val="000000"/>
          <w:szCs w:val="21"/>
          <w:highlight w:val="none"/>
        </w:rPr>
        <w:t xml:space="preserve">5.1供应商单位负责人为同一人或者存在直接控股、管理关系的不同供应商，不得参加同一合同项下的政府采购活动。</w:t>
      </w:r>
      <w:r/>
    </w:p>
    <w:p>
      <w:pPr>
        <w:ind w:firstLine="420"/>
        <w:keepLines w:val="0"/>
        <w:keepNext w:val="0"/>
        <w:pageBreakBefore w:val="0"/>
        <w:spacing w:line="320" w:lineRule="exact"/>
        <w:rPr>
          <w:color w:val="000000"/>
          <w:szCs w:val="21"/>
          <w:highlight w:val="none"/>
        </w:rPr>
      </w:pPr>
      <w:r>
        <w:rPr>
          <w:color w:val="000000"/>
          <w:szCs w:val="21"/>
          <w:highlight w:val="none"/>
        </w:rPr>
        <w:t xml:space="preserve">5.2凡为采购项目提供整体设计、规范编制或者项目管理、监理、检测等服务的供应商，不得再参加本项目的采购活动。</w:t>
      </w:r>
      <w:r/>
    </w:p>
    <w:p>
      <w:pPr>
        <w:ind w:firstLine="420"/>
        <w:keepLines w:val="0"/>
        <w:keepNext w:val="0"/>
        <w:pageBreakBefore w:val="0"/>
        <w:spacing w:line="320" w:lineRule="exact"/>
        <w:tabs>
          <w:tab w:val="left" w:pos="3769" w:leader="none"/>
        </w:tabs>
        <w:rPr>
          <w:color w:val="000000"/>
          <w:szCs w:val="21"/>
          <w:highlight w:val="none"/>
        </w:rPr>
      </w:pPr>
      <w:r>
        <w:rPr>
          <w:color w:val="000000"/>
          <w:szCs w:val="21"/>
          <w:highlight w:val="none"/>
        </w:rPr>
        <w:t xml:space="preserve">（二）特定资格要求</w:t>
      </w:r>
      <w:r/>
    </w:p>
    <w:p>
      <w:pPr>
        <w:ind w:firstLine="420"/>
        <w:keepLines w:val="0"/>
        <w:keepNext w:val="0"/>
        <w:pageBreakBefore w:val="0"/>
        <w:spacing w:line="320" w:lineRule="exact"/>
        <w:tabs>
          <w:tab w:val="left" w:pos="3769" w:leader="none"/>
        </w:tabs>
        <w:rPr>
          <w:color w:val="000000"/>
          <w:szCs w:val="21"/>
          <w:highlight w:val="none"/>
        </w:rPr>
      </w:pPr>
      <w:r>
        <w:rPr>
          <w:color w:val="000000"/>
          <w:szCs w:val="21"/>
          <w:highlight w:val="none"/>
        </w:rPr>
        <w:t xml:space="preserve">本项目的特定资格要求：无。</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三、获取采购文件</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1、时间：自采购文件公告发布之日起5个工作日。</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2、地点：江苏政府采购网。</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3、方式：在“江苏政府采购网”自行免费下载采购文件。</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4、售价：0.00元。</w:t>
      </w:r>
      <w:r/>
    </w:p>
    <w:p>
      <w:pPr>
        <w:ind w:firstLine="422"/>
        <w:keepLines w:val="0"/>
        <w:keepNext w:val="0"/>
        <w:pageBreakBefore w:val="0"/>
        <w:spacing w:line="320" w:lineRule="exact"/>
        <w:rPr>
          <w:b/>
          <w:color w:val="000000"/>
          <w:szCs w:val="21"/>
          <w:highlight w:val="none"/>
        </w:rPr>
      </w:pPr>
      <w:r/>
      <w:bookmarkStart w:id="6" w:name="_Toc18950"/>
      <w:r/>
      <w:bookmarkStart w:id="7" w:name="_Toc29481"/>
      <w:r/>
      <w:bookmarkStart w:id="8" w:name="_Toc698"/>
      <w:r>
        <w:rPr>
          <w:b/>
          <w:color w:val="000000"/>
          <w:szCs w:val="21"/>
          <w:highlight w:val="none"/>
        </w:rPr>
        <w:t xml:space="preserve">四、响应文件提交截止时间、开启时间和地点</w:t>
      </w:r>
      <w:bookmarkEnd w:id="6"/>
      <w:r/>
      <w:bookmarkEnd w:id="7"/>
      <w:r/>
      <w:bookmarkEnd w:id="8"/>
      <w:r/>
      <w:r/>
    </w:p>
    <w:p>
      <w:pPr>
        <w:ind w:firstLine="420"/>
        <w:keepLines w:val="0"/>
        <w:keepNext w:val="0"/>
        <w:pageBreakBefore w:val="0"/>
        <w:spacing w:line="32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1、2026年</w:t>
      </w:r>
      <w:r>
        <w:rPr>
          <w:rFonts w:hint="eastAsia" w:cs="Times New Roman"/>
          <w:szCs w:val="21"/>
          <w:highlight w:val="none"/>
          <w:lang w:val="en-US" w:eastAsia="zh-CN"/>
        </w:rPr>
        <w:t xml:space="preserve">10</w:t>
      </w:r>
      <w:r>
        <w:rPr>
          <w:rFonts w:hint="eastAsia" w:ascii="Times New Roman" w:hAnsi="Times New Roman" w:eastAsia="宋体" w:cs="Times New Roman"/>
          <w:szCs w:val="21"/>
          <w:highlight w:val="none"/>
        </w:rPr>
        <w:t xml:space="preserve">月</w:t>
      </w:r>
      <w:r>
        <w:rPr>
          <w:rFonts w:hint="eastAsia" w:cs="Times New Roman"/>
          <w:szCs w:val="21"/>
          <w:highlight w:val="none"/>
          <w:lang w:val="en-US" w:eastAsia="zh-CN"/>
        </w:rPr>
        <w:t xml:space="preserve">10</w:t>
      </w:r>
      <w:r>
        <w:rPr>
          <w:rFonts w:hint="eastAsia" w:ascii="Times New Roman" w:hAnsi="Times New Roman" w:eastAsia="宋体" w:cs="Times New Roman"/>
          <w:szCs w:val="21"/>
          <w:highlight w:val="none"/>
        </w:rPr>
        <w:t xml:space="preserve">日14点30分</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2、提交响应文件地点：江苏省政府采购管理交易系统（苏采云）（以下简称“苏采云”）（网址：http://jszfcg.jsczt.cn/）。</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3、磋商地点：“苏采云”开标大厅。</w:t>
      </w:r>
      <w:r/>
    </w:p>
    <w:p>
      <w:pPr>
        <w:ind w:firstLine="422"/>
        <w:keepLines w:val="0"/>
        <w:keepNext w:val="0"/>
        <w:pageBreakBefore w:val="0"/>
        <w:spacing w:line="320" w:lineRule="exact"/>
        <w:rPr>
          <w:b/>
          <w:color w:val="000000"/>
          <w:szCs w:val="21"/>
        </w:rPr>
      </w:pPr>
      <w:r>
        <w:rPr>
          <w:b/>
          <w:color w:val="000000"/>
          <w:szCs w:val="21"/>
          <w:highlight w:val="none"/>
        </w:rPr>
        <w:t xml:space="preserve">五、公</w:t>
      </w:r>
      <w:r>
        <w:rPr>
          <w:b/>
          <w:color w:val="000000"/>
          <w:szCs w:val="21"/>
        </w:rPr>
        <w:t xml:space="preserve">告期限</w:t>
      </w:r>
      <w:r/>
    </w:p>
    <w:p>
      <w:pPr>
        <w:ind w:firstLine="420"/>
        <w:keepLines w:val="0"/>
        <w:keepNext w:val="0"/>
        <w:pageBreakBefore w:val="0"/>
        <w:spacing w:line="320" w:lineRule="exact"/>
        <w:rPr>
          <w:color w:val="000000"/>
          <w:szCs w:val="21"/>
        </w:rPr>
      </w:pPr>
      <w:r>
        <w:rPr>
          <w:color w:val="000000"/>
          <w:szCs w:val="21"/>
        </w:rPr>
        <w:t xml:space="preserve">磋商公告及磋商文件公告期限为自本公告发布之日起</w:t>
      </w:r>
      <w:r>
        <w:rPr>
          <w:rFonts w:hint="eastAsia"/>
          <w:color w:val="000000"/>
          <w:szCs w:val="21"/>
        </w:rPr>
        <w:t xml:space="preserve">3</w:t>
      </w:r>
      <w:r>
        <w:rPr>
          <w:color w:val="000000"/>
          <w:szCs w:val="21"/>
        </w:rPr>
        <w:t xml:space="preserve">个工作日。</w:t>
      </w:r>
      <w:r/>
    </w:p>
    <w:p>
      <w:pPr>
        <w:ind w:firstLine="422"/>
        <w:keepLines w:val="0"/>
        <w:keepNext w:val="0"/>
        <w:pageBreakBefore w:val="0"/>
        <w:spacing w:line="320" w:lineRule="exact"/>
        <w:rPr>
          <w:b/>
          <w:color w:val="000000"/>
          <w:szCs w:val="21"/>
        </w:rPr>
      </w:pPr>
      <w:r>
        <w:rPr>
          <w:b/>
          <w:color w:val="000000"/>
          <w:szCs w:val="21"/>
        </w:rPr>
        <w:t xml:space="preserve">六、其他补充事宜</w:t>
      </w:r>
      <w:r/>
    </w:p>
    <w:p>
      <w:pPr>
        <w:ind w:firstLine="420"/>
        <w:keepLines w:val="0"/>
        <w:keepNext w:val="0"/>
        <w:pageBreakBefore w:val="0"/>
        <w:spacing w:line="320" w:lineRule="exact"/>
        <w:rPr>
          <w:szCs w:val="21"/>
        </w:rPr>
      </w:pPr>
      <w:r>
        <w:rPr>
          <w:rFonts w:hint="eastAsia"/>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p>
    <w:p>
      <w:pPr>
        <w:ind w:firstLine="420"/>
        <w:keepLines w:val="0"/>
        <w:keepNext w:val="0"/>
        <w:pageBreakBefore w:val="0"/>
        <w:spacing w:line="320" w:lineRule="exact"/>
        <w:rPr>
          <w:szCs w:val="21"/>
        </w:rPr>
      </w:pPr>
      <w:r/>
      <w:bookmarkStart w:id="9" w:name="OLE_LINK4"/>
      <w:r>
        <w:rPr>
          <w:szCs w:val="21"/>
        </w:rPr>
        <w:t xml:space="preserve">http://www.ccgp-jiangsu.gov.cn/jiangsu/zlxz/ee/ee3a4bc5a3454aa2b0d9312230633ce9.html。</w:t>
      </w:r>
      <w:bookmarkEnd w:id="9"/>
      <w:r/>
      <w:r/>
    </w:p>
    <w:p>
      <w:pPr>
        <w:ind w:firstLine="420"/>
        <w:keepLines w:val="0"/>
        <w:keepNext w:val="0"/>
        <w:pageBreakBefore w:val="0"/>
        <w:spacing w:line="320" w:lineRule="exact"/>
        <w:rPr>
          <w:szCs w:val="21"/>
        </w:rPr>
      </w:pPr>
      <w:r>
        <w:rPr>
          <w:rFonts w:hint="eastAsia"/>
          <w:szCs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szCs w:val="21"/>
        </w:rPr>
        <w:t xml:space="preserve">（www.jszwfw.gov.cn）</w:t>
      </w:r>
      <w:r>
        <w:rPr>
          <w:rFonts w:hint="eastAsia"/>
          <w:szCs w:val="21"/>
        </w:rPr>
        <w:t xml:space="preserve">，“一企来办”专栏下“政府采购”模块详细了解关于CA办理、标书制作、开标投标指引等事宜。</w:t>
      </w:r>
      <w:r/>
    </w:p>
    <w:p>
      <w:pPr>
        <w:ind w:firstLine="420"/>
        <w:jc w:val="left"/>
        <w:keepLines w:val="0"/>
        <w:keepNext w:val="0"/>
        <w:pageBreakBefore w:val="0"/>
        <w:spacing w:line="320" w:lineRule="exact"/>
        <w:widowControl/>
        <w:rPr>
          <w:bCs/>
          <w:color w:val="000000"/>
          <w:szCs w:val="21"/>
          <w:highlight w:val="none"/>
        </w:rPr>
      </w:pPr>
      <w:r>
        <w:rPr>
          <w:rFonts w:hint="eastAsia"/>
          <w:szCs w:val="21"/>
          <w:highlight w:val="none"/>
        </w:rPr>
        <w:t xml:space="preserve">如果“江苏政府采购网”</w:t>
      </w:r>
      <w:r>
        <w:rPr>
          <w:szCs w:val="21"/>
          <w:highlight w:val="none"/>
        </w:rPr>
        <w:t xml:space="preserve">（www.ccgp-jiangsu.gov.cn）</w:t>
      </w:r>
      <w:r>
        <w:rPr>
          <w:rFonts w:hint="eastAsia"/>
          <w:szCs w:val="21"/>
          <w:highlight w:val="none"/>
        </w:rPr>
        <w:t xml:space="preserve">信息与“江苏政务服务网”</w:t>
      </w:r>
      <w:r>
        <w:rPr>
          <w:szCs w:val="21"/>
          <w:highlight w:val="none"/>
        </w:rPr>
        <w:t xml:space="preserve">（www.jszwfw.gov.cn）</w:t>
      </w:r>
      <w:r>
        <w:rPr>
          <w:rFonts w:hint="eastAsia"/>
          <w:szCs w:val="21"/>
          <w:highlight w:val="none"/>
        </w:rPr>
        <w:t xml:space="preserve">，“一企来办”专栏下“政府采购”模块中信息不一致，以“江苏政府采购网”信息为准。</w:t>
      </w:r>
      <w:r/>
    </w:p>
    <w:p>
      <w:pPr>
        <w:ind w:firstLine="420"/>
        <w:keepLines w:val="0"/>
        <w:keepNext w:val="0"/>
        <w:pageBreakBefore w:val="0"/>
        <w:spacing w:line="320" w:lineRule="exact"/>
        <w:rPr>
          <w:color w:val="000000"/>
          <w:highlight w:val="none"/>
        </w:rPr>
      </w:pPr>
      <w:r>
        <w:rPr>
          <w:rFonts w:hint="eastAsia"/>
          <w:color w:val="000000"/>
          <w:highlight w:val="none"/>
        </w:rPr>
        <w:t xml:space="preserve">2、</w:t>
      </w:r>
      <w:r>
        <w:rPr>
          <w:rFonts w:hint="eastAsia"/>
          <w:b/>
          <w:bCs/>
          <w:color w:val="000000"/>
          <w:highlight w:val="none"/>
        </w:rPr>
        <w:t xml:space="preserve">同一</w:t>
      </w:r>
      <w:r>
        <w:rPr>
          <w:rFonts w:hint="eastAsia"/>
          <w:b/>
          <w:bCs/>
          <w:color w:val="000000"/>
          <w:highlight w:val="none"/>
          <w:lang w:val="en-US" w:eastAsia="zh-CN"/>
        </w:rPr>
        <w:t xml:space="preserve">供应商</w:t>
      </w:r>
      <w:r>
        <w:rPr>
          <w:rFonts w:hint="eastAsia"/>
          <w:b/>
          <w:bCs/>
          <w:color w:val="000000"/>
          <w:highlight w:val="none"/>
        </w:rPr>
        <w:t xml:space="preserve">可同时参加多个包</w:t>
      </w:r>
      <w:r>
        <w:rPr>
          <w:rFonts w:hint="eastAsia"/>
          <w:b/>
          <w:bCs/>
          <w:color w:val="000000"/>
          <w:highlight w:val="none"/>
          <w:lang w:val="en-US" w:eastAsia="zh-CN"/>
        </w:rPr>
        <w:t xml:space="preserve">响应</w:t>
      </w:r>
      <w:r>
        <w:rPr>
          <w:rFonts w:hint="eastAsia"/>
          <w:b/>
          <w:bCs/>
          <w:color w:val="000000"/>
          <w:highlight w:val="none"/>
        </w:rPr>
        <w:t xml:space="preserve">，兼投兼中。</w:t>
      </w:r>
      <w:r>
        <w:rPr>
          <w:rFonts w:hint="eastAsia"/>
          <w:b/>
          <w:bCs/>
          <w:color w:val="000000"/>
          <w:highlight w:val="none"/>
          <w:lang w:val="en-US" w:eastAsia="zh-CN"/>
        </w:rPr>
        <w:t xml:space="preserve">供应商</w:t>
      </w:r>
      <w:r>
        <w:rPr>
          <w:rFonts w:hint="eastAsia"/>
          <w:b/>
          <w:bCs/>
          <w:color w:val="000000"/>
          <w:highlight w:val="none"/>
        </w:rPr>
        <w:t xml:space="preserve">应分别制作</w:t>
      </w:r>
      <w:r>
        <w:rPr>
          <w:rFonts w:hint="eastAsia"/>
          <w:b/>
          <w:bCs/>
          <w:color w:val="000000"/>
          <w:highlight w:val="none"/>
          <w:lang w:val="en-US" w:eastAsia="zh-CN"/>
        </w:rPr>
        <w:t xml:space="preserve">响应</w:t>
      </w:r>
      <w:r>
        <w:rPr>
          <w:rFonts w:hint="eastAsia"/>
          <w:b/>
          <w:bCs/>
          <w:color w:val="000000"/>
          <w:highlight w:val="none"/>
        </w:rPr>
        <w:t xml:space="preserve">文件。本项目按包1、包2、包3</w:t>
      </w:r>
      <w:r>
        <w:rPr>
          <w:rFonts w:hint="eastAsia"/>
          <w:b/>
          <w:bCs/>
          <w:color w:val="000000"/>
          <w:highlight w:val="none"/>
          <w:lang w:eastAsia="zh-CN"/>
        </w:rPr>
        <w:t xml:space="preserve">、</w:t>
      </w:r>
      <w:r>
        <w:rPr>
          <w:rFonts w:hint="eastAsia"/>
          <w:b/>
          <w:bCs/>
          <w:color w:val="000000"/>
          <w:highlight w:val="none"/>
        </w:rPr>
        <w:t xml:space="preserve">包</w:t>
      </w:r>
      <w:r>
        <w:rPr>
          <w:rFonts w:hint="eastAsia"/>
          <w:b/>
          <w:bCs/>
          <w:color w:val="000000"/>
          <w:highlight w:val="none"/>
          <w:lang w:val="en-US" w:eastAsia="zh-CN"/>
        </w:rPr>
        <w:t xml:space="preserve">4</w:t>
      </w:r>
      <w:r>
        <w:rPr>
          <w:rFonts w:hint="eastAsia"/>
          <w:b/>
          <w:bCs/>
          <w:color w:val="000000"/>
          <w:highlight w:val="none"/>
        </w:rPr>
        <w:t xml:space="preserve">顺序开评标。按照</w:t>
      </w:r>
      <w:r>
        <w:rPr>
          <w:rFonts w:hint="eastAsia"/>
          <w:b/>
          <w:bCs/>
          <w:color w:val="000000"/>
          <w:highlight w:val="none"/>
          <w:lang w:val="en-US" w:eastAsia="zh-CN"/>
        </w:rPr>
        <w:t xml:space="preserve">评审</w:t>
      </w:r>
      <w:r>
        <w:rPr>
          <w:rFonts w:hint="eastAsia"/>
          <w:b/>
          <w:bCs/>
          <w:color w:val="000000"/>
          <w:highlight w:val="none"/>
        </w:rPr>
        <w:t xml:space="preserve">先后顺序确定入围供应商，</w:t>
      </w:r>
      <w:r>
        <w:rPr>
          <w:rFonts w:hint="eastAsia"/>
          <w:b/>
          <w:bCs/>
          <w:color w:val="000000"/>
          <w:highlight w:val="none"/>
          <w:lang w:val="en-US" w:eastAsia="zh-CN"/>
        </w:rPr>
        <w:t xml:space="preserve">供应商</w:t>
      </w:r>
      <w:r>
        <w:rPr>
          <w:rFonts w:hint="eastAsia"/>
          <w:b/>
          <w:bCs/>
          <w:color w:val="000000"/>
          <w:highlight w:val="none"/>
        </w:rPr>
        <w:t xml:space="preserve">在前一分包中被评为</w:t>
      </w:r>
      <w:r>
        <w:rPr>
          <w:rFonts w:hint="eastAsia"/>
          <w:b/>
          <w:bCs/>
          <w:color w:val="000000"/>
          <w:highlight w:val="none"/>
          <w:lang w:val="en-US" w:eastAsia="zh-CN"/>
        </w:rPr>
        <w:t xml:space="preserve">成交</w:t>
      </w:r>
      <w:r>
        <w:rPr>
          <w:rFonts w:hint="eastAsia"/>
          <w:b/>
          <w:bCs/>
          <w:color w:val="000000"/>
          <w:highlight w:val="none"/>
        </w:rPr>
        <w:t xml:space="preserve">候选人后，仍然可参加后续分包的评审且在后续分包中可继续被评为</w:t>
      </w:r>
      <w:r>
        <w:rPr>
          <w:rFonts w:hint="eastAsia"/>
          <w:b/>
          <w:bCs/>
          <w:color w:val="000000"/>
          <w:highlight w:val="none"/>
          <w:lang w:val="en-US" w:eastAsia="zh-CN"/>
        </w:rPr>
        <w:t xml:space="preserve">成交</w:t>
      </w:r>
      <w:r>
        <w:rPr>
          <w:rFonts w:hint="eastAsia"/>
          <w:b/>
          <w:bCs/>
          <w:color w:val="000000"/>
          <w:highlight w:val="none"/>
        </w:rPr>
        <w:t xml:space="preserve">候选人。</w:t>
      </w:r>
      <w:r/>
    </w:p>
    <w:p>
      <w:pPr>
        <w:ind w:firstLine="420"/>
        <w:jc w:val="left"/>
        <w:keepLines w:val="0"/>
        <w:keepNext w:val="0"/>
        <w:pageBreakBefore w:val="0"/>
        <w:spacing w:line="320" w:lineRule="exact"/>
        <w:widowControl/>
        <w:rPr>
          <w:bCs/>
          <w:color w:val="000000"/>
          <w:szCs w:val="21"/>
        </w:rPr>
      </w:pPr>
      <w:r>
        <w:rPr>
          <w:rFonts w:hint="eastAsia"/>
          <w:bCs/>
          <w:color w:val="000000"/>
          <w:szCs w:val="21"/>
          <w:lang w:val="en-US" w:eastAsia="zh-CN"/>
        </w:rPr>
        <w:t xml:space="preserve">3</w:t>
      </w:r>
      <w:r>
        <w:rPr>
          <w:rFonts w:hint="eastAsia"/>
          <w:bCs/>
          <w:color w:val="000000"/>
          <w:szCs w:val="21"/>
        </w:rPr>
        <w:t xml:space="preserve">.</w:t>
      </w:r>
      <w:r>
        <w:rPr>
          <w:bCs/>
          <w:color w:val="000000"/>
          <w:szCs w:val="21"/>
        </w:rPr>
        <w:t xml:space="preserve">本次</w:t>
      </w:r>
      <w:r>
        <w:rPr>
          <w:rFonts w:hint="eastAsia"/>
          <w:bCs/>
          <w:color w:val="000000"/>
          <w:szCs w:val="21"/>
        </w:rPr>
        <w:t xml:space="preserve">磋商</w:t>
      </w:r>
      <w:r>
        <w:rPr>
          <w:bCs/>
          <w:color w:val="000000"/>
          <w:szCs w:val="21"/>
        </w:rPr>
        <w:t xml:space="preserve">不收取磋商保证金。</w:t>
      </w:r>
      <w:r/>
    </w:p>
    <w:p>
      <w:pPr>
        <w:ind w:firstLine="420"/>
        <w:jc w:val="left"/>
        <w:keepLines w:val="0"/>
        <w:keepNext w:val="0"/>
        <w:pageBreakBefore w:val="0"/>
        <w:spacing w:line="320" w:lineRule="exact"/>
        <w:widowControl/>
        <w:rPr>
          <w:b/>
          <w:bCs/>
          <w:color w:val="000000"/>
          <w:sz w:val="24"/>
          <w:szCs w:val="24"/>
        </w:rPr>
      </w:pPr>
      <w:r/>
      <w:bookmarkStart w:id="10" w:name="_Hlk65067909"/>
      <w:r>
        <w:rPr>
          <w:rFonts w:hint="eastAsia"/>
          <w:bCs/>
          <w:color w:val="000000"/>
          <w:szCs w:val="21"/>
          <w:lang w:val="en-US" w:eastAsia="zh-CN"/>
        </w:rPr>
        <w:t xml:space="preserve">4</w:t>
      </w:r>
      <w:r>
        <w:rPr>
          <w:rFonts w:hint="eastAsia"/>
          <w:bCs/>
          <w:color w:val="000000"/>
          <w:szCs w:val="21"/>
        </w:rPr>
        <w:t xml:space="preserve">.</w:t>
      </w:r>
      <w:r>
        <w:rPr>
          <w:bCs/>
          <w:color w:val="000000"/>
          <w:szCs w:val="21"/>
        </w:rPr>
        <w:t xml:space="preserve">有关本次磋商采购的事项若存在变动或修改，敬请及时关注江苏励邦招标代理有限公司在</w:t>
      </w:r>
      <w:r>
        <w:rPr>
          <w:rFonts w:hint="eastAsia"/>
          <w:bCs/>
          <w:color w:val="000000"/>
          <w:szCs w:val="21"/>
        </w:rPr>
        <w:t xml:space="preserve">江苏政府采购</w:t>
      </w:r>
      <w:r>
        <w:rPr>
          <w:bCs/>
          <w:color w:val="000000"/>
          <w:szCs w:val="21"/>
        </w:rPr>
        <w:t xml:space="preserve">网发布的更正公告。</w:t>
      </w:r>
      <w:bookmarkEnd w:id="10"/>
      <w:r/>
      <w:r/>
    </w:p>
    <w:p>
      <w:pPr>
        <w:ind w:firstLine="422"/>
        <w:keepLines w:val="0"/>
        <w:keepNext w:val="0"/>
        <w:pageBreakBefore w:val="0"/>
        <w:spacing w:line="320" w:lineRule="exact"/>
        <w:rPr>
          <w:b/>
          <w:color w:val="000000"/>
          <w:szCs w:val="21"/>
        </w:rPr>
      </w:pPr>
      <w:r>
        <w:rPr>
          <w:b/>
          <w:color w:val="000000"/>
          <w:szCs w:val="21"/>
        </w:rPr>
        <w:t xml:space="preserve">七、本次竞争性磋商联系方式</w:t>
      </w:r>
      <w:r/>
    </w:p>
    <w:p>
      <w:pPr>
        <w:ind w:firstLine="420"/>
        <w:keepLines w:val="0"/>
        <w:keepNext w:val="0"/>
        <w:pageBreakBefore w:val="0"/>
        <w:spacing w:line="320" w:lineRule="exact"/>
        <w:rPr>
          <w:color w:val="000000"/>
          <w:szCs w:val="21"/>
        </w:rPr>
      </w:pPr>
      <w:r>
        <w:rPr>
          <w:rFonts w:hint="eastAsia"/>
          <w:color w:val="000000"/>
          <w:szCs w:val="21"/>
        </w:rPr>
        <w:t xml:space="preserve">1.</w:t>
      </w:r>
      <w:r>
        <w:rPr>
          <w:color w:val="000000"/>
          <w:szCs w:val="21"/>
        </w:rPr>
        <w:t xml:space="preserve">采购人信息</w:t>
      </w:r>
      <w:r/>
    </w:p>
    <w:p>
      <w:pPr>
        <w:ind w:firstLine="420"/>
        <w:keepLines w:val="0"/>
        <w:keepNext w:val="0"/>
        <w:pageBreakBefore w:val="0"/>
        <w:spacing w:line="320" w:lineRule="exact"/>
        <w:rPr>
          <w:color w:val="000000"/>
          <w:szCs w:val="21"/>
        </w:rPr>
      </w:pPr>
      <w:r>
        <w:rPr>
          <w:color w:val="000000"/>
          <w:szCs w:val="21"/>
        </w:rPr>
        <w:t xml:space="preserve">名称：</w:t>
      </w:r>
      <w:r>
        <w:rPr>
          <w:color w:val="000000"/>
          <w:szCs w:val="21"/>
        </w:rPr>
        <w:t xml:space="preserve">江苏省质量和标准化研究院</w:t>
      </w:r>
      <w:r/>
    </w:p>
    <w:p>
      <w:pPr>
        <w:ind w:firstLine="420"/>
        <w:keepLines w:val="0"/>
        <w:keepNext w:val="0"/>
        <w:pageBreakBefore w:val="0"/>
        <w:spacing w:line="320" w:lineRule="exact"/>
        <w:rPr>
          <w:color w:val="000000"/>
          <w:szCs w:val="21"/>
        </w:rPr>
      </w:pPr>
      <w:r>
        <w:rPr>
          <w:color w:val="000000"/>
          <w:szCs w:val="21"/>
        </w:rPr>
        <w:t xml:space="preserve">地址：江苏省南京市石鼓路227号</w:t>
      </w:r>
      <w:r/>
    </w:p>
    <w:p>
      <w:pPr>
        <w:ind w:firstLine="420"/>
        <w:keepLines w:val="0"/>
        <w:keepNext w:val="0"/>
        <w:pageBreakBefore w:val="0"/>
        <w:spacing w:line="32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联系人：</w:t>
      </w:r>
      <w:r>
        <w:rPr>
          <w:rFonts w:hint="default" w:ascii="Times New Roman" w:hAnsi="Times New Roman" w:eastAsia="宋体" w:cs="Times New Roman"/>
          <w:color w:val="000000"/>
          <w:szCs w:val="21"/>
          <w:lang w:val="en-US" w:eastAsia="zh-CN"/>
        </w:rPr>
        <w:t xml:space="preserve">孔</w:t>
      </w:r>
      <w:r>
        <w:rPr>
          <w:rFonts w:hint="default" w:ascii="Times New Roman" w:hAnsi="Times New Roman" w:eastAsia="宋体" w:cs="Times New Roman"/>
          <w:color w:val="000000"/>
          <w:szCs w:val="21"/>
        </w:rPr>
        <w:t xml:space="preserve">老师</w:t>
      </w:r>
      <w:r/>
    </w:p>
    <w:p>
      <w:pPr>
        <w:ind w:firstLine="420"/>
        <w:keepLines w:val="0"/>
        <w:keepNext w:val="0"/>
        <w:pageBreakBefore w:val="0"/>
        <w:spacing w:line="320" w:lineRule="exact"/>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rPr>
        <w:t xml:space="preserve">电话：025-</w:t>
      </w:r>
      <w:r>
        <w:rPr>
          <w:rFonts w:hint="default" w:ascii="Times New Roman" w:hAnsi="Times New Roman" w:eastAsia="宋体" w:cs="Times New Roman"/>
          <w:color w:val="000000"/>
          <w:szCs w:val="21"/>
          <w:lang w:val="en-US" w:eastAsia="zh-CN"/>
        </w:rPr>
        <w:t xml:space="preserve">86600393</w:t>
      </w:r>
      <w:r/>
    </w:p>
    <w:p>
      <w:pPr>
        <w:ind w:firstLine="420"/>
        <w:keepLines w:val="0"/>
        <w:keepNext w:val="0"/>
        <w:pageBreakBefore w:val="0"/>
        <w:spacing w:line="320" w:lineRule="exact"/>
        <w:rPr>
          <w:color w:val="000000"/>
          <w:szCs w:val="21"/>
        </w:rPr>
      </w:pPr>
      <w:r>
        <w:rPr>
          <w:rFonts w:hint="eastAsia"/>
          <w:color w:val="000000"/>
          <w:szCs w:val="21"/>
        </w:rPr>
        <w:t xml:space="preserve">2.</w:t>
      </w:r>
      <w:r>
        <w:rPr>
          <w:color w:val="000000"/>
          <w:szCs w:val="21"/>
        </w:rPr>
        <w:t xml:space="preserve">招标代理机构信息</w:t>
      </w:r>
      <w:r/>
    </w:p>
    <w:p>
      <w:pPr>
        <w:ind w:firstLine="420"/>
        <w:keepLines w:val="0"/>
        <w:keepNext w:val="0"/>
        <w:pageBreakBefore w:val="0"/>
        <w:spacing w:line="320" w:lineRule="exact"/>
        <w:rPr>
          <w:color w:val="000000"/>
          <w:szCs w:val="21"/>
        </w:rPr>
      </w:pPr>
      <w:r>
        <w:rPr>
          <w:color w:val="000000"/>
          <w:szCs w:val="21"/>
        </w:rPr>
        <w:t xml:space="preserve">名称：</w:t>
      </w:r>
      <w:r>
        <w:rPr>
          <w:color w:val="000000"/>
          <w:szCs w:val="21"/>
        </w:rPr>
        <w:t xml:space="preserve">江苏励邦招标代理有限公司</w:t>
      </w:r>
      <w:r/>
    </w:p>
    <w:p>
      <w:pPr>
        <w:ind w:firstLine="420"/>
        <w:keepLines w:val="0"/>
        <w:keepNext w:val="0"/>
        <w:pageBreakBefore w:val="0"/>
        <w:spacing w:line="320" w:lineRule="exact"/>
        <w:rPr>
          <w:color w:val="000000"/>
          <w:szCs w:val="21"/>
          <w:u w:val="single"/>
        </w:rPr>
      </w:pPr>
      <w:r>
        <w:rPr>
          <w:color w:val="000000"/>
          <w:szCs w:val="21"/>
        </w:rPr>
        <w:t xml:space="preserve">地址：</w:t>
      </w:r>
      <w:r>
        <w:rPr>
          <w:rFonts w:hint="eastAsia"/>
        </w:rPr>
        <w:t xml:space="preserve">江苏省南京市鼓楼区集庆门大街268号苏宁慧谷E08-1幢2205、2206室</w:t>
      </w:r>
      <w:r/>
    </w:p>
    <w:p>
      <w:pPr>
        <w:ind w:firstLine="420"/>
        <w:keepLines w:val="0"/>
        <w:keepNext w:val="0"/>
        <w:pageBreakBefore w:val="0"/>
        <w:spacing w:line="320" w:lineRule="exact"/>
        <w:rPr>
          <w:color w:val="000000"/>
          <w:szCs w:val="21"/>
          <w:u w:val="single"/>
        </w:rPr>
      </w:pPr>
      <w:r>
        <w:rPr>
          <w:color w:val="000000"/>
          <w:szCs w:val="21"/>
        </w:rPr>
        <w:t xml:space="preserve">联系人：徐工</w:t>
      </w:r>
      <w:r/>
    </w:p>
    <w:p>
      <w:pPr>
        <w:ind w:firstLine="420"/>
        <w:keepLines w:val="0"/>
        <w:keepNext w:val="0"/>
        <w:pageBreakBefore w:val="0"/>
        <w:spacing w:line="320" w:lineRule="exact"/>
        <w:rPr>
          <w:color w:val="000000"/>
          <w:sz w:val="24"/>
        </w:rPr>
      </w:pPr>
      <w:r>
        <w:rPr>
          <w:color w:val="000000"/>
          <w:szCs w:val="21"/>
        </w:rPr>
        <w:t xml:space="preserve">联系方式：13851424090</w:t>
      </w:r>
      <w:r/>
    </w:p>
    <w:p>
      <w:pPr>
        <w:spacing w:after="156" w:line="360" w:lineRule="auto"/>
        <w:rPr>
          <w:b/>
          <w:bCs/>
          <w:color w:val="000000"/>
          <w:sz w:val="44"/>
          <w:szCs w:val="44"/>
        </w:rPr>
      </w:pPr>
      <w:r>
        <w:rPr>
          <w:b/>
          <w:bCs/>
          <w:color w:val="000000"/>
          <w:sz w:val="44"/>
          <w:szCs w:val="44"/>
        </w:rPr>
      </w:r>
      <w:r/>
    </w:p>
    <w:p>
      <w:pPr>
        <w:spacing w:after="156" w:line="360" w:lineRule="auto"/>
        <w:rPr>
          <w:b/>
          <w:bCs/>
          <w:color w:val="000000"/>
          <w:sz w:val="44"/>
          <w:szCs w:val="44"/>
        </w:rPr>
      </w:pPr>
      <w:r>
        <w:rPr>
          <w:b/>
          <w:bCs/>
          <w:color w:val="000000"/>
          <w:sz w:val="44"/>
          <w:szCs w:val="44"/>
        </w:rPr>
        <w:br w:type="page" w:clear="all"/>
      </w:r>
      <w:bookmarkEnd w:id="3"/>
      <w:r/>
      <w:bookmarkEnd w:id="4"/>
      <w:r/>
      <w:bookmarkEnd w:id="5"/>
      <w:r/>
      <w:r/>
    </w:p>
    <w:p>
      <w:pPr>
        <w:pStyle w:val="1001"/>
        <w:spacing w:before="240"/>
        <w:rPr>
          <w:rFonts w:ascii="Times New Roman"/>
          <w:color w:val="000000"/>
          <w:sz w:val="36"/>
          <w:szCs w:val="36"/>
        </w:rPr>
      </w:pPr>
      <w:r/>
      <w:bookmarkStart w:id="11" w:name="_Toc16699"/>
      <w:r/>
      <w:bookmarkStart w:id="12" w:name="_Toc7545"/>
      <w:r/>
      <w:bookmarkStart w:id="13" w:name="_Toc25668"/>
      <w:r/>
      <w:bookmarkStart w:id="14" w:name="_Toc513029237"/>
      <w:r/>
      <w:bookmarkStart w:id="15" w:name="_Toc16938553"/>
      <w:r/>
      <w:bookmarkStart w:id="16" w:name="_Toc20823309"/>
      <w:r/>
      <w:bookmarkStart w:id="17" w:name="_Toc12722"/>
      <w:r/>
      <w:bookmarkStart w:id="18" w:name="_Toc23634"/>
      <w:r>
        <w:rPr>
          <w:rFonts w:ascii="Times New Roman"/>
          <w:color w:val="000000"/>
          <w:sz w:val="36"/>
          <w:szCs w:val="36"/>
        </w:rPr>
        <w:t xml:space="preserve">第二章  </w:t>
      </w:r>
      <w:r>
        <w:rPr>
          <w:rFonts w:hint="eastAsia" w:ascii="Times New Roman"/>
          <w:color w:val="000000"/>
          <w:sz w:val="36"/>
          <w:szCs w:val="36"/>
        </w:rPr>
        <w:t xml:space="preserve">供应商</w:t>
      </w:r>
      <w:r>
        <w:rPr>
          <w:rFonts w:ascii="Times New Roman"/>
          <w:color w:val="000000"/>
          <w:sz w:val="36"/>
          <w:szCs w:val="36"/>
        </w:rPr>
        <w:t xml:space="preserve">须知</w:t>
      </w:r>
      <w:bookmarkEnd w:id="11"/>
      <w:r/>
      <w:bookmarkEnd w:id="12"/>
      <w:r/>
      <w:bookmarkEnd w:id="13"/>
      <w:r/>
      <w:bookmarkEnd w:id="14"/>
      <w:r/>
      <w:bookmarkEnd w:id="15"/>
      <w:r/>
      <w:bookmarkEnd w:id="16"/>
      <w:r/>
      <w:r/>
    </w:p>
    <w:p>
      <w:pPr>
        <w:ind w:firstLine="422"/>
        <w:keepLines w:val="0"/>
        <w:keepNext w:val="0"/>
        <w:pageBreakBefore w:val="0"/>
        <w:spacing w:line="320" w:lineRule="exact"/>
        <w:widowControl w:val="off"/>
        <w:rPr>
          <w:b/>
          <w:bCs/>
          <w:color w:val="000000"/>
          <w:szCs w:val="21"/>
          <w:lang w:val="zh-CN"/>
        </w:rPr>
      </w:pPr>
      <w:r/>
      <w:bookmarkStart w:id="19" w:name="_Toc513029203"/>
      <w:r/>
      <w:bookmarkStart w:id="20" w:name="_Toc16938519"/>
      <w:r/>
      <w:bookmarkStart w:id="21" w:name="_Toc120614214"/>
      <w:r/>
      <w:bookmarkStart w:id="22" w:name="_Toc20823275"/>
      <w:r>
        <w:rPr>
          <w:rFonts w:hint="eastAsia"/>
          <w:b/>
          <w:bCs/>
          <w:color w:val="000000"/>
          <w:szCs w:val="21"/>
          <w:lang w:val="zh-CN"/>
        </w:rPr>
        <w:t xml:space="preserve">一、总则</w:t>
      </w:r>
      <w:bookmarkEnd w:id="19"/>
      <w:r/>
      <w:bookmarkEnd w:id="20"/>
      <w:r/>
      <w:bookmarkEnd w:id="21"/>
      <w:r/>
      <w:bookmarkEnd w:id="22"/>
      <w:r/>
      <w:r/>
    </w:p>
    <w:p>
      <w:pPr>
        <w:ind w:firstLine="420"/>
        <w:keepLines w:val="0"/>
        <w:keepNext w:val="0"/>
        <w:pageBreakBefore w:val="0"/>
        <w:spacing w:line="320" w:lineRule="exact"/>
        <w:widowControl w:val="off"/>
        <w:rPr>
          <w:color w:val="000000"/>
          <w:szCs w:val="21"/>
          <w:lang w:val="zh-CN"/>
        </w:rPr>
      </w:pPr>
      <w:r/>
      <w:bookmarkStart w:id="23" w:name="_Hlt16619475"/>
      <w:r/>
      <w:bookmarkEnd w:id="23"/>
      <w:r/>
      <w:bookmarkStart w:id="24" w:name="_Toc458694821"/>
      <w:r/>
      <w:bookmarkStart w:id="25" w:name="_Toc16938520"/>
      <w:r/>
      <w:bookmarkStart w:id="26" w:name="_Toc20823276"/>
      <w:r/>
      <w:bookmarkStart w:id="27" w:name="_Toc513029204"/>
      <w:r>
        <w:rPr>
          <w:rFonts w:hint="eastAsia"/>
          <w:color w:val="000000"/>
          <w:szCs w:val="21"/>
          <w:lang w:val="zh-CN"/>
        </w:rPr>
        <w:t xml:space="preserve">1.</w:t>
      </w:r>
      <w:bookmarkEnd w:id="24"/>
      <w:r>
        <w:rPr>
          <w:rFonts w:hint="eastAsia"/>
          <w:color w:val="000000"/>
          <w:szCs w:val="21"/>
          <w:lang w:val="zh-CN"/>
        </w:rPr>
        <w:t xml:space="preserve">采购方式</w:t>
      </w:r>
      <w:bookmarkEnd w:id="25"/>
      <w:r/>
      <w:bookmarkEnd w:id="26"/>
      <w:r/>
      <w:bookmarkEnd w:id="27"/>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1.1本次政府采购活动采取竞争性磋商（以下简称磋商）方式，本磋商文件仅适用于磋商公告中所述项目。</w:t>
      </w:r>
      <w:r/>
    </w:p>
    <w:p>
      <w:pPr>
        <w:ind w:firstLine="420"/>
        <w:keepLines w:val="0"/>
        <w:keepNext w:val="0"/>
        <w:pageBreakBefore w:val="0"/>
        <w:spacing w:line="320" w:lineRule="exact"/>
        <w:widowControl w:val="off"/>
        <w:rPr>
          <w:color w:val="000000"/>
          <w:szCs w:val="21"/>
          <w:lang w:val="zh-CN"/>
        </w:rPr>
      </w:pPr>
      <w:r/>
      <w:bookmarkStart w:id="28" w:name="_Toc20823277"/>
      <w:r/>
      <w:bookmarkStart w:id="29" w:name="_Toc16938521"/>
      <w:r/>
      <w:bookmarkStart w:id="30" w:name="_Toc513029205"/>
      <w:r>
        <w:rPr>
          <w:rFonts w:hint="eastAsia"/>
          <w:color w:val="000000"/>
          <w:szCs w:val="21"/>
          <w:lang w:val="zh-CN"/>
        </w:rPr>
        <w:t xml:space="preserve">2.合格的</w:t>
      </w:r>
      <w:bookmarkEnd w:id="28"/>
      <w:r/>
      <w:bookmarkEnd w:id="29"/>
      <w:r/>
      <w:bookmarkEnd w:id="30"/>
      <w:r>
        <w:rPr>
          <w:rFonts w:hint="eastAsia"/>
          <w:color w:val="000000"/>
          <w:szCs w:val="21"/>
          <w:lang w:val="zh-CN"/>
        </w:rPr>
        <w:t xml:space="preserve">供应商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2.1满足磋商公告中供应商资格要求的规定。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2.2满足本磋商文件实质性要求的规定。</w:t>
      </w:r>
      <w:r/>
    </w:p>
    <w:p>
      <w:pPr>
        <w:ind w:firstLine="420"/>
        <w:keepLines w:val="0"/>
        <w:keepNext w:val="0"/>
        <w:pageBreakBefore w:val="0"/>
        <w:spacing w:line="320" w:lineRule="exact"/>
        <w:widowControl w:val="off"/>
        <w:rPr>
          <w:color w:val="000000"/>
          <w:szCs w:val="21"/>
          <w:lang w:val="zh-CN"/>
        </w:rPr>
      </w:pPr>
      <w:r/>
      <w:bookmarkStart w:id="31" w:name="_Toc20823278"/>
      <w:r/>
      <w:bookmarkStart w:id="32" w:name="_Toc16938522"/>
      <w:r/>
      <w:bookmarkStart w:id="33" w:name="_Toc513029206"/>
      <w:r/>
      <w:bookmarkStart w:id="34" w:name="_Toc513029207"/>
      <w:r/>
      <w:bookmarkStart w:id="35" w:name="_Toc462564067"/>
      <w:r/>
      <w:bookmarkStart w:id="36" w:name="_Toc20823279"/>
      <w:r/>
      <w:bookmarkStart w:id="37" w:name="_Toc16938523"/>
      <w:r>
        <w:rPr>
          <w:rFonts w:hint="eastAsia"/>
          <w:color w:val="000000"/>
          <w:szCs w:val="21"/>
          <w:lang w:val="zh-CN"/>
        </w:rPr>
        <w:t xml:space="preserve">3.适用法律</w:t>
      </w:r>
      <w:bookmarkEnd w:id="31"/>
      <w:r/>
      <w:bookmarkEnd w:id="32"/>
      <w:r/>
      <w:bookmarkEnd w:id="33"/>
      <w:r>
        <w:rPr>
          <w:rFonts w:hint="eastAsia"/>
          <w:color w:val="000000"/>
          <w:szCs w:val="21"/>
          <w:lang w:val="zh-CN"/>
        </w:rPr>
        <w:t xml:space="preserve">和标准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3.1本次磋商及由此产生的合同受中华人民共和国有关法律法规的制约和保护</w:t>
      </w:r>
      <w:r>
        <w:rPr>
          <w:color w:val="000000"/>
          <w:szCs w:val="21"/>
          <w:lang w:val="zh-CN"/>
        </w:rPr>
        <w:t xml:space="preserve">。</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3.2在本项目政府采购活动过程中，如果所执行的标准有更新，按照最新标准执行。</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4.磋商费用</w:t>
      </w:r>
      <w:bookmarkEnd w:id="34"/>
      <w:r/>
      <w:bookmarkEnd w:id="35"/>
      <w:r/>
      <w:bookmarkEnd w:id="36"/>
      <w:r/>
      <w:bookmarkEnd w:id="37"/>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rPr>
        <w:t xml:space="preserve">4</w:t>
      </w:r>
      <w:r>
        <w:rPr>
          <w:color w:val="000000"/>
          <w:szCs w:val="21"/>
          <w:highlight w:val="none"/>
          <w:lang w:val="zh-CN"/>
        </w:rPr>
        <w:t xml:space="preserve">.1供应商应承担所有与准备和参加磋商有关的费用，无论采购结果如何，采购代理机构和采购人在任何情况下均无义务和责任承担这些费用。</w:t>
      </w:r>
      <w:r/>
    </w:p>
    <w:p>
      <w:pPr>
        <w:ind w:firstLine="420"/>
        <w:keepLines w:val="0"/>
        <w:keepNext w:val="0"/>
        <w:pageBreakBefore w:val="0"/>
        <w:spacing w:line="320" w:lineRule="exact"/>
        <w:widowControl w:val="off"/>
        <w:rPr>
          <w:rFonts w:hint="eastAsia" w:ascii="Times New Roman" w:hAnsi="Times New Roman" w:eastAsia="宋体" w:cs="Times New Roman"/>
          <w:color w:val="000000"/>
          <w:szCs w:val="21"/>
          <w:highlight w:val="none"/>
          <w:lang w:val="zh-CN"/>
        </w:rPr>
      </w:pPr>
      <w:r>
        <w:rPr>
          <w:rFonts w:hint="eastAsia"/>
          <w:color w:val="000000"/>
          <w:szCs w:val="21"/>
          <w:highlight w:val="none"/>
        </w:rPr>
        <w:t xml:space="preserve">4</w:t>
      </w:r>
      <w:r>
        <w:rPr>
          <w:color w:val="000000"/>
          <w:szCs w:val="21"/>
          <w:highlight w:val="none"/>
          <w:lang w:val="zh-CN"/>
        </w:rPr>
        <w:t xml:space="preserve">.2</w:t>
      </w:r>
      <w:r>
        <w:rPr>
          <w:rFonts w:hint="eastAsia" w:ascii="宋体" w:hAnsi="宋体" w:cs="宋体"/>
          <w:color w:val="000000"/>
          <w:szCs w:val="21"/>
          <w:highlight w:val="none"/>
        </w:rPr>
        <w:t xml:space="preserve">本次招标收费标准：参照《招标代理服务费管理暂行办法》（国家发展计划委员会计价格〔2002〕</w:t>
      </w:r>
      <w:r>
        <w:rPr>
          <w:rFonts w:hint="eastAsia" w:ascii="Times New Roman" w:hAnsi="Times New Roman" w:eastAsia="宋体" w:cs="Times New Roman"/>
          <w:color w:val="000000"/>
          <w:szCs w:val="21"/>
          <w:highlight w:val="none"/>
          <w:lang w:val="zh-CN"/>
        </w:rPr>
        <w:t xml:space="preserve">1980号）代理货物招标收费基准费率计算（最低收费3000元整）。</w:t>
      </w:r>
      <w:r>
        <w:rPr>
          <w:rFonts w:hint="eastAsia" w:ascii="宋体" w:hAnsi="宋体" w:eastAsia="宋体" w:cs="宋体"/>
          <w:b w:val="0"/>
          <w:bCs w:val="0"/>
          <w:color w:val="000000"/>
          <w:sz w:val="21"/>
          <w:szCs w:val="21"/>
          <w:highlight w:val="none"/>
        </w:rPr>
        <w:t xml:space="preserve">根据江苏省财政厅《关于进一步规范政府采购活动相关费用管理的通知》（苏财规(2026)1号）要求，由采购人向招标代理机构支付招标服务费</w:t>
      </w:r>
      <w:r>
        <w:rPr>
          <w:rFonts w:hint="default" w:ascii="Times New Roman" w:hAnsi="Times New Roman" w:cs="Times New Roman"/>
          <w:b w:val="0"/>
          <w:bCs w:val="0"/>
          <w:highlight w:val="none"/>
        </w:rPr>
        <w:t xml:space="preserve">。</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收款账户信息如下：</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账户名称：江苏励邦招标代理有限公司</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开户银行：中国银行草场门支行</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账号：509277386442</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5.磋商文件的约束力</w:t>
      </w:r>
      <w:r/>
    </w:p>
    <w:p>
      <w:pPr>
        <w:ind w:firstLine="420"/>
        <w:keepLines w:val="0"/>
        <w:keepNext w:val="0"/>
        <w:pageBreakBefore w:val="0"/>
        <w:spacing w:line="320" w:lineRule="exact"/>
        <w:widowControl w:val="off"/>
        <w:rPr>
          <w:color w:val="000000"/>
          <w:szCs w:val="21"/>
          <w:lang w:val="zh-CN"/>
        </w:rPr>
      </w:pPr>
      <w:r>
        <w:rPr>
          <w:rFonts w:hint="eastAsia"/>
          <w:color w:val="000000"/>
          <w:szCs w:val="21"/>
          <w:highlight w:val="none"/>
          <w:lang w:val="zh-CN"/>
        </w:rPr>
        <w:t xml:space="preserve">5.1供应商一旦参加本项目采购活动，即被认为接受了本磋商</w:t>
      </w:r>
      <w:r>
        <w:rPr>
          <w:rFonts w:hint="eastAsia"/>
          <w:color w:val="000000"/>
          <w:szCs w:val="21"/>
          <w:lang w:val="zh-CN"/>
        </w:rPr>
        <w:t xml:space="preserve">文件的规定和约束。</w:t>
      </w:r>
      <w:r/>
    </w:p>
    <w:p>
      <w:pPr>
        <w:ind w:firstLine="422"/>
        <w:keepLines w:val="0"/>
        <w:keepNext w:val="0"/>
        <w:pageBreakBefore w:val="0"/>
        <w:spacing w:line="320" w:lineRule="exact"/>
        <w:widowControl w:val="off"/>
        <w:rPr>
          <w:b/>
          <w:bCs/>
          <w:color w:val="000000"/>
          <w:szCs w:val="21"/>
          <w:lang w:val="zh-CN"/>
        </w:rPr>
      </w:pPr>
      <w:r/>
      <w:bookmarkStart w:id="38" w:name="_Toc16938525"/>
      <w:r/>
      <w:bookmarkStart w:id="39" w:name="_Toc120614215"/>
      <w:r/>
      <w:bookmarkStart w:id="40" w:name="_Toc20823281"/>
      <w:r>
        <w:rPr>
          <w:rFonts w:hint="eastAsia"/>
          <w:b/>
          <w:bCs/>
          <w:color w:val="000000"/>
          <w:szCs w:val="21"/>
          <w:lang w:val="zh-CN"/>
        </w:rPr>
        <w:t xml:space="preserve">二、</w:t>
      </w:r>
      <w:bookmarkEnd w:id="38"/>
      <w:r/>
      <w:bookmarkEnd w:id="39"/>
      <w:r/>
      <w:bookmarkEnd w:id="40"/>
      <w:r>
        <w:rPr>
          <w:rFonts w:hint="eastAsia"/>
          <w:b/>
          <w:bCs/>
          <w:color w:val="000000"/>
          <w:szCs w:val="21"/>
          <w:lang w:val="zh-CN"/>
        </w:rPr>
        <w:t xml:space="preserve">磋商文件</w:t>
      </w:r>
      <w:r/>
    </w:p>
    <w:p>
      <w:pPr>
        <w:ind w:firstLine="420"/>
        <w:keepLines w:val="0"/>
        <w:keepNext w:val="0"/>
        <w:pageBreakBefore w:val="0"/>
        <w:spacing w:line="320" w:lineRule="exact"/>
        <w:widowControl w:val="off"/>
        <w:rPr>
          <w:color w:val="000000"/>
          <w:szCs w:val="21"/>
          <w:lang w:val="zh-CN"/>
        </w:rPr>
      </w:pPr>
      <w:r/>
      <w:bookmarkStart w:id="41" w:name="_Toc16938526"/>
      <w:r/>
      <w:bookmarkStart w:id="42" w:name="_Toc20823282"/>
      <w:r/>
      <w:bookmarkStart w:id="43" w:name="_Toc513029210"/>
      <w:r>
        <w:rPr>
          <w:rFonts w:hint="eastAsia"/>
          <w:color w:val="000000"/>
          <w:szCs w:val="21"/>
          <w:lang w:val="zh-CN"/>
        </w:rPr>
        <w:t xml:space="preserve">6.磋商文件构成</w:t>
      </w:r>
      <w:bookmarkEnd w:id="41"/>
      <w:r/>
      <w:bookmarkEnd w:id="42"/>
      <w:r/>
      <w:bookmarkEnd w:id="43"/>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6.1磋商文件由以下部分组成：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rFonts w:hint="eastAsia"/>
          <w:color w:val="000000"/>
          <w:szCs w:val="21"/>
          <w:lang w:val="en-US" w:eastAsia="zh-CN"/>
        </w:rPr>
        <w:t xml:space="preserve">竞争性</w:t>
      </w:r>
      <w:r>
        <w:rPr>
          <w:rFonts w:hint="eastAsia"/>
          <w:color w:val="000000"/>
          <w:szCs w:val="21"/>
          <w:lang w:val="zh-CN"/>
        </w:rPr>
        <w:t xml:space="preserve">磋商</w:t>
      </w:r>
      <w:r>
        <w:rPr>
          <w:color w:val="000000"/>
          <w:szCs w:val="21"/>
          <w:lang w:val="zh-CN"/>
        </w:rPr>
        <w:t xml:space="preserve">邀请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（2）供应商须知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（3）合同文本</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（4）采购需求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（5）评审方法与评审标准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（6）响应文件格式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请仔细检查磋商文件是否齐全，如有缺漏请立即与招标代理机构联系解决。</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320" w:lineRule="exact"/>
        <w:widowControl w:val="off"/>
        <w:rPr>
          <w:color w:val="000000"/>
          <w:szCs w:val="21"/>
          <w:lang w:val="zh-CN"/>
        </w:rPr>
      </w:pPr>
      <w:r/>
      <w:bookmarkStart w:id="44" w:name="_Toc20823284"/>
      <w:r/>
      <w:bookmarkStart w:id="45" w:name="_Toc513029212"/>
      <w:r/>
      <w:bookmarkStart w:id="46" w:name="_Toc16938528"/>
      <w:r/>
      <w:bookmarkStart w:id="47" w:name="_Toc462564071"/>
      <w:r>
        <w:rPr>
          <w:rFonts w:hint="eastAsia"/>
          <w:color w:val="000000"/>
          <w:szCs w:val="21"/>
          <w:lang w:val="zh-CN"/>
        </w:rPr>
        <w:t xml:space="preserve">7.磋商文件的澄清和修改</w:t>
      </w:r>
      <w:bookmarkEnd w:id="44"/>
      <w:r/>
      <w:bookmarkEnd w:id="45"/>
      <w:r/>
      <w:bookmarkEnd w:id="46"/>
      <w:r/>
      <w:bookmarkEnd w:id="47"/>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1在响应文件提交截止时间之前，招标代理机构可以对磋商文件进行澄清和修改。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更正公告内容将作为磋商文件的组成部分，并对供应商具有约束力。不足5日的，招标代理机构将顺延提交首次响应文件截止时间。</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.2招标代理机构可以视采购项目的具体情况，组织供应商进行现场考察或召开磋商前答疑会，但不单独或分别组织只有一个供应商参加的现场考察和答疑会。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20" w:lineRule="exact"/>
        <w:widowControl w:val="off"/>
        <w:rPr>
          <w:b/>
          <w:bCs/>
          <w:color w:val="000000"/>
          <w:szCs w:val="21"/>
          <w:lang w:val="zh-CN"/>
        </w:rPr>
      </w:pPr>
      <w:r/>
      <w:bookmarkStart w:id="48" w:name="_Toc120614216"/>
      <w:r/>
      <w:bookmarkStart w:id="49" w:name="_Toc20823285"/>
      <w:r/>
      <w:bookmarkStart w:id="50" w:name="_Toc16938529"/>
      <w:r/>
      <w:bookmarkStart w:id="51" w:name="_Toc513029213"/>
      <w:r/>
      <w:bookmarkStart w:id="52" w:name="_Toc462564072"/>
      <w:r>
        <w:rPr>
          <w:rFonts w:hint="eastAsia"/>
          <w:b/>
          <w:bCs/>
          <w:color w:val="000000"/>
          <w:szCs w:val="21"/>
          <w:lang w:val="zh-CN"/>
        </w:rPr>
        <w:t xml:space="preserve">三、响应文件的编制</w:t>
      </w:r>
      <w:bookmarkEnd w:id="48"/>
      <w:r/>
      <w:bookmarkEnd w:id="49"/>
      <w:r/>
      <w:bookmarkEnd w:id="50"/>
      <w:r/>
      <w:bookmarkEnd w:id="51"/>
      <w:r/>
      <w:bookmarkEnd w:id="52"/>
      <w:r/>
      <w:r/>
    </w:p>
    <w:p>
      <w:pPr>
        <w:ind w:firstLine="420"/>
        <w:keepLines w:val="0"/>
        <w:keepNext w:val="0"/>
        <w:pageBreakBefore w:val="0"/>
        <w:spacing w:line="320" w:lineRule="exact"/>
        <w:widowControl w:val="off"/>
        <w:rPr>
          <w:color w:val="000000"/>
          <w:szCs w:val="21"/>
          <w:lang w:val="zh-CN"/>
        </w:rPr>
      </w:pPr>
      <w:r/>
      <w:bookmarkStart w:id="53" w:name="_Toc462564073"/>
      <w:r/>
      <w:bookmarkStart w:id="54" w:name="_Toc513029214"/>
      <w:r/>
      <w:bookmarkStart w:id="55" w:name="_Toc16938530"/>
      <w:r/>
      <w:bookmarkStart w:id="56" w:name="_Toc20823286"/>
      <w:r>
        <w:rPr>
          <w:rFonts w:hint="eastAsia"/>
          <w:color w:val="000000"/>
          <w:szCs w:val="21"/>
          <w:lang w:val="zh-CN"/>
        </w:rPr>
        <w:t xml:space="preserve">8.响应文件的语言及度量衡单位</w:t>
      </w:r>
      <w:bookmarkEnd w:id="53"/>
      <w:r/>
      <w:bookmarkEnd w:id="54"/>
      <w:r/>
      <w:bookmarkEnd w:id="55"/>
      <w:r/>
      <w:bookmarkEnd w:id="56"/>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.1供应商提交的响应文件以及供应商与招标代理机构就有关磋商的所有来往通知、函件和文件均应使用简体中文。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.2除技术性能另有规定外，响应文件所使用的度量衡单位，均须采用国家法定计量单位。</w:t>
      </w:r>
      <w:r/>
    </w:p>
    <w:p>
      <w:pPr>
        <w:ind w:firstLine="420"/>
        <w:keepLines w:val="0"/>
        <w:keepNext w:val="0"/>
        <w:pageBreakBefore w:val="0"/>
        <w:spacing w:line="320" w:lineRule="exact"/>
        <w:widowControl w:val="off"/>
        <w:rPr>
          <w:color w:val="000000"/>
          <w:szCs w:val="21"/>
          <w:lang w:val="zh-CN"/>
        </w:rPr>
      </w:pPr>
      <w:r/>
      <w:bookmarkStart w:id="57" w:name="_Toc513029215"/>
      <w:r/>
      <w:bookmarkStart w:id="58" w:name="_Toc462564074"/>
      <w:r/>
      <w:bookmarkStart w:id="59" w:name="_Toc16938531"/>
      <w:r/>
      <w:bookmarkStart w:id="60" w:name="_Toc20823287"/>
      <w:r>
        <w:rPr>
          <w:rFonts w:hint="eastAsia"/>
          <w:color w:val="000000"/>
          <w:szCs w:val="21"/>
          <w:lang w:val="zh-CN"/>
        </w:rPr>
        <w:t xml:space="preserve">9.响应文件构成</w:t>
      </w:r>
      <w:bookmarkEnd w:id="57"/>
      <w:r/>
      <w:bookmarkEnd w:id="58"/>
      <w:r/>
      <w:bookmarkEnd w:id="59"/>
      <w:r/>
      <w:bookmarkEnd w:id="60"/>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.1供应商编写的响应文件应包括资格证明文件、实质性要求响应及偏离表、分项报价表、技术要求响应及偏离表、商务要求响应及偏离表、其他证明文件、磋商响应函等部分。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.2如标书制作工具中格式和内容与“江苏政府采购网”发布的磋商文件不一致，请以“江苏政府采购网”发布的磋商文件为准。</w:t>
      </w:r>
      <w:r/>
    </w:p>
    <w:p>
      <w:pPr>
        <w:ind w:firstLine="420"/>
        <w:keepLines w:val="0"/>
        <w:keepNext w:val="0"/>
        <w:pageBreakBefore w:val="0"/>
        <w:spacing w:line="320" w:lineRule="exact"/>
        <w:widowControl w:val="off"/>
        <w:rPr>
          <w:color w:val="000000"/>
          <w:szCs w:val="21"/>
          <w:lang w:val="zh-CN"/>
        </w:rPr>
      </w:pPr>
      <w:r/>
      <w:bookmarkStart w:id="61" w:name="_Hlt26954838"/>
      <w:r/>
      <w:bookmarkEnd w:id="61"/>
      <w:r/>
      <w:bookmarkStart w:id="62" w:name="_Hlt26668975"/>
      <w:r/>
      <w:bookmarkEnd w:id="62"/>
      <w:r/>
      <w:bookmarkStart w:id="63" w:name="_Hlt26670360"/>
      <w:r/>
      <w:bookmarkEnd w:id="63"/>
      <w:r/>
      <w:bookmarkStart w:id="64" w:name="_Toc49090509"/>
      <w:r/>
      <w:bookmarkStart w:id="65" w:name="_Toc513029219"/>
      <w:r/>
      <w:bookmarkStart w:id="66" w:name="_Toc14577357"/>
      <w:r/>
      <w:bookmarkStart w:id="67" w:name="_Toc14577354"/>
      <w:r/>
      <w:bookmarkStart w:id="68" w:name="_Toc513029216"/>
      <w:r/>
      <w:bookmarkStart w:id="69" w:name="_Toc49090507"/>
      <w:r/>
      <w:bookmarkStart w:id="70" w:name="_Toc49090508"/>
      <w:r/>
      <w:bookmarkStart w:id="71" w:name="_Toc14577355"/>
      <w:r>
        <w:rPr>
          <w:rFonts w:hint="eastAsia"/>
          <w:color w:val="000000"/>
          <w:szCs w:val="21"/>
          <w:lang w:val="zh-CN"/>
        </w:rPr>
        <w:t xml:space="preserve">10.证明磋商响应标的符合磋商文件规定的文件</w:t>
      </w:r>
      <w:bookmarkEnd w:id="64"/>
      <w:r/>
      <w:bookmarkEnd w:id="65"/>
      <w:r/>
      <w:bookmarkEnd w:id="66"/>
      <w:r/>
      <w:bookmarkEnd w:id="67"/>
      <w:r/>
      <w:bookmarkEnd w:id="68"/>
      <w:r/>
      <w:bookmarkEnd w:id="6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.1供应商应按照磋商文件要求提交证明文件，证明其及磋商响应标的符合磋商文件规定。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.2磋商文件对证明文件无明确形式要求的，证明文件可以以文字资料、图纸和数据等形式提交。</w:t>
      </w:r>
      <w:bookmarkEnd w:id="70"/>
      <w:r/>
      <w:bookmarkEnd w:id="71"/>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11.分项报价表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.1供应商应按照磋商文件规定格式填报分项报价表。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.2磋商货币。响应文件中的单价和总价无特殊规定的采用人民币报价，以元为单位标注。磋商文件中另有规定的按规定执行。</w:t>
      </w:r>
      <w:r/>
    </w:p>
    <w:p>
      <w:pPr>
        <w:ind w:firstLine="420"/>
        <w:keepLines w:val="0"/>
        <w:keepNext w:val="0"/>
        <w:pageBreakBefore w:val="0"/>
        <w:spacing w:line="320" w:lineRule="exact"/>
        <w:widowControl w:val="off"/>
        <w:rPr>
          <w:color w:val="000000"/>
          <w:szCs w:val="21"/>
          <w:lang w:val="zh-CN"/>
        </w:rPr>
      </w:pPr>
      <w:r/>
      <w:bookmarkStart w:id="72" w:name="_Hlt26954846"/>
      <w:r/>
      <w:bookmarkEnd w:id="72"/>
      <w:r/>
      <w:bookmarkStart w:id="73" w:name="_Hlt26670482"/>
      <w:r/>
      <w:bookmarkEnd w:id="73"/>
      <w:r/>
      <w:bookmarkStart w:id="74" w:name="_Hlt26670486"/>
      <w:r/>
      <w:bookmarkEnd w:id="74"/>
      <w:r/>
      <w:bookmarkStart w:id="75" w:name="_Hlt26954731"/>
      <w:r/>
      <w:bookmarkEnd w:id="75"/>
      <w:r/>
      <w:bookmarkStart w:id="76" w:name="_Hlt26954848"/>
      <w:r/>
      <w:bookmarkEnd w:id="76"/>
      <w:r>
        <w:rPr>
          <w:rFonts w:hint="eastAsia"/>
          <w:color w:val="000000"/>
          <w:szCs w:val="21"/>
          <w:lang w:val="zh-CN"/>
        </w:rPr>
        <w:t xml:space="preserve">12.技术要求响应及偏离表、商务要求响应及偏离表</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12.1</w:t>
      </w:r>
      <w:r>
        <w:rPr>
          <w:rFonts w:hint="eastAsia"/>
          <w:color w:val="000000"/>
          <w:szCs w:val="21"/>
          <w:lang w:val="zh-CN"/>
        </w:rPr>
        <w:t xml:space="preserve">供应商需对磋商文件中的技术要求与商务要求逐项作出响应或偏离，并说明原因。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2</w:t>
      </w:r>
      <w:r>
        <w:rPr>
          <w:rFonts w:hint="eastAsia"/>
          <w:color w:val="000000"/>
          <w:szCs w:val="21"/>
          <w:lang w:val="zh-CN"/>
        </w:rPr>
        <w:t xml:space="preserve">.2供应商需按照磋商文件要求，在响应文件中提供与技术要求和商务要求相关的证明材料。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13.服务承诺、培训计划、人员安排及其他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13.2供应商需根据磋商文件要求提供培训计划。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13.3供应商需根据磋商文件要求提供磋商响应标的的主要组成部分、功能设计、实现思路及关键技术等。</w:t>
      </w:r>
      <w:r/>
    </w:p>
    <w:p>
      <w:pPr>
        <w:ind w:firstLine="420"/>
        <w:keepLines w:val="0"/>
        <w:keepNext w:val="0"/>
        <w:pageBreakBefore w:val="0"/>
        <w:spacing w:line="320" w:lineRule="exact"/>
        <w:widowControl w:val="off"/>
        <w:rPr>
          <w:color w:val="000000"/>
          <w:szCs w:val="21"/>
          <w:lang w:val="zh-CN"/>
        </w:rPr>
      </w:pPr>
      <w:r/>
      <w:bookmarkStart w:id="77" w:name="_Toc14577359"/>
      <w:r/>
      <w:bookmarkStart w:id="78" w:name="_Toc49090510"/>
      <w:r>
        <w:rPr>
          <w:rFonts w:hint="eastAsia"/>
          <w:color w:val="000000"/>
          <w:szCs w:val="21"/>
          <w:lang w:val="zh-CN"/>
        </w:rPr>
        <w:t xml:space="preserve">14.磋商响应函</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4</w:t>
      </w:r>
      <w:r>
        <w:rPr>
          <w:rFonts w:hint="eastAsia"/>
          <w:color w:val="000000"/>
          <w:szCs w:val="21"/>
          <w:lang w:val="zh-CN"/>
        </w:rPr>
        <w:t xml:space="preserve">.1供应商应按照磋商文件中提供的格式完整、正确填写磋商响应函。</w:t>
      </w:r>
      <w:bookmarkEnd w:id="77"/>
      <w:r/>
      <w:bookmarkEnd w:id="78"/>
      <w:r/>
      <w:r/>
    </w:p>
    <w:p>
      <w:pPr>
        <w:ind w:firstLine="420"/>
        <w:keepLines w:val="0"/>
        <w:keepNext w:val="0"/>
        <w:pageBreakBefore w:val="0"/>
        <w:spacing w:line="320" w:lineRule="exact"/>
        <w:widowControl w:val="off"/>
        <w:rPr>
          <w:color w:val="000000"/>
          <w:szCs w:val="21"/>
          <w:lang w:val="zh-CN"/>
        </w:rPr>
      </w:pPr>
      <w:r/>
      <w:bookmarkStart w:id="79" w:name="_Toc14577360"/>
      <w:r/>
      <w:bookmarkStart w:id="80" w:name="_Toc49090511"/>
      <w:r>
        <w:rPr>
          <w:rFonts w:hint="eastAsia"/>
          <w:color w:val="000000"/>
          <w:szCs w:val="21"/>
          <w:lang w:val="zh-CN"/>
        </w:rPr>
        <w:t xml:space="preserve">15.磋商有效期</w:t>
      </w:r>
      <w:bookmarkEnd w:id="79"/>
      <w:r/>
      <w:bookmarkEnd w:id="80"/>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5</w:t>
      </w:r>
      <w:r>
        <w:rPr>
          <w:rFonts w:hint="eastAsia"/>
          <w:color w:val="000000"/>
          <w:szCs w:val="21"/>
          <w:lang w:val="zh-CN"/>
        </w:rPr>
        <w:t xml:space="preserve">.1磋商有效期为招标代理机构规定的提交响应文件截止之日后六十（60）天。磋商有效期比规定短的将被视为非实质性响应磋商文件而予以拒绝。</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16.磋商有效期的延长</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6</w:t>
      </w:r>
      <w:r>
        <w:rPr>
          <w:rFonts w:hint="eastAsia"/>
          <w:color w:val="000000"/>
          <w:szCs w:val="21"/>
          <w:lang w:val="zh-CN"/>
        </w:rPr>
        <w:t xml:space="preserve">.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20" w:lineRule="exact"/>
        <w:widowControl w:val="off"/>
        <w:rPr>
          <w:b/>
          <w:bCs/>
          <w:color w:val="000000"/>
          <w:szCs w:val="21"/>
          <w:lang w:val="zh-CN"/>
        </w:rPr>
      </w:pPr>
      <w:r/>
      <w:bookmarkStart w:id="81" w:name="_Hlt26954852"/>
      <w:r/>
      <w:bookmarkEnd w:id="81"/>
      <w:r/>
      <w:bookmarkStart w:id="82" w:name="_Hlt26954739"/>
      <w:r/>
      <w:bookmarkEnd w:id="82"/>
      <w:r/>
      <w:bookmarkStart w:id="83" w:name="_Toc120614217"/>
      <w:r/>
      <w:bookmarkStart w:id="84" w:name="_Toc16938540"/>
      <w:r/>
      <w:bookmarkStart w:id="85" w:name="_Toc20823296"/>
      <w:r/>
      <w:bookmarkStart w:id="86" w:name="_Toc513029224"/>
      <w:r>
        <w:rPr>
          <w:rFonts w:hint="eastAsia"/>
          <w:b/>
          <w:bCs/>
          <w:color w:val="000000"/>
          <w:szCs w:val="21"/>
          <w:lang w:val="zh-CN"/>
        </w:rPr>
        <w:t xml:space="preserve">四、响应文件的递交</w:t>
      </w:r>
      <w:bookmarkEnd w:id="83"/>
      <w:r/>
      <w:bookmarkEnd w:id="84"/>
      <w:r/>
      <w:bookmarkEnd w:id="85"/>
      <w:r/>
      <w:bookmarkEnd w:id="86"/>
      <w:r/>
      <w:r/>
    </w:p>
    <w:p>
      <w:pPr>
        <w:ind w:firstLine="420"/>
        <w:keepLines w:val="0"/>
        <w:keepNext w:val="0"/>
        <w:pageBreakBefore w:val="0"/>
        <w:spacing w:line="320" w:lineRule="exact"/>
        <w:widowControl w:val="off"/>
        <w:rPr>
          <w:color w:val="000000"/>
          <w:szCs w:val="21"/>
          <w:lang w:val="zh-CN"/>
        </w:rPr>
      </w:pPr>
      <w:r/>
      <w:bookmarkStart w:id="87" w:name="_Toc20823297"/>
      <w:r/>
      <w:bookmarkStart w:id="88" w:name="_Toc16938541"/>
      <w:r/>
      <w:bookmarkStart w:id="89" w:name="_Toc462564084"/>
      <w:r/>
      <w:bookmarkStart w:id="90" w:name="_Toc513029225"/>
      <w:r>
        <w:rPr>
          <w:rFonts w:hint="eastAsia"/>
          <w:color w:val="000000"/>
          <w:szCs w:val="21"/>
          <w:lang w:val="zh-CN"/>
        </w:rPr>
        <w:t xml:space="preserve">17.电子磋商</w:t>
      </w:r>
      <w:bookmarkEnd w:id="87"/>
      <w:r/>
      <w:bookmarkEnd w:id="88"/>
      <w:r/>
      <w:bookmarkEnd w:id="89"/>
      <w:r/>
      <w:bookmarkEnd w:id="90"/>
      <w:r>
        <w:rPr>
          <w:rFonts w:hint="eastAsia"/>
          <w:color w:val="000000"/>
          <w:szCs w:val="21"/>
          <w:lang w:val="zh-CN"/>
        </w:rPr>
        <w:t xml:space="preserve">响应文件的递交</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7</w:t>
      </w:r>
      <w:r>
        <w:rPr>
          <w:rFonts w:hint="eastAsia"/>
          <w:color w:val="000000"/>
          <w:szCs w:val="21"/>
          <w:lang w:val="zh-CN"/>
        </w:rPr>
        <w:t xml:space="preserve">.1供应商应当按照《操作手册》规定，在提交响应文件截止时间前</w:t>
      </w:r>
      <w:r>
        <w:rPr>
          <w:color w:val="000000"/>
          <w:szCs w:val="21"/>
          <w:lang w:val="zh-CN"/>
        </w:rPr>
        <w:t xml:space="preserve">制作</w:t>
      </w:r>
      <w:r>
        <w:rPr>
          <w:rFonts w:hint="eastAsia"/>
          <w:color w:val="000000"/>
          <w:szCs w:val="21"/>
          <w:lang w:val="zh-CN"/>
        </w:rPr>
        <w:t xml:space="preserve">并上传电子响应文件。</w:t>
      </w:r>
      <w:bookmarkStart w:id="91" w:name="_Toc16938542"/>
      <w:r/>
      <w:bookmarkStart w:id="92" w:name="_Toc513029226"/>
      <w:r/>
      <w:bookmarkStart w:id="93" w:name="_Toc20823298"/>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18.提交响应文件截止时间</w:t>
      </w:r>
      <w:bookmarkEnd w:id="91"/>
      <w:r/>
      <w:bookmarkEnd w:id="92"/>
      <w:r/>
      <w:bookmarkEnd w:id="93"/>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.1供应商上传电子响应文件的时间不得迟于磋商公告中规定的提交响应文件截止时间。</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.2招标代理机构可以按照规定，通过修改磋商文件酌情延长提交响应文件截止日期，在此情况下，供应商的所有权利和义务以及供应商受制的截止日期均应以延长后新的截止日期为准。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20" w:lineRule="exact"/>
        <w:widowControl w:val="off"/>
        <w:rPr>
          <w:color w:val="000000"/>
          <w:szCs w:val="21"/>
          <w:lang w:val="zh-CN"/>
        </w:rPr>
      </w:pPr>
      <w:r/>
      <w:bookmarkStart w:id="94" w:name="_Toc513029227"/>
      <w:r/>
      <w:bookmarkStart w:id="95" w:name="_Toc20823299"/>
      <w:r/>
      <w:bookmarkStart w:id="96" w:name="_Toc16938543"/>
      <w:r>
        <w:rPr>
          <w:rFonts w:hint="eastAsia"/>
          <w:color w:val="000000"/>
          <w:szCs w:val="21"/>
          <w:lang w:val="zh-CN"/>
        </w:rPr>
        <w:t xml:space="preserve">19.响应文件</w:t>
      </w:r>
      <w:bookmarkEnd w:id="94"/>
      <w:r/>
      <w:bookmarkEnd w:id="95"/>
      <w:r/>
      <w:bookmarkEnd w:id="96"/>
      <w:r>
        <w:rPr>
          <w:rFonts w:hint="eastAsia"/>
          <w:color w:val="000000"/>
          <w:szCs w:val="21"/>
          <w:lang w:val="zh-CN"/>
        </w:rPr>
        <w:t xml:space="preserve">的拒收</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19</w:t>
      </w:r>
      <w:r>
        <w:rPr>
          <w:rFonts w:hint="eastAsia"/>
          <w:color w:val="000000"/>
          <w:szCs w:val="21"/>
          <w:lang w:val="zh-CN"/>
        </w:rPr>
        <w:t xml:space="preserve">.1招标代理机构拒绝接收在其规定的提交响应文件截止时间后上传的任何电子响应文件。</w:t>
      </w:r>
      <w:r/>
    </w:p>
    <w:p>
      <w:pPr>
        <w:ind w:firstLine="420"/>
        <w:keepLines w:val="0"/>
        <w:keepNext w:val="0"/>
        <w:pageBreakBefore w:val="0"/>
        <w:spacing w:line="320" w:lineRule="exact"/>
        <w:widowControl w:val="off"/>
        <w:rPr>
          <w:color w:val="000000"/>
          <w:szCs w:val="21"/>
          <w:lang w:val="zh-CN"/>
        </w:rPr>
      </w:pPr>
      <w:r/>
      <w:bookmarkStart w:id="97" w:name="_Toc16938544"/>
      <w:r/>
      <w:bookmarkStart w:id="98" w:name="_Toc513029228"/>
      <w:r/>
      <w:bookmarkStart w:id="99" w:name="_Toc20823300"/>
      <w:r>
        <w:rPr>
          <w:rFonts w:hint="eastAsia"/>
          <w:color w:val="000000"/>
          <w:szCs w:val="21"/>
          <w:lang w:val="zh-CN"/>
        </w:rPr>
        <w:t xml:space="preserve">20.响应文件的撤回和修改</w:t>
      </w:r>
      <w:bookmarkEnd w:id="97"/>
      <w:r/>
      <w:bookmarkEnd w:id="98"/>
      <w:r/>
      <w:bookmarkEnd w:id="9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20.1.1电子响应文件的撤回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供应商可在提交响应文件截止时间前，撤回其电子响应文件，具体操作方法见《操作手册》。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w:t>
      </w:r>
      <w:r>
        <w:rPr>
          <w:color w:val="000000"/>
          <w:szCs w:val="21"/>
          <w:lang w:val="zh-CN"/>
        </w:rPr>
        <w:t xml:space="preserve">2</w:t>
      </w:r>
      <w:r>
        <w:rPr>
          <w:rFonts w:hint="eastAsia"/>
          <w:color w:val="000000"/>
          <w:szCs w:val="21"/>
          <w:lang w:val="zh-CN"/>
        </w:rPr>
        <w:t xml:space="preserve">供应商撤回电子响应文件，则认为其不再参与本项目磋商活动。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20.2响应文件的修改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供应商可在提交响应文件截止时间前，对其电子响应文件进行修改，具体操作方法见《操作手册》。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20.3 在提交响应文件截止时间之后，供应商不得对其电子响应文件作任何修改。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20.4 在提交响应文件截止时间至磋商文件中规定的磋商有效期满之间的这段时间内，供应商不得撤回其响应文件。</w:t>
      </w:r>
      <w:r/>
    </w:p>
    <w:p>
      <w:pPr>
        <w:ind w:firstLine="422"/>
        <w:keepLines w:val="0"/>
        <w:keepNext w:val="0"/>
        <w:pageBreakBefore w:val="0"/>
        <w:spacing w:line="320" w:lineRule="exact"/>
        <w:widowControl w:val="off"/>
        <w:rPr>
          <w:b/>
          <w:bCs/>
          <w:color w:val="000000"/>
          <w:szCs w:val="21"/>
          <w:lang w:val="zh-CN"/>
        </w:rPr>
      </w:pPr>
      <w:r/>
      <w:bookmarkStart w:id="100" w:name="_Toc120614218"/>
      <w:r/>
      <w:bookmarkStart w:id="101" w:name="_Toc20823301"/>
      <w:r/>
      <w:bookmarkStart w:id="102" w:name="_Toc513029229"/>
      <w:r/>
      <w:bookmarkStart w:id="103" w:name="_Toc16938545"/>
      <w:r>
        <w:rPr>
          <w:rFonts w:hint="eastAsia"/>
          <w:b/>
          <w:bCs/>
          <w:color w:val="000000"/>
          <w:szCs w:val="21"/>
          <w:lang w:val="zh-CN"/>
        </w:rPr>
        <w:t xml:space="preserve">五、响应文件的解密与评审</w:t>
      </w:r>
      <w:bookmarkEnd w:id="100"/>
      <w:r/>
      <w:bookmarkEnd w:id="101"/>
      <w:r/>
      <w:bookmarkEnd w:id="102"/>
      <w:r/>
      <w:bookmarkEnd w:id="103"/>
      <w:r/>
      <w:r/>
    </w:p>
    <w:p>
      <w:pPr>
        <w:ind w:firstLine="420"/>
        <w:keepLines w:val="0"/>
        <w:keepNext w:val="0"/>
        <w:pageBreakBefore w:val="0"/>
        <w:spacing w:line="320" w:lineRule="exact"/>
        <w:widowControl w:val="off"/>
        <w:rPr>
          <w:color w:val="000000"/>
          <w:szCs w:val="21"/>
          <w:lang w:val="zh-CN"/>
        </w:rPr>
      </w:pPr>
      <w:r/>
      <w:bookmarkStart w:id="104" w:name="_Toc20823302"/>
      <w:r/>
      <w:bookmarkStart w:id="105" w:name="_Toc513029230"/>
      <w:r/>
      <w:bookmarkStart w:id="106" w:name="_Toc16938546"/>
      <w:r>
        <w:rPr>
          <w:rFonts w:hint="eastAsia"/>
          <w:color w:val="000000"/>
          <w:szCs w:val="21"/>
          <w:lang w:val="zh-CN"/>
        </w:rPr>
        <w:t xml:space="preserve">21.</w:t>
      </w:r>
      <w:bookmarkEnd w:id="104"/>
      <w:r/>
      <w:bookmarkEnd w:id="105"/>
      <w:r/>
      <w:bookmarkEnd w:id="106"/>
      <w:r>
        <w:rPr>
          <w:rFonts w:hint="eastAsia"/>
          <w:color w:val="000000"/>
          <w:szCs w:val="21"/>
          <w:lang w:val="zh-CN"/>
        </w:rPr>
        <w:t xml:space="preserve">响应文件解密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1</w:t>
      </w:r>
      <w:r>
        <w:rPr>
          <w:rFonts w:hint="eastAsia"/>
          <w:color w:val="000000"/>
          <w:szCs w:val="21"/>
          <w:lang w:val="zh-CN"/>
        </w:rPr>
        <w:t xml:space="preserve">.1供应商应当按照《操作手册》规定，在苏采云系统规定的时间内对磋商响应文件进行解密。</w:t>
      </w:r>
      <w:r/>
    </w:p>
    <w:p>
      <w:pPr>
        <w:ind w:firstLine="420"/>
        <w:keepLines w:val="0"/>
        <w:keepNext w:val="0"/>
        <w:pageBreakBefore w:val="0"/>
        <w:spacing w:line="320" w:lineRule="exact"/>
        <w:widowControl w:val="off"/>
        <w:rPr>
          <w:color w:val="000000"/>
          <w:szCs w:val="21"/>
          <w:lang w:val="zh-CN"/>
        </w:rPr>
      </w:pPr>
      <w:r/>
      <w:bookmarkStart w:id="107" w:name="_Toc16938547"/>
      <w:r/>
      <w:bookmarkStart w:id="108" w:name="_Toc20823303"/>
      <w:r/>
      <w:bookmarkStart w:id="109" w:name="_Toc513029231"/>
      <w:r>
        <w:rPr>
          <w:rFonts w:hint="eastAsia"/>
          <w:color w:val="000000"/>
          <w:szCs w:val="21"/>
          <w:lang w:val="zh-CN"/>
        </w:rPr>
        <w:t xml:space="preserve">22.磋商小组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.1招标代理机构将组织磋商小组对响应文件进行评审。磋商小组由采购人代表和有关技术、经济等方面的专家组成，且人员构成符合政府采购有关规定。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.2磋商小组独立工作，负责评审所有响应文件并确定成交</w:t>
      </w:r>
      <w:r>
        <w:rPr>
          <w:rFonts w:hint="eastAsia"/>
          <w:color w:val="000000"/>
          <w:szCs w:val="21"/>
        </w:rPr>
        <w:t xml:space="preserve">候选</w:t>
      </w:r>
      <w:r>
        <w:rPr>
          <w:rFonts w:hint="eastAsia"/>
          <w:color w:val="000000"/>
          <w:szCs w:val="21"/>
          <w:lang w:val="zh-CN"/>
        </w:rPr>
        <w:t xml:space="preserve">人。</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23.评审过程的保密与公正</w:t>
      </w:r>
      <w:bookmarkEnd w:id="107"/>
      <w:r/>
      <w:bookmarkEnd w:id="108"/>
      <w:r/>
      <w:bookmarkEnd w:id="10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.1磋商小组、采购人和招标代理机构工作人员、相关监督人员等与评审工作有关的人员，对评审情况以及在评审过程中获悉的国家秘密、商业秘密负有保密责任。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.2在评审过程中，供应商不得以任何行为影响磋商评审过程，否则其响应文件将被作为无效响应文件。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.3在项目评审期间，招标代理机构将设专门人员与供应商联系。</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23</w:t>
      </w:r>
      <w:r>
        <w:rPr>
          <w:rFonts w:hint="eastAsia"/>
          <w:color w:val="000000"/>
          <w:szCs w:val="21"/>
          <w:lang w:val="zh-CN"/>
        </w:rPr>
        <w:t xml:space="preserve">.4招标代理机构和磋商小组不向未成交的供应商解释未成交原因，也不公布评审过程中的相关细节。</w:t>
      </w:r>
      <w:r/>
    </w:p>
    <w:p>
      <w:pPr>
        <w:ind w:firstLine="420"/>
        <w:keepLines w:val="0"/>
        <w:keepNext w:val="0"/>
        <w:pageBreakBefore w:val="0"/>
        <w:spacing w:line="320" w:lineRule="exact"/>
        <w:widowControl w:val="off"/>
        <w:rPr>
          <w:color w:val="000000"/>
          <w:szCs w:val="21"/>
          <w:lang w:val="zh-CN"/>
        </w:rPr>
      </w:pPr>
      <w:r/>
      <w:bookmarkStart w:id="110" w:name="_Toc20823304"/>
      <w:r/>
      <w:bookmarkStart w:id="111" w:name="_Toc16938548"/>
      <w:r/>
      <w:bookmarkStart w:id="112" w:name="_Toc513029232"/>
      <w:r>
        <w:rPr>
          <w:rFonts w:hint="eastAsia"/>
          <w:color w:val="000000"/>
          <w:szCs w:val="21"/>
          <w:lang w:val="zh-CN"/>
        </w:rPr>
        <w:t xml:space="preserve">24.评审过程中澄清</w:t>
      </w:r>
      <w:bookmarkEnd w:id="110"/>
      <w:r/>
      <w:bookmarkEnd w:id="111"/>
      <w:r/>
      <w:bookmarkEnd w:id="112"/>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24.1项目评审期间，磋商小组有权要求供应商对响应文件中含义不明确、同类问题表述不一致或者有明显文字和计算错误等内容作出必要的澄清、说明或者更正。供应商的澄清、说明或者更正不得超出响应文件的范围或者改变响应文件的实质性内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磋商小组并非对每个供应商都作澄清要求。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color w:val="000000"/>
          <w:szCs w:val="21"/>
          <w:lang w:val="zh-CN"/>
        </w:rPr>
        <w:t xml:space="preserve">操作</w:t>
      </w:r>
      <w:r>
        <w:rPr>
          <w:rFonts w:hint="eastAsia"/>
          <w:color w:val="000000"/>
          <w:szCs w:val="21"/>
          <w:lang w:val="zh-CN"/>
        </w:rPr>
        <w:t xml:space="preserve">方式</w:t>
      </w:r>
      <w:r>
        <w:rPr>
          <w:color w:val="000000"/>
          <w:szCs w:val="21"/>
          <w:lang w:val="zh-CN"/>
        </w:rPr>
        <w:t xml:space="preserve">见</w:t>
      </w:r>
      <w:r>
        <w:rPr>
          <w:rFonts w:hint="eastAsia"/>
          <w:color w:val="000000"/>
          <w:szCs w:val="21"/>
          <w:lang w:val="zh-CN"/>
        </w:rPr>
        <w:t xml:space="preserve">《操作手册》。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24.3接到磋商小组澄清、说明和更正要求的供应商如未按规定</w:t>
      </w:r>
      <w:r>
        <w:rPr>
          <w:rFonts w:hint="eastAsia"/>
          <w:color w:val="000000"/>
          <w:szCs w:val="21"/>
        </w:rPr>
        <w:t xml:space="preserve">作</w:t>
      </w:r>
      <w:r>
        <w:rPr>
          <w:rFonts w:hint="eastAsia"/>
          <w:color w:val="000000"/>
          <w:szCs w:val="21"/>
          <w:lang w:val="zh-CN"/>
        </w:rPr>
        <w:t xml:space="preserve">出澄清、说明和更正，其风险由供应商自行承担。</w:t>
      </w:r>
      <w:r/>
    </w:p>
    <w:p>
      <w:pPr>
        <w:ind w:firstLine="420"/>
        <w:keepLines w:val="0"/>
        <w:keepNext w:val="0"/>
        <w:pageBreakBefore w:val="0"/>
        <w:spacing w:line="320" w:lineRule="exact"/>
        <w:widowControl w:val="off"/>
        <w:rPr>
          <w:color w:val="000000"/>
          <w:szCs w:val="21"/>
          <w:lang w:val="zh-CN"/>
        </w:rPr>
      </w:pPr>
      <w:r/>
      <w:bookmarkStart w:id="113" w:name="_Toc16938549"/>
      <w:r/>
      <w:bookmarkStart w:id="114" w:name="_Toc513029233"/>
      <w:r/>
      <w:bookmarkStart w:id="115" w:name="_Toc20823305"/>
      <w:r>
        <w:rPr>
          <w:rFonts w:hint="eastAsia"/>
          <w:color w:val="000000"/>
          <w:szCs w:val="21"/>
          <w:lang w:val="zh-CN"/>
        </w:rPr>
        <w:t xml:space="preserve">25.对响应文件的审</w:t>
      </w:r>
      <w:bookmarkEnd w:id="113"/>
      <w:r/>
      <w:bookmarkEnd w:id="114"/>
      <w:r/>
      <w:bookmarkEnd w:id="115"/>
      <w:r>
        <w:rPr>
          <w:rFonts w:hint="eastAsia"/>
          <w:color w:val="000000"/>
          <w:szCs w:val="21"/>
          <w:lang w:val="zh-CN"/>
        </w:rPr>
        <w:t xml:space="preserve">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25.1响应文件审查分为资格审查和符合性审查。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磋商小组在进行资格审查的同时，将在“信用中国”网站（www.creditchina.gov.cn）查询供应商的信用记录，以确定供应商是否具备磋商资格,查询结果留存并归档。</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25.3未实质性响应磋商文件的情形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25.3.1供应商在苏采云系统规定的时间内未成功解密电子响应文件的。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25.3.2供应商未按照磋商文件要求上传电子响应文件的。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25.3.3供应商同一</w:t>
      </w:r>
      <w:r>
        <w:rPr>
          <w:color w:val="000000"/>
          <w:szCs w:val="21"/>
          <w:lang w:val="zh-CN"/>
        </w:rPr>
        <w:t xml:space="preserve">采购包</w:t>
      </w:r>
      <w:r>
        <w:rPr>
          <w:rFonts w:hint="eastAsia"/>
          <w:color w:val="000000"/>
          <w:szCs w:val="21"/>
          <w:lang w:val="zh-CN"/>
        </w:rPr>
        <w:t xml:space="preserve">提交两个（含两个）以上不同的响应文件或者最后报价的。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25.3.4供应商不具备磋商文件中规定资格要求的。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25.3.5供应商的最后报价超过了采购预算。</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25.3.6不符合磋商文件中规定的实质性要求的（</w:t>
      </w:r>
      <w:r>
        <w:rPr>
          <w:rFonts w:hint="eastAsia" w:ascii="黑体" w:hAnsi="黑体" w:eastAsia="黑体" w:cs="黑体"/>
          <w:b/>
          <w:bCs/>
          <w:color w:val="000000"/>
          <w:szCs w:val="21"/>
          <w:lang w:val="zh-CN"/>
        </w:rPr>
        <w:t xml:space="preserve">本磋商文件中</w:t>
      </w:r>
      <w:r>
        <w:rPr>
          <w:rFonts w:hint="eastAsia" w:eastAsia="宋体"/>
          <w:b/>
          <w:bCs/>
          <w:color w:val="auto"/>
          <w:sz w:val="21"/>
          <w:szCs w:val="21"/>
        </w:rPr>
        <w:t xml:space="preserve">标注“★”条款</w:t>
      </w:r>
      <w:r>
        <w:rPr>
          <w:rFonts w:hint="eastAsia" w:eastAsia="宋体"/>
          <w:b/>
          <w:bCs/>
          <w:color w:val="auto"/>
          <w:sz w:val="21"/>
          <w:szCs w:val="21"/>
          <w:lang w:val="en-US" w:eastAsia="zh-CN"/>
        </w:rPr>
        <w:t xml:space="preserve">和</w:t>
      </w:r>
      <w:r>
        <w:rPr>
          <w:rFonts w:hint="eastAsia" w:ascii="黑体" w:hAnsi="黑体" w:eastAsia="黑体" w:cs="黑体"/>
          <w:b/>
          <w:bCs/>
          <w:i/>
          <w:iCs/>
          <w:color w:val="000000"/>
          <w:szCs w:val="21"/>
          <w:u w:val="single"/>
          <w:lang w:val="zh-CN"/>
        </w:rPr>
        <w:t xml:space="preserve">斜体且有下划线</w:t>
      </w:r>
      <w:r>
        <w:rPr>
          <w:rFonts w:hint="eastAsia" w:ascii="黑体" w:hAnsi="黑体" w:eastAsia="黑体" w:cs="黑体"/>
          <w:b/>
          <w:bCs/>
          <w:color w:val="000000"/>
          <w:szCs w:val="21"/>
          <w:lang w:val="zh-CN"/>
        </w:rPr>
        <w:t xml:space="preserve">部分为实质性要求，实质性内容不全或有负偏离的为不符合</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25.3.8 响应文件含有采购人不能接受的附加条件的。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w:t>
      </w:r>
      <w:r>
        <w:rPr>
          <w:color w:val="000000"/>
          <w:szCs w:val="21"/>
          <w:lang w:val="zh-CN"/>
        </w:rPr>
        <w:t xml:space="preserve">9</w:t>
      </w:r>
      <w:r>
        <w:rPr>
          <w:rFonts w:hint="eastAsia"/>
          <w:color w:val="000000"/>
          <w:szCs w:val="21"/>
          <w:lang w:val="zh-CN"/>
        </w:rPr>
        <w:t xml:space="preserve">响应文件未按照磋商文件要求加盖CA电子公章的。</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25.3.10 </w:t>
      </w:r>
      <w:r>
        <w:rPr>
          <w:rFonts w:hint="eastAsia"/>
          <w:color w:val="000000"/>
          <w:szCs w:val="21"/>
          <w:lang w:val="zh-CN"/>
        </w:rPr>
        <w:t xml:space="preserve">供应商所提供的服务不符合磋商文件中所列国家强制性标准的。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25.4未实质性响应磋商文件的响应文件按无效响应处理。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25.5如果响应文件实质上没有响应磋商文件的要求，磋商小组将予以拒绝，供应商不得通过修改或撤销不</w:t>
      </w:r>
      <w:r>
        <w:rPr>
          <w:rFonts w:hint="eastAsia"/>
          <w:color w:val="000000"/>
          <w:szCs w:val="21"/>
        </w:rPr>
        <w:t xml:space="preserve">符</w:t>
      </w:r>
      <w:r>
        <w:rPr>
          <w:rFonts w:hint="eastAsia"/>
          <w:color w:val="000000"/>
          <w:szCs w:val="21"/>
          <w:lang w:val="zh-CN"/>
        </w:rPr>
        <w:t xml:space="preserve">合要求的偏离或保留而使其成为实质性响应的文件。</w:t>
      </w:r>
      <w:r/>
    </w:p>
    <w:p>
      <w:pPr>
        <w:ind w:firstLine="420"/>
        <w:keepLines w:val="0"/>
        <w:keepNext w:val="0"/>
        <w:pageBreakBefore w:val="0"/>
        <w:spacing w:line="320" w:lineRule="exact"/>
        <w:widowControl w:val="off"/>
        <w:rPr>
          <w:color w:val="000000"/>
          <w:szCs w:val="21"/>
          <w:lang w:val="zh-CN"/>
        </w:rPr>
      </w:pPr>
      <w:r/>
      <w:bookmarkStart w:id="116" w:name="_Toc513029234"/>
      <w:r/>
      <w:bookmarkStart w:id="117" w:name="_Toc16938550"/>
      <w:r/>
      <w:bookmarkStart w:id="118" w:name="_Toc20823306"/>
      <w:r>
        <w:rPr>
          <w:rFonts w:hint="eastAsia"/>
          <w:color w:val="000000"/>
          <w:szCs w:val="21"/>
          <w:lang w:val="zh-CN"/>
        </w:rPr>
        <w:t xml:space="preserve">25.6供应商在项目评审全过程中应保持通信畅通，并安排专人与招标代理机构及磋商小组联系。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w:t>
      </w:r>
      <w:bookmarkEnd w:id="116"/>
      <w:r/>
      <w:bookmarkEnd w:id="117"/>
      <w:r/>
      <w:bookmarkEnd w:id="118"/>
      <w:r>
        <w:rPr>
          <w:rFonts w:hint="eastAsia"/>
          <w:color w:val="000000"/>
          <w:szCs w:val="21"/>
          <w:lang w:val="zh-CN"/>
        </w:rPr>
        <w:t xml:space="preserve">磋商程序及评审方法与评审标准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26.1磋商程序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26.1.2</w:t>
      </w:r>
      <w:r>
        <w:rPr>
          <w:color w:val="000000"/>
          <w:szCs w:val="21"/>
          <w:lang w:val="zh-CN"/>
        </w:rPr>
        <w:t xml:space="preserve">磋商文件能够详细列明采购标的的技术、服务要求的，磋商结束后，磋商小组</w:t>
      </w:r>
      <w:r>
        <w:rPr>
          <w:rFonts w:hint="eastAsia"/>
          <w:color w:val="000000"/>
          <w:szCs w:val="21"/>
          <w:lang w:val="zh-CN"/>
        </w:rPr>
        <w:t xml:space="preserve">将在苏采云系统向所有</w:t>
      </w:r>
      <w:r>
        <w:rPr>
          <w:color w:val="000000"/>
          <w:szCs w:val="21"/>
          <w:lang w:val="zh-CN"/>
        </w:rPr>
        <w:t xml:space="preserve">实质性响应的供应商</w:t>
      </w:r>
      <w:r>
        <w:rPr>
          <w:rFonts w:hint="eastAsia"/>
          <w:color w:val="000000"/>
          <w:szCs w:val="21"/>
          <w:lang w:val="zh-CN"/>
        </w:rPr>
        <w:t xml:space="preserve">发布“最后报价要求函”及最后报价格式表，</w:t>
      </w:r>
      <w:r>
        <w:rPr>
          <w:color w:val="000000"/>
          <w:szCs w:val="21"/>
          <w:lang w:val="zh-CN"/>
        </w:rPr>
        <w:t xml:space="preserve">要求所有实质性响应的供应商在规定时间内提交最后报价。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最后报价是供应商响应文件的有效组成部分。符合《</w:t>
      </w:r>
      <w:bookmarkStart w:id="119" w:name="OLE_LINK5"/>
      <w:r>
        <w:rPr>
          <w:rFonts w:hint="eastAsia"/>
          <w:color w:val="000000"/>
          <w:szCs w:val="21"/>
          <w:lang w:val="zh-CN"/>
        </w:rPr>
        <w:t xml:space="preserve">政府采购竞争性磋商采购方式管理暂行办法</w:t>
      </w:r>
      <w:bookmarkEnd w:id="119"/>
      <w:r>
        <w:rPr>
          <w:rFonts w:hint="eastAsia"/>
          <w:color w:val="000000"/>
          <w:szCs w:val="21"/>
          <w:lang w:val="zh-CN"/>
        </w:rPr>
        <w:t xml:space="preserve">》第三条第一款第四项及《财政部关于竞争性磋商采购方式管理暂行办法有关问题的补充通知》（财库〔2015〕124号）规定情形的，提交最后报价的供应商可以为2家。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26.1.3供应商未在磋商小组规定的时间内在苏采云系统中提交最后报价的视为放弃磋商，其响应文件按无效响应处理，最后报价格式表须加盖CA电子公章，否则视为未提交最后报价。</w:t>
      </w:r>
      <w:r>
        <w:rPr>
          <w:color w:val="000000"/>
          <w:szCs w:val="21"/>
          <w:lang w:val="zh-CN"/>
        </w:rPr>
        <w:t xml:space="preserve">已提交响应文件的供应商，在提交最后报价之前，可以根据磋商情况退出磋商</w:t>
      </w:r>
      <w:r>
        <w:rPr>
          <w:rFonts w:hint="eastAsia"/>
          <w:color w:val="000000"/>
          <w:szCs w:val="21"/>
          <w:lang w:val="zh-CN"/>
        </w:rPr>
        <w:t xml:space="preserve">，并在苏采云系统中提交“退出磋商函”并加盖CA电子公章</w:t>
      </w:r>
      <w:r>
        <w:rPr>
          <w:color w:val="000000"/>
          <w:szCs w:val="21"/>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w:t>
      </w:r>
      <w:r>
        <w:rPr>
          <w:rFonts w:hint="eastAsia"/>
          <w:color w:val="000000"/>
          <w:szCs w:val="21"/>
          <w:highlight w:val="none"/>
          <w:lang w:val="zh-CN"/>
        </w:rPr>
        <w:t xml:space="preserve"> 异常低价响应审查</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1.4.1</w:t>
      </w:r>
      <w:r>
        <w:rPr>
          <w:rFonts w:hint="eastAsia"/>
          <w:color w:val="000000"/>
          <w:szCs w:val="21"/>
          <w:highlight w:val="none"/>
          <w:lang w:val="zh-CN"/>
        </w:rPr>
        <w:t xml:space="preserve"> 评审过程中出现下列情形之一的，磋商小组应当启动</w:t>
      </w:r>
      <w:r>
        <w:rPr>
          <w:rFonts w:hint="eastAsia"/>
          <w:b/>
          <w:bCs/>
          <w:color w:val="000000"/>
          <w:szCs w:val="21"/>
          <w:highlight w:val="none"/>
          <w:lang w:val="zh-CN"/>
        </w:rPr>
        <w:t xml:space="preserve">异常低价响应审查</w:t>
      </w:r>
      <w:r>
        <w:rPr>
          <w:rFonts w:hint="eastAsia"/>
          <w:color w:val="000000"/>
          <w:szCs w:val="21"/>
          <w:highlight w:val="none"/>
          <w:lang w:val="zh-CN"/>
        </w:rPr>
        <w:t xml:space="preserve">程序：</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（1）响应报价低于全部通过符合性审查供应商响应报价平均值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（2）响应报价低于通过符合性审查的次低报价供应商响应报价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3</w:t>
      </w:r>
      <w:r>
        <w:rPr>
          <w:rFonts w:hint="eastAsia"/>
          <w:color w:val="000000"/>
          <w:szCs w:val="21"/>
          <w:highlight w:val="none"/>
          <w:lang w:val="zh-CN"/>
        </w:rPr>
        <w:t xml:space="preserve">）响应报价低于采购项目最高限价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4</w:t>
      </w:r>
      <w:r>
        <w:rPr>
          <w:rFonts w:hint="eastAsia"/>
          <w:color w:val="000000"/>
          <w:szCs w:val="21"/>
          <w:highlight w:val="none"/>
          <w:lang w:val="zh-CN"/>
        </w:rPr>
        <w:t xml:space="preserve">）磋商小组基于专业判断，认为供应商报价过低，有可能影响产品质量或者不能诚信履约的其他情形。</w:t>
      </w:r>
      <w:r/>
    </w:p>
    <w:p>
      <w:pPr>
        <w:ind w:firstLine="420"/>
        <w:keepLines w:val="0"/>
        <w:keepNext w:val="0"/>
        <w:pageBreakBefore w:val="0"/>
        <w:spacing w:line="320" w:lineRule="exact"/>
        <w:widowControl w:val="off"/>
        <w:rPr>
          <w:color w:val="000000"/>
          <w:szCs w:val="21"/>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color w:val="000000"/>
          <w:szCs w:val="21"/>
        </w:rPr>
        <w:t xml:space="preserve">，供应商已随响应文件一并提交相关书面说明及必要的证明材料的，在评审现场可不再重复提交。</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26.2.2评审标准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见本磋商文件第五章规定。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26.3采购活动终止的情况</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出现下列情形之一的，本次竞争性磋商采购活动将被终止：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26.3.1因情况变化，不再符合规定的竞争性磋商采购方式适用情形的。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26.3.2出现影响采购公正的违法、违规行为的。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26.3.4在苏采云系统规定时间内成功解密电子响应文件的供应商不足3家的。</w:t>
      </w:r>
      <w:r/>
    </w:p>
    <w:p>
      <w:pPr>
        <w:ind w:firstLine="422"/>
        <w:keepLines w:val="0"/>
        <w:keepNext w:val="0"/>
        <w:pageBreakBefore w:val="0"/>
        <w:spacing w:line="320" w:lineRule="exact"/>
        <w:widowControl w:val="off"/>
        <w:rPr>
          <w:b/>
          <w:bCs/>
          <w:color w:val="000000"/>
          <w:szCs w:val="21"/>
          <w:lang w:val="zh-CN"/>
        </w:rPr>
      </w:pPr>
      <w:r/>
      <w:bookmarkStart w:id="120" w:name="_Toc16938551"/>
      <w:r/>
      <w:bookmarkStart w:id="121" w:name="_Toc120614219"/>
      <w:r/>
      <w:bookmarkStart w:id="122" w:name="_Toc20823307"/>
      <w:r/>
      <w:bookmarkStart w:id="123" w:name="_Toc513029235"/>
      <w:r>
        <w:rPr>
          <w:rFonts w:hint="eastAsia"/>
          <w:b/>
          <w:bCs/>
          <w:color w:val="000000"/>
          <w:szCs w:val="21"/>
          <w:lang w:val="zh-CN"/>
        </w:rPr>
        <w:t xml:space="preserve">六、</w:t>
      </w:r>
      <w:bookmarkEnd w:id="120"/>
      <w:r/>
      <w:bookmarkEnd w:id="121"/>
      <w:r/>
      <w:bookmarkEnd w:id="122"/>
      <w:r/>
      <w:bookmarkEnd w:id="123"/>
      <w:r>
        <w:rPr>
          <w:rFonts w:hint="eastAsia"/>
          <w:b/>
          <w:bCs/>
          <w:color w:val="000000"/>
          <w:szCs w:val="21"/>
          <w:lang w:val="zh-CN"/>
        </w:rPr>
        <w:t xml:space="preserve">成交</w:t>
      </w:r>
      <w:r/>
    </w:p>
    <w:p>
      <w:pPr>
        <w:ind w:firstLine="420"/>
        <w:keepLines w:val="0"/>
        <w:keepNext w:val="0"/>
        <w:pageBreakBefore w:val="0"/>
        <w:spacing w:line="320" w:lineRule="exact"/>
        <w:widowControl w:val="off"/>
        <w:rPr>
          <w:color w:val="000000"/>
          <w:szCs w:val="21"/>
          <w:lang w:val="zh-CN"/>
        </w:rPr>
      </w:pPr>
      <w:r/>
      <w:bookmarkStart w:id="124" w:name="_Toc513029238"/>
      <w:r/>
      <w:bookmarkStart w:id="125" w:name="_Toc16938554"/>
      <w:r/>
      <w:bookmarkStart w:id="126" w:name="_Toc20823310"/>
      <w:r>
        <w:rPr>
          <w:rFonts w:hint="eastAsia"/>
          <w:color w:val="000000"/>
          <w:szCs w:val="21"/>
          <w:lang w:val="zh-CN"/>
        </w:rPr>
        <w:t xml:space="preserve">27.</w:t>
      </w:r>
      <w:bookmarkEnd w:id="124"/>
      <w:r>
        <w:rPr>
          <w:rFonts w:hint="eastAsia"/>
          <w:color w:val="000000"/>
          <w:szCs w:val="21"/>
          <w:lang w:val="zh-CN"/>
        </w:rPr>
        <w:t xml:space="preserve">确定</w:t>
      </w:r>
      <w:bookmarkEnd w:id="125"/>
      <w:r/>
      <w:bookmarkEnd w:id="126"/>
      <w:r>
        <w:rPr>
          <w:rFonts w:hint="eastAsia"/>
          <w:color w:val="000000"/>
          <w:szCs w:val="21"/>
          <w:lang w:val="zh-CN"/>
        </w:rPr>
        <w:t xml:space="preserve">成交单位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27.3若有充分证据证明，成交供应商出现下列情况之一的，一经查实，将被取消成交资格：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27.3.1提供虚假材料谋取成交的。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27.3.2与评审专家、采购人、其他供应商或者招标代理机构工作人员恶意串通的。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27.3.3向评审专家、采购人或招标代理机构工作人员行贿或者提供其他不正当利益的。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27.3.4恶意竞争，最后报价明显低于其自身合理成本且又无法提供证明的。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27.3.5不满足本磋商文件规定的实质性要求，但在评审过程中又未被磋商小组发现的。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27.3.6成交后无正当理由拒不与采购人签订政府采购合同或者未按照磋商文件确定的事项签订政府采购合同的。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27.3.7将政府采购合同转包的。</w:t>
      </w:r>
      <w:r/>
    </w:p>
    <w:p>
      <w:pPr>
        <w:ind w:firstLine="420"/>
        <w:keepLines w:val="0"/>
        <w:keepNext w:val="0"/>
        <w:pageBreakBefore w:val="0"/>
        <w:spacing w:line="320" w:lineRule="exact"/>
        <w:widowControl w:val="off"/>
        <w:rPr>
          <w:color w:val="000000"/>
          <w:szCs w:val="21"/>
          <w:lang w:val="zh-CN"/>
        </w:rPr>
      </w:pPr>
      <w:r/>
      <w:bookmarkStart w:id="127" w:name="_Toc200451960"/>
      <w:r>
        <w:rPr>
          <w:rFonts w:hint="eastAsia"/>
          <w:color w:val="000000"/>
          <w:szCs w:val="21"/>
          <w:lang w:val="zh-CN"/>
        </w:rPr>
        <w:t xml:space="preserve">28.质疑处理</w:t>
      </w:r>
      <w:bookmarkEnd w:id="127"/>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2.1</w:t>
      </w:r>
      <w:r>
        <w:rPr>
          <w:color w:val="000000"/>
          <w:szCs w:val="21"/>
          <w:lang w:val="zh-CN"/>
        </w:rPr>
        <w:t xml:space="preserve">对可以质疑的采购文件提出质疑的，为收到采购文件之日或者采购文件公告期限届满之日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2.2</w:t>
      </w:r>
      <w:r>
        <w:rPr>
          <w:color w:val="000000"/>
          <w:szCs w:val="21"/>
          <w:lang w:val="zh-CN"/>
        </w:rPr>
        <w:t xml:space="preserve">对采购过程提出质疑的，为各采购程序环节结束之日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2.3</w:t>
      </w:r>
      <w:r>
        <w:rPr>
          <w:color w:val="000000"/>
          <w:szCs w:val="21"/>
          <w:lang w:val="zh-CN"/>
        </w:rPr>
        <w:t xml:space="preserve">对成交结果提出质疑的，为成交结果公告期限届满之日。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供应商应当在法定质疑期内一次性提出针对同一采购程序环节的质疑。供应商如在法定期限内对同一采购程序环节提出多次质疑的，招标代理机构、</w:t>
      </w:r>
      <w:r>
        <w:rPr>
          <w:color w:val="000000"/>
          <w:szCs w:val="21"/>
          <w:lang w:val="zh-CN"/>
        </w:rPr>
        <w:t xml:space="preserve">采购人</w:t>
      </w:r>
      <w:r>
        <w:rPr>
          <w:rFonts w:hint="eastAsia"/>
          <w:color w:val="000000"/>
          <w:szCs w:val="21"/>
          <w:lang w:val="zh-CN"/>
        </w:rPr>
        <w:t xml:space="preserve">将只对供应商第一次质疑作出答复。</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4 供应商（含</w:t>
      </w:r>
      <w:r>
        <w:rPr>
          <w:color w:val="000000"/>
          <w:szCs w:val="21"/>
          <w:lang w:val="zh-CN"/>
        </w:rPr>
        <w:t xml:space="preserve">潜在供应商</w:t>
      </w:r>
      <w:r>
        <w:rPr>
          <w:rFonts w:hint="eastAsia"/>
          <w:color w:val="000000"/>
          <w:szCs w:val="21"/>
          <w:lang w:val="zh-CN"/>
        </w:rPr>
        <w:t xml:space="preserve">）对</w:t>
      </w:r>
      <w:r>
        <w:rPr>
          <w:color w:val="000000"/>
          <w:szCs w:val="21"/>
          <w:lang w:val="zh-CN"/>
        </w:rPr>
        <w:t xml:space="preserve">采购方式、</w:t>
      </w:r>
      <w:r>
        <w:rPr>
          <w:rFonts w:hint="eastAsia"/>
          <w:color w:val="000000"/>
          <w:szCs w:val="21"/>
          <w:lang w:val="zh-CN"/>
        </w:rPr>
        <w:t xml:space="preserve">采购</w:t>
      </w:r>
      <w:r>
        <w:rPr>
          <w:color w:val="000000"/>
          <w:szCs w:val="21"/>
          <w:lang w:val="zh-CN"/>
        </w:rPr>
        <w:t xml:space="preserve">需求、</w:t>
      </w:r>
      <w:r>
        <w:rPr>
          <w:rFonts w:hint="eastAsia"/>
          <w:color w:val="000000"/>
          <w:szCs w:val="21"/>
          <w:lang w:val="zh-CN"/>
        </w:rPr>
        <w:t xml:space="preserve">供应商</w:t>
      </w:r>
      <w:r>
        <w:rPr>
          <w:color w:val="000000"/>
          <w:szCs w:val="21"/>
          <w:lang w:val="zh-CN"/>
        </w:rPr>
        <w:t xml:space="preserve">资格条件、</w:t>
      </w:r>
      <w:r>
        <w:rPr>
          <w:rFonts w:hint="eastAsia"/>
          <w:color w:val="000000"/>
          <w:szCs w:val="21"/>
          <w:lang w:val="zh-CN"/>
        </w:rPr>
        <w:t xml:space="preserve">评审方法与评审标准</w:t>
      </w:r>
      <w:r>
        <w:rPr>
          <w:color w:val="000000"/>
          <w:szCs w:val="21"/>
          <w:lang w:val="zh-CN"/>
        </w:rPr>
        <w:t xml:space="preserve">、合同文本</w:t>
      </w:r>
      <w:r>
        <w:rPr>
          <w:rFonts w:hint="eastAsia"/>
          <w:color w:val="000000"/>
          <w:szCs w:val="21"/>
          <w:lang w:val="zh-CN"/>
        </w:rPr>
        <w:t xml:space="preserve">的</w:t>
      </w:r>
      <w:r>
        <w:rPr>
          <w:color w:val="000000"/>
          <w:szCs w:val="21"/>
          <w:lang w:val="zh-CN"/>
        </w:rPr>
        <w:t xml:space="preserve">询问</w:t>
      </w:r>
      <w:r>
        <w:rPr>
          <w:rFonts w:hint="eastAsia"/>
          <w:color w:val="000000"/>
          <w:szCs w:val="21"/>
          <w:lang w:val="zh-CN"/>
        </w:rPr>
        <w:t xml:space="preserve">、质疑</w:t>
      </w:r>
      <w:r>
        <w:rPr>
          <w:color w:val="000000"/>
          <w:szCs w:val="21"/>
          <w:lang w:val="zh-CN"/>
        </w:rPr>
        <w:t xml:space="preserve">请向采购人提出，由采购人负责答复。</w:t>
      </w:r>
      <w:r>
        <w:rPr>
          <w:rFonts w:hint="eastAsia"/>
          <w:color w:val="000000"/>
          <w:szCs w:val="21"/>
          <w:lang w:val="zh-CN"/>
        </w:rPr>
        <w:t xml:space="preserve">供应商对</w:t>
      </w:r>
      <w:r>
        <w:rPr>
          <w:color w:val="000000"/>
          <w:szCs w:val="21"/>
          <w:lang w:val="zh-CN"/>
        </w:rPr>
        <w:t xml:space="preserve">其他事项</w:t>
      </w:r>
      <w:r>
        <w:rPr>
          <w:rFonts w:hint="eastAsia"/>
          <w:color w:val="000000"/>
          <w:szCs w:val="21"/>
          <w:lang w:val="zh-CN"/>
        </w:rPr>
        <w:t xml:space="preserve">的询问</w:t>
      </w:r>
      <w:r>
        <w:rPr>
          <w:color w:val="000000"/>
          <w:szCs w:val="21"/>
          <w:lang w:val="zh-CN"/>
        </w:rPr>
        <w:t xml:space="preserve">、质疑请向</w:t>
      </w:r>
      <w:r>
        <w:rPr>
          <w:rFonts w:hint="eastAsia"/>
          <w:color w:val="000000"/>
          <w:szCs w:val="21"/>
          <w:lang w:val="zh-CN"/>
        </w:rPr>
        <w:t xml:space="preserve">招标代理机构</w:t>
      </w:r>
      <w:r>
        <w:rPr>
          <w:color w:val="000000"/>
          <w:szCs w:val="21"/>
          <w:lang w:val="zh-CN"/>
        </w:rPr>
        <w:t xml:space="preserve">提出，由</w:t>
      </w:r>
      <w:r>
        <w:rPr>
          <w:rFonts w:hint="eastAsia"/>
          <w:color w:val="000000"/>
          <w:szCs w:val="21"/>
          <w:lang w:val="zh-CN"/>
        </w:rPr>
        <w:t xml:space="preserve">招标代理机构负责</w:t>
      </w:r>
      <w:r>
        <w:rPr>
          <w:color w:val="000000"/>
          <w:szCs w:val="21"/>
          <w:lang w:val="zh-CN"/>
        </w:rPr>
        <w:t xml:space="preserve">答复。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采购人及招标代理机构只接收以纸质原件形式送达的质疑,建议供应商尽量通过邮寄方式提交质疑（采购人和招标代理机构不接受无快递运</w:t>
      </w:r>
      <w:r>
        <w:rPr>
          <w:color w:val="000000"/>
          <w:szCs w:val="21"/>
          <w:lang w:val="zh-CN"/>
        </w:rPr>
        <w:t xml:space="preserve">单号</w:t>
      </w:r>
      <w:r>
        <w:rPr>
          <w:rFonts w:hint="eastAsia"/>
          <w:color w:val="000000"/>
          <w:szCs w:val="21"/>
          <w:lang w:val="zh-CN"/>
        </w:rPr>
        <w:t xml:space="preserve">的快递）。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招标代理机构质疑接收部门为质疑处理科（快递运单上的收件人填写“质疑处理科”即可），联系地址：</w:t>
      </w:r>
      <w:r>
        <w:rPr>
          <w:rFonts w:hint="eastAsia"/>
        </w:rPr>
        <w:t xml:space="preserve">江苏省南京市鼓楼区集庆门大街268号苏宁慧谷E08-1幢2205、2206室</w:t>
      </w:r>
      <w:r>
        <w:rPr>
          <w:rFonts w:hint="eastAsia"/>
          <w:color w:val="000000"/>
          <w:szCs w:val="21"/>
          <w:lang w:val="zh-CN"/>
        </w:rPr>
        <w:t xml:space="preserve">，联系电话：025-83</w:t>
      </w:r>
      <w:r>
        <w:rPr>
          <w:rFonts w:hint="eastAsia"/>
          <w:color w:val="000000"/>
          <w:szCs w:val="21"/>
        </w:rPr>
        <w:t xml:space="preserve">206581</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采购人质疑接收人及联系方式见本磋商文件第一章。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 以下情形的质疑不予受理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5.1 内容不符合《政府采购质疑和投诉办法》第十二条规定的质疑。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5.2 超出政府采购法定期限的质疑。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5.3 以传真、电子邮件等方式递交的非原件形式的质疑。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5.4 未参加磋商活动的供应商或在磋商活动中自身权益未受到损害的供应商所提出的质疑。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5.5供应商组成联合体参加磋商，联合体中任何一方或多方未按要求签字、盖章、加盖公章的质疑。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29.成交通知书</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29.1</w:t>
      </w:r>
      <w:r>
        <w:rPr>
          <w:rFonts w:hint="eastAsia"/>
          <w:color w:val="000000"/>
          <w:szCs w:val="21"/>
          <w:lang w:val="zh-CN"/>
        </w:rPr>
        <w:t xml:space="preserve">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20" w:lineRule="exact"/>
        <w:widowControl w:val="off"/>
        <w:rPr>
          <w:b/>
          <w:bCs/>
          <w:color w:val="000000"/>
          <w:szCs w:val="21"/>
          <w:lang w:val="zh-CN"/>
        </w:rPr>
      </w:pPr>
      <w:r/>
      <w:bookmarkStart w:id="128" w:name="_Toc120614220"/>
      <w:r/>
      <w:bookmarkStart w:id="129" w:name="_Toc16938552"/>
      <w:r/>
      <w:bookmarkStart w:id="130" w:name="_Toc20823308"/>
      <w:r/>
      <w:bookmarkStart w:id="131" w:name="_Toc513029236"/>
      <w:r>
        <w:rPr>
          <w:rFonts w:hint="eastAsia"/>
          <w:b/>
          <w:bCs/>
          <w:color w:val="000000"/>
          <w:szCs w:val="21"/>
          <w:lang w:val="zh-CN"/>
        </w:rPr>
        <w:t xml:space="preserve">七、授予合同</w:t>
      </w:r>
      <w:bookmarkEnd w:id="128"/>
      <w:r/>
      <w:bookmarkEnd w:id="129"/>
      <w:r/>
      <w:bookmarkEnd w:id="130"/>
      <w:r/>
      <w:bookmarkEnd w:id="131"/>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 签订合同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.1成交供应商应当在成交通知书发出之日起三十日内，按照磋商文件确定的事项与采购人签订政府采购合同。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.2磋商文件、成交供应商的响应文件及磋商过程中有关澄清、承诺文件均应作为合同附件。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31.标的物的追加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1</w:t>
      </w:r>
      <w:r>
        <w:rPr>
          <w:rFonts w:hint="eastAsia"/>
          <w:color w:val="000000"/>
          <w:szCs w:val="21"/>
          <w:lang w:val="zh-CN"/>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32.政府采购履约资金扶持政策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成交供应商可凭政府采购合同办理融资贷款，详情请见江苏政府采购网“政采贷”专栏。</w:t>
      </w:r>
      <w:r/>
    </w:p>
    <w:p>
      <w:pPr>
        <w:rPr>
          <w:rFonts w:eastAsia="黑体"/>
          <w:color w:val="000000"/>
          <w:sz w:val="36"/>
          <w:szCs w:val="36"/>
        </w:rPr>
      </w:pPr>
      <w:r>
        <w:rPr>
          <w:rFonts w:eastAsia="黑体"/>
          <w:color w:val="000000"/>
          <w:sz w:val="36"/>
          <w:szCs w:val="36"/>
        </w:rPr>
        <w:br w:type="page" w:clear="all"/>
      </w:r>
      <w:r/>
    </w:p>
    <w:p>
      <w:pPr>
        <w:pStyle w:val="1116"/>
        <w:ind w:firstLine="0"/>
        <w:jc w:val="center"/>
        <w:rPr>
          <w:rFonts w:ascii="Times New Roman" w:hAnsi="Times New Roman" w:eastAsia="黑体" w:cs="Times New Roman"/>
          <w:bCs/>
          <w:color w:val="000000"/>
          <w:sz w:val="36"/>
          <w:szCs w:val="36"/>
        </w:rPr>
        <w:outlineLvl w:val="0"/>
      </w:pPr>
      <w:r/>
      <w:bookmarkStart w:id="132" w:name="_Toc24718"/>
      <w:r>
        <w:rPr>
          <w:rFonts w:ascii="Times New Roman" w:hAnsi="Times New Roman" w:eastAsia="黑体" w:cs="Times New Roman"/>
          <w:color w:val="000000"/>
          <w:sz w:val="36"/>
          <w:szCs w:val="36"/>
        </w:rPr>
        <w:t xml:space="preserve">第三章  合同</w:t>
      </w:r>
      <w:r>
        <w:rPr>
          <w:rFonts w:hint="eastAsia" w:ascii="Times New Roman" w:hAnsi="Times New Roman" w:eastAsia="黑体" w:cs="Times New Roman"/>
          <w:color w:val="000000"/>
          <w:sz w:val="36"/>
          <w:szCs w:val="36"/>
          <w:lang w:val="en-US"/>
        </w:rPr>
        <w:t xml:space="preserve">文本</w:t>
      </w:r>
      <w:bookmarkEnd w:id="17"/>
      <w:r/>
      <w:bookmarkEnd w:id="18"/>
      <w:r/>
      <w:bookmarkEnd w:id="132"/>
      <w:r/>
      <w:r/>
    </w:p>
    <w:p>
      <w:pPr>
        <w:ind w:firstLine="420"/>
        <w:spacing w:line="400" w:lineRule="exact"/>
        <w:rPr>
          <w:color w:val="000000"/>
          <w:szCs w:val="21"/>
        </w:rPr>
      </w:pPr>
      <w:r>
        <w:rPr>
          <w:color w:val="000000"/>
          <w:szCs w:val="21"/>
        </w:rPr>
      </w:r>
      <w:r/>
    </w:p>
    <w:p>
      <w:pPr>
        <w:ind w:firstLine="420"/>
        <w:jc w:val="center"/>
        <w:spacing w:line="500" w:lineRule="exact"/>
        <w:rPr>
          <w:rFonts w:eastAsia="华文楷体"/>
          <w:b/>
          <w:bCs/>
        </w:rPr>
      </w:pPr>
      <w:r>
        <w:rPr>
          <w:rFonts w:eastAsia="华文楷体"/>
          <w:b/>
          <w:bCs/>
        </w:rPr>
        <w:t xml:space="preserve">（以下为</w:t>
      </w:r>
      <w:r>
        <w:rPr>
          <w:rFonts w:hint="eastAsia" w:eastAsia="华文楷体"/>
          <w:b/>
          <w:bCs/>
        </w:rPr>
        <w:t xml:space="preserve">成交</w:t>
      </w:r>
      <w:r>
        <w:rPr>
          <w:rFonts w:eastAsia="华文楷体"/>
          <w:b/>
          <w:bCs/>
        </w:rPr>
        <w:t xml:space="preserve">后签定本项目合同的通用条款，</w:t>
      </w:r>
      <w:r>
        <w:rPr>
          <w:rFonts w:hint="eastAsia" w:eastAsia="华文楷体"/>
          <w:b/>
          <w:bCs/>
        </w:rPr>
        <w:t xml:space="preserve">成交供应商</w:t>
      </w:r>
      <w:r>
        <w:rPr>
          <w:rFonts w:eastAsia="华文楷体"/>
          <w:b/>
          <w:bCs/>
        </w:rPr>
        <w:t xml:space="preserve">不得提出实质性的修改）</w:t>
      </w:r>
      <w:r/>
    </w:p>
    <w:p>
      <w:pPr>
        <w:ind w:firstLine="420"/>
        <w:jc w:val="center"/>
        <w:spacing w:line="380" w:lineRule="exact"/>
        <w:rPr>
          <w:rFonts w:hint="eastAsia" w:ascii="宋体" w:hAnsi="宋体" w:cs="仿宋"/>
        </w:rPr>
      </w:pPr>
      <w:r>
        <w:rPr>
          <w:rFonts w:hint="eastAsia" w:ascii="宋体" w:hAnsi="宋体" w:cs="仿宋"/>
        </w:rPr>
      </w:r>
      <w:r/>
    </w:p>
    <w:p>
      <w:pPr>
        <w:ind w:firstLine="420"/>
        <w:jc w:val="center"/>
        <w:keepLines w:val="0"/>
        <w:keepNext w:val="0"/>
        <w:pageBreakBefore w:val="0"/>
        <w:spacing w:line="320" w:lineRule="exact"/>
        <w:widowControl w:val="off"/>
        <w:rPr>
          <w:rFonts w:ascii="宋体" w:hAnsi="宋体" w:cs="仿宋"/>
        </w:rPr>
      </w:pPr>
      <w:r>
        <w:rPr>
          <w:rFonts w:hint="eastAsia" w:ascii="宋体" w:hAnsi="宋体" w:cs="仿宋"/>
        </w:rPr>
        <w:t xml:space="preserve">江苏省政府采购合同（服务）</w:t>
      </w:r>
      <w:r/>
    </w:p>
    <w:p>
      <w:pPr>
        <w:ind w:firstLine="420"/>
        <w:jc w:val="center"/>
        <w:keepLines w:val="0"/>
        <w:keepNext w:val="0"/>
        <w:pageBreakBefore w:val="0"/>
        <w:spacing w:line="320" w:lineRule="exact"/>
        <w:widowControl w:val="off"/>
        <w:rPr>
          <w:rFonts w:hint="eastAsia" w:ascii="宋体" w:hAnsi="宋体" w:eastAsia="宋体" w:cs="仿宋"/>
          <w:lang w:eastAsia="zh-CN"/>
        </w:rPr>
      </w:pPr>
      <w:r>
        <w:rPr>
          <w:rFonts w:hint="eastAsia" w:ascii="宋体" w:hAnsi="宋体" w:cs="仿宋"/>
          <w:lang w:val="en-US" w:eastAsia="zh-CN"/>
        </w:rPr>
        <w:t xml:space="preserve">                                                 </w:t>
      </w:r>
      <w:r>
        <w:rPr>
          <w:rFonts w:hint="eastAsia" w:ascii="宋体" w:hAnsi="宋体" w:cs="仿宋"/>
        </w:rPr>
        <w:t xml:space="preserve">（合同编号）</w:t>
      </w:r>
      <w:r>
        <w:rPr>
          <w:rFonts w:hint="eastAsia" w:ascii="宋体" w:hAnsi="宋体" w:cs="仿宋"/>
          <w:lang w:eastAsia="zh-CN"/>
        </w:rPr>
        <w:t xml:space="preserve">：</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项目名称：</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项目编号：</w:t>
      </w:r>
      <w:r>
        <w:rPr>
          <w:rFonts w:ascii="宋体" w:hAnsi="宋体" w:cs="仿宋"/>
          <w:u w:val="single"/>
        </w:rPr>
        <w:t xml:space="preserve">        </w:t>
      </w:r>
      <w:r>
        <w:rPr>
          <w:rFonts w:hint="eastAsia" w:ascii="宋体" w:hAnsi="宋体" w:cs="仿宋"/>
          <w:u w:val="single"/>
        </w:rPr>
        <w:t xml:space="preserve">  </w:t>
      </w:r>
      <w:r>
        <w:rPr>
          <w:rFonts w:ascii="宋体" w:hAnsi="宋体" w:cs="仿宋"/>
          <w:u w:val="single"/>
        </w:rPr>
        <w:t xml:space="preserve">                                </w:t>
      </w:r>
      <w:r>
        <w:rPr>
          <w:rFonts w:hint="eastAsia" w:ascii="宋体" w:hAnsi="宋体" w:cs="仿宋"/>
          <w:u w:val="single"/>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采购包号：*****</w:t>
      </w:r>
      <w:r/>
    </w:p>
    <w:p>
      <w:pPr>
        <w:ind w:firstLine="420"/>
        <w:keepLines w:val="0"/>
        <w:keepNext w:val="0"/>
        <w:pageBreakBefore w:val="0"/>
        <w:spacing w:line="320" w:lineRule="exact"/>
        <w:widowControl w:val="off"/>
        <w:rPr>
          <w:rFonts w:hint="default" w:ascii="宋体" w:hAnsi="宋体" w:eastAsia="宋体" w:cs="仿宋"/>
          <w:lang w:val="en-US" w:eastAsia="zh-CN"/>
        </w:rPr>
      </w:pPr>
      <w:r>
        <w:rPr>
          <w:rFonts w:hint="eastAsia" w:ascii="宋体" w:hAnsi="宋体" w:cs="仿宋"/>
        </w:rPr>
        <w:t xml:space="preserve">甲方（买方/采购人）：</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hint="default" w:ascii="宋体" w:hAnsi="宋体" w:eastAsia="宋体" w:cs="仿宋"/>
          <w:u w:val="single"/>
          <w:lang w:val="en-US" w:eastAsia="zh-CN"/>
        </w:rPr>
      </w:pPr>
      <w:r>
        <w:rPr>
          <w:rFonts w:hint="eastAsia" w:ascii="宋体" w:hAnsi="宋体" w:cs="仿宋"/>
        </w:rPr>
        <w:t xml:space="preserve">乙方（卖方/成交供应商）</w:t>
      </w:r>
      <w:r>
        <w:rPr>
          <w:rFonts w:hint="eastAsia" w:ascii="宋体" w:hAnsi="宋体" w:cs="仿宋"/>
          <w:lang w:eastAsia="zh-CN"/>
        </w:rPr>
        <w:t xml:space="preserve">：</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甲、乙双方根据江苏励邦招标代理有限公司</w:t>
      </w:r>
      <w:r>
        <w:rPr>
          <w:rFonts w:hint="eastAsia" w:ascii="宋体" w:hAnsi="宋体" w:cs="仿宋"/>
          <w:u w:val="single"/>
        </w:rPr>
        <w:t xml:space="preserve">         </w:t>
      </w:r>
      <w:r>
        <w:rPr>
          <w:rFonts w:hint="eastAsia" w:ascii="宋体" w:hAnsi="宋体" w:cs="仿宋"/>
        </w:rPr>
        <w:t xml:space="preserve">项目竞争性磋商的结果，签署本合同。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一、合同内容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 标的名称：</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1.2标的质量：</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1.3 标的数量（规模）：</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 履行时间（期限）：</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1.5 履行地点：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1.6 履行方式：</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二、合同金额</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2.1 本合同金额为（大写）：________圆（________元）人民币或其他币种。</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三、技术资料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3.1乙方应按磋商文件规定的时间向甲方提供服务（包含与服务相关的货物）的有关技术资料。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四、知识产权</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五、产权担保</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5.1 乙方保证所交付的服务（包含与服务相关的货物）的所有权完全属于乙方且无任何抵押、查封等产权瑕疵。</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六、履约保证金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6.1 乙方交纳人民币__零__元作为本合同的履约保证金。（不得超过合同金额的10%）</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6.2合同履行结束后，甲方应及时退还交纳的履约保证金。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6.2.1履约保证金退还方式：无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6.2.2履约保证金退还时间：无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6.2.3履约保证金退还条件：无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6.2.4履约保证金不予退还的情形：无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七、合同转包或分包</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乙方如有转包或未经甲方同意的分包行为，甲方有权解除合同。乙方应向甲方支付合同总价款20%的解除合同违约金，如果因此造成甲方实际损失的，乙方应另行赔偿实际损失。</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八、合同款项支付</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8.1合同款项的支付方式及进度安排</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8.1.1 预付款支付时间：</w:t>
      </w:r>
      <w:r/>
    </w:p>
    <w:p>
      <w:pPr>
        <w:ind w:firstLine="420"/>
        <w:keepLines w:val="0"/>
        <w:keepNext w:val="0"/>
        <w:pageBreakBefore w:val="0"/>
        <w:spacing w:line="320" w:lineRule="exact"/>
        <w:widowControl w:val="off"/>
        <w:rPr>
          <w:rFonts w:hint="eastAsia" w:ascii="宋体" w:hAnsi="宋体" w:cs="仿宋"/>
        </w:rPr>
      </w:pPr>
      <w:r>
        <w:rPr>
          <w:rFonts w:hint="eastAsia" w:ascii="宋体" w:hAnsi="宋体" w:cs="仿宋"/>
        </w:rPr>
        <w:t xml:space="preserve">8.1.2</w:t>
      </w:r>
      <w:r>
        <w:rPr>
          <w:rFonts w:ascii="宋体" w:hAnsi="宋体" w:cs="仿宋"/>
        </w:rPr>
        <w:t xml:space="preserve"> </w:t>
      </w:r>
      <w:r>
        <w:rPr>
          <w:rFonts w:hint="eastAsia" w:ascii="宋体" w:hAnsi="宋体" w:cs="仿宋"/>
        </w:rPr>
        <w:t xml:space="preserve">尾款支付时间：</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九、税费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9.1本合同执行中相关的一切税费均由乙方负担。</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十、项目验收</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10.1 甲方依法组织履约验收工作。</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10.3 对于实际使用人和甲方分离的项目，甲方邀请实际使用人参与验收。</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10.4 如有必要，甲方邀请参加本项目的其他供应商或第三方专业机构及专家参与验收，相关意见将作为验收书的参考资料。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十一、违约责任</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11.1 甲方无正当理由拒绝接受乙方提供服务的，甲方向乙方偿付拒绝接受服务合同价款总值    的违约金。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11.2 甲方无故逾期验收和办理合同款项支付手续的,甲方应按逾期付款总额    每日向乙方支付违约金。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11.4 乙方所提供服务的标准不符合合同规定及磋商文件规定标准的，甲方有权拒绝接受服务，并可单方面解除合同。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十二、不可抗力事件处理</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12.1 在合同有效期内，任何一方因不可抗力事件导致不能履行合同，则合同履行期可延长，其延长期与不可抗力影响 期相同。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12.2 不可抗力事件发生后，应立即通知对方，并寄送有关权威机构出具的证明。</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12.3 不可抗力事件延续120天以上，双方应通过友好协商，确定是否继续履行合同。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十三、解决争议的方法</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13.1双方在签订、履行合同中所发生的一切争议，应通过友好协商解决。如协商不成，由甲方住所地人民法院管辖。</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十四、合同生效及其它</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14.1 合同经双方法定代表人或授权委托代表人签字并加盖单位公章后生效。</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14.2本合同未尽事宜，遵照中华人民共和国现行法律法规有关条文执行。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14.3 本合同正本一式两份，具有同等法律效力，甲方、乙方各执一份。</w:t>
      </w:r>
      <w:r/>
    </w:p>
    <w:p>
      <w:pPr>
        <w:ind w:firstLine="420"/>
        <w:keepLines w:val="0"/>
        <w:keepNext w:val="0"/>
        <w:pageBreakBefore w:val="0"/>
        <w:spacing w:line="320" w:lineRule="exact"/>
        <w:widowControl w:val="off"/>
        <w:rPr>
          <w:rFonts w:ascii="宋体" w:hAnsi="宋体" w:cs="仿宋"/>
        </w:rPr>
      </w:pPr>
      <w:r>
        <w:rPr>
          <w:rFonts w:ascii="宋体" w:hAnsi="宋体" w:cs="仿宋"/>
        </w:rPr>
      </w:r>
      <w:r/>
    </w:p>
    <w:p>
      <w:pPr>
        <w:ind w:firstLine="420"/>
        <w:keepLines w:val="0"/>
        <w:keepNext w:val="0"/>
        <w:pageBreakBefore w:val="0"/>
        <w:spacing w:line="320" w:lineRule="exact"/>
        <w:widowControl w:val="off"/>
        <w:rPr>
          <w:rFonts w:ascii="宋体" w:hAnsi="宋体" w:cs="仿宋"/>
        </w:rPr>
      </w:pPr>
      <w:r>
        <w:rPr>
          <w:rFonts w:ascii="宋体" w:hAnsi="宋体" w:cs="仿宋"/>
        </w:rPr>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甲方：       </w:t>
      </w:r>
      <w:r>
        <w:rPr>
          <w:rFonts w:ascii="宋体" w:hAnsi="宋体" w:cs="仿宋"/>
        </w:rPr>
        <w:t xml:space="preserve">         </w:t>
      </w:r>
      <w:r>
        <w:rPr>
          <w:rFonts w:hint="eastAsia" w:ascii="宋体" w:hAnsi="宋体" w:cs="仿宋"/>
        </w:rPr>
        <w:t xml:space="preserve">                 乙方：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地址：          </w:t>
      </w:r>
      <w:r>
        <w:rPr>
          <w:rFonts w:ascii="宋体" w:hAnsi="宋体" w:cs="仿宋"/>
        </w:rPr>
        <w:t xml:space="preserve">         </w:t>
      </w:r>
      <w:r>
        <w:rPr>
          <w:rFonts w:hint="eastAsia" w:ascii="宋体" w:hAnsi="宋体" w:cs="仿宋"/>
        </w:rPr>
        <w:t xml:space="preserve">              地址：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法定代表人或授权代表：   </w:t>
      </w:r>
      <w:r>
        <w:rPr>
          <w:rFonts w:ascii="宋体" w:hAnsi="宋体" w:cs="仿宋"/>
        </w:rPr>
        <w:t xml:space="preserve">         </w:t>
      </w:r>
      <w:r>
        <w:rPr>
          <w:rFonts w:hint="eastAsia" w:ascii="宋体" w:hAnsi="宋体" w:cs="仿宋"/>
        </w:rPr>
        <w:t xml:space="preserve">     法定代表人或授权代表：</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联系电话：               </w:t>
      </w:r>
      <w:r>
        <w:rPr>
          <w:rFonts w:ascii="宋体" w:hAnsi="宋体" w:cs="仿宋"/>
        </w:rPr>
        <w:t xml:space="preserve">         </w:t>
      </w:r>
      <w:r>
        <w:rPr>
          <w:rFonts w:hint="eastAsia" w:ascii="宋体" w:hAnsi="宋体" w:cs="仿宋"/>
        </w:rPr>
        <w:t xml:space="preserve">     联系电话：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w:t>
      </w:r>
      <w:r/>
    </w:p>
    <w:p>
      <w:pPr>
        <w:ind w:firstLine="4200"/>
        <w:keepLines w:val="0"/>
        <w:keepNext w:val="0"/>
        <w:pageBreakBefore w:val="0"/>
        <w:spacing w:line="320" w:lineRule="exact"/>
        <w:widowControl w:val="off"/>
        <w:rPr>
          <w:rFonts w:ascii="宋体" w:hAnsi="宋体" w:cs="仿宋"/>
          <w:sz w:val="24"/>
        </w:rPr>
      </w:pPr>
      <w:r>
        <w:rPr>
          <w:rFonts w:ascii="宋体" w:hAnsi="宋体" w:cs="仿宋"/>
        </w:rPr>
        <w:t xml:space="preserve">签订日期：      年  </w:t>
      </w:r>
      <w:r>
        <w:rPr>
          <w:rFonts w:hint="eastAsia" w:ascii="宋体" w:hAnsi="宋体" w:cs="仿宋"/>
        </w:rPr>
        <w:t xml:space="preserve">  </w:t>
      </w:r>
      <w:r>
        <w:rPr>
          <w:rFonts w:ascii="宋体" w:hAnsi="宋体" w:cs="仿宋"/>
        </w:rPr>
        <w:t xml:space="preserve">月  </w:t>
      </w:r>
      <w:r>
        <w:rPr>
          <w:rFonts w:hint="eastAsia" w:ascii="宋体" w:hAnsi="宋体" w:cs="仿宋"/>
        </w:rPr>
        <w:t xml:space="preserve"> </w:t>
      </w:r>
      <w:r>
        <w:rPr>
          <w:rFonts w:ascii="宋体" w:hAnsi="宋体" w:cs="仿宋"/>
        </w:rPr>
        <w:t xml:space="preserve">日</w:t>
      </w:r>
      <w:r/>
    </w:p>
    <w:p>
      <w:pPr>
        <w:ind w:firstLine="2310"/>
        <w:spacing w:before="120" w:after="120" w:line="300" w:lineRule="exact"/>
        <w:rPr>
          <w:color w:val="000000"/>
          <w:szCs w:val="21"/>
        </w:rPr>
      </w:pPr>
      <w:r>
        <w:rPr>
          <w:color w:val="000000"/>
          <w:szCs w:val="21"/>
        </w:rPr>
      </w:r>
      <w:r/>
    </w:p>
    <w:p>
      <w:pPr>
        <w:spacing w:line="360" w:lineRule="auto"/>
        <w:tabs>
          <w:tab w:val="left" w:pos="0" w:leader="none"/>
          <w:tab w:val="left" w:pos="1002" w:leader="none"/>
          <w:tab w:val="left" w:pos="1134" w:leader="none"/>
        </w:tabs>
        <w:rPr>
          <w:color w:val="000000"/>
          <w:szCs w:val="21"/>
        </w:rPr>
      </w:pPr>
      <w:r>
        <w:rPr>
          <w:color w:val="000000"/>
          <w:szCs w:val="21"/>
        </w:rPr>
      </w:r>
      <w:r/>
    </w:p>
    <w:p>
      <w:pPr>
        <w:rPr>
          <w:rFonts w:eastAsia="黑体"/>
          <w:color w:val="000000"/>
          <w:sz w:val="36"/>
          <w:szCs w:val="36"/>
        </w:rPr>
      </w:pPr>
      <w:r>
        <w:rPr>
          <w:rFonts w:eastAsia="黑体"/>
          <w:color w:val="000000"/>
          <w:sz w:val="36"/>
          <w:szCs w:val="36"/>
        </w:rPr>
        <w:br w:type="page" w:clear="all"/>
      </w:r>
      <w:r/>
    </w:p>
    <w:p>
      <w:pPr>
        <w:pStyle w:val="1116"/>
        <w:ind w:firstLine="0"/>
        <w:jc w:val="center"/>
        <w:rPr>
          <w:rFonts w:hint="eastAsia" w:ascii="宋体" w:hAnsi="宋体" w:eastAsia="宋体" w:cs="宋体"/>
          <w:color w:val="000000"/>
          <w:sz w:val="36"/>
          <w:szCs w:val="36"/>
          <w:lang w:val="en-US"/>
        </w:rPr>
        <w:outlineLvl w:val="0"/>
      </w:pPr>
      <w:r/>
      <w:bookmarkStart w:id="133" w:name="_Toc3437"/>
      <w:r/>
      <w:bookmarkStart w:id="134" w:name="_Toc8830"/>
      <w:r/>
      <w:bookmarkStart w:id="135" w:name="_Toc20714"/>
      <w:r>
        <w:rPr>
          <w:rFonts w:hint="eastAsia" w:ascii="宋体" w:hAnsi="宋体" w:eastAsia="宋体" w:cs="宋体"/>
          <w:color w:val="000000"/>
          <w:sz w:val="36"/>
          <w:szCs w:val="36"/>
        </w:rPr>
        <w:t xml:space="preserve">第</w:t>
      </w:r>
      <w:r>
        <w:rPr>
          <w:rFonts w:hint="eastAsia" w:ascii="宋体" w:hAnsi="宋体" w:eastAsia="宋体" w:cs="宋体"/>
          <w:color w:val="000000"/>
          <w:sz w:val="36"/>
          <w:szCs w:val="36"/>
          <w:lang w:val="en-US"/>
        </w:rPr>
        <w:t xml:space="preserve">四</w:t>
      </w:r>
      <w:r>
        <w:rPr>
          <w:rFonts w:hint="eastAsia" w:ascii="宋体" w:hAnsi="宋体" w:eastAsia="宋体" w:cs="宋体"/>
          <w:color w:val="000000"/>
          <w:sz w:val="36"/>
          <w:szCs w:val="36"/>
        </w:rPr>
        <w:t xml:space="preserve">章  </w:t>
      </w:r>
      <w:r>
        <w:rPr>
          <w:rFonts w:hint="eastAsia" w:ascii="宋体" w:hAnsi="宋体" w:eastAsia="宋体" w:cs="宋体"/>
          <w:color w:val="000000"/>
          <w:sz w:val="36"/>
          <w:szCs w:val="36"/>
          <w:lang w:val="en-US"/>
        </w:rPr>
        <w:t xml:space="preserve">项目需求</w:t>
      </w:r>
      <w:bookmarkEnd w:id="133"/>
      <w:r/>
      <w:bookmarkEnd w:id="134"/>
      <w:r/>
      <w:bookmarkEnd w:id="135"/>
      <w:r/>
      <w:r/>
    </w:p>
    <w:p>
      <w:pPr>
        <w:ind w:firstLine="422"/>
        <w:jc w:val="left"/>
        <w:spacing w:line="380" w:lineRule="exact"/>
        <w:widowControl/>
        <w:rPr>
          <w:rFonts w:hint="eastAsia" w:ascii="宋体" w:hAnsi="宋体" w:eastAsia="宋体" w:cs="宋体"/>
          <w:b/>
          <w:iCs/>
          <w:szCs w:val="21"/>
        </w:rPr>
      </w:pPr>
      <w:r>
        <w:rPr>
          <w:rFonts w:hint="eastAsia" w:ascii="宋体" w:hAnsi="宋体" w:eastAsia="宋体" w:cs="宋体"/>
          <w:b/>
          <w:bCs/>
          <w:color w:val="000000"/>
          <w:szCs w:val="21"/>
        </w:rPr>
        <w:t xml:space="preserve">一</w:t>
      </w:r>
      <w:bookmarkStart w:id="136" w:name="OLE_LINK8"/>
      <w:r>
        <w:rPr>
          <w:rFonts w:hint="eastAsia" w:ascii="宋体" w:hAnsi="宋体" w:eastAsia="宋体" w:cs="宋体"/>
          <w:b/>
          <w:bCs/>
          <w:color w:val="000000"/>
          <w:szCs w:val="21"/>
        </w:rPr>
        <w:t xml:space="preserve">、</w:t>
      </w:r>
      <w:r>
        <w:rPr>
          <w:rFonts w:hint="eastAsia" w:ascii="宋体" w:hAnsi="宋体" w:eastAsia="宋体" w:cs="宋体"/>
          <w:b/>
          <w:iCs/>
          <w:szCs w:val="21"/>
        </w:rPr>
        <w:t xml:space="preserve">标的清单</w:t>
      </w:r>
      <w:r/>
    </w:p>
    <w:tbl>
      <w:tblPr>
        <w:tblStyle w:val="1008"/>
        <w:tblW w:w="4997"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4165"/>
        <w:gridCol w:w="1441"/>
        <w:gridCol w:w="1374"/>
        <w:gridCol w:w="1580"/>
      </w:tblGrid>
      <w:tr>
        <w:trPr>
          <w:jc w:val="center"/>
          <w:trHeight w:val="499"/>
        </w:trPr>
        <w:tc>
          <w:tcPr>
            <w:tcBorders>
              <w:bottom w:val="single" w:color="auto"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分包号</w:t>
            </w:r>
            <w:r/>
          </w:p>
        </w:tc>
        <w:tc>
          <w:tcPr>
            <w:tcBorders>
              <w:left w:val="single" w:color="auto" w:sz="4" w:space="0"/>
              <w:bottom w:val="single" w:color="auto" w:sz="4" w:space="0"/>
              <w:right w:val="single" w:color="auto" w:sz="4" w:space="0"/>
            </w:tcBorders>
            <w:tcW w:w="2098"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分包内容</w:t>
            </w:r>
            <w:r/>
          </w:p>
        </w:tc>
        <w:tc>
          <w:tcPr>
            <w:tcBorders>
              <w:left w:val="single" w:color="auto" w:sz="4" w:space="0"/>
              <w:bottom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采购品目</w:t>
            </w:r>
            <w:r/>
          </w:p>
        </w:tc>
        <w:tc>
          <w:tcPr>
            <w:tcBorders>
              <w:left w:val="single" w:color="auto" w:sz="4" w:space="0"/>
              <w:bottom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采购数量</w:t>
            </w:r>
            <w:r/>
          </w:p>
        </w:tc>
        <w:tc>
          <w:tcPr>
            <w:tcBorders>
              <w:left w:val="single" w:color="auto" w:sz="4" w:space="0"/>
              <w:bottom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color w:val="000000"/>
                <w:szCs w:val="21"/>
                <w:highlight w:val="none"/>
              </w:rPr>
              <w:t xml:space="preserve">预算金额及最高限价</w:t>
            </w:r>
            <w:r/>
          </w:p>
        </w:tc>
      </w:tr>
      <w:tr>
        <w:trPr>
          <w:jc w:val="center"/>
          <w:trHeight w:val="499"/>
        </w:trPr>
        <w:tc>
          <w:tcPr>
            <w:tcBorders>
              <w:top w:val="none" w:color="000000" w:sz="4" w:space="0"/>
              <w:bottom w:val="single" w:color="auto"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2098" w:type="pct"/>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12项节能环保领域标准</w:t>
            </w:r>
            <w:r>
              <w:rPr>
                <w:rFonts w:hint="eastAsia" w:ascii="宋体" w:hAnsi="宋体" w:cs="宋体"/>
                <w:sz w:val="21"/>
                <w:szCs w:val="21"/>
                <w:highlight w:val="none"/>
                <w:lang w:val="en-US" w:eastAsia="zh-CN"/>
              </w:rPr>
              <w:t xml:space="preserve">（详见附表一）</w:t>
            </w:r>
            <w:r>
              <w:rPr>
                <w:rFonts w:hint="eastAsia" w:ascii="Times New Roman" w:hAnsi="Times New Roman" w:eastAsia="宋体" w:cs="Times New Roman"/>
                <w:color w:val="000000"/>
                <w:szCs w:val="21"/>
                <w:highlight w:val="none"/>
                <w:lang w:val="en-US" w:eastAsia="zh-CN"/>
              </w:rPr>
              <w:t xml:space="preserve">实施情况数据采集、统计分析</w:t>
            </w:r>
            <w:r/>
          </w:p>
        </w:tc>
        <w:tc>
          <w:tcPr>
            <w:tcBorders>
              <w:top w:val="none" w:color="000000" w:sz="4" w:space="0"/>
              <w:left w:val="single" w:color="auto" w:sz="4" w:space="0"/>
              <w:bottom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38万元</w:t>
            </w:r>
            <w:r/>
          </w:p>
        </w:tc>
      </w:tr>
      <w:tr>
        <w:trPr>
          <w:jc w:val="center"/>
          <w:trHeight w:val="499"/>
        </w:trPr>
        <w:tc>
          <w:tcPr>
            <w:tcBorders>
              <w:top w:val="none" w:color="000000" w:sz="4" w:space="0"/>
              <w:bottom w:val="single" w:color="auto"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p>
        </w:tc>
        <w:tc>
          <w:tcPr>
            <w:tcBorders>
              <w:top w:val="none" w:color="000000" w:sz="4" w:space="0"/>
              <w:left w:val="single" w:color="auto" w:sz="4" w:space="0"/>
              <w:bottom w:val="single" w:color="auto" w:sz="4" w:space="0"/>
              <w:right w:val="single" w:color="auto" w:sz="4" w:space="0"/>
            </w:tcBorders>
            <w:tcW w:w="2098" w:type="pct"/>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12项大数据与数字政府领域标准</w:t>
            </w:r>
            <w:r>
              <w:rPr>
                <w:rFonts w:hint="eastAsia" w:ascii="宋体" w:hAnsi="宋体" w:cs="宋体"/>
                <w:sz w:val="21"/>
                <w:szCs w:val="21"/>
                <w:highlight w:val="none"/>
                <w:lang w:val="en-US" w:eastAsia="zh-CN"/>
              </w:rPr>
              <w:t xml:space="preserve">（详见附表二）</w:t>
            </w:r>
            <w:r>
              <w:rPr>
                <w:rFonts w:hint="eastAsia" w:ascii="Times New Roman" w:hAnsi="Times New Roman" w:eastAsia="宋体" w:cs="Times New Roman"/>
                <w:color w:val="000000"/>
                <w:szCs w:val="21"/>
                <w:highlight w:val="none"/>
                <w:lang w:val="en-US" w:eastAsia="zh-CN"/>
              </w:rPr>
              <w:t xml:space="preserve">实施情况数据采集、统计分析</w:t>
            </w:r>
            <w:r/>
          </w:p>
        </w:tc>
        <w:tc>
          <w:tcPr>
            <w:tcBorders>
              <w:top w:val="none" w:color="000000" w:sz="4" w:space="0"/>
              <w:left w:val="single" w:color="auto" w:sz="4" w:space="0"/>
              <w:bottom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38万元</w:t>
            </w:r>
            <w:r/>
          </w:p>
        </w:tc>
      </w:tr>
      <w:tr>
        <w:trPr>
          <w:jc w:val="center"/>
          <w:trHeight w:val="499"/>
        </w:trPr>
        <w:tc>
          <w:tcPr>
            <w:tcBorders>
              <w:top w:val="none" w:color="000000" w:sz="4" w:space="0"/>
              <w:bottom w:val="single" w:color="auto"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2098" w:type="pct"/>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12项养老服务领域标准</w:t>
            </w:r>
            <w:r>
              <w:rPr>
                <w:rFonts w:hint="eastAsia" w:ascii="宋体" w:hAnsi="宋体" w:cs="宋体"/>
                <w:sz w:val="21"/>
                <w:szCs w:val="21"/>
                <w:highlight w:val="none"/>
                <w:lang w:val="en-US" w:eastAsia="zh-CN"/>
              </w:rPr>
              <w:t xml:space="preserve">（详见附表三）</w:t>
            </w:r>
            <w:r>
              <w:rPr>
                <w:rFonts w:hint="eastAsia" w:ascii="Times New Roman" w:hAnsi="Times New Roman" w:eastAsia="宋体" w:cs="Times New Roman"/>
                <w:color w:val="000000"/>
                <w:szCs w:val="21"/>
                <w:highlight w:val="none"/>
                <w:lang w:val="en-US" w:eastAsia="zh-CN"/>
              </w:rPr>
              <w:t xml:space="preserve">实施情况数据采集、统计分析</w:t>
            </w:r>
            <w:r/>
          </w:p>
        </w:tc>
        <w:tc>
          <w:tcPr>
            <w:tcBorders>
              <w:top w:val="none" w:color="000000" w:sz="4" w:space="0"/>
              <w:left w:val="single" w:color="auto" w:sz="4" w:space="0"/>
              <w:bottom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bottom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bottom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40万元</w:t>
            </w:r>
            <w:r/>
          </w:p>
        </w:tc>
      </w:tr>
      <w:tr>
        <w:trPr>
          <w:jc w:val="center"/>
          <w:trHeight w:val="499"/>
        </w:trPr>
        <w:tc>
          <w:tcPr>
            <w:tcBorders>
              <w:top w:val="none" w:color="000000"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w:t>
            </w:r>
            <w:r/>
          </w:p>
        </w:tc>
        <w:tc>
          <w:tcPr>
            <w:tcBorders>
              <w:top w:val="none" w:color="000000" w:sz="4" w:space="0"/>
              <w:left w:val="single" w:color="auto" w:sz="4" w:space="0"/>
              <w:right w:val="single" w:color="auto" w:sz="4" w:space="0"/>
            </w:tcBorders>
            <w:tcW w:w="2098" w:type="pct"/>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4项服务消费与现代服务业领域标准</w:t>
            </w:r>
            <w:r>
              <w:rPr>
                <w:rFonts w:hint="eastAsia" w:ascii="宋体" w:hAnsi="宋体" w:cs="宋体"/>
                <w:sz w:val="21"/>
                <w:szCs w:val="21"/>
                <w:highlight w:val="none"/>
                <w:lang w:val="en-US" w:eastAsia="zh-CN"/>
              </w:rPr>
              <w:t xml:space="preserve">（详见附表四）</w:t>
            </w:r>
            <w:r>
              <w:rPr>
                <w:rFonts w:hint="eastAsia" w:ascii="Times New Roman" w:hAnsi="Times New Roman" w:eastAsia="宋体" w:cs="Times New Roman"/>
                <w:color w:val="000000"/>
                <w:szCs w:val="21"/>
                <w:highlight w:val="none"/>
                <w:lang w:val="en-US" w:eastAsia="zh-CN"/>
              </w:rPr>
              <w:t xml:space="preserve">实施情况数据采集、统计分析及总体核查统计</w:t>
            </w:r>
            <w:r/>
          </w:p>
        </w:tc>
        <w:tc>
          <w:tcPr>
            <w:tcBorders>
              <w:top w:val="none" w:color="000000" w:sz="4" w:space="0"/>
              <w:left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20万元</w:t>
            </w:r>
            <w:bookmarkEnd w:id="136"/>
            <w:r/>
            <w:r/>
          </w:p>
        </w:tc>
      </w:tr>
    </w:tbl>
    <w:p>
      <w:pPr>
        <w:numPr>
          <w:ilvl w:val="0"/>
          <w:numId w:val="5"/>
        </w:numPr>
        <w:ind w:firstLine="422"/>
        <w:jc w:val="left"/>
        <w:spacing w:line="380" w:lineRule="exact"/>
        <w:widowControl/>
        <w:rPr>
          <w:rFonts w:hint="default"/>
          <w:lang w:val="en-US"/>
        </w:rPr>
      </w:pPr>
      <w:r>
        <w:rPr>
          <w:rFonts w:hint="eastAsia" w:ascii="宋体" w:hAnsi="宋体" w:cs="宋体"/>
          <w:b/>
          <w:iCs/>
          <w:szCs w:val="21"/>
          <w:lang w:val="en-US" w:eastAsia="zh-CN"/>
        </w:rPr>
        <w:t xml:space="preserve">项目内容及要求</w:t>
      </w:r>
      <w:r/>
    </w:p>
    <w:tbl>
      <w:tblPr>
        <w:tblStyle w:val="1046"/>
        <w:tblpPr w:horzAnchor="text" w:tblpXSpec="center" w:vertAnchor="text" w:tblpY="1"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991"/>
        <w:gridCol w:w="7053"/>
        <w:gridCol w:w="1400"/>
      </w:tblGrid>
      <w:tr>
        <w:trPr>
          <w:jc w:val="center"/>
          <w:trHeight w:val="482"/>
        </w:trPr>
        <w:tc>
          <w:tcPr>
            <w:gridSpan w:val="4"/>
            <w:tcW w:w="5000" w:type="pct"/>
            <w:vAlign w:val="center"/>
            <w:textDirection w:val="lrTb"/>
            <w:noWrap w:val="false"/>
          </w:tcPr>
          <w:p>
            <w:pPr>
              <w:pStyle w:val="1017"/>
              <w:ind w:firstLine="0"/>
              <w:jc w:val="center"/>
              <w:spacing w:line="240" w:lineRule="auto"/>
              <w:rPr>
                <w:rFonts w:hint="eastAsia" w:ascii="宋体" w:hAnsi="宋体" w:eastAsia="宋体" w:cs="宋体"/>
                <w:sz w:val="21"/>
                <w:szCs w:val="21"/>
              </w:rPr>
            </w:pPr>
            <w:r>
              <w:rPr>
                <w:rFonts w:hint="eastAsia" w:ascii="宋体" w:hAnsi="宋体" w:eastAsia="宋体" w:cs="宋体"/>
                <w:b/>
                <w:sz w:val="21"/>
                <w:szCs w:val="21"/>
                <w:lang w:val="en-US" w:eastAsia="zh-CN" w:bidi="ar-SA"/>
              </w:rPr>
              <w:t xml:space="preserve">标准实施情况数据采集、统计分析</w:t>
            </w:r>
            <w:r/>
          </w:p>
        </w:tc>
      </w:tr>
      <w:tr>
        <w:trPr>
          <w:jc w:val="center"/>
          <w:trHeight w:val="79"/>
        </w:trPr>
        <w:tc>
          <w:tcPr>
            <w:tcW w:w="243" w:type="pct"/>
            <w:vAlign w:val="center"/>
            <w:textDirection w:val="lrTb"/>
            <w:noWrap w:val="false"/>
          </w:tcPr>
          <w:p>
            <w:pPr>
              <w:jc w:val="center"/>
              <w:spacing w:line="24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分包</w:t>
            </w:r>
            <w:r>
              <w:rPr>
                <w:rFonts w:hint="eastAsia" w:ascii="宋体" w:hAnsi="宋体" w:cs="宋体"/>
                <w:b/>
                <w:sz w:val="21"/>
                <w:szCs w:val="21"/>
                <w:highlight w:val="none"/>
                <w:lang w:val="en-US" w:eastAsia="zh-CN"/>
              </w:rPr>
              <w:t xml:space="preserve">号</w:t>
            </w:r>
            <w:r/>
          </w:p>
        </w:tc>
        <w:tc>
          <w:tcPr>
            <w:tcW w:w="499" w:type="pct"/>
            <w:vAlign w:val="center"/>
            <w:textDirection w:val="lrTb"/>
            <w:noWrap w:val="false"/>
          </w:tcPr>
          <w:p>
            <w:pPr>
              <w:jc w:val="center"/>
              <w:spacing w:line="24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分包内容</w:t>
            </w:r>
            <w:r/>
          </w:p>
        </w:tc>
        <w:tc>
          <w:tcPr>
            <w:tcW w:w="3553"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工作</w:t>
            </w:r>
            <w:r>
              <w:rPr>
                <w:rFonts w:hint="eastAsia" w:ascii="宋体" w:hAnsi="宋体" w:eastAsia="宋体" w:cs="宋体"/>
                <w:b/>
                <w:sz w:val="21"/>
                <w:szCs w:val="21"/>
                <w:highlight w:val="none"/>
              </w:rPr>
              <w:t xml:space="preserve">需求</w:t>
            </w:r>
            <w:r/>
          </w:p>
        </w:tc>
        <w:tc>
          <w:tcPr>
            <w:tcW w:w="703"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预算金额</w:t>
            </w:r>
            <w:r/>
          </w:p>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及最高限价</w:t>
            </w:r>
            <w:r/>
          </w:p>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（单位：万元）</w:t>
            </w:r>
            <w:r/>
          </w:p>
        </w:tc>
      </w:tr>
      <w:tr>
        <w:trPr>
          <w:jc w:val="center"/>
          <w:trHeight w:val="2345"/>
        </w:trPr>
        <w:tc>
          <w:tcPr>
            <w:tcW w:w="243" w:type="pct"/>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99" w:type="pct"/>
            <w:vAlign w:val="center"/>
            <w:textDirection w:val="lrTb"/>
            <w:noWrap w:val="false"/>
          </w:tcPr>
          <w:p>
            <w:pPr>
              <w:jc w:val="left"/>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12项节能环保领域标准实施情况数据采集、统计分析</w:t>
            </w:r>
            <w:r/>
          </w:p>
        </w:tc>
        <w:tc>
          <w:tcPr>
            <w:tcW w:w="3553" w:type="pct"/>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评价指标核查与调查问卷设计。根据</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提供的评价指标体系，进行每项标准</w:t>
            </w:r>
            <w:r>
              <w:rPr>
                <w:rFonts w:hint="eastAsia" w:ascii="宋体" w:hAnsi="宋体" w:eastAsia="宋体" w:cs="宋体"/>
                <w:sz w:val="21"/>
                <w:szCs w:val="21"/>
                <w:highlight w:val="none"/>
              </w:rPr>
              <w:t xml:space="preserve">评价指标</w:t>
            </w:r>
            <w:r>
              <w:rPr>
                <w:rFonts w:hint="eastAsia" w:ascii="宋体" w:hAnsi="宋体" w:eastAsia="宋体" w:cs="宋体"/>
                <w:sz w:val="21"/>
                <w:szCs w:val="21"/>
                <w:highlight w:val="none"/>
                <w:lang w:val="en-US" w:eastAsia="zh-CN"/>
              </w:rPr>
              <w:t xml:space="preserve">核查</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协助组织专家评议，并根据指标</w:t>
            </w:r>
            <w:r>
              <w:rPr>
                <w:rFonts w:hint="eastAsia" w:ascii="宋体" w:hAnsi="宋体" w:eastAsia="宋体" w:cs="宋体"/>
                <w:sz w:val="21"/>
                <w:szCs w:val="21"/>
                <w:highlight w:val="none"/>
              </w:rPr>
              <w:t xml:space="preserve">设计调查问卷</w:t>
            </w:r>
            <w:r>
              <w:rPr>
                <w:rFonts w:hint="eastAsia" w:ascii="宋体" w:hAnsi="宋体" w:eastAsia="宋体" w:cs="宋体"/>
                <w:sz w:val="21"/>
                <w:szCs w:val="21"/>
                <w:highlight w:val="none"/>
                <w:lang w:eastAsia="zh-CN"/>
              </w:rPr>
              <w:t xml:space="preserve">。</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②综合运用资料分析、问卷调查、实地调研、座谈访谈和专家论证等方法，采集</w:t>
            </w:r>
            <w:r>
              <w:rPr>
                <w:rFonts w:hint="eastAsia" w:ascii="宋体" w:hAnsi="宋体" w:eastAsia="宋体" w:cs="宋体"/>
                <w:sz w:val="21"/>
                <w:szCs w:val="21"/>
                <w:highlight w:val="none"/>
                <w:lang w:val="en-US" w:eastAsia="zh-CN"/>
              </w:rPr>
              <w:t xml:space="preserve">全省范围内相关</w:t>
            </w:r>
            <w:r>
              <w:rPr>
                <w:rFonts w:hint="eastAsia" w:ascii="宋体" w:hAnsi="宋体" w:eastAsia="宋体" w:cs="宋体"/>
                <w:sz w:val="21"/>
                <w:szCs w:val="21"/>
                <w:highlight w:val="none"/>
              </w:rPr>
              <w:t xml:space="preserve">客观资料</w:t>
            </w:r>
            <w:r>
              <w:rPr>
                <w:rFonts w:hint="eastAsia" w:ascii="宋体" w:hAnsi="宋体" w:eastAsia="宋体" w:cs="宋体"/>
                <w:sz w:val="21"/>
                <w:szCs w:val="21"/>
                <w:highlight w:val="none"/>
                <w:lang w:val="en-US" w:eastAsia="zh-CN"/>
              </w:rPr>
              <w:t xml:space="preserve">和数据</w:t>
            </w:r>
            <w:r>
              <w:rPr>
                <w:rFonts w:hint="eastAsia" w:ascii="宋体" w:hAnsi="宋体" w:eastAsia="宋体" w:cs="宋体"/>
                <w:sz w:val="21"/>
                <w:szCs w:val="21"/>
                <w:highlight w:val="none"/>
              </w:rPr>
              <w:t xml:space="preserve">。每项标准原则上回收有效问卷不少于50份</w:t>
            </w:r>
            <w:r>
              <w:rPr>
                <w:rFonts w:hint="eastAsia" w:ascii="宋体" w:hAnsi="宋体" w:eastAsia="宋体" w:cs="宋体"/>
                <w:sz w:val="21"/>
                <w:szCs w:val="21"/>
                <w:highlight w:val="none"/>
                <w:lang w:eastAsia="zh-CN"/>
              </w:rPr>
              <w:t xml:space="preserve">；选取具有代表性的标准实施单位等进行实地走访，</w:t>
            </w:r>
            <w:r>
              <w:rPr>
                <w:rFonts w:hint="eastAsia" w:ascii="宋体" w:hAnsi="宋体" w:eastAsia="宋体" w:cs="宋体"/>
                <w:sz w:val="21"/>
                <w:szCs w:val="21"/>
                <w:highlight w:val="none"/>
                <w:lang w:val="en-US" w:eastAsia="zh-CN"/>
              </w:rPr>
              <w:t xml:space="preserve">补充和验证数据</w:t>
            </w:r>
            <w:r>
              <w:rPr>
                <w:rFonts w:hint="eastAsia" w:ascii="宋体" w:hAnsi="宋体" w:eastAsia="宋体" w:cs="宋体"/>
                <w:sz w:val="21"/>
                <w:szCs w:val="21"/>
                <w:highlight w:val="none"/>
                <w:lang w:eastAsia="zh-CN"/>
              </w:rPr>
              <w:t xml:space="preserve">。实地数据采集对象不少于3家。以图文、视频或会议纪要等形式保留实地调研记录。</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数据统计分析，整理问卷调查和实地调研数据，按照</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确定的指标权重与评价模型进行统计分析，形成结论。其中，12项标准的单项报告结论应包括实施范围、应用成效、主要问题、协调性分析和处置建议；总体分析应提炼共性问题、明确体系优化方向并提出制度建议。</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④梳理统计分析结果和附件材料，给出相关政策建议，形成单项报告和1项总报告。</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i/>
                <w:iCs/>
                <w:sz w:val="21"/>
                <w:szCs w:val="21"/>
                <w:highlight w:val="none"/>
                <w:u w:val="single"/>
                <w:lang w:val="en-US" w:eastAsia="zh-CN"/>
              </w:rPr>
              <w:t xml:space="preserve">12项标准的数据采集统计分析报告；1项专题报告；1项标准分类处置台账；</w:t>
            </w:r>
            <w:r>
              <w:rPr>
                <w:rFonts w:hint="eastAsia" w:ascii="宋体" w:hAnsi="宋体" w:cs="宋体"/>
                <w:i/>
                <w:iCs/>
                <w:sz w:val="21"/>
                <w:szCs w:val="21"/>
                <w:highlight w:val="none"/>
                <w:u w:val="single"/>
                <w:lang w:val="en-US" w:eastAsia="zh-CN"/>
              </w:rPr>
              <w:t xml:space="preserve">12项标准的工作档案；</w:t>
            </w:r>
            <w:r>
              <w:rPr>
                <w:rFonts w:hint="eastAsia" w:ascii="宋体" w:hAnsi="宋体" w:eastAsia="宋体" w:cs="宋体"/>
                <w:i/>
                <w:iCs/>
                <w:sz w:val="21"/>
                <w:szCs w:val="21"/>
                <w:highlight w:val="none"/>
                <w:u w:val="single"/>
                <w:lang w:val="en-US" w:eastAsia="zh-CN"/>
              </w:rPr>
              <w:t xml:space="preserve">1～2项典型案例汇编；全套原始调研资料、计算底稿、专家意见、佐证材料汇编。</w:t>
            </w:r>
            <w:r/>
          </w:p>
        </w:tc>
        <w:tc>
          <w:tcPr>
            <w:tcW w:w="703"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r>
      <w:tr>
        <w:trPr>
          <w:jc w:val="center"/>
          <w:trHeight w:val="79"/>
        </w:trPr>
        <w:tc>
          <w:tcPr>
            <w:tcW w:w="243" w:type="pct"/>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99" w:type="pct"/>
            <w:vAlign w:val="center"/>
            <w:textDirection w:val="lrTb"/>
            <w:noWrap w:val="false"/>
          </w:tcPr>
          <w:p>
            <w:pPr>
              <w:jc w:val="left"/>
              <w:spacing w:line="24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12项大数据与数字政府领域标准实施情况数据采集、统计分析</w:t>
            </w:r>
            <w:r/>
          </w:p>
        </w:tc>
        <w:tc>
          <w:tcPr>
            <w:tcW w:w="3553" w:type="pct"/>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评价指标核查与调查问卷设计。根据</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提供的评价指标体系，进行每项标准</w:t>
            </w:r>
            <w:r>
              <w:rPr>
                <w:rFonts w:hint="eastAsia" w:ascii="宋体" w:hAnsi="宋体" w:eastAsia="宋体" w:cs="宋体"/>
                <w:sz w:val="21"/>
                <w:szCs w:val="21"/>
                <w:highlight w:val="none"/>
              </w:rPr>
              <w:t xml:space="preserve">评价指标</w:t>
            </w:r>
            <w:r>
              <w:rPr>
                <w:rFonts w:hint="eastAsia" w:ascii="宋体" w:hAnsi="宋体" w:eastAsia="宋体" w:cs="宋体"/>
                <w:sz w:val="21"/>
                <w:szCs w:val="21"/>
                <w:highlight w:val="none"/>
                <w:lang w:val="en-US" w:eastAsia="zh-CN"/>
              </w:rPr>
              <w:t xml:space="preserve">核查</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协助组织专家评议，并根据指标</w:t>
            </w:r>
            <w:r>
              <w:rPr>
                <w:rFonts w:hint="eastAsia" w:ascii="宋体" w:hAnsi="宋体" w:eastAsia="宋体" w:cs="宋体"/>
                <w:sz w:val="21"/>
                <w:szCs w:val="21"/>
                <w:highlight w:val="none"/>
              </w:rPr>
              <w:t xml:space="preserve">调查问卷设计</w:t>
            </w:r>
            <w:r>
              <w:rPr>
                <w:rFonts w:hint="eastAsia" w:ascii="宋体" w:hAnsi="宋体" w:eastAsia="宋体" w:cs="宋体"/>
                <w:sz w:val="21"/>
                <w:szCs w:val="21"/>
                <w:highlight w:val="none"/>
                <w:lang w:eastAsia="zh-CN"/>
              </w:rPr>
              <w:t xml:space="preserve">；</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②综合运用资料分析、问卷调查、实地调研、座谈访谈和专家论证等方法，采集</w:t>
            </w:r>
            <w:r>
              <w:rPr>
                <w:rFonts w:hint="eastAsia" w:ascii="宋体" w:hAnsi="宋体" w:eastAsia="宋体" w:cs="宋体"/>
                <w:sz w:val="21"/>
                <w:szCs w:val="21"/>
                <w:highlight w:val="none"/>
                <w:lang w:val="en-US" w:eastAsia="zh-CN"/>
              </w:rPr>
              <w:t xml:space="preserve">全省范围内相关</w:t>
            </w:r>
            <w:r>
              <w:rPr>
                <w:rFonts w:hint="eastAsia" w:ascii="宋体" w:hAnsi="宋体" w:eastAsia="宋体" w:cs="宋体"/>
                <w:sz w:val="21"/>
                <w:szCs w:val="21"/>
                <w:highlight w:val="none"/>
              </w:rPr>
              <w:t xml:space="preserve">客观资料</w:t>
            </w:r>
            <w:r>
              <w:rPr>
                <w:rFonts w:hint="eastAsia" w:ascii="宋体" w:hAnsi="宋体" w:eastAsia="宋体" w:cs="宋体"/>
                <w:sz w:val="21"/>
                <w:szCs w:val="21"/>
                <w:highlight w:val="none"/>
                <w:lang w:val="en-US" w:eastAsia="zh-CN"/>
              </w:rPr>
              <w:t xml:space="preserve">和数据</w:t>
            </w:r>
            <w:r>
              <w:rPr>
                <w:rFonts w:hint="eastAsia" w:ascii="宋体" w:hAnsi="宋体" w:eastAsia="宋体" w:cs="宋体"/>
                <w:sz w:val="21"/>
                <w:szCs w:val="21"/>
                <w:highlight w:val="none"/>
              </w:rPr>
              <w:t xml:space="preserve">。每项标准原则上回收有效问卷不少于50份</w:t>
            </w:r>
            <w:r>
              <w:rPr>
                <w:rFonts w:hint="eastAsia" w:ascii="宋体" w:hAnsi="宋体" w:eastAsia="宋体" w:cs="宋体"/>
                <w:sz w:val="21"/>
                <w:szCs w:val="21"/>
                <w:highlight w:val="none"/>
                <w:lang w:eastAsia="zh-CN"/>
              </w:rPr>
              <w:t xml:space="preserve">；选取具有代表性的标准实施单位等进行实地走访，</w:t>
            </w:r>
            <w:r>
              <w:rPr>
                <w:rFonts w:hint="eastAsia" w:ascii="宋体" w:hAnsi="宋体" w:eastAsia="宋体" w:cs="宋体"/>
                <w:sz w:val="21"/>
                <w:szCs w:val="21"/>
                <w:highlight w:val="none"/>
                <w:lang w:val="en-US" w:eastAsia="zh-CN"/>
              </w:rPr>
              <w:t xml:space="preserve">补充和验证数据</w:t>
            </w:r>
            <w:r>
              <w:rPr>
                <w:rFonts w:hint="eastAsia" w:ascii="宋体" w:hAnsi="宋体" w:eastAsia="宋体" w:cs="宋体"/>
                <w:sz w:val="21"/>
                <w:szCs w:val="21"/>
                <w:highlight w:val="none"/>
                <w:lang w:eastAsia="zh-CN"/>
              </w:rPr>
              <w:t xml:space="preserve">。实地数据采集对象不少于3家。以图文、视频或会议纪要等形式保留实地调研记录。</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数据统计分析，整理问卷调查和实地调研数据，按照</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确定的指标权重与评价模型进行统计分析，形成结论。其中，12项标准的单项报告结论应包括实施范围、应用成效、主要问题、协调性分析和处置建议；总体分析应提炼共性问题、明确体系优化方向并提出制度建议。</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④梳理统计分析结果和附件材料，给出相关政策建议，形成单项报告和1项总报告。</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i/>
                <w:iCs/>
                <w:sz w:val="21"/>
                <w:szCs w:val="21"/>
                <w:highlight w:val="none"/>
                <w:u w:val="single"/>
                <w:lang w:val="en-US" w:eastAsia="zh-CN"/>
              </w:rPr>
              <w:t xml:space="preserve">12项标准的数据采集统计分析报告；1项专题报告；1项标准分类处置台账；</w:t>
            </w:r>
            <w:r>
              <w:rPr>
                <w:rFonts w:hint="eastAsia" w:ascii="宋体" w:hAnsi="宋体" w:cs="宋体"/>
                <w:i/>
                <w:iCs/>
                <w:sz w:val="21"/>
                <w:szCs w:val="21"/>
                <w:highlight w:val="none"/>
                <w:u w:val="single"/>
                <w:lang w:val="en-US" w:eastAsia="zh-CN"/>
              </w:rPr>
              <w:t xml:space="preserve">12项的标准工作档案；</w:t>
            </w:r>
            <w:r>
              <w:rPr>
                <w:rFonts w:hint="eastAsia" w:ascii="宋体" w:hAnsi="宋体" w:eastAsia="宋体" w:cs="宋体"/>
                <w:i/>
                <w:iCs/>
                <w:sz w:val="21"/>
                <w:szCs w:val="21"/>
                <w:highlight w:val="none"/>
                <w:u w:val="single"/>
                <w:lang w:val="en-US" w:eastAsia="zh-CN"/>
              </w:rPr>
              <w:t xml:space="preserve">1～2项典型案例汇编；全套原始调研资料、计算底稿、专家意见、佐证材料汇编。</w:t>
            </w:r>
            <w:r/>
          </w:p>
        </w:tc>
        <w:tc>
          <w:tcPr>
            <w:tcW w:w="703"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r>
      <w:tr>
        <w:trPr>
          <w:jc w:val="center"/>
          <w:trHeight w:val="79"/>
        </w:trPr>
        <w:tc>
          <w:tcPr>
            <w:tcW w:w="243" w:type="pct"/>
            <w:vAlign w:val="center"/>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499" w:type="pct"/>
            <w:vAlign w:val="center"/>
            <w:textDirection w:val="lrTb"/>
            <w:noWrap w:val="false"/>
          </w:tcPr>
          <w:p>
            <w:pPr>
              <w:jc w:val="left"/>
              <w:spacing w:line="24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12项养老服务领域标准实施情况数据采集、统计分析</w:t>
            </w:r>
            <w:r/>
          </w:p>
        </w:tc>
        <w:tc>
          <w:tcPr>
            <w:tcW w:w="3553" w:type="pct"/>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评价指标核查与调查问卷设计。根据</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提供的评价指标体系，进行每项标准</w:t>
            </w:r>
            <w:r>
              <w:rPr>
                <w:rFonts w:hint="eastAsia" w:ascii="宋体" w:hAnsi="宋体" w:eastAsia="宋体" w:cs="宋体"/>
                <w:sz w:val="21"/>
                <w:szCs w:val="21"/>
                <w:highlight w:val="none"/>
              </w:rPr>
              <w:t xml:space="preserve">评价指标</w:t>
            </w:r>
            <w:r>
              <w:rPr>
                <w:rFonts w:hint="eastAsia" w:ascii="宋体" w:hAnsi="宋体" w:eastAsia="宋体" w:cs="宋体"/>
                <w:sz w:val="21"/>
                <w:szCs w:val="21"/>
                <w:highlight w:val="none"/>
                <w:lang w:val="en-US" w:eastAsia="zh-CN"/>
              </w:rPr>
              <w:t xml:space="preserve">核查</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协助组织专家评议，并根据指标</w:t>
            </w:r>
            <w:r>
              <w:rPr>
                <w:rFonts w:hint="eastAsia" w:ascii="宋体" w:hAnsi="宋体" w:eastAsia="宋体" w:cs="宋体"/>
                <w:sz w:val="21"/>
                <w:szCs w:val="21"/>
                <w:highlight w:val="none"/>
              </w:rPr>
              <w:t xml:space="preserve">调查问卷设计</w:t>
            </w:r>
            <w:r>
              <w:rPr>
                <w:rFonts w:hint="eastAsia" w:ascii="宋体" w:hAnsi="宋体" w:eastAsia="宋体" w:cs="宋体"/>
                <w:sz w:val="21"/>
                <w:szCs w:val="21"/>
                <w:highlight w:val="none"/>
                <w:lang w:eastAsia="zh-CN"/>
              </w:rPr>
              <w:t xml:space="preserve">；</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②综合运用资料分析、问卷调查、实地调研、座谈访谈和专家论证等方法，采集</w:t>
            </w:r>
            <w:r>
              <w:rPr>
                <w:rFonts w:hint="eastAsia" w:ascii="宋体" w:hAnsi="宋体" w:eastAsia="宋体" w:cs="宋体"/>
                <w:sz w:val="21"/>
                <w:szCs w:val="21"/>
                <w:highlight w:val="none"/>
                <w:lang w:val="en-US" w:eastAsia="zh-CN"/>
              </w:rPr>
              <w:t xml:space="preserve">全省范围内相关</w:t>
            </w:r>
            <w:r>
              <w:rPr>
                <w:rFonts w:hint="eastAsia" w:ascii="宋体" w:hAnsi="宋体" w:eastAsia="宋体" w:cs="宋体"/>
                <w:sz w:val="21"/>
                <w:szCs w:val="21"/>
                <w:highlight w:val="none"/>
              </w:rPr>
              <w:t xml:space="preserve">客观资料</w:t>
            </w:r>
            <w:r>
              <w:rPr>
                <w:rFonts w:hint="eastAsia" w:ascii="宋体" w:hAnsi="宋体" w:eastAsia="宋体" w:cs="宋体"/>
                <w:sz w:val="21"/>
                <w:szCs w:val="21"/>
                <w:highlight w:val="none"/>
                <w:lang w:val="en-US" w:eastAsia="zh-CN"/>
              </w:rPr>
              <w:t xml:space="preserve">和数据</w:t>
            </w:r>
            <w:r>
              <w:rPr>
                <w:rFonts w:hint="eastAsia" w:ascii="宋体" w:hAnsi="宋体" w:eastAsia="宋体" w:cs="宋体"/>
                <w:sz w:val="21"/>
                <w:szCs w:val="21"/>
                <w:highlight w:val="none"/>
              </w:rPr>
              <w:t xml:space="preserve">。每项标准原则上回收有效问卷不少于50份</w:t>
            </w:r>
            <w:r>
              <w:rPr>
                <w:rFonts w:hint="eastAsia" w:ascii="宋体" w:hAnsi="宋体" w:eastAsia="宋体" w:cs="宋体"/>
                <w:sz w:val="21"/>
                <w:szCs w:val="21"/>
                <w:highlight w:val="none"/>
                <w:lang w:eastAsia="zh-CN"/>
              </w:rPr>
              <w:t xml:space="preserve">；选取具有代表性的标准实施单位等进行实地走访，</w:t>
            </w:r>
            <w:r>
              <w:rPr>
                <w:rFonts w:hint="eastAsia" w:ascii="宋体" w:hAnsi="宋体" w:eastAsia="宋体" w:cs="宋体"/>
                <w:sz w:val="21"/>
                <w:szCs w:val="21"/>
                <w:highlight w:val="none"/>
                <w:lang w:val="en-US" w:eastAsia="zh-CN"/>
              </w:rPr>
              <w:t xml:space="preserve">补充和验证数据</w:t>
            </w:r>
            <w:r>
              <w:rPr>
                <w:rFonts w:hint="eastAsia" w:ascii="宋体" w:hAnsi="宋体" w:eastAsia="宋体" w:cs="宋体"/>
                <w:sz w:val="21"/>
                <w:szCs w:val="21"/>
                <w:highlight w:val="none"/>
                <w:lang w:eastAsia="zh-CN"/>
              </w:rPr>
              <w:t xml:space="preserve">。实地数据采集对象不少于3家。以图文、视频或会议纪要等形式保留实地调研记录。</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数据统计分析，整理问卷调查和实地调研数据，按照</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确定的指标权重与评价模型进行统计分析，形成结论。其中，12项标准的单项报告结论应包括实施范围、应用成效、主要问题、协调性分析和处置建议；总体分析应提炼共性问题、明确体系优化方向并提出制度建议。</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④梳理统计分析结果和附件材料，给出相关政策建议，形成单项报告和1项总报告。</w:t>
            </w:r>
            <w:r/>
          </w:p>
          <w:p>
            <w:pPr>
              <w:jc w:val="left"/>
              <w:keepLines w:val="0"/>
              <w:keepNext w:val="0"/>
              <w:pageBreakBefore w:val="0"/>
              <w:spacing w:line="240" w:lineRule="auto"/>
              <w:shd w:val="clear" w:color="auto" w:fill="ffffff"/>
              <w:widowControl/>
              <w:rPr>
                <w:rFonts w:hint="eastAsia" w:ascii="宋体" w:hAnsi="宋体" w:eastAsia="宋体" w:cs="宋体"/>
                <w:i/>
                <w:iCs/>
                <w:sz w:val="21"/>
                <w:szCs w:val="21"/>
                <w:highlight w:val="none"/>
                <w:u w:val="singl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i/>
                <w:iCs/>
                <w:sz w:val="21"/>
                <w:szCs w:val="21"/>
                <w:highlight w:val="none"/>
                <w:u w:val="single"/>
                <w:lang w:val="en-US" w:eastAsia="zh-CN"/>
              </w:rPr>
              <w:t xml:space="preserve">12项标准的数据采集统计分析报告；1项专题报告；1项标准分类处置台账；</w:t>
            </w:r>
            <w:r>
              <w:rPr>
                <w:rFonts w:hint="eastAsia" w:ascii="宋体" w:hAnsi="宋体" w:cs="宋体"/>
                <w:i/>
                <w:iCs/>
                <w:sz w:val="21"/>
                <w:szCs w:val="21"/>
                <w:highlight w:val="none"/>
                <w:u w:val="single"/>
                <w:lang w:val="en-US" w:eastAsia="zh-CN"/>
              </w:rPr>
              <w:t xml:space="preserve">12项标准的工作档案；</w:t>
            </w:r>
            <w:r>
              <w:rPr>
                <w:rFonts w:hint="eastAsia" w:ascii="宋体" w:hAnsi="宋体" w:eastAsia="宋体" w:cs="宋体"/>
                <w:i/>
                <w:iCs/>
                <w:sz w:val="21"/>
                <w:szCs w:val="21"/>
                <w:highlight w:val="none"/>
                <w:u w:val="single"/>
                <w:lang w:val="en-US" w:eastAsia="zh-CN"/>
              </w:rPr>
              <w:t xml:space="preserve">1～2项典型案例汇编；全套原始调研资料、计算底稿、专家意见、佐证材料汇编。</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注：该类别含1项强制性国家标准和4项推荐性国家、行业标准。</w:t>
            </w:r>
            <w:r/>
          </w:p>
        </w:tc>
        <w:tc>
          <w:tcPr>
            <w:tcW w:w="703"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r>
      <w:tr>
        <w:trPr>
          <w:jc w:val="center"/>
          <w:trHeight w:val="656"/>
        </w:trPr>
        <w:tc>
          <w:tcPr>
            <w:tcW w:w="243" w:type="pct"/>
            <w:vAlign w:val="center"/>
            <w:vMerge w:val="restart"/>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499" w:type="pct"/>
            <w:vAlign w:val="center"/>
            <w:textDirection w:val="lrTb"/>
            <w:noWrap w:val="false"/>
          </w:tcPr>
          <w:p>
            <w:pPr>
              <w:jc w:val="center"/>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4项服务</w:t>
            </w:r>
            <w:r/>
          </w:p>
          <w:p>
            <w:pPr>
              <w:jc w:val="both"/>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消费与现代服务业领域标准实施情况数据</w:t>
            </w:r>
            <w:r/>
          </w:p>
          <w:p>
            <w:pPr>
              <w:jc w:val="center"/>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采集、统计分析</w:t>
            </w:r>
            <w:r/>
          </w:p>
        </w:tc>
        <w:tc>
          <w:tcPr>
            <w:tcW w:w="3553" w:type="pct"/>
            <w:vAlign w:val="center"/>
            <w:textDirection w:val="lrTb"/>
            <w:noWrap w:val="false"/>
          </w:tcPr>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评价指标核查与调查问卷设计。根据</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提供的评价指标体系，进行每项标准</w:t>
            </w:r>
            <w:r>
              <w:rPr>
                <w:rFonts w:hint="eastAsia" w:ascii="宋体" w:hAnsi="宋体" w:eastAsia="宋体" w:cs="宋体"/>
                <w:sz w:val="21"/>
                <w:szCs w:val="21"/>
                <w:highlight w:val="none"/>
              </w:rPr>
              <w:t xml:space="preserve">评价指标</w:t>
            </w:r>
            <w:r>
              <w:rPr>
                <w:rFonts w:hint="eastAsia" w:ascii="宋体" w:hAnsi="宋体" w:eastAsia="宋体" w:cs="宋体"/>
                <w:sz w:val="21"/>
                <w:szCs w:val="21"/>
                <w:highlight w:val="none"/>
                <w:lang w:val="en-US" w:eastAsia="zh-CN"/>
              </w:rPr>
              <w:t xml:space="preserve">核查</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协助组织专家评议，并根据指标</w:t>
            </w:r>
            <w:r>
              <w:rPr>
                <w:rFonts w:hint="eastAsia" w:ascii="宋体" w:hAnsi="宋体" w:eastAsia="宋体" w:cs="宋体"/>
                <w:sz w:val="21"/>
                <w:szCs w:val="21"/>
                <w:highlight w:val="none"/>
              </w:rPr>
              <w:t xml:space="preserve">调查问卷设计</w:t>
            </w:r>
            <w:r>
              <w:rPr>
                <w:rFonts w:hint="eastAsia" w:ascii="宋体" w:hAnsi="宋体" w:eastAsia="宋体" w:cs="宋体"/>
                <w:sz w:val="21"/>
                <w:szCs w:val="21"/>
                <w:highlight w:val="none"/>
                <w:lang w:eastAsia="zh-CN"/>
              </w:rPr>
              <w:t xml:space="preserve">；</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②综合运用资料分析、问卷调查、实地调研、座谈访谈和专家论证等方法，采集</w:t>
            </w:r>
            <w:r>
              <w:rPr>
                <w:rFonts w:hint="eastAsia" w:ascii="宋体" w:hAnsi="宋体" w:eastAsia="宋体" w:cs="宋体"/>
                <w:sz w:val="21"/>
                <w:szCs w:val="21"/>
                <w:highlight w:val="none"/>
                <w:lang w:val="en-US" w:eastAsia="zh-CN"/>
              </w:rPr>
              <w:t xml:space="preserve">全省范围内相关</w:t>
            </w:r>
            <w:r>
              <w:rPr>
                <w:rFonts w:hint="eastAsia" w:ascii="宋体" w:hAnsi="宋体" w:eastAsia="宋体" w:cs="宋体"/>
                <w:sz w:val="21"/>
                <w:szCs w:val="21"/>
                <w:highlight w:val="none"/>
              </w:rPr>
              <w:t xml:space="preserve">客观资料</w:t>
            </w:r>
            <w:r>
              <w:rPr>
                <w:rFonts w:hint="eastAsia" w:ascii="宋体" w:hAnsi="宋体" w:eastAsia="宋体" w:cs="宋体"/>
                <w:sz w:val="21"/>
                <w:szCs w:val="21"/>
                <w:highlight w:val="none"/>
                <w:lang w:val="en-US" w:eastAsia="zh-CN"/>
              </w:rPr>
              <w:t xml:space="preserve">和数据</w:t>
            </w:r>
            <w:r>
              <w:rPr>
                <w:rFonts w:hint="eastAsia" w:ascii="宋体" w:hAnsi="宋体" w:eastAsia="宋体" w:cs="宋体"/>
                <w:sz w:val="21"/>
                <w:szCs w:val="21"/>
                <w:highlight w:val="none"/>
              </w:rPr>
              <w:t xml:space="preserve">。每项标准原则上回收有效问卷不少于50份</w:t>
            </w:r>
            <w:r>
              <w:rPr>
                <w:rFonts w:hint="eastAsia" w:ascii="宋体" w:hAnsi="宋体" w:eastAsia="宋体" w:cs="宋体"/>
                <w:sz w:val="21"/>
                <w:szCs w:val="21"/>
                <w:highlight w:val="none"/>
                <w:lang w:eastAsia="zh-CN"/>
              </w:rPr>
              <w:t xml:space="preserve">；选取具有代表性的标准实施单位等进行实地走访，</w:t>
            </w:r>
            <w:r>
              <w:rPr>
                <w:rFonts w:hint="eastAsia" w:ascii="宋体" w:hAnsi="宋体" w:eastAsia="宋体" w:cs="宋体"/>
                <w:sz w:val="21"/>
                <w:szCs w:val="21"/>
                <w:highlight w:val="none"/>
                <w:lang w:val="en-US" w:eastAsia="zh-CN"/>
              </w:rPr>
              <w:t xml:space="preserve">补充和验证数据</w:t>
            </w:r>
            <w:r>
              <w:rPr>
                <w:rFonts w:hint="eastAsia" w:ascii="宋体" w:hAnsi="宋体" w:eastAsia="宋体" w:cs="宋体"/>
                <w:sz w:val="21"/>
                <w:szCs w:val="21"/>
                <w:highlight w:val="none"/>
                <w:lang w:eastAsia="zh-CN"/>
              </w:rPr>
              <w:t xml:space="preserve">。实地数据采集对象不少于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家。以图文、视频或会议纪要等形式保留实地调研记录。</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数据统计分析，整理问卷调查和实地调研数据，按照</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确定的指标权重与评价模型进行统计分析，形成结论。其中，4项标准的单项报告结论应包括实施范围、应用成效、主要问题、协调性分析和处置建议；总体分析应提炼共性问题、明确体系优化方向并提出制度建议。</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④梳理统计分析结果和附件材料，给出相关政策建议，形成单项报告和1项总报告。</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i/>
                <w:iCs/>
                <w:sz w:val="21"/>
                <w:szCs w:val="21"/>
                <w:highlight w:val="none"/>
                <w:u w:val="single"/>
                <w:lang w:val="en-US" w:eastAsia="zh-CN"/>
              </w:rPr>
              <w:t xml:space="preserve">4项标准的数据采集统计分析报告；1项专题报告；1项标准分类处置台账；</w:t>
            </w:r>
            <w:r>
              <w:rPr>
                <w:rFonts w:hint="eastAsia" w:ascii="宋体" w:hAnsi="宋体" w:cs="宋体"/>
                <w:i/>
                <w:iCs/>
                <w:sz w:val="21"/>
                <w:szCs w:val="21"/>
                <w:highlight w:val="none"/>
                <w:u w:val="single"/>
                <w:lang w:val="en-US" w:eastAsia="zh-CN"/>
              </w:rPr>
              <w:t xml:space="preserve">4项标准的工作档案；</w:t>
            </w:r>
            <w:r>
              <w:rPr>
                <w:rFonts w:hint="eastAsia" w:ascii="宋体" w:hAnsi="宋体" w:eastAsia="宋体" w:cs="宋体"/>
                <w:i/>
                <w:iCs/>
                <w:sz w:val="21"/>
                <w:szCs w:val="21"/>
                <w:highlight w:val="none"/>
                <w:u w:val="single"/>
                <w:lang w:val="en-US" w:eastAsia="zh-CN"/>
              </w:rPr>
              <w:t xml:space="preserve">1～2项典型案例汇编；1项总体数据核查统计分析报告；全套原始调研资料、计算底稿、专家意见、佐证材料汇编。</w:t>
            </w:r>
            <w:r/>
          </w:p>
        </w:tc>
        <w:tc>
          <w:tcPr>
            <w:tcW w:w="703" w:type="pct"/>
            <w:vAlign w:val="center"/>
            <w:vMerge w:val="restart"/>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r>
      <w:tr>
        <w:trPr>
          <w:jc w:val="center"/>
          <w:trHeight w:val="656"/>
        </w:trPr>
        <w:tc>
          <w:tcPr>
            <w:tcW w:w="243" w:type="pct"/>
            <w:vAlign w:val="center"/>
            <w:vMerge w:val="continue"/>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99" w:type="pct"/>
            <w:vAlign w:val="center"/>
            <w:textDirection w:val="lrTb"/>
            <w:noWrap w:val="false"/>
          </w:tcPr>
          <w:p>
            <w:pPr>
              <w:jc w:val="center"/>
              <w:keepLines w:val="0"/>
              <w:keepNext w:val="0"/>
              <w:pageBreakBefore w:val="0"/>
              <w:spacing w:line="280" w:lineRule="exact"/>
              <w:shd w:val="clear" w:color="auto" w:fill="ffffff"/>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40项</w:t>
            </w:r>
            <w:r/>
          </w:p>
          <w:p>
            <w:pPr>
              <w:jc w:val="both"/>
              <w:keepLines w:val="0"/>
              <w:keepNext w:val="0"/>
              <w:pageBreakBefore w:val="0"/>
              <w:spacing w:line="280" w:lineRule="exact"/>
              <w:shd w:val="clear" w:color="auto" w:fill="ffffff"/>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标准数据的总体核查、</w:t>
            </w:r>
            <w:r/>
          </w:p>
          <w:p>
            <w:pPr>
              <w:jc w:val="left"/>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统计、分析</w:t>
            </w:r>
            <w:r/>
          </w:p>
        </w:tc>
        <w:tc>
          <w:tcPr>
            <w:tcW w:w="3553" w:type="pct"/>
            <w:vAlign w:val="center"/>
            <w:textDirection w:val="lrTb"/>
            <w:noWrap w:val="false"/>
          </w:tcPr>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①</w:t>
            </w:r>
            <w:r>
              <w:rPr>
                <w:rFonts w:hint="eastAsia" w:ascii="宋体" w:hAnsi="宋体" w:cs="宋体"/>
                <w:sz w:val="21"/>
                <w:szCs w:val="21"/>
                <w:highlight w:val="none"/>
                <w:lang w:val="en-US" w:eastAsia="zh-CN"/>
              </w:rPr>
              <w:t xml:space="preserve">待分包1、分包2、分包3、分包4共计40项标准数据采集、统计分析完成后，对各分包的</w:t>
            </w:r>
            <w:r>
              <w:rPr>
                <w:rFonts w:hint="eastAsia" w:ascii="宋体" w:hAnsi="宋体" w:eastAsia="宋体" w:cs="宋体"/>
                <w:sz w:val="21"/>
                <w:szCs w:val="21"/>
                <w:highlight w:val="none"/>
                <w:lang w:val="en-US" w:eastAsia="zh-CN"/>
              </w:rPr>
              <w:t xml:space="preserve">数据采集、统计分析结果</w:t>
            </w:r>
            <w:r>
              <w:rPr>
                <w:rFonts w:hint="eastAsia" w:ascii="宋体" w:hAnsi="宋体" w:cs="宋体"/>
                <w:sz w:val="21"/>
                <w:szCs w:val="21"/>
                <w:highlight w:val="none"/>
                <w:lang w:val="en-US" w:eastAsia="zh-CN"/>
              </w:rPr>
              <w:t xml:space="preserve">进行</w:t>
            </w:r>
            <w:r>
              <w:rPr>
                <w:rFonts w:hint="eastAsia" w:ascii="宋体" w:hAnsi="宋体" w:eastAsia="宋体" w:cs="宋体"/>
                <w:sz w:val="21"/>
                <w:szCs w:val="21"/>
                <w:highlight w:val="none"/>
                <w:lang w:val="en-US" w:eastAsia="zh-CN"/>
              </w:rPr>
              <w:t xml:space="preserve">数据整理、核查、统计、分析，形成标准化的统计结果。</w:t>
            </w:r>
            <w:r/>
          </w:p>
          <w:p>
            <w:pPr>
              <w:jc w:val="left"/>
              <w:keepLines w:val="0"/>
              <w:keepNext w:val="0"/>
              <w:pageBreakBefore w:val="0"/>
              <w:spacing w:line="240" w:lineRule="auto"/>
              <w:shd w:val="clear" w:color="auto" w:fill="ffffff"/>
              <w:widowControl/>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b w:val="0"/>
                <w:bCs w:val="0"/>
                <w:i/>
                <w:iCs/>
                <w:sz w:val="21"/>
                <w:szCs w:val="21"/>
                <w:highlight w:val="none"/>
                <w:u w:val="single"/>
                <w:lang w:val="en-US" w:eastAsia="zh-CN"/>
              </w:rPr>
              <w:t xml:space="preserve">形成</w:t>
            </w:r>
            <w:r>
              <w:rPr>
                <w:rFonts w:hint="eastAsia" w:ascii="宋体" w:hAnsi="宋体" w:cs="宋体"/>
                <w:b w:val="0"/>
                <w:bCs w:val="0"/>
                <w:i/>
                <w:iCs/>
                <w:sz w:val="21"/>
                <w:szCs w:val="21"/>
                <w:highlight w:val="none"/>
                <w:u w:val="single"/>
                <w:lang w:val="en-US" w:eastAsia="zh-CN"/>
              </w:rPr>
              <w:t xml:space="preserve">数据统计分析</w:t>
            </w:r>
            <w:r>
              <w:rPr>
                <w:rFonts w:hint="eastAsia" w:ascii="宋体" w:hAnsi="宋体" w:eastAsia="宋体" w:cs="宋体"/>
                <w:b w:val="0"/>
                <w:bCs w:val="0"/>
                <w:i/>
                <w:iCs/>
                <w:sz w:val="21"/>
                <w:szCs w:val="21"/>
                <w:highlight w:val="none"/>
                <w:u w:val="single"/>
                <w:lang w:val="en-US" w:eastAsia="zh-CN"/>
              </w:rPr>
              <w:t xml:space="preserve">报告。</w:t>
            </w:r>
            <w:r/>
          </w:p>
        </w:tc>
        <w:tc>
          <w:tcPr>
            <w:tcW w:w="703" w:type="pct"/>
            <w:vAlign w:val="center"/>
            <w:vMerge w:val="continue"/>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ind w:firstLine="422"/>
        <w:jc w:val="left"/>
        <w:spacing w:line="380" w:lineRule="exact"/>
        <w:widowControl/>
        <w:rPr>
          <w:rFonts w:hint="eastAsia" w:ascii="宋体" w:hAnsi="宋体" w:eastAsia="宋体" w:cs="宋体"/>
          <w:b/>
          <w:bCs/>
          <w:iCs/>
          <w:szCs w:val="21"/>
          <w:highlight w:val="none"/>
        </w:rPr>
        <w:outlineLvl w:val="9"/>
      </w:pPr>
      <w:r>
        <w:rPr>
          <w:rFonts w:hint="eastAsia" w:eastAsia="宋体"/>
          <w:b/>
          <w:bCs/>
          <w:color w:val="auto"/>
          <w:sz w:val="21"/>
          <w:szCs w:val="21"/>
          <w:highlight w:val="none"/>
        </w:rPr>
        <w:t xml:space="preserve">备注：标注“★</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和</w:t>
      </w:r>
      <w:r>
        <w:rPr>
          <w:rFonts w:hint="eastAsia" w:ascii="Times New Roman" w:hAnsi="Times New Roman" w:eastAsia="宋体" w:cs="Times New Roman"/>
          <w:b/>
          <w:bCs/>
          <w:i/>
          <w:iCs/>
          <w:color w:val="auto"/>
          <w:sz w:val="21"/>
          <w:szCs w:val="21"/>
          <w:highlight w:val="none"/>
          <w:u w:val="single"/>
          <w:lang w:val="zh-CN"/>
        </w:rPr>
        <w:t xml:space="preserve">斜体且有下划线</w:t>
      </w:r>
      <w:r>
        <w:rPr>
          <w:rFonts w:hint="eastAsia" w:ascii="Times New Roman" w:hAnsi="Times New Roman" w:eastAsia="宋体" w:cs="Times New Roman"/>
          <w:b/>
          <w:bCs/>
          <w:color w:val="auto"/>
          <w:sz w:val="21"/>
          <w:szCs w:val="21"/>
          <w:highlight w:val="none"/>
        </w:rPr>
        <w:t xml:space="preserve">条款为</w:t>
      </w:r>
      <w:r>
        <w:rPr>
          <w:rFonts w:hint="eastAsia" w:eastAsia="宋体"/>
          <w:b/>
          <w:bCs/>
          <w:color w:val="auto"/>
          <w:sz w:val="21"/>
          <w:szCs w:val="21"/>
          <w:highlight w:val="none"/>
        </w:rPr>
        <w:t xml:space="preserve">实质性要求，供应商应当按照</w:t>
      </w:r>
      <w:r>
        <w:rPr>
          <w:rFonts w:hint="eastAsia" w:eastAsia="宋体"/>
          <w:b/>
          <w:bCs/>
          <w:color w:val="auto"/>
          <w:sz w:val="21"/>
          <w:szCs w:val="21"/>
          <w:highlight w:val="none"/>
          <w:lang w:val="en-US" w:eastAsia="zh-CN"/>
        </w:rPr>
        <w:t xml:space="preserve">磋商</w:t>
      </w:r>
      <w:r>
        <w:rPr>
          <w:rFonts w:hint="eastAsia" w:eastAsia="宋体"/>
          <w:b/>
          <w:bCs/>
          <w:color w:val="auto"/>
          <w:sz w:val="21"/>
          <w:szCs w:val="21"/>
          <w:highlight w:val="none"/>
        </w:rPr>
        <w:t xml:space="preserve">文件要求提供</w:t>
      </w:r>
      <w:r>
        <w:rPr>
          <w:rFonts w:hint="eastAsia" w:eastAsia="宋体"/>
          <w:b/>
          <w:bCs/>
          <w:color w:val="auto"/>
          <w:sz w:val="21"/>
          <w:szCs w:val="21"/>
          <w:highlight w:val="none"/>
          <w:lang w:val="en-US" w:eastAsia="zh-CN"/>
        </w:rPr>
        <w:t xml:space="preserve">承诺书或相关证明材料</w:t>
      </w:r>
      <w:r>
        <w:rPr>
          <w:rFonts w:hint="eastAsia" w:eastAsia="宋体"/>
          <w:b/>
          <w:bCs/>
          <w:color w:val="auto"/>
          <w:sz w:val="21"/>
          <w:szCs w:val="21"/>
          <w:highlight w:val="none"/>
        </w:rPr>
        <w:t xml:space="preserve">。否则，属于未实质性响应。</w:t>
      </w:r>
      <w:r/>
    </w:p>
    <w:p>
      <w:pPr>
        <w:ind w:firstLine="422"/>
        <w:jc w:val="left"/>
        <w:spacing w:line="380" w:lineRule="exact"/>
        <w:widowControl/>
        <w:rPr>
          <w:rFonts w:hint="eastAsia" w:ascii="宋体" w:hAnsi="宋体" w:eastAsia="宋体" w:cs="宋体"/>
          <w:b/>
          <w:iCs/>
          <w:szCs w:val="21"/>
          <w:highlight w:val="none"/>
        </w:rPr>
      </w:pPr>
      <w:r>
        <w:rPr>
          <w:rFonts w:hint="eastAsia" w:ascii="宋体" w:hAnsi="宋体" w:eastAsia="宋体" w:cs="宋体"/>
          <w:b/>
          <w:iCs/>
          <w:szCs w:val="21"/>
          <w:highlight w:val="none"/>
        </w:rPr>
        <w:t xml:space="preserve">二、政府采购中实施本国产品标准及相关政策</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一</w:t>
      </w:r>
      <w:r>
        <w:rPr>
          <w:rFonts w:hint="eastAsia" w:ascii="宋体" w:hAnsi="宋体" w:eastAsia="宋体" w:cs="宋体"/>
          <w:highlight w:val="none"/>
        </w:rPr>
        <w:t xml:space="preserve">）本项目对采购本国产品给予政策支持，具体内容见招标文件“第五章 评标方法与评标标准”。</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二</w:t>
      </w:r>
      <w:r>
        <w:rPr>
          <w:rFonts w:hint="eastAsia" w:ascii="宋体" w:hAnsi="宋体" w:eastAsia="宋体" w:cs="宋体"/>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三</w:t>
      </w:r>
      <w:r>
        <w:rPr>
          <w:rFonts w:hint="eastAsia" w:ascii="宋体" w:hAnsi="宋体" w:eastAsia="宋体" w:cs="宋体"/>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exact"/>
        <w:tabs>
          <w:tab w:val="left" w:pos="567" w:leader="none"/>
        </w:tabs>
        <w:rPr>
          <w:rFonts w:hint="eastAsia" w:ascii="宋体" w:hAnsi="宋体" w:eastAsia="宋体" w:cs="宋体"/>
          <w:b/>
          <w:bCs/>
          <w:color w:val="000000"/>
          <w:szCs w:val="21"/>
          <w:highlight w:val="none"/>
        </w:rPr>
      </w:pPr>
      <w:r/>
      <w:bookmarkStart w:id="137" w:name="OLE_LINK11"/>
      <w:r>
        <w:rPr>
          <w:rFonts w:hint="eastAsia" w:ascii="宋体" w:hAnsi="宋体" w:eastAsia="宋体" w:cs="宋体"/>
          <w:b/>
          <w:bCs/>
          <w:color w:val="000000"/>
          <w:szCs w:val="21"/>
          <w:highlight w:val="none"/>
        </w:rPr>
        <w:t xml:space="preserve">三、商务要求</w:t>
      </w:r>
      <w:bookmarkEnd w:id="137"/>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(一)合同款支付方式、时间和条件。</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1.支付方式:银行转账。</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2.时间和条件:合同签订之日后10天内支付合同总额的50%，通过验收后30日内支付剩余50%。</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（二）服务地点：采购人指定地点。</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（三）服务期限：合同签订之日起至2026年11月30日，2026年11月30日供应商需完成项目内容并通过验收。</w:t>
      </w:r>
      <w:r/>
    </w:p>
    <w:p>
      <w:pPr>
        <w:ind w:firstLine="42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售后服务</w:t>
      </w:r>
      <w:r/>
    </w:p>
    <w:p>
      <w:pPr>
        <w:ind w:firstLine="42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服务支持方式</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供应商需</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项目全流程的技术支持以及项目</w:t>
      </w:r>
      <w:r>
        <w:rPr>
          <w:rFonts w:hint="eastAsia" w:ascii="宋体" w:hAnsi="宋体" w:eastAsia="宋体" w:cs="宋体"/>
          <w:color w:val="000000"/>
          <w:sz w:val="21"/>
          <w:szCs w:val="21"/>
          <w:highlight w:val="none"/>
        </w:rPr>
        <w:t xml:space="preserve">后续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技术支持、技术咨询等服务</w:t>
      </w:r>
      <w:r>
        <w:rPr>
          <w:rFonts w:hint="eastAsia" w:ascii="宋体" w:hAnsi="宋体" w:eastAsia="宋体" w:cs="宋体"/>
          <w:color w:val="000000"/>
          <w:sz w:val="21"/>
          <w:szCs w:val="21"/>
          <w:highlight w:val="none"/>
          <w:lang w:val="en-US" w:eastAsia="zh-CN"/>
        </w:rPr>
        <w:t xml:space="preserve">及售后服务质量保障措施等</w:t>
      </w:r>
      <w:r>
        <w:rPr>
          <w:rFonts w:hint="eastAsia" w:ascii="宋体" w:hAnsi="宋体" w:eastAsia="宋体" w:cs="Times New Roman"/>
          <w:color w:val="000000"/>
          <w:highlight w:val="none"/>
        </w:rPr>
        <w:t xml:space="preserve">。</w:t>
      </w:r>
      <w:r/>
    </w:p>
    <w:p>
      <w:pPr>
        <w:ind w:firstLine="420"/>
        <w:spacing w:line="380" w:lineRule="exact"/>
        <w:rPr>
          <w:rFonts w:hint="eastAsia" w:ascii="宋体" w:hAnsi="宋体" w:cs="宋体"/>
          <w:color w:val="000000"/>
          <w:highlight w:val="none"/>
        </w:rPr>
      </w:pPr>
      <w:r>
        <w:rPr>
          <w:rFonts w:hint="eastAsia" w:ascii="宋体" w:hAnsi="宋体" w:eastAsia="宋体" w:cs="宋体"/>
          <w:highlight w:val="none"/>
          <w:lang w:val="en-US" w:eastAsia="zh-CN"/>
        </w:rPr>
        <w:t xml:space="preserve">2、应急响应时间及预案：</w:t>
      </w:r>
      <w:r>
        <w:rPr>
          <w:rFonts w:hint="eastAsia" w:ascii="宋体" w:hAnsi="宋体" w:cs="宋体"/>
          <w:color w:val="000000"/>
          <w:highlight w:val="none"/>
        </w:rPr>
        <w:t xml:space="preserve">供应商应充分理解本项目的服务要求，</w:t>
      </w:r>
      <w:r>
        <w:rPr>
          <w:rFonts w:hint="eastAsia" w:ascii="宋体" w:hAnsi="宋体" w:cs="宋体"/>
          <w:color w:val="000000"/>
          <w:highlight w:val="none"/>
          <w:lang w:val="en-US" w:eastAsia="zh-CN"/>
        </w:rPr>
        <w:t xml:space="preserve">应急响应时间及预案</w:t>
      </w:r>
      <w:r>
        <w:rPr>
          <w:rFonts w:hint="eastAsia" w:ascii="宋体" w:hAnsi="宋体" w:cs="宋体"/>
          <w:color w:val="000000"/>
          <w:highlight w:val="none"/>
        </w:rPr>
        <w:t xml:space="preserve">应科学合理、具备针对性，确保服务期电话30分钟响应，4小时内到现场，8小时内解决问题。</w:t>
      </w:r>
      <w:r/>
    </w:p>
    <w:p>
      <w:pPr>
        <w:ind w:firstLine="420"/>
        <w:spacing w:line="360" w:lineRule="exact"/>
        <w:rPr>
          <w:rFonts w:hint="eastAsia" w:ascii="宋体" w:hAnsi="宋体" w:eastAsia="宋体" w:cs="宋体"/>
          <w:b/>
        </w:rPr>
      </w:pPr>
      <w:r>
        <w:rPr>
          <w:rFonts w:hint="eastAsia" w:ascii="宋体" w:hAnsi="宋体" w:eastAsia="宋体" w:cs="宋体"/>
          <w:b/>
        </w:rPr>
        <w:t xml:space="preserve">注：</w:t>
      </w:r>
      <w:r>
        <w:rPr>
          <w:rFonts w:hint="eastAsia" w:ascii="宋体" w:hAnsi="宋体" w:cs="宋体"/>
          <w:b/>
          <w:lang w:eastAsia="zh-CN"/>
        </w:rPr>
        <w:t xml:space="preserve">（</w:t>
      </w:r>
      <w:r>
        <w:rPr>
          <w:rFonts w:hint="eastAsia" w:ascii="宋体" w:hAnsi="宋体" w:cs="宋体"/>
          <w:b/>
          <w:lang w:val="en-US" w:eastAsia="zh-CN"/>
        </w:rPr>
        <w:t xml:space="preserve">一</w:t>
      </w:r>
      <w:r>
        <w:rPr>
          <w:rFonts w:hint="eastAsia" w:ascii="宋体" w:hAnsi="宋体" w:cs="宋体"/>
          <w:b/>
          <w:lang w:eastAsia="zh-CN"/>
        </w:rPr>
        <w:t xml:space="preserve">）</w:t>
      </w:r>
      <w:r>
        <w:rPr>
          <w:rFonts w:hint="eastAsia" w:ascii="宋体" w:hAnsi="宋体" w:eastAsia="宋体" w:cs="宋体"/>
          <w:b/>
        </w:rPr>
        <w:t xml:space="preserve">供应商所投报价不得超过对应的预算金额，否则将作无效响应处理。</w:t>
      </w:r>
      <w:r/>
    </w:p>
    <w:p>
      <w:pPr>
        <w:ind w:firstLine="843"/>
        <w:spacing w:line="360" w:lineRule="exact"/>
        <w:rPr>
          <w:rFonts w:hint="eastAsia" w:ascii="宋体" w:hAnsi="宋体" w:eastAsia="宋体" w:cs="宋体"/>
          <w:b/>
        </w:rPr>
      </w:pPr>
      <w:r>
        <w:rPr>
          <w:rFonts w:hint="eastAsia" w:ascii="宋体" w:hAnsi="宋体" w:cs="宋体"/>
          <w:b/>
          <w:lang w:eastAsia="zh-CN"/>
        </w:rPr>
        <w:t xml:space="preserve">（</w:t>
      </w:r>
      <w:r>
        <w:rPr>
          <w:rFonts w:hint="eastAsia" w:ascii="宋体" w:hAnsi="宋体" w:cs="宋体"/>
          <w:b/>
          <w:lang w:val="en-US" w:eastAsia="zh-CN"/>
        </w:rPr>
        <w:t xml:space="preserve">二</w:t>
      </w:r>
      <w:r>
        <w:rPr>
          <w:rFonts w:hint="eastAsia" w:ascii="宋体" w:hAnsi="宋体" w:cs="宋体"/>
          <w:b/>
          <w:lang w:eastAsia="zh-CN"/>
        </w:rPr>
        <w:t xml:space="preserve">）</w:t>
      </w:r>
      <w:r>
        <w:rPr>
          <w:rFonts w:hint="eastAsia" w:ascii="宋体" w:hAnsi="宋体" w:cs="宋体"/>
          <w:b/>
          <w:lang w:val="en-US" w:eastAsia="zh-CN"/>
        </w:rPr>
        <w:t xml:space="preserve">磋商</w:t>
      </w:r>
      <w:r>
        <w:rPr>
          <w:rFonts w:hint="eastAsia" w:ascii="宋体" w:hAnsi="宋体" w:eastAsia="宋体" w:cs="宋体"/>
          <w:b/>
        </w:rPr>
        <w:t xml:space="preserve">文件中标注</w:t>
      </w:r>
      <w:r>
        <w:rPr>
          <w:rFonts w:hint="eastAsia" w:ascii="宋体" w:hAnsi="宋体" w:eastAsia="宋体" w:cs="宋体"/>
          <w:b/>
          <w:i/>
          <w:u w:val="single"/>
        </w:rPr>
        <w:t xml:space="preserve">斜体且有下划线</w:t>
      </w:r>
      <w:r>
        <w:rPr>
          <w:rFonts w:hint="eastAsia" w:ascii="宋体" w:hAnsi="宋体" w:eastAsia="宋体" w:cs="宋体"/>
          <w:b/>
        </w:rPr>
        <w:t xml:space="preserve">的内容为实质性要求，有一项不符合的，作无效响应处理。</w:t>
      </w:r>
      <w:r/>
    </w:p>
    <w:p>
      <w:pPr>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br w:type="page" w:clear="all"/>
      </w:r>
      <w:r/>
    </w:p>
    <w:p>
      <w:pPr>
        <w:ind w:firstLine="0"/>
        <w:jc w:val="left"/>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附表一：</w:t>
      </w:r>
      <w:r/>
    </w:p>
    <w:p>
      <w:pPr>
        <w:ind w:firstLine="0"/>
        <w:jc w:val="center"/>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2026年标准实施效果评估清单（节能环保）</w:t>
      </w:r>
      <w:r/>
    </w:p>
    <w:tbl>
      <w:tblPr>
        <w:tblStyle w:val="100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07"/>
        <w:gridCol w:w="1283"/>
        <w:gridCol w:w="1242"/>
        <w:gridCol w:w="1229"/>
        <w:gridCol w:w="3338"/>
        <w:gridCol w:w="1881"/>
      </w:tblGrid>
      <w:tr>
        <w:trPr>
          <w:trHeight w:val="90"/>
          <w:tblHeader/>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序号</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标准号</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标准名称</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归口单位</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主要起草单位</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16"/>
              </w:rPr>
            </w:pPr>
            <w:r>
              <w:rPr>
                <w:rFonts w:hint="eastAsia" w:ascii="宋体" w:hAnsi="宋体" w:eastAsia="宋体" w:cs="宋体"/>
                <w:b/>
                <w:bCs/>
                <w:color w:val="000000"/>
                <w:sz w:val="21"/>
                <w:szCs w:val="16"/>
                <w:lang w:bidi="ar"/>
              </w:rPr>
              <w:t xml:space="preserve">涉及主管领域</w:t>
            </w:r>
            <w:r/>
          </w:p>
        </w:tc>
      </w:tr>
      <w:tr>
        <w:trPr>
          <w:trHeight w:val="1225"/>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DB32/T4382-2022</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综合能源系统能效测算导则</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江苏省电力标准化技术委员会</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国网江苏省电力有限公司营销服务中心、国网江苏省电力有限公司、常州金坛金能电力有限公司、江苏方天电力技术有限公司、国电南瑞科技股份有限公司、东南大学、南京工程学院</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能源电力</w:t>
            </w:r>
            <w:r/>
          </w:p>
        </w:tc>
      </w:tr>
      <w:tr>
        <w:trPr>
          <w:trHeight w:val="39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DB32/T3492-2018</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稀土冶炼废渣放射性豁免要求</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江苏省环境保护厅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江苏省核与辐射安全监督管理中心</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588"/>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DB32/T4025-2021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污水处理中恶臭气体生物净化工艺设计规范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南京大学、南京大学宜兴环保研究院、江苏三强环境工程有限公司、江苏博恩环境工程成套设备有限公司</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489"/>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DB32/T4260-2022</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环境与健康监测技术规范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江苏省环境监测中心、生态环境部南京环境科学研究所</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412"/>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DB32/T4348-2022</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土壤污染重点监管单位周边监测技术规范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江苏省环境科学研究院、江苏省环境工程技术有限公司、生态环境部南京环境科学研究所、中国科学院南京土壤研究所和东南大学</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103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DB32/T4350-2022</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大气污染源工况用电在线监测技术规范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国电环境保护研究院有限公司、南京新联电子股份有限公司、江苏环保产业技术研究院股份公司、中建材环保研究院（江苏）有限公司、冶金工业规划研究院</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226"/>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DB32/T3871-2020</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太湖流域水生态环境功能区质量评估技术规范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江苏省环境监测中心、江苏省常州环境监测中心、江苏省苏州环境监测中心、江苏省环境保护水环境生物监测重点实验室</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90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DB32/T4045-2021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湖滨生态系统构建与稳定维持技术指南</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生态环境部南京环境科学研究所</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65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DB32/T4046-2021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城市湖泊水体草型生态系统重构技术指南</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中国科学院南京地理与湖泊研究所、生态环境部南京环境科学研究所、中国环境科学研究院</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405"/>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DB32/T4078-2021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河道清水廊道构建和生态保障技术导则</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南京大学</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471"/>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DB32/T4079-2021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浅水湖泊水源地水生态安全评价指南</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江苏省生态环境厅</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江苏省环境科学研究院</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生态环境</w:t>
            </w:r>
            <w:r/>
          </w:p>
        </w:tc>
      </w:tr>
      <w:tr>
        <w:trPr>
          <w:trHeight w:val="845"/>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firstLine="0"/>
              <w:jc w:val="center"/>
              <w:spacing w:line="240" w:lineRule="auto"/>
              <w:widowControl/>
              <w:rPr>
                <w:rFonts w:hint="eastAsia" w:ascii="宋体" w:hAnsi="宋体" w:eastAsia="宋体" w:cs="宋体"/>
                <w:sz w:val="18"/>
                <w:szCs w:val="18"/>
              </w:rPr>
            </w:pPr>
            <w:r>
              <w:rPr>
                <w:rFonts w:hint="eastAsia" w:ascii="宋体" w:hAnsi="宋体" w:eastAsia="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DB32/T4082-2021</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采煤塌陷地生态修复基础环境治理技术规范</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firstLine="0"/>
              <w:jc w:val="center"/>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徐州市市场监督管理局</w:t>
            </w:r>
            <w:r/>
          </w:p>
        </w:tc>
        <w:tc>
          <w:tcPr>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ind w:firstLine="0"/>
              <w:jc w:val="both"/>
              <w:spacing w:line="240" w:lineRule="auto"/>
              <w:widowControl/>
              <w:rPr>
                <w:rFonts w:hint="eastAsia" w:ascii="宋体" w:hAnsi="宋体" w:eastAsia="宋体" w:cs="宋体"/>
                <w:color w:val="333333"/>
                <w:sz w:val="18"/>
                <w:szCs w:val="18"/>
                <w:shd w:val="clear" w:color="auto" w:fill="ffffff"/>
              </w:rPr>
            </w:pPr>
            <w:r>
              <w:rPr>
                <w:rFonts w:hint="eastAsia" w:ascii="宋体" w:hAnsi="宋体" w:eastAsia="宋体" w:cs="宋体"/>
                <w:color w:val="333333"/>
                <w:sz w:val="18"/>
                <w:szCs w:val="18"/>
                <w:shd w:val="clear" w:color="auto" w:fill="ffffff"/>
              </w:rPr>
              <w:t xml:space="preserve">徐州市徐派园林研究院、徐州市贾汪区市场监督管理局、南京林业大学、中国城市建设研究院有限公司、徐州市园林建设管理中心、徐州市九州生态园林股份有限公司、徐州市彭祖园管理处</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firstLine="0"/>
              <w:jc w:val="center"/>
              <w:spacing w:line="240" w:lineRule="auto"/>
              <w:widowControl/>
              <w:rPr>
                <w:rFonts w:hint="eastAsia" w:ascii="宋体" w:hAnsi="宋体" w:eastAsia="宋体" w:cs="宋体"/>
                <w:sz w:val="18"/>
                <w:szCs w:val="18"/>
              </w:rPr>
            </w:pPr>
            <w:r>
              <w:rPr>
                <w:rFonts w:hint="eastAsia" w:ascii="宋体" w:hAnsi="宋体" w:eastAsia="宋体" w:cs="宋体"/>
                <w:color w:val="000000"/>
                <w:sz w:val="18"/>
                <w:szCs w:val="18"/>
              </w:rPr>
              <w:t xml:space="preserve">生态环境</w:t>
            </w:r>
            <w:r/>
          </w:p>
        </w:tc>
      </w:tr>
    </w:tbl>
    <w:p>
      <w:pPr>
        <w:ind w:firstLine="643"/>
        <w:spacing w:line="400" w:lineRule="exact"/>
        <w:rPr>
          <w:rFonts w:ascii="Times New Roman" w:hAnsi="Times New Roman" w:eastAsia="仿宋_GB2312"/>
          <w:b/>
          <w:sz w:val="32"/>
          <w:szCs w:val="32"/>
        </w:rPr>
      </w:pPr>
      <w:r>
        <w:rPr>
          <w:rFonts w:hint="eastAsia" w:ascii="Times New Roman" w:hAnsi="Times New Roman" w:eastAsia="仿宋_GB2312"/>
          <w:b/>
          <w:sz w:val="32"/>
          <w:szCs w:val="32"/>
        </w:rPr>
        <w:br w:type="page" w:clear="all"/>
      </w:r>
      <w:r/>
    </w:p>
    <w:p>
      <w:pPr>
        <w:ind w:firstLine="0"/>
        <w:jc w:val="left"/>
        <w:keepLines w:val="0"/>
        <w:keepNext w:val="0"/>
        <w:pageBreakBefore w:val="0"/>
        <w:spacing w:before="157" w:after="157" w:line="240" w:lineRule="auto"/>
        <w:widowControl/>
        <w:rPr>
          <w:rFonts w:hint="eastAsia" w:ascii="Times New Roman" w:hAnsi="Times New Roman" w:eastAsia="仿宋_GB2312"/>
          <w:b/>
          <w:bCs w:val="0"/>
          <w:sz w:val="24"/>
          <w:szCs w:val="24"/>
          <w:lang w:eastAsia="zh-CN"/>
        </w:rPr>
      </w:pPr>
      <w:r>
        <w:rPr>
          <w:rFonts w:hint="eastAsia" w:ascii="Times New Roman" w:hAnsi="Times New Roman" w:eastAsia="仿宋_GB2312"/>
          <w:b/>
          <w:bCs w:val="0"/>
          <w:sz w:val="24"/>
          <w:szCs w:val="24"/>
        </w:rPr>
        <w:t xml:space="preserve">附表二</w:t>
      </w:r>
      <w:r>
        <w:rPr>
          <w:rFonts w:hint="eastAsia" w:eastAsia="仿宋_GB2312"/>
          <w:b/>
          <w:bCs w:val="0"/>
          <w:sz w:val="24"/>
          <w:szCs w:val="24"/>
          <w:lang w:eastAsia="zh-CN"/>
        </w:rPr>
        <w:t xml:space="preserve">：</w:t>
      </w:r>
      <w:r/>
    </w:p>
    <w:p>
      <w:pPr>
        <w:ind w:firstLine="0"/>
        <w:jc w:val="center"/>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2026年标准实施效果评估清单（大数据与数字政府）</w:t>
      </w:r>
      <w:r/>
    </w:p>
    <w:tbl>
      <w:tblPr>
        <w:tblStyle w:val="1008"/>
        <w:tblW w:w="4990" w:type="pct"/>
        <w:tblInd w:w="0" w:type="dxa"/>
        <w:tblLayout w:type="autofit"/>
        <w:tblCellMar>
          <w:left w:w="108" w:type="dxa"/>
          <w:top w:w="0" w:type="dxa"/>
          <w:right w:w="108" w:type="dxa"/>
          <w:bottom w:w="0" w:type="dxa"/>
        </w:tblCellMar>
        <w:tblLook w:val="04A0" w:firstRow="1" w:lastRow="0" w:firstColumn="1" w:lastColumn="0" w:noHBand="0" w:noVBand="1"/>
      </w:tblPr>
      <w:tblGrid>
        <w:gridCol w:w="622"/>
        <w:gridCol w:w="1746"/>
        <w:gridCol w:w="1794"/>
        <w:gridCol w:w="1092"/>
        <w:gridCol w:w="3291"/>
        <w:gridCol w:w="1361"/>
      </w:tblGrid>
      <w:tr>
        <w:trPr>
          <w:trHeight w:val="581"/>
          <w:tblHeader/>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标准号</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标准名称</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归口单位</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主要起草单位</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b/>
                <w:bCs/>
                <w:sz w:val="18"/>
                <w:szCs w:val="18"/>
                <w:lang w:bidi="ar"/>
              </w:rPr>
            </w:pPr>
            <w:r>
              <w:rPr>
                <w:rFonts w:hint="eastAsia" w:ascii="宋体" w:hAnsi="宋体" w:eastAsia="宋体" w:cs="宋体"/>
                <w:b/>
                <w:bCs/>
                <w:sz w:val="18"/>
                <w:szCs w:val="18"/>
                <w:lang w:bidi="ar"/>
              </w:rPr>
              <w:t xml:space="preserve">涉及主管领域</w:t>
            </w:r>
            <w:r/>
          </w:p>
        </w:tc>
      </w:tr>
      <w:tr>
        <w:trPr>
          <w:trHeight w:val="688"/>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DB32/T4318.1-2022</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电子政务外网安全大数据和运维保障平台接入规范第1部分：安全大数据平台</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江苏省政务服务管理办公室</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江苏省大数据管理中心</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数据管理</w:t>
            </w:r>
            <w:r/>
          </w:p>
        </w:tc>
      </w:tr>
      <w:tr>
        <w:trPr>
          <w:trHeight w:val="429"/>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DB32/T4318.2-2022</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电子政务外网安全大数据和运维保障平台接入规范第2部分：运维保障平台</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江苏省政务服务管理办公室</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江苏省大数据管理中心</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数据管理</w:t>
            </w:r>
            <w:r/>
          </w:p>
        </w:tc>
      </w:tr>
      <w:tr>
        <w:trPr>
          <w:trHeight w:val="615"/>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DB32/T3645-2019</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信息化和工业化融合实施指南</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江苏省工业和信息化厅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新世纪信息科技有限公司、江苏省电子信息产品质量监督检验研究院、江阴宝信信息科技有限公司、江苏智融高科信息科技有限公司、无锡晓枫信息产业研究院有限公司、江苏中天科技软件技术有限公司、江苏中堃数据技术有限公司、南京福瑞泽信息科技有限公司、中国电子技术标准化研究院、无锡职业技术学院、常州工业职业技术学院、江苏网泰信息技术有限公司、瀚云科技有限公司、江苏海宝软件股份有限公司、无锡海鸿精密有限公司、江苏毅合捷汽车科技股份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工信</w:t>
            </w:r>
            <w:r/>
          </w:p>
        </w:tc>
      </w:tr>
      <w:tr>
        <w:trPr>
          <w:trHeight w:val="120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DB32/T3876-2020</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工业企业能耗大数据采集质量评价规程</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江苏省软件和信息技术服务标准化技术委员会</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南京擎天科技有限公司、江苏擎天工业互联网有限公司、江苏省节能技术服务中心、中国信息通信研究院</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工信</w:t>
            </w:r>
            <w:r/>
          </w:p>
        </w:tc>
      </w:tr>
      <w:tr>
        <w:trPr>
          <w:trHeight w:val="257"/>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DB32/T3798-2020</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智能交通数据分发共享实施指南</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江苏省交通运输厅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南京理工大学、江苏省智能交通信息感知与数据分析工程实验室、江苏省无线传感网安全组网及其应用工程技术研究中心、中设设计集团股份有限公司、苏交科集团股份有限公司、江苏长天智远交通科技有限公司、南京莱斯网信技术研究院有限公司、江苏智城慧宁交通科技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交通</w:t>
            </w:r>
            <w:r/>
          </w:p>
        </w:tc>
      </w:tr>
      <w:tr>
        <w:trPr>
          <w:trHeight w:val="120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DB32/T3638-2019</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“多表合一”信息采集数据传输和转换技术规范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国网江苏省电力有限公司</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国网江苏省电力有限公司常州供电分公司、国网江苏省电力有限公司、积成电子股份有限公司、江苏林洋能源股份有限公司、常州检验检测标准认证研究院</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能源电力</w:t>
            </w:r>
            <w:r/>
          </w:p>
        </w:tc>
      </w:tr>
      <w:tr>
        <w:trPr>
          <w:trHeight w:val="120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DB32/T3870-2020</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地理空间数据共享和交换基本规范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江苏省自然资源厅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自然资源部测绘标准化研究所、徐州市自然资源和规划局、南通市自然资源和规划局、江苏省公安厅大数据局、北京捷泰天域信息技术有限公司、南通市自然资源与规划局信息中心</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自然资源</w:t>
            </w:r>
            <w:r/>
          </w:p>
        </w:tc>
      </w:tr>
      <w:tr>
        <w:trPr>
          <w:trHeight w:val="642"/>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DB32/T3918-2020</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工程勘察设计数字化交付标准</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江苏省住房和城乡建设厅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江苏省勘察设计行业协会、中衡设计集团股份有限公司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住建</w:t>
            </w:r>
            <w:r/>
          </w:p>
        </w:tc>
      </w:tr>
      <w:tr>
        <w:trPr>
          <w:trHeight w:val="698"/>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DB32/T3977-2021</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能源管理系统现场数据采集技术规范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江苏省市场监督管理局</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江苏省计量科学研究院、无锡市质量与标准化研究中心、江苏联宏智慧能源股份有限公司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市场监管</w:t>
            </w:r>
            <w:r/>
          </w:p>
        </w:tc>
      </w:tr>
      <w:tr>
        <w:trPr>
          <w:trHeight w:val="562"/>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DB32/T3867-2020</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三维地理信息数据服务规范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江苏省自然资源厅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江苏省测绘研究所</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自然资源</w:t>
            </w:r>
            <w:r/>
          </w:p>
        </w:tc>
      </w:tr>
      <w:tr>
        <w:trPr>
          <w:trHeight w:val="697"/>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DB32/T4220-2022</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消防设施物联网系统技术规范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江苏省消防救援总队</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江苏省消防救援总队、江苏省建筑设计研究院有限公司、中国矿业大学、无锡物联网产业研究院、南京斯坦德云科技股份有限公司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消防</w:t>
            </w:r>
            <w:r/>
          </w:p>
        </w:tc>
      </w:tr>
      <w:tr>
        <w:trPr>
          <w:trHeight w:val="584"/>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DB32/T4511-2023</w:t>
            </w:r>
            <w:r/>
          </w:p>
        </w:tc>
        <w:tc>
          <w:tcPr>
            <w:tcBorders>
              <w:top w:val="single" w:color="000000" w:sz="4" w:space="0"/>
              <w:left w:val="single" w:color="000000" w:sz="4" w:space="0"/>
              <w:bottom w:val="single" w:color="000000" w:sz="4" w:space="0"/>
              <w:right w:val="single" w:color="000000" w:sz="4" w:space="0"/>
            </w:tcBorders>
            <w:tcW w:w="905"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城市道路交叉口数据采集技术规范</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江苏省公安厅</w:t>
            </w: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江苏省公安厅交通警察总队、东南大学、南京理工大学、连云港杰瑞电子有限公司</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240" w:lineRule="auto"/>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公安</w:t>
            </w:r>
            <w:r/>
          </w:p>
        </w:tc>
      </w:tr>
    </w:tbl>
    <w:p>
      <w:pPr>
        <w:ind w:firstLine="420"/>
        <w:spacing w:line="400" w:lineRule="exact"/>
      </w:pPr>
      <w:r>
        <w:br w:type="page" w:clear="all"/>
      </w:r>
      <w:r/>
    </w:p>
    <w:p>
      <w:pPr>
        <w:ind w:firstLine="0"/>
        <w:jc w:val="left"/>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附表三</w:t>
      </w:r>
      <w:r>
        <w:rPr>
          <w:rFonts w:hint="eastAsia" w:eastAsia="仿宋_GB2312"/>
          <w:b/>
          <w:bCs w:val="0"/>
          <w:sz w:val="24"/>
          <w:szCs w:val="24"/>
          <w:lang w:eastAsia="zh-CN"/>
        </w:rPr>
        <w:t xml:space="preserve">：</w:t>
      </w:r>
      <w:r/>
    </w:p>
    <w:p>
      <w:pPr>
        <w:ind w:firstLine="0"/>
        <w:jc w:val="center"/>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2026年标准实施效果评估清单（养老服务）</w:t>
      </w:r>
      <w:r/>
    </w:p>
    <w:tbl>
      <w:tblPr>
        <w:tblStyle w:val="1008"/>
        <w:tblW w:w="4992" w:type="pct"/>
        <w:tblInd w:w="0" w:type="dxa"/>
        <w:tblLayout w:type="autofit"/>
        <w:tblCellMar>
          <w:left w:w="108" w:type="dxa"/>
          <w:top w:w="0" w:type="dxa"/>
          <w:right w:w="108" w:type="dxa"/>
          <w:bottom w:w="0" w:type="dxa"/>
        </w:tblCellMar>
        <w:tblLook w:val="04A0" w:firstRow="1" w:lastRow="0" w:firstColumn="1" w:lastColumn="0" w:noHBand="0" w:noVBand="1"/>
      </w:tblPr>
      <w:tblGrid>
        <w:gridCol w:w="572"/>
        <w:gridCol w:w="1566"/>
        <w:gridCol w:w="1927"/>
        <w:gridCol w:w="1214"/>
        <w:gridCol w:w="3298"/>
        <w:gridCol w:w="1333"/>
      </w:tblGrid>
      <w:tr>
        <w:trPr>
          <w:trHeight w:val="722"/>
          <w:tblHeader/>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标准号</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标准名称</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归口单位</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主要起草单位</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涉及主管领域</w:t>
            </w:r>
            <w:r/>
          </w:p>
        </w:tc>
      </w:tr>
      <w:tr>
        <w:trPr>
          <w:trHeight w:val="421"/>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GB38600-2019</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养老机构服务安全基本规范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强制性标准未显示起草单位</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1438"/>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GB/T35796-2017</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养老机构服务质量基本规范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社会福利和慈善事业促进司、民政部社会救助司、民政部社会福利中心、北京市第一社会福利院、北京市民政局、北京大学护理学院、江苏省苏州市社会福利总院、安徽省质量和标准化研究院、湖北省武汉市江汉区社会福利院、湖北省武汉市标准化研究院。</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942"/>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GB/T37276-2018</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养老机构等级划分与评定</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民政部社会福利和慈善事业促进司、民政部社会福利中心、北京师范大学中国公益研究院。</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91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GB/T42195-2022</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老年人能力评估规范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中华人民共和国民政部、民政部社会福利中心、北京大学、南京市建邺区社会福利院、四川省民政厅、成都市民政局、天津市养老院、天津市退休职工养老院、巴彦淖尔市临河区康泰老人乐园、北京寸草关爱管理咨询有限公司。</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1200"/>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MZ/T169-2021</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养老机构社会工作服务规范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全国社会福利服务标准化技术委员会</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民政部养老服务司、民政部社会福利中心、北京标准化协会、北京市第一社会福利院、北京青年政治学院、郑州市金水区豫鑫社会工作服务中心、江西省上饶市信州区福海老年公寓。</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685"/>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DB32/T4377-2022</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养老机构服务安全风险应急处置规范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淮安市市场监督管理局</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淮安市社会福利院、省质量和标准化研究院、江苏瑞芝康健老年产业（集团）有限公司</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401"/>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DB32/T4189-2022</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养老机构安全隐患排查工作规范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宜兴市社会福利中心、宜兴市民政局</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70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DB32/T4514-2023</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养老机构等级评定工作规范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val="en-US" w:eastAsia="zh-CN" w:bidi="ar"/>
              </w:rPr>
              <w:t xml:space="preserve">江苏省</w:t>
            </w:r>
            <w:r>
              <w:rPr>
                <w:rFonts w:hint="eastAsia" w:ascii="宋体" w:hAnsi="宋体" w:eastAsia="宋体" w:cs="宋体"/>
                <w:sz w:val="18"/>
                <w:szCs w:val="18"/>
                <w:lang w:bidi="ar"/>
              </w:rPr>
              <w:t xml:space="preserve">质量和标准化研究院、江苏省民政厅、江苏省养老服务指导中心</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402"/>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DB32/T4183-2021</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城市街道综合性养老服务中心建设及运营规范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rPr>
                <w:rFonts w:hint="eastAsia" w:ascii="宋体" w:hAnsi="宋体" w:eastAsia="宋体" w:cs="宋体"/>
                <w:sz w:val="18"/>
                <w:szCs w:val="18"/>
                <w:lang w:val="en-US" w:eastAsia="zh-CN" w:bidi="ar"/>
              </w:rPr>
              <w:t xml:space="preserve">江苏省</w:t>
            </w:r>
            <w:r>
              <w:rPr>
                <w:rFonts w:hint="eastAsia" w:ascii="宋体" w:hAnsi="宋体" w:eastAsia="宋体" w:cs="宋体"/>
                <w:sz w:val="18"/>
                <w:szCs w:val="18"/>
                <w:lang w:bidi="ar"/>
              </w:rPr>
              <w:t xml:space="preserve">质量和标准化研究院</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454"/>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DB32/T4456-2023</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农村区域性养老服务中心建设和服务规范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rPr>
                <w:rFonts w:hint="eastAsia" w:ascii="宋体" w:hAnsi="宋体" w:eastAsia="宋体" w:cs="宋体"/>
                <w:sz w:val="18"/>
                <w:szCs w:val="18"/>
                <w:lang w:val="en-US" w:eastAsia="zh-CN" w:bidi="ar"/>
              </w:rPr>
              <w:t xml:space="preserve">江苏省</w:t>
            </w:r>
            <w:r>
              <w:rPr>
                <w:rFonts w:hint="eastAsia" w:ascii="宋体" w:hAnsi="宋体" w:eastAsia="宋体" w:cs="宋体"/>
                <w:sz w:val="18"/>
                <w:szCs w:val="18"/>
                <w:lang w:bidi="ar"/>
              </w:rPr>
              <w:t xml:space="preserve">质量和准化研究院、沭阳县铭和养老服务中心</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236"/>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DB32/T4182-2021</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家庭养老照护床位建设和服务规范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江苏省民政厅、</w:t>
            </w:r>
            <w:r>
              <w:rPr>
                <w:rFonts w:hint="eastAsia" w:ascii="宋体" w:hAnsi="宋体" w:eastAsia="宋体" w:cs="宋体"/>
                <w:sz w:val="18"/>
                <w:szCs w:val="18"/>
                <w:lang w:val="en-US" w:eastAsia="zh-CN" w:bidi="ar"/>
              </w:rPr>
              <w:t xml:space="preserve">江苏省</w:t>
            </w:r>
            <w:r>
              <w:rPr>
                <w:rFonts w:hint="eastAsia" w:ascii="宋体" w:hAnsi="宋体" w:eastAsia="宋体" w:cs="宋体"/>
                <w:sz w:val="18"/>
                <w:szCs w:val="18"/>
                <w:lang w:bidi="ar"/>
              </w:rPr>
              <w:t xml:space="preserve">质量和标准化研究院</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r>
        <w:trPr>
          <w:trHeight w:val="1200"/>
        </w:trPr>
        <w:tc>
          <w:tcPr>
            <w:tcBorders>
              <w:top w:val="single" w:color="000000" w:sz="4" w:space="0"/>
              <w:left w:val="single" w:color="000000" w:sz="4" w:space="0"/>
              <w:bottom w:val="single" w:color="000000" w:sz="4" w:space="0"/>
              <w:right w:val="single" w:color="000000" w:sz="4" w:space="0"/>
            </w:tcBorders>
            <w:tcW w:w="2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DB32/T4268-2022</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社区居家医养结合服务规范</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江苏省卫生健康委员会</w:t>
            </w:r>
            <w:r/>
          </w:p>
        </w:tc>
        <w:tc>
          <w:tcPr>
            <w:tcBorders>
              <w:top w:val="single" w:color="000000" w:sz="4" w:space="0"/>
              <w:left w:val="single" w:color="000000" w:sz="4" w:space="0"/>
              <w:bottom w:val="single" w:color="000000" w:sz="4" w:space="0"/>
              <w:right w:val="single" w:color="000000" w:sz="4" w:space="0"/>
            </w:tcBorders>
            <w:tcW w:w="1663"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老龄产业协会、南京普斯康健养老服务中心、南京市卫生健康委员会、南京市民政局、南京市江北新区管理委员会卫生健康和民政局、东南大学国际老龄化研究中心、江苏华瑞老龄服务产业发展研究院、南京江北新区普斯康健养老服务中心、南京市江北新区泰山街道桥荫路社区卫生服务站、南京市江北新区卓越社会工作服务中心</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民政</w:t>
            </w:r>
            <w:r/>
          </w:p>
        </w:tc>
      </w:tr>
    </w:tbl>
    <w:p>
      <w:pPr>
        <w:ind w:firstLine="0"/>
        <w:jc w:val="left"/>
        <w:keepLines w:val="0"/>
        <w:keepNext w:val="0"/>
        <w:pageBreakBefore w:val="0"/>
        <w:spacing w:before="157" w:after="157" w:line="240" w:lineRule="auto"/>
        <w:widowControl/>
        <w:rPr>
          <w:rFonts w:hint="eastAsia" w:ascii="Times New Roman" w:hAnsi="Times New Roman" w:eastAsia="仿宋_GB2312"/>
          <w:b/>
          <w:bCs w:val="0"/>
          <w:sz w:val="24"/>
          <w:szCs w:val="24"/>
          <w:lang w:val="en-US" w:eastAsia="zh-CN"/>
        </w:rPr>
      </w:pPr>
      <w:r>
        <w:rPr>
          <w:rFonts w:hint="eastAsia" w:ascii="Times New Roman" w:hAnsi="Times New Roman" w:eastAsia="仿宋_GB2312"/>
          <w:b/>
          <w:bCs w:val="0"/>
          <w:sz w:val="24"/>
          <w:szCs w:val="24"/>
        </w:rPr>
        <w:t xml:space="preserve">附表四</w:t>
      </w:r>
      <w:r>
        <w:rPr>
          <w:rFonts w:hint="eastAsia" w:eastAsia="仿宋_GB2312"/>
          <w:b/>
          <w:bCs w:val="0"/>
          <w:sz w:val="24"/>
          <w:szCs w:val="24"/>
          <w:lang w:eastAsia="zh-CN"/>
        </w:rPr>
        <w:t xml:space="preserve">：</w:t>
      </w:r>
      <w:r/>
    </w:p>
    <w:p>
      <w:pPr>
        <w:ind w:firstLine="0"/>
        <w:jc w:val="center"/>
        <w:keepLines w:val="0"/>
        <w:keepNext w:val="0"/>
        <w:pageBreakBefore w:val="0"/>
        <w:spacing w:before="157" w:after="157" w:line="240" w:lineRule="auto"/>
        <w:widowControl/>
        <w:rPr>
          <w:rFonts w:hint="eastAsia" w:ascii="宋体" w:hAnsi="宋体" w:eastAsia="宋体" w:cs="宋体"/>
          <w:bCs/>
          <w:sz w:val="18"/>
          <w:szCs w:val="18"/>
        </w:rPr>
      </w:pPr>
      <w:r>
        <w:rPr>
          <w:rFonts w:hint="eastAsia" w:ascii="Times New Roman" w:hAnsi="Times New Roman" w:eastAsia="仿宋_GB2312"/>
          <w:b/>
          <w:bCs w:val="0"/>
          <w:sz w:val="24"/>
          <w:szCs w:val="24"/>
        </w:rPr>
        <w:t xml:space="preserve">2026年标准实施效果评估清单（服务业促进消费）</w:t>
      </w:r>
      <w:r/>
    </w:p>
    <w:tbl>
      <w:tblPr>
        <w:tblStyle w:val="1008"/>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674"/>
        <w:gridCol w:w="1566"/>
        <w:gridCol w:w="2272"/>
        <w:gridCol w:w="1332"/>
        <w:gridCol w:w="2699"/>
        <w:gridCol w:w="1373"/>
      </w:tblGrid>
      <w:tr>
        <w:trPr>
          <w:trHeight w:val="723"/>
          <w:tblHeader/>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标准号</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标准名称</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归口单位</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主要起草单位</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涉及主管领域</w:t>
            </w:r>
            <w:r/>
          </w:p>
        </w:tc>
      </w:tr>
      <w:tr>
        <w:trPr>
          <w:trHeight w:val="42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DB32/T4142-2021</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电子商务平台管理规范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江苏省市场监督管理局</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江苏省市场监督管理局</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市场监管</w:t>
            </w:r>
            <w:r/>
          </w:p>
        </w:tc>
      </w:tr>
      <w:tr>
        <w:trPr>
          <w:trHeight w:val="555"/>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DB32/T4034-2021</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快速消费品B2B城市配送服务规范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江苏省商务厅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江苏华商城市配送网络股份有限公司、安得智联科技股份有限公司、无锡市物流与仓储协会、无锡职业技术学院</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商务</w:t>
            </w:r>
            <w:r/>
          </w:p>
        </w:tc>
      </w:tr>
      <w:tr>
        <w:trPr>
          <w:trHeight w:val="426"/>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DB32/T4461-2023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生活衣物互联网洗涤服务规范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江苏省商务厅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江苏省洗染行业协会、南京白濯静电子商务有限公司、江苏省消费者权益保护委员会</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商务</w:t>
            </w:r>
            <w:r/>
          </w:p>
        </w:tc>
      </w:tr>
      <w:tr>
        <w:trPr>
          <w:trHeight w:val="4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DB32/T4458-2023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乡村旅游重点村基本要求与评价体系</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江苏省文化和旅游厅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江苏省文化和旅游厅、常州市文化广电和旅游局、江苏理工学院</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文旅</w:t>
            </w:r>
            <w:r/>
          </w:p>
        </w:tc>
      </w:tr>
    </w:tbl>
    <w:p>
      <w:pPr>
        <w:ind w:firstLine="420"/>
        <w:spacing w:line="36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1116"/>
        <w:ind w:firstLine="0"/>
        <w:jc w:val="center"/>
        <w:rPr>
          <w:rFonts w:hint="eastAsia" w:ascii="宋体" w:hAnsi="宋体" w:eastAsia="宋体" w:cs="宋体"/>
          <w:color w:val="000000"/>
          <w:sz w:val="36"/>
          <w:szCs w:val="36"/>
          <w:lang w:val="en-US"/>
        </w:rPr>
        <w:outlineLvl w:val="0"/>
      </w:pPr>
      <w:r/>
      <w:bookmarkStart w:id="138" w:name="_Toc8101"/>
      <w:r/>
      <w:bookmarkStart w:id="139" w:name="_Toc29840"/>
      <w:r/>
      <w:bookmarkStart w:id="140" w:name="_Toc23996"/>
      <w:r>
        <w:rPr>
          <w:rFonts w:hint="eastAsia" w:ascii="宋体" w:hAnsi="宋体" w:eastAsia="宋体" w:cs="宋体"/>
          <w:color w:val="000000"/>
          <w:sz w:val="36"/>
          <w:szCs w:val="36"/>
          <w:lang w:val="en-US"/>
        </w:rPr>
        <w:t xml:space="preserve">第五章  评审方法和评审标准</w:t>
      </w:r>
      <w:bookmarkEnd w:id="138"/>
      <w:r/>
      <w:bookmarkEnd w:id="139"/>
      <w:r/>
      <w:bookmarkEnd w:id="140"/>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本项目采用</w:t>
      </w:r>
      <w:r>
        <w:rPr>
          <w:rFonts w:hint="eastAsia" w:ascii="宋体" w:hAnsi="宋体" w:eastAsia="宋体" w:cs="宋体"/>
          <w:b/>
          <w:color w:val="000000"/>
          <w:szCs w:val="21"/>
        </w:rPr>
        <w:t xml:space="preserve">综合评分法</w:t>
      </w:r>
      <w:r>
        <w:rPr>
          <w:rFonts w:hint="eastAsia" w:ascii="宋体" w:hAnsi="宋体" w:eastAsia="宋体" w:cs="宋体"/>
          <w:bCs/>
          <w:color w:val="000000"/>
          <w:szCs w:val="21"/>
        </w:rPr>
        <w:t xml:space="preserve">确定成交候选人。评标委员会将按以下评标办法和标准进行评分。总分值为100分，小数点后保留两位。评审后得分由高到低顺序排列，得分相同的，按</w:t>
      </w:r>
      <w:r>
        <w:rPr>
          <w:rFonts w:hint="eastAsia" w:ascii="宋体" w:hAnsi="宋体" w:cs="宋体"/>
          <w:bCs/>
          <w:color w:val="000000"/>
          <w:szCs w:val="21"/>
          <w:lang w:val="en-US" w:eastAsia="zh-CN"/>
        </w:rPr>
        <w:t xml:space="preserve">磋商</w:t>
      </w:r>
      <w:r>
        <w:rPr>
          <w:rFonts w:hint="eastAsia" w:ascii="宋体" w:hAnsi="宋体" w:eastAsia="宋体" w:cs="宋体"/>
          <w:bCs/>
          <w:color w:val="000000"/>
          <w:szCs w:val="21"/>
        </w:rPr>
        <w:t xml:space="preserve">报价由低到高顺序排列，得分且</w:t>
      </w:r>
      <w:r>
        <w:rPr>
          <w:rFonts w:hint="eastAsia" w:ascii="宋体" w:hAnsi="宋体" w:cs="宋体"/>
          <w:bCs/>
          <w:color w:val="000000"/>
          <w:szCs w:val="21"/>
          <w:lang w:val="en-US" w:eastAsia="zh-CN"/>
        </w:rPr>
        <w:t xml:space="preserve">磋商</w:t>
      </w:r>
      <w:r>
        <w:rPr>
          <w:rFonts w:hint="eastAsia" w:ascii="宋体" w:hAnsi="宋体" w:eastAsia="宋体" w:cs="宋体"/>
          <w:bCs/>
          <w:color w:val="000000"/>
          <w:szCs w:val="21"/>
        </w:rPr>
        <w:t xml:space="preserve">报价相同的，按技术指标优劣顺序排列。</w:t>
      </w:r>
      <w:r/>
    </w:p>
    <w:tbl>
      <w:tblPr>
        <w:tblStyle w:val="10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389"/>
        <w:gridCol w:w="6840"/>
        <w:gridCol w:w="913"/>
      </w:tblGrid>
      <w:tr>
        <w:trPr>
          <w:jc w:val="center"/>
          <w:trHeight w:val="641"/>
        </w:trPr>
        <w:tc>
          <w:tcPr>
            <w:tcMar>
              <w:left w:w="108" w:type="dxa"/>
              <w:top w:w="0" w:type="dxa"/>
              <w:right w:w="108" w:type="dxa"/>
              <w:bottom w:w="0" w:type="dxa"/>
            </w:tcMar>
            <w:tcW w:w="392"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序号</w:t>
            </w:r>
            <w:r/>
          </w:p>
        </w:tc>
        <w:tc>
          <w:tcPr>
            <w:tcMar>
              <w:left w:w="108" w:type="dxa"/>
              <w:top w:w="0" w:type="dxa"/>
              <w:right w:w="108" w:type="dxa"/>
              <w:bottom w:w="0" w:type="dxa"/>
            </w:tcMar>
            <w:tcW w:w="70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评分因素</w:t>
            </w:r>
            <w:r/>
          </w:p>
        </w:tc>
        <w:tc>
          <w:tcPr>
            <w:tcMar>
              <w:left w:w="108" w:type="dxa"/>
              <w:top w:w="0" w:type="dxa"/>
              <w:right w:w="108" w:type="dxa"/>
              <w:bottom w:w="0" w:type="dxa"/>
            </w:tcMar>
            <w:tcW w:w="3446"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评分标准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分值</w:t>
            </w:r>
            <w:r/>
          </w:p>
        </w:tc>
      </w:tr>
      <w:tr>
        <w:trPr>
          <w:jc w:val="center"/>
          <w:trHeight w:val="197"/>
        </w:trPr>
        <w:tc>
          <w:tcPr>
            <w:tcMar>
              <w:left w:w="108" w:type="dxa"/>
              <w:top w:w="0" w:type="dxa"/>
              <w:right w:w="108" w:type="dxa"/>
              <w:bottom w:w="0" w:type="dxa"/>
            </w:tcMar>
            <w:tcW w:w="392"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p>
        </w:tc>
        <w:tc>
          <w:tcPr>
            <w:tcMar>
              <w:left w:w="108" w:type="dxa"/>
              <w:top w:w="0" w:type="dxa"/>
              <w:right w:w="108" w:type="dxa"/>
              <w:bottom w:w="0" w:type="dxa"/>
            </w:tcMar>
            <w:tcW w:w="70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价格</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（10分）</w:t>
            </w:r>
            <w:r/>
          </w:p>
        </w:tc>
        <w:tc>
          <w:tcPr>
            <w:tcMar>
              <w:left w:w="108" w:type="dxa"/>
              <w:top w:w="0" w:type="dxa"/>
              <w:right w:w="108" w:type="dxa"/>
              <w:bottom w:w="0" w:type="dxa"/>
            </w:tcMar>
            <w:tcW w:w="3446" w:type="pct"/>
            <w:vAlign w:val="center"/>
            <w:textDirection w:val="lrTb"/>
            <w:noWrap w:val="false"/>
          </w:tcPr>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1.1价格</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采用低价优先法计算，即满足采购文件要求且报价最低的供应商报价为评审基准价，其价格分为满分10分，其它供应商的价格分统一按照以下公式计算：响应报价得分=（评</w:t>
            </w:r>
            <w:r>
              <w:rPr>
                <w:rFonts w:hint="eastAsia" w:ascii="宋体" w:hAnsi="宋体" w:cs="宋体"/>
                <w:color w:val="000000"/>
                <w:sz w:val="21"/>
                <w:szCs w:val="21"/>
                <w:highlight w:val="none"/>
                <w:lang w:val="en-US" w:eastAsia="zh-CN"/>
              </w:rPr>
              <w:t xml:space="preserve">审</w:t>
            </w:r>
            <w:r>
              <w:rPr>
                <w:rFonts w:hint="eastAsia" w:ascii="宋体" w:hAnsi="宋体" w:cs="宋体"/>
                <w:color w:val="000000"/>
                <w:sz w:val="21"/>
                <w:szCs w:val="21"/>
                <w:highlight w:val="none"/>
              </w:rPr>
              <w:t xml:space="preserve">基准价/该供应商的响应报价）×10分。分值保留小数点后2位。</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技术</w:t>
            </w:r>
            <w:r>
              <w:rPr>
                <w:rFonts w:hint="eastAsia" w:ascii="宋体" w:hAnsi="宋体" w:cs="宋体"/>
                <w:color w:val="000000"/>
                <w:sz w:val="21"/>
                <w:szCs w:val="21"/>
                <w:highlight w:val="none"/>
                <w:lang w:val="en-US" w:eastAsia="zh-CN"/>
              </w:rPr>
              <w:t xml:space="preserve">方案</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2.1问卷调查设计</w:t>
            </w:r>
            <w:r>
              <w:rPr>
                <w:rFonts w:hint="eastAsia" w:ascii="宋体" w:hAnsi="宋体" w:cs="宋体"/>
                <w:color w:val="000000"/>
                <w:sz w:val="21"/>
                <w:szCs w:val="21"/>
                <w:highlight w:val="none"/>
                <w:lang w:val="en-US" w:eastAsia="zh-CN"/>
              </w:rPr>
              <w:t xml:space="preserve">方案</w:t>
            </w:r>
            <w:r/>
          </w:p>
          <w:p>
            <w:pPr>
              <w:spacing w:line="280" w:lineRule="exact"/>
              <w:rPr>
                <w:rFonts w:hint="default"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问卷调查设计符合要求、调查内容完整无缺项。优于项目需求的得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2.2问卷调查方式</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rPr>
              <w:t xml:space="preserve">样本量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配额</w:t>
            </w:r>
            <w:r>
              <w:rPr>
                <w:rFonts w:hint="eastAsia" w:ascii="宋体" w:hAnsi="宋体" w:cs="宋体"/>
                <w:color w:val="000000"/>
                <w:sz w:val="21"/>
                <w:szCs w:val="21"/>
                <w:highlight w:val="none"/>
                <w:lang w:val="en-US" w:eastAsia="zh-CN"/>
              </w:rPr>
              <w:t xml:space="preserve">设计方案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问卷调查流程设计科学合理，调查方式具有较强的可操作性</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问卷调查完成样本数量符合项目要求，样本配额能够充分</w:t>
            </w:r>
            <w:r>
              <w:rPr>
                <w:rFonts w:hint="eastAsia" w:ascii="宋体" w:hAnsi="宋体" w:cs="宋体"/>
                <w:color w:val="000000"/>
                <w:sz w:val="21"/>
                <w:szCs w:val="21"/>
                <w:highlight w:val="none"/>
                <w:lang w:val="en-US" w:eastAsia="zh-CN"/>
              </w:rPr>
              <w:t xml:space="preserve">满足项目需求</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2.3</w:t>
            </w:r>
            <w:r>
              <w:rPr>
                <w:rFonts w:hint="eastAsia" w:ascii="宋体" w:hAnsi="宋体" w:cs="宋体"/>
                <w:color w:val="000000"/>
                <w:sz w:val="21"/>
                <w:szCs w:val="21"/>
                <w:highlight w:val="none"/>
                <w:lang w:val="en-US" w:eastAsia="zh-CN"/>
              </w:rPr>
              <w:t xml:space="preserve">统计分析方案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应根据磋商文件要求及本项目特点，提供科学、有效的数据统计分析方案，确保能多维度、深层次分析调查数据。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2.4质量保障方案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供应商应根据磋商文件要求及本项目特点，提供详细的质量保障方案。优于项目需求的得5分，符合项目需求的得3分，基本符合项目需求的得1分，不符合或未提供的不得分。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方案</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3.1对项目需求理解</w:t>
            </w:r>
            <w:r/>
          </w:p>
          <w:p>
            <w:pP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根据供应商</w:t>
            </w:r>
            <w:r>
              <w:rPr>
                <w:rFonts w:hint="eastAsia" w:ascii="宋体" w:hAnsi="宋体" w:cs="宋体"/>
                <w:color w:val="000000"/>
                <w:sz w:val="21"/>
                <w:szCs w:val="21"/>
                <w:highlight w:val="none"/>
              </w:rPr>
              <w:t xml:space="preserve">对项目背景</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rPr>
              <w:t xml:space="preserve">认识</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rPr>
              <w:t xml:space="preserve">对项目目标</w:t>
            </w:r>
            <w:r>
              <w:rPr>
                <w:rFonts w:hint="eastAsia" w:ascii="宋体" w:hAnsi="宋体" w:cs="宋体"/>
                <w:color w:val="000000"/>
                <w:sz w:val="21"/>
                <w:szCs w:val="21"/>
                <w:highlight w:val="none"/>
                <w:lang w:val="en-US" w:eastAsia="zh-CN"/>
              </w:rPr>
              <w:t xml:space="preserve">的理解程度进行评分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3.2</w:t>
            </w:r>
            <w:r>
              <w:rPr>
                <w:rFonts w:hint="eastAsia" w:ascii="宋体" w:hAnsi="宋体" w:cs="宋体"/>
                <w:color w:val="000000"/>
                <w:sz w:val="21"/>
                <w:szCs w:val="21"/>
                <w:highlight w:val="none"/>
                <w:lang w:val="en-US" w:eastAsia="zh-CN"/>
              </w:rPr>
              <w:t xml:space="preserve">总体思路</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对包括调查与分析技术、协助服务、分析成果等方面的创新观点展示、是否有独到角度进行</w:t>
            </w:r>
            <w:r>
              <w:rPr>
                <w:rFonts w:hint="eastAsia" w:ascii="宋体" w:hAnsi="宋体" w:cs="宋体"/>
                <w:color w:val="000000"/>
                <w:sz w:val="21"/>
                <w:szCs w:val="21"/>
                <w:highlight w:val="none"/>
                <w:lang w:val="en-US" w:eastAsia="zh-CN"/>
              </w:rPr>
              <w:t xml:space="preserve">评分</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3前期工作基础</w:t>
            </w:r>
            <w:r/>
          </w:p>
          <w:p>
            <w:pPr>
              <w:spacing w:line="28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根据供应商提供的对项目相关领域工作开展或研究基础进行评分。具有丰富研究基础和工作成果的得5分，研究基础和工作成果一般的得3分，研究基础和工作成果较少的得1分，不符合或未提供的不得分。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3.4</w:t>
            </w:r>
            <w:r>
              <w:rPr>
                <w:rFonts w:hint="eastAsia" w:ascii="宋体" w:hAnsi="宋体" w:eastAsia="宋体" w:cs="宋体"/>
                <w:color w:val="000000"/>
                <w:sz w:val="21"/>
                <w:szCs w:val="21"/>
                <w:highlight w:val="none"/>
              </w:rPr>
              <w:t xml:space="preserve">时间进度安排</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进度执行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过程控制</w:t>
            </w:r>
            <w:r>
              <w:rPr>
                <w:rFonts w:hint="eastAsia" w:ascii="宋体" w:hAnsi="宋体" w:eastAsia="宋体" w:cs="宋体"/>
                <w:color w:val="000000"/>
                <w:sz w:val="21"/>
                <w:szCs w:val="21"/>
                <w:highlight w:val="none"/>
                <w:lang w:val="en-US" w:eastAsia="zh-CN"/>
              </w:rPr>
              <w:t xml:space="preserve">方案。根据</w:t>
            </w:r>
            <w:r>
              <w:rPr>
                <w:rFonts w:hint="eastAsia" w:ascii="宋体" w:hAnsi="宋体" w:eastAsia="宋体" w:cs="宋体"/>
                <w:color w:val="000000"/>
                <w:sz w:val="21"/>
                <w:szCs w:val="21"/>
                <w:highlight w:val="none"/>
              </w:rPr>
              <w:t xml:space="preserve">项目调查频率和时间安排能</w:t>
            </w:r>
            <w:r>
              <w:rPr>
                <w:rFonts w:hint="eastAsia" w:ascii="宋体" w:hAnsi="宋体" w:eastAsia="宋体" w:cs="宋体"/>
                <w:color w:val="000000"/>
                <w:sz w:val="21"/>
                <w:szCs w:val="21"/>
                <w:highlight w:val="none"/>
                <w:lang w:eastAsia="zh-CN"/>
              </w:rPr>
              <w:t xml:space="preserve">否</w:t>
            </w:r>
            <w:r>
              <w:rPr>
                <w:rFonts w:hint="eastAsia" w:ascii="宋体" w:hAnsi="宋体" w:eastAsia="宋体" w:cs="宋体"/>
                <w:color w:val="000000"/>
                <w:sz w:val="21"/>
                <w:szCs w:val="21"/>
                <w:highlight w:val="none"/>
              </w:rPr>
              <w:t xml:space="preserve">满足进度要求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进度计划及具体详细的过程控制方案</w:t>
            </w:r>
            <w:r>
              <w:rPr>
                <w:rFonts w:hint="eastAsia" w:ascii="宋体" w:hAnsi="宋体" w:eastAsia="宋体" w:cs="宋体"/>
                <w:color w:val="000000"/>
                <w:sz w:val="21"/>
                <w:szCs w:val="21"/>
                <w:highlight w:val="none"/>
                <w:lang w:val="en-US" w:eastAsia="zh-CN"/>
              </w:rPr>
              <w:t xml:space="preserve">是否满足项目需求进行评分。</w:t>
            </w:r>
            <w:r>
              <w:rPr>
                <w:rFonts w:hint="eastAsia" w:ascii="宋体" w:hAnsi="宋体" w:eastAsia="宋体" w:cs="宋体"/>
                <w:color w:val="000000"/>
                <w:sz w:val="21"/>
                <w:szCs w:val="21"/>
                <w:highlight w:val="none"/>
              </w:rPr>
              <w:t xml:space="preserve">优于项目需求的得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分，符合项目需求的得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基本符合项目需求的得1分，</w:t>
            </w:r>
            <w:r>
              <w:rPr>
                <w:rFonts w:hint="eastAsia" w:ascii="宋体" w:hAnsi="宋体" w:eastAsia="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3.5服务方案</w:t>
            </w:r>
            <w:r/>
          </w:p>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服务支持方式、应急响应时间及预案等。优于项目需求的得5分，符合项目需求的得3分，基本符合项目需求的得1分，不符合或未提供的不得分。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供应商实力</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45</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4.1项目团队与人员能力</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根据</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拟投入本项目的团队配置及人员能力进行评分。</w:t>
            </w:r>
            <w:r/>
          </w:p>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4.1.1</w:t>
            </w:r>
            <w:r>
              <w:rPr>
                <w:rFonts w:hint="eastAsia" w:ascii="宋体" w:hAnsi="宋体" w:eastAsia="宋体" w:cs="宋体"/>
                <w:color w:val="000000"/>
                <w:sz w:val="21"/>
                <w:szCs w:val="21"/>
                <w:highlight w:val="none"/>
              </w:rPr>
              <w:t xml:space="preserve">供应商拟投入项目负责人具有</w:t>
            </w: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t xml:space="preserve">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分，具有中级职称的得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分，其他不得分。</w:t>
            </w:r>
            <w:r>
              <w:rPr>
                <w:rFonts w:hint="eastAsia" w:ascii="宋体" w:hAnsi="宋体" w:eastAsia="宋体" w:cs="宋体"/>
                <w:color w:val="000000"/>
                <w:sz w:val="21"/>
                <w:szCs w:val="21"/>
                <w:highlight w:val="none"/>
                <w:lang w:val="en-US" w:eastAsia="zh-CN"/>
              </w:rPr>
              <w:t xml:space="preserve">本项最高得3分。</w:t>
            </w:r>
            <w:r/>
          </w:p>
          <w:p>
            <w:pPr>
              <w:spacing w:line="28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w:t>
            </w:r>
            <w:r>
              <w:rPr>
                <w:rFonts w:hint="eastAsia" w:ascii="宋体" w:hAnsi="宋体" w:eastAsia="宋体" w:cs="宋体"/>
                <w:color w:val="000000"/>
                <w:sz w:val="21"/>
                <w:szCs w:val="21"/>
                <w:highlight w:val="none"/>
              </w:rPr>
              <w:t xml:space="preserve">2供应商拟投入人员中（除项目负责人）具备</w:t>
            </w: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t xml:space="preserve">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职称的，每提供一人得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分；具备中级职称的，每提供一人得1分；本项最高得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分（同一人员不重复计分）；未提供的不得分。</w:t>
            </w:r>
            <w:r/>
          </w:p>
          <w:p>
            <w:pPr>
              <w:pStyle w:val="1044"/>
              <w:ind w:firstLine="0"/>
              <w:rPr>
                <w:rFonts w:hint="eastAsia" w:eastAsia="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4.1.3</w:t>
            </w:r>
            <w:r>
              <w:rPr>
                <w:rFonts w:hint="eastAsia" w:ascii="宋体" w:hAnsi="宋体" w:eastAsia="宋体" w:cs="宋体"/>
                <w:b w:val="0"/>
                <w:bCs w:val="0"/>
                <w:color w:val="auto"/>
                <w:sz w:val="21"/>
                <w:szCs w:val="21"/>
                <w:highlight w:val="none"/>
              </w:rPr>
              <w:t xml:space="preserve">供应商本项目拟派的项目团队主要人员自201</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年以来主要参与国家标准的（主要起草人排名前</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）每1项得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p>
          <w:p>
            <w:pPr>
              <w:pStyle w:val="1044"/>
              <w:ind w:firstLine="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4.1.4</w:t>
            </w:r>
            <w:r>
              <w:rPr>
                <w:rFonts w:hint="eastAsia" w:ascii="宋体" w:hAnsi="宋体" w:eastAsia="宋体" w:cs="宋体"/>
                <w:color w:val="000000"/>
                <w:sz w:val="21"/>
                <w:szCs w:val="21"/>
                <w:highlight w:val="none"/>
              </w:rPr>
              <w:t xml:space="preserve">供应商拟投入项目负责人</w:t>
            </w:r>
            <w:r>
              <w:rPr>
                <w:rFonts w:hint="eastAsia" w:ascii="宋体" w:hAnsi="宋体" w:eastAsia="宋体" w:cs="宋体"/>
                <w:color w:val="000000"/>
                <w:sz w:val="21"/>
                <w:szCs w:val="21"/>
                <w:highlight w:val="none"/>
                <w:lang w:val="en-US" w:eastAsia="zh-CN"/>
              </w:rPr>
              <w:t xml:space="preserve">具有2021年1月1日以来主持科研项目或课题的，国家级科研项目或课题的得1项5分，省部级科研项目或课题的1项得3分，市厅级科研项目或课题的1项得1分，本项最高得5分，未提供的不得分。</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应提供人员简历、相关证书或项目经验证明，以及</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截止</w:t>
            </w:r>
            <w:r>
              <w:rPr>
                <w:rFonts w:hint="eastAsia" w:ascii="宋体" w:hAnsi="宋体" w:cs="宋体"/>
                <w:color w:val="000000"/>
                <w:sz w:val="21"/>
                <w:szCs w:val="21"/>
                <w:highlight w:val="none"/>
                <w:lang w:val="en-US" w:eastAsia="zh-CN"/>
              </w:rPr>
              <w:t xml:space="preserve">时间</w:t>
            </w:r>
            <w:r>
              <w:rPr>
                <w:rFonts w:hint="eastAsia" w:ascii="宋体" w:hAnsi="宋体" w:cs="宋体"/>
                <w:color w:val="000000"/>
                <w:sz w:val="21"/>
                <w:szCs w:val="21"/>
                <w:highlight w:val="none"/>
              </w:rPr>
              <w:t xml:space="preserve">前六个月内任意一个月的社保证明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所有证明材料需加盖供应商公章</w:t>
            </w:r>
            <w:r>
              <w:rPr>
                <w:rFonts w:hint="eastAsia" w:ascii="宋体" w:hAnsi="宋体" w:cs="宋体"/>
                <w:color w:val="000000"/>
                <w:sz w:val="21"/>
                <w:szCs w:val="21"/>
                <w:highlight w:val="none"/>
              </w:rPr>
              <w:t xml:space="preserve">。</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eastAsia="宋体" w:cs="宋体"/>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24</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yellow"/>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yellow"/>
              </w:rPr>
            </w:r>
            <w:r/>
          </w:p>
        </w:tc>
        <w:tc>
          <w:tcPr>
            <w:tcMar>
              <w:left w:w="108" w:type="dxa"/>
              <w:top w:w="0" w:type="dxa"/>
              <w:right w:w="108" w:type="dxa"/>
              <w:bottom w:w="0" w:type="dxa"/>
            </w:tcMar>
            <w:tcW w:w="3446" w:type="pct"/>
            <w:vAlign w:val="center"/>
            <w:textDirection w:val="lrTb"/>
            <w:noWrap w:val="false"/>
          </w:tcPr>
          <w:p>
            <w:pPr>
              <w:spacing w:line="280" w:lineRule="exact"/>
              <w:shd w:val="clear" w:color="auto" w:fill="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4.2业绩</w:t>
            </w:r>
            <w:r/>
          </w:p>
          <w:p>
            <w:pPr>
              <w:spacing w:line="280" w:lineRule="exact"/>
              <w:shd w:val="clear" w:color="auto" w:fill="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4.2.1</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年1月1日（含）以来（以合同签订时间或项目委托书落款时间为准）本项目类似业绩（</w:t>
            </w:r>
            <w:r>
              <w:rPr>
                <w:rFonts w:hint="eastAsia" w:ascii="宋体" w:hAnsi="宋体" w:eastAsia="宋体" w:cs="宋体"/>
                <w:color w:val="auto"/>
                <w:sz w:val="21"/>
                <w:szCs w:val="21"/>
                <w:highlight w:val="none"/>
                <w:lang w:val="en-US" w:eastAsia="zh-CN"/>
              </w:rPr>
              <w:t xml:space="preserve">标准评估类或标准评价相关的数据采集类</w:t>
            </w:r>
            <w:r>
              <w:rPr>
                <w:rFonts w:hint="eastAsia" w:ascii="宋体" w:hAnsi="宋体" w:eastAsia="宋体" w:cs="宋体"/>
                <w:color w:val="auto"/>
                <w:sz w:val="21"/>
                <w:szCs w:val="21"/>
                <w:highlight w:val="none"/>
              </w:rPr>
              <w:t xml:space="preserve">）的，每提供1个得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（提供合同关键页）</w:t>
            </w: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分，未提供的不得分。</w:t>
            </w:r>
            <w:r/>
          </w:p>
          <w:p>
            <w:pPr>
              <w:pStyle w:val="1044"/>
              <w:ind w:firstLine="0"/>
              <w:rPr>
                <w:rFonts w:hint="default" w:eastAsia="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4.2.2 </w:t>
            </w:r>
            <w:r>
              <w:rPr>
                <w:rFonts w:hint="eastAsia" w:ascii="宋体" w:hAnsi="宋体" w:eastAsia="宋体" w:cs="宋体"/>
                <w:b w:val="0"/>
                <w:bCs w:val="0"/>
                <w:color w:val="auto"/>
                <w:sz w:val="21"/>
                <w:szCs w:val="21"/>
                <w:highlight w:val="none"/>
              </w:rPr>
              <w:t xml:space="preserve">供应商自201</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年以来</w:t>
            </w:r>
            <w:r>
              <w:rPr>
                <w:rFonts w:hint="eastAsia" w:ascii="宋体" w:hAnsi="宋体" w:eastAsia="宋体" w:cs="宋体"/>
                <w:b w:val="0"/>
                <w:bCs w:val="0"/>
                <w:color w:val="auto"/>
                <w:sz w:val="21"/>
                <w:szCs w:val="21"/>
                <w:highlight w:val="none"/>
                <w:lang w:val="en-US" w:eastAsia="zh-CN"/>
              </w:rPr>
              <w:t xml:space="preserve">主持</w:t>
            </w:r>
            <w:r>
              <w:rPr>
                <w:rFonts w:hint="eastAsia" w:ascii="宋体" w:hAnsi="宋体" w:eastAsia="宋体" w:cs="宋体"/>
                <w:b w:val="0"/>
                <w:bCs w:val="0"/>
                <w:color w:val="auto"/>
                <w:sz w:val="21"/>
                <w:szCs w:val="21"/>
                <w:highlight w:val="none"/>
              </w:rPr>
              <w:t xml:space="preserve">起草国家标准的（供应商排名起草单位第1）每1项得2分，</w:t>
            </w:r>
            <w:r>
              <w:rPr>
                <w:rFonts w:hint="eastAsia" w:ascii="宋体" w:hAnsi="宋体" w:eastAsia="宋体" w:cs="宋体"/>
                <w:b w:val="0"/>
                <w:bCs w:val="0"/>
                <w:color w:val="auto"/>
                <w:sz w:val="21"/>
                <w:szCs w:val="21"/>
                <w:highlight w:val="none"/>
                <w:lang w:val="en-US" w:eastAsia="zh-CN"/>
              </w:rPr>
              <w:t xml:space="preserve">牵头起草国家标准的</w:t>
            </w:r>
            <w:r>
              <w:rPr>
                <w:rFonts w:hint="eastAsia" w:ascii="宋体" w:hAnsi="宋体" w:eastAsia="宋体" w:cs="宋体"/>
                <w:b w:val="0"/>
                <w:bCs w:val="0"/>
                <w:color w:val="auto"/>
                <w:sz w:val="21"/>
                <w:szCs w:val="21"/>
                <w:highlight w:val="none"/>
              </w:rPr>
              <w:t xml:space="preserve">（供应商排名起草单位第</w:t>
            </w:r>
            <w:r>
              <w:rPr>
                <w:rFonts w:hint="eastAsia" w:ascii="宋体" w:hAnsi="宋体" w:eastAsia="宋体" w:cs="宋体"/>
                <w:b w:val="0"/>
                <w:bCs w:val="0"/>
                <w:color w:val="auto"/>
                <w:sz w:val="21"/>
                <w:szCs w:val="21"/>
                <w:highlight w:val="none"/>
                <w:lang w:val="en-US" w:eastAsia="zh-CN"/>
              </w:rPr>
              <w:t xml:space="preserve">2、第3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每1项得1分，本项</w:t>
            </w:r>
            <w:r>
              <w:rPr>
                <w:rFonts w:hint="eastAsia" w:ascii="宋体" w:hAnsi="宋体" w:eastAsia="宋体" w:cs="宋体"/>
                <w:b w:val="0"/>
                <w:bCs w:val="0"/>
                <w:color w:val="auto"/>
                <w:sz w:val="21"/>
                <w:szCs w:val="21"/>
                <w:highlight w:val="none"/>
              </w:rPr>
              <w:t xml:space="preserve">最</w:t>
            </w:r>
            <w:r>
              <w:rPr>
                <w:rFonts w:hint="eastAsia" w:ascii="宋体" w:hAnsi="宋体" w:eastAsia="宋体" w:cs="宋体"/>
                <w:b w:val="0"/>
                <w:bCs w:val="0"/>
                <w:color w:val="auto"/>
                <w:sz w:val="21"/>
                <w:szCs w:val="21"/>
                <w:highlight w:val="none"/>
                <w:lang w:val="en-US" w:eastAsia="zh-CN"/>
              </w:rPr>
              <w:t xml:space="preserve">高</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未提供不得分。</w:t>
            </w:r>
            <w:r/>
          </w:p>
          <w:p>
            <w:pPr>
              <w:spacing w:line="280" w:lineRule="exact"/>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4.2.3供应商为</w:t>
            </w:r>
            <w:r>
              <w:rPr>
                <w:rFonts w:hint="eastAsia" w:ascii="宋体" w:hAnsi="宋体" w:eastAsia="宋体" w:cs="宋体"/>
                <w:b w:val="0"/>
                <w:bCs w:val="0"/>
                <w:color w:val="auto"/>
                <w:sz w:val="21"/>
                <w:szCs w:val="21"/>
                <w:highlight w:val="none"/>
              </w:rPr>
              <w:t xml:space="preserve">省级及以上</w:t>
            </w:r>
            <w:r>
              <w:rPr>
                <w:rFonts w:hint="eastAsia" w:ascii="宋体" w:hAnsi="宋体" w:eastAsia="宋体" w:cs="宋体"/>
                <w:b w:val="0"/>
                <w:bCs w:val="0"/>
                <w:color w:val="auto"/>
                <w:sz w:val="21"/>
                <w:szCs w:val="21"/>
                <w:highlight w:val="none"/>
                <w:lang w:val="en-US" w:eastAsia="zh-CN"/>
              </w:rPr>
              <w:t xml:space="preserve">标准化技术组织秘书处承担单位或</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年1月1日（含）以来承担过</w:t>
            </w:r>
            <w:r>
              <w:rPr>
                <w:rFonts w:hint="eastAsia" w:ascii="宋体" w:hAnsi="宋体" w:eastAsia="宋体" w:cs="宋体"/>
                <w:b w:val="0"/>
                <w:bCs w:val="0"/>
                <w:color w:val="auto"/>
                <w:sz w:val="21"/>
                <w:szCs w:val="21"/>
                <w:highlight w:val="none"/>
                <w:lang w:val="en-US" w:eastAsia="zh-CN"/>
              </w:rPr>
              <w:t xml:space="preserve">省级</w:t>
            </w:r>
            <w:r>
              <w:rPr>
                <w:rFonts w:hint="eastAsia" w:ascii="宋体" w:hAnsi="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lang w:val="en-US" w:eastAsia="zh-CN"/>
              </w:rPr>
              <w:t xml:space="preserve">以上</w:t>
            </w:r>
            <w:r>
              <w:rPr>
                <w:rFonts w:hint="eastAsia" w:ascii="宋体" w:hAnsi="宋体" w:eastAsia="宋体" w:cs="宋体"/>
                <w:b w:val="0"/>
                <w:bCs w:val="0"/>
                <w:color w:val="auto"/>
                <w:sz w:val="21"/>
                <w:szCs w:val="21"/>
                <w:highlight w:val="none"/>
              </w:rPr>
              <w:t xml:space="preserve">标准化服务项目（提供合同</w:t>
            </w:r>
            <w:r>
              <w:rPr>
                <w:rFonts w:hint="eastAsia" w:ascii="宋体" w:hAnsi="宋体" w:eastAsia="宋体" w:cs="宋体"/>
                <w:b w:val="0"/>
                <w:bCs w:val="0"/>
                <w:color w:val="auto"/>
                <w:sz w:val="21"/>
                <w:szCs w:val="21"/>
                <w:highlight w:val="none"/>
                <w:lang w:val="en-US" w:eastAsia="zh-CN"/>
              </w:rPr>
              <w:t xml:space="preserve">或任务书</w:t>
            </w:r>
            <w:r>
              <w:rPr>
                <w:rFonts w:hint="eastAsia" w:ascii="宋体" w:hAnsi="宋体" w:eastAsia="宋体" w:cs="宋体"/>
                <w:b w:val="0"/>
                <w:bCs w:val="0"/>
                <w:color w:val="auto"/>
                <w:sz w:val="21"/>
                <w:szCs w:val="21"/>
                <w:highlight w:val="none"/>
              </w:rPr>
              <w:t xml:space="preserve">关键页</w:t>
            </w:r>
            <w:r>
              <w:rPr>
                <w:rFonts w:hint="eastAsia" w:ascii="宋体" w:hAnsi="宋体" w:eastAsia="宋体" w:cs="宋体"/>
                <w:b w:val="0"/>
                <w:bCs w:val="0"/>
                <w:color w:val="auto"/>
                <w:sz w:val="21"/>
                <w:szCs w:val="21"/>
                <w:highlight w:val="none"/>
                <w:lang w:val="en-US" w:eastAsia="zh-CN"/>
              </w:rPr>
              <w:t xml:space="preserve">且需与4.2.1的业绩不重复</w:t>
            </w:r>
            <w:r>
              <w:rPr>
                <w:rFonts w:hint="eastAsia" w:ascii="宋体" w:hAnsi="宋体" w:eastAsia="宋体" w:cs="宋体"/>
                <w:b w:val="0"/>
                <w:bCs w:val="0"/>
                <w:color w:val="auto"/>
                <w:sz w:val="21"/>
                <w:szCs w:val="21"/>
                <w:highlight w:val="none"/>
              </w:rPr>
              <w:t xml:space="preserve">），每</w:t>
            </w:r>
            <w:r>
              <w:rPr>
                <w:rFonts w:hint="eastAsia" w:ascii="宋体" w:hAnsi="宋体" w:eastAsia="宋体" w:cs="宋体"/>
                <w:b w:val="0"/>
                <w:bCs w:val="0"/>
                <w:color w:val="auto"/>
                <w:sz w:val="21"/>
                <w:szCs w:val="21"/>
                <w:highlight w:val="none"/>
                <w:lang w:val="en-US" w:eastAsia="zh-CN"/>
              </w:rPr>
              <w:t xml:space="preserve">提供1</w:t>
            </w:r>
            <w:r>
              <w:rPr>
                <w:rFonts w:hint="eastAsia" w:ascii="宋体" w:hAnsi="宋体" w:eastAsia="宋体" w:cs="宋体"/>
                <w:b w:val="0"/>
                <w:bCs w:val="0"/>
                <w:color w:val="auto"/>
                <w:sz w:val="21"/>
                <w:szCs w:val="21"/>
                <w:highlight w:val="none"/>
              </w:rPr>
              <w:t xml:space="preserve">个得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本项最高得6</w:t>
            </w:r>
            <w:r>
              <w:rPr>
                <w:rFonts w:hint="eastAsia" w:ascii="宋体" w:hAnsi="宋体" w:eastAsia="宋体" w:cs="宋体"/>
                <w:b w:val="0"/>
                <w:bCs w:val="0"/>
                <w:color w:val="auto"/>
                <w:sz w:val="21"/>
                <w:szCs w:val="21"/>
                <w:highlight w:val="none"/>
              </w:rPr>
              <w:t xml:space="preserve">分，未提供</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不得分。</w:t>
            </w:r>
            <w:r/>
          </w:p>
          <w:p>
            <w:pPr>
              <w:spacing w:line="280" w:lineRule="exact"/>
              <w:rPr>
                <w:rFonts w:hint="eastAsia" w:ascii="宋体" w:hAnsi="宋体" w:eastAsia="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供应商需</w:t>
            </w:r>
            <w:r>
              <w:rPr>
                <w:rFonts w:hint="eastAsia" w:ascii="宋体" w:hAnsi="宋体" w:eastAsia="宋体" w:cs="宋体"/>
                <w:color w:val="000000"/>
                <w:sz w:val="21"/>
                <w:szCs w:val="21"/>
                <w:highlight w:val="none"/>
              </w:rPr>
              <w:t xml:space="preserve">提供合同扫描件</w:t>
            </w:r>
            <w:r>
              <w:rPr>
                <w:rFonts w:hint="eastAsia" w:ascii="宋体" w:hAnsi="宋体" w:eastAsia="宋体" w:cs="宋体"/>
                <w:color w:val="000000"/>
                <w:sz w:val="21"/>
                <w:szCs w:val="21"/>
                <w:highlight w:val="none"/>
                <w:lang w:val="en-US" w:eastAsia="zh-CN"/>
              </w:rPr>
              <w:t xml:space="preserve">或政府部门委托书。所有证明材料需</w:t>
            </w:r>
            <w:r>
              <w:rPr>
                <w:rFonts w:hint="eastAsia" w:ascii="宋体" w:hAnsi="宋体" w:eastAsia="宋体" w:cs="宋体"/>
                <w:color w:val="000000"/>
                <w:sz w:val="21"/>
                <w:szCs w:val="21"/>
                <w:highlight w:val="none"/>
              </w:rPr>
              <w:t xml:space="preserve">加盖供应商单位公章。</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eastAsia="宋体" w:cs="宋体"/>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21</w:t>
            </w:r>
            <w:r/>
          </w:p>
        </w:tc>
      </w:tr>
    </w:tbl>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说明：</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1.小微企业价格扣除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2.监狱和戒毒企业的价格扣除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2.1本项目对监狱和戒毒企业，给予10%的价格扣除，用扣除后的价格参与评审。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2.2监狱企业需提供由省级以上监狱管理局、戒毒管理局（含新疆生产建设兵团）出具的  属于监狱企业的证明文件。</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2.3监狱企业标准请参照《关于政府采购支持监狱企业发展有关问题的通知》（财库〔2014〕</w:t>
      </w:r>
      <w:r/>
    </w:p>
    <w:p>
      <w:pP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68 号）。</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3.残疾人福利性单位的价格扣除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3.1本项目对残疾人福利性单位，给予10%的价格扣除，用扣除后的价格参与评审。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3.2残疾人福利性单位需提供《残疾人福利性单位声明函》。</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3.3残疾人福利性单位标准请参照《关于促进残疾人就业政府采购政策的通知》（财库</w:t>
      </w:r>
      <w:r/>
    </w:p>
    <w:p>
      <w:pP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〔2017〕141 号）。</w:t>
      </w:r>
      <w:r/>
    </w:p>
    <w:p>
      <w:pPr>
        <w:numPr>
          <w:ilvl w:val="0"/>
          <w:numId w:val="6"/>
        </w:num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监狱企业、残疾人福利性单位属于小型、微型企业的，不重复享受政策。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5.采购本国产品的支持政策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5.1本项目政府采购活动中既有本国产品又有非本国产品参与竞争的，依法对本国产品给予价格评审优惠，对本国产品的报价给予20%的价格扣除，用扣除后的价格参与评审。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5.2当采购项目或者采购包中含有多种产品时，供应商为该采购项目或者采购包提供的符合本国产品标准的产品成本之和占该供应商提供的全部产品成本之和的比例达到80%以上时（供应商需在“第六章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5.3供应商需按照招标文件的要求提供《关于符合本国产品标准的声明函》（以下简称《声明函》），如不提供将不享受本国产品价格评审优惠。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eastAsia="黑体"/>
          <w:color w:val="000000"/>
          <w:sz w:val="36"/>
          <w:szCs w:val="36"/>
        </w:rPr>
      </w:pPr>
      <w:r>
        <w:rPr>
          <w:rFonts w:eastAsia="黑体"/>
          <w:color w:val="000000"/>
          <w:sz w:val="36"/>
          <w:szCs w:val="36"/>
        </w:rPr>
        <w:br w:type="page" w:clear="all"/>
      </w:r>
      <w:r/>
    </w:p>
    <w:p>
      <w:pPr>
        <w:ind w:firstLine="420"/>
        <w:spacing w:line="360" w:lineRule="exact"/>
        <w:tabs>
          <w:tab w:val="left" w:pos="567" w:leader="none"/>
        </w:tabs>
        <w:rPr>
          <w:color w:val="000000"/>
          <w:szCs w:val="21"/>
        </w:rPr>
      </w:pPr>
      <w:r>
        <w:rPr>
          <w:color w:val="000000"/>
          <w:szCs w:val="21"/>
        </w:rPr>
      </w:r>
      <w:r/>
    </w:p>
    <w:p>
      <w:pPr>
        <w:jc w:val="center"/>
        <w:keepNext/>
        <w:rPr>
          <w:color w:val="000000"/>
          <w:sz w:val="24"/>
          <w:szCs w:val="24"/>
        </w:rPr>
        <w:outlineLvl w:val="0"/>
      </w:pPr>
      <w:r/>
      <w:bookmarkStart w:id="141" w:name="_Toc29597"/>
      <w:r/>
      <w:bookmarkStart w:id="142" w:name="_Toc1761"/>
      <w:r/>
      <w:bookmarkStart w:id="143" w:name="_Toc14144"/>
      <w:r>
        <w:rPr>
          <w:rFonts w:eastAsia="黑体"/>
          <w:color w:val="000000"/>
          <w:sz w:val="44"/>
          <w:szCs w:val="44"/>
        </w:rPr>
        <w:t xml:space="preserve">第六章 </w:t>
      </w:r>
      <w:r>
        <w:rPr>
          <w:rFonts w:hint="eastAsia" w:eastAsia="黑体"/>
          <w:color w:val="000000"/>
          <w:sz w:val="44"/>
          <w:szCs w:val="44"/>
        </w:rPr>
        <w:t xml:space="preserve"> 响应</w:t>
      </w:r>
      <w:r>
        <w:rPr>
          <w:rFonts w:eastAsia="黑体"/>
          <w:color w:val="000000"/>
          <w:sz w:val="44"/>
          <w:szCs w:val="44"/>
        </w:rPr>
        <w:t xml:space="preserve">文件格式</w:t>
      </w:r>
      <w:bookmarkEnd w:id="141"/>
      <w:r/>
      <w:bookmarkEnd w:id="142"/>
      <w:r/>
      <w:bookmarkEnd w:id="143"/>
      <w:r>
        <w:rPr>
          <w:rFonts w:eastAsia="黑体"/>
          <w:color w:val="000000"/>
          <w:sz w:val="44"/>
          <w:szCs w:val="44"/>
        </w:rPr>
        <w:t xml:space="preserve"> </w:t>
      </w:r>
      <w:r/>
    </w:p>
    <w:p>
      <w:pPr>
        <w:jc w:val="center"/>
        <w:rPr>
          <w:color w:val="000000"/>
          <w:sz w:val="24"/>
          <w:szCs w:val="24"/>
        </w:rPr>
      </w:pPr>
      <w:r/>
      <w:bookmarkStart w:id="144" w:name="_Toc26554094"/>
      <w:r/>
      <w:bookmarkEnd w:id="144"/>
      <w:r/>
      <w:bookmarkStart w:id="145" w:name="_Toc49090576"/>
      <w:r/>
      <w:bookmarkEnd w:id="145"/>
      <w:r/>
      <w:bookmarkStart w:id="146" w:name="_Hlt26671244"/>
      <w:r/>
      <w:bookmarkEnd w:id="146"/>
      <w:r/>
      <w:bookmarkStart w:id="147" w:name="_Hlt26955039"/>
      <w:r/>
      <w:bookmarkEnd w:id="147"/>
      <w:r/>
      <w:bookmarkStart w:id="148" w:name="_Toc120614282"/>
      <w:r/>
      <w:bookmarkEnd w:id="148"/>
      <w:r>
        <w:rPr>
          <w:rFonts w:hint="eastAsia" w:ascii="宋体" w:hAnsi="宋体"/>
          <w:b/>
          <w:sz w:val="72"/>
          <w:szCs w:val="21"/>
        </w:rPr>
        <w:t xml:space="preserve">响  应  </w:t>
      </w:r>
      <w:r>
        <w:rPr>
          <w:b/>
          <w:bCs/>
          <w:color w:val="000000"/>
          <w:sz w:val="72"/>
          <w:szCs w:val="72"/>
        </w:rPr>
        <w:t xml:space="preserve">文</w:t>
      </w:r>
      <w:r>
        <w:rPr>
          <w:rFonts w:hint="eastAsia"/>
          <w:b/>
          <w:bCs/>
          <w:color w:val="000000"/>
          <w:sz w:val="72"/>
          <w:szCs w:val="72"/>
          <w:lang w:val="en-US" w:eastAsia="zh-CN"/>
        </w:rPr>
        <w:t xml:space="preserve"> </w:t>
      </w:r>
      <w:r>
        <w:rPr>
          <w:b/>
          <w:bCs/>
          <w:color w:val="000000"/>
          <w:sz w:val="72"/>
          <w:szCs w:val="72"/>
        </w:rPr>
        <w:t xml:space="preserve"> 件</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t xml:space="preserve">项 目 名 称：</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1084"/>
        <w:rPr>
          <w:color w:val="000000"/>
          <w:sz w:val="24"/>
          <w:szCs w:val="24"/>
        </w:rPr>
      </w:pPr>
      <w:r>
        <w:rPr>
          <w:b/>
          <w:bCs/>
          <w:color w:val="000000"/>
          <w:sz w:val="36"/>
          <w:szCs w:val="36"/>
        </w:rPr>
        <w:t xml:space="preserve">项 目 编 号：</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361"/>
        <w:rPr>
          <w:color w:val="000000"/>
          <w:sz w:val="24"/>
          <w:szCs w:val="24"/>
        </w:rPr>
      </w:pPr>
      <w:r>
        <w:rPr>
          <w:b/>
          <w:bCs/>
          <w:color w:val="000000"/>
          <w:sz w:val="36"/>
          <w:szCs w:val="36"/>
        </w:rPr>
        <w:t xml:space="preserve">     </w:t>
      </w:r>
      <w:r>
        <w:rPr>
          <w:rFonts w:hint="eastAsia"/>
          <w:b/>
          <w:bCs/>
          <w:color w:val="000000"/>
          <w:sz w:val="36"/>
          <w:szCs w:val="36"/>
        </w:rPr>
        <w:t xml:space="preserve">供应商</w:t>
      </w:r>
      <w:r>
        <w:rPr>
          <w:b/>
          <w:bCs/>
          <w:color w:val="000000"/>
          <w:sz w:val="36"/>
          <w:szCs w:val="36"/>
        </w:rPr>
        <w:t xml:space="preserve">名称 ：</w:t>
      </w:r>
      <w:r>
        <w:rPr>
          <w:b/>
          <w:bCs/>
          <w:color w:val="000000"/>
          <w:sz w:val="36"/>
          <w:szCs w:val="36"/>
          <w:u w:val="single"/>
        </w:rPr>
        <w:t xml:space="preserve">（加盖CA电子公章） </w:t>
      </w:r>
      <w:r/>
    </w:p>
    <w:p>
      <w:pPr>
        <w:rPr>
          <w:color w:val="000000"/>
          <w:sz w:val="24"/>
          <w:szCs w:val="24"/>
        </w:rPr>
      </w:pPr>
      <w:r>
        <w:rPr>
          <w:b/>
          <w:bCs/>
          <w:color w:val="000000"/>
          <w:sz w:val="36"/>
          <w:szCs w:val="36"/>
        </w:rPr>
        <w:t xml:space="preserve">      </w:t>
      </w:r>
      <w:r>
        <w:rPr>
          <w:rFonts w:hint="eastAsia"/>
          <w:b/>
          <w:bCs/>
          <w:color w:val="000000"/>
          <w:sz w:val="36"/>
          <w:szCs w:val="36"/>
          <w:lang w:val="en-US" w:eastAsia="zh-CN"/>
        </w:rPr>
        <w:t xml:space="preserve"> </w:t>
      </w:r>
      <w:r>
        <w:rPr>
          <w:b/>
          <w:bCs/>
          <w:color w:val="000000"/>
          <w:sz w:val="36"/>
          <w:szCs w:val="36"/>
        </w:rPr>
        <w:t xml:space="preserve">日</w:t>
      </w:r>
      <w:r>
        <w:rPr>
          <w:rFonts w:hint="eastAsia"/>
          <w:b/>
          <w:bCs/>
          <w:color w:val="000000"/>
          <w:sz w:val="36"/>
          <w:szCs w:val="36"/>
        </w:rPr>
        <w:t xml:space="preserve"> </w:t>
      </w:r>
      <w:r>
        <w:rPr>
          <w:b/>
          <w:bCs/>
          <w:color w:val="000000"/>
          <w:sz w:val="36"/>
          <w:szCs w:val="36"/>
        </w:rPr>
        <w:t xml:space="preserve">  </w:t>
      </w:r>
      <w:r>
        <w:rPr>
          <w:rFonts w:hint="eastAsia"/>
          <w:b/>
          <w:bCs/>
          <w:color w:val="000000"/>
          <w:sz w:val="36"/>
          <w:szCs w:val="36"/>
        </w:rPr>
        <w:t xml:space="preserve">    </w:t>
      </w:r>
      <w:r>
        <w:rPr>
          <w:b/>
          <w:bCs/>
          <w:color w:val="000000"/>
          <w:sz w:val="36"/>
          <w:szCs w:val="36"/>
        </w:rPr>
        <w:t xml:space="preserve">期 ：</w:t>
      </w:r>
      <w:r>
        <w:rPr>
          <w:rFonts w:hint="eastAsia"/>
          <w:b/>
          <w:bCs/>
          <w:color w:val="000000"/>
          <w:sz w:val="36"/>
          <w:szCs w:val="36"/>
          <w:u w:val="single"/>
          <w:lang w:val="en-US" w:eastAsia="zh-CN"/>
        </w:rPr>
        <w:t xml:space="preserve">     </w:t>
      </w:r>
      <w:r>
        <w:rPr>
          <w:b/>
          <w:bCs/>
          <w:color w:val="000000"/>
          <w:sz w:val="36"/>
          <w:szCs w:val="36"/>
          <w:u w:val="single"/>
        </w:rPr>
        <w:t xml:space="preserve">                </w:t>
      </w:r>
      <w:r/>
    </w:p>
    <w:p>
      <w:pPr>
        <w:jc w:val="center"/>
        <w:rPr>
          <w:color w:val="000000"/>
          <w:sz w:val="24"/>
          <w:szCs w:val="24"/>
        </w:rPr>
      </w:pPr>
      <w:r>
        <w:rPr>
          <w:color w:val="000000"/>
          <w:sz w:val="24"/>
          <w:szCs w:val="24"/>
        </w:rPr>
        <w:t xml:space="preserve"> </w:t>
      </w:r>
      <w:r/>
    </w:p>
    <w:p>
      <w:pP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br w:type="page" w:clear="all"/>
      </w:r>
      <w:r/>
    </w:p>
    <w:p>
      <w:pPr>
        <w:jc w:val="center"/>
        <w:rPr>
          <w:color w:val="000000"/>
          <w:sz w:val="24"/>
          <w:szCs w:val="24"/>
        </w:rPr>
      </w:pPr>
      <w:r>
        <w:rPr>
          <w:rFonts w:hint="eastAsia"/>
          <w:b/>
          <w:bCs/>
          <w:color w:val="000000"/>
          <w:sz w:val="32"/>
          <w:szCs w:val="32"/>
        </w:rPr>
        <w:t xml:space="preserve">响应</w:t>
      </w:r>
      <w:r>
        <w:rPr>
          <w:b/>
          <w:bCs/>
          <w:color w:val="000000"/>
          <w:sz w:val="32"/>
          <w:szCs w:val="32"/>
        </w:rPr>
        <w:t xml:space="preserve">文件的组成</w:t>
      </w:r>
      <w:r/>
    </w:p>
    <w:p>
      <w:pPr>
        <w:jc w:val="center"/>
        <w:rPr>
          <w:color w:val="000000"/>
          <w:sz w:val="24"/>
          <w:szCs w:val="24"/>
        </w:rPr>
      </w:pPr>
      <w:r>
        <w:rPr>
          <w:color w:val="000000"/>
          <w:sz w:val="24"/>
          <w:szCs w:val="24"/>
        </w:rPr>
        <w:t xml:space="preserve"> </w:t>
      </w:r>
      <w:r/>
    </w:p>
    <w:p>
      <w:pPr>
        <w:ind w:left="480"/>
        <w:spacing w:line="360" w:lineRule="auto"/>
        <w:rPr>
          <w:color w:val="000000"/>
        </w:rPr>
      </w:pPr>
      <w:r>
        <w:rPr>
          <w:b/>
          <w:bCs/>
          <w:color w:val="000000"/>
        </w:rPr>
        <w:t xml:space="preserve">一、基本目录</w:t>
      </w:r>
      <w:r/>
    </w:p>
    <w:p>
      <w:pPr>
        <w:ind w:left="480"/>
        <w:spacing w:line="360" w:lineRule="auto"/>
        <w:rPr>
          <w:color w:val="000000"/>
        </w:rPr>
      </w:pPr>
      <w:r>
        <w:rPr>
          <w:rFonts w:hint="eastAsia"/>
          <w:color w:val="000000"/>
        </w:rPr>
        <w:t xml:space="preserve">1.磋商一览表</w:t>
      </w:r>
      <w:r>
        <w:rPr>
          <w:color w:val="000000"/>
        </w:rPr>
        <w:t xml:space="preserve">（格式见附件1）</w:t>
      </w:r>
      <w:r/>
    </w:p>
    <w:p>
      <w:pPr>
        <w:ind w:left="480"/>
        <w:spacing w:line="360" w:lineRule="auto"/>
        <w:rPr>
          <w:color w:val="000000"/>
        </w:rPr>
      </w:pPr>
      <w:r>
        <w:rPr>
          <w:rFonts w:hint="eastAsia"/>
          <w:color w:val="000000"/>
        </w:rPr>
        <w:t xml:space="preserve">2.</w:t>
      </w:r>
      <w:r>
        <w:rPr>
          <w:color w:val="000000"/>
        </w:rPr>
        <w:t xml:space="preserve">分项报价表（格式见附件2）</w:t>
      </w:r>
      <w:r/>
    </w:p>
    <w:p>
      <w:pPr>
        <w:ind w:left="480"/>
        <w:spacing w:line="360" w:lineRule="auto"/>
        <w:rPr>
          <w:color w:val="000000"/>
        </w:rPr>
      </w:pPr>
      <w:r>
        <w:rPr>
          <w:rFonts w:hint="eastAsia"/>
          <w:color w:val="000000"/>
        </w:rPr>
        <w:t xml:space="preserve">3.</w:t>
      </w:r>
      <w:r>
        <w:rPr>
          <w:color w:val="000000"/>
        </w:rPr>
        <w:t xml:space="preserve">技术要求响应及偏离表（格式见附件3）</w:t>
      </w:r>
      <w:r/>
    </w:p>
    <w:p>
      <w:pPr>
        <w:ind w:firstLine="480"/>
        <w:spacing w:line="360" w:lineRule="auto"/>
        <w:rPr>
          <w:color w:val="000000"/>
        </w:rPr>
      </w:pPr>
      <w:r>
        <w:rPr>
          <w:rFonts w:hint="eastAsia"/>
          <w:color w:val="000000"/>
        </w:rPr>
        <w:t xml:space="preserve">4.</w:t>
      </w:r>
      <w:r>
        <w:rPr>
          <w:color w:val="000000"/>
        </w:rPr>
        <w:t xml:space="preserve">商务要求响应及偏离表（格式见附件4）</w:t>
      </w:r>
      <w:r/>
    </w:p>
    <w:p>
      <w:pPr>
        <w:ind w:left="480"/>
        <w:spacing w:line="360" w:lineRule="auto"/>
        <w:rPr>
          <w:color w:val="000000"/>
        </w:rPr>
      </w:pPr>
      <w:r>
        <w:rPr>
          <w:b/>
          <w:bCs/>
          <w:color w:val="000000"/>
        </w:rPr>
        <w:t xml:space="preserve">二、资格审查内容</w:t>
      </w:r>
      <w:r/>
    </w:p>
    <w:p>
      <w:pPr>
        <w:ind w:left="480"/>
        <w:spacing w:line="360" w:lineRule="auto"/>
        <w:rPr>
          <w:color w:val="000000"/>
        </w:rPr>
      </w:pPr>
      <w:r>
        <w:rPr>
          <w:rFonts w:hint="eastAsia"/>
          <w:color w:val="000000"/>
        </w:rPr>
        <w:t xml:space="preserve">1.</w:t>
      </w:r>
      <w:r>
        <w:rPr>
          <w:color w:val="000000"/>
        </w:rPr>
        <w:t xml:space="preserve">法人或者其他组织的营业执照等证明文件，自然人的身份证明</w:t>
      </w:r>
      <w:r/>
    </w:p>
    <w:p>
      <w:pPr>
        <w:ind w:left="480"/>
        <w:spacing w:line="360" w:lineRule="auto"/>
        <w:rPr>
          <w:color w:val="000000"/>
        </w:rPr>
      </w:pPr>
      <w:r>
        <w:rPr>
          <w:rFonts w:hint="eastAsia"/>
          <w:color w:val="000000"/>
        </w:rPr>
        <w:t xml:space="preserve">2.</w:t>
      </w:r>
      <w:r>
        <w:rPr>
          <w:color w:val="000000"/>
        </w:rPr>
        <w:t xml:space="preserve">上一年度的财务状况报告（</w:t>
      </w:r>
      <w:r>
        <w:rPr>
          <w:rFonts w:hint="eastAsia"/>
          <w:color w:val="000000"/>
        </w:rPr>
        <w:t xml:space="preserve">供应商</w:t>
      </w:r>
      <w:r>
        <w:rPr>
          <w:color w:val="000000"/>
        </w:rPr>
        <w:t xml:space="preserve">成立不满一年无需提供）</w:t>
      </w:r>
      <w:r/>
    </w:p>
    <w:p>
      <w:pPr>
        <w:ind w:firstLine="48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480"/>
        <w:spacing w:line="360" w:lineRule="auto"/>
        <w:rPr>
          <w:color w:val="000000"/>
        </w:rPr>
      </w:pPr>
      <w:r>
        <w:rPr>
          <w:rFonts w:hint="eastAsia"/>
          <w:color w:val="000000"/>
        </w:rPr>
        <w:t xml:space="preserve">4.</w:t>
      </w:r>
      <w:r>
        <w:rPr>
          <w:color w:val="000000"/>
        </w:rPr>
        <w:t xml:space="preserve">具备履行合同所必需的设备和专业技术能力的书面声明（格式见附件5）</w:t>
      </w:r>
      <w:r/>
    </w:p>
    <w:p>
      <w:pPr>
        <w:ind w:left="480"/>
        <w:spacing w:line="360" w:lineRule="auto"/>
        <w:rPr>
          <w:color w:val="000000"/>
        </w:rPr>
      </w:pPr>
      <w:r>
        <w:rPr>
          <w:rFonts w:hint="eastAsia"/>
          <w:color w:val="000000"/>
        </w:rPr>
        <w:t xml:space="preserve">5.</w:t>
      </w:r>
      <w:r>
        <w:rPr>
          <w:color w:val="000000"/>
        </w:rPr>
        <w:t xml:space="preserve">参加政府采购活动前 3 年内在经营活动中没有重大违法记录的书面声明（格式见附件6）</w:t>
      </w:r>
      <w:r/>
    </w:p>
    <w:p>
      <w:pPr>
        <w:ind w:firstLine="480"/>
        <w:spacing w:line="360" w:lineRule="auto"/>
        <w:rPr>
          <w:color w:val="000000"/>
        </w:rPr>
      </w:pPr>
      <w:r>
        <w:rPr>
          <w:rFonts w:hint="eastAsia"/>
          <w:color w:val="000000"/>
        </w:rPr>
        <w:t xml:space="preserve">6.</w:t>
      </w:r>
      <w:r>
        <w:rPr>
          <w:color w:val="000000"/>
        </w:rPr>
        <w:t xml:space="preserve">特定资格要求的证明文件（如果本项目对</w:t>
      </w:r>
      <w:r>
        <w:rPr>
          <w:rFonts w:hint="eastAsia"/>
          <w:color w:val="000000"/>
        </w:rPr>
        <w:t xml:space="preserve">供应商有</w:t>
      </w:r>
      <w:r>
        <w:rPr>
          <w:color w:val="000000"/>
        </w:rPr>
        <w:t xml:space="preserve">特定资格要求的，必须提供）</w:t>
      </w:r>
      <w:r/>
    </w:p>
    <w:p>
      <w:pPr>
        <w:ind w:firstLine="480"/>
        <w:spacing w:line="360" w:lineRule="auto"/>
        <w:rPr>
          <w:color w:val="000000"/>
        </w:rPr>
      </w:pPr>
      <w:r>
        <w:rPr>
          <w:rFonts w:hint="eastAsia"/>
          <w:color w:val="000000"/>
        </w:rPr>
        <w:t xml:space="preserve">7.</w:t>
      </w:r>
      <w:r>
        <w:rPr>
          <w:color w:val="000000"/>
        </w:rPr>
        <w:t xml:space="preserve">法人授权书（格式见附件7）</w:t>
      </w:r>
      <w:r/>
    </w:p>
    <w:p>
      <w:pPr>
        <w:ind w:firstLine="480"/>
        <w:spacing w:line="360" w:lineRule="auto"/>
        <w:rPr>
          <w:color w:val="000000"/>
        </w:rPr>
      </w:pPr>
      <w:r>
        <w:rPr>
          <w:rFonts w:hint="eastAsia"/>
          <w:color w:val="000000"/>
          <w:lang w:val="en-US" w:eastAsia="zh-CN"/>
        </w:rPr>
        <w:t xml:space="preserve">8.</w:t>
      </w:r>
      <w:r>
        <w:rPr>
          <w:color w:val="000000"/>
        </w:rPr>
        <w:t xml:space="preserve">磋商响应函（格式见附件8）</w:t>
      </w:r>
      <w:r/>
    </w:p>
    <w:p>
      <w:pPr>
        <w:ind w:left="480"/>
        <w:spacing w:line="360" w:lineRule="auto"/>
        <w:rPr>
          <w:color w:val="000000"/>
        </w:rPr>
      </w:pPr>
      <w:r>
        <w:rPr>
          <w:b/>
          <w:bCs/>
          <w:color w:val="000000"/>
        </w:rPr>
        <w:t xml:space="preserve">三、符合性审查内容</w:t>
      </w:r>
      <w:r/>
    </w:p>
    <w:p>
      <w:pPr>
        <w:ind w:firstLine="480"/>
        <w:spacing w:line="360" w:lineRule="auto"/>
        <w:rPr>
          <w:color w:val="000000"/>
        </w:rPr>
      </w:pPr>
      <w:r>
        <w:rPr>
          <w:rFonts w:hint="eastAsia"/>
          <w:color w:val="000000"/>
        </w:rPr>
        <w:t xml:space="preserve">供应商</w:t>
      </w:r>
      <w:r>
        <w:rPr>
          <w:color w:val="000000"/>
        </w:rPr>
        <w:t xml:space="preserve">必须对技术要求和商务要求中斜体</w:t>
      </w:r>
      <w:r>
        <w:rPr>
          <w:rFonts w:hint="eastAsia"/>
          <w:color w:val="000000"/>
        </w:rPr>
        <w:t xml:space="preserve">且有</w:t>
      </w:r>
      <w:r>
        <w:rPr>
          <w:color w:val="000000"/>
        </w:rPr>
        <w:t xml:space="preserve">下划线的实质性要求逐条做出响应，并按照招标文件要求提供证明材料，否则作无效投标处理</w:t>
      </w:r>
      <w:r>
        <w:rPr>
          <w:rFonts w:hint="eastAsia"/>
          <w:color w:val="000000"/>
        </w:rPr>
        <w:t xml:space="preserve">（格式见附件1</w:t>
      </w:r>
      <w:r>
        <w:rPr>
          <w:rFonts w:hint="eastAsia"/>
          <w:color w:val="000000"/>
          <w:lang w:val="en-US" w:eastAsia="zh-CN"/>
        </w:rPr>
        <w:t xml:space="preserve">2</w:t>
      </w:r>
      <w:r>
        <w:rPr>
          <w:rFonts w:hint="eastAsia"/>
          <w:color w:val="000000"/>
        </w:rPr>
        <w:t xml:space="preserve">）。</w:t>
      </w:r>
      <w:r/>
    </w:p>
    <w:p>
      <w:pPr>
        <w:ind w:firstLine="480"/>
        <w:spacing w:line="360" w:lineRule="auto"/>
        <w:rPr>
          <w:rFonts w:ascii="宋体" w:hAnsi="宋体"/>
          <w:b/>
          <w:szCs w:val="21"/>
        </w:rPr>
      </w:pPr>
      <w:r>
        <w:rPr>
          <w:rFonts w:hint="eastAsia" w:ascii="宋体" w:hAnsi="宋体"/>
          <w:b/>
          <w:szCs w:val="21"/>
        </w:rPr>
        <w:t xml:space="preserve">四、价格</w:t>
      </w:r>
      <w:r>
        <w:rPr>
          <w:rFonts w:ascii="宋体" w:hAnsi="宋体"/>
          <w:b/>
          <w:szCs w:val="21"/>
        </w:rPr>
        <w:t xml:space="preserve">扣除证明文件</w:t>
      </w:r>
      <w:r/>
    </w:p>
    <w:p>
      <w:pPr>
        <w:ind w:left="480"/>
        <w:spacing w:line="360" w:lineRule="auto"/>
        <w:rPr>
          <w:color w:val="000000"/>
        </w:rPr>
      </w:pPr>
      <w:r>
        <w:rPr>
          <w:rFonts w:hint="eastAsia"/>
          <w:color w:val="000000"/>
        </w:rPr>
        <w:t xml:space="preserve">1.中小微企业声明函（</w:t>
      </w:r>
      <w:r>
        <w:rPr>
          <w:color w:val="000000"/>
        </w:rPr>
        <w:t xml:space="preserve">格式</w:t>
      </w:r>
      <w:r>
        <w:rPr>
          <w:rFonts w:hint="eastAsia"/>
          <w:color w:val="000000"/>
        </w:rPr>
        <w:t xml:space="preserve">见</w:t>
      </w:r>
      <w:r>
        <w:rPr>
          <w:color w:val="000000"/>
        </w:rPr>
        <w:t xml:space="preserve">附件9</w:t>
      </w:r>
      <w:r>
        <w:rPr>
          <w:rFonts w:hint="eastAsia"/>
          <w:color w:val="000000"/>
        </w:rPr>
        <w:t xml:space="preserve">）</w:t>
      </w:r>
      <w:r/>
    </w:p>
    <w:p>
      <w:pPr>
        <w:ind w:left="480"/>
        <w:spacing w:line="360" w:lineRule="auto"/>
        <w:rPr>
          <w:color w:val="000000"/>
        </w:rPr>
      </w:pPr>
      <w:r>
        <w:rPr>
          <w:rFonts w:hint="eastAsia"/>
          <w:color w:val="000000"/>
        </w:rPr>
        <w:t xml:space="preserve">2.残疾人福利性单位声明函（</w:t>
      </w:r>
      <w:r>
        <w:rPr>
          <w:color w:val="000000"/>
        </w:rPr>
        <w:t xml:space="preserve">格式</w:t>
      </w:r>
      <w:r>
        <w:rPr>
          <w:rFonts w:hint="eastAsia"/>
          <w:color w:val="000000"/>
        </w:rPr>
        <w:t xml:space="preserve">见</w:t>
      </w:r>
      <w:r>
        <w:rPr>
          <w:color w:val="000000"/>
        </w:rPr>
        <w:t xml:space="preserve">附件10</w:t>
      </w:r>
      <w:r>
        <w:rPr>
          <w:rFonts w:hint="eastAsia"/>
          <w:color w:val="000000"/>
        </w:rPr>
        <w:t xml:space="preserve">）</w:t>
      </w:r>
      <w:r/>
    </w:p>
    <w:p>
      <w:pPr>
        <w:ind w:left="480"/>
        <w:spacing w:line="360" w:lineRule="auto"/>
        <w:rPr>
          <w:color w:val="000000"/>
        </w:rPr>
      </w:pPr>
      <w:r>
        <w:rPr>
          <w:rFonts w:hint="eastAsia"/>
          <w:color w:val="000000"/>
        </w:rPr>
        <w:t xml:space="preserve">3.关于符合本国产品标准的声明函（格式见附件1</w:t>
      </w:r>
      <w:r>
        <w:rPr>
          <w:rFonts w:hint="eastAsia"/>
          <w:color w:val="000000"/>
          <w:lang w:val="en-US" w:eastAsia="zh-CN"/>
        </w:rPr>
        <w:t xml:space="preserve">3</w:t>
      </w:r>
      <w:r>
        <w:rPr>
          <w:rFonts w:hint="eastAsia"/>
          <w:color w:val="000000"/>
        </w:rPr>
        <w:t xml:space="preserve">）</w:t>
      </w:r>
      <w:r/>
    </w:p>
    <w:p>
      <w:pPr>
        <w:ind w:firstLine="480"/>
        <w:rPr>
          <w:color w:val="000000"/>
        </w:rPr>
      </w:pPr>
      <w:r>
        <w:rPr>
          <w:color w:val="000000"/>
        </w:rPr>
      </w:r>
      <w:r/>
    </w:p>
    <w:p>
      <w:pPr>
        <w:rPr>
          <w:color w:val="000000"/>
        </w:rPr>
      </w:pPr>
      <w:r>
        <w:rPr>
          <w:color w:val="000000"/>
        </w:rPr>
        <w:t xml:space="preserve"> </w:t>
      </w:r>
      <w:r/>
    </w:p>
    <w:p>
      <w:pPr>
        <w:jc w:val="left"/>
        <w:widowControl/>
        <w:rPr>
          <w:color w:val="000000"/>
        </w:rPr>
      </w:pPr>
      <w:r>
        <w:rPr>
          <w:color w:val="000000"/>
        </w:rPr>
        <w:br w:type="page" w:clear="all"/>
      </w:r>
      <w:r/>
    </w:p>
    <w:p>
      <w:pPr>
        <w:rPr>
          <w:rFonts w:ascii="宋体" w:hAnsi="宋体" w:cs="宋体"/>
          <w:b/>
          <w:bCs/>
          <w:color w:val="000000"/>
          <w:szCs w:val="21"/>
        </w:rPr>
      </w:pPr>
      <w:r>
        <w:rPr>
          <w:rFonts w:hint="eastAsia" w:ascii="宋体" w:hAnsi="宋体" w:cs="宋体"/>
          <w:b/>
          <w:bCs/>
          <w:color w:val="000000"/>
          <w:szCs w:val="21"/>
        </w:rPr>
        <w:t xml:space="preserve">附件1</w:t>
      </w:r>
      <w:r/>
    </w:p>
    <w:p>
      <w:pPr>
        <w:jc w:val="center"/>
        <w:rPr>
          <w:rFonts w:ascii="宋体" w:hAnsi="宋体" w:cs="宋体"/>
          <w:b/>
          <w:bCs/>
          <w:color w:val="000000"/>
          <w:szCs w:val="21"/>
        </w:rPr>
      </w:pPr>
      <w:r>
        <w:rPr>
          <w:rFonts w:ascii="宋体" w:hAnsi="宋体" w:cs="宋体"/>
          <w:b/>
          <w:bCs/>
          <w:color w:val="000000"/>
          <w:szCs w:val="21"/>
        </w:rPr>
      </w:r>
      <w:r/>
    </w:p>
    <w:p>
      <w:pPr>
        <w:jc w:val="center"/>
        <w:rPr>
          <w:rFonts w:ascii="宋体" w:hAnsi="宋体" w:cs="宋体"/>
          <w:color w:val="000000"/>
          <w:szCs w:val="21"/>
        </w:rPr>
      </w:pPr>
      <w:r>
        <w:rPr>
          <w:rFonts w:hint="eastAsia" w:ascii="宋体" w:hAnsi="宋体" w:cs="宋体"/>
          <w:b/>
          <w:bCs/>
          <w:color w:val="000000"/>
          <w:szCs w:val="21"/>
          <w:lang w:val="en-US" w:eastAsia="zh-CN"/>
        </w:rPr>
        <w:t xml:space="preserve">磋商</w:t>
      </w:r>
      <w:r>
        <w:rPr>
          <w:rFonts w:hint="eastAsia" w:ascii="宋体" w:hAnsi="宋体" w:cs="宋体"/>
          <w:b/>
          <w:bCs/>
          <w:color w:val="000000"/>
          <w:szCs w:val="21"/>
        </w:rPr>
        <w:t xml:space="preserve">一览表</w:t>
      </w:r>
      <w:r/>
    </w:p>
    <w:p>
      <w:pPr>
        <w:ind w:firstLine="482"/>
        <w:spacing w:line="0" w:lineRule="atLeast"/>
        <w:rPr>
          <w:rFonts w:ascii="宋体" w:hAnsi="宋体" w:cs="宋体"/>
          <w:color w:val="000000"/>
          <w:szCs w:val="21"/>
        </w:rPr>
      </w:pPr>
      <w:r>
        <w:rPr>
          <w:rFonts w:ascii="宋体" w:hAnsi="宋体" w:cs="宋体"/>
          <w:color w:val="000000"/>
          <w:szCs w:val="21"/>
        </w:rPr>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供应商全称（加盖CA电子签章）：</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项目名称：</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项目编号：                                   </w:t>
      </w:r>
      <w:r/>
    </w:p>
    <w:p>
      <w:pPr>
        <w:ind w:firstLine="482"/>
        <w:spacing w:line="0" w:lineRule="atLeast"/>
      </w:pPr>
      <w:r>
        <w:rPr>
          <w:rFonts w:hint="eastAsia" w:ascii="宋体" w:hAnsi="宋体" w:cs="宋体"/>
          <w:color w:val="000000"/>
          <w:szCs w:val="21"/>
        </w:rPr>
        <w:t xml:space="preserve">分包号：</w:t>
      </w:r>
      <w:r/>
    </w:p>
    <w:tbl>
      <w:tblPr>
        <w:tblStyle w:val="1008"/>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磋商总报价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小写：                             （人民币：元）</w:t>
            </w:r>
            <w:r/>
          </w:p>
        </w:tc>
      </w:tr>
    </w:tbl>
    <w:p>
      <w:pPr>
        <w:ind w:firstLine="480"/>
        <w:rPr>
          <w:rFonts w:ascii="宋体" w:hAnsi="宋体" w:cs="宋体"/>
          <w:color w:val="000000"/>
          <w:szCs w:val="21"/>
        </w:rPr>
      </w:pPr>
      <w:r>
        <w:rPr>
          <w:rFonts w:hint="eastAsia" w:ascii="宋体" w:hAnsi="宋体" w:cs="宋体"/>
          <w:color w:val="000000"/>
          <w:szCs w:val="21"/>
        </w:rPr>
        <w:t xml:space="preserve"> </w:t>
      </w:r>
      <w:r/>
    </w:p>
    <w:p>
      <w:pPr>
        <w:ind w:left="480"/>
        <w:pageBreakBefore w:val="0"/>
        <w:spacing w:line="320" w:lineRule="exact"/>
        <w:rPr>
          <w:rFonts w:hint="eastAsia" w:ascii="宋体" w:hAnsi="宋体" w:cs="宋体"/>
          <w:color w:val="000000"/>
          <w:szCs w:val="21"/>
        </w:rPr>
        <w:outlineLvl w:val="9"/>
      </w:pPr>
      <w:r>
        <w:rPr>
          <w:rFonts w:hint="eastAsia" w:ascii="宋体" w:hAnsi="宋体" w:cs="宋体"/>
          <w:color w:val="000000"/>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 分项报价</w:t>
      </w:r>
      <w:r>
        <w:rPr>
          <w:rFonts w:hint="eastAsia" w:ascii="宋体" w:hAnsi="宋体" w:eastAsia="宋体" w:cs="宋体"/>
          <w:b/>
          <w:color w:val="000000"/>
          <w:sz w:val="21"/>
          <w:szCs w:val="21"/>
        </w:rPr>
        <w:t xml:space="preserve">表</w:t>
      </w:r>
      <w:r>
        <w:rPr>
          <w:rFonts w:hint="eastAsia" w:ascii="宋体" w:hAnsi="宋体" w:eastAsia="宋体" w:cs="宋体"/>
          <w:b/>
          <w:color w:val="000000"/>
          <w:sz w:val="21"/>
          <w:szCs w:val="21"/>
          <w:lang w:eastAsia="zh-CN"/>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pageBreakBefore w:val="0"/>
        <w:spacing w:line="32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jc w:val="center"/>
        <w:pageBreakBefore w:val="0"/>
        <w:spacing w:line="32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分项报价表</w:t>
      </w:r>
      <w:r/>
    </w:p>
    <w:p>
      <w:pPr>
        <w:pStyle w:val="1016"/>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bl>
      <w:tblPr>
        <w:tblStyle w:val="1008"/>
        <w:tblW w:w="4983"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773"/>
        <w:gridCol w:w="1648"/>
        <w:gridCol w:w="1155"/>
        <w:gridCol w:w="1004"/>
        <w:gridCol w:w="2033"/>
        <w:gridCol w:w="2020"/>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pageBreakBefore w:val="0"/>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rPr>
              <w:t xml:space="preserve">合同履行期限</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服务分项</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89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总报价</w:t>
            </w:r>
            <w:r>
              <w:rPr>
                <w:rFonts w:hint="eastAsia" w:ascii="宋体" w:hAnsi="宋体" w:eastAsia="宋体" w:cs="宋体"/>
                <w:color w:val="000000"/>
                <w:sz w:val="21"/>
                <w:szCs w:val="21"/>
                <w:highlight w:val="none"/>
              </w:rPr>
              <w:t xml:space="preserve">（人民币：元）</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备注： </w:t>
      </w:r>
      <w:r/>
    </w:p>
    <w:p>
      <w:pPr>
        <w:ind w:firstLine="420"/>
        <w:keepLines w:val="0"/>
        <w:keepNext w:val="0"/>
        <w:pageBreakBefore w:val="0"/>
        <w:spacing w:line="320" w:lineRule="exact"/>
        <w:widowControl w:val="off"/>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宋体"/>
          <w:color w:val="000000"/>
          <w:sz w:val="21"/>
          <w:szCs w:val="21"/>
          <w:lang w:eastAsia="zh-CN"/>
        </w:rPr>
        <w:t xml:space="preserve">“磋商总报价”数额为各“分项总价”之和。</w:t>
      </w:r>
      <w:r/>
    </w:p>
    <w:p>
      <w:pP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jc w:val="both"/>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bookmarkStart w:id="149" w:name="_Toc120614284"/>
      <w:r/>
      <w:r/>
    </w:p>
    <w:p>
      <w:pPr>
        <w:jc w:val="both"/>
        <w:pageBreakBefore w:val="0"/>
        <w:spacing w:line="320" w:lineRule="exact"/>
        <w:rPr>
          <w:rFonts w:hint="eastAsia" w:ascii="宋体" w:hAnsi="宋体" w:eastAsia="宋体" w:cs="宋体"/>
          <w:b/>
          <w:sz w:val="21"/>
          <w:szCs w:val="21"/>
          <w:lang w:eastAsia="zh-CN"/>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3</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技术要求响应及偏离表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bl>
      <w:tblPr>
        <w:tblStyle w:val="10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787"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超出、符合或偏离</w:t>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bl>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附件</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  证明材料1，证明材料2，……</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1.供应商需对磋商文件技术要求中的非实质性要求（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w:t>
      </w:r>
      <w:r>
        <w:rPr>
          <w:rFonts w:hint="eastAsia" w:ascii="宋体" w:hAnsi="宋体" w:eastAsia="宋体" w:cs="宋体"/>
          <w:b/>
          <w:i/>
          <w:color w:val="000000"/>
          <w:sz w:val="21"/>
          <w:szCs w:val="21"/>
          <w:u w:val="single"/>
          <w:lang w:val="en-US" w:eastAsia="zh-CN"/>
        </w:rPr>
        <w:t xml:space="preserve">且有</w:t>
      </w:r>
      <w:r>
        <w:rPr>
          <w:rFonts w:hint="eastAsia" w:ascii="宋体" w:hAnsi="宋体" w:eastAsia="宋体" w:cs="宋体"/>
          <w:b/>
          <w:i/>
          <w:color w:val="000000"/>
          <w:sz w:val="21"/>
          <w:szCs w:val="21"/>
          <w:u w:val="single"/>
        </w:rPr>
        <w:t xml:space="preserve">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2.如果磋商文件要求提供证明材料，供应商需将证明材料列于该表之下。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left="480"/>
        <w:rPr>
          <w:rFonts w:hint="eastAsia" w:ascii="宋体" w:hAnsi="宋体" w:eastAsia="宋体" w:cs="宋体"/>
          <w:b/>
          <w:i/>
          <w:color w:val="ff0000"/>
          <w:sz w:val="21"/>
          <w:szCs w:val="21"/>
          <w:u w:val="single"/>
        </w:rPr>
      </w:pPr>
      <w:r>
        <w:rPr>
          <w:rFonts w:hint="eastAsia" w:ascii="宋体" w:hAnsi="宋体" w:eastAsia="宋体" w:cs="宋体"/>
          <w:b/>
          <w:i/>
          <w:color w:val="ff0000"/>
          <w:sz w:val="21"/>
          <w:szCs w:val="21"/>
          <w:u w:val="single"/>
        </w:rPr>
      </w:r>
      <w:r/>
    </w:p>
    <w:p>
      <w:pPr>
        <w:jc w:val="lef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附件4 </w:t>
      </w:r>
      <w:r/>
    </w:p>
    <w:p>
      <w:pPr>
        <w:rPr>
          <w:rFonts w:hint="eastAsia"/>
        </w:rPr>
      </w:pPr>
      <w:r>
        <w:rPr>
          <w:rFonts w:hint="eastAsia"/>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商务要求响应及偏离表</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Height w:val="9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商务要求</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1.供应商需对磋商文件商务要求中的非实质性要求（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斜体且有下划线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2.如果磋商文件要求提供证明材料，供应商需将证明材料列于该表之下。</w:t>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附件5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附件6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firstLine="211"/>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参加政府采购活动前 3 年内在经营活动中没有重大违法记录的书面声明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附件7   </w:t>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法人授权书</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本授权书声明：____________（供应商名称）授权________________（被授权人的姓名）为我方就采购编号为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被授权人身份证号码：</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被授权人联系电话：（手机）</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color w:val="ff0000"/>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授权单位名称：</w:t>
      </w:r>
      <w:r>
        <w:rPr>
          <w:rFonts w:hint="eastAsia" w:ascii="宋体" w:hAnsi="宋体" w:eastAsia="宋体" w:cs="宋体"/>
          <w:sz w:val="21"/>
          <w:szCs w:val="21"/>
          <w:u w:val="single"/>
        </w:rPr>
        <w:t xml:space="preserve">（加盖CA电子公章）</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日期：</w:t>
      </w:r>
      <w:bookmarkStart w:id="150" w:name="_Hlt26671380"/>
      <w:r/>
      <w:bookmarkEnd w:id="150"/>
      <w:r/>
      <w:bookmarkStart w:id="151" w:name="_Hlt26955070"/>
      <w:r/>
      <w:bookmarkEnd w:id="151"/>
      <w:r/>
      <w:bookmarkStart w:id="152" w:name="_格式3__银行出具的资信证明"/>
      <w:r/>
      <w:bookmarkEnd w:id="152"/>
      <w:r>
        <w:rPr>
          <w:rFonts w:hint="eastAsia" w:ascii="宋体" w:hAnsi="宋体" w:eastAsia="宋体" w:cs="宋体"/>
          <w:sz w:val="21"/>
          <w:szCs w:val="21"/>
          <w:u w:val="single"/>
        </w:rPr>
        <w:t xml:space="preserve">                                         </w:t>
      </w:r>
      <w:r/>
    </w:p>
    <w:p>
      <w:pPr>
        <w:ind w:firstLine="360"/>
        <w:spacing w:line="0" w:lineRule="atLeast"/>
        <w:rPr>
          <w:rFonts w:hint="eastAsia" w:ascii="宋体" w:hAnsi="宋体" w:eastAsia="宋体" w:cs="宋体"/>
          <w:sz w:val="21"/>
          <w:szCs w:val="21"/>
          <w:highlight w:val="yellow"/>
        </w:rPr>
      </w:pPr>
      <w:r>
        <w:rPr>
          <w:rFonts w:hint="eastAsia" w:ascii="宋体" w:hAnsi="宋体" w:eastAsia="宋体" w:cs="宋体"/>
          <w:sz w:val="21"/>
          <w:szCs w:val="21"/>
          <w:highlight w:val="yellow"/>
        </w:rPr>
      </w:r>
      <w:r/>
    </w:p>
    <w:p>
      <w:pPr>
        <w:ind w:firstLine="480"/>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附件8   </w:t>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磋商响应函</w:t>
      </w:r>
      <w:r/>
    </w:p>
    <w:p>
      <w:pPr>
        <w:rPr>
          <w:rFonts w:hint="eastAsia" w:ascii="宋体" w:hAnsi="宋体" w:eastAsia="宋体" w:cs="宋体"/>
          <w:sz w:val="21"/>
          <w:szCs w:val="21"/>
        </w:rPr>
      </w:pPr>
      <w:r>
        <w:rPr>
          <w:rFonts w:hint="eastAsia" w:ascii="宋体" w:hAnsi="宋体" w:eastAsia="宋体" w:cs="宋体"/>
          <w:sz w:val="21"/>
          <w:szCs w:val="21"/>
        </w:rPr>
      </w:r>
      <w:r/>
    </w:p>
    <w:p>
      <w:pPr>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致：江苏励邦招标代理有限公司</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根据贵方采购编号为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项目（项目名称）的磋商文件，正式授权下述签字人______(姓名)代表我方______________（供应商的名称），全权处理本次项目磋商的有关事宜。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2.我们完全理解贵方不一定将合同授予最低报价的供应商。</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7.我方与本次磋商有关的正式通讯地址为：</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地          址：</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邮          编：</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电          话：</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传          真：</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供应商开户行：</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账          号： </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日           期：____年____月____日</w:t>
      </w:r>
      <w:r/>
    </w:p>
    <w:p>
      <w:pPr>
        <w:spacing w:line="560" w:lineRule="exact"/>
        <w:rPr>
          <w:rFonts w:hint="eastAsia" w:ascii="宋体" w:hAnsi="宋体" w:eastAsia="宋体" w:cs="宋体"/>
          <w:b/>
          <w:color w:val="ff0000"/>
          <w:sz w:val="21"/>
          <w:szCs w:val="21"/>
          <w:highlight w:val="cyan"/>
        </w:rPr>
      </w:pPr>
      <w:r>
        <w:rPr>
          <w:rFonts w:hint="eastAsia" w:ascii="宋体" w:hAnsi="宋体" w:eastAsia="宋体" w:cs="宋体"/>
          <w:b/>
          <w:color w:val="ff0000"/>
          <w:sz w:val="21"/>
          <w:szCs w:val="21"/>
          <w:highlight w:val="cyan"/>
        </w:rPr>
      </w:r>
      <w:r/>
    </w:p>
    <w:p>
      <w:pPr>
        <w:spacing w:line="46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br w:type="page" w:clear="all"/>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 </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中小微企业声明函（服务类项目）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lang w:eastAsia="zh-CN"/>
        </w:rPr>
        <w:t xml:space="preserve">江苏励邦招标代理有限公司</w:t>
      </w:r>
      <w:r>
        <w:rPr>
          <w:rFonts w:hint="eastAsia" w:ascii="宋体" w:hAnsi="宋体" w:eastAsia="宋体" w:cs="宋体"/>
          <w:sz w:val="21"/>
          <w:szCs w:val="21"/>
        </w:rPr>
        <w:t xml:space="preserve">组织的</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（项目名称）（采购包号：**）</w:t>
      </w:r>
      <w:r>
        <w:rPr>
          <w:rFonts w:hint="eastAsia" w:ascii="宋体" w:hAnsi="宋体" w:eastAsia="宋体" w:cs="宋体"/>
          <w:sz w:val="21"/>
          <w:szCs w:val="21"/>
        </w:rPr>
        <w:t xml:space="preserve">的采购活动，服务全部由符合政策的中小微企业承接。相关企业（含联合体中的中小微企业、签订采购包意向协议的中小微企业）的具体情况如下：</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本企业对上述声明内容的真实性负责。如有虚假，将依法承担相应责任</w:t>
      </w:r>
      <w:r/>
    </w:p>
    <w:p>
      <w:pPr>
        <w:ind w:right="7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right="180" w:firstLine="360"/>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日  期：____年____月____日</w:t>
      </w:r>
      <w:r/>
    </w:p>
    <w:p>
      <w:pPr>
        <w:ind w:firstLine="24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3.供应商应对照《工业和信息化部、国家统计局、国家发展和改革委员会、</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附件</w:t>
      </w:r>
      <w:r>
        <w:rPr>
          <w:rFonts w:hint="eastAsia" w:ascii="宋体" w:hAnsi="宋体" w:eastAsia="宋体" w:cs="宋体"/>
          <w:b/>
          <w:color w:val="000000"/>
          <w:sz w:val="21"/>
          <w:szCs w:val="21"/>
          <w:lang w:val="en-US" w:eastAsia="zh-CN"/>
        </w:rPr>
        <w:t xml:space="preserve">10</w:t>
      </w:r>
      <w:r>
        <w:rPr>
          <w:rFonts w:hint="eastAsia" w:ascii="宋体" w:hAnsi="宋体" w:eastAsia="宋体" w:cs="宋体"/>
          <w:b/>
          <w:color w:val="000000"/>
          <w:sz w:val="21"/>
          <w:szCs w:val="21"/>
        </w:rPr>
        <w:t xml:space="preserve"> </w:t>
      </w:r>
      <w:r/>
    </w:p>
    <w:p>
      <w:pPr>
        <w:jc w:val="cente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残疾人福利性单位声明函</w:t>
      </w:r>
      <w:r>
        <w:rPr>
          <w:rFonts w:hint="eastAsia" w:ascii="宋体" w:hAnsi="宋体" w:eastAsia="宋体" w:cs="宋体"/>
          <w:b/>
          <w:sz w:val="21"/>
          <w:szCs w:val="21"/>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（采购包号：**）采购活动由本单位提供服务。</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本单位对上述声明的真实性负责。如有虚假，将依法承担相应责任。</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1.专门面向中小微型企业采购的项目，供应商为残疾人福利性单位并提供服务的必须提供此声明函，否则将不能通过资格审查。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right="1559" w:firstLine="624"/>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w:t>
      </w:r>
      <w:r/>
    </w:p>
    <w:p>
      <w:pPr>
        <w:ind w:right="1559" w:firstLine="480"/>
        <w:jc w:val="center"/>
        <w:pageBreakBefore w:val="0"/>
        <w:spacing w:line="360" w:lineRule="auto"/>
        <w:tabs>
          <w:tab w:val="left" w:pos="486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供应商全称（加盖CA电子公章）：</w:t>
      </w:r>
      <w:r/>
    </w:p>
    <w:p>
      <w:pPr>
        <w:ind w:right="1559" w:firstLine="480"/>
        <w:jc w:val="center"/>
        <w:pageBreakBefore w:val="0"/>
        <w:spacing w:line="360" w:lineRule="auto"/>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期：____年____月____日</w:t>
      </w:r>
      <w:r/>
    </w:p>
    <w:p>
      <w:pPr>
        <w:ind w:right="1559" w:firstLine="480"/>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br w:type="page" w:clear="all"/>
      </w:r>
      <w:r/>
    </w:p>
    <w:p>
      <w:pPr>
        <w:spacing w:line="0" w:lineRule="atLeas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附件11</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本项目不接受联合体</w:t>
      </w:r>
      <w:r>
        <w:rPr>
          <w:rFonts w:hint="eastAsia" w:ascii="宋体" w:hAnsi="宋体" w:cs="宋体"/>
          <w:b/>
          <w:sz w:val="24"/>
          <w:szCs w:val="24"/>
          <w:highlight w:val="none"/>
          <w:lang w:eastAsia="zh-CN"/>
        </w:rPr>
        <w:t xml:space="preserve">）</w:t>
      </w:r>
      <w:r/>
    </w:p>
    <w:p>
      <w:pPr>
        <w:spacing w:line="0" w:lineRule="atLeast"/>
        <w:rPr>
          <w:rFonts w:hint="eastAsia" w:ascii="宋体" w:hAnsi="宋体" w:eastAsia="宋体" w:cs="宋体"/>
          <w:b/>
          <w:sz w:val="24"/>
          <w:szCs w:val="24"/>
        </w:rPr>
      </w:pPr>
      <w:r>
        <w:rPr>
          <w:rFonts w:hint="eastAsia" w:ascii="宋体" w:hAnsi="宋体" w:eastAsia="宋体" w:cs="宋体"/>
          <w:b/>
          <w:sz w:val="24"/>
          <w:szCs w:val="24"/>
        </w:rPr>
      </w:r>
      <w:r/>
    </w:p>
    <w:p>
      <w:pPr>
        <w:jc w:val="center"/>
        <w:spacing w:line="0" w:lineRule="atLeast"/>
        <w:rPr>
          <w:rFonts w:hint="eastAsia" w:ascii="宋体" w:hAnsi="宋体" w:eastAsia="宋体" w:cs="宋体"/>
          <w:b/>
          <w:sz w:val="24"/>
          <w:szCs w:val="24"/>
        </w:rPr>
      </w:pPr>
      <w:r>
        <w:rPr>
          <w:rFonts w:hint="eastAsia" w:ascii="宋体" w:hAnsi="宋体" w:eastAsia="宋体" w:cs="宋体"/>
          <w:b/>
          <w:sz w:val="24"/>
          <w:szCs w:val="24"/>
        </w:rPr>
        <w:t xml:space="preserve">联合体协议（参考格式）（采购包号：**）</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自愿组成联合体，参加江苏省政府采购中心组织的采购编号为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项目（项目名称）（采购包号：**）的政府采购活动，我联合体指定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2.若我们联合成交，（供应商单位1全称）实施项目中（工作内容）部分工作，并承担相应的责任。（供应商单位2全称）实施项目中（工作内容）部分工作，并承担相应的责任</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。（注：联合体中各供应商都应明示所承担的工作和相应的责任）。</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备注：本磋商文件中要求加盖CA电子公章的地方，仅需加盖牵头单位的CA电子公章。</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联合体中各供应商全称（公章）：     </w:t>
      </w:r>
      <w:r/>
    </w:p>
    <w:p>
      <w:pPr>
        <w:ind w:right="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日  期：____年____月____日</w:t>
      </w:r>
      <w:r/>
    </w:p>
    <w:p>
      <w:pPr>
        <w:ind w:firstLine="645"/>
        <w:spacing w:line="0" w:lineRule="atLeast"/>
        <w:rPr>
          <w:rFonts w:hint="eastAsia" w:ascii="宋体" w:hAnsi="宋体" w:eastAsia="宋体" w:cs="宋体"/>
          <w:sz w:val="21"/>
          <w:szCs w:val="21"/>
        </w:rPr>
      </w:pPr>
      <w:r>
        <w:rPr>
          <w:rFonts w:hint="eastAsia" w:ascii="宋体" w:hAnsi="宋体" w:eastAsia="宋体" w:cs="宋体"/>
          <w:sz w:val="21"/>
          <w:szCs w:val="21"/>
        </w:rPr>
      </w:r>
      <w:r/>
    </w:p>
    <w:p>
      <w:pPr>
        <w:ind w:firstLine="645"/>
        <w:spacing w:line="560" w:lineRule="exac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lef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附件12</w:t>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实质性要求响应及偏离表（采购包号：**）</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890"/>
        <w:gridCol w:w="3755"/>
        <w:gridCol w:w="1682"/>
      </w:tblGrid>
      <w:tr>
        <w:trPr>
          <w:cantSplit/>
        </w:trPr>
        <w:tc>
          <w:tcPr>
            <w:tcW w:w="30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959"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磋商文件（含技术要求和商务要求）中的实质性要求</w:t>
            </w:r>
            <w:r>
              <w:rPr>
                <w:rFonts w:hint="eastAsia" w:ascii="宋体" w:hAnsi="宋体" w:eastAsia="宋体" w:cs="宋体"/>
                <w:b/>
                <w:bCs/>
                <w:color w:val="000000"/>
                <w:sz w:val="21"/>
                <w:szCs w:val="21"/>
              </w:rPr>
              <w:t xml:space="preserve">（</w:t>
            </w:r>
            <w:r>
              <w:rPr>
                <w:rFonts w:hint="eastAsia" w:ascii="宋体" w:hAnsi="宋体" w:eastAsia="宋体" w:cs="宋体"/>
                <w:b/>
                <w:bCs/>
                <w:i/>
                <w:color w:val="000000"/>
                <w:sz w:val="21"/>
                <w:szCs w:val="21"/>
                <w:u w:val="single"/>
              </w:rPr>
              <w:t xml:space="preserve">斜体且有下划线部分</w:t>
            </w:r>
            <w:r>
              <w:rPr>
                <w:rFonts w:hint="eastAsia" w:ascii="宋体" w:hAnsi="宋体" w:eastAsia="宋体" w:cs="宋体"/>
                <w:b/>
                <w:bCs/>
                <w:color w:val="000000"/>
                <w:sz w:val="21"/>
                <w:szCs w:val="21"/>
              </w:rPr>
              <w:t xml:space="preserve">或加*号条款）</w:t>
            </w:r>
            <w:r/>
          </w:p>
        </w:tc>
        <w:tc>
          <w:tcPr>
            <w:tcW w:w="1891"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847"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-1 证明材料1，证明材料2，……</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1.供应商必须对磋商文件（含技术要求和商务要求）中的</w:t>
      </w:r>
      <w:r>
        <w:rPr>
          <w:rFonts w:hint="eastAsia" w:ascii="宋体" w:hAnsi="宋体" w:eastAsia="宋体" w:cs="宋体"/>
          <w:sz w:val="21"/>
          <w:szCs w:val="21"/>
        </w:rPr>
        <w:t xml:space="preserve">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rPr>
        <w:t xml:space="preserve">逐条做出明确响应，否则作无效响应处理。</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2.如果磋商文件要求提供证明材料，供应商必须将证明材料列于该表之下。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3.供应商未对实质性要求逐条作出明确响应的，或未按磋商文件要求提供证明材料的，该采购包作无效响应处理。</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rPr>
          <w:rFonts w:hint="eastAsia" w:ascii="宋体" w:hAnsi="宋体" w:eastAsia="宋体" w:cs="宋体"/>
          <w:b/>
          <w:sz w:val="21"/>
          <w:szCs w:val="21"/>
        </w:rPr>
      </w:pPr>
      <w:r/>
      <w:bookmarkStart w:id="153" w:name="_Toc139360250"/>
      <w:r>
        <w:rPr>
          <w:rFonts w:hint="eastAsia" w:ascii="宋体" w:hAnsi="宋体" w:eastAsia="宋体" w:cs="宋体"/>
          <w:b/>
          <w:bCs/>
          <w:color w:val="000000"/>
          <w:sz w:val="21"/>
          <w:szCs w:val="21"/>
        </w:rPr>
        <w:t xml:space="preserve">附件13：</w:t>
      </w:r>
      <w:bookmarkEnd w:id="153"/>
      <w:r>
        <w:rPr>
          <w:rFonts w:hint="eastAsia" w:ascii="宋体" w:hAnsi="宋体" w:eastAsia="宋体" w:cs="宋体"/>
          <w:b/>
          <w:sz w:val="21"/>
          <w:szCs w:val="21"/>
        </w:rPr>
        <w:t xml:space="preserve"> </w:t>
      </w:r>
      <w:r/>
    </w:p>
    <w:p>
      <w:pPr>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sz w:val="21"/>
          <w:szCs w:val="21"/>
        </w:rPr>
      </w:pPr>
      <w:r>
        <w:rPr>
          <w:rFonts w:hint="eastAsia" w:ascii="宋体" w:hAnsi="宋体" w:eastAsia="宋体" w:cs="宋体"/>
          <w:b/>
          <w:sz w:val="21"/>
          <w:szCs w:val="21"/>
        </w:rPr>
        <w:t xml:space="preserve">关于符合本国产品标准的声明函</w:t>
      </w:r>
      <w:r/>
    </w:p>
    <w:p>
      <w:pPr>
        <w:pStyle w:val="1040"/>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0"/>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0"/>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0"/>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1050"/>
          <w:rFonts w:hint="eastAsia" w:ascii="宋体" w:hAnsi="宋体" w:eastAsia="宋体" w:cs="宋体"/>
          <w:i w:val="0"/>
          <w:sz w:val="21"/>
          <w:szCs w:val="21"/>
          <w:u w:val="single"/>
          <w:shd w:val="clear" w:color="auto" w:fill="ffffff"/>
        </w:rPr>
        <w:t xml:space="preserve">（产品名称1）</w:t>
      </w:r>
      <w:r>
        <w:rPr>
          <w:rStyle w:val="1050"/>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050"/>
          <w:rFonts w:hint="eastAsia" w:ascii="宋体" w:hAnsi="宋体" w:eastAsia="宋体" w:cs="宋体"/>
          <w:i w:val="0"/>
          <w:sz w:val="21"/>
          <w:szCs w:val="21"/>
          <w:u w:val="single"/>
          <w:shd w:val="clear" w:color="auto" w:fill="ffffff"/>
        </w:rPr>
        <w:t xml:space="preserve">（厂名）</w:t>
      </w:r>
      <w:r>
        <w:rPr>
          <w:rStyle w:val="1050"/>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05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Style w:val="1050"/>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Style w:val="1050"/>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Style w:val="1050"/>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1040"/>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105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050"/>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05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p>
    <w:p>
      <w:pPr>
        <w:pStyle w:val="1040"/>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1040"/>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0"/>
        <w:jc w:val="right"/>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p>
    <w:p>
      <w:pPr>
        <w:pStyle w:val="1040"/>
        <w:jc w:val="center"/>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sz w:val="21"/>
          <w:szCs w:val="21"/>
        </w:rPr>
        <w:t xml:space="preserve">___年____月____日</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104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1040"/>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1040"/>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1050"/>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质疑函范本</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一、质疑供应商基本信息</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二、质疑项目基本情况</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三、质疑事项具体内容</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质疑事项2</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四、与质疑事项相关的质疑请求</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jc w:val="left"/>
        <w:spacing w:line="3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left"/>
        <w:spacing w:line="34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质疑函制作说明：</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49"/>
      <w:r/>
      <w:r/>
    </w:p>
    <w:sectPr>
      <w:footerReference w:type="default" r:id="rId13"/>
      <w:footerReference w:type="first" r:id="rId14"/>
      <w:footnotePr/>
      <w:endnotePr/>
      <w:type w:val="nextPage"/>
      <w:pgSz w:w="11910" w:h="16840" w:orient="portrait"/>
      <w:pgMar w:top="1480" w:right="1200" w:bottom="1200" w:left="1000" w:header="1020" w:footer="96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楷体_GB2312">
    <w:panose1 w:val="02010609060101010101"/>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华文中宋">
    <w:panose1 w:val="02010600040101010101"/>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文本框 102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1028"/>
                            <w:rPr>
                              <w:rStyle w:val="1048"/>
                            </w:rPr>
                          </w:pPr>
                          <w:r>
                            <w:rPr>
                              <w:rStyle w:val="1048"/>
                              <w:rFonts w:hint="eastAsia"/>
                            </w:rPr>
                            <w:t xml:space="preserve">                   </w:t>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text-anchor:top;visibility:visible;" filled="f" stroked="f">
              <w10:wrap type="square"/>
              <v:textbox inset="0,0,0,0">
                <w:txbxContent>
                  <w:p>
                    <w:pPr>
                      <w:pStyle w:val="1028"/>
                      <w:rPr>
                        <w:rStyle w:val="1048"/>
                      </w:rPr>
                    </w:pPr>
                    <w:r>
                      <w:rPr>
                        <w:rStyle w:val="1048"/>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102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2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28"/>
                    </w:pPr>
                    <w:r>
                      <w:fldChar w:fldCharType="begin"/>
                    </w:r>
                    <w:r>
                      <w:instrText xml:space="preserve"> PAGE  \* MERGEFORMAT </w:instrText>
                    </w:r>
                    <w:r>
                      <w:fldChar w:fldCharType="separate"/>
                    </w:r>
                    <w:r>
                      <w:t xml:space="preserve">45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r/>
                          <w:r/>
                        </w:p>
                      </w:txbxContent>
                    </wps:txbx>
                    <wps:bodyPr vert="horz" wrap="square" lIns="0" tIns="0" rIns="0" bIns="0" anchor="t" anchorCtr="0" upright="1"/>
                  </wps:wsp>
                </a:graphicData>
              </a:graphic>
            </wp:anchor>
          </w:drawing>
        </mc:Choice>
        <mc:Fallback>
          <w:pict>
            <v:shape id="shape 4" o:spid="_x0000_s4"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text-anchor:top;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28"/>
                          </w:pPr>
                          <w:r>
                            <w:fldChar w:fldCharType="begin"/>
                          </w:r>
                          <w:r>
                            <w:instrText xml:space="preserve"> PAGE  \* MERGEFORMAT </w:instrText>
                          </w:r>
                          <w:r>
                            <w:fldChar w:fldCharType="separate"/>
                          </w:r>
                          <w:r>
                            <w:t xml:space="preserve">57</w:t>
                          </w:r>
                          <w:r>
                            <w:fldChar w:fldCharType="end"/>
                          </w:r>
                          <w:r/>
                        </w:p>
                      </w:txbxContent>
                    </wps:txbx>
                    <wps:bodyPr vert="horz" wrap="none" lIns="0" tIns="0" rIns="0" bIns="0" anchor="t" anchorCtr="0" upright="1">
                      <a:spAutoFit/>
                    </wps:bodyPr>
                  </wps:wsp>
                </a:graphicData>
              </a:graphic>
            </wp:anchor>
          </w:drawing>
        </mc:Choice>
        <mc:Fallback>
          <w:pict>
            <v:shape id="shape 5" o:spid="_x0000_s5"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left</wp:align>
              </wp:positionH>
              <wp:positionV relativeFrom="paragraph">
                <wp:posOffset>-85725</wp:posOffset>
              </wp:positionV>
              <wp:extent cx="1917700" cy="276225"/>
              <wp:effectExtent l="0" t="0" r="6350" b="952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margin;mso-position-horizontal:left;mso-position-vertical-relative:text;margin-top:-6.8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江苏省质量和标准化研究院</w:t>
    </w:r>
    <w:r/>
  </w:p>
  <w:p>
    <w:pPr>
      <w:pStyle w:val="1030"/>
      <w:jc w:val="right"/>
      <w:spacing w:line="220" w:lineRule="exact"/>
      <w:rPr>
        <w:rFonts w:ascii="华文楷体" w:hAnsi="华文楷体" w:eastAsia="华文楷体"/>
      </w:rPr>
    </w:pPr>
    <w:r>
      <w:rPr>
        <w:rFonts w:hint="eastAsia" w:ascii="华文楷体" w:hAnsi="华文楷体" w:eastAsia="华文楷体"/>
        <w:lang w:eastAsia="zh-CN"/>
      </w:rPr>
      <w:t xml:space="preserve">标准实施情况数据采集、统计分析</w:t>
    </w:r>
    <w:r>
      <w:rPr>
        <w:rFonts w:hint="eastAsia" w:ascii="华文楷体" w:hAnsi="华文楷体" w:eastAsia="华文楷体"/>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22860</wp:posOffset>
              </wp:positionH>
              <wp:positionV relativeFrom="paragraph">
                <wp:posOffset>-1270</wp:posOffset>
              </wp:positionV>
              <wp:extent cx="1917700" cy="276225"/>
              <wp:effectExtent l="0" t="0" r="6350" b="952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江苏省质量和标准化研究院</w:t>
    </w:r>
    <w:r/>
  </w:p>
  <w:p>
    <w:pPr>
      <w:pStyle w:val="1030"/>
      <w:jc w:val="right"/>
      <w:spacing w:line="220" w:lineRule="exact"/>
      <w:rPr>
        <w:rFonts w:ascii="华文楷体" w:hAnsi="华文楷体" w:eastAsia="华文楷体"/>
      </w:rPr>
    </w:pPr>
    <w:r>
      <w:rPr>
        <w:rFonts w:hint="eastAsia" w:ascii="华文楷体" w:hAnsi="华文楷体" w:eastAsia="华文楷体"/>
        <w:lang w:eastAsia="zh-CN"/>
      </w:rPr>
      <w:t xml:space="preserve">江苏省质量和标准化研究院标准数据采购</w:t>
    </w:r>
    <w:r>
      <w:rPr>
        <w:rFonts w:hint="eastAsia" w:ascii="华文楷体" w:hAnsi="华文楷体" w:eastAsia="华文楷体"/>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575" w:hanging="157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11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42"/>
      <w:isLgl w:val="false"/>
      <w:suff w:val="tab"/>
      <w:lvlText w:val="第%1章"/>
      <w:lvlJc w:val="left"/>
      <w:pPr>
        <w:ind w:left="9351" w:hanging="420"/>
      </w:pPr>
      <w:rPr>
        <w:rFonts w:hint="eastAsia" w:ascii="黑体" w:eastAsia="黑体"/>
        <w:b w:val="0"/>
        <w:sz w:val="36"/>
        <w:lang w:val="en-US"/>
      </w:rPr>
    </w:lvl>
    <w:lvl w:ilvl="1">
      <w:start w:val="1"/>
      <w:numFmt w:val="decimal"/>
      <w:pStyle w:val="114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5"/>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pStyle w:val="1063"/>
      <w:isLgl w:val="false"/>
      <w:suff w:val="space"/>
      <w:lvlText w:val="%1　"/>
      <w:lvlJc w:val="left"/>
      <w:pPr>
        <w:ind w:left="-530" w:firstLine="0"/>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ind w:left="-530" w:firstLine="0"/>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ind w:left="-530" w:firstLine="0"/>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ind w:left="-530" w:firstLine="0"/>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ind w:left="-530" w:firstLine="0"/>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ind w:left="-530" w:firstLine="0"/>
      </w:pPr>
      <w:rPr>
        <w:rFonts w:hint="default" w:ascii="Times New Roman" w:hAnsi="Times New Roman" w:eastAsia="宋体"/>
        <w:b/>
        <w:i w:val="0"/>
        <w:caps w:val="0"/>
        <w:strike w:val="0"/>
        <w:color w:val="000000"/>
        <w:sz w:val="24"/>
        <w:szCs w:val="24"/>
      </w:rPr>
    </w:lvl>
    <w:lvl w:ilvl="6">
      <w:start w:val="1"/>
      <w:numFmt w:val="lowerLetter"/>
      <w:pStyle w:val="1082"/>
      <w:isLgl w:val="false"/>
      <w:suff w:val="tab"/>
      <w:lvlText w:val="%7)"/>
      <w:lvlJc w:val="left"/>
      <w:pPr>
        <w:ind w:left="936" w:hanging="426"/>
        <w:tabs>
          <w:tab w:val="left" w:pos="936" w:leader="none"/>
        </w:tabs>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ind w:left="1361" w:hanging="425"/>
        <w:tabs>
          <w:tab w:val="left" w:pos="1361" w:leader="none"/>
        </w:tabs>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ind w:left="1701" w:hanging="340"/>
        <w:tabs>
          <w:tab w:val="left" w:pos="1701" w:leader="none"/>
        </w:tabs>
      </w:pPr>
      <w:rPr>
        <w:rFonts w:hint="default" w:ascii="Symbol" w:hAnsi="Symbol"/>
        <w:b w:val="0"/>
        <w:i w:val="0"/>
        <w:caps w:val="0"/>
        <w:strike w:val="0"/>
        <w:color w:val="000000"/>
        <w:sz w:val="24"/>
        <w:szCs w:val="24"/>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7"/>
    <w:link w:val="1001"/>
    <w:uiPriority w:val="9"/>
    <w:rPr>
      <w:rFonts w:ascii="Arial" w:hAnsi="Arial" w:eastAsia="Arial" w:cs="Arial"/>
      <w:sz w:val="40"/>
      <w:szCs w:val="40"/>
    </w:rPr>
  </w:style>
  <w:style w:type="character" w:styleId="846">
    <w:name w:val="Heading 2 Char"/>
    <w:basedOn w:val="1007"/>
    <w:link w:val="1002"/>
    <w:uiPriority w:val="9"/>
    <w:rPr>
      <w:rFonts w:ascii="Arial" w:hAnsi="Arial" w:eastAsia="Arial" w:cs="Arial"/>
      <w:sz w:val="34"/>
    </w:rPr>
  </w:style>
  <w:style w:type="character" w:styleId="847">
    <w:name w:val="Heading 3 Char"/>
    <w:basedOn w:val="1007"/>
    <w:link w:val="1003"/>
    <w:uiPriority w:val="9"/>
    <w:rPr>
      <w:rFonts w:ascii="Arial" w:hAnsi="Arial" w:eastAsia="Arial" w:cs="Arial"/>
      <w:sz w:val="30"/>
      <w:szCs w:val="30"/>
    </w:rPr>
  </w:style>
  <w:style w:type="character" w:styleId="848">
    <w:name w:val="Heading 4 Char"/>
    <w:basedOn w:val="1007"/>
    <w:link w:val="1004"/>
    <w:uiPriority w:val="9"/>
    <w:rPr>
      <w:rFonts w:ascii="Arial" w:hAnsi="Arial" w:eastAsia="Arial" w:cs="Arial"/>
      <w:b/>
      <w:bCs/>
      <w:sz w:val="26"/>
      <w:szCs w:val="26"/>
    </w:rPr>
  </w:style>
  <w:style w:type="character" w:styleId="849">
    <w:name w:val="Heading 5 Char"/>
    <w:basedOn w:val="1007"/>
    <w:link w:val="1005"/>
    <w:uiPriority w:val="9"/>
    <w:rPr>
      <w:rFonts w:ascii="Arial" w:hAnsi="Arial" w:eastAsia="Arial" w:cs="Arial"/>
      <w:b/>
      <w:bCs/>
      <w:sz w:val="24"/>
      <w:szCs w:val="24"/>
    </w:rPr>
  </w:style>
  <w:style w:type="paragraph" w:styleId="850">
    <w:name w:val="Heading 6"/>
    <w:basedOn w:val="1000"/>
    <w:next w:val="1000"/>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basedOn w:val="1007"/>
    <w:link w:val="850"/>
    <w:uiPriority w:val="9"/>
    <w:rPr>
      <w:rFonts w:ascii="Arial" w:hAnsi="Arial" w:eastAsia="Arial" w:cs="Arial"/>
      <w:b/>
      <w:bCs/>
      <w:sz w:val="22"/>
      <w:szCs w:val="22"/>
    </w:rPr>
  </w:style>
  <w:style w:type="character" w:styleId="852">
    <w:name w:val="Heading 7 Char"/>
    <w:basedOn w:val="1007"/>
    <w:link w:val="1006"/>
    <w:uiPriority w:val="9"/>
    <w:rPr>
      <w:rFonts w:ascii="Arial" w:hAnsi="Arial" w:eastAsia="Arial" w:cs="Arial"/>
      <w:b/>
      <w:bCs/>
      <w:i/>
      <w:iCs/>
      <w:sz w:val="22"/>
      <w:szCs w:val="22"/>
    </w:rPr>
  </w:style>
  <w:style w:type="paragraph" w:styleId="853">
    <w:name w:val="Heading 8"/>
    <w:basedOn w:val="1000"/>
    <w:next w:val="1000"/>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basedOn w:val="1007"/>
    <w:link w:val="853"/>
    <w:uiPriority w:val="9"/>
    <w:rPr>
      <w:rFonts w:ascii="Arial" w:hAnsi="Arial" w:eastAsia="Arial" w:cs="Arial"/>
      <w:i/>
      <w:iCs/>
      <w:sz w:val="22"/>
      <w:szCs w:val="22"/>
    </w:rPr>
  </w:style>
  <w:style w:type="paragraph" w:styleId="855">
    <w:name w:val="Heading 9"/>
    <w:basedOn w:val="1000"/>
    <w:next w:val="1000"/>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basedOn w:val="1007"/>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character" w:styleId="858">
    <w:name w:val="Title Char"/>
    <w:basedOn w:val="1007"/>
    <w:link w:val="1042"/>
    <w:uiPriority w:val="10"/>
    <w:rPr>
      <w:sz w:val="48"/>
      <w:szCs w:val="48"/>
    </w:rPr>
  </w:style>
  <w:style w:type="character" w:styleId="859">
    <w:name w:val="Subtitle Char"/>
    <w:basedOn w:val="1007"/>
    <w:link w:val="1033"/>
    <w:uiPriority w:val="11"/>
    <w:rPr>
      <w:sz w:val="24"/>
      <w:szCs w:val="24"/>
    </w:rPr>
  </w:style>
  <w:style w:type="paragraph" w:styleId="860">
    <w:name w:val="Quote"/>
    <w:basedOn w:val="1000"/>
    <w:next w:val="1000"/>
    <w:link w:val="861"/>
    <w:uiPriority w:val="29"/>
    <w:qFormat/>
    <w:pPr>
      <w:ind w:left="720" w:right="720"/>
    </w:pPr>
    <w:rPr>
      <w:i/>
    </w:rPr>
  </w:style>
  <w:style w:type="character" w:styleId="861">
    <w:name w:val="Quote Char"/>
    <w:link w:val="860"/>
    <w:uiPriority w:val="29"/>
    <w:rPr>
      <w:i/>
    </w:rPr>
  </w:style>
  <w:style w:type="paragraph" w:styleId="862">
    <w:name w:val="Intense Quote"/>
    <w:basedOn w:val="1000"/>
    <w:next w:val="1000"/>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character" w:styleId="864">
    <w:name w:val="Header Char"/>
    <w:basedOn w:val="1007"/>
    <w:link w:val="1030"/>
    <w:uiPriority w:val="99"/>
  </w:style>
  <w:style w:type="character" w:styleId="865">
    <w:name w:val="Footer Char"/>
    <w:basedOn w:val="1007"/>
    <w:link w:val="1028"/>
    <w:uiPriority w:val="99"/>
  </w:style>
  <w:style w:type="character" w:styleId="866">
    <w:name w:val="Caption Char"/>
    <w:basedOn w:val="1012"/>
    <w:link w:val="1028"/>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2">
    <w:name w:val="footnote text"/>
    <w:basedOn w:val="1000"/>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basedOn w:val="1007"/>
    <w:uiPriority w:val="99"/>
    <w:unhideWhenUsed/>
    <w:rPr>
      <w:vertAlign w:val="superscript"/>
    </w:rPr>
  </w:style>
  <w:style w:type="paragraph" w:styleId="995">
    <w:name w:val="endnote text"/>
    <w:basedOn w:val="1000"/>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basedOn w:val="1007"/>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01">
    <w:name w:val="Heading 1"/>
    <w:basedOn w:val="1000"/>
    <w:next w:val="1000"/>
    <w:link w:val="1053"/>
    <w:uiPriority w:val="99"/>
    <w:qFormat/>
    <w:pPr>
      <w:jc w:val="center"/>
      <w:keepNext/>
      <w:spacing w:line="440" w:lineRule="exact"/>
      <w:outlineLvl w:val="0"/>
    </w:pPr>
    <w:rPr>
      <w:rFonts w:ascii="宋体"/>
      <w:sz w:val="28"/>
    </w:rPr>
  </w:style>
  <w:style w:type="paragraph" w:styleId="1002">
    <w:name w:val="Heading 2"/>
    <w:basedOn w:val="1000"/>
    <w:next w:val="1000"/>
    <w:uiPriority w:val="0"/>
    <w:qFormat/>
    <w:pPr>
      <w:keepLines/>
      <w:keepNext/>
      <w:spacing w:before="260" w:after="260" w:line="415" w:lineRule="auto"/>
      <w:outlineLvl w:val="1"/>
    </w:pPr>
    <w:rPr>
      <w:rFonts w:ascii="Arial" w:hAnsi="Arial" w:eastAsia="黑体"/>
      <w:b/>
      <w:bCs/>
      <w:sz w:val="32"/>
      <w:szCs w:val="32"/>
    </w:rPr>
  </w:style>
  <w:style w:type="paragraph" w:styleId="1003">
    <w:name w:val="Heading 3"/>
    <w:basedOn w:val="1000"/>
    <w:next w:val="1000"/>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004">
    <w:name w:val="Heading 4"/>
    <w:basedOn w:val="1000"/>
    <w:next w:val="1000"/>
    <w:uiPriority w:val="0"/>
    <w:qFormat/>
    <w:pPr>
      <w:keepLines/>
      <w:keepNext/>
      <w:spacing w:before="280" w:after="290" w:line="372" w:lineRule="auto"/>
      <w:outlineLvl w:val="3"/>
    </w:pPr>
    <w:rPr>
      <w:rFonts w:ascii="Arial" w:hAnsi="Arial" w:eastAsia="黑体" w:cs="Arial"/>
      <w:b/>
      <w:bCs/>
      <w:sz w:val="28"/>
      <w:szCs w:val="28"/>
    </w:rPr>
  </w:style>
  <w:style w:type="paragraph" w:styleId="1005">
    <w:name w:val="Heading 5"/>
    <w:basedOn w:val="1000"/>
    <w:next w:val="1000"/>
    <w:uiPriority w:val="0"/>
    <w:qFormat/>
    <w:pPr>
      <w:ind w:left="598"/>
      <w:spacing w:before="1"/>
      <w:outlineLvl w:val="4"/>
    </w:pPr>
    <w:rPr>
      <w:rFonts w:ascii="宋体" w:hAnsi="宋体" w:cs="宋体"/>
      <w:b/>
      <w:bCs/>
      <w:sz w:val="24"/>
      <w:szCs w:val="24"/>
      <w:lang w:val="zh-CN" w:bidi="zh-CN"/>
    </w:rPr>
  </w:style>
  <w:style w:type="paragraph" w:styleId="1006">
    <w:name w:val="Heading 7"/>
    <w:basedOn w:val="1000"/>
    <w:next w:val="1000"/>
    <w:uiPriority w:val="1"/>
    <w:qFormat/>
    <w:pPr>
      <w:ind w:left="1018"/>
      <w:outlineLvl w:val="6"/>
    </w:pPr>
    <w:rPr>
      <w:rFonts w:ascii="宋体" w:hAnsi="宋体" w:cs="宋体"/>
      <w:b/>
      <w:bCs/>
      <w:szCs w:val="21"/>
      <w:lang w:val="zh-CN" w:bidi="zh-CN"/>
    </w:rPr>
  </w:style>
  <w:style w:type="character" w:styleId="1007" w:default="1">
    <w:name w:val="Default Paragraph Font"/>
    <w:uiPriority w:val="1"/>
    <w:unhideWhenUsed/>
    <w:qFormat/>
  </w:style>
  <w:style w:type="table" w:styleId="1008" w:default="1">
    <w:name w:val="Normal Table"/>
    <w:uiPriority w:val="99"/>
    <w:unhideWhenUsed/>
    <w:qFormat/>
    <w:tblPr>
      <w:tblCellMar>
        <w:left w:w="108" w:type="dxa"/>
        <w:top w:w="0" w:type="dxa"/>
        <w:right w:w="108" w:type="dxa"/>
        <w:bottom w:w="0" w:type="dxa"/>
      </w:tblCellMar>
    </w:tblPr>
  </w:style>
  <w:style w:type="paragraph" w:styleId="1009">
    <w:name w:val="List 3"/>
    <w:basedOn w:val="1000"/>
    <w:uiPriority w:val="0"/>
    <w:qFormat/>
    <w:pPr>
      <w:contextualSpacing/>
      <w:ind w:left="600" w:hanging="200"/>
    </w:pPr>
  </w:style>
  <w:style w:type="paragraph" w:styleId="1010">
    <w:name w:val="toc 7"/>
    <w:basedOn w:val="1000"/>
    <w:next w:val="1000"/>
    <w:uiPriority w:val="0"/>
    <w:qFormat/>
    <w:pPr>
      <w:ind w:left="1200"/>
    </w:pPr>
  </w:style>
  <w:style w:type="paragraph" w:styleId="1011">
    <w:name w:val="Normal Indent"/>
    <w:basedOn w:val="1000"/>
    <w:link w:val="1054"/>
    <w:uiPriority w:val="0"/>
    <w:qFormat/>
    <w:pPr>
      <w:ind w:firstLine="420"/>
    </w:pPr>
    <w:rPr>
      <w:b/>
      <w:sz w:val="24"/>
    </w:rPr>
  </w:style>
  <w:style w:type="paragraph" w:styleId="1012">
    <w:name w:val="Caption"/>
    <w:basedOn w:val="1000"/>
    <w:next w:val="1000"/>
    <w:uiPriority w:val="0"/>
    <w:qFormat/>
    <w:pPr>
      <w:jc w:val="center"/>
    </w:pPr>
    <w:rPr>
      <w:rFonts w:cs="Arial"/>
    </w:rPr>
  </w:style>
  <w:style w:type="paragraph" w:styleId="1013">
    <w:name w:val="Document Map"/>
    <w:basedOn w:val="1000"/>
    <w:uiPriority w:val="0"/>
    <w:qFormat/>
    <w:rPr>
      <w:rFonts w:ascii="宋体"/>
      <w:sz w:val="18"/>
      <w:szCs w:val="18"/>
    </w:rPr>
  </w:style>
  <w:style w:type="paragraph" w:styleId="1014">
    <w:name w:val="annotation text"/>
    <w:basedOn w:val="1000"/>
    <w:link w:val="1055"/>
    <w:uiPriority w:val="0"/>
    <w:qFormat/>
    <w:pPr>
      <w:jc w:val="left"/>
    </w:pPr>
  </w:style>
  <w:style w:type="paragraph" w:styleId="1015">
    <w:name w:val="Body Text 3"/>
    <w:basedOn w:val="1000"/>
    <w:link w:val="1056"/>
    <w:uiPriority w:val="0"/>
    <w:qFormat/>
    <w:rPr>
      <w:rFonts w:ascii="仿宋_GB2312" w:hAnsi="Arial" w:eastAsia="仿宋_GB2312"/>
      <w:sz w:val="32"/>
    </w:rPr>
  </w:style>
  <w:style w:type="paragraph" w:styleId="1016">
    <w:name w:val="Body Text"/>
    <w:basedOn w:val="1000"/>
    <w:next w:val="1000"/>
    <w:uiPriority w:val="1"/>
    <w:qFormat/>
    <w:rPr>
      <w:rFonts w:ascii="宋体"/>
      <w:sz w:val="28"/>
    </w:rPr>
  </w:style>
  <w:style w:type="paragraph" w:styleId="1017">
    <w:name w:val="Body Text Indent"/>
    <w:basedOn w:val="1000"/>
    <w:link w:val="1057"/>
    <w:uiPriority w:val="0"/>
    <w:qFormat/>
    <w:pPr>
      <w:ind w:firstLine="420"/>
      <w:spacing w:line="360" w:lineRule="auto"/>
    </w:pPr>
    <w:rPr>
      <w:rFonts w:ascii="宋体"/>
      <w:sz w:val="24"/>
    </w:rPr>
  </w:style>
  <w:style w:type="paragraph" w:styleId="1018">
    <w:name w:val="List 2"/>
    <w:basedOn w:val="1000"/>
    <w:uiPriority w:val="0"/>
    <w:qFormat/>
    <w:pPr>
      <w:ind w:left="400" w:hanging="200"/>
    </w:pPr>
  </w:style>
  <w:style w:type="paragraph" w:styleId="1019">
    <w:name w:val="Block Text"/>
    <w:basedOn w:val="1000"/>
    <w:uiPriority w:val="0"/>
    <w:qFormat/>
    <w:pPr>
      <w:ind w:left="540" w:right="26"/>
    </w:pPr>
    <w:rPr>
      <w:sz w:val="24"/>
    </w:rPr>
  </w:style>
  <w:style w:type="paragraph" w:styleId="1020">
    <w:name w:val="index 4"/>
    <w:basedOn w:val="1000"/>
    <w:next w:val="1000"/>
    <w:uiPriority w:val="99"/>
    <w:unhideWhenUsed/>
    <w:qFormat/>
    <w:pPr>
      <w:ind w:left="600"/>
    </w:pPr>
    <w:rPr>
      <w:rFonts w:ascii="宋体"/>
      <w:b/>
      <w:position w:val="-10"/>
      <w:sz w:val="24"/>
      <w:szCs w:val="20"/>
    </w:rPr>
  </w:style>
  <w:style w:type="paragraph" w:styleId="1021">
    <w:name w:val="toc 5"/>
    <w:basedOn w:val="1000"/>
    <w:next w:val="1000"/>
    <w:uiPriority w:val="0"/>
    <w:qFormat/>
    <w:pPr>
      <w:ind w:left="800"/>
    </w:pPr>
  </w:style>
  <w:style w:type="paragraph" w:styleId="1022">
    <w:name w:val="toc 3"/>
    <w:basedOn w:val="1000"/>
    <w:next w:val="1000"/>
    <w:uiPriority w:val="39"/>
    <w:qFormat/>
    <w:pPr>
      <w:ind w:left="400"/>
    </w:pPr>
  </w:style>
  <w:style w:type="paragraph" w:styleId="1023">
    <w:name w:val="Plain Text"/>
    <w:basedOn w:val="1000"/>
    <w:link w:val="1058"/>
    <w:uiPriority w:val="0"/>
    <w:qFormat/>
    <w:rPr>
      <w:rFonts w:ascii="宋体"/>
    </w:rPr>
  </w:style>
  <w:style w:type="paragraph" w:styleId="1024">
    <w:name w:val="toc 8"/>
    <w:basedOn w:val="1000"/>
    <w:next w:val="1000"/>
    <w:uiPriority w:val="0"/>
    <w:qFormat/>
    <w:pPr>
      <w:ind w:left="1400"/>
    </w:pPr>
  </w:style>
  <w:style w:type="paragraph" w:styleId="1025">
    <w:name w:val="Date"/>
    <w:basedOn w:val="1000"/>
    <w:next w:val="1000"/>
    <w:uiPriority w:val="0"/>
    <w:qFormat/>
    <w:rPr>
      <w:rFonts w:ascii="宋体"/>
    </w:rPr>
  </w:style>
  <w:style w:type="paragraph" w:styleId="1026">
    <w:name w:val="Body Text Indent 2"/>
    <w:basedOn w:val="1000"/>
    <w:uiPriority w:val="0"/>
    <w:qFormat/>
    <w:pPr>
      <w:ind w:firstLine="525"/>
      <w:spacing w:line="420" w:lineRule="exact"/>
    </w:pPr>
    <w:rPr>
      <w:rFonts w:ascii="宋体"/>
    </w:rPr>
  </w:style>
  <w:style w:type="paragraph" w:styleId="1027">
    <w:name w:val="Balloon Text"/>
    <w:basedOn w:val="1000"/>
    <w:uiPriority w:val="0"/>
    <w:qFormat/>
    <w:rPr>
      <w:sz w:val="18"/>
      <w:szCs w:val="18"/>
    </w:rPr>
  </w:style>
  <w:style w:type="paragraph" w:styleId="1028">
    <w:name w:val="Footer"/>
    <w:basedOn w:val="1000"/>
    <w:uiPriority w:val="99"/>
    <w:qFormat/>
    <w:pPr>
      <w:jc w:val="left"/>
      <w:tabs>
        <w:tab w:val="center" w:pos="4153" w:leader="none"/>
        <w:tab w:val="right" w:pos="8306" w:leader="none"/>
      </w:tabs>
    </w:pPr>
    <w:rPr>
      <w:sz w:val="18"/>
    </w:rPr>
  </w:style>
  <w:style w:type="paragraph" w:styleId="1029">
    <w:name w:val="envelope return"/>
    <w:basedOn w:val="1000"/>
    <w:uiPriority w:val="99"/>
    <w:qFormat/>
    <w:rPr>
      <w:rFonts w:ascii="Arial" w:hAnsi="Arial"/>
    </w:rPr>
  </w:style>
  <w:style w:type="paragraph" w:styleId="1030">
    <w:name w:val="Header"/>
    <w:basedOn w:val="1000"/>
    <w:uiPriority w:val="0"/>
    <w:qFormat/>
    <w:pPr>
      <w:jc w:val="center"/>
      <w:tabs>
        <w:tab w:val="center" w:pos="4153" w:leader="none"/>
        <w:tab w:val="right" w:pos="8306" w:leader="none"/>
      </w:tabs>
      <w:pBdr>
        <w:bottom w:val="single" w:color="auto" w:sz="6" w:space="1"/>
      </w:pBdr>
    </w:pPr>
    <w:rPr>
      <w:sz w:val="18"/>
    </w:rPr>
  </w:style>
  <w:style w:type="paragraph" w:styleId="1031">
    <w:name w:val="toc 1"/>
    <w:basedOn w:val="1000"/>
    <w:next w:val="1000"/>
    <w:uiPriority w:val="39"/>
    <w:qFormat/>
  </w:style>
  <w:style w:type="paragraph" w:styleId="1032">
    <w:name w:val="toc 4"/>
    <w:basedOn w:val="1000"/>
    <w:next w:val="1000"/>
    <w:uiPriority w:val="0"/>
    <w:qFormat/>
    <w:pPr>
      <w:ind w:left="600"/>
    </w:pPr>
  </w:style>
  <w:style w:type="paragraph" w:styleId="1033">
    <w:name w:val="Subtitle"/>
    <w:basedOn w:val="1000"/>
    <w:next w:val="1000"/>
    <w:uiPriority w:val="0"/>
    <w:qFormat/>
    <w:pPr>
      <w:jc w:val="center"/>
      <w:spacing w:before="240" w:after="60" w:line="312" w:lineRule="auto"/>
      <w:outlineLvl w:val="1"/>
    </w:pPr>
    <w:rPr>
      <w:rFonts w:ascii="Cambria" w:hAnsi="Cambria"/>
      <w:b/>
      <w:bCs/>
      <w:sz w:val="32"/>
      <w:szCs w:val="32"/>
    </w:rPr>
  </w:style>
  <w:style w:type="paragraph" w:styleId="1034">
    <w:name w:val="toc 6"/>
    <w:basedOn w:val="1000"/>
    <w:next w:val="1000"/>
    <w:uiPriority w:val="0"/>
    <w:qFormat/>
    <w:pPr>
      <w:ind w:left="1000"/>
    </w:pPr>
  </w:style>
  <w:style w:type="paragraph" w:styleId="1035">
    <w:name w:val="Body Text Indent 3"/>
    <w:basedOn w:val="1000"/>
    <w:uiPriority w:val="0"/>
    <w:qFormat/>
    <w:pPr>
      <w:ind w:firstLine="100"/>
    </w:pPr>
    <w:rPr>
      <w:rFonts w:eastAsia="华文新魏"/>
      <w:b/>
      <w:bCs/>
      <w:sz w:val="84"/>
    </w:rPr>
  </w:style>
  <w:style w:type="paragraph" w:styleId="1036">
    <w:name w:val="toc 2"/>
    <w:basedOn w:val="1000"/>
    <w:next w:val="1000"/>
    <w:uiPriority w:val="39"/>
    <w:qFormat/>
    <w:pPr>
      <w:ind w:left="200"/>
    </w:pPr>
  </w:style>
  <w:style w:type="paragraph" w:styleId="1037">
    <w:name w:val="toc 9"/>
    <w:basedOn w:val="1000"/>
    <w:next w:val="1000"/>
    <w:uiPriority w:val="0"/>
    <w:qFormat/>
    <w:pPr>
      <w:ind w:left="1600"/>
    </w:pPr>
  </w:style>
  <w:style w:type="paragraph" w:styleId="1038">
    <w:name w:val="Body Text 2"/>
    <w:basedOn w:val="1000"/>
    <w:link w:val="1059"/>
    <w:uiPriority w:val="0"/>
    <w:qFormat/>
    <w:pPr>
      <w:jc w:val="center"/>
    </w:pPr>
    <w:rPr>
      <w:rFonts w:ascii="仿宋_GB2312" w:eastAsia="仿宋_GB2312"/>
      <w:sz w:val="44"/>
      <w:szCs w:val="24"/>
    </w:rPr>
  </w:style>
  <w:style w:type="paragraph" w:styleId="1039">
    <w:name w:val="HTML Preformatted"/>
    <w:basedOn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040">
    <w:name w:val="Normal (Web)"/>
    <w:basedOn w:val="1000"/>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41">
    <w:name w:val="index 1"/>
    <w:basedOn w:val="1000"/>
    <w:next w:val="1000"/>
    <w:uiPriority w:val="0"/>
    <w:qFormat/>
    <w:rPr>
      <w:rFonts w:ascii="宋体" w:hAnsi="宋体"/>
      <w:szCs w:val="18"/>
    </w:rPr>
  </w:style>
  <w:style w:type="paragraph" w:styleId="1042">
    <w:name w:val="Title"/>
    <w:basedOn w:val="1000"/>
    <w:uiPriority w:val="0"/>
    <w:qFormat/>
    <w:pPr>
      <w:jc w:val="center"/>
    </w:pPr>
    <w:rPr>
      <w:sz w:val="30"/>
      <w:szCs w:val="24"/>
    </w:rPr>
  </w:style>
  <w:style w:type="paragraph" w:styleId="1043">
    <w:name w:val="annotation subject"/>
    <w:basedOn w:val="1014"/>
    <w:next w:val="1014"/>
    <w:link w:val="1060"/>
    <w:uiPriority w:val="0"/>
    <w:qFormat/>
    <w:rPr>
      <w:b/>
      <w:bCs/>
    </w:rPr>
  </w:style>
  <w:style w:type="paragraph" w:styleId="1044">
    <w:name w:val="Body Text First Indent"/>
    <w:basedOn w:val="1016"/>
    <w:uiPriority w:val="0"/>
    <w:qFormat/>
    <w:pPr>
      <w:ind w:firstLine="420"/>
    </w:pPr>
  </w:style>
  <w:style w:type="paragraph" w:styleId="1045">
    <w:name w:val="Body Text First Indent 2"/>
    <w:basedOn w:val="1017"/>
    <w:uiPriority w:val="0"/>
    <w:qFormat/>
    <w:pPr>
      <w:ind w:left="420"/>
      <w:spacing w:after="120" w:line="240" w:lineRule="auto"/>
    </w:pPr>
    <w:rPr>
      <w:sz w:val="21"/>
    </w:rPr>
  </w:style>
  <w:style w:type="table" w:styleId="1046">
    <w:name w:val="Table Grid"/>
    <w:basedOn w:val="10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7">
    <w:name w:val="Strong"/>
    <w:uiPriority w:val="0"/>
    <w:qFormat/>
    <w:rPr>
      <w:b/>
      <w:bCs/>
    </w:rPr>
  </w:style>
  <w:style w:type="character" w:styleId="1048">
    <w:name w:val="page number"/>
    <w:basedOn w:val="1007"/>
    <w:uiPriority w:val="0"/>
    <w:qFormat/>
  </w:style>
  <w:style w:type="character" w:styleId="1049">
    <w:name w:val="FollowedHyperlink"/>
    <w:basedOn w:val="1007"/>
    <w:uiPriority w:val="0"/>
    <w:qFormat/>
    <w:rPr>
      <w:color w:val="800080"/>
      <w:u w:val="single"/>
    </w:rPr>
  </w:style>
  <w:style w:type="character" w:styleId="1050">
    <w:name w:val="Emphasis"/>
    <w:basedOn w:val="1007"/>
    <w:uiPriority w:val="20"/>
    <w:qFormat/>
    <w:rPr>
      <w:i/>
    </w:rPr>
  </w:style>
  <w:style w:type="character" w:styleId="1051">
    <w:name w:val="Hyperlink"/>
    <w:uiPriority w:val="0"/>
    <w:qFormat/>
    <w:rPr>
      <w:color w:val="000000"/>
      <w:sz w:val="18"/>
      <w:szCs w:val="18"/>
      <w:u w:val="none"/>
    </w:rPr>
  </w:style>
  <w:style w:type="character" w:styleId="1052">
    <w:name w:val="annotation reference"/>
    <w:uiPriority w:val="0"/>
    <w:qFormat/>
    <w:rPr>
      <w:sz w:val="21"/>
      <w:szCs w:val="21"/>
    </w:rPr>
  </w:style>
  <w:style w:type="character" w:styleId="1053" w:customStyle="1">
    <w:name w:val="标题 1 字符"/>
    <w:link w:val="1001"/>
    <w:uiPriority w:val="99"/>
    <w:qFormat/>
    <w:rPr>
      <w:rFonts w:ascii="宋体"/>
      <w:sz w:val="28"/>
    </w:rPr>
  </w:style>
  <w:style w:type="character" w:styleId="1054" w:customStyle="1">
    <w:name w:val="正文缩进 字符"/>
    <w:link w:val="1011"/>
    <w:uiPriority w:val="0"/>
    <w:qFormat/>
    <w:rPr>
      <w:b/>
      <w:sz w:val="24"/>
    </w:rPr>
  </w:style>
  <w:style w:type="character" w:styleId="1055" w:customStyle="1">
    <w:name w:val="批注文字 字符"/>
    <w:link w:val="1014"/>
    <w:uiPriority w:val="0"/>
    <w:qFormat/>
    <w:rPr>
      <w:sz w:val="21"/>
    </w:rPr>
  </w:style>
  <w:style w:type="character" w:styleId="1056" w:customStyle="1">
    <w:name w:val="正文文本 3 字符"/>
    <w:basedOn w:val="1007"/>
    <w:link w:val="1015"/>
    <w:uiPriority w:val="0"/>
    <w:qFormat/>
    <w:rPr>
      <w:rFonts w:ascii="仿宋_GB2312" w:hAnsi="Arial" w:eastAsia="仿宋_GB2312"/>
      <w:sz w:val="32"/>
    </w:rPr>
  </w:style>
  <w:style w:type="character" w:styleId="1057" w:customStyle="1">
    <w:name w:val="正文文本缩进 字符"/>
    <w:link w:val="1017"/>
    <w:uiPriority w:val="0"/>
    <w:qFormat/>
    <w:rPr>
      <w:rFonts w:ascii="宋体"/>
      <w:sz w:val="24"/>
    </w:rPr>
  </w:style>
  <w:style w:type="character" w:styleId="1058" w:customStyle="1">
    <w:name w:val="纯文本 字符"/>
    <w:link w:val="1023"/>
    <w:uiPriority w:val="0"/>
    <w:qFormat/>
    <w:rPr>
      <w:rFonts w:ascii="宋体"/>
      <w:sz w:val="21"/>
    </w:rPr>
  </w:style>
  <w:style w:type="character" w:styleId="1059" w:customStyle="1">
    <w:name w:val="正文文本 2 字符"/>
    <w:basedOn w:val="1007"/>
    <w:link w:val="1038"/>
    <w:uiPriority w:val="0"/>
    <w:qFormat/>
    <w:rPr>
      <w:rFonts w:ascii="仿宋_GB2312" w:eastAsia="仿宋_GB2312"/>
      <w:sz w:val="44"/>
      <w:szCs w:val="24"/>
    </w:rPr>
  </w:style>
  <w:style w:type="character" w:styleId="1060" w:customStyle="1">
    <w:name w:val="批注主题 字符"/>
    <w:link w:val="1043"/>
    <w:uiPriority w:val="0"/>
    <w:qFormat/>
    <w:rPr>
      <w:b/>
      <w:bCs/>
      <w:sz w:val="21"/>
    </w:rPr>
  </w:style>
  <w:style w:type="paragraph" w:styleId="1061" w:customStyle="1">
    <w:name w:val="二级条标题"/>
    <w:basedOn w:val="1062"/>
    <w:next w:val="1000"/>
    <w:uiPriority w:val="0"/>
    <w:qFormat/>
    <w:pPr>
      <w:outlineLvl w:val="2"/>
    </w:pPr>
    <w:rPr>
      <w:szCs w:val="24"/>
    </w:rPr>
  </w:style>
  <w:style w:type="paragraph" w:styleId="1062" w:customStyle="1">
    <w:name w:val="一级条标题"/>
    <w:basedOn w:val="1063"/>
    <w:next w:val="1000"/>
    <w:uiPriority w:val="0"/>
    <w:qFormat/>
    <w:pPr>
      <w:outlineLvl w:val="1"/>
    </w:pPr>
    <w:rPr>
      <w:sz w:val="24"/>
    </w:rPr>
  </w:style>
  <w:style w:type="paragraph" w:styleId="1063" w:customStyle="1">
    <w:name w:val="章标题"/>
    <w:basedOn w:val="1000"/>
    <w:next w:val="1000"/>
    <w:uiPriority w:val="0"/>
    <w:qFormat/>
    <w:pPr>
      <w:numPr>
        <w:ilvl w:val="0"/>
        <w:numId w:val="1"/>
      </w:numPr>
      <w:ind w:left="0"/>
      <w:jc w:val="left"/>
      <w:outlineLvl w:val="0"/>
    </w:pPr>
    <w:rPr>
      <w:b/>
      <w:sz w:val="28"/>
      <w:szCs w:val="28"/>
    </w:rPr>
  </w:style>
  <w:style w:type="paragraph" w:styleId="1064" w:customStyle="1">
    <w:name w:val="Char Char Char Char Char Char Char"/>
    <w:basedOn w:val="1000"/>
    <w:uiPriority w:val="0"/>
    <w:qFormat/>
    <w:pPr>
      <w:ind w:left="432" w:hanging="432"/>
      <w:jc w:val="center"/>
      <w:tabs>
        <w:tab w:val="left" w:pos="432" w:leader="none"/>
      </w:tabs>
    </w:pPr>
    <w:rPr>
      <w:rFonts w:ascii="仿宋_GB2312" w:hAnsi="仿宋_GB2312" w:eastAsia="仿宋_GB2312"/>
      <w:sz w:val="24"/>
      <w:szCs w:val="24"/>
    </w:rPr>
  </w:style>
  <w:style w:type="paragraph" w:styleId="1065" w:customStyle="1">
    <w:name w:val="Char Char Char Char Char Char Char1"/>
    <w:basedOn w:val="1000"/>
    <w:uiPriority w:val="0"/>
    <w:qFormat/>
    <w:rPr>
      <w:rFonts w:ascii="Tahoma" w:hAnsi="Tahoma" w:cs="仿宋_GB2312"/>
      <w:sz w:val="24"/>
      <w:szCs w:val="28"/>
    </w:rPr>
  </w:style>
  <w:style w:type="paragraph" w:styleId="1066" w:customStyle="1">
    <w:name w:val="正文文本首行缩进1"/>
    <w:basedOn w:val="1016"/>
    <w:uiPriority w:val="0"/>
    <w:qFormat/>
    <w:pPr>
      <w:ind w:firstLine="420"/>
    </w:pPr>
  </w:style>
  <w:style w:type="paragraph" w:styleId="1067" w:customStyle="1">
    <w:name w:val="表中字"/>
    <w:basedOn w:val="1000"/>
    <w:uiPriority w:val="0"/>
    <w:qFormat/>
    <w:pPr>
      <w:jc w:val="center"/>
    </w:pPr>
    <w:rPr>
      <w:szCs w:val="21"/>
    </w:rPr>
  </w:style>
  <w:style w:type="paragraph" w:styleId="1068" w:customStyle="1">
    <w:name w:val="Char Char"/>
    <w:basedOn w:val="1000"/>
    <w:uiPriority w:val="0"/>
    <w:qFormat/>
    <w:pPr>
      <w:ind w:left="360" w:hanging="360"/>
    </w:pPr>
    <w:rPr>
      <w:sz w:val="24"/>
      <w:szCs w:val="24"/>
    </w:rPr>
  </w:style>
  <w:style w:type="paragraph" w:styleId="1069" w:customStyle="1">
    <w:name w:val="正文1"/>
    <w:basedOn w:val="1000"/>
    <w:uiPriority w:val="0"/>
    <w:qFormat/>
    <w:pPr>
      <w:jc w:val="left"/>
      <w:spacing w:after="200" w:line="300" w:lineRule="atLeast"/>
      <w:widowControl/>
    </w:pPr>
    <w:rPr>
      <w:rFonts w:ascii="Calibri" w:hAnsi="Calibri" w:cs="宋体"/>
      <w:sz w:val="22"/>
      <w:szCs w:val="22"/>
    </w:rPr>
  </w:style>
  <w:style w:type="paragraph" w:styleId="1070" w:customStyle="1">
    <w:name w:val="彩色列表 - 强调文字颜色 11"/>
    <w:basedOn w:val="1000"/>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71" w:customStyle="1">
    <w:name w:val="图片格式"/>
    <w:basedOn w:val="1000"/>
    <w:next w:val="1000"/>
    <w:uiPriority w:val="0"/>
    <w:qFormat/>
    <w:pPr>
      <w:jc w:val="center"/>
      <w:keepNext/>
    </w:pPr>
  </w:style>
  <w:style w:type="paragraph" w:styleId="1072" w:customStyle="1">
    <w:name w:val="列表段落1"/>
    <w:basedOn w:val="1000"/>
    <w:uiPriority w:val="0"/>
    <w:qFormat/>
    <w:pPr>
      <w:ind w:firstLine="200"/>
    </w:pPr>
    <w:rPr>
      <w:rFonts w:ascii="Calibri" w:hAnsi="Calibri"/>
      <w:szCs w:val="22"/>
    </w:rPr>
  </w:style>
  <w:style w:type="paragraph" w:styleId="1073" w:customStyle="1">
    <w:name w:val="简单回函地址"/>
    <w:basedOn w:val="1000"/>
    <w:uiPriority w:val="0"/>
    <w:qFormat/>
    <w:rPr>
      <w:szCs w:val="24"/>
    </w:rPr>
  </w:style>
  <w:style w:type="paragraph" w:styleId="1074" w:customStyle="1">
    <w:name w:val="Table Sub Section"/>
    <w:basedOn w:val="1000"/>
    <w:uiPriority w:val="0"/>
    <w:qFormat/>
    <w:pPr>
      <w:jc w:val="left"/>
      <w:keepNext/>
      <w:spacing w:before="160" w:after="160" w:line="276" w:lineRule="auto"/>
      <w:widowControl/>
    </w:pPr>
    <w:rPr>
      <w:rFonts w:ascii="Arial" w:hAnsi="Arial"/>
      <w:b/>
      <w:color w:val="0f0f0f"/>
      <w:sz w:val="20"/>
      <w:lang w:eastAsia="en-US"/>
    </w:rPr>
  </w:style>
  <w:style w:type="paragraph" w:styleId="1075" w:customStyle="1">
    <w:name w:val="yiv1658056056msonormal"/>
    <w:basedOn w:val="1000"/>
    <w:uiPriority w:val="0"/>
    <w:qFormat/>
    <w:pPr>
      <w:jc w:val="left"/>
      <w:spacing w:before="100" w:beforeAutospacing="1" w:after="100" w:afterAutospacing="1"/>
      <w:widowControl/>
    </w:pPr>
    <w:rPr>
      <w:rFonts w:ascii="宋体" w:cs="宋体"/>
      <w:sz w:val="24"/>
      <w:szCs w:val="24"/>
    </w:rPr>
  </w:style>
  <w:style w:type="paragraph" w:styleId="1076" w:customStyle="1">
    <w:name w:val="列出段落1"/>
    <w:basedOn w:val="1000"/>
    <w:link w:val="1077"/>
    <w:uiPriority w:val="0"/>
    <w:qFormat/>
    <w:pPr>
      <w:ind w:firstLine="200"/>
    </w:pPr>
    <w:rPr>
      <w:rFonts w:ascii="Calibri" w:hAnsi="Calibri"/>
      <w:szCs w:val="22"/>
    </w:rPr>
  </w:style>
  <w:style w:type="character" w:styleId="1077" w:customStyle="1">
    <w:name w:val="列出段落 Char"/>
    <w:link w:val="1076"/>
    <w:uiPriority w:val="0"/>
    <w:qFormat/>
    <w:rPr>
      <w:rFonts w:ascii="Calibri" w:hAnsi="Calibri"/>
      <w:sz w:val="21"/>
      <w:szCs w:val="22"/>
    </w:rPr>
  </w:style>
  <w:style w:type="paragraph" w:styleId="1078" w:customStyle="1">
    <w:name w:val="样式 首行缩进:  2 字符"/>
    <w:basedOn w:val="1000"/>
    <w:uiPriority w:val="0"/>
    <w:qFormat/>
    <w:pPr>
      <w:ind w:firstLine="200"/>
      <w:spacing w:line="400" w:lineRule="exact"/>
    </w:pPr>
    <w:rPr>
      <w:rFonts w:cs="宋体"/>
      <w:sz w:val="24"/>
      <w:szCs w:val="24"/>
    </w:rPr>
  </w:style>
  <w:style w:type="paragraph" w:styleId="1079" w:customStyle="1">
    <w:name w:val="p0"/>
    <w:basedOn w:val="1000"/>
    <w:uiPriority w:val="0"/>
    <w:qFormat/>
    <w:pPr>
      <w:widowControl/>
    </w:pPr>
    <w:rPr>
      <w:szCs w:val="21"/>
    </w:rPr>
  </w:style>
  <w:style w:type="paragraph" w:styleId="1080" w:customStyle="1">
    <w:name w:val="列表段落2"/>
    <w:basedOn w:val="1000"/>
    <w:uiPriority w:val="0"/>
    <w:qFormat/>
    <w:pPr>
      <w:ind w:firstLine="200"/>
      <w:jc w:val="left"/>
      <w:spacing w:line="300" w:lineRule="auto"/>
    </w:pPr>
    <w:rPr>
      <w:szCs w:val="22"/>
    </w:rPr>
  </w:style>
  <w:style w:type="paragraph" w:styleId="1081" w:customStyle="1">
    <w:name w:val="Char Char Char"/>
    <w:basedOn w:val="1000"/>
    <w:uiPriority w:val="0"/>
    <w:qFormat/>
    <w:pPr>
      <w:jc w:val="center"/>
      <w:spacing w:line="400" w:lineRule="exact"/>
      <w:widowControl/>
    </w:pPr>
    <w:rPr>
      <w:szCs w:val="24"/>
    </w:rPr>
  </w:style>
  <w:style w:type="paragraph" w:styleId="1082" w:customStyle="1">
    <w:name w:val="编号一级列项"/>
    <w:basedOn w:val="1000"/>
    <w:uiPriority w:val="0"/>
    <w:qFormat/>
    <w:pPr>
      <w:numPr>
        <w:ilvl w:val="6"/>
        <w:numId w:val="1"/>
      </w:numPr>
      <w:ind w:firstLine="0"/>
      <w:jc w:val="left"/>
      <w:outlineLvl w:val="6"/>
    </w:pPr>
  </w:style>
  <w:style w:type="paragraph" w:styleId="108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84" w:customStyle="1">
    <w:name w:val="Normal1"/>
    <w:basedOn w:val="1000"/>
    <w:uiPriority w:val="0"/>
    <w:qFormat/>
    <w:pPr>
      <w:jc w:val="left"/>
      <w:spacing w:after="200" w:line="300" w:lineRule="atLeast"/>
      <w:widowControl/>
    </w:pPr>
    <w:rPr>
      <w:rFonts w:ascii="Calibri" w:hAnsi="Calibri" w:cs="宋体"/>
      <w:sz w:val="22"/>
      <w:szCs w:val="22"/>
    </w:rPr>
  </w:style>
  <w:style w:type="paragraph" w:styleId="1085" w:customStyle="1">
    <w:name w:val="标准文本"/>
    <w:basedOn w:val="1000"/>
    <w:uiPriority w:val="0"/>
    <w:qFormat/>
    <w:pPr>
      <w:ind w:firstLine="200"/>
      <w:spacing w:line="300" w:lineRule="auto"/>
    </w:pPr>
    <w:rPr>
      <w:rFonts w:ascii="宋体" w:cs="宋体"/>
      <w:szCs w:val="21"/>
    </w:rPr>
  </w:style>
  <w:style w:type="paragraph" w:styleId="1086" w:customStyle="1">
    <w:name w:val="正文文本首行缩进 21"/>
    <w:basedOn w:val="1000"/>
    <w:uiPriority w:val="0"/>
    <w:qFormat/>
    <w:pPr>
      <w:ind w:firstLine="200"/>
    </w:pPr>
    <w:rPr>
      <w:sz w:val="24"/>
      <w:szCs w:val="24"/>
    </w:rPr>
  </w:style>
  <w:style w:type="paragraph" w:styleId="1087"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088"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089"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090"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091"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092"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093"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094"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095"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096"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097"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098"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100"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101"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102"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103"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104" w:customStyle="1">
    <w:name w:val="列出段落2"/>
    <w:basedOn w:val="1000"/>
    <w:uiPriority w:val="99"/>
    <w:qFormat/>
    <w:pPr>
      <w:ind w:firstLine="420"/>
    </w:pPr>
    <w:rPr>
      <w:rFonts w:ascii="Calibri" w:hAnsi="Calibri"/>
      <w:szCs w:val="22"/>
    </w:rPr>
  </w:style>
  <w:style w:type="paragraph" w:styleId="1105" w:customStyle="1">
    <w:name w:val="表格"/>
    <w:basedOn w:val="1033"/>
    <w:next w:val="1000"/>
    <w:uiPriority w:val="0"/>
    <w:qFormat/>
    <w:pPr>
      <w:jc w:val="left"/>
      <w:spacing w:line="240" w:lineRule="auto"/>
      <w:widowControl/>
      <w:outlineLvl w:val="9"/>
    </w:pPr>
    <w:rPr>
      <w:rFonts w:eastAsia="仿宋"/>
      <w:b w:val="0"/>
      <w:sz w:val="21"/>
    </w:rPr>
  </w:style>
  <w:style w:type="paragraph" w:styleId="1106" w:customStyle="1">
    <w:name w:val="列表段落3"/>
    <w:basedOn w:val="1000"/>
    <w:uiPriority w:val="34"/>
    <w:qFormat/>
    <w:pPr>
      <w:ind w:firstLine="420"/>
    </w:pPr>
    <w:rPr>
      <w:rFonts w:ascii="Calibri" w:hAnsi="Calibri"/>
      <w:szCs w:val="22"/>
    </w:rPr>
  </w:style>
  <w:style w:type="paragraph" w:styleId="1107"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108" w:customStyle="1">
    <w:name w:val="访问过的超链接1"/>
    <w:uiPriority w:val="0"/>
    <w:qFormat/>
    <w:rPr>
      <w:color w:val="000000"/>
      <w:sz w:val="18"/>
      <w:szCs w:val="18"/>
      <w:u w:val="none"/>
    </w:rPr>
  </w:style>
  <w:style w:type="character" w:styleId="1109" w:customStyle="1">
    <w:name w:val="c lh15"/>
    <w:basedOn w:val="1007"/>
    <w:uiPriority w:val="0"/>
    <w:qFormat/>
  </w:style>
  <w:style w:type="character" w:styleId="1110" w:customStyle="1">
    <w:name w:val="style21"/>
    <w:uiPriority w:val="0"/>
    <w:qFormat/>
    <w:rPr>
      <w:sz w:val="18"/>
      <w:szCs w:val="18"/>
    </w:rPr>
  </w:style>
  <w:style w:type="character" w:styleId="1111" w:customStyle="1">
    <w:name w:val="A13"/>
    <w:uiPriority w:val="0"/>
    <w:qFormat/>
    <w:rPr>
      <w:rFonts w:ascii="Univers LT Std 45 Light" w:eastAsia="Univers LT Std 45 Light" w:cs="Univers LT Std 45 Light"/>
      <w:color w:val="221e1f"/>
      <w:sz w:val="10"/>
      <w:szCs w:val="10"/>
    </w:rPr>
  </w:style>
  <w:style w:type="character" w:styleId="1112" w:customStyle="1">
    <w:name w:val="页脚 字符"/>
    <w:uiPriority w:val="99"/>
    <w:qFormat/>
  </w:style>
  <w:style w:type="character" w:styleId="1113" w:customStyle="1">
    <w:name w:val="font21"/>
    <w:uiPriority w:val="0"/>
    <w:qFormat/>
    <w:rPr>
      <w:rFonts w:ascii="宋体" w:eastAsia="宋体" w:cs="宋体"/>
      <w:color w:val="000000"/>
      <w:sz w:val="20"/>
      <w:szCs w:val="20"/>
      <w:u w:val="none"/>
      <w:lang w:bidi="ar-SA"/>
    </w:rPr>
  </w:style>
  <w:style w:type="character" w:styleId="1114" w:customStyle="1">
    <w:name w:val="font31"/>
    <w:uiPriority w:val="0"/>
    <w:qFormat/>
    <w:rPr>
      <w:rFonts w:ascii="宋体" w:eastAsia="宋体" w:cs="宋体"/>
      <w:color w:val="000000"/>
      <w:sz w:val="20"/>
      <w:szCs w:val="20"/>
      <w:u w:val="none"/>
      <w:lang w:bidi="ar-SA"/>
    </w:rPr>
  </w:style>
  <w:style w:type="character" w:styleId="1115" w:customStyle="1">
    <w:name w:val="doctitle"/>
    <w:basedOn w:val="1007"/>
    <w:uiPriority w:val="0"/>
    <w:qFormat/>
  </w:style>
  <w:style w:type="paragraph" w:styleId="1116">
    <w:name w:val="List Paragraph"/>
    <w:basedOn w:val="1000"/>
    <w:uiPriority w:val="1"/>
    <w:qFormat/>
    <w:pPr>
      <w:ind w:left="598" w:firstLine="420"/>
    </w:pPr>
    <w:rPr>
      <w:rFonts w:ascii="宋体" w:hAnsi="宋体" w:cs="宋体"/>
      <w:lang w:val="zh-CN" w:bidi="zh-CN"/>
    </w:rPr>
  </w:style>
  <w:style w:type="paragraph" w:styleId="1117" w:customStyle="1">
    <w:name w:val="Table Paragraph"/>
    <w:basedOn w:val="1000"/>
    <w:uiPriority w:val="1"/>
    <w:qFormat/>
    <w:rPr>
      <w:rFonts w:ascii="宋体" w:hAnsi="宋体" w:cs="宋体"/>
      <w:lang w:val="zh-CN" w:bidi="zh-CN"/>
    </w:rPr>
  </w:style>
  <w:style w:type="paragraph" w:styleId="1118" w:customStyle="1">
    <w:name w:val="列表段落31"/>
    <w:basedOn w:val="1000"/>
    <w:uiPriority w:val="34"/>
    <w:qFormat/>
    <w:pPr>
      <w:ind w:firstLine="420"/>
    </w:pPr>
    <w:rPr>
      <w:rFonts w:ascii="Calibri" w:hAnsi="Calibri"/>
      <w:szCs w:val="22"/>
    </w:rPr>
  </w:style>
  <w:style w:type="paragraph" w:styleId="1119" w:customStyle="1">
    <w:name w:val="修订1"/>
    <w:uiPriority w:val="99"/>
    <w:unhideWhenUsed/>
    <w:qFormat/>
    <w:rPr>
      <w:rFonts w:ascii="Times New Roman" w:hAnsi="Times New Roman" w:eastAsia="宋体" w:cs="Times New Roman"/>
      <w:sz w:val="21"/>
      <w:lang w:val="en-US" w:eastAsia="zh-CN" w:bidi="ar-SA"/>
    </w:rPr>
  </w:style>
  <w:style w:type="paragraph" w:styleId="112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1" w:customStyle="1">
    <w:name w:val="普通正文"/>
    <w:basedOn w:val="1000"/>
    <w:link w:val="1122"/>
    <w:uiPriority w:val="0"/>
    <w:qFormat/>
    <w:pPr>
      <w:ind w:firstLine="480"/>
      <w:jc w:val="left"/>
      <w:spacing w:before="120" w:after="120" w:line="360" w:lineRule="auto"/>
    </w:pPr>
    <w:rPr>
      <w:rFonts w:ascii="Arial" w:hAnsi="Arial"/>
      <w:sz w:val="24"/>
      <w:szCs w:val="24"/>
    </w:rPr>
  </w:style>
  <w:style w:type="character" w:styleId="1122" w:customStyle="1">
    <w:name w:val="普通正文 Char"/>
    <w:link w:val="1121"/>
    <w:uiPriority w:val="0"/>
    <w:qFormat/>
    <w:rPr>
      <w:rFonts w:ascii="Arial" w:hAnsi="Arial"/>
      <w:sz w:val="24"/>
      <w:szCs w:val="24"/>
    </w:rPr>
  </w:style>
  <w:style w:type="paragraph" w:styleId="1123" w:customStyle="1">
    <w:name w:val="Char1"/>
    <w:basedOn w:val="1000"/>
    <w:uiPriority w:val="0"/>
    <w:qFormat/>
    <w:rPr>
      <w:rFonts w:ascii="仿宋_GB2312" w:eastAsia="仿宋_GB2312"/>
      <w:b/>
      <w:sz w:val="32"/>
      <w:szCs w:val="32"/>
    </w:rPr>
  </w:style>
  <w:style w:type="paragraph" w:styleId="1124" w:customStyle="1">
    <w:name w:val="_Style 115"/>
    <w:uiPriority w:val="0"/>
    <w:qFormat/>
    <w:pPr>
      <w:jc w:val="both"/>
      <w:widowControl w:val="off"/>
    </w:pPr>
    <w:rPr>
      <w:rFonts w:ascii="Times New Roman" w:hAnsi="Times New Roman" w:eastAsia="宋体" w:cs="Times New Roman"/>
      <w:sz w:val="21"/>
      <w:lang w:val="en-US" w:eastAsia="zh-CN" w:bidi="ar-SA"/>
    </w:rPr>
  </w:style>
  <w:style w:type="paragraph" w:styleId="1125"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26" w:customStyle="1">
    <w:name w:val="Char"/>
    <w:basedOn w:val="1000"/>
    <w:uiPriority w:val="0"/>
    <w:qFormat/>
    <w:pPr>
      <w:ind w:firstLine="561"/>
      <w:jc w:val="left"/>
      <w:tabs>
        <w:tab w:val="left" w:pos="360" w:leader="none"/>
      </w:tabs>
    </w:pPr>
    <w:rPr>
      <w:sz w:val="24"/>
      <w:szCs w:val="24"/>
    </w:rPr>
  </w:style>
  <w:style w:type="paragraph" w:styleId="1127" w:customStyle="1">
    <w:name w:val="默认段落字体 Para Char Char Char Char Char Char Char Char Char1 Char Char Char Char Char Char Char"/>
    <w:basedOn w:val="1013"/>
    <w:uiPriority w:val="0"/>
    <w:qFormat/>
    <w:pPr>
      <w:shd w:val="clear" w:color="auto" w:fill="000080"/>
    </w:pPr>
    <w:rPr>
      <w:rFonts w:ascii="Tahoma" w:hAnsi="Tahoma"/>
      <w:sz w:val="24"/>
      <w:szCs w:val="24"/>
    </w:rPr>
  </w:style>
  <w:style w:type="paragraph" w:styleId="1128" w:customStyle="1">
    <w:name w:val="标题1"/>
    <w:basedOn w:val="1000"/>
    <w:next w:val="1000"/>
    <w:uiPriority w:val="0"/>
    <w:qFormat/>
    <w:pPr>
      <w:jc w:val="center"/>
      <w:spacing w:line="700" w:lineRule="atLeast"/>
      <w:tabs>
        <w:tab w:val="left" w:pos="9193" w:leader="none"/>
        <w:tab w:val="left" w:pos="9827" w:leader="none"/>
      </w:tabs>
    </w:pPr>
    <w:rPr>
      <w:rFonts w:eastAsia="方正小标宋_GBK"/>
      <w:sz w:val="44"/>
      <w:szCs w:val="24"/>
    </w:rPr>
  </w:style>
  <w:style w:type="paragraph" w:styleId="1129" w:customStyle="1">
    <w:name w:val="标题2"/>
    <w:basedOn w:val="1000"/>
    <w:next w:val="1000"/>
    <w:uiPriority w:val="0"/>
    <w:qFormat/>
    <w:pPr>
      <w:jc w:val="center"/>
    </w:pPr>
    <w:rPr>
      <w:rFonts w:eastAsia="方正楷体_GBK"/>
      <w:szCs w:val="24"/>
    </w:rPr>
  </w:style>
  <w:style w:type="paragraph" w:styleId="1130" w:customStyle="1">
    <w:name w:val="标题3"/>
    <w:basedOn w:val="1000"/>
    <w:next w:val="1000"/>
    <w:uiPriority w:val="0"/>
    <w:qFormat/>
    <w:rPr>
      <w:rFonts w:eastAsia="方正黑体_GBK"/>
      <w:szCs w:val="24"/>
    </w:rPr>
  </w:style>
  <w:style w:type="character" w:styleId="1131" w:customStyle="1">
    <w:name w:val="jj1"/>
    <w:uiPriority w:val="0"/>
    <w:qFormat/>
    <w:rPr>
      <w:sz w:val="20"/>
      <w:szCs w:val="20"/>
      <w:u w:val="none"/>
    </w:rPr>
  </w:style>
  <w:style w:type="character" w:styleId="1132" w:customStyle="1">
    <w:name w:val="标题2 Char"/>
    <w:uiPriority w:val="0"/>
    <w:qFormat/>
    <w:rPr>
      <w:rFonts w:ascii="方正楷体_GBK" w:hAnsi="Book Antiqua" w:eastAsia="方正楷体_GBK"/>
      <w:sz w:val="32"/>
      <w:lang w:val="en-US" w:eastAsia="zh-CN" w:bidi="ar-SA"/>
    </w:rPr>
  </w:style>
  <w:style w:type="paragraph" w:styleId="1133" w:customStyle="1">
    <w:name w:val="HTML 预先格式化"/>
    <w:basedOn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34" w:customStyle="1">
    <w:name w:val="Char Char Char Char"/>
    <w:basedOn w:val="1013"/>
    <w:uiPriority w:val="0"/>
    <w:qFormat/>
    <w:pPr>
      <w:spacing w:line="360" w:lineRule="auto"/>
      <w:shd w:val="clear" w:color="auto" w:fill="000080"/>
    </w:pPr>
    <w:rPr>
      <w:rFonts w:ascii="Tahoma" w:hAnsi="Tahoma"/>
      <w:sz w:val="24"/>
      <w:szCs w:val="24"/>
    </w:rPr>
  </w:style>
  <w:style w:type="paragraph" w:styleId="113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36" w:customStyle="1">
    <w:name w:val="xl47"/>
    <w:basedOn w:val="100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7" w:customStyle="1">
    <w:name w:val="Char2"/>
    <w:basedOn w:val="1000"/>
    <w:uiPriority w:val="0"/>
    <w:qFormat/>
    <w:rPr>
      <w:rFonts w:ascii="Tahoma" w:hAnsi="Tahoma"/>
      <w:sz w:val="24"/>
    </w:rPr>
  </w:style>
  <w:style w:type="paragraph" w:styleId="1138" w:customStyle="1">
    <w:name w:val="BioQuote Tekst"/>
    <w:basedOn w:val="1000"/>
    <w:uiPriority w:val="0"/>
    <w:qFormat/>
    <w:pPr>
      <w:ind w:right="-1"/>
    </w:pPr>
    <w:rPr>
      <w:rFonts w:ascii="Arial" w:hAnsi="Arial"/>
      <w:sz w:val="22"/>
      <w:lang w:eastAsia="en-US"/>
    </w:rPr>
  </w:style>
  <w:style w:type="paragraph" w:styleId="1139" w:customStyle="1">
    <w:name w:val="Coms Alinea"/>
    <w:uiPriority w:val="0"/>
    <w:qFormat/>
    <w:pPr>
      <w:widowControl w:val="off"/>
    </w:pPr>
    <w:rPr>
      <w:rFonts w:ascii="Arial" w:hAnsi="Arial" w:eastAsia="宋体" w:cs="Arial"/>
      <w:lang w:val="en-US" w:eastAsia="zh-CN" w:bidi="ar-SA"/>
    </w:rPr>
  </w:style>
  <w:style w:type="paragraph" w:styleId="1140" w:customStyle="1">
    <w:name w:val="Char Char Char Char1 Char Char Char"/>
    <w:basedOn w:val="1013"/>
    <w:uiPriority w:val="0"/>
    <w:qFormat/>
    <w:pPr>
      <w:spacing w:line="360" w:lineRule="auto"/>
      <w:shd w:val="clear" w:color="auto" w:fill="000080"/>
    </w:pPr>
    <w:rPr>
      <w:rFonts w:ascii="Tahoma" w:hAnsi="Tahoma"/>
      <w:sz w:val="24"/>
      <w:szCs w:val="24"/>
    </w:rPr>
  </w:style>
  <w:style w:type="paragraph" w:styleId="1141" w:customStyle="1">
    <w:name w:val="Char Char Char Char1 Char Char"/>
    <w:basedOn w:val="1000"/>
    <w:uiPriority w:val="0"/>
    <w:qFormat/>
    <w:pPr>
      <w:tabs>
        <w:tab w:val="left" w:pos="360" w:leader="none"/>
      </w:tabs>
    </w:pPr>
    <w:rPr>
      <w:sz w:val="24"/>
      <w:szCs w:val="24"/>
    </w:rPr>
  </w:style>
  <w:style w:type="paragraph" w:styleId="1142" w:customStyle="1">
    <w:name w:val="正文 第一章"/>
    <w:basedOn w:val="1000"/>
    <w:next w:val="1143"/>
    <w:uiPriority w:val="0"/>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43" w:customStyle="1">
    <w:name w:val="正文 1.1"/>
    <w:basedOn w:val="1000"/>
    <w:next w:val="1144"/>
    <w:uiPriority w:val="0"/>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44" w:customStyle="1">
    <w:name w:val="正文 1.1.1"/>
    <w:basedOn w:val="1000"/>
    <w:next w:val="1000"/>
    <w:uiPriority w:val="0"/>
    <w:qFormat/>
    <w:pPr>
      <w:numPr>
        <w:ilvl w:val="2"/>
        <w:numId w:val="3"/>
      </w:numPr>
      <w:spacing w:line="360" w:lineRule="auto"/>
      <w:outlineLvl w:val="2"/>
    </w:pPr>
    <w:rPr>
      <w:rFonts w:ascii="宋体" w:hAnsi="宋体"/>
      <w:color w:val="000000"/>
      <w:sz w:val="28"/>
      <w:szCs w:val="21"/>
    </w:rPr>
  </w:style>
  <w:style w:type="paragraph" w:styleId="1145" w:customStyle="1">
    <w:name w:val="第四级"/>
    <w:basedOn w:val="1000"/>
    <w:next w:val="1000"/>
    <w:uiPriority w:val="0"/>
    <w:qFormat/>
    <w:pPr>
      <w:numPr>
        <w:ilvl w:val="3"/>
        <w:numId w:val="3"/>
      </w:numPr>
      <w:spacing w:line="360" w:lineRule="auto"/>
    </w:pPr>
    <w:rPr>
      <w:rFonts w:ascii="宋体" w:hAnsi="宋体" w:eastAsia="仿宋"/>
      <w:sz w:val="28"/>
      <w:szCs w:val="21"/>
    </w:rPr>
  </w:style>
  <w:style w:type="paragraph" w:styleId="1146" w:customStyle="1">
    <w:name w:val="正文空2格  1."/>
    <w:basedOn w:val="1000"/>
    <w:uiPriority w:val="0"/>
    <w:qFormat/>
    <w:pPr>
      <w:ind w:firstLine="480"/>
      <w:spacing w:line="360" w:lineRule="auto"/>
    </w:pPr>
    <w:rPr>
      <w:rFonts w:ascii="宋体" w:eastAsia="仿宋" w:cs="宋体"/>
      <w:sz w:val="28"/>
    </w:rPr>
  </w:style>
  <w:style w:type="paragraph" w:styleId="1147" w:customStyle="1">
    <w:name w:val="标题 71"/>
    <w:basedOn w:val="1000"/>
    <w:uiPriority w:val="1"/>
    <w:qFormat/>
    <w:pPr>
      <w:ind w:left="620"/>
      <w:jc w:val="left"/>
      <w:spacing w:before="102"/>
      <w:outlineLvl w:val="7"/>
    </w:pPr>
    <w:rPr>
      <w:rFonts w:ascii="宋体" w:hAnsi="宋体" w:cs="宋体"/>
      <w:b/>
      <w:bCs/>
      <w:sz w:val="28"/>
      <w:szCs w:val="28"/>
      <w:lang w:val="zh-CN" w:bidi="zh-CN"/>
    </w:rPr>
  </w:style>
  <w:style w:type="paragraph" w:styleId="1148" w:customStyle="1">
    <w:name w:val="标题 91"/>
    <w:basedOn w:val="1000"/>
    <w:uiPriority w:val="1"/>
    <w:qFormat/>
    <w:pPr>
      <w:ind w:left="1102"/>
      <w:jc w:val="left"/>
    </w:pPr>
    <w:rPr>
      <w:rFonts w:ascii="宋体" w:hAnsi="宋体" w:cs="宋体"/>
      <w:b/>
      <w:bCs/>
      <w:sz w:val="24"/>
      <w:szCs w:val="24"/>
      <w:lang w:val="zh-CN" w:bidi="zh-CN"/>
    </w:rPr>
  </w:style>
  <w:style w:type="table" w:styleId="1149" w:customStyle="1">
    <w:name w:val="Table Normal"/>
    <w:uiPriority w:val="2"/>
    <w:unhideWhenUsed/>
    <w:qFormat/>
    <w:pPr>
      <w:widowControl w:val="off"/>
    </w:pPr>
    <w:rPr>
      <w:rFonts w:ascii="Calibri" w:hAnsi="Calibri" w:eastAsia="宋体" w:cs="Times New Roman"/>
      <w:sz w:val="22"/>
      <w:szCs w:val="22"/>
      <w:lang w:eastAsia="en-US"/>
    </w:rPr>
    <w:tblPr>
      <w:tblCellMar>
        <w:left w:w="0" w:type="dxa"/>
        <w:top w:w="0" w:type="dxa"/>
        <w:right w:w="0" w:type="dxa"/>
        <w:bottom w:w="0" w:type="dxa"/>
      </w:tblCellMar>
    </w:tblPr>
  </w:style>
  <w:style w:type="paragraph" w:styleId="1150" w:customStyle="1">
    <w:name w:val="首行缩进"/>
    <w:basedOn w:val="1000"/>
    <w:uiPriority w:val="0"/>
    <w:qFormat/>
    <w:pPr>
      <w:ind w:firstLine="480"/>
    </w:pPr>
    <w:rPr>
      <w:lang w:val="zh-CN"/>
    </w:rPr>
  </w:style>
  <w:style w:type="table" w:styleId="1151" w:customStyle="1">
    <w:name w:val="网格型1"/>
    <w:basedOn w:val="1008"/>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2" w:customStyle="1">
    <w:name w:val="网格型2"/>
    <w:basedOn w:val="1008"/>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3" w:customStyle="1">
    <w:name w:val="网格型3"/>
    <w:basedOn w:val="100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4" w:customStyle="1">
    <w:name w:val="批注文字 Char"/>
    <w:uiPriority w:val="0"/>
    <w:semiHidden/>
    <w:qFormat/>
    <w:rPr>
      <w:rFonts w:ascii="Times New Roman" w:hAnsi="Times New Roman" w:eastAsia="宋体" w:cs="Times New Roman"/>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cp:lastModifiedBy>徐萍</cp:lastModifiedBy>
  <cp:revision>7</cp:revision>
  <dcterms:created xsi:type="dcterms:W3CDTF">2026-04-29T02:26:00Z</dcterms:created>
  <dcterms:modified xsi:type="dcterms:W3CDTF">2026-09-22T02:11:30Z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7CF02697C6C24259A913334391F1F933_13</vt:lpwstr>
  </property>
  <property fmtid="{D5CDD505-2E9C-101B-9397-08002B2CF9AE}" pid="4" name="KSOTemplateDocerSaveRecord">
    <vt:lpwstr>eyJoZGlkIjoiOTVhY2RmYTc3ZGM5ZDU4MjA5NDM5NDZmYjlkYTZlNTAiLCJ1c2VySWQiOiIxMDQ1NzQ0MDg4In0=</vt:lpwstr>
  </property>
</Properties>
</file>