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shd w:val="clear" w:color="auto" w:fill="ffffff"/>
        <w:widowControl/>
        <w:rPr>
          <w:rFonts w:ascii="宋体" w:hAnsi="宋体" w:cs="宋体"/>
          <w:b/>
          <w:bCs/>
          <w:sz w:val="36"/>
          <w:szCs w:val="36"/>
        </w:rPr>
      </w:pPr>
      <w:r>
        <w:rPr>
          <w:rFonts w:ascii="宋体" w:hAnsi="宋体" w:cs="宋体"/>
          <w:b/>
          <w:bCs/>
          <w:sz w:val="36"/>
          <w:szCs w:val="36"/>
        </w:rPr>
      </w:r>
      <w:r/>
    </w:p>
    <w:p>
      <w:pPr>
        <w:jc w:val="center"/>
        <w:spacing w:line="360" w:lineRule="auto"/>
        <w:shd w:val="clear" w:color="auto" w:fill="ffffff"/>
        <w:widowControl/>
        <w:rPr>
          <w:rFonts w:ascii="宋体" w:hAnsi="宋体" w:cs="宋体"/>
          <w:b/>
          <w:sz w:val="36"/>
          <w:szCs w:val="36"/>
          <w:lang w:val="zh-CN"/>
        </w:rPr>
      </w:pPr>
      <w:r>
        <w:rPr>
          <w:rFonts w:hint="eastAsia" w:ascii="宋体" w:hAnsi="宋体" w:cs="宋体"/>
          <w:b/>
          <w:bCs/>
          <w:sz w:val="36"/>
          <w:szCs w:val="36"/>
        </w:rPr>
        <w:t xml:space="preserve">南京市应急管理综合应用平台统一运维服务项目</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竞争性磋商文件</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项目编号：JSZC-320100-JSGC-C2026-0047</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采购人：南京市应急管理局</w:t>
      </w:r>
      <w:r/>
    </w:p>
    <w:p>
      <w:pPr>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采购代理机构：江苏国采工程咨询有限公司</w:t>
      </w:r>
      <w:r/>
    </w:p>
    <w:p>
      <w:pPr>
        <w:jc w:val="center"/>
        <w:spacing w:line="360" w:lineRule="auto"/>
        <w:widowControl/>
        <w:rPr>
          <w:rFonts w:ascii="宋体" w:hAnsi="宋体" w:cs="宋体"/>
          <w:b/>
          <w:bCs/>
          <w:sz w:val="36"/>
          <w:szCs w:val="36"/>
        </w:rPr>
        <w:sectPr>
          <w:headerReference w:type="default" r:id="rId9"/>
          <w:headerReference w:type="first" r:id="rId10"/>
          <w:footerReference w:type="default" r:id="rId13"/>
          <w:footnotePr/>
          <w:endnotePr/>
          <w:type w:val="nextPage"/>
          <w:pgSz w:w="11906" w:h="16838" w:orient="portrait"/>
          <w:pgMar w:top="1134" w:right="1134" w:bottom="1134" w:left="1134" w:header="850" w:footer="850" w:gutter="0"/>
          <w:cols w:num="1" w:sep="0" w:space="720" w:equalWidth="1"/>
          <w:docGrid w:linePitch="360"/>
          <w:titlePg/>
        </w:sectPr>
      </w:pPr>
      <w:r>
        <w:rPr>
          <w:rFonts w:hint="eastAsia" w:ascii="宋体" w:hAnsi="宋体" w:cs="宋体"/>
          <w:b/>
          <w:bCs/>
          <w:sz w:val="36"/>
          <w:szCs w:val="36"/>
        </w:rPr>
        <w:t xml:space="preserve">2026年9月 </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lang w:val="zh-CN"/>
        </w:rPr>
      </w:sdtPr>
      <w:sdtContent>
        <w:p>
          <w:pPr>
            <w:pStyle w:val="1170"/>
            <w:jc w:val="center"/>
            <w:rPr>
              <w:rFonts w:ascii="宋体" w:hAnsi="宋体" w:eastAsia="宋体" w:cs="宋体"/>
              <w:b/>
              <w:bCs/>
              <w:color w:val="auto"/>
              <w:sz w:val="28"/>
              <w:szCs w:val="28"/>
            </w:rPr>
          </w:pPr>
          <w:r>
            <w:rPr>
              <w:rFonts w:hint="eastAsia" w:ascii="宋体" w:hAnsi="宋体" w:eastAsia="宋体" w:cs="宋体"/>
              <w:b/>
              <w:bCs/>
              <w:color w:val="auto"/>
              <w:sz w:val="28"/>
              <w:szCs w:val="28"/>
              <w:lang w:val="zh-CN"/>
            </w:rPr>
            <w:t xml:space="preserve">目录</w:t>
          </w:r>
          <w:r/>
        </w:p>
        <w:p>
          <w:pPr>
            <w:pStyle w:val="1010"/>
            <w:tabs>
              <w:tab w:val="right" w:pos="9016" w:leader="dot"/>
            </w:tabs>
            <w:rPr>
              <w:rFonts w:ascii="宋体" w:hAnsi="宋体" w:cs="宋体"/>
              <w:b/>
              <w:bCs/>
              <w:sz w:val="28"/>
              <w:szCs w:val="28"/>
              <w14:ligatures w14:val="standardContextual"/>
            </w:rPr>
          </w:pPr>
          <w:r>
            <w:rPr>
              <w:rFonts w:hint="eastAsia" w:ascii="宋体" w:hAnsi="宋体" w:cs="宋体"/>
              <w:b/>
              <w:bCs/>
              <w:sz w:val="28"/>
              <w:szCs w:val="28"/>
            </w:rPr>
            <w:fldChar w:fldCharType="begin"/>
          </w:r>
          <w:r>
            <w:rPr>
              <w:rFonts w:hint="eastAsia" w:ascii="宋体" w:hAnsi="宋体" w:cs="宋体"/>
              <w:b/>
              <w:bCs/>
              <w:sz w:val="28"/>
              <w:szCs w:val="28"/>
            </w:rPr>
            <w:instrText xml:space="preserve"> TOC \o "1-1" \h \z \u </w:instrText>
          </w:r>
          <w:r>
            <w:rPr>
              <w:rFonts w:hint="eastAsia" w:ascii="宋体" w:hAnsi="宋体" w:cs="宋体"/>
              <w:b/>
              <w:bCs/>
              <w:sz w:val="28"/>
              <w:szCs w:val="28"/>
            </w:rPr>
            <w:fldChar w:fldCharType="separate"/>
          </w:r>
          <w:r>
            <w:fldChar w:fldCharType="begin"/>
          </w:r>
          <w:r>
            <w:instrText xml:space="preserve"> HYPERLINK \l "_Toc176878659" </w:instrText>
          </w:r>
          <w:r>
            <w:fldChar w:fldCharType="separate"/>
          </w:r>
          <w:r>
            <w:rPr>
              <w:rStyle w:val="1029"/>
              <w:rFonts w:hint="eastAsia" w:ascii="宋体" w:hAnsi="宋体" w:cs="宋体"/>
              <w:b/>
              <w:bCs/>
              <w:color w:val="auto"/>
              <w:sz w:val="28"/>
              <w:szCs w:val="28"/>
            </w:rPr>
            <w:t xml:space="preserve">第一章 竞争性磋商公告</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_Toc176878659 \h </w:instrText>
          </w:r>
          <w:r>
            <w:rPr>
              <w:rFonts w:hint="eastAsia" w:ascii="宋体" w:hAnsi="宋体" w:cs="宋体"/>
              <w:b/>
              <w:bCs/>
              <w:sz w:val="28"/>
              <w:szCs w:val="28"/>
            </w:rPr>
            <w:fldChar w:fldCharType="separate"/>
          </w:r>
          <w:r>
            <w:rPr>
              <w:rFonts w:hint="eastAsia" w:ascii="宋体" w:hAnsi="宋体" w:cs="宋体"/>
              <w:b/>
              <w:bCs/>
              <w:sz w:val="28"/>
              <w:szCs w:val="28"/>
            </w:rPr>
            <w:t xml:space="preserve">1</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1010"/>
            <w:tabs>
              <w:tab w:val="right" w:pos="9016" w:leader="dot"/>
            </w:tabs>
            <w:rPr>
              <w:rFonts w:ascii="宋体" w:hAnsi="宋体" w:cs="宋体"/>
              <w:b/>
              <w:bCs/>
              <w:sz w:val="28"/>
              <w:szCs w:val="28"/>
              <w14:ligatures w14:val="standardContextual"/>
            </w:rPr>
          </w:pPr>
          <w:r>
            <w:fldChar w:fldCharType="begin"/>
          </w:r>
          <w:r>
            <w:instrText xml:space="preserve"> HYPERLINK \l "_Toc176878660" </w:instrText>
          </w:r>
          <w:r>
            <w:fldChar w:fldCharType="separate"/>
          </w:r>
          <w:r>
            <w:rPr>
              <w:rStyle w:val="1029"/>
              <w:rFonts w:hint="eastAsia" w:ascii="宋体" w:hAnsi="宋体" w:cs="宋体"/>
              <w:b/>
              <w:bCs/>
              <w:color w:val="auto"/>
              <w:sz w:val="28"/>
              <w:szCs w:val="28"/>
            </w:rPr>
            <w:t xml:space="preserve">第二章 竞争性磋商须知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_Toc176878660 \h </w:instrText>
          </w:r>
          <w:r>
            <w:rPr>
              <w:rFonts w:hint="eastAsia" w:ascii="宋体" w:hAnsi="宋体" w:cs="宋体"/>
              <w:b/>
              <w:bCs/>
              <w:sz w:val="28"/>
              <w:szCs w:val="28"/>
            </w:rPr>
            <w:fldChar w:fldCharType="separate"/>
          </w:r>
          <w:r>
            <w:rPr>
              <w:rFonts w:hint="eastAsia" w:ascii="宋体" w:hAnsi="宋体" w:cs="宋体"/>
              <w:b/>
              <w:bCs/>
              <w:sz w:val="28"/>
              <w:szCs w:val="28"/>
            </w:rPr>
            <w:t xml:space="preserve">5</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1010"/>
            <w:tabs>
              <w:tab w:val="right" w:pos="9016" w:leader="dot"/>
            </w:tabs>
            <w:rPr>
              <w:rFonts w:ascii="宋体" w:hAnsi="宋体" w:cs="宋体"/>
              <w:b/>
              <w:bCs/>
              <w:sz w:val="28"/>
              <w:szCs w:val="28"/>
              <w14:ligatures w14:val="standardContextual"/>
            </w:rPr>
          </w:pPr>
          <w:r>
            <w:fldChar w:fldCharType="begin"/>
          </w:r>
          <w:r>
            <w:instrText xml:space="preserve"> HYPERLINK \l "_Toc176878661" </w:instrText>
          </w:r>
          <w:r>
            <w:fldChar w:fldCharType="separate"/>
          </w:r>
          <w:r>
            <w:rPr>
              <w:rStyle w:val="1029"/>
              <w:rFonts w:hint="eastAsia" w:ascii="宋体" w:hAnsi="宋体" w:cs="宋体"/>
              <w:b/>
              <w:bCs/>
              <w:color w:val="auto"/>
              <w:sz w:val="28"/>
              <w:szCs w:val="28"/>
            </w:rPr>
            <w:t xml:space="preserve">第三章 评标标准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_Toc176878661 \h </w:instrText>
          </w:r>
          <w:r>
            <w:rPr>
              <w:rFonts w:hint="eastAsia" w:ascii="宋体" w:hAnsi="宋体" w:cs="宋体"/>
              <w:b/>
              <w:bCs/>
              <w:sz w:val="28"/>
              <w:szCs w:val="28"/>
            </w:rPr>
            <w:fldChar w:fldCharType="separate"/>
          </w:r>
          <w:r>
            <w:rPr>
              <w:rFonts w:hint="eastAsia" w:ascii="宋体" w:hAnsi="宋体" w:cs="宋体"/>
              <w:b/>
              <w:bCs/>
              <w:sz w:val="28"/>
              <w:szCs w:val="28"/>
            </w:rPr>
            <w:t xml:space="preserve">15</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1010"/>
            <w:tabs>
              <w:tab w:val="right" w:pos="9016" w:leader="dot"/>
            </w:tabs>
            <w:rPr>
              <w:rFonts w:ascii="宋体" w:hAnsi="宋体" w:cs="宋体"/>
              <w:b/>
              <w:bCs/>
              <w:sz w:val="28"/>
              <w:szCs w:val="28"/>
              <w14:ligatures w14:val="standardContextual"/>
            </w:rPr>
          </w:pPr>
          <w:r>
            <w:fldChar w:fldCharType="begin"/>
          </w:r>
          <w:r>
            <w:instrText xml:space="preserve"> HYPERLINK \l "_Toc176878662" </w:instrText>
          </w:r>
          <w:r>
            <w:fldChar w:fldCharType="separate"/>
          </w:r>
          <w:r>
            <w:rPr>
              <w:rStyle w:val="1029"/>
              <w:rFonts w:hint="eastAsia" w:ascii="宋体" w:hAnsi="宋体" w:cs="宋体"/>
              <w:b/>
              <w:bCs/>
              <w:color w:val="auto"/>
              <w:sz w:val="28"/>
              <w:szCs w:val="28"/>
            </w:rPr>
            <w:t xml:space="preserve">第四章 采购项目的内容和相关技术要求等</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_Toc176878662 \h </w:instrText>
          </w:r>
          <w:r>
            <w:rPr>
              <w:rFonts w:hint="eastAsia" w:ascii="宋体" w:hAnsi="宋体" w:cs="宋体"/>
              <w:b/>
              <w:bCs/>
              <w:sz w:val="28"/>
              <w:szCs w:val="28"/>
            </w:rPr>
            <w:fldChar w:fldCharType="separate"/>
          </w:r>
          <w:r>
            <w:rPr>
              <w:rFonts w:hint="eastAsia" w:ascii="宋体" w:hAnsi="宋体" w:cs="宋体"/>
              <w:b/>
              <w:bCs/>
              <w:sz w:val="28"/>
              <w:szCs w:val="28"/>
            </w:rPr>
            <w:t xml:space="preserve">19</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1010"/>
            <w:tabs>
              <w:tab w:val="right" w:pos="9016" w:leader="dot"/>
            </w:tabs>
            <w:rPr>
              <w:rFonts w:ascii="宋体" w:hAnsi="宋体" w:cs="宋体"/>
              <w:b/>
              <w:bCs/>
              <w:sz w:val="28"/>
              <w:szCs w:val="28"/>
              <w14:ligatures w14:val="standardContextual"/>
            </w:rPr>
          </w:pPr>
          <w:r>
            <w:fldChar w:fldCharType="begin"/>
          </w:r>
          <w:r>
            <w:instrText xml:space="preserve"> HYPERLINK \l "_Toc176878663" </w:instrText>
          </w:r>
          <w:r>
            <w:fldChar w:fldCharType="separate"/>
          </w:r>
          <w:r>
            <w:rPr>
              <w:rStyle w:val="1029"/>
              <w:rFonts w:hint="eastAsia" w:ascii="宋体" w:hAnsi="宋体" w:cs="宋体"/>
              <w:b/>
              <w:bCs/>
              <w:color w:val="auto"/>
              <w:sz w:val="28"/>
              <w:szCs w:val="28"/>
            </w:rPr>
            <w:t xml:space="preserve">第五章 合同主要条款及格式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_Toc176878663 \h </w:instrText>
          </w:r>
          <w:r>
            <w:rPr>
              <w:rFonts w:hint="eastAsia" w:ascii="宋体" w:hAnsi="宋体" w:cs="宋体"/>
              <w:b/>
              <w:bCs/>
              <w:sz w:val="28"/>
              <w:szCs w:val="28"/>
            </w:rPr>
            <w:fldChar w:fldCharType="separate"/>
          </w:r>
          <w:r>
            <w:rPr>
              <w:rFonts w:hint="eastAsia" w:ascii="宋体" w:hAnsi="宋体" w:cs="宋体"/>
              <w:b/>
              <w:bCs/>
              <w:sz w:val="28"/>
              <w:szCs w:val="28"/>
            </w:rPr>
            <w:t xml:space="preserve">38</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1010"/>
            <w:tabs>
              <w:tab w:val="right" w:pos="9016" w:leader="dot"/>
            </w:tabs>
            <w:rPr>
              <w:rFonts w:ascii="宋体" w:hAnsi="宋体" w:cs="宋体"/>
              <w:b/>
              <w:bCs/>
              <w:sz w:val="28"/>
              <w:szCs w:val="28"/>
              <w14:ligatures w14:val="standardContextual"/>
            </w:rPr>
          </w:pPr>
          <w:r>
            <w:fldChar w:fldCharType="begin"/>
          </w:r>
          <w:r>
            <w:instrText xml:space="preserve"> HYPERLINK \l "_Toc176878664" </w:instrText>
          </w:r>
          <w:r>
            <w:fldChar w:fldCharType="separate"/>
          </w:r>
          <w:r>
            <w:rPr>
              <w:rStyle w:val="1029"/>
              <w:rFonts w:hint="eastAsia" w:ascii="宋体" w:hAnsi="宋体" w:cs="宋体"/>
              <w:b/>
              <w:bCs/>
              <w:color w:val="auto"/>
              <w:sz w:val="28"/>
              <w:szCs w:val="28"/>
            </w:rPr>
            <w:t xml:space="preserve">第六章 响应文件格式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_Toc176878664 \h </w:instrText>
          </w:r>
          <w:r>
            <w:rPr>
              <w:rFonts w:hint="eastAsia" w:ascii="宋体" w:hAnsi="宋体" w:cs="宋体"/>
              <w:b/>
              <w:bCs/>
              <w:sz w:val="28"/>
              <w:szCs w:val="28"/>
            </w:rPr>
            <w:fldChar w:fldCharType="separate"/>
          </w:r>
          <w:r>
            <w:rPr>
              <w:rFonts w:hint="eastAsia" w:ascii="宋体" w:hAnsi="宋体" w:cs="宋体"/>
              <w:b/>
              <w:bCs/>
              <w:sz w:val="28"/>
              <w:szCs w:val="28"/>
            </w:rPr>
            <w:t xml:space="preserve">43</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rPr>
              <w:rFonts w:ascii="宋体" w:hAnsi="宋体" w:cs="宋体"/>
              <w:b/>
              <w:bCs/>
              <w:sz w:val="30"/>
              <w:szCs w:val="30"/>
            </w:rPr>
          </w:pPr>
          <w:r>
            <w:rPr>
              <w:rFonts w:hint="eastAsia" w:ascii="宋体" w:hAnsi="宋体" w:cs="宋体"/>
              <w:b/>
              <w:bCs/>
              <w:sz w:val="28"/>
              <w:szCs w:val="28"/>
            </w:rPr>
            <w:fldChar w:fldCharType="end"/>
          </w:r>
          <w:r/>
        </w:p>
      </w:sdtContent>
    </w:sdt>
    <w:p>
      <w:pPr>
        <w:pStyle w:val="1010"/>
        <w:tabs>
          <w:tab w:val="right" w:pos="8948" w:leader="dot"/>
        </w:tabs>
        <w:rPr>
          <w:rFonts w:ascii="宋体" w:hAnsi="宋体" w:cs="宋体"/>
          <w:szCs w:val="22"/>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r/>
    </w:p>
    <w:p>
      <w:pPr>
        <w:pStyle w:val="1010"/>
        <w:tabs>
          <w:tab w:val="right" w:pos="8296" w:leader="dot"/>
        </w:tabs>
        <w:rPr>
          <w:rFonts w:ascii="宋体" w:hAnsi="宋体" w:cs="宋体"/>
          <w:sz w:val="28"/>
          <w:szCs w:val="28"/>
        </w:rPr>
      </w:pPr>
      <w:r>
        <w:rPr>
          <w:rFonts w:hint="eastAsia" w:ascii="宋体" w:hAnsi="宋体" w:cs="宋体"/>
          <w:sz w:val="28"/>
          <w:szCs w:val="28"/>
        </w:rPr>
        <w:fldChar w:fldCharType="end"/>
      </w:r>
      <w:r/>
    </w:p>
    <w:p>
      <w:pPr>
        <w:pStyle w:val="1010"/>
        <w:spacing w:line="480" w:lineRule="auto"/>
        <w:tabs>
          <w:tab w:val="right" w:pos="8306" w:leader="dot"/>
        </w:tabs>
        <w:rPr>
          <w:rFonts w:ascii="宋体" w:hAnsi="宋体" w:cs="宋体"/>
          <w:b/>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TOC \o "1-1" \h \u </w:instrText>
      </w:r>
      <w:r>
        <w:rPr>
          <w:rFonts w:hint="eastAsia" w:ascii="宋体" w:hAnsi="宋体" w:cs="宋体"/>
          <w:b/>
          <w:sz w:val="28"/>
          <w:szCs w:val="28"/>
        </w:rPr>
        <w:fldChar w:fldCharType="separate"/>
      </w:r>
      <w:r/>
    </w:p>
    <w:p>
      <w:pPr>
        <w:spacing w:line="480" w:lineRule="auto"/>
        <w:rPr>
          <w:rFonts w:ascii="宋体" w:hAnsi="宋体" w:cs="宋体"/>
          <w:sz w:val="28"/>
          <w:szCs w:val="28"/>
        </w:rPr>
      </w:pPr>
      <w:r>
        <w:rPr>
          <w:rFonts w:hint="eastAsia" w:ascii="宋体" w:hAnsi="宋体" w:cs="宋体"/>
          <w:b/>
          <w:sz w:val="28"/>
          <w:szCs w:val="28"/>
        </w:rPr>
        <w:fldChar w:fldCharType="end"/>
      </w:r>
      <w:r/>
    </w:p>
    <w:p>
      <w:pPr>
        <w:jc w:val="left"/>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979"/>
        <w:numPr>
          <w:ilvl w:val="0"/>
          <w:numId w:val="0"/>
        </w:numPr>
        <w:spacing w:line="360" w:lineRule="auto"/>
        <w:rPr>
          <w:rFonts w:ascii="宋体" w:hAnsi="宋体" w:cs="宋体"/>
        </w:rPr>
      </w:pPr>
      <w:r>
        <w:rPr>
          <w:rFonts w:hint="eastAsia" w:ascii="宋体" w:hAnsi="宋体" w:cs="宋体"/>
          <w:sz w:val="36"/>
          <w:szCs w:val="36"/>
          <w:shd w:val="clear" w:color="auto" w:fill="ffffff"/>
        </w:rPr>
        <w:br w:type="page" w:clear="all"/>
      </w:r>
      <w:bookmarkStart w:id="0" w:name="_Toc176878659"/>
      <w:r/>
      <w:bookmarkStart w:id="1" w:name="_Toc67494806"/>
      <w:r/>
      <w:bookmarkStart w:id="2" w:name="_Hlk43897905"/>
      <w:r>
        <w:rPr>
          <w:rFonts w:hint="eastAsia" w:ascii="宋体" w:hAnsi="宋体" w:cs="宋体"/>
        </w:rPr>
        <w:t xml:space="preserve">第一章 竞争性磋商公告</w:t>
      </w:r>
      <w:bookmarkEnd w:id="0"/>
      <w:r/>
      <w:bookmarkEnd w:id="1"/>
      <w:r/>
      <w:r/>
    </w:p>
    <w:p>
      <w:pPr>
        <w:ind w:firstLine="422"/>
        <w:spacing w:line="360" w:lineRule="auto"/>
        <w:widowControl/>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widowControl/>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南京市应急管理综合应用平台统一运维服务项目 </w:t>
      </w:r>
      <w:r>
        <w:rPr>
          <w:rFonts w:hint="eastAsia" w:ascii="宋体" w:hAnsi="宋体" w:cs="宋体"/>
          <w:bCs/>
          <w:szCs w:val="21"/>
        </w:rPr>
        <w:t xml:space="preserve">JSZC-320100-JSGC-C2026-0047</w:t>
      </w:r>
      <w:bookmarkStart w:id="175" w:name="_GoBack"/>
      <w:r/>
      <w:bookmarkEnd w:id="175"/>
      <w:r>
        <w:rPr>
          <w:rFonts w:hint="eastAsia" w:ascii="宋体" w:hAnsi="宋体" w:cs="宋体"/>
        </w:rPr>
        <w:t xml:space="preserve"> 采购项目的潜在供应商应在江苏政府采购网“苏采云”系统获取采购文件，并于 2026年</w:t>
      </w:r>
      <w:r>
        <w:rPr>
          <w:rFonts w:hint="eastAsia" w:ascii="宋体" w:hAnsi="宋体" w:cs="宋体"/>
          <w:lang w:val="en-US" w:eastAsia="zh-CN"/>
        </w:rPr>
        <w:t xml:space="preserve">10</w:t>
      </w:r>
      <w:r>
        <w:rPr>
          <w:rFonts w:hint="eastAsia" w:ascii="宋体" w:hAnsi="宋体" w:cs="宋体"/>
        </w:rPr>
        <w:t xml:space="preserve">月</w:t>
      </w:r>
      <w:r>
        <w:rPr>
          <w:rFonts w:hint="eastAsia" w:ascii="宋体" w:hAnsi="宋体" w:cs="宋体"/>
          <w:lang w:val="en-US" w:eastAsia="zh-CN"/>
        </w:rPr>
        <w:t xml:space="preserve">14</w:t>
      </w:r>
      <w:r>
        <w:rPr>
          <w:rFonts w:hint="eastAsia" w:ascii="宋体" w:hAnsi="宋体" w:cs="宋体"/>
        </w:rPr>
        <w:t xml:space="preserve">日</w:t>
      </w:r>
      <w:r>
        <w:rPr>
          <w:rFonts w:hint="eastAsia" w:ascii="宋体" w:hAnsi="宋体" w:cs="宋体"/>
          <w:lang w:val="en-US" w:eastAsia="zh-CN"/>
        </w:rPr>
        <w:t xml:space="preserve">9</w:t>
      </w: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0（北京时间）前提交响应文件。</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一、项目基本情况   </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项目编号：JSZC-320100-JSGC-C2026-0047</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项目名称：南京市应急管理综合应用平台统一运维服务项目</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采购方式：竞争性磋商</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预算金额</w:t>
      </w:r>
      <w:r>
        <w:rPr>
          <w:rFonts w:hint="eastAsia" w:ascii="宋体" w:hAnsi="宋体" w:cs="宋体"/>
          <w:bCs/>
          <w:szCs w:val="21"/>
        </w:rPr>
        <w:t xml:space="preserve">：</w:t>
      </w:r>
      <w:r>
        <w:rPr>
          <w:rFonts w:hint="eastAsia" w:ascii="宋体" w:hAnsi="宋体" w:cs="宋体"/>
          <w:bCs/>
          <w:szCs w:val="21"/>
          <w:lang w:val="en-US" w:eastAsia="zh-CN"/>
        </w:rPr>
        <w:t xml:space="preserve">124</w:t>
      </w:r>
      <w:r>
        <w:rPr>
          <w:rFonts w:hint="eastAsia" w:ascii="宋体" w:hAnsi="宋体" w:cs="宋体"/>
          <w:bCs/>
          <w:szCs w:val="21"/>
        </w:rPr>
        <w:t xml:space="preserve">万元</w:t>
      </w:r>
      <w:r/>
    </w:p>
    <w:p>
      <w:pPr>
        <w:ind w:firstLine="420"/>
        <w:jc w:val="left"/>
        <w:spacing w:line="360" w:lineRule="auto"/>
        <w:shd w:val="clear" w:color="auto" w:fill="ffffff"/>
        <w:widowControl/>
        <w:rPr>
          <w:rFonts w:ascii="宋体" w:hAnsi="宋体" w:cs="宋体"/>
          <w:bCs/>
          <w:szCs w:val="21"/>
        </w:rPr>
      </w:pPr>
      <w:r/>
      <w:bookmarkStart w:id="3" w:name="_Hlk175666274"/>
      <w:r>
        <w:rPr>
          <w:rFonts w:hint="eastAsia" w:ascii="宋体" w:hAnsi="宋体" w:cs="宋体"/>
          <w:bCs/>
          <w:szCs w:val="21"/>
        </w:rPr>
        <w:t xml:space="preserve">最高限价（如有）</w:t>
      </w:r>
      <w:bookmarkEnd w:id="3"/>
      <w:r>
        <w:rPr>
          <w:rFonts w:hint="eastAsia" w:ascii="宋体" w:hAnsi="宋体" w:cs="宋体"/>
          <w:bCs/>
          <w:szCs w:val="21"/>
        </w:rPr>
        <w:t xml:space="preserve">：</w:t>
      </w:r>
      <w:r>
        <w:rPr>
          <w:rFonts w:hint="eastAsia" w:ascii="宋体" w:hAnsi="宋体" w:cs="宋体"/>
          <w:bCs/>
          <w:szCs w:val="21"/>
          <w:lang w:val="en-US" w:eastAsia="zh-CN"/>
        </w:rPr>
        <w:t xml:space="preserve">124</w:t>
      </w:r>
      <w:r>
        <w:rPr>
          <w:rFonts w:hint="eastAsia" w:ascii="宋体" w:hAnsi="宋体" w:cs="宋体"/>
          <w:bCs/>
          <w:szCs w:val="21"/>
        </w:rPr>
        <w:t xml:space="preserve">万元</w:t>
      </w:r>
      <w:r/>
    </w:p>
    <w:p>
      <w:pPr>
        <w:ind w:firstLine="420"/>
        <w:jc w:val="left"/>
        <w:spacing w:line="360" w:lineRule="auto"/>
        <w:shd w:val="clear" w:color="auto" w:fill="ffffff"/>
        <w:widowControl/>
        <w:rPr>
          <w:rFonts w:ascii="宋体" w:hAnsi="宋体" w:cs="宋体"/>
          <w:bCs/>
          <w:szCs w:val="21"/>
          <w:u w:val="single"/>
        </w:rPr>
      </w:pPr>
      <w:r>
        <w:rPr>
          <w:rFonts w:hint="eastAsia" w:ascii="宋体" w:hAnsi="宋体" w:cs="宋体"/>
          <w:bCs/>
          <w:szCs w:val="21"/>
        </w:rPr>
        <w:t xml:space="preserve">采购需求：本项目采购内容为应急管理局局机关信息系统的2026年度运维服务，供应商须根据各系统不同的运维要求，提供日常业务保障、运维保障、巡检维护、日志监控、故障处理、漏洞修复、功能优化、系统升级等工作。</w:t>
      </w:r>
      <w:r/>
    </w:p>
    <w:p>
      <w:pPr>
        <w:ind w:firstLine="420"/>
        <w:jc w:val="left"/>
        <w:spacing w:line="360" w:lineRule="auto"/>
        <w:shd w:val="clear" w:color="auto" w:fill="ffffff"/>
        <w:widowControl/>
        <w:rPr>
          <w:rFonts w:ascii="宋体" w:hAnsi="宋体" w:cs="宋体"/>
          <w:bCs/>
          <w:szCs w:val="21"/>
        </w:rPr>
      </w:pPr>
      <w:r/>
      <w:bookmarkStart w:id="4" w:name="_Hlk77845455"/>
      <w:r/>
      <w:bookmarkStart w:id="5" w:name="_Hlk128055931"/>
      <w:r>
        <w:rPr>
          <w:rFonts w:hint="eastAsia" w:ascii="宋体" w:hAnsi="宋体" w:cs="宋体"/>
          <w:bCs/>
          <w:szCs w:val="21"/>
        </w:rPr>
        <w:t xml:space="preserve">合同履行期限：自合同签订后</w:t>
      </w:r>
      <w:r>
        <w:rPr>
          <w:rFonts w:hint="eastAsia" w:ascii="宋体" w:hAnsi="宋体" w:cs="宋体"/>
          <w:bCs/>
          <w:szCs w:val="21"/>
          <w:lang w:val="en-US" w:eastAsia="zh-CN"/>
        </w:rPr>
        <w:t xml:space="preserve">365天</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本项目</w:t>
      </w:r>
      <w:bookmarkStart w:id="6" w:name="_Hlk84582886"/>
      <w:r>
        <w:rPr>
          <w:rFonts w:hint="eastAsia" w:ascii="宋体" w:hAnsi="宋体" w:cs="宋体"/>
          <w:bCs/>
          <w:szCs w:val="21"/>
        </w:rPr>
        <w:t xml:space="preserve">（是/否）接受</w:t>
      </w:r>
      <w:bookmarkEnd w:id="6"/>
      <w:r>
        <w:rPr>
          <w:rFonts w:hint="eastAsia" w:ascii="宋体" w:hAnsi="宋体" w:cs="宋体"/>
          <w:bCs/>
          <w:szCs w:val="21"/>
        </w:rPr>
        <w:t xml:space="preserve">联合体投标：否</w:t>
      </w:r>
      <w:bookmarkEnd w:id="4"/>
      <w:r/>
      <w:bookmarkEnd w:id="5"/>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二、申请人的资格要求</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（一）满足《中华人民共和国政府采购法》第二十二条规定：</w:t>
      </w:r>
      <w:r/>
    </w:p>
    <w:p>
      <w:pPr>
        <w:ind w:firstLine="420"/>
        <w:jc w:val="left"/>
        <w:spacing w:line="360" w:lineRule="auto"/>
        <w:rPr>
          <w:rFonts w:ascii="宋体" w:hAnsi="宋体" w:cs="宋体"/>
          <w:bCs/>
          <w:szCs w:val="21"/>
        </w:rPr>
      </w:pPr>
      <w:r>
        <w:rPr>
          <w:rFonts w:hint="eastAsia" w:ascii="宋体" w:hAnsi="宋体" w:cs="宋体"/>
          <w:bCs/>
          <w:szCs w:val="21"/>
        </w:rPr>
        <w:t xml:space="preserve">1.具有独立承担民事责任的能力（提供法人或其他组织的营业执照等证明文件，自然人的身份证明）；</w:t>
      </w:r>
      <w:r/>
    </w:p>
    <w:p>
      <w:pPr>
        <w:ind w:firstLine="420"/>
        <w:jc w:val="left"/>
        <w:spacing w:line="360" w:lineRule="auto"/>
        <w:rPr>
          <w:rFonts w:ascii="宋体" w:hAnsi="宋体" w:cs="宋体"/>
          <w:bCs/>
          <w:szCs w:val="21"/>
        </w:rPr>
      </w:pPr>
      <w:r/>
      <w:bookmarkStart w:id="7" w:name="_Hlk163569255"/>
      <w:r>
        <w:rPr>
          <w:rFonts w:hint="eastAsia" w:ascii="宋体" w:hAnsi="宋体" w:cs="宋体"/>
          <w:bCs/>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6017059"/>
      <w:r>
        <w:rPr>
          <w:rFonts w:hint="eastAsia" w:ascii="宋体" w:hAnsi="宋体" w:cs="宋体"/>
          <w:bCs/>
          <w:szCs w:val="21"/>
        </w:rPr>
        <w:t xml:space="preserve">六个月</w:t>
      </w:r>
      <w:bookmarkEnd w:id="8"/>
      <w:r>
        <w:rPr>
          <w:rFonts w:hint="eastAsia" w:ascii="宋体" w:hAnsi="宋体" w:cs="宋体"/>
          <w:bCs/>
          <w:szCs w:val="21"/>
        </w:rPr>
        <w:t xml:space="preserve">若无上述证明材料的可不提供）；</w:t>
      </w:r>
      <w:bookmarkEnd w:id="7"/>
      <w:r/>
      <w:r/>
    </w:p>
    <w:p>
      <w:pPr>
        <w:ind w:firstLine="420"/>
        <w:jc w:val="left"/>
        <w:spacing w:line="360" w:lineRule="auto"/>
        <w:rPr>
          <w:rFonts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w:t>
      </w:r>
      <w:bookmarkStart w:id="9" w:name="_Hlk128041996"/>
      <w:r>
        <w:rPr>
          <w:rFonts w:hint="eastAsia" w:ascii="宋体" w:hAnsi="宋体" w:cs="宋体"/>
          <w:bCs/>
          <w:szCs w:val="21"/>
        </w:rPr>
        <w:t xml:space="preserve">或证明材料</w:t>
      </w:r>
      <w:bookmarkEnd w:id="9"/>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4.</w:t>
      </w:r>
      <w:bookmarkStart w:id="10" w:name="_Hlk169006514"/>
      <w:r>
        <w:rPr>
          <w:rFonts w:hint="eastAsia" w:ascii="宋体" w:hAnsi="宋体" w:cs="宋体"/>
          <w:bCs/>
          <w:szCs w:val="21"/>
        </w:rPr>
        <w:t xml:space="preserve">具有依法缴纳税收和社会保障资金的良好记录</w:t>
      </w:r>
      <w:bookmarkStart w:id="11" w:name="_Hlk168994408"/>
      <w:r>
        <w:rPr>
          <w:rFonts w:hint="eastAsia" w:ascii="宋体" w:hAnsi="宋体" w:cs="宋体"/>
          <w:bCs/>
          <w:szCs w:val="21"/>
        </w:rPr>
        <w:t xml:space="preserve">（提供参加本次政府采购活动前一年内至少一个月缴纳社会保险的凭据及缴纳税收凭据，依法享受免缴、缓缴的，提供证明材料）</w:t>
      </w:r>
      <w:bookmarkEnd w:id="11"/>
      <w:r>
        <w:rPr>
          <w:rFonts w:hint="eastAsia" w:ascii="宋体" w:hAnsi="宋体" w:cs="宋体"/>
          <w:bCs/>
          <w:szCs w:val="21"/>
        </w:rPr>
        <w:t xml:space="preserve">；</w:t>
      </w:r>
      <w:bookmarkEnd w:id="10"/>
      <w:r/>
      <w:r/>
    </w:p>
    <w:p>
      <w:pPr>
        <w:ind w:firstLine="420"/>
        <w:jc w:val="left"/>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jc w:val="left"/>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20"/>
        <w:spacing w:line="360" w:lineRule="auto"/>
        <w:rPr>
          <w:rFonts w:ascii="宋体" w:hAnsi="宋体" w:cs="宋体"/>
          <w:bCs/>
          <w:szCs w:val="21"/>
        </w:rPr>
      </w:pPr>
      <w:r>
        <w:rPr>
          <w:rFonts w:hint="eastAsia" w:ascii="宋体" w:hAnsi="宋体" w:cs="宋体"/>
          <w:bCs/>
          <w:szCs w:val="21"/>
        </w:rPr>
        <w:t xml:space="preserve">（二）落实政府采购政策需满足的资格要求：</w:t>
      </w:r>
      <w:bookmarkStart w:id="12" w:name="_Hlk67996638"/>
      <w:r/>
      <w:bookmarkStart w:id="13" w:name="_Hlk67648547"/>
      <w:r>
        <w:rPr>
          <w:rFonts w:hint="eastAsia" w:ascii="宋体" w:hAnsi="宋体" w:cs="宋体"/>
          <w:bCs/>
          <w:szCs w:val="21"/>
        </w:rPr>
        <w:t xml:space="preserve">无。</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（三）</w:t>
      </w:r>
      <w:r>
        <w:rPr>
          <w:rFonts w:hint="eastAsia" w:ascii="宋体" w:hAnsi="宋体" w:cs="宋体"/>
          <w:bCs/>
          <w:szCs w:val="21"/>
        </w:rPr>
        <w:t xml:space="preserve">本项目特定资格要求</w:t>
      </w:r>
      <w:bookmarkEnd w:id="12"/>
      <w:r>
        <w:rPr>
          <w:rFonts w:hint="eastAsia" w:ascii="宋体" w:hAnsi="宋体" w:cs="宋体"/>
          <w:bCs/>
          <w:szCs w:val="21"/>
        </w:rPr>
        <w:t xml:space="preserve">：</w:t>
      </w:r>
      <w:bookmarkEnd w:id="13"/>
      <w:r>
        <w:rPr>
          <w:rFonts w:hint="eastAsia" w:ascii="宋体" w:hAnsi="宋体" w:cs="宋体"/>
          <w:bCs/>
          <w:szCs w:val="21"/>
        </w:rPr>
        <w:t xml:space="preserve">无。</w:t>
      </w:r>
      <w:r/>
    </w:p>
    <w:p>
      <w:pPr>
        <w:ind w:firstLine="422"/>
        <w:jc w:val="left"/>
        <w:spacing w:line="360" w:lineRule="auto"/>
        <w:shd w:val="clear" w:color="auto" w:fill="ffffff"/>
        <w:widowControl/>
        <w:rPr>
          <w:rFonts w:ascii="宋体" w:hAnsi="宋体" w:cs="宋体"/>
          <w:b/>
          <w:szCs w:val="21"/>
        </w:rPr>
      </w:pPr>
      <w:r/>
      <w:bookmarkStart w:id="14" w:name="_Hlk77845490"/>
      <w:r/>
      <w:bookmarkStart w:id="15" w:name="_Hlk77846375"/>
      <w:r>
        <w:rPr>
          <w:rFonts w:hint="eastAsia" w:ascii="宋体" w:hAnsi="宋体" w:cs="宋体"/>
          <w:b/>
          <w:szCs w:val="21"/>
        </w:rPr>
        <w:t xml:space="preserve">三、获取采购文件</w:t>
      </w:r>
      <w:r/>
    </w:p>
    <w:p>
      <w:pPr>
        <w:ind w:firstLine="420"/>
        <w:jc w:val="left"/>
        <w:spacing w:line="360" w:lineRule="auto"/>
        <w:shd w:val="clear" w:color="auto" w:fill="ffffff"/>
        <w:widowControl/>
        <w:rPr>
          <w:rFonts w:ascii="宋体" w:hAnsi="宋体" w:cs="宋体"/>
          <w:szCs w:val="21"/>
        </w:rPr>
      </w:pPr>
      <w:r/>
      <w:bookmarkStart w:id="16" w:name="_Hlk167288387"/>
      <w:r>
        <w:rPr>
          <w:rFonts w:hint="eastAsia" w:ascii="宋体" w:hAnsi="宋体" w:cs="宋体"/>
          <w:szCs w:val="21"/>
        </w:rPr>
        <w:t xml:space="preserve">时间：自磋商文件公告发布之日起5个工作日</w:t>
      </w:r>
      <w:bookmarkEnd w:id="14"/>
      <w:r/>
      <w:r/>
    </w:p>
    <w:p>
      <w:pPr>
        <w:ind w:firstLine="420"/>
        <w:jc w:val="left"/>
        <w:spacing w:line="360" w:lineRule="auto"/>
        <w:shd w:val="clear" w:color="auto" w:fill="ffffff"/>
        <w:widowControl/>
        <w:rPr>
          <w:rFonts w:ascii="宋体" w:hAnsi="宋体" w:cs="宋体"/>
          <w:szCs w:val="21"/>
        </w:rPr>
      </w:pPr>
      <w:r/>
      <w:bookmarkStart w:id="17" w:name="_Hlk77845475"/>
      <w:r>
        <w:rPr>
          <w:rFonts w:hint="eastAsia" w:ascii="宋体" w:hAnsi="宋体" w:cs="宋体"/>
          <w:szCs w:val="21"/>
        </w:rPr>
        <w:t xml:space="preserve">地点： </w:t>
      </w:r>
      <w:r>
        <w:rPr>
          <w:rFonts w:hint="eastAsia" w:ascii="宋体" w:hAnsi="宋体" w:cs="宋体"/>
          <w:szCs w:val="21"/>
        </w:rPr>
        <w:t xml:space="preserve">江苏政府采购网“苏采云”系统</w:t>
      </w:r>
      <w:r/>
    </w:p>
    <w:p>
      <w:pPr>
        <w:ind w:firstLine="420"/>
        <w:jc w:val="left"/>
        <w:spacing w:line="360" w:lineRule="auto"/>
        <w:shd w:val="clear" w:color="auto" w:fill="ffffff"/>
        <w:widowControl/>
        <w:rPr>
          <w:rFonts w:ascii="宋体" w:hAnsi="宋体" w:cs="宋体"/>
          <w:szCs w:val="21"/>
        </w:rPr>
      </w:pPr>
      <w:r/>
      <w:bookmarkStart w:id="18" w:name="_Hlk168491228"/>
      <w:r/>
      <w:bookmarkStart w:id="19" w:name="_Hlk168491149"/>
      <w:r/>
      <w:bookmarkStart w:id="20" w:name="_Hlk75168366"/>
      <w:r>
        <w:rPr>
          <w:rFonts w:hint="eastAsia" w:ascii="宋体" w:hAnsi="宋体" w:cs="宋体"/>
          <w:szCs w:val="21"/>
        </w:rPr>
        <w:t xml:space="preserve">方式：供应商登录江苏政府采购网，在网站首页点击“</w:t>
      </w:r>
      <w:r>
        <w:rPr>
          <w:rFonts w:hint="eastAsia" w:ascii="宋体" w:hAnsi="宋体" w:cs="宋体"/>
          <w:szCs w:val="21"/>
        </w:rPr>
        <w:t xml:space="preserve">苏采云”系统</w:t>
      </w:r>
      <w:r>
        <w:rPr>
          <w:rFonts w:hint="eastAsia" w:ascii="宋体" w:hAnsi="宋体" w:cs="宋体"/>
          <w:bCs/>
          <w:szCs w:val="21"/>
        </w:rPr>
        <w:t xml:space="preserve">自行免费下载</w:t>
      </w:r>
      <w:bookmarkEnd w:id="18"/>
      <w:r/>
      <w:bookmarkEnd w:id="16"/>
      <w:r/>
      <w:bookmarkEnd w:id="19"/>
      <w:r/>
      <w:bookmarkEnd w:id="20"/>
      <w:r/>
      <w:r/>
    </w:p>
    <w:p>
      <w:pPr>
        <w:ind w:firstLine="420"/>
        <w:spacing w:line="360" w:lineRule="auto"/>
        <w:widowControl/>
        <w:rPr>
          <w:rFonts w:ascii="宋体" w:hAnsi="宋体" w:cs="宋体"/>
          <w:szCs w:val="21"/>
        </w:rPr>
      </w:pPr>
      <w:r/>
      <w:bookmarkStart w:id="21" w:name="_Hlk95487722"/>
      <w:r/>
      <w:bookmarkStart w:id="22" w:name="_Hlk128043211"/>
      <w:r>
        <w:rPr>
          <w:rFonts w:hint="eastAsia" w:ascii="宋体" w:hAnsi="宋体" w:cs="宋体"/>
          <w:szCs w:val="21"/>
        </w:rPr>
        <w:t xml:space="preserve">售价：0元</w:t>
      </w:r>
      <w:bookmarkEnd w:id="15"/>
      <w:r/>
      <w:bookmarkEnd w:id="17"/>
      <w:r/>
      <w:bookmarkEnd w:id="21"/>
      <w:r/>
      <w:bookmarkEnd w:id="22"/>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四、</w:t>
      </w:r>
      <w:bookmarkStart w:id="23" w:name="_Hlk44579106"/>
      <w:r>
        <w:rPr>
          <w:rFonts w:hint="eastAsia" w:ascii="宋体" w:hAnsi="宋体" w:cs="宋体"/>
          <w:b/>
          <w:szCs w:val="21"/>
        </w:rPr>
        <w:t xml:space="preserve">响应文件</w:t>
      </w:r>
      <w:bookmarkEnd w:id="23"/>
      <w:r>
        <w:rPr>
          <w:rFonts w:hint="eastAsia" w:ascii="宋体" w:hAnsi="宋体" w:cs="宋体"/>
          <w:b/>
          <w:szCs w:val="21"/>
        </w:rPr>
        <w:t xml:space="preserve">提交</w:t>
      </w:r>
      <w:r/>
    </w:p>
    <w:p>
      <w:pPr>
        <w:ind w:firstLine="420"/>
        <w:jc w:val="left"/>
        <w:spacing w:line="360" w:lineRule="auto"/>
        <w:shd w:val="clear" w:color="auto" w:fill="ffffff"/>
        <w:widowControl/>
        <w:rPr>
          <w:rFonts w:ascii="宋体" w:hAnsi="宋体" w:cs="宋体"/>
          <w:szCs w:val="21"/>
        </w:rPr>
      </w:pPr>
      <w:r/>
      <w:bookmarkStart w:id="24" w:name="_Hlk44575721"/>
      <w:r>
        <w:rPr>
          <w:rFonts w:hint="eastAsia" w:ascii="宋体" w:hAnsi="宋体" w:cs="宋体"/>
          <w:szCs w:val="21"/>
        </w:rPr>
        <w:t xml:space="preserve">截止时间：</w:t>
      </w:r>
      <w:bookmarkEnd w:id="24"/>
      <w:r>
        <w:rPr>
          <w:rFonts w:hint="eastAsia" w:ascii="宋体" w:hAnsi="宋体" w:cs="宋体"/>
        </w:rPr>
        <w:t xml:space="preserve">2026年</w:t>
      </w:r>
      <w:r>
        <w:rPr>
          <w:rFonts w:hint="eastAsia" w:ascii="宋体" w:hAnsi="宋体" w:cs="宋体"/>
          <w:lang w:val="en-US" w:eastAsia="zh-CN"/>
        </w:rPr>
        <w:t xml:space="preserve">10</w:t>
      </w:r>
      <w:r>
        <w:rPr>
          <w:rFonts w:hint="eastAsia" w:ascii="宋体" w:hAnsi="宋体" w:cs="宋体"/>
        </w:rPr>
        <w:t xml:space="preserve">月</w:t>
      </w:r>
      <w:r>
        <w:rPr>
          <w:rFonts w:hint="eastAsia" w:ascii="宋体" w:hAnsi="宋体" w:cs="宋体"/>
          <w:lang w:val="en-US" w:eastAsia="zh-CN"/>
        </w:rPr>
        <w:t xml:space="preserve">14</w:t>
      </w:r>
      <w:r>
        <w:rPr>
          <w:rFonts w:hint="eastAsia" w:ascii="宋体" w:hAnsi="宋体" w:cs="宋体"/>
        </w:rPr>
        <w:t xml:space="preserve">日</w:t>
      </w:r>
      <w:r>
        <w:rPr>
          <w:rFonts w:hint="eastAsia" w:ascii="宋体" w:hAnsi="宋体" w:cs="宋体"/>
          <w:lang w:val="en-US" w:eastAsia="zh-CN"/>
        </w:rPr>
        <w:t xml:space="preserve">9</w:t>
      </w: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0</w:t>
      </w:r>
      <w:r>
        <w:rPr>
          <w:rFonts w:hint="eastAsia" w:ascii="宋体" w:hAnsi="宋体" w:cs="宋体"/>
          <w:szCs w:val="21"/>
        </w:rPr>
        <w:t xml:space="preserve"> （北京时间）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地点：江苏政府采购网</w:t>
      </w:r>
      <w:bookmarkStart w:id="25" w:name="OLE_LINK21"/>
      <w:r>
        <w:rPr>
          <w:rFonts w:hint="eastAsia" w:ascii="宋体" w:hAnsi="宋体" w:cs="宋体"/>
          <w:szCs w:val="21"/>
        </w:rPr>
        <w:t xml:space="preserve">“</w:t>
      </w:r>
      <w:r>
        <w:rPr>
          <w:rFonts w:hint="eastAsia" w:ascii="宋体" w:hAnsi="宋体" w:cs="宋体"/>
          <w:szCs w:val="21"/>
        </w:rPr>
        <w:t xml:space="preserve">苏采云”系统</w:t>
      </w:r>
      <w:bookmarkEnd w:id="25"/>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五、开启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时间：</w:t>
      </w:r>
      <w:r>
        <w:rPr>
          <w:rFonts w:hint="eastAsia" w:ascii="宋体" w:hAnsi="宋体" w:cs="宋体"/>
        </w:rPr>
        <w:t xml:space="preserve">2026年</w:t>
      </w:r>
      <w:r>
        <w:rPr>
          <w:rFonts w:hint="eastAsia" w:ascii="宋体" w:hAnsi="宋体" w:cs="宋体"/>
          <w:lang w:val="en-US" w:eastAsia="zh-CN"/>
        </w:rPr>
        <w:t xml:space="preserve">10</w:t>
      </w:r>
      <w:r>
        <w:rPr>
          <w:rFonts w:hint="eastAsia" w:ascii="宋体" w:hAnsi="宋体" w:cs="宋体"/>
        </w:rPr>
        <w:t xml:space="preserve">月</w:t>
      </w:r>
      <w:r>
        <w:rPr>
          <w:rFonts w:hint="eastAsia" w:ascii="宋体" w:hAnsi="宋体" w:cs="宋体"/>
          <w:lang w:val="en-US" w:eastAsia="zh-CN"/>
        </w:rPr>
        <w:t xml:space="preserve">14</w:t>
      </w:r>
      <w:r>
        <w:rPr>
          <w:rFonts w:hint="eastAsia" w:ascii="宋体" w:hAnsi="宋体" w:cs="宋体"/>
        </w:rPr>
        <w:t xml:space="preserve">日</w:t>
      </w:r>
      <w:r>
        <w:rPr>
          <w:rFonts w:hint="eastAsia" w:ascii="宋体" w:hAnsi="宋体" w:cs="宋体"/>
          <w:lang w:val="en-US" w:eastAsia="zh-CN"/>
        </w:rPr>
        <w:t xml:space="preserve">9</w:t>
      </w: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0</w:t>
      </w:r>
      <w:r>
        <w:rPr>
          <w:rFonts w:hint="eastAsia" w:ascii="宋体" w:hAnsi="宋体" w:cs="宋体"/>
          <w:szCs w:val="21"/>
        </w:rPr>
        <w:t xml:space="preserve">  （北京时间）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地点：“</w:t>
      </w:r>
      <w:r>
        <w:rPr>
          <w:rFonts w:hint="eastAsia" w:ascii="宋体" w:hAnsi="宋体" w:cs="宋体"/>
          <w:szCs w:val="21"/>
        </w:rPr>
        <w:t xml:space="preserve">苏采云”系统</w:t>
      </w:r>
      <w:r>
        <w:rPr>
          <w:rFonts w:hint="eastAsia" w:ascii="宋体" w:hAnsi="宋体" w:cs="宋体"/>
          <w:szCs w:val="21"/>
        </w:rPr>
        <w:t xml:space="preserve">开标大厅</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六、公告期限</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自本公告发布之日起3个工作日。</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lang w:val="zh-CN"/>
        </w:rPr>
        <w:t xml:space="preserve">七</w:t>
      </w:r>
      <w:r>
        <w:rPr>
          <w:rFonts w:hint="eastAsia" w:ascii="宋体" w:hAnsi="宋体" w:cs="宋体"/>
          <w:b/>
          <w:bCs/>
          <w:szCs w:val="21"/>
        </w:rPr>
        <w:t xml:space="preserve">、其他补充事宜</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1.</w:t>
      </w:r>
      <w:r>
        <w:rPr>
          <w:rFonts w:hint="eastAsia" w:ascii="宋体" w:hAnsi="宋体" w:cs="宋体"/>
        </w:rPr>
        <w:t xml:space="preserve"> </w:t>
      </w:r>
      <w:r>
        <w:rPr>
          <w:rFonts w:hint="eastAsia" w:ascii="宋体" w:hAnsi="宋体" w:cs="宋体"/>
          <w:bCs/>
          <w:szCs w:val="21"/>
        </w:rPr>
        <w:t xml:space="preserve">公告发布媒体：本项目在</w:t>
      </w:r>
      <w:r>
        <w:rPr>
          <w:rFonts w:hint="eastAsia" w:ascii="宋体" w:hAnsi="宋体" w:cs="宋体"/>
          <w:b/>
          <w:szCs w:val="21"/>
        </w:rPr>
        <w:t xml:space="preserve">江苏政府采购网、中国政府采购网</w:t>
      </w:r>
      <w:r>
        <w:rPr>
          <w:rFonts w:hint="eastAsia" w:ascii="宋体" w:hAnsi="宋体" w:cs="宋体"/>
          <w:bCs/>
          <w:szCs w:val="21"/>
        </w:rPr>
        <w:t xml:space="preserve">发布公告（其他媒体转载无效）。</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2.</w:t>
      </w:r>
      <w:r>
        <w:rPr>
          <w:rFonts w:hint="eastAsia" w:ascii="宋体" w:hAnsi="宋体" w:cs="宋体"/>
          <w:bCs/>
          <w:shd w:val="clear" w:color="auto" w:fill="ffffff"/>
        </w:rPr>
        <w:t xml:space="preserve"> 本项目根据中小企业划型标准</w:t>
      </w:r>
      <w:r>
        <w:rPr>
          <w:rFonts w:hint="eastAsia" w:ascii="宋体" w:hAnsi="宋体" w:cs="宋体"/>
          <w:bCs/>
          <w:szCs w:val="21"/>
        </w:rPr>
        <w:t xml:space="preserve">属于：软件和信息技术服务业。</w:t>
      </w:r>
      <w:r/>
    </w:p>
    <w:p>
      <w:pPr>
        <w:ind w:firstLine="420"/>
        <w:spacing w:line="360" w:lineRule="auto"/>
        <w:rPr>
          <w:rFonts w:ascii="宋体" w:hAnsi="宋体" w:cs="宋体"/>
          <w:szCs w:val="21"/>
        </w:rPr>
      </w:pPr>
      <w:r>
        <w:rPr>
          <w:rFonts w:hint="eastAsia" w:ascii="宋体" w:hAnsi="宋体" w:cs="宋体"/>
          <w:bCs/>
          <w:szCs w:val="21"/>
        </w:rPr>
        <w:t xml:space="preserve">3.</w:t>
      </w:r>
      <w:r>
        <w:rPr>
          <w:rFonts w:hint="eastAsia" w:ascii="宋体" w:hAnsi="宋体" w:cs="宋体"/>
          <w:bCs/>
          <w:szCs w:val="21"/>
        </w:rPr>
        <w:t xml:space="preserve"> 本项目不专门面向中小微企业采购，执行价格扣除优惠政策，</w:t>
      </w:r>
      <w:r>
        <w:rPr>
          <w:rFonts w:hint="eastAsia" w:ascii="宋体" w:hAnsi="宋体" w:cs="宋体"/>
          <w:szCs w:val="21"/>
        </w:rPr>
        <w:t xml:space="preserve">具体内容详见竞争性磋商文件第二章政策功能。</w:t>
      </w:r>
      <w:r/>
    </w:p>
    <w:p>
      <w:pPr>
        <w:ind w:firstLine="420"/>
        <w:jc w:val="left"/>
        <w:spacing w:line="360" w:lineRule="auto"/>
        <w:rPr>
          <w:rFonts w:ascii="宋体" w:hAnsi="宋体" w:cs="宋体"/>
          <w:bCs/>
          <w:szCs w:val="21"/>
          <w:u w:val="single"/>
        </w:rPr>
      </w:pPr>
      <w:r>
        <w:rPr>
          <w:rFonts w:hint="eastAsia" w:ascii="宋体" w:hAnsi="宋体" w:cs="宋体"/>
          <w:bCs/>
          <w:szCs w:val="21"/>
        </w:rPr>
        <w:t xml:space="preserve">4. 勘察现场或答疑：采购人不统一组织，有需要的供应商可自行勘察。</w:t>
      </w:r>
      <w:r/>
    </w:p>
    <w:p>
      <w:pPr>
        <w:ind w:firstLine="422"/>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t xml:space="preserve">5. 拒绝下述供应商参加本次采购活动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ascii="宋体" w:hAnsi="宋体" w:cs="宋体"/>
          <w:bCs/>
          <w:szCs w:val="21"/>
        </w:rPr>
      </w:pPr>
      <w:r>
        <w:rPr>
          <w:rFonts w:hint="eastAsia" w:ascii="宋体" w:hAnsi="宋体" w:cs="宋体"/>
          <w:bCs/>
          <w:szCs w:val="21"/>
        </w:rPr>
        <w:t xml:space="preserve">（4）供应商未提供《南京市政府采购供应商信用承诺书》。</w:t>
      </w:r>
      <w:r/>
    </w:p>
    <w:p>
      <w:pPr>
        <w:ind w:firstLine="422"/>
        <w:jc w:val="left"/>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 w:val="28"/>
          <w:szCs w:val="28"/>
        </w:rPr>
        <w:t xml:space="preserve"> </w:t>
      </w:r>
      <w:r>
        <w:rPr>
          <w:rFonts w:hint="eastAsia" w:ascii="宋体" w:hAnsi="宋体" w:cs="宋体"/>
          <w:b/>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fldChar w:fldCharType="begin"/>
      </w:r>
      <w:r>
        <w:instrText xml:space="preserve"> HYPERLINK "http://www.ccgp-jiangsu.gov.cn/jiangsu/zlxz/ee/ee3a4bc5a3454aa2b0d9312230633ce9.html" </w:instrText>
      </w:r>
      <w:r>
        <w:fldChar w:fldCharType="separate"/>
      </w:r>
      <w:r>
        <w:rPr>
          <w:rStyle w:val="1029"/>
          <w:rFonts w:hint="eastAsia" w:ascii="宋体" w:hAnsi="宋体" w:cs="宋体"/>
          <w:b/>
          <w:color w:val="auto"/>
          <w:szCs w:val="21"/>
        </w:rPr>
        <w:t xml:space="preserve">下载地址</w:t>
      </w:r>
      <w:r>
        <w:rPr>
          <w:rStyle w:val="1029"/>
          <w:rFonts w:hint="eastAsia" w:ascii="宋体" w:hAnsi="宋体" w:cs="宋体"/>
          <w:b/>
          <w:color w:val="auto"/>
          <w:szCs w:val="21"/>
        </w:rPr>
        <w:fldChar w:fldCharType="end"/>
      </w:r>
      <w:r>
        <w:rPr>
          <w:rFonts w:hint="eastAsia" w:ascii="宋体" w:hAnsi="宋体" w:cs="宋体"/>
          <w:b/>
          <w:szCs w:val="21"/>
        </w:rPr>
        <w:t xml:space="preserve">（http://www.ccgp-jiangsu.gov.cn/jiangsu/zlxz/ee/ee3a4bc5a3454aa2b0d9312230633ce9.html）。“苏采云”南京地区客服热线025-83633744、025-83633743。</w:t>
      </w:r>
      <w:r/>
    </w:p>
    <w:p>
      <w:pPr>
        <w:ind w:firstLine="420"/>
        <w:jc w:val="left"/>
        <w:spacing w:line="360" w:lineRule="auto"/>
        <w:rPr>
          <w:rFonts w:ascii="宋体" w:hAnsi="宋体" w:cs="宋体"/>
          <w:bCs/>
          <w:szCs w:val="21"/>
        </w:rPr>
      </w:pPr>
      <w:r>
        <w:rPr>
          <w:rFonts w:hint="eastAsia" w:ascii="宋体" w:hAnsi="宋体" w:cs="宋体"/>
          <w:bCs/>
          <w:szCs w:val="21"/>
        </w:rPr>
        <w:t xml:space="preserve">7. 有关本次招标的事项若存在变动或修改，请及时关注“江苏政府采购网”（www.ccgp-jiangsu.gov.cn）更正公告。</w:t>
      </w:r>
      <w:r/>
    </w:p>
    <w:p>
      <w:pPr>
        <w:ind w:firstLine="422"/>
        <w:spacing w:line="360" w:lineRule="auto"/>
        <w:rPr>
          <w:rFonts w:ascii="宋体" w:hAnsi="宋体" w:cs="宋体"/>
          <w:b/>
          <w:bCs/>
        </w:rPr>
      </w:pPr>
      <w:r/>
      <w:bookmarkStart w:id="26" w:name="_Hlk81314222"/>
      <w:r/>
      <w:bookmarkStart w:id="27" w:name="_Hlk84583042"/>
      <w:r/>
      <w:bookmarkStart w:id="28" w:name="_Hlk81573766"/>
      <w:r>
        <w:rPr>
          <w:rFonts w:hint="eastAsia" w:ascii="宋体" w:hAnsi="宋体" w:cs="宋体"/>
          <w:b/>
          <w:bCs/>
        </w:rPr>
        <w:t xml:space="preserve">8. </w:t>
      </w:r>
      <w:bookmarkStart w:id="29" w:name="_Hlk167286560"/>
      <w:r>
        <w:rPr>
          <w:rFonts w:hint="eastAsia" w:ascii="宋体" w:hAnsi="宋体" w:cs="宋体"/>
          <w:b/>
          <w:bCs/>
        </w:rPr>
        <w:t xml:space="preserve">政府采购信用承诺</w:t>
      </w:r>
      <w:bookmarkEnd w:id="29"/>
      <w:r/>
      <w:r/>
    </w:p>
    <w:p>
      <w:pPr>
        <w:ind w:firstLine="420"/>
        <w:spacing w:line="360" w:lineRule="auto"/>
        <w:rPr>
          <w:rFonts w:ascii="宋体" w:hAnsi="宋体" w:cs="宋体"/>
        </w:rPr>
      </w:pPr>
      <w:r/>
      <w:bookmarkStart w:id="30" w:name="_Hlk167286571"/>
      <w:r>
        <w:rPr>
          <w:rFonts w:hint="eastAsia" w:ascii="宋体" w:hAnsi="宋体" w:cs="宋体"/>
        </w:rPr>
        <w:t xml:space="preserve">根据《关于在政府采购活动中推行信用承诺制的通知》宁财购通〔2021)5号规定，在政府采购资格审查环节，供应商只需提供《南京市政府采购供应商信用承诺书》，即可替代以下证明材料：</w:t>
      </w:r>
      <w:r/>
    </w:p>
    <w:p>
      <w:pPr>
        <w:ind w:firstLine="420"/>
        <w:spacing w:line="360" w:lineRule="auto"/>
        <w:rPr>
          <w:rFonts w:ascii="宋体" w:hAnsi="宋体" w:cs="宋体"/>
        </w:rPr>
      </w:pPr>
      <w:r>
        <w:rPr>
          <w:rFonts w:hint="eastAsia" w:ascii="宋体" w:hAnsi="宋体" w:cs="宋体"/>
        </w:rPr>
        <w:t xml:space="preserve">（1）符合国家相关规定的财务状况报告；</w:t>
      </w:r>
      <w:r/>
    </w:p>
    <w:p>
      <w:pPr>
        <w:ind w:firstLine="420"/>
        <w:spacing w:line="360" w:lineRule="auto"/>
        <w:rPr>
          <w:rFonts w:ascii="宋体" w:hAnsi="宋体" w:cs="宋体"/>
        </w:rPr>
      </w:pPr>
      <w:r>
        <w:rPr>
          <w:rFonts w:hint="eastAsia" w:ascii="宋体" w:hAnsi="宋体" w:cs="宋体"/>
        </w:rPr>
        <w:t xml:space="preserve">（2）依法缴纳税收的证明材料；</w:t>
      </w:r>
      <w:r/>
    </w:p>
    <w:p>
      <w:pPr>
        <w:ind w:firstLine="420"/>
        <w:spacing w:line="360" w:lineRule="auto"/>
        <w:rPr>
          <w:rFonts w:ascii="宋体" w:hAnsi="宋体" w:cs="宋体"/>
        </w:rPr>
      </w:pPr>
      <w:r>
        <w:rPr>
          <w:rFonts w:hint="eastAsia" w:ascii="宋体" w:hAnsi="宋体" w:cs="宋体"/>
        </w:rPr>
        <w:t xml:space="preserve">（3）依法缴纳社会保障资金的证明材料；</w:t>
      </w:r>
      <w:r/>
    </w:p>
    <w:p>
      <w:pPr>
        <w:ind w:firstLine="420"/>
        <w:spacing w:line="360" w:lineRule="auto"/>
        <w:rPr>
          <w:rFonts w:ascii="宋体" w:hAnsi="宋体" w:cs="宋体"/>
        </w:rPr>
      </w:pPr>
      <w:r>
        <w:rPr>
          <w:rFonts w:hint="eastAsia" w:ascii="宋体" w:hAnsi="宋体" w:cs="宋体"/>
        </w:rPr>
        <w:t xml:space="preserve">（4）具备履行政府采购合同所必需的设备和专业技术能力的证明材料；</w:t>
      </w:r>
      <w:r/>
    </w:p>
    <w:p>
      <w:pPr>
        <w:ind w:firstLine="420"/>
        <w:spacing w:line="360" w:lineRule="auto"/>
        <w:rPr>
          <w:rFonts w:ascii="宋体" w:hAnsi="宋体" w:cs="宋体"/>
        </w:rPr>
      </w:pPr>
      <w:r>
        <w:rPr>
          <w:rFonts w:hint="eastAsia" w:ascii="宋体" w:hAnsi="宋体" w:cs="宋体"/>
        </w:rPr>
        <w:t xml:space="preserve">（5）参加政府采购活动前三年内在经营活动中没有重大违法记录的证明材料；</w:t>
      </w:r>
      <w:r/>
    </w:p>
    <w:p>
      <w:pPr>
        <w:ind w:firstLine="420"/>
        <w:spacing w:line="360" w:lineRule="auto"/>
        <w:rPr>
          <w:rFonts w:ascii="宋体" w:hAnsi="宋体" w:cs="宋体"/>
        </w:rPr>
      </w:pPr>
      <w:r>
        <w:rPr>
          <w:rFonts w:hint="eastAsia" w:ascii="宋体" w:hAnsi="宋体" w:cs="宋体"/>
        </w:rPr>
        <w:t xml:space="preserve">（6）未被列入失信被执行人、重大税收违法失信主体、政府采购严重违法失信行为记录名单的证明材料。</w:t>
      </w:r>
      <w:r/>
    </w:p>
    <w:p>
      <w:pPr>
        <w:ind w:firstLine="422"/>
        <w:spacing w:line="360" w:lineRule="auto"/>
        <w:rPr>
          <w:rFonts w:ascii="宋体" w:hAnsi="宋体" w:cs="宋体"/>
          <w:b/>
          <w:bCs/>
        </w:rPr>
      </w:pPr>
      <w:r>
        <w:rPr>
          <w:rFonts w:hint="eastAsia" w:ascii="宋体" w:hAnsi="宋体" w:cs="宋体"/>
          <w:b/>
          <w:bCs/>
        </w:rPr>
        <w:t xml:space="preserve">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w:t>
      </w:r>
      <w:r/>
    </w:p>
    <w:p>
      <w:pPr>
        <w:ind w:firstLine="420"/>
        <w:spacing w:line="360" w:lineRule="auto"/>
        <w:rPr>
          <w:rFonts w:ascii="宋体" w:hAnsi="宋体" w:cs="宋体"/>
        </w:rPr>
      </w:pPr>
      <w:r>
        <w:rPr>
          <w:rFonts w:hint="eastAsia" w:ascii="宋体" w:hAnsi="宋体" w:cs="宋体"/>
        </w:rPr>
        <w:t xml:space="preserve">供应商涉及以下情形的，不适用信用承诺：</w:t>
      </w:r>
      <w:r/>
    </w:p>
    <w:p>
      <w:pPr>
        <w:ind w:firstLine="420"/>
        <w:spacing w:line="360" w:lineRule="auto"/>
        <w:rPr>
          <w:rFonts w:ascii="宋体" w:hAnsi="宋体" w:cs="宋体"/>
        </w:rPr>
      </w:pPr>
      <w:r>
        <w:rPr>
          <w:rFonts w:hint="eastAsia" w:ascii="宋体" w:hAnsi="宋体" w:cs="宋体"/>
        </w:rPr>
        <w:t xml:space="preserve">（1）供应商被列入严重失信主体名单；</w:t>
      </w:r>
      <w:r/>
    </w:p>
    <w:p>
      <w:pPr>
        <w:ind w:firstLine="420"/>
        <w:spacing w:line="360" w:lineRule="auto"/>
        <w:rPr>
          <w:rFonts w:ascii="宋体" w:hAnsi="宋体" w:cs="宋体"/>
        </w:rPr>
      </w:pPr>
      <w:r>
        <w:rPr>
          <w:rFonts w:hint="eastAsia" w:ascii="宋体" w:hAnsi="宋体" w:cs="宋体"/>
        </w:rPr>
        <w:t xml:space="preserve">（2）被相关监管部门作出行政处罚且尚在处罚有效期内；</w:t>
      </w:r>
      <w:r/>
    </w:p>
    <w:p>
      <w:pPr>
        <w:ind w:firstLine="420"/>
        <w:spacing w:line="360" w:lineRule="auto"/>
        <w:rPr>
          <w:rFonts w:ascii="宋体" w:hAnsi="宋体" w:cs="宋体"/>
        </w:rPr>
      </w:pPr>
      <w:r>
        <w:rPr>
          <w:rFonts w:hint="eastAsia" w:ascii="宋体" w:hAnsi="宋体" w:cs="宋体"/>
        </w:rPr>
        <w:t xml:space="preserve">（3）其他法律、行政法规规定的不适用信用承诺的情形；</w:t>
      </w:r>
      <w:r/>
    </w:p>
    <w:p>
      <w:pPr>
        <w:ind w:firstLine="420"/>
        <w:spacing w:line="360" w:lineRule="auto"/>
        <w:rPr>
          <w:rFonts w:ascii="宋体" w:hAnsi="宋体" w:cs="宋体"/>
          <w:szCs w:val="21"/>
        </w:rPr>
      </w:pPr>
      <w:r>
        <w:rPr>
          <w:rFonts w:hint="eastAsia" w:ascii="宋体" w:hAnsi="宋体" w:cs="宋体"/>
        </w:rPr>
        <w:t xml:space="preserve">供应商对信用承诺内容的真实性、合法性、有效性负责。如作出虚假信用承诺，视同为“提供虚假材料谋取中标、成交”的违法行为。</w:t>
      </w:r>
      <w:bookmarkEnd w:id="30"/>
      <w:r/>
      <w:bookmarkEnd w:id="26"/>
      <w:r/>
      <w:bookmarkEnd w:id="27"/>
      <w:r/>
      <w:bookmarkEnd w:id="28"/>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1.采购人信息</w:t>
      </w:r>
      <w:r/>
    </w:p>
    <w:p>
      <w:pPr>
        <w:ind w:firstLine="420"/>
        <w:jc w:val="left"/>
        <w:spacing w:line="360" w:lineRule="auto"/>
        <w:shd w:val="clear" w:color="auto" w:fill="ffffff"/>
        <w:widowControl/>
        <w:rPr>
          <w:rFonts w:ascii="宋体" w:hAnsi="宋体" w:cs="宋体"/>
          <w:b/>
          <w:szCs w:val="21"/>
        </w:rPr>
      </w:pPr>
      <w:r>
        <w:rPr>
          <w:rFonts w:hint="eastAsia" w:ascii="宋体" w:hAnsi="宋体" w:cs="宋体"/>
          <w:bCs/>
          <w:szCs w:val="21"/>
        </w:rPr>
        <w:t xml:space="preserve">单位名称：南京市应急管理局</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单位地址：南京市玄武区双龙巷22号 </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联系人：张工 </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联系电话：025-83630335 </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2.采购代理机构信息（如有）</w:t>
      </w:r>
      <w:r/>
    </w:p>
    <w:p>
      <w:pPr>
        <w:ind w:firstLine="420"/>
        <w:jc w:val="left"/>
        <w:spacing w:line="360" w:lineRule="auto"/>
        <w:shd w:val="clear" w:color="auto" w:fill="ffffff"/>
        <w:widowControl/>
        <w:rPr>
          <w:rFonts w:ascii="宋体" w:hAnsi="宋体" w:cs="宋体"/>
          <w:b/>
          <w:szCs w:val="21"/>
        </w:rPr>
      </w:pPr>
      <w:r>
        <w:rPr>
          <w:rFonts w:hint="eastAsia" w:ascii="宋体" w:hAnsi="宋体" w:cs="宋体"/>
          <w:bCs/>
          <w:szCs w:val="21"/>
        </w:rPr>
        <w:t xml:space="preserve">单位名称：江苏国采工程咨询有限公司</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单位地址：南京市山西路8号金山大厦A座28层2810室</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邮  箱：jsgczb@sina.com</w:t>
      </w:r>
      <w:r/>
    </w:p>
    <w:p>
      <w:pPr>
        <w:ind w:firstLine="420"/>
        <w:jc w:val="left"/>
        <w:spacing w:line="360" w:lineRule="auto"/>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张近 陈丹</w:t>
      </w:r>
      <w:r/>
    </w:p>
    <w:p>
      <w:pPr>
        <w:ind w:firstLine="420"/>
        <w:jc w:val="left"/>
        <w:spacing w:line="360" w:lineRule="auto"/>
        <w:rPr>
          <w:rFonts w:ascii="宋体" w:hAnsi="宋体" w:cs="宋体"/>
          <w:szCs w:val="21"/>
        </w:rPr>
      </w:pPr>
      <w:r>
        <w:rPr>
          <w:rFonts w:hint="eastAsia" w:ascii="宋体" w:hAnsi="宋体" w:cs="宋体"/>
          <w:szCs w:val="21"/>
          <w:lang w:val="zh-CN"/>
        </w:rPr>
        <w:t xml:space="preserve">联系电话：</w:t>
      </w:r>
      <w:r>
        <w:rPr>
          <w:rFonts w:hint="eastAsia" w:ascii="宋体" w:hAnsi="宋体" w:cs="宋体"/>
          <w:szCs w:val="21"/>
        </w:rPr>
        <w:t xml:space="preserve">025-83690878</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3.项目联系方式</w:t>
      </w:r>
      <w:r/>
    </w:p>
    <w:p>
      <w:pPr>
        <w:ind w:firstLine="420"/>
        <w:jc w:val="left"/>
        <w:spacing w:line="360" w:lineRule="auto"/>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张近 陈丹</w:t>
      </w:r>
      <w:r/>
    </w:p>
    <w:p>
      <w:pPr>
        <w:ind w:firstLine="420"/>
        <w:jc w:val="left"/>
        <w:spacing w:line="360" w:lineRule="auto"/>
        <w:rPr>
          <w:rFonts w:ascii="宋体" w:hAnsi="宋体" w:cs="宋体"/>
          <w:szCs w:val="21"/>
        </w:rPr>
      </w:pPr>
      <w:r>
        <w:rPr>
          <w:rFonts w:hint="eastAsia" w:ascii="宋体" w:hAnsi="宋体" w:cs="宋体"/>
          <w:szCs w:val="21"/>
          <w:lang w:val="zh-CN"/>
        </w:rPr>
        <w:t xml:space="preserve">电话：</w:t>
      </w:r>
      <w:r>
        <w:rPr>
          <w:rFonts w:hint="eastAsia" w:ascii="宋体" w:hAnsi="宋体" w:cs="宋体"/>
          <w:szCs w:val="21"/>
        </w:rPr>
        <w:t xml:space="preserve">025-83690878</w:t>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br w:type="page" w:clear="all"/>
      </w:r>
      <w:bookmarkEnd w:id="2"/>
      <w:r/>
      <w:r/>
    </w:p>
    <w:p>
      <w:pPr>
        <w:pStyle w:val="979"/>
        <w:numPr>
          <w:ilvl w:val="0"/>
          <w:numId w:val="0"/>
        </w:numPr>
        <w:spacing w:line="360" w:lineRule="auto"/>
        <w:rPr>
          <w:rFonts w:ascii="宋体" w:hAnsi="宋体" w:cs="宋体"/>
        </w:rPr>
      </w:pPr>
      <w:r/>
      <w:bookmarkStart w:id="31" w:name="_Toc7511"/>
      <w:r/>
      <w:bookmarkStart w:id="32" w:name="_Toc176878660"/>
      <w:r/>
      <w:bookmarkStart w:id="33" w:name="_Toc67494807"/>
      <w:r>
        <w:rPr>
          <w:rFonts w:hint="eastAsia" w:ascii="宋体" w:hAnsi="宋体" w:cs="宋体"/>
        </w:rPr>
        <w:t xml:space="preserve">第二章</w:t>
      </w:r>
      <w:bookmarkStart w:id="34" w:name="_Toc452625218"/>
      <w:r>
        <w:rPr>
          <w:rFonts w:hint="eastAsia" w:ascii="宋体" w:hAnsi="宋体" w:cs="宋体"/>
        </w:rPr>
        <w:t xml:space="preserve"> </w:t>
      </w:r>
      <w:bookmarkEnd w:id="31"/>
      <w:r/>
      <w:bookmarkEnd w:id="34"/>
      <w:r>
        <w:rPr>
          <w:rFonts w:hint="eastAsia" w:ascii="宋体" w:hAnsi="宋体" w:cs="宋体"/>
        </w:rPr>
        <w:t xml:space="preserve">竞争性磋商须知</w:t>
      </w:r>
      <w:bookmarkEnd w:id="32"/>
      <w:r/>
      <w:bookmarkEnd w:id="33"/>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一、总    则</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1.适用法律</w:t>
      </w:r>
      <w:r/>
    </w:p>
    <w:p>
      <w:pPr>
        <w:ind w:firstLine="420"/>
        <w:spacing w:line="360" w:lineRule="auto"/>
        <w:rPr>
          <w:rFonts w:ascii="宋体" w:hAnsi="宋体" w:cs="宋体"/>
          <w:szCs w:val="21"/>
          <w:lang w:val="zh-CN"/>
        </w:rPr>
      </w:pPr>
      <w:r>
        <w:rPr>
          <w:rFonts w:hint="eastAsia" w:ascii="宋体" w:hAnsi="宋体" w:cs="宋体"/>
          <w:szCs w:val="21"/>
        </w:rPr>
        <w:t xml:space="preserve">1.1本次采购适用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》、《财政部关于</w:t>
      </w:r>
      <w:r>
        <w:rPr>
          <w:rFonts w:hint="eastAsia" w:ascii="宋体" w:hAnsi="宋体" w:cs="宋体"/>
          <w:szCs w:val="21"/>
        </w:rPr>
        <w:t xml:space="preserve">政府采购竞争性磋商采购方式管理暂行办法有关问题的补充通知</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有关法律、规章和规定等。</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2.定义</w:t>
      </w:r>
      <w:r/>
    </w:p>
    <w:p>
      <w:pPr>
        <w:ind w:firstLine="420"/>
        <w:spacing w:line="360" w:lineRule="auto"/>
        <w:shd w:val="clear" w:color="auto" w:fill="ffffff"/>
        <w:widowControl/>
        <w:rPr>
          <w:rFonts w:ascii="宋体" w:hAnsi="宋体" w:cs="宋体"/>
          <w:szCs w:val="21"/>
        </w:rPr>
      </w:pPr>
      <w:r/>
      <w:bookmarkStart w:id="35" w:name="_Hlk44576213"/>
      <w:r/>
      <w:bookmarkStart w:id="36" w:name="_Hlk44579770"/>
      <w:r>
        <w:rPr>
          <w:rFonts w:hint="eastAsia" w:ascii="宋体" w:hAnsi="宋体" w:cs="宋体"/>
          <w:szCs w:val="21"/>
        </w:rPr>
        <w:t xml:space="preserve">2.1“采购人”是指</w:t>
      </w:r>
      <w:r>
        <w:rPr>
          <w:rFonts w:hint="eastAsia" w:ascii="宋体" w:hAnsi="宋体" w:cs="宋体"/>
          <w:bCs/>
          <w:szCs w:val="21"/>
        </w:rPr>
        <w:t xml:space="preserve">南京市应急管理局</w:t>
      </w:r>
      <w:r>
        <w:rPr>
          <w:rFonts w:hint="eastAsia" w:ascii="宋体" w:hAnsi="宋体" w:cs="宋体"/>
          <w:szCs w:val="21"/>
        </w:rPr>
        <w:t xml:space="preserve">。</w:t>
      </w:r>
      <w:bookmarkEnd w:id="35"/>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2.2“供应商”是指参加竞争性磋商，并符合竞争性磋商文件规定资格条件的法人、其他组织或者自然人。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2.3“采购代理机构”是指江苏国采工程咨询有限公司。</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2.4“货物和服务”指本竞争性磋商文件中所述</w:t>
      </w:r>
      <w:r>
        <w:rPr>
          <w:rFonts w:hint="eastAsia" w:ascii="宋体" w:hAnsi="宋体" w:cs="宋体"/>
          <w:bCs/>
          <w:szCs w:val="21"/>
        </w:rPr>
        <w:t xml:space="preserve">产品</w:t>
      </w:r>
      <w:r>
        <w:rPr>
          <w:rFonts w:hint="eastAsia" w:ascii="宋体" w:hAnsi="宋体" w:cs="宋体"/>
          <w:szCs w:val="21"/>
        </w:rPr>
        <w:t xml:space="preserve">及相关服务。</w:t>
      </w:r>
      <w:bookmarkEnd w:id="36"/>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b/>
          <w:szCs w:val="21"/>
        </w:rPr>
      </w:pPr>
      <w:r/>
      <w:bookmarkStart w:id="37" w:name="_Hlk75345706"/>
      <w:r>
        <w:rPr>
          <w:rFonts w:hint="eastAsia" w:ascii="宋体" w:hAnsi="宋体" w:cs="宋体"/>
          <w:b/>
          <w:szCs w:val="21"/>
        </w:rPr>
        <w:t xml:space="preserve">3.1 中小企业政策</w:t>
      </w:r>
      <w:r/>
    </w:p>
    <w:p>
      <w:pPr>
        <w:ind w:firstLine="420"/>
        <w:spacing w:line="360" w:lineRule="auto"/>
        <w:shd w:val="clear" w:color="auto" w:fill="ffffff"/>
        <w:widowControl/>
        <w:rPr>
          <w:rFonts w:ascii="宋体" w:hAnsi="宋体" w:cs="宋体"/>
          <w:szCs w:val="21"/>
        </w:rPr>
      </w:pPr>
      <w:r/>
      <w:bookmarkStart w:id="38" w:name="_Hlk77845870"/>
      <w:r/>
      <w:bookmarkStart w:id="39" w:name="_Hlk84580649"/>
      <w:r>
        <w:rPr>
          <w:rFonts w:hint="eastAsia" w:ascii="宋体" w:hAnsi="宋体" w:cs="宋体"/>
          <w:szCs w:val="21"/>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7"/>
      <w:r/>
      <w:bookmarkEnd w:id="38"/>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4%的价格扣除。</w:t>
      </w:r>
      <w:r/>
    </w:p>
    <w:p>
      <w:pPr>
        <w:spacing w:line="360" w:lineRule="auto"/>
        <w:shd w:val="clear" w:color="auto" w:fill="ffffff"/>
        <w:widowControl/>
        <w:rPr>
          <w:rFonts w:ascii="宋体" w:hAnsi="宋体" w:cs="宋体"/>
          <w:szCs w:val="21"/>
        </w:rPr>
      </w:pPr>
      <w:r>
        <w:rPr>
          <w:rFonts w:hint="eastAsia" w:ascii="宋体" w:hAnsi="宋体" w:cs="宋体"/>
          <w:szCs w:val="21"/>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39"/>
      <w:r/>
      <w:r/>
    </w:p>
    <w:p>
      <w:pPr>
        <w:ind w:firstLine="422"/>
        <w:spacing w:line="360" w:lineRule="auto"/>
        <w:rPr>
          <w:rFonts w:ascii="宋体" w:hAnsi="宋体" w:cs="宋体"/>
          <w:b/>
          <w:bCs/>
          <w:szCs w:val="21"/>
        </w:rPr>
      </w:pPr>
      <w:r>
        <w:rPr>
          <w:rFonts w:hint="eastAsia" w:ascii="宋体" w:hAnsi="宋体" w:cs="宋体"/>
          <w:b/>
          <w:bCs/>
          <w:szCs w:val="21"/>
        </w:rPr>
        <w:t xml:space="preserve">3.</w:t>
      </w:r>
      <w:bookmarkStart w:id="40" w:name="_Hlk66802840"/>
      <w:r>
        <w:rPr>
          <w:rFonts w:hint="eastAsia" w:ascii="宋体" w:hAnsi="宋体" w:cs="宋体"/>
          <w:b/>
          <w:bCs/>
          <w:szCs w:val="21"/>
        </w:rPr>
        <w:t xml:space="preserve">2支持监狱企业（含监狱和戒毒企业）发展政策</w:t>
      </w:r>
      <w:bookmarkEnd w:id="40"/>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ascii="宋体" w:hAnsi="宋体" w:cs="宋体"/>
          <w:szCs w:val="21"/>
        </w:rPr>
      </w:pPr>
      <w:r/>
      <w:bookmarkStart w:id="41" w:name="_Hlk77845906"/>
      <w:r>
        <w:rPr>
          <w:rFonts w:hint="eastAsia" w:ascii="宋体" w:hAnsi="宋体" w:cs="宋体"/>
          <w:szCs w:val="21"/>
          <w:shd w:val="clear" w:color="auto" w:fill="ffffff"/>
        </w:rPr>
        <w:t xml:space="preserve">（2）</w:t>
      </w:r>
      <w:r>
        <w:rPr>
          <w:rFonts w:hint="eastAsia" w:ascii="宋体" w:hAnsi="宋体" w:cs="宋体"/>
          <w:szCs w:val="21"/>
        </w:rPr>
        <w:t xml:space="preserve">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41"/>
      <w:r/>
      <w:r/>
    </w:p>
    <w:p>
      <w:pPr>
        <w:ind w:firstLine="422"/>
        <w:spacing w:line="360" w:lineRule="auto"/>
        <w:rPr>
          <w:rFonts w:ascii="宋体" w:hAnsi="宋体" w:cs="宋体"/>
          <w:b/>
          <w:bCs/>
          <w:szCs w:val="21"/>
        </w:rPr>
      </w:pPr>
      <w:r>
        <w:rPr>
          <w:rFonts w:hint="eastAsia" w:ascii="宋体" w:hAnsi="宋体" w:cs="宋体"/>
          <w:b/>
          <w:bCs/>
          <w:szCs w:val="21"/>
        </w:rPr>
        <w:t xml:space="preserve">3.3促进残疾人就业政策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ascii="宋体" w:hAnsi="宋体" w:cs="宋体"/>
          <w:szCs w:val="21"/>
        </w:rPr>
      </w:pPr>
      <w:r/>
      <w:bookmarkStart w:id="42" w:name="_Hlk77845921"/>
      <w:r>
        <w:rPr>
          <w:rFonts w:hint="eastAsia" w:ascii="宋体" w:hAnsi="宋体" w:cs="宋体"/>
          <w:szCs w:val="21"/>
          <w:shd w:val="clear" w:color="auto" w:fill="ffffff"/>
        </w:rPr>
        <w:t xml:space="preserve">（2）</w:t>
      </w:r>
      <w:r>
        <w:rPr>
          <w:rFonts w:hint="eastAsia" w:ascii="宋体" w:hAnsi="宋体" w:cs="宋体"/>
          <w:szCs w:val="21"/>
        </w:rPr>
        <w:t xml:space="preserve">参加政府采购活动的残疾人福利性单位提供《残疾人福利性单位声明函》，残疾人福利性单位享受政府采购支持政策的要求详见《关于促进残疾人就业政府采购政策的通知》（财库〔2017〕141号）。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b/>
          <w:bCs/>
          <w:szCs w:val="21"/>
        </w:rPr>
      </w:pPr>
      <w:r/>
      <w:bookmarkStart w:id="43" w:name="_Hlk84584268"/>
      <w:r>
        <w:rPr>
          <w:rFonts w:hint="eastAsia" w:ascii="宋体" w:hAnsi="宋体" w:cs="宋体"/>
          <w:b/>
          <w:bCs/>
          <w:szCs w:val="21"/>
        </w:rPr>
        <w:t xml:space="preserve">二、竞争性磋商文件构成</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4.</w:t>
      </w:r>
      <w:r>
        <w:rPr>
          <w:rFonts w:hint="eastAsia" w:ascii="宋体" w:hAnsi="宋体" w:cs="宋体"/>
          <w:b/>
          <w:szCs w:val="21"/>
        </w:rPr>
        <w:t xml:space="preserve">竞争性</w:t>
      </w:r>
      <w:r>
        <w:rPr>
          <w:rFonts w:hint="eastAsia" w:ascii="宋体" w:hAnsi="宋体" w:cs="宋体"/>
          <w:b/>
          <w:szCs w:val="21"/>
          <w:lang w:val="zh-CN"/>
        </w:rPr>
        <w:t xml:space="preserve">磋商文件组成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4.1竞争性磋商文件由以下部分组成：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w:t>
      </w:r>
      <w:bookmarkStart w:id="44" w:name="OLE_LINK22"/>
      <w:r>
        <w:rPr>
          <w:rFonts w:hint="eastAsia" w:ascii="宋体" w:hAnsi="宋体" w:cs="宋体"/>
          <w:szCs w:val="21"/>
        </w:rPr>
        <w:t xml:space="preserve">竞争性磋商</w:t>
      </w:r>
      <w:bookmarkEnd w:id="44"/>
      <w:r>
        <w:rPr>
          <w:rFonts w:hint="eastAsia" w:ascii="宋体" w:hAnsi="宋体" w:cs="宋体"/>
          <w:szCs w:val="21"/>
        </w:rPr>
        <w:t xml:space="preserve">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（2）竞争性磋商须知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（4）采购项目的内容和相关技术要求等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（6）响应文件格式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供应商应仔细检查竞争性磋商文件是否齐全，如有缺漏请立即与采购代理机构联系。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供应商应认真阅读竞争性磋商文件中所有的事项、格式、条款和规范等要求。按竞争性磋商文件要求和规定编制响应文件，并保证所提供的全部资料的真实性，以使其响应文件对竞争性磋商文件作出实质性响应，否则其风险由供应商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采购代理机构如果要求供应商按照</w:t>
      </w:r>
      <w:bookmarkStart w:id="45" w:name="OLE_LINK3"/>
      <w:r>
        <w:rPr>
          <w:rFonts w:hint="eastAsia" w:ascii="宋体" w:hAnsi="宋体" w:cs="宋体"/>
          <w:szCs w:val="21"/>
        </w:rPr>
        <w:t xml:space="preserve">竞争性磋商文件</w:t>
      </w:r>
      <w:bookmarkEnd w:id="45"/>
      <w:r>
        <w:rPr>
          <w:rFonts w:hint="eastAsia" w:ascii="宋体" w:hAnsi="宋体" w:cs="宋体"/>
          <w:szCs w:val="21"/>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5.</w:t>
      </w:r>
      <w:r>
        <w:rPr>
          <w:rFonts w:hint="eastAsia" w:ascii="宋体" w:hAnsi="宋体" w:cs="宋体"/>
          <w:b/>
          <w:szCs w:val="21"/>
        </w:rPr>
        <w:t xml:space="preserve">竞争性</w:t>
      </w:r>
      <w:r>
        <w:rPr>
          <w:rFonts w:hint="eastAsia" w:ascii="宋体" w:hAnsi="宋体" w:cs="宋体"/>
          <w:b/>
          <w:szCs w:val="21"/>
          <w:lang w:val="zh-CN"/>
        </w:rPr>
        <w:t xml:space="preserve">磋商文件的澄清和修改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w:t>
      </w:r>
      <w:bookmarkStart w:id="46" w:name="_Hlk176450419"/>
      <w:r>
        <w:rPr>
          <w:rFonts w:hint="eastAsia" w:ascii="宋体" w:hAnsi="宋体" w:cs="宋体"/>
          <w:szCs w:val="21"/>
        </w:rPr>
        <w:t xml:space="preserve">采购人或者采购代理机构可以对已发出的</w:t>
      </w:r>
      <w:bookmarkStart w:id="47" w:name="OLE_LINK15"/>
      <w:r>
        <w:rPr>
          <w:rFonts w:hint="eastAsia" w:ascii="宋体" w:hAnsi="宋体" w:cs="宋体"/>
          <w:szCs w:val="21"/>
        </w:rPr>
        <w:t xml:space="preserve">竞争性磋商</w:t>
      </w:r>
      <w:bookmarkEnd w:id="47"/>
      <w:r>
        <w:rPr>
          <w:rFonts w:hint="eastAsia" w:ascii="宋体" w:hAnsi="宋体" w:cs="宋体"/>
          <w:szCs w:val="21"/>
        </w:rPr>
        <w:t xml:space="preserve">文件、竞争性磋商公告进行必要的澄清或者修改，但不得改变采购标的和资格条件。澄清或者修改应当在原公告发布媒体上发布更正公告。更正内容将作为竞争性磋商文件的组成部分，并对供应商具有约束力。</w:t>
      </w:r>
      <w:bookmarkEnd w:id="46"/>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ascii="宋体" w:hAnsi="宋体" w:cs="宋体"/>
          <w:szCs w:val="21"/>
        </w:rPr>
      </w:pPr>
      <w:r>
        <w:rPr>
          <w:rFonts w:hint="eastAsia" w:ascii="宋体" w:hAnsi="宋体" w:cs="宋体"/>
          <w:szCs w:val="21"/>
        </w:rPr>
        <w:t xml:space="preserve">5.3 采购代理机构有权按照法律法规的要求推迟投标截止日期和开标日期，并在原公告媒体发布更正公告。</w:t>
      </w:r>
      <w:bookmarkEnd w:id="42"/>
      <w:r/>
      <w:bookmarkEnd w:id="43"/>
      <w:r/>
      <w:r/>
    </w:p>
    <w:p>
      <w:pPr>
        <w:ind w:firstLine="420"/>
        <w:spacing w:line="360" w:lineRule="auto"/>
        <w:rPr>
          <w:rFonts w:ascii="宋体" w:hAnsi="宋体" w:cs="宋体"/>
          <w:b/>
          <w:szCs w:val="21"/>
          <w:lang w:val="zh-CN"/>
        </w:rPr>
      </w:pPr>
      <w:r>
        <w:rPr>
          <w:rFonts w:hint="eastAsia" w:ascii="宋体" w:hAnsi="宋体" w:cs="宋体"/>
          <w:b/>
          <w:szCs w:val="21"/>
          <w:lang w:val="zh-CN"/>
        </w:rPr>
        <w:t xml:space="preserve">三、响应文件编制</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6.响应文件的语言、计量单位、货币和编制</w:t>
      </w:r>
      <w:r/>
    </w:p>
    <w:p>
      <w:pPr>
        <w:ind w:firstLine="420"/>
        <w:spacing w:line="360" w:lineRule="auto"/>
        <w:rPr>
          <w:rFonts w:ascii="宋体" w:hAnsi="宋体" w:cs="宋体"/>
          <w:szCs w:val="21"/>
          <w:lang w:val="zh-CN"/>
        </w:rPr>
      </w:pPr>
      <w:r>
        <w:rPr>
          <w:rFonts w:hint="eastAsia" w:ascii="宋体" w:hAnsi="宋体" w:cs="宋体"/>
          <w:szCs w:val="21"/>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6.2 除技术性能另有规定外，</w:t>
      </w:r>
      <w:r>
        <w:rPr>
          <w:rFonts w:hint="eastAsia" w:ascii="宋体" w:hAnsi="宋体" w:cs="宋体"/>
          <w:szCs w:val="21"/>
        </w:rPr>
        <w:t xml:space="preserve">响应</w:t>
      </w:r>
      <w:r>
        <w:rPr>
          <w:rFonts w:hint="eastAsia" w:ascii="宋体" w:hAnsi="宋体" w:cs="宋体"/>
          <w:szCs w:val="21"/>
          <w:lang w:val="zh-CN"/>
        </w:rPr>
        <w:t xml:space="preserve">文件所使用的度量衡单位，均须采用国家法定计量单位。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6.3 </w:t>
      </w:r>
      <w:r>
        <w:rPr>
          <w:rFonts w:hint="eastAsia" w:ascii="宋体" w:hAnsi="宋体" w:cs="宋体"/>
          <w:szCs w:val="21"/>
        </w:rPr>
        <w:t xml:space="preserve">响应文件中的单价和总价无特殊规定的采用人民币报价，以元为单位标注。竞争性磋商文件中另有规定的按规定执行。</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 </w:t>
      </w:r>
      <w:r>
        <w:rPr>
          <w:rFonts w:hint="eastAsia" w:ascii="宋体" w:hAnsi="宋体" w:cs="宋体"/>
          <w:szCs w:val="21"/>
        </w:rPr>
        <w:t xml:space="preserve">供应商</w:t>
      </w:r>
      <w:r>
        <w:rPr>
          <w:rFonts w:hint="eastAsia" w:ascii="宋体" w:hAnsi="宋体" w:cs="宋体"/>
          <w:szCs w:val="21"/>
          <w:lang w:val="zh-CN"/>
        </w:rPr>
        <w:t xml:space="preserve">应按照法律、法规、规章和规范性文件以及</w:t>
      </w:r>
      <w:r>
        <w:rPr>
          <w:rFonts w:hint="eastAsia" w:ascii="宋体" w:hAnsi="宋体" w:cs="宋体"/>
          <w:szCs w:val="21"/>
        </w:rPr>
        <w:t xml:space="preserve">竞争性磋商</w:t>
      </w:r>
      <w:r>
        <w:rPr>
          <w:rFonts w:hint="eastAsia" w:ascii="宋体" w:hAnsi="宋体" w:cs="宋体"/>
          <w:szCs w:val="21"/>
          <w:lang w:val="zh-CN"/>
        </w:rPr>
        <w:t xml:space="preserve">文件要求提交证明文件，证明其投标标的符合</w:t>
      </w:r>
      <w:r>
        <w:rPr>
          <w:rFonts w:hint="eastAsia" w:ascii="宋体" w:hAnsi="宋体" w:cs="宋体"/>
          <w:szCs w:val="21"/>
        </w:rPr>
        <w:t xml:space="preserve">竞争性磋商</w:t>
      </w:r>
      <w:r>
        <w:rPr>
          <w:rFonts w:hint="eastAsia" w:ascii="宋体" w:hAnsi="宋体" w:cs="宋体"/>
          <w:szCs w:val="21"/>
          <w:lang w:val="zh-CN"/>
        </w:rPr>
        <w:t xml:space="preserve">文件规定。</w:t>
      </w:r>
      <w:r/>
    </w:p>
    <w:p>
      <w:pPr>
        <w:ind w:firstLine="420"/>
        <w:spacing w:line="360" w:lineRule="auto"/>
        <w:rPr>
          <w:rFonts w:ascii="宋体" w:hAnsi="宋体" w:cs="宋体"/>
          <w:szCs w:val="21"/>
          <w:lang w:val="zh-CN"/>
        </w:rPr>
      </w:pPr>
      <w:r/>
      <w:bookmarkStart w:id="48" w:name="OLE_LINK17"/>
      <w:r>
        <w:rPr>
          <w:rFonts w:hint="eastAsia" w:ascii="宋体" w:hAnsi="宋体" w:cs="宋体"/>
          <w:szCs w:val="21"/>
        </w:rPr>
        <w:t xml:space="preserve">6</w:t>
      </w:r>
      <w:r>
        <w:rPr>
          <w:rFonts w:hint="eastAsia" w:ascii="宋体" w:hAnsi="宋体" w:cs="宋体"/>
          <w:szCs w:val="21"/>
          <w:lang w:val="zh-CN"/>
        </w:rPr>
        <w:t xml:space="preserve">.5</w:t>
      </w:r>
      <w:bookmarkEnd w:id="48"/>
      <w:r>
        <w:rPr>
          <w:rFonts w:hint="eastAsia" w:ascii="宋体" w:hAnsi="宋体" w:cs="宋体"/>
          <w:szCs w:val="21"/>
        </w:rPr>
        <w:t xml:space="preserve"> 竞争性磋商</w:t>
      </w:r>
      <w:r>
        <w:rPr>
          <w:rFonts w:hint="eastAsia" w:ascii="宋体" w:hAnsi="宋体" w:cs="宋体"/>
          <w:szCs w:val="21"/>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ascii="宋体" w:hAnsi="宋体" w:cs="宋体"/>
          <w:szCs w:val="21"/>
        </w:rPr>
      </w:pPr>
      <w:r/>
      <w:bookmarkStart w:id="49" w:name="_Hlk175667315"/>
      <w:r>
        <w:rPr>
          <w:rFonts w:hint="eastAsia" w:ascii="宋体" w:hAnsi="宋体" w:cs="宋体"/>
          <w:szCs w:val="21"/>
        </w:rPr>
        <w:t xml:space="preserve">6.6</w:t>
      </w:r>
      <w:bookmarkStart w:id="50" w:name="OLE_LINK25"/>
      <w:r>
        <w:rPr>
          <w:rFonts w:hint="eastAsia" w:ascii="宋体" w:hAnsi="宋体" w:cs="宋体"/>
          <w:szCs w:val="21"/>
        </w:rPr>
        <w:t xml:space="preserve">磋商</w:t>
      </w:r>
      <w:bookmarkEnd w:id="50"/>
      <w:r>
        <w:rPr>
          <w:rFonts w:hint="eastAsia" w:ascii="宋体" w:hAnsi="宋体" w:cs="宋体"/>
          <w:szCs w:val="21"/>
        </w:rPr>
        <w:t xml:space="preserve">报价表中的投标总价应与分项报价表中的投标总价一致，如不一致不作为无效投标处理，评标时以磋商环节最终报价价格为准。</w:t>
      </w:r>
      <w:bookmarkEnd w:id="49"/>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7.响应文件的组成</w:t>
      </w:r>
      <w:r/>
    </w:p>
    <w:p>
      <w:pPr>
        <w:ind w:firstLine="420"/>
        <w:spacing w:line="360" w:lineRule="auto"/>
        <w:rPr>
          <w:rFonts w:ascii="宋体" w:hAnsi="宋体" w:cs="宋体"/>
          <w:szCs w:val="21"/>
          <w:lang w:val="zh-CN"/>
        </w:rPr>
      </w:pPr>
      <w:r>
        <w:rPr>
          <w:rFonts w:hint="eastAsia" w:ascii="宋体" w:hAnsi="宋体" w:cs="宋体"/>
          <w:szCs w:val="21"/>
          <w:lang w:val="zh-CN"/>
        </w:rPr>
        <w:t xml:space="preserve">7.1 </w:t>
      </w:r>
      <w:r>
        <w:rPr>
          <w:rFonts w:hint="eastAsia" w:ascii="宋体" w:hAnsi="宋体" w:cs="宋体"/>
          <w:szCs w:val="21"/>
        </w:rPr>
        <w:t xml:space="preserve">供应商编写的响应文件应包括资格条件证明文件、符合条件证明文件、磋商报价表、响应及偏离表、其他证明文件、分项报价表等部分。</w:t>
      </w:r>
      <w:r/>
    </w:p>
    <w:p>
      <w:pPr>
        <w:ind w:firstLine="420"/>
        <w:spacing w:line="360" w:lineRule="auto"/>
        <w:rPr>
          <w:rFonts w:ascii="宋体" w:hAnsi="宋体" w:cs="宋体"/>
          <w:szCs w:val="21"/>
        </w:rPr>
      </w:pPr>
      <w:r>
        <w:rPr>
          <w:rFonts w:hint="eastAsia" w:ascii="宋体" w:hAnsi="宋体" w:cs="宋体"/>
          <w:szCs w:val="21"/>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ascii="宋体" w:hAnsi="宋体" w:cs="宋体"/>
          <w:b/>
          <w:bCs/>
          <w:szCs w:val="21"/>
        </w:rPr>
      </w:pPr>
      <w:r/>
      <w:bookmarkStart w:id="51" w:name="_Hlt26954844"/>
      <w:r/>
      <w:bookmarkEnd w:id="51"/>
      <w:r/>
      <w:bookmarkStart w:id="52" w:name="_Hlt26954731"/>
      <w:r/>
      <w:bookmarkEnd w:id="52"/>
      <w:r/>
      <w:bookmarkStart w:id="53" w:name="_Hlt26954842"/>
      <w:r/>
      <w:bookmarkEnd w:id="53"/>
      <w:r/>
      <w:bookmarkStart w:id="54" w:name="_Hlt26670486"/>
      <w:r/>
      <w:bookmarkEnd w:id="54"/>
      <w:r/>
      <w:bookmarkStart w:id="55" w:name="_Hlt26954848"/>
      <w:r/>
      <w:bookmarkEnd w:id="55"/>
      <w:r/>
      <w:bookmarkStart w:id="56" w:name="_Hlt26670425"/>
      <w:r/>
      <w:bookmarkEnd w:id="56"/>
      <w:r/>
      <w:bookmarkStart w:id="57" w:name="_Hlt26670482"/>
      <w:r/>
      <w:bookmarkEnd w:id="57"/>
      <w:r/>
      <w:bookmarkStart w:id="58" w:name="_Hlt26668983"/>
      <w:r/>
      <w:bookmarkEnd w:id="58"/>
      <w:r/>
      <w:bookmarkStart w:id="59" w:name="_Hlt26954846"/>
      <w:r/>
      <w:bookmarkEnd w:id="59"/>
      <w:r/>
      <w:bookmarkStart w:id="60" w:name="_Hlt26670403"/>
      <w:r/>
      <w:bookmarkEnd w:id="60"/>
      <w:r>
        <w:rPr>
          <w:rFonts w:hint="eastAsia" w:ascii="宋体" w:hAnsi="宋体" w:cs="宋体"/>
          <w:b/>
          <w:bCs/>
          <w:szCs w:val="21"/>
        </w:rPr>
        <w:t xml:space="preserve">7.3响应及偏离表</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（1）供应商须对竞争性磋商文件中的</w:t>
      </w:r>
      <w:bookmarkStart w:id="61" w:name="OLE_LINK57"/>
      <w:r>
        <w:rPr>
          <w:rFonts w:hint="eastAsia" w:ascii="宋体" w:hAnsi="宋体" w:cs="宋体"/>
          <w:b/>
          <w:bCs/>
          <w:szCs w:val="21"/>
        </w:rPr>
        <w:t xml:space="preserve">技术要求与商务要求的</w:t>
      </w:r>
      <w:bookmarkStart w:id="62" w:name="OLE_LINK58"/>
      <w:r>
        <w:rPr>
          <w:rFonts w:hint="eastAsia" w:ascii="宋体" w:hAnsi="宋体" w:cs="宋体"/>
          <w:b/>
          <w:bCs/>
          <w:szCs w:val="21"/>
        </w:rPr>
        <w:t xml:space="preserve">实质性要求</w:t>
      </w:r>
      <w:bookmarkEnd w:id="61"/>
      <w:r/>
      <w:bookmarkEnd w:id="62"/>
      <w:r>
        <w:rPr>
          <w:rFonts w:hint="eastAsia" w:ascii="宋体" w:hAnsi="宋体" w:cs="宋体"/>
          <w:b/>
          <w:bCs/>
          <w:szCs w:val="21"/>
        </w:rPr>
        <w:t xml:space="preserve">（斜体且有下划线部分，或者打“★”“*”等其他文字说明的商务和技术要求）做出明确响应，供应商未对实质性要求作出明确响应或有负偏离的，视为无效投标。</w:t>
      </w:r>
      <w:r/>
    </w:p>
    <w:p>
      <w:pPr>
        <w:ind w:right="210" w:firstLine="420"/>
        <w:jc w:val="left"/>
        <w:spacing w:line="360" w:lineRule="auto"/>
        <w:shd w:val="clear" w:color="auto" w:fill="ffffff"/>
        <w:widowControl/>
        <w:rPr>
          <w:rFonts w:ascii="宋体" w:hAnsi="宋体" w:cs="宋体"/>
          <w:szCs w:val="21"/>
        </w:rPr>
      </w:pPr>
      <w:r/>
      <w:bookmarkStart w:id="63" w:name="OLE_LINK56"/>
      <w:r>
        <w:rPr>
          <w:rFonts w:hint="eastAsia" w:ascii="宋体" w:hAnsi="宋体" w:cs="宋体"/>
          <w:szCs w:val="21"/>
        </w:rPr>
        <w:t xml:space="preserve">（2）竞争性磋商文件中除了实质性要求外的</w:t>
      </w:r>
      <w:bookmarkStart w:id="64" w:name="OLE_LINK52"/>
      <w:r>
        <w:rPr>
          <w:rFonts w:hint="eastAsia" w:ascii="宋体" w:hAnsi="宋体" w:cs="宋体"/>
          <w:szCs w:val="21"/>
        </w:rPr>
        <w:t xml:space="preserve">技术要求与商务要求</w:t>
      </w:r>
      <w:bookmarkEnd w:id="63"/>
      <w:r>
        <w:rPr>
          <w:rFonts w:hint="eastAsia" w:ascii="宋体" w:hAnsi="宋体" w:cs="宋体"/>
          <w:szCs w:val="21"/>
        </w:rPr>
        <w:t xml:space="preserve">，供应商未明确列明的，则视为全部响应、无偏离。</w:t>
      </w:r>
      <w:bookmarkEnd w:id="64"/>
      <w:r/>
      <w:r/>
    </w:p>
    <w:p>
      <w:pPr>
        <w:ind w:right="21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（3）供应商可以在响应文件中提供认为需要的其他技术文件或说明。</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8. 磋商保证金</w:t>
      </w:r>
      <w:r/>
    </w:p>
    <w:p>
      <w:pPr>
        <w:ind w:firstLine="420"/>
        <w:spacing w:line="360" w:lineRule="auto"/>
        <w:rPr>
          <w:rFonts w:ascii="宋体" w:hAnsi="宋体" w:cs="宋体"/>
          <w:szCs w:val="21"/>
        </w:rPr>
      </w:pPr>
      <w:r>
        <w:rPr>
          <w:rFonts w:hint="eastAsia" w:ascii="宋体" w:hAnsi="宋体" w:cs="宋体"/>
          <w:szCs w:val="21"/>
        </w:rPr>
        <w:t xml:space="preserve">本项目不收取磋商保证金。</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9.磋商有效期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 </w:t>
      </w:r>
      <w:r>
        <w:rPr>
          <w:rFonts w:hint="eastAsia" w:ascii="宋体" w:hAnsi="宋体" w:cs="宋体"/>
          <w:szCs w:val="21"/>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ascii="宋体" w:hAnsi="宋体" w:cs="宋体"/>
          <w:b/>
          <w:szCs w:val="21"/>
          <w:lang w:val="zh-CN"/>
        </w:rPr>
      </w:pPr>
      <w:r>
        <w:rPr>
          <w:rFonts w:hint="eastAsia" w:ascii="宋体" w:hAnsi="宋体" w:cs="宋体"/>
          <w:b/>
          <w:szCs w:val="21"/>
          <w:lang w:val="zh-CN"/>
        </w:rPr>
        <w:t xml:space="preserve">四、响应文件的</w:t>
      </w:r>
      <w:r>
        <w:rPr>
          <w:rFonts w:hint="eastAsia" w:ascii="宋体" w:hAnsi="宋体" w:cs="宋体"/>
          <w:b/>
          <w:szCs w:val="21"/>
        </w:rPr>
        <w:t xml:space="preserve">提</w:t>
      </w:r>
      <w:r>
        <w:rPr>
          <w:rFonts w:hint="eastAsia" w:ascii="宋体" w:hAnsi="宋体" w:cs="宋体"/>
          <w:b/>
          <w:szCs w:val="21"/>
          <w:lang w:val="zh-CN"/>
        </w:rPr>
        <w:t xml:space="preserve">交</w:t>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10.响应文件的</w:t>
      </w:r>
      <w:r>
        <w:rPr>
          <w:rFonts w:hint="eastAsia" w:ascii="宋体" w:hAnsi="宋体" w:cs="宋体"/>
          <w:b/>
          <w:bCs/>
          <w:szCs w:val="21"/>
        </w:rPr>
        <w:t xml:space="preserve">提</w:t>
      </w:r>
      <w:r>
        <w:rPr>
          <w:rFonts w:hint="eastAsia" w:ascii="宋体" w:hAnsi="宋体" w:cs="宋体"/>
          <w:b/>
          <w:bCs/>
          <w:szCs w:val="21"/>
          <w:lang w:val="zh-CN"/>
        </w:rPr>
        <w:t xml:space="preserve">交</w:t>
      </w:r>
      <w:r/>
    </w:p>
    <w:p>
      <w:pPr>
        <w:ind w:firstLine="420"/>
        <w:spacing w:line="360" w:lineRule="auto"/>
        <w:rPr>
          <w:rFonts w:ascii="宋体" w:hAnsi="宋体" w:cs="宋体"/>
          <w:bCs/>
          <w:szCs w:val="21"/>
        </w:rPr>
      </w:pPr>
      <w:r>
        <w:rPr>
          <w:rFonts w:hint="eastAsia" w:ascii="宋体" w:hAnsi="宋体" w:cs="宋体"/>
          <w:bCs/>
          <w:szCs w:val="21"/>
        </w:rPr>
        <w:t xml:space="preserve">10.1 供应商应当按照《操作手册》规定，在磋商公告规定的提交响应文件截止时间前制作并上传电子响应文件。</w:t>
      </w:r>
      <w:r/>
    </w:p>
    <w:p>
      <w:pPr>
        <w:ind w:firstLine="420"/>
        <w:spacing w:line="360" w:lineRule="auto"/>
        <w:rPr>
          <w:rFonts w:ascii="宋体" w:hAnsi="宋体" w:cs="宋体"/>
          <w:bCs/>
          <w:szCs w:val="21"/>
        </w:rPr>
      </w:pPr>
      <w:r>
        <w:rPr>
          <w:rFonts w:hint="eastAsia" w:ascii="宋体" w:hAnsi="宋体" w:cs="宋体"/>
          <w:bCs/>
          <w:szCs w:val="21"/>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bCs/>
          <w:szCs w:val="21"/>
        </w:rPr>
        <w:t xml:space="preserve">10.3 采购代理机构可以按照规定，通过修改竞争性磋商文件酌情延长提交响应文件截止日期，在此情况下，供应商的所有权利和义务均以延长后新的截止日期为准。</w:t>
      </w:r>
      <w:bookmarkStart w:id="65" w:name="_Hlk44579810"/>
      <w:r/>
      <w:bookmarkEnd w:id="65"/>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11.响应文件的拒收</w:t>
      </w:r>
      <w:r/>
    </w:p>
    <w:p>
      <w:pPr>
        <w:ind w:firstLine="420"/>
        <w:spacing w:line="360" w:lineRule="auto"/>
        <w:tabs>
          <w:tab w:val="left" w:pos="5355" w:leader="none"/>
        </w:tabs>
        <w:rPr>
          <w:rFonts w:ascii="宋体" w:hAnsi="宋体" w:cs="宋体"/>
          <w:szCs w:val="21"/>
          <w:lang w:val="zh-CN"/>
        </w:rPr>
      </w:pPr>
      <w:r>
        <w:rPr>
          <w:rFonts w:hint="eastAsia" w:ascii="宋体" w:hAnsi="宋体" w:cs="宋体"/>
          <w:szCs w:val="21"/>
          <w:lang w:val="zh-CN"/>
        </w:rPr>
        <w:t xml:space="preserve">11.1 采购代理机构拒绝接收提交响应文件截止时间后上传的任何电子响应文件。</w:t>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12.响应文件的撤回和修改</w:t>
      </w:r>
      <w:r/>
    </w:p>
    <w:p>
      <w:pPr>
        <w:ind w:firstLine="420"/>
        <w:spacing w:line="360" w:lineRule="auto"/>
        <w:rPr>
          <w:rFonts w:ascii="宋体" w:hAnsi="宋体" w:cs="宋体"/>
          <w:szCs w:val="21"/>
          <w:lang w:val="zh-CN"/>
        </w:rPr>
      </w:pPr>
      <w:r/>
      <w:bookmarkStart w:id="66" w:name="OLE_LINK4"/>
      <w:r>
        <w:rPr>
          <w:rFonts w:hint="eastAsia" w:ascii="宋体" w:hAnsi="宋体" w:cs="宋体"/>
          <w:szCs w:val="21"/>
          <w:lang w:val="zh-CN"/>
        </w:rPr>
        <w:t xml:space="preserve">12.1 </w:t>
      </w:r>
      <w:bookmarkEnd w:id="66"/>
      <w:r>
        <w:rPr>
          <w:rFonts w:hint="eastAsia" w:ascii="宋体" w:hAnsi="宋体" w:cs="宋体"/>
          <w:szCs w:val="21"/>
          <w:lang w:val="zh-CN"/>
        </w:rPr>
        <w:t xml:space="preserve">响应文件的撤回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（1）供应商可在提交响应文件截止时间前撤回其电子响应文件，具体操作方法见《操作手册》。</w:t>
      </w:r>
      <w:r/>
    </w:p>
    <w:p>
      <w:pPr>
        <w:ind w:firstLine="420"/>
        <w:spacing w:line="360" w:lineRule="auto"/>
        <w:rPr>
          <w:rFonts w:ascii="宋体" w:hAnsi="宋体" w:cs="宋体"/>
          <w:szCs w:val="21"/>
          <w:lang w:val="zh-CN"/>
        </w:rPr>
      </w:pPr>
      <w:r>
        <w:rPr>
          <w:rFonts w:hint="eastAsia" w:ascii="宋体" w:hAnsi="宋体" w:cs="宋体"/>
          <w:szCs w:val="21"/>
          <w:lang w:val="zh-CN"/>
        </w:rPr>
        <w:t xml:space="preserve">（2）供应商撤回电子响应文件，则认为其不再参与本项目磋商活动。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12.2</w:t>
      </w:r>
      <w:r>
        <w:rPr>
          <w:rFonts w:hint="eastAsia" w:ascii="宋体" w:hAnsi="宋体" w:cs="宋体"/>
          <w:szCs w:val="21"/>
        </w:rPr>
        <w:t xml:space="preserve"> </w:t>
      </w:r>
      <w:r>
        <w:rPr>
          <w:rFonts w:hint="eastAsia" w:ascii="宋体" w:hAnsi="宋体" w:cs="宋体"/>
          <w:szCs w:val="21"/>
          <w:lang w:val="zh-CN"/>
        </w:rPr>
        <w:t xml:space="preserve">响应文件的修改</w:t>
      </w:r>
      <w:r/>
    </w:p>
    <w:p>
      <w:pPr>
        <w:ind w:firstLine="420"/>
        <w:spacing w:line="360" w:lineRule="auto"/>
        <w:rPr>
          <w:rFonts w:ascii="宋体" w:hAnsi="宋体" w:cs="宋体"/>
          <w:szCs w:val="21"/>
          <w:lang w:val="zh-CN"/>
        </w:rPr>
      </w:pPr>
      <w:r>
        <w:rPr>
          <w:rFonts w:hint="eastAsia" w:ascii="宋体" w:hAnsi="宋体" w:cs="宋体"/>
          <w:szCs w:val="21"/>
          <w:lang w:val="zh-CN"/>
        </w:rPr>
        <w:t xml:space="preserve">（1）供应商可在提交响应文件截止时间前对其电子响应文件进行修改，具体操作方法见《操作手册》。</w:t>
      </w:r>
      <w:r/>
    </w:p>
    <w:p>
      <w:pPr>
        <w:ind w:firstLine="420"/>
        <w:spacing w:line="360" w:lineRule="auto"/>
        <w:rPr>
          <w:rFonts w:ascii="宋体" w:hAnsi="宋体" w:cs="宋体"/>
          <w:szCs w:val="21"/>
          <w:lang w:val="zh-CN"/>
        </w:rPr>
      </w:pPr>
      <w:r>
        <w:rPr>
          <w:rFonts w:hint="eastAsia" w:ascii="宋体" w:hAnsi="宋体" w:cs="宋体"/>
          <w:szCs w:val="21"/>
          <w:lang w:val="zh-CN"/>
        </w:rPr>
        <w:t xml:space="preserve">（2）提交响应文件截止时间之后，供应商不得对其电子响应文件作任何修改。</w:t>
      </w:r>
      <w:r/>
    </w:p>
    <w:p>
      <w:pPr>
        <w:ind w:firstLine="420"/>
        <w:spacing w:line="360" w:lineRule="auto"/>
        <w:rPr>
          <w:rFonts w:ascii="宋体" w:hAnsi="宋体" w:cs="宋体"/>
          <w:szCs w:val="21"/>
          <w:lang w:val="zh-CN"/>
        </w:rPr>
      </w:pPr>
      <w:r>
        <w:rPr>
          <w:rFonts w:hint="eastAsia" w:ascii="宋体" w:hAnsi="宋体" w:cs="宋体"/>
          <w:szCs w:val="21"/>
          <w:lang w:val="zh-CN"/>
        </w:rPr>
        <w:t xml:space="preserve">12.3 在提交响应文件截止时间至</w:t>
      </w:r>
      <w:r>
        <w:rPr>
          <w:rFonts w:hint="eastAsia" w:ascii="宋体" w:hAnsi="宋体" w:cs="宋体"/>
          <w:szCs w:val="21"/>
        </w:rPr>
        <w:t xml:space="preserve">竞争性</w:t>
      </w:r>
      <w:r>
        <w:rPr>
          <w:rFonts w:hint="eastAsia" w:ascii="宋体" w:hAnsi="宋体" w:cs="宋体"/>
          <w:szCs w:val="21"/>
          <w:lang w:val="zh-CN"/>
        </w:rPr>
        <w:t xml:space="preserve">磋商文件中规定的磋商有效期满之间的这段时间内，供应商不得撤回其响应文件。</w:t>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13.诚实信用</w:t>
      </w:r>
      <w:r/>
    </w:p>
    <w:p>
      <w:pPr>
        <w:ind w:firstLine="420"/>
        <w:spacing w:line="360" w:lineRule="auto"/>
        <w:rPr>
          <w:rFonts w:ascii="宋体" w:hAnsi="宋体" w:cs="宋体"/>
          <w:szCs w:val="21"/>
          <w:lang w:val="zh-CN"/>
        </w:rPr>
      </w:pPr>
      <w:r>
        <w:rPr>
          <w:rFonts w:hint="eastAsia" w:ascii="宋体" w:hAnsi="宋体" w:cs="宋体"/>
          <w:szCs w:val="21"/>
          <w:lang w:val="zh-CN"/>
        </w:rPr>
        <w:t xml:space="preserve">13.1 供应商之间不得相互串通报价，不得妨碍其他供应商的公平竞争，不得损害采购人和其他供应商的合法权益。</w:t>
      </w:r>
      <w:r/>
    </w:p>
    <w:p>
      <w:pPr>
        <w:ind w:firstLine="420"/>
        <w:spacing w:line="360" w:lineRule="auto"/>
        <w:rPr>
          <w:rFonts w:ascii="宋体" w:hAnsi="宋体" w:cs="宋体"/>
          <w:szCs w:val="21"/>
        </w:rPr>
      </w:pPr>
      <w:r>
        <w:rPr>
          <w:rFonts w:hint="eastAsia" w:ascii="宋体" w:hAnsi="宋体" w:cs="宋体"/>
          <w:szCs w:val="21"/>
        </w:rPr>
        <w:t xml:space="preserve">13.2 在评标过程中发现供应商有上述情形的，评标委员会应当认定其投标无效，并书面报告本级财政部门。</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rPr>
        <w:t xml:space="preserve">3</w:t>
      </w:r>
      <w:r>
        <w:rPr>
          <w:rFonts w:hint="eastAsia" w:ascii="宋体" w:hAnsi="宋体" w:cs="宋体"/>
          <w:szCs w:val="21"/>
          <w:lang w:val="zh-CN"/>
        </w:rPr>
        <w:t xml:space="preserve"> 供应商不得虚假承诺，否则，按照提供虚假材料谋取成交处理。</w:t>
      </w:r>
      <w:r/>
    </w:p>
    <w:p>
      <w:pPr>
        <w:ind w:firstLine="422"/>
        <w:spacing w:line="360" w:lineRule="auto"/>
        <w:rPr>
          <w:rFonts w:ascii="宋体" w:hAnsi="宋体" w:cs="宋体"/>
          <w:szCs w:val="21"/>
          <w:lang w:val="zh-CN"/>
        </w:rPr>
      </w:pPr>
      <w:r>
        <w:rPr>
          <w:rFonts w:hint="eastAsia" w:ascii="宋体" w:hAnsi="宋体" w:cs="宋体"/>
          <w:b/>
          <w:bCs/>
          <w:szCs w:val="21"/>
          <w:lang w:val="zh-CN"/>
        </w:rPr>
        <w:t xml:space="preserve">五、磋商</w:t>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14.响应文件解密</w:t>
      </w:r>
      <w:r/>
    </w:p>
    <w:p>
      <w:pPr>
        <w:ind w:firstLine="420"/>
        <w:spacing w:line="360" w:lineRule="auto"/>
        <w:rPr>
          <w:rFonts w:ascii="宋体" w:hAnsi="宋体" w:cs="宋体"/>
          <w:szCs w:val="21"/>
          <w:lang w:val="zh-CN"/>
        </w:rPr>
      </w:pPr>
      <w:r>
        <w:rPr>
          <w:rFonts w:hint="eastAsia" w:ascii="宋体" w:hAnsi="宋体" w:cs="宋体"/>
          <w:szCs w:val="21"/>
          <w:lang w:val="zh-CN"/>
        </w:rPr>
        <w:t xml:space="preserve">14.1 供应商应当按照《操作手册》规定，在苏采云系统规定的时间内对响应文件进行解密。</w:t>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15.磋商组织</w:t>
      </w:r>
      <w:r/>
    </w:p>
    <w:p>
      <w:pPr>
        <w:ind w:firstLine="420"/>
        <w:spacing w:line="360" w:lineRule="auto"/>
        <w:rPr>
          <w:rFonts w:ascii="宋体" w:hAnsi="宋体" w:cs="宋体"/>
          <w:szCs w:val="21"/>
          <w:lang w:val="zh-CN"/>
        </w:rPr>
      </w:pPr>
      <w:r>
        <w:rPr>
          <w:rFonts w:hint="eastAsia" w:ascii="宋体" w:hAnsi="宋体" w:cs="宋体"/>
          <w:szCs w:val="21"/>
          <w:lang w:val="zh-CN"/>
        </w:rPr>
        <w:t xml:space="preserve">15.1 磋商工作由采购代理机构负责组织，具体磋商事务由依法组建的磋商小组负责。</w:t>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16.评审过程的保密与公正</w:t>
      </w:r>
      <w:r/>
    </w:p>
    <w:p>
      <w:pPr>
        <w:ind w:firstLine="420"/>
        <w:spacing w:line="360" w:lineRule="auto"/>
        <w:rPr>
          <w:rFonts w:ascii="宋体" w:hAnsi="宋体" w:cs="宋体"/>
          <w:szCs w:val="21"/>
          <w:lang w:val="zh-CN"/>
        </w:rPr>
      </w:pPr>
      <w:r>
        <w:rPr>
          <w:rFonts w:hint="eastAsia" w:ascii="宋体" w:hAnsi="宋体" w:cs="宋体"/>
          <w:szCs w:val="21"/>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16.2 供应商不得以任何方式影响磋商评审，否则其响应文件将被作为无效响应文件。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ascii="宋体" w:hAnsi="宋体" w:cs="宋体"/>
          <w:szCs w:val="21"/>
        </w:rPr>
      </w:pPr>
      <w:r>
        <w:rPr>
          <w:rFonts w:hint="eastAsia" w:ascii="宋体" w:hAnsi="宋体" w:cs="宋体"/>
          <w:b/>
          <w:szCs w:val="21"/>
          <w:lang w:val="zh-CN"/>
        </w:rPr>
        <w:t xml:space="preserve">17.</w:t>
      </w:r>
      <w:bookmarkStart w:id="67" w:name="_Hlk176530553"/>
      <w:r>
        <w:rPr>
          <w:rFonts w:hint="eastAsia" w:ascii="宋体" w:hAnsi="宋体" w:cs="宋体"/>
          <w:b/>
          <w:bCs/>
          <w:szCs w:val="21"/>
        </w:rPr>
        <w:t xml:space="preserve">评审过程中的澄清</w:t>
      </w:r>
      <w:bookmarkEnd w:id="67"/>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磋商小组并非对每个供应商都作澄清要求。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17.4响应文件报价出现前后不一致的，除竞争性磋商文件另有规定外，按照下列规定修正：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 单价金额小数点或者百分比有明显错位的，以磋商报价表的总价为准，并修改单价；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 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ascii="宋体" w:hAnsi="宋体" w:cs="宋体"/>
          <w:b/>
          <w:szCs w:val="21"/>
        </w:rPr>
      </w:pPr>
      <w:r>
        <w:rPr>
          <w:rFonts w:hint="eastAsia" w:ascii="宋体" w:hAnsi="宋体" w:cs="宋体"/>
          <w:b/>
          <w:szCs w:val="21"/>
          <w:lang w:val="zh-CN"/>
        </w:rPr>
        <w:t xml:space="preserve">18.</w:t>
      </w:r>
      <w:r>
        <w:rPr>
          <w:rFonts w:hint="eastAsia" w:ascii="宋体" w:hAnsi="宋体" w:cs="宋体"/>
          <w:b/>
        </w:rPr>
        <w:t xml:space="preserve"> </w:t>
      </w:r>
      <w:r>
        <w:rPr>
          <w:rFonts w:hint="eastAsia" w:ascii="宋体" w:hAnsi="宋体" w:cs="宋体"/>
          <w:b/>
          <w:szCs w:val="21"/>
          <w:lang w:val="zh-CN"/>
        </w:rPr>
        <w:t xml:space="preserve">响应文件的资格审查</w:t>
      </w:r>
      <w:r/>
    </w:p>
    <w:p>
      <w:pPr>
        <w:ind w:firstLine="420"/>
        <w:spacing w:line="360" w:lineRule="auto"/>
        <w:rPr>
          <w:rFonts w:ascii="宋体" w:hAnsi="宋体" w:cs="宋体"/>
          <w:szCs w:val="21"/>
        </w:rPr>
      </w:pPr>
      <w:r/>
      <w:bookmarkStart w:id="68" w:name="OLE_LINK40"/>
      <w:r>
        <w:rPr>
          <w:rFonts w:hint="eastAsia" w:ascii="宋体" w:hAnsi="宋体" w:cs="宋体"/>
          <w:szCs w:val="21"/>
        </w:rPr>
        <w:t xml:space="preserve">18</w:t>
      </w:r>
      <w:bookmarkEnd w:id="68"/>
      <w:r>
        <w:rPr>
          <w:rFonts w:hint="eastAsia" w:ascii="宋体" w:hAnsi="宋体" w:cs="宋体"/>
          <w:szCs w:val="21"/>
        </w:rPr>
        <w:t xml:space="preserve">.1响应文件审查分为资格审查和符合性审查。</w:t>
      </w:r>
      <w:r/>
    </w:p>
    <w:p>
      <w:pPr>
        <w:ind w:firstLine="420"/>
        <w:spacing w:line="360" w:lineRule="auto"/>
        <w:rPr>
          <w:rFonts w:ascii="宋体" w:hAnsi="宋体" w:cs="宋体"/>
          <w:szCs w:val="21"/>
        </w:rPr>
      </w:pPr>
      <w:r>
        <w:rPr>
          <w:rFonts w:hint="eastAsia" w:ascii="宋体" w:hAnsi="宋体" w:cs="宋体"/>
          <w:szCs w:val="21"/>
        </w:rPr>
        <w:t xml:space="preserve">18.2资格审查：依据法律法规和竞争性磋商文件的规定，磋商小组对响应文件中的资格证明文件进行审查，以确定供应商是否具备参加磋商的资格。</w:t>
      </w:r>
      <w:r/>
    </w:p>
    <w:p>
      <w:pPr>
        <w:ind w:firstLine="422"/>
        <w:spacing w:line="360" w:lineRule="auto"/>
        <w:rPr>
          <w:rFonts w:ascii="宋体" w:hAnsi="宋体" w:cs="宋体"/>
          <w:b/>
          <w:bCs/>
          <w:szCs w:val="21"/>
        </w:rPr>
      </w:pPr>
      <w:r>
        <w:rPr>
          <w:rFonts w:hint="eastAsia" w:ascii="宋体" w:hAnsi="宋体" w:cs="宋体"/>
          <w:b/>
          <w:bCs/>
          <w:szCs w:val="21"/>
        </w:rPr>
        <w:t xml:space="preserve">18.2.1响应文件有下列情况之一的，</w:t>
      </w:r>
      <w:bookmarkStart w:id="69" w:name="OLE_LINK28"/>
      <w:r>
        <w:rPr>
          <w:rFonts w:hint="eastAsia" w:ascii="宋体" w:hAnsi="宋体" w:cs="宋体"/>
          <w:b/>
          <w:bCs/>
          <w:szCs w:val="21"/>
        </w:rPr>
        <w:t xml:space="preserve">在资格审查时</w:t>
      </w:r>
      <w:bookmarkEnd w:id="69"/>
      <w:r>
        <w:rPr>
          <w:rFonts w:hint="eastAsia" w:ascii="宋体" w:hAnsi="宋体" w:cs="宋体"/>
          <w:b/>
          <w:bCs/>
          <w:szCs w:val="21"/>
        </w:rPr>
        <w:t xml:space="preserve">按照无效投标处理：</w:t>
      </w:r>
      <w:r/>
    </w:p>
    <w:p>
      <w:pPr>
        <w:numPr>
          <w:ilvl w:val="0"/>
          <w:numId w:val="3"/>
        </w:numPr>
        <w:ind w:firstLine="420"/>
        <w:jc w:val="left"/>
        <w:spacing w:line="360" w:lineRule="auto"/>
        <w:tabs>
          <w:tab w:val="left" w:pos="4825" w:leader="none"/>
        </w:tabs>
        <w:rPr>
          <w:rFonts w:ascii="宋体" w:hAnsi="宋体" w:cs="宋体"/>
          <w:szCs w:val="21"/>
        </w:rPr>
      </w:pPr>
      <w:r/>
      <w:bookmarkStart w:id="70" w:name="_Hlk81314966"/>
      <w:r>
        <w:rPr>
          <w:rFonts w:hint="eastAsia" w:ascii="宋体" w:hAnsi="宋体" w:cs="宋体"/>
          <w:szCs w:val="21"/>
        </w:rPr>
        <w:t xml:space="preserve">不具备竞争性磋商文件中规定资格条件的；</w:t>
      </w:r>
      <w:bookmarkEnd w:id="70"/>
      <w:r/>
      <w:r/>
    </w:p>
    <w:p>
      <w:pPr>
        <w:pStyle w:val="1171"/>
        <w:numPr>
          <w:ilvl w:val="0"/>
          <w:numId w:val="3"/>
        </w:numPr>
        <w:jc w:val="left"/>
        <w:spacing w:line="360" w:lineRule="auto"/>
        <w:tabs>
          <w:tab w:val="left" w:pos="4825" w:leader="none"/>
        </w:tabs>
        <w:rPr>
          <w:rFonts w:ascii="宋体" w:hAnsi="宋体" w:cs="宋体"/>
          <w:szCs w:val="21"/>
        </w:rPr>
      </w:pPr>
      <w:r/>
      <w:bookmarkStart w:id="71" w:name="_Hlk77845984"/>
      <w:r>
        <w:rPr>
          <w:rFonts w:hint="eastAsia" w:ascii="宋体" w:hAnsi="宋体" w:cs="宋体"/>
          <w:szCs w:val="21"/>
        </w:rPr>
        <w:t xml:space="preserve">未提供《南京市政府采购供应商信用承诺书》；</w:t>
      </w:r>
      <w:r/>
    </w:p>
    <w:p>
      <w:pPr>
        <w:pStyle w:val="1171"/>
        <w:numPr>
          <w:ilvl w:val="0"/>
          <w:numId w:val="3"/>
        </w:numPr>
        <w:spacing w:line="360" w:lineRule="auto"/>
        <w:rPr>
          <w:rFonts w:ascii="宋体" w:hAnsi="宋体" w:cs="宋体"/>
          <w:szCs w:val="21"/>
        </w:rPr>
      </w:pPr>
      <w:r>
        <w:rPr>
          <w:rFonts w:hint="eastAsia" w:ascii="宋体" w:hAnsi="宋体" w:cs="宋体"/>
          <w:szCs w:val="21"/>
        </w:rPr>
        <w:t xml:space="preserve">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71"/>
      <w:r/>
      <w:r/>
    </w:p>
    <w:p>
      <w:pPr>
        <w:ind w:firstLine="422"/>
        <w:spacing w:line="360" w:lineRule="auto"/>
        <w:rPr>
          <w:rFonts w:ascii="宋体" w:hAnsi="宋体" w:cs="宋体"/>
          <w:b/>
          <w:bCs/>
          <w:szCs w:val="21"/>
        </w:rPr>
      </w:pPr>
      <w:r>
        <w:rPr>
          <w:rFonts w:hint="eastAsia" w:ascii="宋体" w:hAnsi="宋体" w:cs="宋体"/>
          <w:b/>
          <w:bCs/>
          <w:szCs w:val="21"/>
        </w:rPr>
        <w:t xml:space="preserve">18.3 响应文件的符合性检查</w:t>
      </w:r>
      <w:r/>
    </w:p>
    <w:p>
      <w:pPr>
        <w:ind w:firstLine="420"/>
        <w:spacing w:line="360" w:lineRule="auto"/>
        <w:rPr>
          <w:rFonts w:ascii="宋体" w:hAnsi="宋体" w:cs="宋体"/>
          <w:szCs w:val="21"/>
        </w:rPr>
      </w:pPr>
      <w:r>
        <w:rPr>
          <w:rFonts w:hint="eastAsia" w:ascii="宋体" w:hAnsi="宋体" w:cs="宋体"/>
          <w:szCs w:val="21"/>
        </w:rPr>
        <w:t xml:space="preserve">18.3.1磋商小组将依据法律法规和</w:t>
      </w:r>
      <w:r>
        <w:rPr>
          <w:rFonts w:hint="eastAsia" w:ascii="宋体" w:hAnsi="宋体" w:cs="宋体"/>
          <w:szCs w:val="21"/>
        </w:rPr>
        <w:t xml:space="preserve">竞争性磋商文件</w:t>
      </w:r>
      <w:r>
        <w:rPr>
          <w:rFonts w:hint="eastAsia" w:ascii="宋体" w:hAnsi="宋体" w:cs="宋体"/>
          <w:szCs w:val="21"/>
        </w:rPr>
        <w:t xml:space="preserve">的规定，对响应文件的有效性、完整性和对</w:t>
      </w:r>
      <w:r>
        <w:rPr>
          <w:rFonts w:hint="eastAsia" w:ascii="宋体" w:hAnsi="宋体" w:cs="宋体"/>
          <w:szCs w:val="21"/>
        </w:rPr>
        <w:t xml:space="preserve">竞争性磋商文件</w:t>
      </w:r>
      <w:r>
        <w:rPr>
          <w:rFonts w:hint="eastAsia" w:ascii="宋体" w:hAnsi="宋体" w:cs="宋体"/>
          <w:szCs w:val="21"/>
        </w:rPr>
        <w:t xml:space="preserve">的响应程度进行审查，以确定是否对</w:t>
      </w:r>
      <w:r>
        <w:rPr>
          <w:rFonts w:hint="eastAsia" w:ascii="宋体" w:hAnsi="宋体" w:cs="宋体"/>
          <w:szCs w:val="21"/>
        </w:rPr>
        <w:t xml:space="preserve">竞争性磋商文件</w:t>
      </w:r>
      <w:r>
        <w:rPr>
          <w:rFonts w:hint="eastAsia" w:ascii="宋体" w:hAnsi="宋体" w:cs="宋体"/>
          <w:szCs w:val="21"/>
        </w:rPr>
        <w:t xml:space="preserve">的实质性要求作出响应。</w:t>
      </w:r>
      <w:r/>
    </w:p>
    <w:p>
      <w:pPr>
        <w:ind w:firstLine="422"/>
        <w:spacing w:line="360" w:lineRule="auto"/>
        <w:rPr>
          <w:rFonts w:ascii="宋体" w:hAnsi="宋体" w:cs="宋体"/>
          <w:szCs w:val="21"/>
        </w:rPr>
      </w:pPr>
      <w:r>
        <w:rPr>
          <w:rFonts w:hint="eastAsia" w:ascii="宋体" w:hAnsi="宋体" w:cs="宋体"/>
          <w:b/>
          <w:bCs/>
          <w:szCs w:val="21"/>
        </w:rPr>
        <w:t xml:space="preserve">18.3.2实质性要求是指本竞争性磋商文件中斜体且有下划线部分，或者打“★”“*”等其他文字说明的商务和技术要求。</w:t>
      </w:r>
      <w:r/>
    </w:p>
    <w:p>
      <w:pPr>
        <w:ind w:firstLine="420"/>
        <w:spacing w:line="360" w:lineRule="auto"/>
        <w:rPr>
          <w:rFonts w:ascii="宋体" w:hAnsi="宋体" w:cs="宋体"/>
          <w:szCs w:val="21"/>
        </w:rPr>
      </w:pPr>
      <w:r>
        <w:rPr>
          <w:rFonts w:hint="eastAsia" w:ascii="宋体" w:hAnsi="宋体" w:cs="宋体"/>
          <w:szCs w:val="21"/>
        </w:rPr>
        <w:t xml:space="preserve">18.3.3如果响应文件实质上没有响应</w:t>
      </w:r>
      <w:r>
        <w:rPr>
          <w:rFonts w:hint="eastAsia" w:ascii="宋体" w:hAnsi="宋体" w:cs="宋体"/>
          <w:szCs w:val="21"/>
        </w:rPr>
        <w:t xml:space="preserve">竞争性磋商文件</w:t>
      </w:r>
      <w:r>
        <w:rPr>
          <w:rFonts w:hint="eastAsia" w:ascii="宋体" w:hAnsi="宋体" w:cs="宋体"/>
          <w:szCs w:val="21"/>
        </w:rPr>
        <w:t xml:space="preserve">的要求，磋商小组将予以拒绝，供应商不得通过修改或撤销不合要求的偏离或保留而使其投标成为实质性响应的投标。</w:t>
      </w:r>
      <w:r/>
    </w:p>
    <w:p>
      <w:pPr>
        <w:ind w:firstLine="422"/>
        <w:spacing w:line="360" w:lineRule="auto"/>
        <w:rPr>
          <w:rFonts w:ascii="宋体" w:hAnsi="宋体" w:cs="宋体"/>
          <w:b/>
          <w:bCs/>
          <w:szCs w:val="21"/>
        </w:rPr>
      </w:pPr>
      <w:r>
        <w:rPr>
          <w:rFonts w:hint="eastAsia" w:ascii="宋体" w:hAnsi="宋体" w:cs="宋体"/>
          <w:b/>
          <w:bCs/>
          <w:szCs w:val="21"/>
        </w:rPr>
        <w:t xml:space="preserve">18.3.4响应文件属下列情形之一的，在符合性审查时按照无效响应处理：</w:t>
      </w:r>
      <w:r/>
    </w:p>
    <w:p>
      <w:pPr>
        <w:ind w:firstLine="420"/>
        <w:spacing w:line="360" w:lineRule="auto"/>
        <w:rPr>
          <w:rFonts w:ascii="宋体" w:hAnsi="宋体" w:cs="宋体"/>
          <w:szCs w:val="21"/>
        </w:rPr>
      </w:pPr>
      <w:r>
        <w:rPr>
          <w:rFonts w:hint="eastAsia" w:ascii="宋体" w:hAnsi="宋体" w:cs="宋体"/>
          <w:szCs w:val="21"/>
        </w:rPr>
        <w:t xml:space="preserve">（1）供应商在苏采云系统规定的时间内未成功解密电子响应文件；</w:t>
      </w:r>
      <w:r/>
    </w:p>
    <w:p>
      <w:pPr>
        <w:ind w:firstLine="420"/>
        <w:spacing w:line="360" w:lineRule="auto"/>
        <w:rPr>
          <w:rFonts w:ascii="宋体" w:hAnsi="宋体" w:cs="宋体"/>
          <w:szCs w:val="21"/>
        </w:rPr>
      </w:pPr>
      <w:r/>
      <w:bookmarkStart w:id="72" w:name="OLE_LINK9"/>
      <w:r>
        <w:rPr>
          <w:rFonts w:hint="eastAsia" w:ascii="宋体" w:hAnsi="宋体" w:cs="宋体"/>
          <w:szCs w:val="21"/>
        </w:rPr>
        <w:t xml:space="preserve">（2）</w:t>
      </w:r>
      <w:bookmarkEnd w:id="72"/>
      <w:r>
        <w:rPr>
          <w:rFonts w:hint="eastAsia" w:ascii="宋体" w:hAnsi="宋体" w:cs="宋体"/>
          <w:szCs w:val="21"/>
        </w:rPr>
        <w:t xml:space="preserve">供应商未按照竞争性磋商文件要求上传电子响应文件；</w:t>
      </w:r>
      <w:r/>
    </w:p>
    <w:p>
      <w:pPr>
        <w:ind w:firstLine="420"/>
        <w:spacing w:line="360" w:lineRule="auto"/>
        <w:rPr>
          <w:rFonts w:ascii="宋体" w:hAnsi="宋体" w:cs="宋体"/>
          <w:szCs w:val="21"/>
        </w:rPr>
      </w:pPr>
      <w:r>
        <w:rPr>
          <w:rFonts w:hint="eastAsia" w:ascii="宋体" w:hAnsi="宋体" w:cs="宋体"/>
          <w:szCs w:val="21"/>
        </w:rPr>
        <w:t xml:space="preserve">（3）响应文件未按照竞争性磋商文件要求加盖电子公章；</w:t>
      </w:r>
      <w:r/>
    </w:p>
    <w:p>
      <w:pPr>
        <w:ind w:firstLine="420"/>
        <w:spacing w:line="360" w:lineRule="auto"/>
        <w:rPr>
          <w:rFonts w:ascii="宋体" w:hAnsi="宋体" w:cs="宋体"/>
          <w:szCs w:val="21"/>
        </w:rPr>
      </w:pPr>
      <w:r>
        <w:rPr>
          <w:rFonts w:hint="eastAsia" w:ascii="宋体" w:hAnsi="宋体" w:cs="宋体"/>
          <w:szCs w:val="21"/>
        </w:rPr>
        <w:t xml:space="preserve">（4）同一供应商提交两个（含两个）以上不同的响应文件或者最后报价。</w:t>
      </w:r>
      <w:r/>
    </w:p>
    <w:p>
      <w:pPr>
        <w:ind w:firstLine="420"/>
        <w:spacing w:line="360" w:lineRule="auto"/>
        <w:rPr>
          <w:rFonts w:ascii="宋体" w:hAnsi="宋体" w:cs="宋体"/>
          <w:szCs w:val="21"/>
        </w:rPr>
      </w:pPr>
      <w:r>
        <w:rPr>
          <w:rFonts w:hint="eastAsia" w:ascii="宋体" w:hAnsi="宋体" w:cs="宋体"/>
          <w:szCs w:val="21"/>
        </w:rPr>
        <w:t xml:space="preserve">（5）不具备</w:t>
      </w:r>
      <w:r>
        <w:rPr>
          <w:rFonts w:hint="eastAsia" w:ascii="宋体" w:hAnsi="宋体" w:cs="宋体"/>
          <w:szCs w:val="21"/>
        </w:rPr>
        <w:t xml:space="preserve">竞争性磋商文件</w:t>
      </w:r>
      <w:r>
        <w:rPr>
          <w:rFonts w:hint="eastAsia" w:ascii="宋体" w:hAnsi="宋体" w:cs="宋体"/>
          <w:szCs w:val="21"/>
        </w:rPr>
        <w:t xml:space="preserve">中规定实质性要求的；</w:t>
      </w:r>
      <w:r/>
    </w:p>
    <w:p>
      <w:pPr>
        <w:ind w:firstLine="420"/>
        <w:spacing w:line="360" w:lineRule="auto"/>
        <w:rPr>
          <w:rFonts w:ascii="宋体" w:hAnsi="宋体" w:cs="宋体"/>
          <w:szCs w:val="21"/>
        </w:rPr>
      </w:pPr>
      <w:r>
        <w:rPr>
          <w:rFonts w:hint="eastAsia" w:ascii="宋体" w:hAnsi="宋体" w:cs="宋体"/>
          <w:szCs w:val="21"/>
        </w:rPr>
        <w:t xml:space="preserve">（6）投标总价超出采购项目预算或者最高限价的；</w:t>
      </w:r>
      <w:r/>
    </w:p>
    <w:p>
      <w:pPr>
        <w:ind w:firstLine="420"/>
        <w:spacing w:line="360" w:lineRule="auto"/>
        <w:rPr>
          <w:rFonts w:ascii="宋体" w:hAnsi="宋体" w:cs="宋体"/>
          <w:szCs w:val="21"/>
        </w:rPr>
      </w:pPr>
      <w:r>
        <w:rPr>
          <w:rFonts w:hint="eastAsia" w:ascii="宋体" w:hAnsi="宋体" w:cs="宋体"/>
          <w:szCs w:val="21"/>
        </w:rPr>
        <w:t xml:space="preserve">（7）不同供应商的响应文件由同一单位或者个人编制；</w:t>
      </w:r>
      <w:r/>
    </w:p>
    <w:p>
      <w:pPr>
        <w:ind w:firstLine="420"/>
        <w:spacing w:line="360" w:lineRule="auto"/>
        <w:rPr>
          <w:rFonts w:ascii="宋体" w:hAnsi="宋体" w:cs="宋体"/>
          <w:szCs w:val="21"/>
        </w:rPr>
      </w:pPr>
      <w:r>
        <w:rPr>
          <w:rFonts w:hint="eastAsia" w:ascii="宋体" w:hAnsi="宋体" w:cs="宋体"/>
          <w:szCs w:val="21"/>
        </w:rPr>
        <w:t xml:space="preserve">（8）不同供应商委托同一单位或者个人办理投标事宜；</w:t>
      </w:r>
      <w:r/>
    </w:p>
    <w:p>
      <w:pPr>
        <w:ind w:firstLine="420"/>
        <w:spacing w:line="360" w:lineRule="auto"/>
        <w:rPr>
          <w:rFonts w:ascii="宋体" w:hAnsi="宋体" w:cs="宋体"/>
          <w:szCs w:val="21"/>
        </w:rPr>
      </w:pPr>
      <w:r>
        <w:rPr>
          <w:rFonts w:hint="eastAsia" w:ascii="宋体" w:hAnsi="宋体" w:cs="宋体"/>
          <w:szCs w:val="21"/>
        </w:rPr>
        <w:t xml:space="preserve">（9）</w:t>
      </w:r>
      <w:bookmarkStart w:id="73" w:name="OLE_LINK7"/>
      <w:r>
        <w:rPr>
          <w:rFonts w:hint="eastAsia" w:ascii="宋体" w:hAnsi="宋体" w:cs="宋体"/>
          <w:szCs w:val="21"/>
        </w:rPr>
        <w:t xml:space="preserve">不同供应商的响应文件载明的项目管理成员或者联系人员为同一人</w:t>
      </w:r>
      <w:bookmarkEnd w:id="73"/>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（10）不同供应商的响应文件异常一致或者投标报价呈规律性差异；</w:t>
      </w:r>
      <w:r/>
    </w:p>
    <w:p>
      <w:pPr>
        <w:ind w:firstLine="420"/>
        <w:spacing w:line="360" w:lineRule="auto"/>
        <w:rPr>
          <w:rFonts w:ascii="宋体" w:hAnsi="宋体" w:cs="宋体"/>
          <w:szCs w:val="21"/>
        </w:rPr>
      </w:pPr>
      <w:r>
        <w:rPr>
          <w:rFonts w:hint="eastAsia" w:ascii="宋体" w:hAnsi="宋体" w:cs="宋体"/>
          <w:szCs w:val="21"/>
        </w:rPr>
        <w:t xml:space="preserve">（11）不同供应商的负责人为同一人或者存在控股、管理关系的；</w:t>
      </w:r>
      <w:r/>
    </w:p>
    <w:p>
      <w:pPr>
        <w:ind w:firstLine="420"/>
        <w:spacing w:line="360" w:lineRule="auto"/>
        <w:rPr>
          <w:rFonts w:ascii="宋体" w:hAnsi="宋体" w:cs="宋体"/>
          <w:szCs w:val="21"/>
        </w:rPr>
      </w:pPr>
      <w:r>
        <w:rPr>
          <w:rFonts w:hint="eastAsia" w:ascii="宋体" w:hAnsi="宋体" w:cs="宋体"/>
          <w:szCs w:val="21"/>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ascii="宋体" w:hAnsi="宋体" w:cs="宋体"/>
          <w:szCs w:val="21"/>
        </w:rPr>
      </w:pPr>
      <w:r>
        <w:rPr>
          <w:rFonts w:hint="eastAsia" w:ascii="宋体" w:hAnsi="宋体" w:cs="宋体"/>
          <w:szCs w:val="21"/>
        </w:rPr>
        <w:t xml:space="preserve">（13）响应文件含有采购人不能接受的附加条件的；</w:t>
      </w:r>
      <w:r/>
    </w:p>
    <w:p>
      <w:pPr>
        <w:ind w:firstLine="420"/>
        <w:spacing w:line="360" w:lineRule="auto"/>
        <w:rPr>
          <w:rFonts w:ascii="宋体" w:hAnsi="宋体" w:cs="宋体"/>
          <w:szCs w:val="21"/>
        </w:rPr>
      </w:pPr>
      <w:r>
        <w:rPr>
          <w:rFonts w:hint="eastAsia" w:ascii="宋体" w:hAnsi="宋体" w:cs="宋体"/>
          <w:szCs w:val="21"/>
        </w:rPr>
        <w:t xml:space="preserve">（14）不符合法律、法规和</w:t>
      </w:r>
      <w:r>
        <w:rPr>
          <w:rFonts w:hint="eastAsia" w:ascii="宋体" w:hAnsi="宋体" w:cs="宋体"/>
          <w:szCs w:val="21"/>
        </w:rPr>
        <w:t xml:space="preserve">竞争性磋商文件</w:t>
      </w:r>
      <w:r>
        <w:rPr>
          <w:rFonts w:hint="eastAsia" w:ascii="宋体" w:hAnsi="宋体" w:cs="宋体"/>
          <w:szCs w:val="21"/>
        </w:rPr>
        <w:t xml:space="preserve">规定的其他实质性要求的</w:t>
      </w:r>
      <w:r>
        <w:rPr>
          <w:rFonts w:hint="eastAsia" w:ascii="宋体" w:hAnsi="宋体" w:cs="宋体"/>
          <w:szCs w:val="21"/>
          <w:lang w:val="zh-CN"/>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18.4出现下列情形之一的磋商终止：</w:t>
      </w:r>
      <w:r/>
    </w:p>
    <w:p>
      <w:pPr>
        <w:ind w:firstLine="420"/>
        <w:spacing w:line="360" w:lineRule="auto"/>
        <w:rPr>
          <w:rFonts w:ascii="宋体" w:hAnsi="宋体" w:cs="宋体"/>
          <w:szCs w:val="21"/>
          <w:lang w:val="zh-CN"/>
        </w:rPr>
      </w:pPr>
      <w:r>
        <w:rPr>
          <w:rFonts w:hint="eastAsia" w:ascii="宋体" w:hAnsi="宋体" w:cs="宋体"/>
          <w:szCs w:val="21"/>
          <w:lang w:val="zh-CN"/>
        </w:rPr>
        <w:t xml:space="preserve">（1）因情况变化，不再符合规定的竞争性磋商采购方式适用情形的；</w:t>
      </w:r>
      <w:r/>
    </w:p>
    <w:p>
      <w:pPr>
        <w:ind w:firstLine="420"/>
        <w:spacing w:line="360" w:lineRule="auto"/>
        <w:rPr>
          <w:rFonts w:ascii="宋体" w:hAnsi="宋体" w:cs="宋体"/>
          <w:szCs w:val="21"/>
          <w:lang w:val="zh-CN"/>
        </w:rPr>
      </w:pPr>
      <w:r/>
      <w:bookmarkStart w:id="74" w:name="OLE_LINK10"/>
      <w:r>
        <w:rPr>
          <w:rFonts w:hint="eastAsia" w:ascii="宋体" w:hAnsi="宋体" w:cs="宋体"/>
          <w:szCs w:val="21"/>
          <w:lang w:val="zh-CN"/>
        </w:rPr>
        <w:t xml:space="preserve">（2）</w:t>
      </w:r>
      <w:bookmarkEnd w:id="74"/>
      <w:r>
        <w:rPr>
          <w:rFonts w:hint="eastAsia" w:ascii="宋体" w:hAnsi="宋体" w:cs="宋体"/>
          <w:szCs w:val="21"/>
          <w:lang w:val="zh-CN"/>
        </w:rPr>
        <w:t xml:space="preserve">出现影响采购公正的违法、违规行为的；</w:t>
      </w:r>
      <w:r/>
    </w:p>
    <w:p>
      <w:pPr>
        <w:ind w:firstLine="420"/>
        <w:spacing w:line="360" w:lineRule="auto"/>
        <w:rPr>
          <w:rFonts w:ascii="宋体" w:hAnsi="宋体" w:cs="宋体"/>
          <w:szCs w:val="21"/>
          <w:lang w:val="zh-CN"/>
        </w:rPr>
      </w:pPr>
      <w:r/>
      <w:bookmarkStart w:id="75" w:name="OLE_LINK12"/>
      <w:r>
        <w:rPr>
          <w:rFonts w:hint="eastAsia" w:ascii="宋体" w:hAnsi="宋体" w:cs="宋体"/>
          <w:szCs w:val="21"/>
          <w:lang w:val="zh-CN"/>
        </w:rPr>
        <w:t xml:space="preserve">（3）</w:t>
      </w:r>
      <w:bookmarkEnd w:id="75"/>
      <w:r>
        <w:rPr>
          <w:rFonts w:hint="eastAsia" w:ascii="宋体" w:hAnsi="宋体" w:cs="宋体"/>
          <w:szCs w:val="21"/>
          <w:lang w:val="zh-CN"/>
        </w:rPr>
        <w:t xml:space="preserve">在苏采云系统规定时间内成功解密电子响应文件的供应商不足3家；</w:t>
      </w:r>
      <w:r/>
    </w:p>
    <w:p>
      <w:pPr>
        <w:ind w:firstLine="420"/>
        <w:spacing w:line="360" w:lineRule="auto"/>
        <w:rPr>
          <w:rFonts w:ascii="宋体" w:hAnsi="宋体" w:cs="宋体"/>
          <w:szCs w:val="21"/>
          <w:lang w:val="zh-CN"/>
        </w:rPr>
      </w:pPr>
      <w:r>
        <w:rPr>
          <w:rFonts w:hint="eastAsia" w:ascii="宋体" w:hAnsi="宋体" w:cs="宋体"/>
          <w:szCs w:val="21"/>
          <w:lang w:val="zh-CN"/>
        </w:rPr>
        <w:t xml:space="preserve">（4）除本</w:t>
      </w:r>
      <w:r>
        <w:rPr>
          <w:rFonts w:hint="eastAsia" w:ascii="宋体" w:hAnsi="宋体" w:cs="宋体"/>
          <w:szCs w:val="21"/>
        </w:rPr>
        <w:t xml:space="preserve">竞争性</w:t>
      </w:r>
      <w:r>
        <w:rPr>
          <w:rFonts w:hint="eastAsia" w:ascii="宋体" w:hAnsi="宋体" w:cs="宋体"/>
          <w:szCs w:val="21"/>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（5）因苏采云系统故障造成开标不成功。</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）法律法规规定的其他应当终止情形。</w:t>
      </w:r>
      <w:r/>
    </w:p>
    <w:p>
      <w:pPr>
        <w:ind w:firstLine="424"/>
        <w:spacing w:line="360" w:lineRule="auto"/>
        <w:rPr>
          <w:rFonts w:ascii="宋体" w:hAnsi="宋体" w:cs="宋体"/>
          <w:bCs/>
          <w:szCs w:val="21"/>
          <w:lang w:val="zh-CN"/>
        </w:rPr>
      </w:pPr>
      <w:r/>
      <w:bookmarkStart w:id="76" w:name="OLE_LINK39"/>
      <w:r>
        <w:rPr>
          <w:rFonts w:hint="eastAsia" w:ascii="宋体" w:hAnsi="宋体" w:cs="宋体"/>
          <w:szCs w:val="21"/>
        </w:rPr>
        <w:t xml:space="preserve">18</w:t>
      </w:r>
      <w:bookmarkEnd w:id="76"/>
      <w:r>
        <w:rPr>
          <w:rFonts w:hint="eastAsia" w:ascii="宋体" w:hAnsi="宋体" w:cs="宋体"/>
          <w:bCs/>
          <w:szCs w:val="21"/>
          <w:lang w:val="zh-CN"/>
        </w:rPr>
        <w:t xml:space="preserve">.5 未通过资格审查或符合性审查的供应商，磋商小组将通过苏采云系统告知具体原因，评审结束后将不再接受有关询问。</w:t>
      </w:r>
      <w:r/>
    </w:p>
    <w:p>
      <w:pPr>
        <w:ind w:firstLine="424"/>
        <w:spacing w:line="360" w:lineRule="auto"/>
        <w:rPr>
          <w:rFonts w:ascii="宋体" w:hAnsi="宋体" w:cs="宋体"/>
          <w:bCs/>
          <w:szCs w:val="21"/>
          <w:lang w:val="zh-CN"/>
        </w:rPr>
      </w:pPr>
      <w:r>
        <w:rPr>
          <w:rFonts w:hint="eastAsia" w:ascii="宋体" w:hAnsi="宋体" w:cs="宋体"/>
          <w:szCs w:val="21"/>
        </w:rPr>
        <w:t xml:space="preserve">18</w:t>
      </w:r>
      <w:r>
        <w:rPr>
          <w:rFonts w:hint="eastAsia" w:ascii="宋体" w:hAnsi="宋体" w:cs="宋体"/>
          <w:bCs/>
          <w:szCs w:val="21"/>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ascii="宋体" w:hAnsi="宋体" w:cs="宋体"/>
          <w:szCs w:val="21"/>
          <w:lang w:val="zh-CN"/>
        </w:rPr>
      </w:pPr>
      <w:r>
        <w:rPr>
          <w:rFonts w:hint="eastAsia" w:ascii="宋体" w:hAnsi="宋体" w:cs="宋体"/>
          <w:b/>
          <w:szCs w:val="21"/>
          <w:lang w:val="zh-CN"/>
        </w:rPr>
        <w:t xml:space="preserve">19.磋商程序</w:t>
      </w:r>
      <w:r/>
    </w:p>
    <w:p>
      <w:pPr>
        <w:ind w:firstLine="424"/>
        <w:spacing w:line="360" w:lineRule="auto"/>
        <w:rPr>
          <w:rFonts w:ascii="宋体" w:hAnsi="宋体" w:cs="宋体"/>
          <w:bCs/>
          <w:szCs w:val="21"/>
          <w:lang w:val="zh-CN"/>
        </w:rPr>
      </w:pPr>
      <w:r/>
      <w:bookmarkStart w:id="77" w:name="OLE_LINK41"/>
      <w:r>
        <w:rPr>
          <w:rFonts w:hint="eastAsia" w:ascii="宋体" w:hAnsi="宋体" w:cs="宋体"/>
          <w:bCs/>
          <w:szCs w:val="21"/>
          <w:lang w:val="zh-CN"/>
        </w:rPr>
        <w:t xml:space="preserve">19</w:t>
      </w:r>
      <w:bookmarkEnd w:id="77"/>
      <w:r>
        <w:rPr>
          <w:rFonts w:hint="eastAsia" w:ascii="宋体" w:hAnsi="宋体" w:cs="宋体"/>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在磋商过程中，磋商小组可能根据磋商情况对</w:t>
      </w:r>
      <w:r>
        <w:rPr>
          <w:rFonts w:hint="eastAsia" w:ascii="宋体" w:hAnsi="宋体" w:cs="宋体"/>
          <w:bCs/>
          <w:szCs w:val="21"/>
        </w:rPr>
        <w:t xml:space="preserve">竞争性</w:t>
      </w:r>
      <w:r>
        <w:rPr>
          <w:rFonts w:hint="eastAsia" w:ascii="宋体" w:hAnsi="宋体" w:cs="宋体"/>
          <w:bCs/>
          <w:szCs w:val="21"/>
          <w:lang w:val="zh-CN"/>
        </w:rPr>
        <w:t xml:space="preserve">磋商文件进行实质性变动的内容包括：采购需求中的技术、服务要求以及合同草案条款。对</w:t>
      </w:r>
      <w:r>
        <w:rPr>
          <w:rFonts w:hint="eastAsia" w:ascii="宋体" w:hAnsi="宋体" w:cs="宋体"/>
          <w:bCs/>
          <w:szCs w:val="21"/>
        </w:rPr>
        <w:t xml:space="preserve">竞争性</w:t>
      </w:r>
      <w:r>
        <w:rPr>
          <w:rFonts w:hint="eastAsia" w:ascii="宋体" w:hAnsi="宋体" w:cs="宋体"/>
          <w:bCs/>
          <w:szCs w:val="21"/>
          <w:lang w:val="zh-CN"/>
        </w:rPr>
        <w:t xml:space="preserve">磋商文件作出的实质性变动是</w:t>
      </w:r>
      <w:r>
        <w:rPr>
          <w:rFonts w:hint="eastAsia" w:ascii="宋体" w:hAnsi="宋体" w:cs="宋体"/>
          <w:bCs/>
          <w:szCs w:val="21"/>
        </w:rPr>
        <w:t xml:space="preserve">竞争性</w:t>
      </w:r>
      <w:r>
        <w:rPr>
          <w:rFonts w:hint="eastAsia" w:ascii="宋体" w:hAnsi="宋体" w:cs="宋体"/>
          <w:bCs/>
          <w:szCs w:val="21"/>
          <w:lang w:val="zh-CN"/>
        </w:rPr>
        <w:t xml:space="preserve">磋商文件的有效组成部分，磋商小组将在苏采云系统中通知所有参加磋商的供应商。供应商应当按照</w:t>
      </w:r>
      <w:r>
        <w:rPr>
          <w:rFonts w:hint="eastAsia" w:ascii="宋体" w:hAnsi="宋体" w:cs="宋体"/>
          <w:bCs/>
          <w:szCs w:val="21"/>
        </w:rPr>
        <w:t xml:space="preserve">竞争性</w:t>
      </w:r>
      <w:r>
        <w:rPr>
          <w:rFonts w:hint="eastAsia" w:ascii="宋体" w:hAnsi="宋体" w:cs="宋体"/>
          <w:bCs/>
          <w:szCs w:val="21"/>
          <w:lang w:val="zh-CN"/>
        </w:rPr>
        <w:t xml:space="preserve">磋商文件的变动情况和磋商小组的要求在苏采云系统中重新提交响应文件，并加盖电子公章。</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19.2 </w:t>
      </w:r>
      <w:r>
        <w:rPr>
          <w:rFonts w:hint="eastAsia" w:ascii="宋体" w:hAnsi="宋体" w:cs="宋体"/>
          <w:bCs/>
          <w:szCs w:val="21"/>
        </w:rPr>
        <w:t xml:space="preserve">竞争性</w:t>
      </w:r>
      <w:r>
        <w:rPr>
          <w:rFonts w:hint="eastAsia" w:ascii="宋体" w:hAnsi="宋体" w:cs="宋体"/>
          <w:bCs/>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19.3最后报价是供应商响应文件的有效组成部分。</w:t>
      </w:r>
      <w:r>
        <w:rPr>
          <w:rFonts w:hint="eastAsia" w:ascii="宋体" w:hAnsi="宋体" w:cs="宋体"/>
          <w:szCs w:val="21"/>
          <w:lang w:val="zh-CN"/>
        </w:rPr>
        <w:t xml:space="preserve">提交最后报价的供应商不得少于3家，其中</w:t>
      </w:r>
      <w:r>
        <w:rPr>
          <w:rFonts w:hint="eastAsia" w:ascii="宋体" w:hAnsi="宋体" w:cs="宋体"/>
          <w:bCs/>
          <w:szCs w:val="21"/>
          <w:lang w:val="zh-CN"/>
        </w:rPr>
        <w:t xml:space="preserve">政府购买服务项目(含政府和社会资本合作项目)、市场竞争不充分的科研项目以及需要扶持的科技成果转化项目，在采购过程中</w:t>
      </w:r>
      <w:r>
        <w:rPr>
          <w:rFonts w:hint="eastAsia" w:ascii="宋体" w:hAnsi="宋体" w:cs="宋体"/>
          <w:szCs w:val="21"/>
        </w:rPr>
        <w:t xml:space="preserve">符合要求的供应商（社会资本)只有 2 家的，竞争性磋商采购活动可以继续进行</w:t>
      </w:r>
      <w:r>
        <w:rPr>
          <w:rFonts w:hint="eastAsia" w:ascii="宋体" w:hAnsi="宋体" w:cs="宋体"/>
          <w:bCs/>
          <w:szCs w:val="21"/>
          <w:lang w:val="zh-CN"/>
        </w:rPr>
        <w:t xml:space="preserve">。</w:t>
      </w:r>
      <w:r/>
    </w:p>
    <w:p>
      <w:pPr>
        <w:ind w:firstLine="420"/>
        <w:spacing w:line="360" w:lineRule="auto"/>
        <w:shd w:val="clear" w:color="auto" w:fill="ffffff"/>
        <w:widowControl/>
        <w:rPr>
          <w:rFonts w:ascii="宋体" w:hAnsi="宋体" w:cs="宋体"/>
          <w:bCs/>
          <w:szCs w:val="21"/>
          <w:lang w:val="zh-CN"/>
        </w:rPr>
      </w:pPr>
      <w:r>
        <w:rPr>
          <w:rFonts w:hint="eastAsia" w:ascii="宋体" w:hAnsi="宋体" w:cs="宋体"/>
          <w:bCs/>
          <w:szCs w:val="21"/>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78" w:name="_Hlk77847403"/>
      <w:r/>
      <w:bookmarkStart w:id="79" w:name="_Hlk80023568"/>
      <w:r/>
      <w:bookmarkStart w:id="80" w:name="_Hlk77847492"/>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Cs/>
          <w:szCs w:val="21"/>
          <w:lang w:val="zh-CN"/>
        </w:rPr>
        <w:t xml:space="preserve">19.5</w:t>
      </w:r>
      <w:r>
        <w:rPr>
          <w:rFonts w:hint="eastAsia" w:ascii="宋体" w:hAnsi="宋体" w:cs="宋体"/>
          <w:b/>
          <w:bCs/>
          <w:szCs w:val="21"/>
        </w:rPr>
        <w:t xml:space="preserve">磋商小组启动异常低价投标审查的情形和具体要求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19.5.1评审过程中出现下列情形之一的，磋商小组应当启动异常低价响应审查程序：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（1）响应报价低于全部通过符合性审查供应商响应报价平均值50%的，即响应报价&lt;全部通过符合性审查供应商响应报价平均值×50%；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（2）响应报价低于通过符合性审查的次低响应供应商响应报价50%的，即响应报价&lt;通过符合性审查的次低响应供应商响应报价×50%；</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（3）响应报价低于采购项目最高限价50%的，即响应报价&lt;采购项目最高限价×50%；</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（4）评标委员会基于专业判断，认为供应商报价过低，有可能影响产品质量或者不能诚信履约的其他情形。</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19.5.2 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ind w:firstLine="422"/>
        <w:spacing w:line="360" w:lineRule="auto"/>
        <w:rPr>
          <w:rFonts w:ascii="宋体" w:hAnsi="宋体" w:cs="宋体"/>
          <w:b/>
          <w:szCs w:val="21"/>
          <w:lang w:val="zh-CN"/>
        </w:rPr>
      </w:pPr>
      <w:r>
        <w:rPr>
          <w:rFonts w:hint="eastAsia" w:ascii="宋体" w:hAnsi="宋体" w:cs="宋体"/>
          <w:b/>
          <w:bCs/>
          <w:szCs w:val="21"/>
          <w:lang w:val="zh-CN"/>
        </w:rPr>
        <w:t xml:space="preserve">20.评分方法和标准</w:t>
      </w:r>
      <w:r/>
    </w:p>
    <w:p>
      <w:pPr>
        <w:ind w:firstLine="420"/>
        <w:spacing w:line="360" w:lineRule="auto"/>
        <w:widowControl/>
        <w:rPr>
          <w:rFonts w:ascii="宋体" w:hAnsi="宋体" w:cs="宋体"/>
          <w:szCs w:val="21"/>
          <w:lang w:val="zh-CN"/>
        </w:rPr>
      </w:pPr>
      <w:r>
        <w:rPr>
          <w:rFonts w:hint="eastAsia" w:ascii="宋体" w:hAnsi="宋体" w:cs="宋体"/>
          <w:bCs/>
          <w:szCs w:val="21"/>
          <w:lang w:val="zh-CN"/>
        </w:rPr>
        <w:t xml:space="preserve">20.1 </w:t>
      </w:r>
      <w:r>
        <w:rPr>
          <w:rFonts w:hint="eastAsia" w:ascii="宋体" w:hAnsi="宋体" w:cs="宋体"/>
          <w:szCs w:val="21"/>
        </w:rPr>
        <w:t xml:space="preserve">本次</w:t>
      </w:r>
      <w:r>
        <w:rPr>
          <w:rFonts w:hint="eastAsia" w:ascii="宋体" w:hAnsi="宋体" w:cs="宋体"/>
          <w:szCs w:val="21"/>
        </w:rPr>
        <w:t xml:space="preserve">采购</w:t>
      </w:r>
      <w:r>
        <w:rPr>
          <w:rFonts w:hint="eastAsia" w:ascii="宋体" w:hAnsi="宋体" w:cs="宋体"/>
          <w:szCs w:val="21"/>
          <w:lang w:val="zh-CN"/>
        </w:rPr>
        <w:t xml:space="preserve">采用综合评分法。</w:t>
      </w:r>
      <w:r>
        <w:rPr>
          <w:rFonts w:hint="eastAsia" w:ascii="宋体" w:hAnsi="宋体" w:cs="宋体"/>
          <w:szCs w:val="21"/>
        </w:rPr>
        <w:t xml:space="preserve">评标方法和标准，详见本竞争性磋商文件第三章。</w:t>
      </w:r>
      <w:r/>
    </w:p>
    <w:p>
      <w:pPr>
        <w:ind w:firstLine="420"/>
        <w:spacing w:line="360" w:lineRule="auto"/>
        <w:widowControl/>
        <w:rPr>
          <w:rFonts w:ascii="宋体" w:hAnsi="宋体" w:cs="宋体"/>
          <w:bCs/>
          <w:szCs w:val="21"/>
          <w:lang w:val="zh-CN"/>
        </w:rPr>
      </w:pPr>
      <w:r>
        <w:rPr>
          <w:rFonts w:hint="eastAsia" w:ascii="宋体" w:hAnsi="宋体" w:cs="宋体"/>
          <w:szCs w:val="21"/>
        </w:rPr>
        <w:t xml:space="preserve">20.2 综合评分法，是指在响应文件满足竞争性磋商文件实质性要求前提下，按照竞争性磋商文件中规定的各项因素进行综合评审后，以评审总得分最高的供应商作为成交候选供应商或者成交供应商的评分方法。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21.确定成交供应商</w:t>
      </w:r>
      <w:r/>
    </w:p>
    <w:p>
      <w:pPr>
        <w:ind w:firstLine="420"/>
        <w:spacing w:line="360" w:lineRule="auto"/>
        <w:shd w:val="clear" w:color="auto" w:fill="ffffff"/>
        <w:widowControl/>
        <w:rPr>
          <w:rFonts w:ascii="宋体" w:hAnsi="宋体" w:cs="宋体"/>
          <w:szCs w:val="21"/>
        </w:rPr>
      </w:pPr>
      <w:r/>
      <w:bookmarkStart w:id="81" w:name="_Hlk128059633"/>
      <w:r>
        <w:rPr>
          <w:rFonts w:hint="eastAsia" w:ascii="宋体" w:hAnsi="宋体" w:cs="宋体"/>
          <w:szCs w:val="21"/>
        </w:rPr>
        <w:t xml:space="preserve">21.1综合比较与评价后按照得分高低顺序对供应商进行排列。评审得分相同的，按照最后报价由低到高顺序排列。评审得分且最后报价相同的，按技术指标优劣顺序排列。</w:t>
      </w:r>
      <w:bookmarkStart w:id="82" w:name="_Hlk44576618"/>
      <w:r>
        <w:rPr>
          <w:rFonts w:hint="eastAsia" w:ascii="宋体" w:hAnsi="宋体" w:cs="宋体"/>
          <w:szCs w:val="21"/>
        </w:rPr>
        <w:t xml:space="preserve">响应文件满足竞争性磋商文件全部实质性要求</w:t>
      </w:r>
      <w:bookmarkEnd w:id="82"/>
      <w:r>
        <w:rPr>
          <w:rFonts w:hint="eastAsia" w:ascii="宋体" w:hAnsi="宋体" w:cs="宋体"/>
          <w:szCs w:val="21"/>
        </w:rPr>
        <w:t xml:space="preserve">且按照评审因素的量化指标评审得分最高的供应商为排名第一的成交供应商，经采购人授权，磋商小组将综合排名第一的成交候选供应商确定为成交供应商。</w:t>
      </w:r>
      <w:bookmarkEnd w:id="81"/>
      <w:r/>
      <w:r/>
    </w:p>
    <w:p>
      <w:pPr>
        <w:ind w:firstLine="420"/>
        <w:spacing w:line="360" w:lineRule="auto"/>
        <w:shd w:val="clear" w:color="auto" w:fill="ffffff"/>
        <w:widowControl/>
        <w:rPr>
          <w:rFonts w:ascii="宋体" w:hAnsi="宋体" w:cs="宋体"/>
          <w:szCs w:val="21"/>
        </w:rPr>
      </w:pPr>
      <w:r>
        <w:rPr>
          <w:rFonts w:hint="eastAsia" w:ascii="宋体" w:hAnsi="宋体" w:cs="宋体"/>
          <w:szCs w:val="21"/>
          <w:lang w:val="zh-CN"/>
        </w:rPr>
        <w:t xml:space="preserve">21.2 </w:t>
      </w:r>
      <w:r>
        <w:rPr>
          <w:rFonts w:hint="eastAsia" w:ascii="宋体" w:hAnsi="宋体" w:cs="宋体"/>
          <w:szCs w:val="21"/>
        </w:rPr>
        <w:t xml:space="preserve">采购代理机构将在“江苏政府采购网”发布成交结果公告，公告期限为1个工作日。</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22.成交通知书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六、签订合同</w:t>
      </w:r>
      <w:r/>
    </w:p>
    <w:p>
      <w:pPr>
        <w:ind w:firstLine="420"/>
        <w:spacing w:line="360" w:lineRule="auto"/>
        <w:rPr>
          <w:rFonts w:ascii="宋体" w:hAnsi="宋体" w:cs="宋体"/>
          <w:b/>
          <w:bCs/>
          <w:szCs w:val="21"/>
          <w:lang w:val="zh-CN"/>
        </w:rPr>
      </w:pPr>
      <w:r>
        <w:rPr>
          <w:rFonts w:hint="eastAsia" w:ascii="宋体" w:hAnsi="宋体" w:cs="宋体"/>
          <w:b/>
          <w:szCs w:val="21"/>
          <w:lang w:val="zh-CN"/>
        </w:rPr>
        <w:t xml:space="preserve">23. </w:t>
      </w:r>
      <w:r>
        <w:rPr>
          <w:rFonts w:hint="eastAsia" w:ascii="宋体" w:hAnsi="宋体" w:cs="宋体"/>
          <w:b/>
          <w:bCs/>
          <w:szCs w:val="21"/>
          <w:lang w:val="zh-CN"/>
        </w:rPr>
        <w:t xml:space="preserve">签订合同</w:t>
      </w:r>
      <w:r/>
    </w:p>
    <w:p>
      <w:pPr>
        <w:ind w:firstLine="420"/>
        <w:spacing w:line="360" w:lineRule="auto"/>
        <w:rPr>
          <w:rFonts w:ascii="宋体" w:hAnsi="宋体" w:cs="宋体"/>
          <w:szCs w:val="21"/>
        </w:rPr>
      </w:pPr>
      <w:r/>
      <w:bookmarkStart w:id="83" w:name="OLE_LINK42"/>
      <w:r>
        <w:rPr>
          <w:rFonts w:hint="eastAsia" w:ascii="宋体" w:hAnsi="宋体" w:cs="宋体"/>
          <w:szCs w:val="21"/>
        </w:rPr>
        <w:t xml:space="preserve">23</w:t>
      </w:r>
      <w:bookmarkEnd w:id="83"/>
      <w:r>
        <w:rPr>
          <w:rFonts w:hint="eastAsia" w:ascii="宋体" w:hAnsi="宋体" w:cs="宋体"/>
          <w:szCs w:val="21"/>
          <w:lang w:val="zh-CN"/>
        </w:rPr>
        <w:t xml:space="preserve">.</w:t>
      </w:r>
      <w:r>
        <w:rPr>
          <w:rFonts w:hint="eastAsia" w:ascii="宋体" w:hAnsi="宋体" w:cs="宋体"/>
          <w:szCs w:val="21"/>
        </w:rPr>
        <w:t xml:space="preserve">1 成交供应商应当</w:t>
      </w:r>
      <w:r>
        <w:rPr>
          <w:rFonts w:hint="eastAsia" w:ascii="宋体" w:hAnsi="宋体" w:cs="宋体"/>
          <w:szCs w:val="21"/>
          <w:lang w:val="zh-CN"/>
        </w:rPr>
        <w:t xml:space="preserve">自成交通知书发出之日起30日内，</w:t>
      </w:r>
      <w:r>
        <w:rPr>
          <w:rFonts w:hint="eastAsia" w:ascii="宋体" w:hAnsi="宋体" w:cs="宋体"/>
          <w:szCs w:val="21"/>
        </w:rPr>
        <w:t xml:space="preserve">与采购人签订合同，</w:t>
      </w:r>
      <w:r>
        <w:rPr>
          <w:rFonts w:hint="eastAsia" w:ascii="宋体" w:hAnsi="宋体" w:cs="宋体"/>
          <w:b/>
          <w:bCs/>
          <w:szCs w:val="21"/>
        </w:rPr>
        <w:t xml:space="preserve">采购人于合同签订后2个工作日内通过苏采云系统进行公示。</w:t>
      </w:r>
      <w:r>
        <w:rPr>
          <w:rFonts w:hint="eastAsia" w:ascii="宋体" w:hAnsi="宋体" w:cs="宋体"/>
          <w:szCs w:val="21"/>
        </w:rPr>
        <w:t xml:space="preserve">所签订的合同不得对竞争性磋商文件和响应文件作实质性修改。</w:t>
      </w:r>
      <w:r/>
    </w:p>
    <w:p>
      <w:pPr>
        <w:ind w:firstLine="420"/>
        <w:spacing w:line="360" w:lineRule="auto"/>
        <w:rPr>
          <w:rFonts w:ascii="宋体" w:hAnsi="宋体" w:cs="宋体"/>
          <w:szCs w:val="21"/>
          <w:lang w:val="zh-CN"/>
        </w:rPr>
      </w:pPr>
      <w:r>
        <w:rPr>
          <w:rFonts w:hint="eastAsia" w:ascii="宋体" w:hAnsi="宋体" w:cs="宋体"/>
          <w:szCs w:val="21"/>
        </w:rPr>
        <w:t xml:space="preserve">23</w:t>
      </w:r>
      <w:r>
        <w:rPr>
          <w:rFonts w:hint="eastAsia" w:ascii="宋体" w:hAnsi="宋体" w:cs="宋体"/>
          <w:szCs w:val="21"/>
          <w:lang w:val="zh-CN"/>
        </w:rPr>
        <w:t xml:space="preserve">.2 竞争性磋商文件、成交供应商的响应文件及磋商过程中有关澄清、承诺文件均作为合同附件。</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lang w:val="zh-CN"/>
        </w:rPr>
        <w:t xml:space="preserve">.3 </w:t>
      </w:r>
      <w:r>
        <w:rPr>
          <w:rFonts w:hint="eastAsia" w:ascii="宋体" w:hAnsi="宋体" w:cs="宋体"/>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szCs w:val="21"/>
        </w:rPr>
      </w:pPr>
      <w:r>
        <w:rPr>
          <w:rFonts w:hint="eastAsia" w:ascii="宋体" w:hAnsi="宋体" w:cs="宋体"/>
          <w:szCs w:val="21"/>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cs="宋体"/>
          <w:szCs w:val="21"/>
          <w:lang w:val="zh-CN"/>
        </w:rPr>
      </w:pPr>
      <w:r>
        <w:rPr>
          <w:rFonts w:hint="eastAsia" w:ascii="宋体" w:hAnsi="宋体" w:cs="宋体"/>
          <w:szCs w:val="21"/>
        </w:rPr>
        <w:t xml:space="preserve">23.5 </w:t>
      </w:r>
      <w:r>
        <w:rPr>
          <w:rFonts w:hint="eastAsia" w:ascii="宋体" w:hAnsi="宋体" w:cs="宋体"/>
          <w:szCs w:val="21"/>
          <w:lang w:val="zh-CN"/>
        </w:rPr>
        <w:t xml:space="preserve">成交供应商因不可抗力或者自身原因不能履行合同的，采购人可以视情与排位在成交供应商之后第一位的成交候选供应商签订合同，</w:t>
      </w:r>
      <w:r>
        <w:rPr>
          <w:rFonts w:hint="eastAsia" w:ascii="宋体" w:hAnsi="宋体" w:cs="宋体"/>
          <w:szCs w:val="21"/>
        </w:rPr>
        <w:t xml:space="preserve">也可以重新开展政府采购活动。</w:t>
      </w:r>
      <w:r/>
    </w:p>
    <w:p>
      <w:pPr>
        <w:ind w:firstLine="420"/>
        <w:spacing w:line="360" w:lineRule="auto"/>
        <w:rPr>
          <w:rFonts w:ascii="宋体" w:hAnsi="宋体" w:cs="宋体"/>
          <w:szCs w:val="21"/>
          <w:lang w:val="zh-CN"/>
        </w:rPr>
      </w:pPr>
      <w:r>
        <w:rPr>
          <w:rFonts w:hint="eastAsia" w:ascii="宋体" w:hAnsi="宋体" w:cs="宋体"/>
          <w:szCs w:val="21"/>
        </w:rPr>
        <w:t xml:space="preserve">23</w:t>
      </w:r>
      <w:r>
        <w:rPr>
          <w:rFonts w:hint="eastAsia" w:ascii="宋体" w:hAnsi="宋体" w:cs="宋体"/>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ascii="宋体" w:hAnsi="宋体" w:cs="宋体"/>
          <w:b/>
          <w:szCs w:val="21"/>
          <w:lang w:val="zh-CN"/>
        </w:rPr>
      </w:pPr>
      <w:r>
        <w:rPr>
          <w:rFonts w:hint="eastAsia" w:ascii="宋体" w:hAnsi="宋体" w:cs="宋体"/>
          <w:b/>
          <w:szCs w:val="21"/>
          <w:lang w:val="zh-CN"/>
        </w:rPr>
        <w:t xml:space="preserve">七、质疑与投诉</w:t>
      </w:r>
      <w:r/>
    </w:p>
    <w:p>
      <w:pPr>
        <w:ind w:firstLine="420"/>
        <w:spacing w:line="360" w:lineRule="auto"/>
        <w:rPr>
          <w:rFonts w:ascii="宋体" w:hAnsi="宋体" w:cs="宋体"/>
          <w:b/>
          <w:szCs w:val="21"/>
          <w:lang w:val="zh-CN"/>
        </w:rPr>
      </w:pPr>
      <w:r>
        <w:rPr>
          <w:rFonts w:hint="eastAsia" w:ascii="宋体" w:hAnsi="宋体" w:cs="宋体"/>
          <w:b/>
          <w:szCs w:val="21"/>
          <w:lang w:val="zh-CN"/>
        </w:rPr>
        <w:t xml:space="preserve">24. 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24.1供应商对</w:t>
      </w:r>
      <w:r>
        <w:rPr>
          <w:rFonts w:hint="eastAsia" w:ascii="宋体" w:hAnsi="宋体" w:cs="宋体"/>
          <w:szCs w:val="21"/>
        </w:rPr>
        <w:t xml:space="preserve">采购</w:t>
      </w:r>
      <w:r>
        <w:rPr>
          <w:rFonts w:hint="eastAsia" w:ascii="宋体" w:hAnsi="宋体" w:cs="宋体"/>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24.2提出质疑的供应商应当是参与所质疑项目采购活动的供应商。潜在供应商已依法获取其可质疑的</w:t>
      </w:r>
      <w:r>
        <w:rPr>
          <w:rFonts w:hint="eastAsia" w:ascii="宋体" w:hAnsi="宋体" w:cs="宋体"/>
          <w:szCs w:val="21"/>
        </w:rPr>
        <w:t xml:space="preserve">竞争性磋商</w:t>
      </w:r>
      <w:r>
        <w:rPr>
          <w:rFonts w:hint="eastAsia" w:ascii="宋体" w:hAnsi="宋体" w:cs="宋体"/>
          <w:szCs w:val="21"/>
        </w:rPr>
        <w:t xml:space="preserve">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24.3供应商认为</w:t>
      </w:r>
      <w:r>
        <w:rPr>
          <w:rFonts w:hint="eastAsia" w:ascii="宋体" w:hAnsi="宋体" w:cs="宋体"/>
          <w:szCs w:val="21"/>
        </w:rPr>
        <w:t xml:space="preserve">竞争性磋商</w:t>
      </w:r>
      <w:r>
        <w:rPr>
          <w:rFonts w:hint="eastAsia" w:ascii="宋体" w:hAnsi="宋体" w:cs="宋体"/>
          <w:szCs w:val="21"/>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w:t>
      </w:r>
      <w:bookmarkStart w:id="84" w:name="OLE_LINK8"/>
      <w:r>
        <w:rPr>
          <w:rFonts w:hint="eastAsia" w:ascii="宋体" w:hAnsi="宋体" w:cs="宋体"/>
          <w:szCs w:val="21"/>
        </w:rPr>
        <w:t xml:space="preserve">竞争性磋商文件</w:t>
      </w:r>
      <w:bookmarkEnd w:id="84"/>
      <w:r>
        <w:rPr>
          <w:rFonts w:hint="eastAsia" w:ascii="宋体" w:hAnsi="宋体" w:cs="宋体"/>
          <w:szCs w:val="21"/>
        </w:rPr>
        <w:t xml:space="preserve">提出质疑的，应当在获取</w:t>
      </w:r>
      <w:r>
        <w:rPr>
          <w:rFonts w:hint="eastAsia" w:ascii="宋体" w:hAnsi="宋体" w:cs="宋体"/>
          <w:szCs w:val="21"/>
        </w:rPr>
        <w:t xml:space="preserve">竞争性磋商</w:t>
      </w:r>
      <w:r>
        <w:rPr>
          <w:rFonts w:hint="eastAsia" w:ascii="宋体" w:hAnsi="宋体" w:cs="宋体"/>
          <w:szCs w:val="21"/>
        </w:rPr>
        <w:t xml:space="preserve">文件或者</w:t>
      </w:r>
      <w:r>
        <w:rPr>
          <w:rFonts w:hint="eastAsia" w:ascii="宋体" w:hAnsi="宋体" w:cs="宋体"/>
          <w:szCs w:val="21"/>
        </w:rPr>
        <w:t xml:space="preserve">竞争性磋商</w:t>
      </w:r>
      <w:r>
        <w:rPr>
          <w:rFonts w:hint="eastAsia" w:ascii="宋体" w:hAnsi="宋体" w:cs="宋体"/>
          <w:szCs w:val="21"/>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24.4 供应商提出质疑应当按照《政府采购质疑和投诉办法》的规定提交质疑函和必要的证明材料。质疑函应当包括下列内容：</w:t>
      </w:r>
      <w:r/>
    </w:p>
    <w:p>
      <w:pPr>
        <w:spacing w:line="360" w:lineRule="auto"/>
        <w:shd w:val="clear" w:color="auto" w:fill="ffffff"/>
        <w:widowControl/>
        <w:rPr>
          <w:rFonts w:ascii="宋体" w:hAnsi="宋体" w:cs="宋体"/>
          <w:szCs w:val="21"/>
        </w:rPr>
      </w:pPr>
      <w:r>
        <w:rPr>
          <w:rFonts w:hint="eastAsia" w:ascii="宋体" w:hAnsi="宋体" w:cs="宋体"/>
          <w:szCs w:val="21"/>
        </w:rPr>
        <w:t xml:space="preserve">　  （1）供应商的姓名或者名称、地址、邮编、联系人及联系电话；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24.7采购代理机构在收到供应商的书面质疑后将及时组织调查核实，在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作出答复，并以书面或在网站公告形式通知质疑供应商和其他有关供应商，答复的内容不涉及商业秘密。</w:t>
      </w:r>
      <w:r/>
    </w:p>
    <w:p>
      <w:pPr>
        <w:ind w:firstLine="426"/>
        <w:spacing w:line="360" w:lineRule="auto"/>
        <w:rPr>
          <w:rFonts w:ascii="宋体" w:hAnsi="宋体" w:cs="宋体"/>
          <w:b/>
          <w:szCs w:val="21"/>
          <w:lang w:val="zh-CN"/>
        </w:rPr>
      </w:pPr>
      <w:r>
        <w:rPr>
          <w:rFonts w:hint="eastAsia" w:ascii="宋体" w:hAnsi="宋体" w:cs="宋体"/>
          <w:b/>
          <w:szCs w:val="21"/>
          <w:lang w:val="zh-CN"/>
        </w:rPr>
        <w:t xml:space="preserve">25.投诉</w:t>
      </w:r>
      <w:r/>
    </w:p>
    <w:p>
      <w:pPr>
        <w:ind w:firstLine="424"/>
        <w:spacing w:line="360" w:lineRule="auto"/>
        <w:rPr>
          <w:rFonts w:ascii="宋体" w:hAnsi="宋体" w:cs="宋体"/>
          <w:szCs w:val="21"/>
          <w:lang w:val="zh-CN"/>
        </w:rPr>
      </w:pPr>
      <w:r>
        <w:rPr>
          <w:rFonts w:hint="eastAsia" w:ascii="宋体" w:hAnsi="宋体" w:cs="宋体"/>
          <w:szCs w:val="21"/>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宋体" w:hAnsi="宋体" w:cs="宋体"/>
          <w:szCs w:val="21"/>
          <w:lang w:val="zh-CN"/>
        </w:rPr>
      </w:pPr>
      <w:r>
        <w:rPr>
          <w:rFonts w:hint="eastAsia" w:ascii="宋体" w:hAnsi="宋体" w:cs="宋体"/>
          <w:szCs w:val="21"/>
          <w:lang w:val="zh-CN"/>
        </w:rPr>
        <w:t xml:space="preserve">25.2 供应商投诉应当有明确的请求和必要的证明材料。供应商投诉的事项不得超出已质疑事项的范围。</w:t>
      </w:r>
      <w:r/>
    </w:p>
    <w:p>
      <w:pPr>
        <w:ind w:firstLine="424"/>
        <w:spacing w:line="360" w:lineRule="auto"/>
        <w:rPr>
          <w:rFonts w:ascii="宋体" w:hAnsi="宋体" w:cs="宋体"/>
          <w:szCs w:val="21"/>
          <w:lang w:val="zh-CN"/>
        </w:rPr>
      </w:pPr>
      <w:r>
        <w:rPr>
          <w:rFonts w:hint="eastAsia" w:ascii="宋体" w:hAnsi="宋体" w:cs="宋体"/>
          <w:szCs w:val="21"/>
          <w:lang w:val="zh-CN"/>
        </w:rPr>
        <w:t xml:space="preserve">25.3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宋体" w:hAnsi="宋体" w:cs="宋体"/>
          <w:szCs w:val="21"/>
          <w:lang w:val="zh-CN"/>
        </w:rPr>
      </w:pPr>
      <w:r>
        <w:rPr>
          <w:rFonts w:hint="eastAsia" w:ascii="宋体" w:hAnsi="宋体" w:cs="宋体"/>
          <w:szCs w:val="21"/>
          <w:lang w:val="zh-CN"/>
        </w:rPr>
        <w:t xml:space="preserve">25.4 投诉人在全国范围12个月内三次以上投诉查无实据的，由财政部门列入不良行为记录名单。</w:t>
      </w:r>
      <w:r/>
    </w:p>
    <w:p>
      <w:pPr>
        <w:ind w:firstLine="424"/>
        <w:spacing w:line="360" w:lineRule="auto"/>
        <w:rPr>
          <w:rFonts w:ascii="宋体" w:hAnsi="宋体" w:cs="宋体"/>
          <w:szCs w:val="21"/>
          <w:lang w:val="zh-CN"/>
        </w:rPr>
      </w:pPr>
      <w:r>
        <w:rPr>
          <w:rFonts w:hint="eastAsia" w:ascii="宋体" w:hAnsi="宋体" w:cs="宋体"/>
          <w:szCs w:val="21"/>
          <w:lang w:val="zh-CN"/>
        </w:rPr>
        <w:t xml:space="preserve">25.5 投诉人有下列行为之一的，属于虚假、恶意投诉，由财政部门列入不良行为记录名单，禁止其1至3年内参加政府采购活动：</w:t>
      </w:r>
      <w:r/>
    </w:p>
    <w:p>
      <w:pPr>
        <w:ind w:firstLine="424"/>
        <w:spacing w:line="360" w:lineRule="auto"/>
        <w:rPr>
          <w:rFonts w:ascii="宋体" w:hAnsi="宋体" w:cs="宋体"/>
          <w:szCs w:val="21"/>
          <w:lang w:val="zh-CN"/>
        </w:rPr>
      </w:pPr>
      <w:r>
        <w:rPr>
          <w:rFonts w:hint="eastAsia" w:ascii="宋体" w:hAnsi="宋体" w:cs="宋体"/>
          <w:szCs w:val="21"/>
          <w:lang w:val="zh-CN"/>
        </w:rPr>
        <w:t xml:space="preserve">（1）捏造事实；</w:t>
      </w:r>
      <w:r/>
    </w:p>
    <w:p>
      <w:pPr>
        <w:ind w:firstLine="424"/>
        <w:spacing w:line="360" w:lineRule="auto"/>
        <w:rPr>
          <w:rFonts w:ascii="宋体" w:hAnsi="宋体" w:cs="宋体"/>
          <w:szCs w:val="21"/>
          <w:lang w:val="zh-CN"/>
        </w:rPr>
      </w:pPr>
      <w:r>
        <w:rPr>
          <w:rFonts w:hint="eastAsia" w:ascii="宋体" w:hAnsi="宋体" w:cs="宋体"/>
          <w:szCs w:val="21"/>
          <w:lang w:val="zh-CN"/>
        </w:rPr>
        <w:t xml:space="preserve">（2）提供虚假材料；</w:t>
      </w:r>
      <w:r/>
    </w:p>
    <w:p>
      <w:pPr>
        <w:ind w:firstLine="424"/>
        <w:spacing w:line="360" w:lineRule="auto"/>
        <w:rPr>
          <w:rFonts w:ascii="宋体" w:hAnsi="宋体" w:cs="宋体"/>
          <w:szCs w:val="21"/>
          <w:lang w:val="zh-CN"/>
        </w:rPr>
      </w:pPr>
      <w:r>
        <w:rPr>
          <w:rFonts w:hint="eastAsia" w:ascii="宋体" w:hAnsi="宋体" w:cs="宋体"/>
          <w:szCs w:val="21"/>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ascii="宋体" w:hAnsi="宋体" w:cs="宋体"/>
          <w:b/>
          <w:szCs w:val="21"/>
          <w:lang w:val="zh-CN"/>
        </w:rPr>
      </w:pPr>
      <w:r>
        <w:rPr>
          <w:rFonts w:hint="eastAsia" w:ascii="宋体" w:hAnsi="宋体" w:cs="宋体"/>
          <w:b/>
          <w:szCs w:val="21"/>
        </w:rPr>
        <w:t xml:space="preserve">八</w:t>
      </w:r>
      <w:r>
        <w:rPr>
          <w:rFonts w:hint="eastAsia" w:ascii="宋体" w:hAnsi="宋体" w:cs="宋体"/>
          <w:b/>
          <w:szCs w:val="21"/>
          <w:lang w:val="zh-CN"/>
        </w:rPr>
        <w:t xml:space="preserve">、磋商费用</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26. </w:t>
      </w:r>
      <w:bookmarkStart w:id="85" w:name="OLE_LINK18"/>
      <w:r>
        <w:rPr>
          <w:rFonts w:hint="eastAsia" w:ascii="宋体" w:hAnsi="宋体" w:cs="宋体"/>
          <w:b/>
          <w:szCs w:val="21"/>
          <w:lang w:val="zh-CN"/>
        </w:rPr>
        <w:t xml:space="preserve">磋商费用</w:t>
      </w:r>
      <w:bookmarkEnd w:id="85"/>
      <w:r/>
      <w:r/>
    </w:p>
    <w:p>
      <w:pPr>
        <w:ind w:firstLine="420"/>
        <w:spacing w:line="360" w:lineRule="auto"/>
        <w:shd w:val="clear" w:color="auto" w:fill="ffffff"/>
        <w:widowControl/>
        <w:rPr>
          <w:rFonts w:ascii="宋体" w:hAnsi="宋体" w:cs="宋体"/>
          <w:szCs w:val="21"/>
          <w:lang w:val="zh-CN"/>
        </w:rPr>
      </w:pPr>
      <w:r/>
      <w:bookmarkStart w:id="86" w:name="_Hlk228959703"/>
      <w:r/>
      <w:bookmarkStart w:id="87" w:name="_Hlk228971856"/>
      <w:r>
        <w:rPr>
          <w:rFonts w:hint="eastAsia" w:ascii="宋体" w:hAnsi="宋体" w:cs="宋体"/>
          <w:szCs w:val="21"/>
          <w:lang w:val="zh-CN"/>
        </w:rPr>
        <w:t xml:space="preserve">26.1 </w:t>
      </w:r>
      <w:bookmarkStart w:id="88" w:name="_Hlk228972183"/>
      <w:r>
        <w:rPr>
          <w:rFonts w:hint="eastAsia" w:ascii="宋体" w:hAnsi="宋体" w:cs="宋体"/>
          <w:szCs w:val="21"/>
          <w:lang w:val="zh-CN"/>
        </w:rPr>
        <w:t xml:space="preserve">代理服务费</w:t>
      </w:r>
      <w:bookmarkEnd w:id="88"/>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次采购预算金额中包含代理服务费，代理服务费由成交供应商支付。代理服务费按苏政采协[2024]20号《江苏省政府采购代理服务费指导意见》代理招标收费基准费率计算，成交供应商在领取成交通知书前向采购代理机构支付采购代理服务费</w:t>
      </w:r>
      <w:bookmarkStart w:id="89" w:name="_Hlk168995390"/>
      <w:r>
        <w:rPr>
          <w:rFonts w:hint="eastAsia" w:ascii="宋体" w:hAnsi="宋体" w:cs="宋体"/>
          <w:szCs w:val="21"/>
        </w:rPr>
        <w:t xml:space="preserve">。</w:t>
      </w:r>
      <w:bookmarkEnd w:id="89"/>
      <w:r/>
      <w:bookmarkStart w:id="90" w:name="_Hlk66377575"/>
      <w:r/>
      <w:bookmarkEnd w:id="90"/>
      <w:r/>
      <w:r/>
    </w:p>
    <w:p>
      <w:pPr>
        <w:ind w:firstLine="420"/>
        <w:jc w:val="left"/>
        <w:spacing w:line="360" w:lineRule="auto"/>
        <w:rPr>
          <w:rFonts w:ascii="宋体" w:hAnsi="宋体" w:cs="宋体"/>
          <w:szCs w:val="21"/>
        </w:rPr>
      </w:pPr>
      <w:r>
        <w:rPr>
          <w:rFonts w:hint="eastAsia" w:ascii="宋体" w:hAnsi="宋体" w:cs="宋体"/>
          <w:szCs w:val="21"/>
        </w:rPr>
        <w:t xml:space="preserve">代理服务费汇款信息：单位名称：江苏国采工程咨询有限公司</w:t>
      </w:r>
      <w:r/>
    </w:p>
    <w:p>
      <w:pPr>
        <w:pStyle w:val="1000"/>
        <w:ind w:left="598" w:right="210" w:firstLine="1890"/>
        <w:spacing w:line="360" w:lineRule="auto"/>
        <w:rPr>
          <w:rFonts w:ascii="宋体" w:hAnsi="宋体" w:cs="宋体"/>
          <w:szCs w:val="21"/>
        </w:rPr>
      </w:pPr>
      <w:r>
        <w:rPr>
          <w:rFonts w:hint="eastAsia" w:ascii="宋体" w:hAnsi="宋体" w:cs="宋体"/>
          <w:szCs w:val="21"/>
        </w:rPr>
        <w:t xml:space="preserve"> 银行账户：3205 0159 5536 0000 1231</w:t>
      </w:r>
      <w:r/>
    </w:p>
    <w:p>
      <w:pPr>
        <w:pStyle w:val="1000"/>
        <w:ind w:left="598" w:right="210" w:firstLine="1995"/>
        <w:spacing w:line="360" w:lineRule="auto"/>
        <w:rPr>
          <w:rFonts w:ascii="宋体" w:hAnsi="宋体" w:cs="宋体"/>
          <w:szCs w:val="21"/>
        </w:rPr>
      </w:pPr>
      <w:r>
        <w:rPr>
          <w:rFonts w:hint="eastAsia" w:ascii="宋体" w:hAnsi="宋体" w:cs="宋体"/>
          <w:szCs w:val="21"/>
        </w:rPr>
        <w:t xml:space="preserve">开户行：中国建设银行股份有限公司南京鼓楼支行</w:t>
      </w:r>
      <w:r/>
    </w:p>
    <w:p>
      <w:pPr>
        <w:ind w:left="210" w:right="210" w:firstLine="422"/>
        <w:spacing w:line="360" w:lineRule="auto"/>
        <w:rPr>
          <w:rFonts w:ascii="宋体" w:hAnsi="宋体" w:cs="宋体"/>
          <w:b/>
          <w:bCs/>
          <w:szCs w:val="21"/>
        </w:rPr>
      </w:pPr>
      <w:r>
        <w:rPr>
          <w:rFonts w:hint="eastAsia" w:ascii="宋体" w:hAnsi="宋体" w:cs="宋体"/>
          <w:b/>
          <w:bCs/>
          <w:szCs w:val="21"/>
        </w:rPr>
        <w:t xml:space="preserve">注：代理服务费汇款时需备注汇款单位名称、项目名称、项目编号。</w:t>
      </w:r>
      <w:bookmarkEnd w:id="78"/>
      <w:r/>
      <w:bookmarkEnd w:id="79"/>
      <w:r/>
      <w:bookmarkEnd w:id="80"/>
      <w:r/>
      <w:bookmarkStart w:id="91" w:name="_Toc176878661"/>
      <w:r/>
      <w:bookmarkStart w:id="92" w:name="_Toc67494808"/>
      <w:r/>
      <w:bookmarkStart w:id="93" w:name="_Toc481057145"/>
      <w:r/>
      <w:bookmarkStart w:id="94" w:name="_Toc2754"/>
      <w:r/>
      <w:r/>
    </w:p>
    <w:p>
      <w:pPr>
        <w:ind w:left="210" w:right="210" w:firstLine="420"/>
        <w:spacing w:line="360" w:lineRule="auto"/>
        <w:rPr>
          <w:rFonts w:ascii="宋体" w:hAnsi="宋体" w:cs="宋体"/>
        </w:rPr>
      </w:pPr>
      <w:r>
        <w:rPr>
          <w:rFonts w:hint="eastAsia" w:ascii="宋体" w:hAnsi="宋体" w:cs="宋体"/>
          <w:szCs w:val="21"/>
        </w:rPr>
        <w:t xml:space="preserve">26.2</w:t>
      </w:r>
      <w:r>
        <w:rPr>
          <w:rFonts w:hint="eastAsia" w:ascii="宋体" w:hAnsi="宋体" w:cs="宋体"/>
        </w:rPr>
        <w:t xml:space="preserve"> </w:t>
      </w:r>
      <w:bookmarkStart w:id="95" w:name="OLE_LINK23"/>
      <w:r>
        <w:rPr>
          <w:rFonts w:hint="eastAsia" w:ascii="宋体" w:hAnsi="宋体" w:cs="宋体"/>
        </w:rPr>
        <w:t xml:space="preserve">专家评审费</w:t>
      </w:r>
      <w:bookmarkEnd w:id="86"/>
      <w:r/>
      <w:bookmarkEnd w:id="95"/>
      <w:r/>
      <w:r/>
    </w:p>
    <w:p>
      <w:pPr>
        <w:ind w:left="210" w:right="210" w:firstLine="420"/>
        <w:spacing w:line="360" w:lineRule="auto"/>
        <w:rPr>
          <w:rFonts w:ascii="宋体" w:hAnsi="宋体" w:cs="宋体"/>
        </w:rPr>
      </w:pPr>
      <w:r/>
      <w:bookmarkStart w:id="96" w:name="_Hlk228972201"/>
      <w:r>
        <w:rPr>
          <w:rFonts w:hint="eastAsia" w:ascii="宋体" w:hAnsi="宋体" w:cs="宋体"/>
          <w:szCs w:val="21"/>
        </w:rPr>
        <w:t xml:space="preserve">本项目专家评审费参照《关于规范江苏省政府采购专家评审费标准的通知》，由采购人支付。</w:t>
      </w:r>
      <w:bookmarkEnd w:id="87"/>
      <w:r/>
      <w:bookmarkEnd w:id="96"/>
      <w:r>
        <w:rPr>
          <w:rFonts w:hint="eastAsia" w:ascii="宋体" w:hAnsi="宋体" w:cs="宋体"/>
        </w:rPr>
        <w:br w:type="page" w:clear="all"/>
      </w:r>
      <w:r/>
    </w:p>
    <w:p>
      <w:pPr>
        <w:pStyle w:val="979"/>
        <w:numPr>
          <w:ilvl w:val="0"/>
          <w:numId w:val="0"/>
        </w:numPr>
        <w:spacing w:line="360" w:lineRule="auto"/>
        <w:rPr>
          <w:rFonts w:ascii="宋体" w:hAnsi="宋体" w:cs="宋体"/>
        </w:rPr>
      </w:pPr>
      <w:r>
        <w:rPr>
          <w:rFonts w:hint="eastAsia" w:ascii="宋体" w:hAnsi="宋体" w:cs="宋体"/>
        </w:rPr>
        <w:t xml:space="preserve">第三章 评标标准</w:t>
      </w:r>
      <w:bookmarkEnd w:id="91"/>
      <w:r/>
      <w:bookmarkEnd w:id="92"/>
      <w:r/>
      <w:r/>
    </w:p>
    <w:p>
      <w:pPr>
        <w:ind w:firstLine="420"/>
        <w:spacing w:line="360" w:lineRule="auto"/>
        <w:rPr>
          <w:rFonts w:ascii="宋体" w:hAnsi="宋体" w:cs="宋体"/>
          <w:szCs w:val="21"/>
        </w:rPr>
      </w:pPr>
      <w:r>
        <w:rPr>
          <w:rFonts w:hint="eastAsia" w:ascii="宋体" w:hAnsi="宋体" w:cs="宋体"/>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End w:id="93"/>
      <w:r/>
      <w:bookmarkEnd w:id="94"/>
      <w:r/>
      <w:r/>
    </w:p>
    <w:tbl>
      <w:tblPr>
        <w:tblStyle w:val="989"/>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270"/>
        <w:gridCol w:w="6569"/>
        <w:gridCol w:w="575"/>
        <w:gridCol w:w="789"/>
      </w:tblGrid>
      <w:tr>
        <w:trPr>
          <w:jc w:val="center"/>
          <w:trHeight w:val="563"/>
          <w:tblHeader/>
        </w:trPr>
        <w:tc>
          <w:tcPr>
            <w:tcW w:w="521" w:type="dxa"/>
            <w:vAlign w:val="center"/>
            <w:textDirection w:val="lrTb"/>
            <w:noWrap w:val="false"/>
          </w:tcPr>
          <w:p>
            <w:pPr>
              <w:jc w:val="center"/>
              <w:rPr>
                <w:rFonts w:ascii="宋体" w:hAnsi="宋体" w:cs="宋体"/>
                <w:b/>
                <w:bCs/>
              </w:rPr>
            </w:pPr>
            <w:r/>
            <w:bookmarkStart w:id="97" w:name="_Hlk44577066"/>
            <w:r/>
            <w:bookmarkStart w:id="98" w:name="_Hlk44580142"/>
            <w:r>
              <w:rPr>
                <w:rFonts w:hint="eastAsia" w:ascii="宋体" w:hAnsi="宋体" w:cs="宋体"/>
                <w:b/>
                <w:bCs/>
              </w:rPr>
              <w:t xml:space="preserve">序号</w:t>
            </w:r>
            <w:r/>
          </w:p>
        </w:tc>
        <w:tc>
          <w:tcPr>
            <w:tcW w:w="1270" w:type="dxa"/>
            <w:vAlign w:val="center"/>
            <w:textDirection w:val="lrTb"/>
            <w:noWrap w:val="false"/>
          </w:tcPr>
          <w:p>
            <w:pPr>
              <w:jc w:val="center"/>
              <w:rPr>
                <w:rFonts w:ascii="宋体" w:hAnsi="宋体" w:cs="宋体"/>
                <w:b/>
                <w:bCs/>
              </w:rPr>
            </w:pPr>
            <w:r>
              <w:rPr>
                <w:rFonts w:hint="eastAsia" w:ascii="宋体" w:hAnsi="宋体" w:cs="宋体"/>
                <w:b/>
                <w:bCs/>
              </w:rPr>
              <w:t xml:space="preserve">评分因素</w:t>
            </w:r>
            <w:r/>
          </w:p>
        </w:tc>
        <w:tc>
          <w:tcPr>
            <w:tcW w:w="6569" w:type="dxa"/>
            <w:vAlign w:val="center"/>
            <w:textDirection w:val="lrTb"/>
            <w:noWrap w:val="false"/>
          </w:tcPr>
          <w:p>
            <w:pPr>
              <w:jc w:val="center"/>
              <w:rPr>
                <w:rFonts w:ascii="宋体" w:hAnsi="宋体" w:cs="宋体"/>
                <w:b/>
                <w:bCs/>
              </w:rPr>
            </w:pPr>
            <w:r>
              <w:rPr>
                <w:rFonts w:hint="eastAsia" w:ascii="宋体" w:hAnsi="宋体" w:cs="宋体"/>
                <w:b/>
                <w:bCs/>
              </w:rPr>
              <w:t xml:space="preserve">评审标准</w:t>
            </w:r>
            <w:r/>
          </w:p>
        </w:tc>
        <w:tc>
          <w:tcPr>
            <w:tcW w:w="575" w:type="dxa"/>
            <w:vAlign w:val="center"/>
            <w:textDirection w:val="lrTb"/>
            <w:noWrap w:val="false"/>
          </w:tcPr>
          <w:p>
            <w:pPr>
              <w:jc w:val="center"/>
              <w:rPr>
                <w:rFonts w:ascii="宋体" w:hAnsi="宋体" w:cs="宋体"/>
                <w:b/>
                <w:bCs/>
              </w:rPr>
            </w:pPr>
            <w:r>
              <w:rPr>
                <w:rFonts w:hint="eastAsia" w:ascii="宋体" w:hAnsi="宋体" w:cs="宋体"/>
                <w:b/>
                <w:bCs/>
              </w:rPr>
              <w:t xml:space="preserve">分值</w:t>
            </w:r>
            <w:r/>
          </w:p>
        </w:tc>
        <w:tc>
          <w:tcPr>
            <w:tcW w:w="789" w:type="dxa"/>
            <w:vAlign w:val="center"/>
            <w:textDirection w:val="lrTb"/>
            <w:noWrap w:val="false"/>
          </w:tcPr>
          <w:p>
            <w:pPr>
              <w:jc w:val="center"/>
              <w:rPr>
                <w:rFonts w:ascii="宋体" w:hAnsi="宋体" w:cs="宋体"/>
                <w:b/>
                <w:bCs/>
              </w:rPr>
            </w:pPr>
            <w:r>
              <w:rPr>
                <w:rFonts w:hint="eastAsia" w:ascii="宋体" w:hAnsi="宋体" w:cs="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ascii="宋体" w:hAnsi="宋体" w:cs="宋体"/>
              </w:rPr>
            </w:pPr>
            <w:r>
              <w:rPr>
                <w:rFonts w:hint="eastAsia" w:ascii="宋体" w:hAnsi="宋体" w:cs="宋体"/>
                <w:b/>
                <w:bCs/>
              </w:rPr>
              <w:t xml:space="preserve">一、价格</w:t>
            </w:r>
            <w:bookmarkStart w:id="99" w:name="OLE_LINK30"/>
            <w:r>
              <w:rPr>
                <w:rFonts w:hint="eastAsia" w:ascii="宋体" w:hAnsi="宋体" w:cs="宋体"/>
                <w:b/>
                <w:bCs/>
              </w:rPr>
              <w:t xml:space="preserve"> </w:t>
            </w:r>
            <w:bookmarkEnd w:id="99"/>
            <w:r>
              <w:rPr>
                <w:rFonts w:hint="eastAsia" w:ascii="宋体" w:hAnsi="宋体" w:cs="宋体"/>
                <w:b/>
                <w:bCs/>
              </w:rPr>
              <w:t xml:space="preserve">10分</w:t>
            </w:r>
            <w:r/>
          </w:p>
        </w:tc>
      </w:tr>
      <w:tr>
        <w:trPr>
          <w:jc w:val="center"/>
          <w:trHeight w:val="398"/>
        </w:trPr>
        <w:tc>
          <w:tcPr>
            <w:tcW w:w="521" w:type="dxa"/>
            <w:vAlign w:val="center"/>
            <w:textDirection w:val="lrTb"/>
            <w:noWrap w:val="false"/>
          </w:tcPr>
          <w:p>
            <w:pPr>
              <w:jc w:val="center"/>
              <w:spacing w:line="360" w:lineRule="auto"/>
              <w:rPr>
                <w:rFonts w:ascii="宋体" w:hAnsi="宋体" w:cs="宋体"/>
              </w:rPr>
            </w:pPr>
            <w:r>
              <w:rPr>
                <w:rFonts w:hint="eastAsia" w:ascii="宋体" w:hAnsi="宋体" w:cs="宋体"/>
                <w:b/>
                <w:bCs/>
              </w:rPr>
              <w:t xml:space="preserve">1</w:t>
            </w:r>
            <w:r/>
          </w:p>
        </w:tc>
        <w:tc>
          <w:tcPr>
            <w:tcW w:w="1270" w:type="dxa"/>
            <w:vAlign w:val="center"/>
            <w:textDirection w:val="lrTb"/>
            <w:noWrap w:val="false"/>
          </w:tcPr>
          <w:p>
            <w:pPr>
              <w:jc w:val="center"/>
              <w:spacing w:line="360" w:lineRule="auto"/>
              <w:rPr>
                <w:rFonts w:ascii="宋体" w:hAnsi="宋体" w:cs="宋体"/>
              </w:rPr>
            </w:pPr>
            <w:r>
              <w:rPr>
                <w:rFonts w:hint="eastAsia" w:ascii="宋体" w:hAnsi="宋体" w:cs="宋体"/>
                <w:b/>
                <w:bCs/>
              </w:rPr>
              <w:t xml:space="preserve">价格</w:t>
            </w:r>
            <w:r/>
          </w:p>
        </w:tc>
        <w:tc>
          <w:tcPr>
            <w:tcW w:w="6569"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供应商的价格分统一采用低价优先法计算，即满足磋商文件要求且最后报价最低的供应商的价格为磋商基准价，其价格分为满分。其他供应商的价格分统一按照下列公式计算：磋商报价得分=（磋商基准价/最后磋商报价）×10（小数点保留两位）。</w:t>
            </w:r>
            <w:r/>
          </w:p>
        </w:tc>
        <w:tc>
          <w:tcPr>
            <w:tcW w:w="5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W w:w="78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ascii="宋体" w:hAnsi="宋体" w:cs="宋体"/>
              </w:rPr>
            </w:pPr>
            <w:r>
              <w:rPr>
                <w:rFonts w:hint="eastAsia" w:ascii="宋体" w:hAnsi="宋体" w:cs="宋体"/>
                <w:b/>
                <w:szCs w:val="21"/>
              </w:rPr>
              <w:t xml:space="preserve">二、商务</w:t>
            </w:r>
            <w:r>
              <w:rPr>
                <w:rFonts w:hint="eastAsia" w:ascii="宋体" w:hAnsi="宋体" w:cs="宋体"/>
                <w:b/>
                <w:bCs/>
              </w:rPr>
              <w:t xml:space="preserve">29</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1</w:t>
            </w:r>
            <w:r/>
          </w:p>
        </w:tc>
        <w:tc>
          <w:tcPr>
            <w:tcW w:w="127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业绩</w:t>
            </w:r>
            <w:r/>
          </w:p>
        </w:tc>
        <w:tc>
          <w:tcPr>
            <w:tcW w:w="6569"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供应商自2022年1月1日（含）以来具有信息化运维项目案例，每提供1个案例合同得3分，最高得9分。</w:t>
            </w:r>
            <w:r/>
          </w:p>
          <w:p>
            <w:pPr>
              <w:jc w:val="left"/>
              <w:spacing w:line="360" w:lineRule="auto"/>
              <w:rPr>
                <w:rFonts w:ascii="宋体" w:hAnsi="宋体" w:cs="宋体"/>
              </w:rPr>
            </w:pPr>
            <w:r>
              <w:rPr>
                <w:rFonts w:hint="eastAsia" w:ascii="宋体" w:hAnsi="宋体" w:cs="宋体"/>
                <w:b/>
                <w:bCs/>
              </w:rPr>
              <w:t xml:space="preserve">（时间以合同签订时间为准，提供有效合同复印件并加盖公章，合同页须清晰可见相应内容）</w:t>
            </w:r>
            <w:r/>
          </w:p>
        </w:tc>
        <w:tc>
          <w:tcPr>
            <w:tcW w:w="575"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客观分</w:t>
            </w:r>
            <w:r/>
          </w:p>
        </w:tc>
      </w:tr>
      <w:tr>
        <w:trPr>
          <w:jc w:val="center"/>
          <w:trHeight w:val="90"/>
        </w:trPr>
        <w:tc>
          <w:tcPr>
            <w:tcW w:w="521" w:type="dxa"/>
            <w:vAlign w:val="center"/>
            <w:textDirection w:val="lrTb"/>
            <w:noWrap w:val="false"/>
          </w:tcPr>
          <w:p>
            <w:pPr>
              <w:jc w:val="center"/>
              <w:spacing w:line="360" w:lineRule="auto"/>
              <w:rPr>
                <w:rFonts w:ascii="宋体" w:hAnsi="宋体" w:cs="宋体"/>
                <w:b/>
                <w:bCs/>
              </w:rPr>
            </w:pPr>
            <w:r/>
            <w:bookmarkStart w:id="100" w:name="OLE_LINK34"/>
            <w:r>
              <w:rPr>
                <w:rFonts w:hint="eastAsia" w:ascii="宋体" w:hAnsi="宋体" w:cs="宋体"/>
                <w:b/>
                <w:bCs/>
              </w:rPr>
              <w:t xml:space="preserve">2</w:t>
            </w:r>
            <w:r/>
          </w:p>
        </w:tc>
        <w:tc>
          <w:tcPr>
            <w:tcW w:w="127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项目总负责人（项目总负责人与技术负责人不得为同一人）</w:t>
            </w:r>
            <w:r/>
          </w:p>
        </w:tc>
        <w:tc>
          <w:tcPr>
            <w:tcW w:w="6569"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供应商拟投入本项目的项目总负责人具有高级信息系统项目管理师证书，得4分，未提供不得分。</w:t>
            </w:r>
            <w:r/>
          </w:p>
          <w:p>
            <w:pPr>
              <w:jc w:val="left"/>
              <w:spacing w:line="360" w:lineRule="auto"/>
              <w:rPr>
                <w:rFonts w:ascii="宋体" w:hAnsi="宋体" w:cs="宋体"/>
              </w:rPr>
            </w:pPr>
            <w:r>
              <w:rPr>
                <w:rFonts w:hint="eastAsia" w:ascii="宋体" w:hAnsi="宋体" w:cs="宋体"/>
                <w:b/>
                <w:bCs/>
              </w:rPr>
              <w:t xml:space="preserve">（提供人员有效证书复印件以及投标前</w:t>
            </w:r>
            <w:r>
              <w:rPr>
                <w:rFonts w:hint="eastAsia" w:ascii="宋体" w:hAnsi="宋体" w:cs="宋体"/>
                <w:b/>
                <w:bCs/>
                <w:szCs w:val="21"/>
              </w:rPr>
              <w:t xml:space="preserve">3个月内任意1个月供应商为其缴纳的社保证明材料扫描件加盖供应商公章</w:t>
            </w:r>
            <w:r>
              <w:rPr>
                <w:rFonts w:hint="eastAsia" w:ascii="宋体" w:hAnsi="宋体" w:cs="宋体"/>
                <w:b/>
                <w:bCs/>
              </w:rPr>
              <w:t xml:space="preserve">，未提供的不得分。）</w:t>
            </w:r>
            <w:r/>
          </w:p>
        </w:tc>
        <w:tc>
          <w:tcPr>
            <w:tcW w:w="575"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4</w:t>
            </w:r>
            <w:r/>
          </w:p>
        </w:tc>
        <w:tc>
          <w:tcPr>
            <w:tcW w:w="789"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3</w:t>
            </w:r>
            <w:r/>
          </w:p>
        </w:tc>
        <w:tc>
          <w:tcPr>
            <w:tcW w:w="127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技术负责人（项目总负责人与技术负责人不得为同一人）</w:t>
            </w:r>
            <w:r/>
          </w:p>
        </w:tc>
        <w:tc>
          <w:tcPr>
            <w:tcW w:w="6569"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供应商拟投入本项目的技术负责人具有电子信息类高级及以上职称证书，得4分，未提供不得分。</w:t>
            </w:r>
            <w:r/>
          </w:p>
          <w:p>
            <w:pPr>
              <w:jc w:val="left"/>
              <w:spacing w:line="360" w:lineRule="auto"/>
              <w:rPr>
                <w:rFonts w:ascii="宋体" w:hAnsi="宋体" w:cs="宋体"/>
              </w:rPr>
            </w:pPr>
            <w:r>
              <w:rPr>
                <w:rFonts w:hint="eastAsia" w:ascii="宋体" w:hAnsi="宋体" w:cs="宋体"/>
                <w:b/>
                <w:bCs/>
              </w:rPr>
              <w:t xml:space="preserve">（提供职称证书复印件以及投标前</w:t>
            </w:r>
            <w:r>
              <w:rPr>
                <w:rFonts w:hint="eastAsia" w:ascii="宋体" w:hAnsi="宋体" w:cs="宋体"/>
                <w:b/>
                <w:bCs/>
                <w:szCs w:val="21"/>
              </w:rPr>
              <w:t xml:space="preserve">3个月内任意1个月供应商为其缴纳的社保证明材料扫描件加盖供应商公章</w:t>
            </w:r>
            <w:r>
              <w:rPr>
                <w:rFonts w:hint="eastAsia" w:ascii="宋体" w:hAnsi="宋体" w:cs="宋体"/>
                <w:b/>
                <w:bCs/>
              </w:rPr>
              <w:t xml:space="preserve">，未提供的不得分。）</w:t>
            </w:r>
            <w:r/>
          </w:p>
        </w:tc>
        <w:tc>
          <w:tcPr>
            <w:tcW w:w="575"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4</w:t>
            </w:r>
            <w:r/>
          </w:p>
        </w:tc>
        <w:tc>
          <w:tcPr>
            <w:tcW w:w="789"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4</w:t>
            </w:r>
            <w:r/>
          </w:p>
        </w:tc>
        <w:tc>
          <w:tcPr>
            <w:tcW w:w="127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项目团队</w:t>
            </w:r>
            <w:r/>
          </w:p>
          <w:p>
            <w:pPr>
              <w:jc w:val="center"/>
              <w:spacing w:line="360" w:lineRule="auto"/>
              <w:rPr>
                <w:rFonts w:ascii="宋体" w:hAnsi="宋体" w:cs="宋体"/>
                <w:b/>
                <w:bCs/>
              </w:rPr>
            </w:pPr>
            <w:r>
              <w:rPr>
                <w:rFonts w:hint="eastAsia" w:ascii="宋体" w:hAnsi="宋体" w:cs="宋体"/>
                <w:b/>
                <w:bCs/>
              </w:rPr>
              <w:t xml:space="preserve">（不含项目总负责人及技术负责人）</w:t>
            </w:r>
            <w:r/>
          </w:p>
        </w:tc>
        <w:tc>
          <w:tcPr>
            <w:tcW w:w="6569"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供应商拟投入本项目的实施团队其他成员（不含项目总负责人及技术负责人）具有电子信息类中级及以上职称、软件设计师、系统集成项目管理工程师、网络工程师、注册信息安全专业人员（CISP）、信息安全保障人员认证证书（CISAW）。每提供一类证书得2分，最高得12分。（一人多证不可兼得）。 </w:t>
            </w:r>
            <w:r/>
          </w:p>
          <w:p>
            <w:pPr>
              <w:jc w:val="left"/>
              <w:spacing w:line="360" w:lineRule="auto"/>
              <w:rPr>
                <w:rFonts w:ascii="宋体" w:hAnsi="宋体" w:cs="宋体"/>
              </w:rPr>
            </w:pPr>
            <w:r>
              <w:rPr>
                <w:rFonts w:hint="eastAsia" w:ascii="宋体" w:hAnsi="宋体" w:cs="宋体"/>
                <w:b/>
                <w:bCs/>
              </w:rPr>
              <w:t xml:space="preserve">（提供人员有效证书复印件以及投标前</w:t>
            </w:r>
            <w:r>
              <w:rPr>
                <w:rFonts w:hint="eastAsia" w:ascii="宋体" w:hAnsi="宋体" w:cs="宋体"/>
                <w:b/>
                <w:bCs/>
                <w:szCs w:val="21"/>
              </w:rPr>
              <w:t xml:space="preserve">3个月内任意1个月供应商为其缴纳的社保证明材料扫描件加盖供应商公章</w:t>
            </w:r>
            <w:r>
              <w:rPr>
                <w:rFonts w:hint="eastAsia" w:ascii="宋体" w:hAnsi="宋体" w:cs="宋体"/>
                <w:b/>
                <w:bCs/>
              </w:rPr>
              <w:t xml:space="preserve">，未提供的不得分。）</w:t>
            </w:r>
            <w:r/>
          </w:p>
        </w:tc>
        <w:tc>
          <w:tcPr>
            <w:tcW w:w="575"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12</w:t>
            </w:r>
            <w:r/>
          </w:p>
        </w:tc>
        <w:tc>
          <w:tcPr>
            <w:tcW w:w="789"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客观分</w:t>
            </w:r>
            <w:r/>
          </w:p>
        </w:tc>
      </w:tr>
      <w:tr>
        <w:trPr>
          <w:jc w:val="center"/>
          <w:trHeight w:val="323"/>
        </w:trPr>
        <w:tc>
          <w:tcPr>
            <w:gridSpan w:val="5"/>
            <w:tcW w:w="9724" w:type="dxa"/>
            <w:vAlign w:val="center"/>
            <w:textDirection w:val="lrTb"/>
            <w:noWrap w:val="false"/>
          </w:tcPr>
          <w:p>
            <w:pPr>
              <w:jc w:val="center"/>
              <w:rPr>
                <w:rFonts w:ascii="宋体" w:hAnsi="宋体" w:cs="宋体"/>
              </w:rPr>
            </w:pPr>
            <w:r>
              <w:rPr>
                <w:rFonts w:hint="eastAsia" w:ascii="宋体" w:hAnsi="宋体" w:cs="宋体"/>
                <w:b/>
                <w:szCs w:val="21"/>
              </w:rPr>
              <w:t xml:space="preserve">三、技术 61分</w:t>
            </w:r>
            <w:bookmarkEnd w:id="100"/>
            <w:r/>
            <w:r/>
          </w:p>
        </w:tc>
      </w:tr>
      <w:tr>
        <w:trPr>
          <w:jc w:val="center"/>
          <w:trHeight w:val="410"/>
        </w:trPr>
        <w:tc>
          <w:tcPr>
            <w:tcW w:w="52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1</w:t>
            </w:r>
            <w:r/>
          </w:p>
        </w:tc>
        <w:tc>
          <w:tcPr>
            <w:tcW w:w="127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运维需求理解分析</w:t>
            </w:r>
            <w:r/>
          </w:p>
        </w:tc>
        <w:tc>
          <w:tcPr>
            <w:tcW w:w="6569" w:type="dxa"/>
            <w:vAlign w:val="center"/>
            <w:textDirection w:val="lrTb"/>
            <w:noWrap w:val="false"/>
          </w:tcPr>
          <w:p>
            <w:pPr>
              <w:jc w:val="left"/>
              <w:spacing w:line="360" w:lineRule="auto"/>
              <w:rPr>
                <w:rFonts w:ascii="宋体" w:hAnsi="宋体" w:cs="宋体"/>
                <w:b/>
                <w:bCs/>
              </w:rPr>
            </w:pPr>
            <w:r>
              <w:rPr>
                <w:rFonts w:hint="eastAsia" w:ascii="宋体" w:hAnsi="宋体" w:cs="宋体"/>
                <w:b/>
                <w:bCs/>
              </w:rPr>
              <w:t xml:space="preserve">评委根据供应商提供的需求理解材料综合评分，包括：1.项目整体运维需求理解分析；2.项目整体运维重难点理解分析；以上每项内容逐条阐述。</w:t>
            </w:r>
            <w:r/>
          </w:p>
          <w:p>
            <w:pPr>
              <w:jc w:val="left"/>
              <w:spacing w:line="360" w:lineRule="auto"/>
              <w:rPr>
                <w:rFonts w:ascii="宋体" w:hAnsi="宋体" w:cs="宋体"/>
              </w:rPr>
            </w:pPr>
            <w:r>
              <w:rPr>
                <w:rFonts w:hint="eastAsia" w:ascii="宋体" w:hAnsi="宋体" w:cs="宋体"/>
              </w:rPr>
              <w:t xml:space="preserve">（1）以上每项方案完整、思路清晰，能把握重点、难点的得4分/项； </w:t>
            </w:r>
            <w:r/>
          </w:p>
          <w:p>
            <w:pPr>
              <w:jc w:val="left"/>
              <w:spacing w:line="360" w:lineRule="auto"/>
              <w:rPr>
                <w:rFonts w:ascii="宋体" w:hAnsi="宋体" w:cs="宋体"/>
              </w:rPr>
            </w:pPr>
            <w:r>
              <w:rPr>
                <w:rFonts w:hint="eastAsia" w:ascii="宋体" w:hAnsi="宋体" w:cs="宋体"/>
              </w:rPr>
              <w:t xml:space="preserve">（2）以上每项内容片面，未完全贴合项目实际情况，有瑕疵和轻微偏差的得2分/项； </w:t>
            </w:r>
            <w:r/>
          </w:p>
          <w:p>
            <w:pPr>
              <w:jc w:val="left"/>
              <w:spacing w:line="360" w:lineRule="auto"/>
              <w:rPr>
                <w:rFonts w:ascii="宋体" w:hAnsi="宋体" w:cs="宋体"/>
              </w:rPr>
            </w:pPr>
            <w:r>
              <w:rPr>
                <w:rFonts w:hint="eastAsia" w:ascii="宋体" w:hAnsi="宋体" w:cs="宋体"/>
              </w:rPr>
              <w:t xml:space="preserve">（3）以上每项缺少对应方案的，该项不得分。</w:t>
            </w:r>
            <w:r/>
          </w:p>
        </w:tc>
        <w:tc>
          <w:tcPr>
            <w:tcW w:w="575"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W w:w="789"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主观分</w:t>
            </w:r>
            <w:r/>
          </w:p>
        </w:tc>
      </w:tr>
      <w:tr>
        <w:trPr>
          <w:jc w:val="center"/>
          <w:trHeight w:val="410"/>
        </w:trPr>
        <w:tc>
          <w:tcPr>
            <w:tcW w:w="52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2</w:t>
            </w:r>
            <w:r/>
          </w:p>
        </w:tc>
        <w:tc>
          <w:tcPr>
            <w:tcW w:w="127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运维服务保障方案及应急预案</w:t>
            </w:r>
            <w:r/>
          </w:p>
        </w:tc>
        <w:tc>
          <w:tcPr>
            <w:tcW w:w="6569" w:type="dxa"/>
            <w:vAlign w:val="center"/>
            <w:textDirection w:val="lrTb"/>
            <w:noWrap w:val="false"/>
          </w:tcPr>
          <w:p>
            <w:pPr>
              <w:jc w:val="left"/>
              <w:spacing w:line="360" w:lineRule="auto"/>
              <w:rPr>
                <w:rFonts w:ascii="宋体" w:hAnsi="宋体" w:cs="宋体"/>
                <w:b/>
                <w:bCs/>
              </w:rPr>
            </w:pPr>
            <w:r>
              <w:rPr>
                <w:rFonts w:hint="eastAsia" w:ascii="宋体" w:hAnsi="宋体" w:cs="宋体"/>
                <w:b/>
                <w:bCs/>
              </w:rPr>
              <w:t xml:space="preserve">评委根据供应商提供的项目运维服务保障方案及应急预案综合评分，包括：1.项目整体运维服务保障方案；2.项目整体运维服务应急预案；3.运维服务承诺情况，服务承诺的可行性、完整性以及服务承诺落实的保障措施。以上每项内容逐条阐述。</w:t>
            </w:r>
            <w:r/>
          </w:p>
          <w:p>
            <w:pPr>
              <w:jc w:val="left"/>
              <w:spacing w:line="360" w:lineRule="auto"/>
              <w:rPr>
                <w:rFonts w:ascii="宋体" w:hAnsi="宋体" w:cs="宋体"/>
              </w:rPr>
            </w:pPr>
            <w:r>
              <w:rPr>
                <w:rFonts w:hint="eastAsia" w:ascii="宋体" w:hAnsi="宋体" w:cs="宋体"/>
              </w:rPr>
              <w:t xml:space="preserve">（1）以上每项方案完整、思路清晰，能把握重点、难点的得4分/项； </w:t>
            </w:r>
            <w:r/>
          </w:p>
          <w:p>
            <w:pPr>
              <w:jc w:val="left"/>
              <w:spacing w:line="360" w:lineRule="auto"/>
              <w:rPr>
                <w:rFonts w:ascii="宋体" w:hAnsi="宋体" w:cs="宋体"/>
              </w:rPr>
            </w:pPr>
            <w:r>
              <w:rPr>
                <w:rFonts w:hint="eastAsia" w:ascii="宋体" w:hAnsi="宋体" w:cs="宋体"/>
              </w:rPr>
              <w:t xml:space="preserve">（2）以上每项内容片面，未完全贴合项目实际情况，有瑕疵和轻微偏差的得2分/项； </w:t>
            </w:r>
            <w:r/>
          </w:p>
          <w:p>
            <w:pPr>
              <w:jc w:val="left"/>
              <w:spacing w:line="360" w:lineRule="auto"/>
              <w:rPr>
                <w:rFonts w:ascii="宋体" w:hAnsi="宋体" w:cs="宋体"/>
              </w:rPr>
            </w:pPr>
            <w:r>
              <w:rPr>
                <w:rFonts w:hint="eastAsia" w:ascii="宋体" w:hAnsi="宋体" w:cs="宋体"/>
              </w:rPr>
              <w:t xml:space="preserve">（3）以上每项缺少对应方案的，该项不得分。</w:t>
            </w:r>
            <w:r/>
          </w:p>
        </w:tc>
        <w:tc>
          <w:tcPr>
            <w:tcW w:w="575"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12</w:t>
            </w:r>
            <w:r/>
          </w:p>
        </w:tc>
        <w:tc>
          <w:tcPr>
            <w:tcW w:w="789"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主观分</w:t>
            </w:r>
            <w:r/>
          </w:p>
        </w:tc>
      </w:tr>
      <w:tr>
        <w:trPr>
          <w:jc w:val="center"/>
          <w:trHeight w:val="410"/>
        </w:trPr>
        <w:tc>
          <w:tcPr>
            <w:tcW w:w="52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3</w:t>
            </w:r>
            <w:r/>
          </w:p>
        </w:tc>
        <w:tc>
          <w:tcPr>
            <w:tcW w:w="127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项目实施方案</w:t>
            </w:r>
            <w:r/>
          </w:p>
        </w:tc>
        <w:tc>
          <w:tcPr>
            <w:tcW w:w="6569" w:type="dxa"/>
            <w:vAlign w:val="center"/>
            <w:textDirection w:val="lrTb"/>
            <w:noWrap w:val="false"/>
          </w:tcPr>
          <w:p>
            <w:pPr>
              <w:jc w:val="left"/>
              <w:spacing w:line="360" w:lineRule="auto"/>
              <w:rPr>
                <w:rFonts w:ascii="宋体" w:hAnsi="宋体" w:cs="宋体"/>
                <w:b/>
                <w:bCs/>
              </w:rPr>
            </w:pPr>
            <w:r>
              <w:rPr>
                <w:rFonts w:hint="eastAsia" w:ascii="宋体" w:hAnsi="宋体" w:cs="宋体"/>
                <w:b/>
                <w:bCs/>
              </w:rPr>
              <w:t xml:space="preserve">评委根据供应商提供的项目实施方案综合评分，包括：1.实施流程及进度安排；2.软件运维服务措施；3.数据运维服务措施；4.技术服务支撑措施。以上每项内容逐条阐述。</w:t>
            </w:r>
            <w:r/>
          </w:p>
          <w:p>
            <w:pPr>
              <w:jc w:val="left"/>
              <w:spacing w:line="360" w:lineRule="auto"/>
              <w:rPr>
                <w:rFonts w:ascii="宋体" w:hAnsi="宋体" w:cs="宋体"/>
              </w:rPr>
            </w:pPr>
            <w:r>
              <w:rPr>
                <w:rFonts w:hint="eastAsia" w:ascii="宋体" w:hAnsi="宋体" w:cs="宋体"/>
              </w:rPr>
              <w:t xml:space="preserve">（1）以上每项方案完整、思路清晰，能把握重点、难点的得3分/项； </w:t>
            </w:r>
            <w:r/>
          </w:p>
          <w:p>
            <w:pPr>
              <w:jc w:val="left"/>
              <w:spacing w:line="360" w:lineRule="auto"/>
              <w:rPr>
                <w:rFonts w:ascii="宋体" w:hAnsi="宋体" w:cs="宋体"/>
              </w:rPr>
            </w:pPr>
            <w:r>
              <w:rPr>
                <w:rFonts w:hint="eastAsia" w:ascii="宋体" w:hAnsi="宋体" w:cs="宋体"/>
              </w:rPr>
              <w:t xml:space="preserve">（2）以上每项内容片面，未完全贴合项目实际情况，有瑕疵和轻微偏差的得1分/项； </w:t>
            </w:r>
            <w:r/>
          </w:p>
          <w:p>
            <w:pPr>
              <w:jc w:val="left"/>
              <w:spacing w:line="360" w:lineRule="auto"/>
              <w:rPr>
                <w:rFonts w:ascii="宋体" w:hAnsi="宋体" w:cs="宋体"/>
              </w:rPr>
            </w:pPr>
            <w:r>
              <w:rPr>
                <w:rFonts w:hint="eastAsia" w:ascii="宋体" w:hAnsi="宋体" w:cs="宋体"/>
              </w:rPr>
              <w:t xml:space="preserve">（3）以上每项缺少对应方案的，该项不得分。</w:t>
            </w:r>
            <w:r/>
          </w:p>
        </w:tc>
        <w:tc>
          <w:tcPr>
            <w:tcW w:w="575"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12</w:t>
            </w:r>
            <w:r/>
          </w:p>
        </w:tc>
        <w:tc>
          <w:tcPr>
            <w:tcW w:w="789"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主观分</w:t>
            </w:r>
            <w:r/>
          </w:p>
        </w:tc>
      </w:tr>
      <w:tr>
        <w:trPr>
          <w:jc w:val="center"/>
          <w:trHeight w:val="410"/>
        </w:trPr>
        <w:tc>
          <w:tcPr>
            <w:tcW w:w="52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4</w:t>
            </w:r>
            <w:r/>
          </w:p>
        </w:tc>
        <w:tc>
          <w:tcPr>
            <w:tcW w:w="127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项目管理方案</w:t>
            </w:r>
            <w:r/>
          </w:p>
        </w:tc>
        <w:tc>
          <w:tcPr>
            <w:tcW w:w="6569" w:type="dxa"/>
            <w:vAlign w:val="center"/>
            <w:textDirection w:val="lrTb"/>
            <w:noWrap w:val="false"/>
          </w:tcPr>
          <w:p>
            <w:pPr>
              <w:jc w:val="left"/>
              <w:spacing w:line="360" w:lineRule="auto"/>
              <w:rPr>
                <w:rFonts w:ascii="宋体" w:hAnsi="宋体" w:cs="宋体"/>
                <w:b/>
                <w:bCs/>
              </w:rPr>
            </w:pPr>
            <w:r>
              <w:rPr>
                <w:rFonts w:hint="eastAsia" w:ascii="宋体" w:hAnsi="宋体" w:cs="宋体"/>
                <w:b/>
                <w:bCs/>
              </w:rPr>
              <w:t xml:space="preserve">评委根据供应商提供的项目管理方案综合评分，包括：1.项目管理措施；2.项目组织设置及人员分工；3.项目安全及风险管理。以上每项内容逐条阐述。 </w:t>
            </w:r>
            <w:r/>
          </w:p>
          <w:p>
            <w:pPr>
              <w:jc w:val="left"/>
              <w:spacing w:line="360" w:lineRule="auto"/>
              <w:rPr>
                <w:rFonts w:ascii="宋体" w:hAnsi="宋体" w:cs="宋体"/>
              </w:rPr>
            </w:pPr>
            <w:r>
              <w:rPr>
                <w:rFonts w:hint="eastAsia" w:ascii="宋体" w:hAnsi="宋体" w:cs="宋体"/>
              </w:rPr>
              <w:t xml:space="preserve">（1）以上每项方案完整、思路清晰，能把握重点、难点的得3分/项； </w:t>
            </w:r>
            <w:r/>
          </w:p>
          <w:p>
            <w:pPr>
              <w:jc w:val="left"/>
              <w:spacing w:line="360" w:lineRule="auto"/>
              <w:rPr>
                <w:rFonts w:ascii="宋体" w:hAnsi="宋体" w:cs="宋体"/>
              </w:rPr>
            </w:pPr>
            <w:r>
              <w:rPr>
                <w:rFonts w:hint="eastAsia" w:ascii="宋体" w:hAnsi="宋体" w:cs="宋体"/>
              </w:rPr>
              <w:t xml:space="preserve">（2）以上每项内容片面，未完全贴合项目实际情况，有瑕疵和轻微偏差的得1分/项； </w:t>
            </w:r>
            <w:r/>
          </w:p>
          <w:p>
            <w:pPr>
              <w:jc w:val="left"/>
              <w:spacing w:line="360" w:lineRule="auto"/>
              <w:rPr>
                <w:rFonts w:ascii="宋体" w:hAnsi="宋体" w:cs="宋体"/>
              </w:rPr>
            </w:pPr>
            <w:r>
              <w:rPr>
                <w:rFonts w:hint="eastAsia" w:ascii="宋体" w:hAnsi="宋体" w:cs="宋体"/>
              </w:rPr>
              <w:t xml:space="preserve">（3）以上每项缺少对应方案的，该项不得分。</w:t>
            </w:r>
            <w:r/>
          </w:p>
        </w:tc>
        <w:tc>
          <w:tcPr>
            <w:tcW w:w="575"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主观分</w:t>
            </w:r>
            <w:r/>
          </w:p>
        </w:tc>
      </w:tr>
      <w:tr>
        <w:trPr>
          <w:jc w:val="center"/>
          <w:trHeight w:val="410"/>
        </w:trPr>
        <w:tc>
          <w:tcPr>
            <w:tcW w:w="52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5</w:t>
            </w:r>
            <w:r/>
          </w:p>
        </w:tc>
        <w:tc>
          <w:tcPr>
            <w:tcW w:w="127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项目培训方案</w:t>
            </w:r>
            <w:r/>
          </w:p>
        </w:tc>
        <w:tc>
          <w:tcPr>
            <w:tcW w:w="6569" w:type="dxa"/>
            <w:vAlign w:val="center"/>
            <w:textDirection w:val="lrTb"/>
            <w:noWrap w:val="false"/>
          </w:tcPr>
          <w:p>
            <w:pPr>
              <w:jc w:val="left"/>
              <w:spacing w:line="360" w:lineRule="auto"/>
              <w:rPr>
                <w:rFonts w:ascii="宋体" w:hAnsi="宋体" w:cs="宋体"/>
                <w:b/>
                <w:bCs/>
              </w:rPr>
            </w:pPr>
            <w:r>
              <w:rPr>
                <w:rFonts w:hint="eastAsia" w:ascii="宋体" w:hAnsi="宋体" w:cs="宋体"/>
                <w:b/>
                <w:bCs/>
              </w:rPr>
              <w:t xml:space="preserve">评委根据供应商提供的项目培训方案综合评分，包括：1.培训计划；2.培训内容；3.培训方式；4.培训效果评估。以上每项内容逐条阐述。 </w:t>
            </w:r>
            <w:r/>
          </w:p>
          <w:p>
            <w:pPr>
              <w:jc w:val="left"/>
              <w:spacing w:line="360" w:lineRule="auto"/>
              <w:rPr>
                <w:rFonts w:ascii="宋体" w:hAnsi="宋体" w:cs="宋体"/>
              </w:rPr>
            </w:pPr>
            <w:r>
              <w:rPr>
                <w:rFonts w:hint="eastAsia" w:ascii="宋体" w:hAnsi="宋体" w:cs="宋体"/>
              </w:rPr>
              <w:t xml:space="preserve">（1）以上每项方案完整、思路清晰，能把握重点、难点的得2分/项； </w:t>
            </w:r>
            <w:r/>
          </w:p>
          <w:p>
            <w:pPr>
              <w:jc w:val="left"/>
              <w:spacing w:line="360" w:lineRule="auto"/>
              <w:rPr>
                <w:rFonts w:ascii="宋体" w:hAnsi="宋体" w:cs="宋体"/>
              </w:rPr>
            </w:pPr>
            <w:r>
              <w:rPr>
                <w:rFonts w:hint="eastAsia" w:ascii="宋体" w:hAnsi="宋体" w:cs="宋体"/>
              </w:rPr>
              <w:t xml:space="preserve">（2）以上每项内容片面，未完全贴合项目实际情况，有瑕疵和轻微偏差的得1分/项； </w:t>
            </w:r>
            <w:r/>
          </w:p>
          <w:p>
            <w:pPr>
              <w:jc w:val="left"/>
              <w:spacing w:line="360" w:lineRule="auto"/>
              <w:rPr>
                <w:rFonts w:ascii="宋体" w:hAnsi="宋体" w:cs="宋体"/>
              </w:rPr>
            </w:pPr>
            <w:r>
              <w:rPr>
                <w:rFonts w:hint="eastAsia" w:ascii="宋体" w:hAnsi="宋体" w:cs="宋体"/>
              </w:rPr>
              <w:t xml:space="preserve">（3）以上每项缺少对应方案的，该项不得分。</w:t>
            </w:r>
            <w:r/>
          </w:p>
        </w:tc>
        <w:tc>
          <w:tcPr>
            <w:tcW w:w="575"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8</w:t>
            </w:r>
            <w:r/>
          </w:p>
        </w:tc>
        <w:tc>
          <w:tcPr>
            <w:tcW w:w="789"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主观分</w:t>
            </w:r>
            <w:r/>
          </w:p>
        </w:tc>
      </w:tr>
      <w:tr>
        <w:trPr>
          <w:jc w:val="center"/>
          <w:trHeight w:val="410"/>
        </w:trPr>
        <w:tc>
          <w:tcPr>
            <w:tcW w:w="52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6</w:t>
            </w:r>
            <w:r/>
          </w:p>
        </w:tc>
        <w:tc>
          <w:tcPr>
            <w:tcW w:w="127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业务系统运维服务响应方案</w:t>
            </w:r>
            <w:r/>
          </w:p>
        </w:tc>
        <w:tc>
          <w:tcPr>
            <w:tcW w:w="6569" w:type="dxa"/>
            <w:vAlign w:val="center"/>
            <w:textDirection w:val="lrTb"/>
            <w:noWrap w:val="false"/>
          </w:tcPr>
          <w:p>
            <w:pPr>
              <w:jc w:val="left"/>
              <w:spacing w:line="360" w:lineRule="auto"/>
              <w:rPr>
                <w:rFonts w:ascii="宋体" w:hAnsi="宋体" w:cs="宋体"/>
                <w:b/>
                <w:bCs/>
              </w:rPr>
            </w:pPr>
            <w:r>
              <w:rPr>
                <w:rFonts w:hint="eastAsia" w:ascii="宋体" w:hAnsi="宋体" w:cs="宋体"/>
                <w:b/>
                <w:bCs/>
              </w:rPr>
              <w:t xml:space="preserve">评委根据供应商提供的业务系统运维服务响应方案综合评分，包括1.运维服务目标；2.运维服务响应机制；3.运维服务流程；4.运维服务质量管理。以上每项内容逐条阐述。 </w:t>
            </w:r>
            <w:r/>
          </w:p>
          <w:p>
            <w:pPr>
              <w:jc w:val="left"/>
              <w:spacing w:line="360" w:lineRule="auto"/>
              <w:rPr>
                <w:rFonts w:ascii="宋体" w:hAnsi="宋体" w:cs="宋体"/>
              </w:rPr>
            </w:pPr>
            <w:r>
              <w:rPr>
                <w:rFonts w:hint="eastAsia" w:ascii="宋体" w:hAnsi="宋体" w:cs="宋体"/>
              </w:rPr>
              <w:t xml:space="preserve">（1）以上每项方案完整、思路清晰，能把握重点、难点的得3分/项； </w:t>
            </w:r>
            <w:r/>
          </w:p>
          <w:p>
            <w:pPr>
              <w:jc w:val="left"/>
              <w:spacing w:line="360" w:lineRule="auto"/>
              <w:rPr>
                <w:rFonts w:ascii="宋体" w:hAnsi="宋体" w:cs="宋体"/>
              </w:rPr>
            </w:pPr>
            <w:r>
              <w:rPr>
                <w:rFonts w:hint="eastAsia" w:ascii="宋体" w:hAnsi="宋体" w:cs="宋体"/>
              </w:rPr>
              <w:t xml:space="preserve">（2）以上每项内容片面，未完全贴合项目实际情况，有瑕疵和轻微偏差的得1分/项； </w:t>
            </w:r>
            <w:r/>
          </w:p>
          <w:p>
            <w:pPr>
              <w:jc w:val="left"/>
              <w:spacing w:line="360" w:lineRule="auto"/>
              <w:rPr>
                <w:rFonts w:ascii="宋体" w:hAnsi="宋体" w:cs="宋体"/>
              </w:rPr>
            </w:pPr>
            <w:r>
              <w:rPr>
                <w:rFonts w:hint="eastAsia" w:ascii="宋体" w:hAnsi="宋体" w:cs="宋体"/>
              </w:rPr>
              <w:t xml:space="preserve">（3）以上每项缺少对应方案的，该项不得分。</w:t>
            </w:r>
            <w:r/>
          </w:p>
        </w:tc>
        <w:tc>
          <w:tcPr>
            <w:tcW w:w="575"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12</w:t>
            </w:r>
            <w:r/>
          </w:p>
        </w:tc>
        <w:tc>
          <w:tcPr>
            <w:tcW w:w="789"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主观分</w:t>
            </w:r>
            <w:r/>
          </w:p>
        </w:tc>
      </w:tr>
    </w:tbl>
    <w:p>
      <w:pPr>
        <w:ind w:firstLine="422"/>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bCs/>
          <w:szCs w:val="21"/>
        </w:rPr>
      </w:pPr>
      <w:r>
        <w:rPr>
          <w:rFonts w:ascii="宋体" w:hAnsi="宋体" w:cs="宋体"/>
          <w:b/>
          <w:bCs/>
          <w:szCs w:val="21"/>
        </w:rPr>
      </w:r>
      <w:bookmarkEnd w:id="97"/>
      <w:r/>
      <w:r/>
    </w:p>
    <w:p>
      <w:pPr>
        <w:ind w:firstLine="412"/>
        <w:jc w:val="left"/>
        <w:spacing w:line="360" w:lineRule="auto"/>
        <w:shd w:val="clear" w:color="auto" w:fill="ffffff"/>
        <w:widowControl/>
        <w:rPr>
          <w:rFonts w:ascii="宋体" w:hAnsi="宋体" w:cs="宋体"/>
          <w:b/>
          <w:bCs/>
          <w:szCs w:val="21"/>
          <w:u w:val="single"/>
        </w:rPr>
      </w:pPr>
      <w:r>
        <w:rPr>
          <w:rFonts w:ascii="宋体" w:hAnsi="宋体" w:cs="宋体"/>
          <w:b/>
          <w:bCs/>
          <w:szCs w:val="21"/>
          <w:u w:val="single"/>
        </w:rPr>
      </w:r>
      <w:r/>
    </w:p>
    <w:p>
      <w:pPr>
        <w:ind w:firstLine="412"/>
        <w:jc w:val="left"/>
        <w:spacing w:line="360" w:lineRule="auto"/>
        <w:shd w:val="clear" w:color="auto" w:fill="ffffff"/>
        <w:widowControl/>
        <w:rPr>
          <w:rFonts w:ascii="宋体" w:hAnsi="宋体" w:cs="宋体"/>
          <w:b/>
          <w:bCs/>
          <w:szCs w:val="21"/>
          <w:u w:val="single"/>
        </w:rPr>
      </w:pPr>
      <w:r>
        <w:rPr>
          <w:rFonts w:ascii="宋体" w:hAnsi="宋体" w:cs="宋体"/>
          <w:b/>
          <w:bCs/>
          <w:szCs w:val="21"/>
          <w:u w:val="single"/>
        </w:rPr>
      </w:r>
      <w:r/>
    </w:p>
    <w:p>
      <w:pPr>
        <w:rPr>
          <w:rFonts w:ascii="宋体" w:hAnsi="宋体" w:cs="宋体"/>
          <w:b/>
          <w:bCs/>
          <w:szCs w:val="21"/>
          <w:u w:val="single"/>
        </w:rPr>
      </w:pPr>
      <w:r>
        <w:rPr>
          <w:rFonts w:hint="eastAsia" w:ascii="宋体" w:hAnsi="宋体" w:cs="宋体"/>
          <w:b/>
          <w:bCs/>
          <w:szCs w:val="21"/>
          <w:u w:val="single"/>
        </w:rPr>
        <w:br w:type="page" w:clear="all"/>
      </w:r>
      <w:bookmarkEnd w:id="98"/>
      <w:r/>
      <w:r/>
    </w:p>
    <w:p>
      <w:pPr>
        <w:pStyle w:val="979"/>
        <w:numPr>
          <w:ilvl w:val="0"/>
          <w:numId w:val="0"/>
        </w:numPr>
        <w:ind w:left="567"/>
        <w:rPr>
          <w:rFonts w:ascii="宋体" w:hAnsi="宋体" w:cs="宋体"/>
          <w:szCs w:val="32"/>
        </w:rPr>
      </w:pPr>
      <w:r/>
      <w:bookmarkStart w:id="101" w:name="_Toc14826"/>
      <w:r/>
      <w:bookmarkStart w:id="102" w:name="_Toc176878662"/>
      <w:r/>
      <w:bookmarkStart w:id="103" w:name="_Toc67494809"/>
      <w:r>
        <w:rPr>
          <w:rFonts w:hint="eastAsia" w:ascii="宋体" w:hAnsi="宋体" w:cs="宋体"/>
        </w:rPr>
        <w:t xml:space="preserve">第四章 </w:t>
      </w:r>
      <w:bookmarkEnd w:id="101"/>
      <w:r/>
      <w:bookmarkStart w:id="104" w:name="_Toc481057147"/>
      <w:r/>
      <w:bookmarkStart w:id="105" w:name="_Toc8808"/>
      <w:r>
        <w:rPr>
          <w:rFonts w:hint="eastAsia" w:ascii="宋体" w:hAnsi="宋体" w:cs="宋体"/>
        </w:rPr>
        <w:t xml:space="preserve">采购项目的内容和相关技术要求等</w:t>
      </w:r>
      <w:bookmarkEnd w:id="102"/>
      <w:r/>
      <w:bookmarkEnd w:id="103"/>
      <w:r/>
      <w:r/>
    </w:p>
    <w:p>
      <w:pPr>
        <w:ind w:firstLine="480"/>
        <w:spacing w:line="360" w:lineRule="auto"/>
        <w:rPr>
          <w:rFonts w:ascii="宋体" w:hAnsi="宋体" w:cs="宋体"/>
          <w:szCs w:val="21"/>
        </w:rPr>
      </w:pPr>
      <w:r>
        <w:rPr>
          <w:rFonts w:hint="eastAsia" w:ascii="宋体" w:hAnsi="宋体" w:cs="宋体"/>
          <w:b/>
          <w:bCs/>
          <w:szCs w:val="21"/>
        </w:rPr>
        <w:t xml:space="preserve">一、项目概况</w:t>
      </w:r>
      <w:r/>
    </w:p>
    <w:p>
      <w:pPr>
        <w:ind w:firstLine="480"/>
        <w:spacing w:line="360" w:lineRule="auto"/>
        <w:rPr>
          <w:rFonts w:ascii="宋体" w:hAnsi="宋体" w:cs="宋体"/>
          <w:szCs w:val="21"/>
        </w:rPr>
      </w:pPr>
      <w:r>
        <w:rPr>
          <w:rFonts w:hint="eastAsia" w:ascii="宋体" w:hAnsi="宋体" w:cs="宋体"/>
          <w:szCs w:val="21"/>
        </w:rPr>
        <w:t xml:space="preserve">（一）信息化现状</w:t>
      </w:r>
      <w:r/>
    </w:p>
    <w:p>
      <w:pPr>
        <w:ind w:firstLine="480"/>
        <w:spacing w:line="360" w:lineRule="auto"/>
        <w:rPr>
          <w:rFonts w:ascii="宋体" w:hAnsi="宋体" w:cs="宋体"/>
          <w:szCs w:val="21"/>
        </w:rPr>
      </w:pPr>
      <w:r>
        <w:rPr>
          <w:rFonts w:hint="eastAsia" w:ascii="宋体" w:hAnsi="宋体" w:cs="宋体"/>
          <w:szCs w:val="21"/>
        </w:rPr>
        <w:t xml:space="preserve">南京市应急管理局依据上级工作要求和南京市应急管理工作实践建设了南京市应急管理综合应用平台及相关业务系统，支撑南京市应急管理、安全生产、防灾减灾工作。</w:t>
      </w:r>
      <w:r/>
    </w:p>
    <w:p>
      <w:pPr>
        <w:ind w:firstLine="480"/>
        <w:spacing w:line="360" w:lineRule="auto"/>
        <w:rPr>
          <w:rFonts w:ascii="宋体" w:hAnsi="宋体" w:cs="宋体"/>
          <w:szCs w:val="21"/>
        </w:rPr>
      </w:pPr>
      <w:r>
        <w:rPr>
          <w:rFonts w:hint="eastAsia" w:ascii="宋体" w:hAnsi="宋体" w:cs="宋体"/>
          <w:szCs w:val="21"/>
        </w:rPr>
        <w:t xml:space="preserve">（二）项目目标</w:t>
      </w:r>
      <w:r/>
    </w:p>
    <w:p>
      <w:pPr>
        <w:ind w:firstLine="480"/>
        <w:spacing w:line="360" w:lineRule="auto"/>
        <w:rPr>
          <w:rFonts w:ascii="宋体" w:hAnsi="宋体" w:cs="宋体"/>
          <w:szCs w:val="21"/>
        </w:rPr>
      </w:pPr>
      <w:r>
        <w:rPr>
          <w:rFonts w:hint="eastAsia" w:ascii="宋体" w:hAnsi="宋体" w:cs="宋体"/>
          <w:szCs w:val="21"/>
        </w:rPr>
        <w:t xml:space="preserve">本项目采购内容为</w:t>
      </w:r>
      <w:r>
        <w:rPr>
          <w:rFonts w:hint="eastAsia" w:ascii="宋体" w:hAnsi="宋体" w:cs="宋体"/>
          <w:bCs/>
          <w:szCs w:val="21"/>
        </w:rPr>
        <w:t xml:space="preserve">南京市应急管理综合应用平台统一运维服务</w:t>
      </w:r>
      <w:r>
        <w:rPr>
          <w:rFonts w:hint="eastAsia" w:ascii="宋体" w:hAnsi="宋体" w:cs="宋体"/>
          <w:szCs w:val="21"/>
        </w:rPr>
        <w:t xml:space="preserve">，根据各系统不同的运维要求，提供日常业务保障、运维保障、巡检维护、日志监控、故障处理、漏洞修复、功能优化、系统升级等工作。</w:t>
      </w:r>
      <w:r/>
    </w:p>
    <w:p>
      <w:pPr>
        <w:ind w:firstLine="480"/>
        <w:spacing w:line="360" w:lineRule="auto"/>
        <w:rPr>
          <w:rFonts w:ascii="宋体" w:hAnsi="宋体" w:cs="宋体"/>
          <w:szCs w:val="21"/>
        </w:rPr>
      </w:pPr>
      <w:r>
        <w:rPr>
          <w:rFonts w:hint="eastAsia" w:ascii="宋体" w:hAnsi="宋体" w:cs="宋体"/>
          <w:szCs w:val="21"/>
        </w:rPr>
        <w:t xml:space="preserve">（三）项目实施遵循标准</w:t>
      </w:r>
      <w:r/>
    </w:p>
    <w:p>
      <w:pPr>
        <w:ind w:firstLine="480"/>
        <w:spacing w:line="360" w:lineRule="auto"/>
        <w:rPr>
          <w:rFonts w:ascii="宋体" w:hAnsi="宋体" w:cs="宋体"/>
          <w:szCs w:val="21"/>
        </w:rPr>
      </w:pPr>
      <w:r>
        <w:rPr>
          <w:rFonts w:hint="eastAsia" w:ascii="宋体" w:hAnsi="宋体" w:cs="宋体"/>
          <w:szCs w:val="21"/>
        </w:rPr>
        <w:t xml:space="preserve">遵循国家、行业及地方现行的规范和标准。</w:t>
      </w:r>
      <w:r/>
    </w:p>
    <w:p>
      <w:pPr>
        <w:ind w:firstLine="632"/>
        <w:spacing w:line="360" w:lineRule="auto"/>
        <w:rPr>
          <w:rFonts w:ascii="宋体" w:hAnsi="宋体" w:cs="宋体"/>
          <w:b/>
          <w:bCs/>
          <w:szCs w:val="21"/>
        </w:rPr>
      </w:pPr>
      <w:r>
        <w:rPr>
          <w:rFonts w:hint="eastAsia" w:ascii="宋体" w:hAnsi="宋体" w:cs="宋体"/>
          <w:b/>
          <w:bCs/>
          <w:szCs w:val="21"/>
        </w:rPr>
        <w:t xml:space="preserve">二、服务清单</w:t>
      </w:r>
      <w:r/>
    </w:p>
    <w:tbl>
      <w:tblPr>
        <w:tblStyle w:val="989"/>
        <w:tblW w:w="9618"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46"/>
        <w:gridCol w:w="3649"/>
        <w:gridCol w:w="683"/>
        <w:gridCol w:w="866"/>
        <w:gridCol w:w="2229"/>
        <w:gridCol w:w="1545"/>
      </w:tblGrid>
      <w:tr>
        <w:trPr>
          <w:trHeight w:val="1009"/>
        </w:trPr>
        <w:tc>
          <w:tcPr>
            <w:shd w:val="clear" w:color="auto" w:fill="ffffff"/>
            <w:tcW w:w="646"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lang w:bidi="ar"/>
              </w:rPr>
              <w:t xml:space="preserve">序号</w:t>
            </w:r>
            <w:r/>
          </w:p>
        </w:tc>
        <w:tc>
          <w:tcPr>
            <w:shd w:val="clear" w:color="auto" w:fill="ffffff"/>
            <w:tcW w:w="364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lang w:bidi="ar"/>
              </w:rPr>
              <w:t xml:space="preserve">名称</w:t>
            </w:r>
            <w:r/>
          </w:p>
        </w:tc>
        <w:tc>
          <w:tcPr>
            <w:shd w:val="clear" w:color="auto" w:fill="ffffff"/>
            <w:tcW w:w="68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lang w:bidi="ar"/>
              </w:rPr>
              <w:t xml:space="preserve">数量</w:t>
            </w:r>
            <w:r/>
          </w:p>
        </w:tc>
        <w:tc>
          <w:tcPr>
            <w:shd w:val="clear" w:color="auto" w:fill="ffffff"/>
            <w:tcW w:w="866"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lang w:bidi="ar"/>
              </w:rPr>
              <w:t xml:space="preserve">单位</w:t>
            </w:r>
            <w:r/>
          </w:p>
        </w:tc>
        <w:tc>
          <w:tcPr>
            <w:shd w:val="clear" w:color="auto" w:fill="ffffff"/>
            <w:tcW w:w="222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lang w:bidi="ar"/>
              </w:rPr>
              <w:t xml:space="preserve">所属行业类型</w:t>
            </w:r>
            <w:r/>
          </w:p>
        </w:tc>
        <w:tc>
          <w:tcPr>
            <w:shd w:val="clear" w:color="auto" w:fill="ffffff"/>
            <w:tcW w:w="154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lang w:bidi="ar"/>
              </w:rPr>
              <w:t xml:space="preserve">产品属性</w:t>
            </w:r>
            <w:r/>
          </w:p>
        </w:tc>
      </w:tr>
      <w:tr>
        <w:trPr>
          <w:trHeight w:val="915"/>
        </w:trPr>
        <w:tc>
          <w:tcPr>
            <w:shd w:val="clear" w:color="auto" w:fill="ffffff"/>
            <w:tcW w:w="64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bidi="ar"/>
              </w:rPr>
              <w:t xml:space="preserve">1</w:t>
            </w:r>
            <w:r/>
          </w:p>
        </w:tc>
        <w:tc>
          <w:tcPr>
            <w:shd w:val="clear" w:color="auto" w:fill="ffffff"/>
            <w:tcW w:w="36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bCs/>
                <w:szCs w:val="21"/>
              </w:rPr>
              <w:t xml:space="preserve">南京市应急管理综合应用平台统一运维服务项目</w:t>
            </w:r>
            <w:r/>
          </w:p>
        </w:tc>
        <w:tc>
          <w:tcPr>
            <w:shd w:val="clear" w:color="auto" w:fill="ffffff"/>
            <w:tcW w:w="68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bidi="ar"/>
              </w:rPr>
              <w:t xml:space="preserve">1</w:t>
            </w:r>
            <w:r/>
          </w:p>
        </w:tc>
        <w:tc>
          <w:tcPr>
            <w:shd w:val="clear" w:color="auto" w:fill="ffffff"/>
            <w:tcW w:w="8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bidi="ar"/>
              </w:rPr>
              <w:t xml:space="preserve">项</w:t>
            </w:r>
            <w:r/>
          </w:p>
        </w:tc>
        <w:tc>
          <w:tcPr>
            <w:shd w:val="clear" w:color="auto" w:fill="ffffff"/>
            <w:tcW w:w="222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bidi="ar"/>
              </w:rPr>
              <w:t xml:space="preserve">软件和信息技术服务业</w:t>
            </w:r>
            <w:r/>
          </w:p>
        </w:tc>
        <w:tc>
          <w:tcPr>
            <w:shd w:val="clear" w:color="auto" w:fill="ffffff"/>
            <w:tcW w:w="15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bidi="ar"/>
              </w:rPr>
              <w:t xml:space="preserve">服务</w:t>
            </w:r>
            <w:r/>
          </w:p>
        </w:tc>
      </w:tr>
    </w:tbl>
    <w:p>
      <w:pPr>
        <w:ind w:firstLine="480"/>
        <w:spacing w:line="360" w:lineRule="auto"/>
        <w:rPr>
          <w:rFonts w:ascii="宋体" w:hAnsi="宋体" w:cs="宋体"/>
          <w:b/>
          <w:bCs/>
          <w:szCs w:val="21"/>
        </w:rPr>
      </w:pPr>
      <w:r>
        <w:rPr>
          <w:rFonts w:hint="eastAsia" w:ascii="宋体" w:hAnsi="宋体" w:cs="宋体"/>
          <w:b/>
          <w:bCs/>
          <w:szCs w:val="21"/>
        </w:rPr>
        <w:t xml:space="preserve">★三、拟采购标的需要满足的技术要求</w:t>
      </w:r>
      <w:r/>
    </w:p>
    <w:p>
      <w:pPr>
        <w:ind w:firstLine="480"/>
        <w:spacing w:line="360" w:lineRule="auto"/>
        <w:rPr>
          <w:rFonts w:ascii="宋体" w:hAnsi="宋体" w:cs="宋体"/>
          <w:szCs w:val="21"/>
        </w:rPr>
      </w:pPr>
      <w:r>
        <w:rPr>
          <w:rFonts w:hint="eastAsia" w:ascii="宋体" w:hAnsi="宋体" w:cs="宋体"/>
          <w:b/>
          <w:bCs/>
          <w:szCs w:val="21"/>
        </w:rPr>
        <w:t xml:space="preserve">（一）日常巡检</w:t>
      </w:r>
      <w:r>
        <w:rPr>
          <w:rFonts w:hint="eastAsia" w:ascii="宋体" w:hAnsi="宋体" w:cs="宋体"/>
          <w:szCs w:val="21"/>
        </w:rPr>
        <w:t xml:space="preserve"> </w:t>
      </w:r>
      <w:r/>
    </w:p>
    <w:p>
      <w:pPr>
        <w:ind w:firstLine="480"/>
        <w:spacing w:line="360" w:lineRule="auto"/>
        <w:rPr>
          <w:rFonts w:ascii="宋体" w:hAnsi="宋体" w:cs="宋体"/>
          <w:sz w:val="21"/>
          <w:szCs w:val="21"/>
        </w:rPr>
      </w:pPr>
      <w:r>
        <w:rPr>
          <w:rFonts w:hint="eastAsia" w:ascii="宋体" w:hAnsi="宋体" w:cs="宋体"/>
          <w:sz w:val="21"/>
          <w:szCs w:val="21"/>
        </w:rPr>
        <w:t xml:space="preserve">1、运维服务内容</w:t>
      </w:r>
      <w:r/>
    </w:p>
    <w:p>
      <w:pPr>
        <w:ind w:firstLine="480"/>
        <w:spacing w:line="360" w:lineRule="auto"/>
        <w:rPr>
          <w:rFonts w:ascii="宋体" w:hAnsi="宋体" w:cs="宋体"/>
          <w:sz w:val="21"/>
          <w:szCs w:val="21"/>
        </w:rPr>
      </w:pPr>
      <w:r>
        <w:rPr>
          <w:rFonts w:hint="eastAsia" w:ascii="宋体" w:hAnsi="宋体" w:cs="宋体"/>
          <w:sz w:val="21"/>
          <w:szCs w:val="21"/>
        </w:rPr>
        <w:t xml:space="preserve">针对办公区网络、安全、物理环境、综合布线等设备和线路提供日常巡检、重要通信保障、资产梳理、故障处理和网络优化、专家诊断、网络安全防护和事件处置等。</w:t>
      </w:r>
      <w:r/>
    </w:p>
    <w:p>
      <w:pPr>
        <w:ind w:firstLine="480"/>
        <w:spacing w:line="360" w:lineRule="auto"/>
        <w:rPr>
          <w:rFonts w:ascii="宋体" w:hAnsi="宋体" w:cs="宋体"/>
          <w:sz w:val="21"/>
          <w:szCs w:val="21"/>
        </w:rPr>
      </w:pPr>
      <w:r>
        <w:rPr>
          <w:rFonts w:hint="eastAsia" w:ascii="宋体" w:hAnsi="宋体" w:cs="宋体"/>
          <w:sz w:val="21"/>
          <w:szCs w:val="21"/>
        </w:rPr>
        <w:t xml:space="preserve">2、运维保障服务要求</w:t>
      </w:r>
      <w:r/>
    </w:p>
    <w:p>
      <w:pPr>
        <w:ind w:firstLine="480"/>
        <w:spacing w:line="360" w:lineRule="auto"/>
        <w:rPr>
          <w:rFonts w:ascii="宋体" w:hAnsi="宋体" w:cs="宋体"/>
          <w:sz w:val="21"/>
          <w:szCs w:val="21"/>
        </w:rPr>
      </w:pPr>
      <w:r>
        <w:rPr>
          <w:rFonts w:hint="eastAsia" w:ascii="宋体" w:hAnsi="宋体" w:cs="宋体"/>
          <w:sz w:val="21"/>
          <w:szCs w:val="21"/>
        </w:rPr>
        <w:t xml:space="preserve">日常巡检：根据巡检计划内容及周期要求，按时按要求完成所有巡检任务。包括机房现场设备硬件、线缆、标签、环境等现场巡检工作，并按要求反馈作业结果，发现异常及时汇报，并根据要求现场处理异常情况。</w:t>
      </w:r>
      <w:r/>
    </w:p>
    <w:p>
      <w:pPr>
        <w:ind w:firstLine="480"/>
        <w:spacing w:line="360" w:lineRule="auto"/>
        <w:rPr>
          <w:rFonts w:ascii="宋体" w:hAnsi="宋体" w:cs="宋体"/>
          <w:sz w:val="21"/>
          <w:szCs w:val="21"/>
        </w:rPr>
      </w:pPr>
      <w:r>
        <w:rPr>
          <w:rFonts w:hint="eastAsia" w:ascii="宋体" w:hAnsi="宋体" w:cs="宋体"/>
          <w:sz w:val="21"/>
          <w:szCs w:val="21"/>
        </w:rPr>
        <w:t xml:space="preserve">重要通信保障：为应对法定节假日，国家重大事件及突发事件等保障需求，可提供远程和现场值班工程师及时响应。特别重要的场合下可提供人员现场保障。提供通信保障前的巡检服务。</w:t>
      </w:r>
      <w:r/>
    </w:p>
    <w:p>
      <w:pPr>
        <w:ind w:firstLine="480"/>
        <w:spacing w:line="360" w:lineRule="auto"/>
        <w:rPr>
          <w:rFonts w:ascii="宋体" w:hAnsi="宋体" w:cs="宋体"/>
          <w:sz w:val="21"/>
          <w:szCs w:val="21"/>
        </w:rPr>
      </w:pPr>
      <w:r>
        <w:rPr>
          <w:rFonts w:hint="eastAsia" w:ascii="宋体" w:hAnsi="宋体" w:cs="宋体"/>
          <w:sz w:val="21"/>
          <w:szCs w:val="21"/>
        </w:rPr>
        <w:t xml:space="preserve">资产梳理：对采购人办公区网络架构、资产情况进行梳理，并出具拓扑和资产清单；后续根据网络情况动态调整拓扑，机房内设备标签核查、更新、增补。</w:t>
      </w:r>
      <w:r/>
    </w:p>
    <w:p>
      <w:pPr>
        <w:ind w:firstLine="480"/>
        <w:spacing w:line="360" w:lineRule="auto"/>
        <w:rPr>
          <w:rFonts w:ascii="宋体" w:hAnsi="宋体" w:cs="宋体"/>
          <w:sz w:val="21"/>
          <w:szCs w:val="21"/>
        </w:rPr>
      </w:pPr>
      <w:r>
        <w:rPr>
          <w:rFonts w:hint="eastAsia" w:ascii="宋体" w:hAnsi="宋体" w:cs="宋体"/>
          <w:sz w:val="21"/>
          <w:szCs w:val="21"/>
        </w:rPr>
        <w:t xml:space="preserve">故障处理和网络优化：上门进行设备检测，故障排查，提供故障报告和解决方案。</w:t>
      </w:r>
      <w:r/>
    </w:p>
    <w:p>
      <w:pPr>
        <w:ind w:firstLine="480"/>
        <w:spacing w:line="360" w:lineRule="auto"/>
        <w:rPr>
          <w:rFonts w:ascii="宋体" w:hAnsi="宋体" w:cs="宋体"/>
          <w:sz w:val="21"/>
          <w:szCs w:val="21"/>
        </w:rPr>
      </w:pPr>
      <w:r>
        <w:rPr>
          <w:rFonts w:hint="eastAsia" w:ascii="宋体" w:hAnsi="宋体"/>
          <w:sz w:val="21"/>
          <w:szCs w:val="21"/>
        </w:rPr>
        <w:t xml:space="preserve">专家诊断：遇到疑难网络故障时调度专家进行诊断，安排云网安专家进行网络隐患排查、事件追溯、终端定位和特殊事件处理等，特殊事件含：包网络优化、华为网管和日志审计设备服务，每季度对设备配置进行检查、网络拓扑进行评估，以及相关服务</w:t>
      </w:r>
      <w:r>
        <w:rPr>
          <w:rFonts w:hint="eastAsia" w:ascii="宋体" w:hAnsi="宋体" w:cs="宋体"/>
          <w:sz w:val="21"/>
          <w:szCs w:val="21"/>
        </w:rPr>
        <w:t xml:space="preserve">。</w:t>
      </w:r>
      <w:r/>
    </w:p>
    <w:p>
      <w:pPr>
        <w:ind w:firstLine="480"/>
        <w:spacing w:line="360" w:lineRule="auto"/>
        <w:rPr>
          <w:rFonts w:ascii="宋体" w:hAnsi="宋体" w:cs="宋体"/>
          <w:sz w:val="21"/>
          <w:szCs w:val="21"/>
        </w:rPr>
      </w:pPr>
      <w:r>
        <w:rPr>
          <w:rFonts w:hint="eastAsia" w:ascii="宋体" w:hAnsi="宋体" w:cs="宋体"/>
          <w:sz w:val="21"/>
          <w:szCs w:val="21"/>
        </w:rPr>
        <w:t xml:space="preserve">软件（固件）和策略（规则库）维护：及时关注并升级网络设备、安全设备的软件（固件），确保系统安全性和稳定性。根据业务需求和网络环境变化，优化网络策略（规则库）等，提高网络效率和安全性。</w:t>
      </w:r>
      <w:r/>
    </w:p>
    <w:p>
      <w:pPr>
        <w:ind w:firstLine="480"/>
        <w:spacing w:line="360" w:lineRule="auto"/>
        <w:rPr>
          <w:rFonts w:ascii="宋体" w:hAnsi="宋体" w:cs="宋体"/>
          <w:sz w:val="21"/>
          <w:szCs w:val="21"/>
        </w:rPr>
      </w:pPr>
      <w:r>
        <w:rPr>
          <w:rFonts w:hint="eastAsia" w:ascii="宋体" w:hAnsi="宋体" w:cs="宋体"/>
          <w:sz w:val="21"/>
          <w:szCs w:val="21"/>
        </w:rPr>
        <w:t xml:space="preserve">3、总体响应时间</w:t>
      </w:r>
      <w:r/>
    </w:p>
    <w:tbl>
      <w:tblPr>
        <w:tblStyle w:val="989"/>
        <w:tblW w:w="92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1838"/>
        <w:gridCol w:w="1871"/>
        <w:gridCol w:w="1737"/>
        <w:gridCol w:w="1870"/>
      </w:tblGrid>
      <w:tr>
        <w:trPr>
          <w:trHeight w:val="475"/>
        </w:trPr>
        <w:tc>
          <w:tcPr>
            <w:gridSpan w:val="2"/>
            <w:tcW w:w="3741"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响应时间</w:t>
            </w:r>
            <w:r/>
          </w:p>
        </w:tc>
        <w:tc>
          <w:tcPr>
            <w:tcW w:w="1871"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w:t>
            </w:r>
            <w:r/>
          </w:p>
        </w:tc>
        <w:tc>
          <w:tcPr>
            <w:gridSpan w:val="2"/>
            <w:tcW w:w="3607"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解决时间</w:t>
            </w:r>
            <w:r/>
          </w:p>
        </w:tc>
      </w:tr>
      <w:tr>
        <w:trPr>
          <w:trHeight w:val="402"/>
        </w:trPr>
        <w:tc>
          <w:tcPr>
            <w:tcW w:w="1903"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38"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c>
          <w:tcPr>
            <w:tcW w:w="1871"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服务时间要求</w:t>
            </w:r>
            <w:r/>
          </w:p>
        </w:tc>
        <w:tc>
          <w:tcPr>
            <w:tcW w:w="1737"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70"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r>
      <w:tr>
        <w:trPr>
          <w:trHeight w:val="347"/>
        </w:trPr>
        <w:tc>
          <w:tcPr>
            <w:tcW w:w="1903"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现场4小时响应</w:t>
            </w:r>
            <w:r/>
          </w:p>
        </w:tc>
        <w:tc>
          <w:tcPr>
            <w:tcW w:w="1838"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现场24小时响应 </w:t>
            </w:r>
            <w:r/>
          </w:p>
        </w:tc>
        <w:tc>
          <w:tcPr>
            <w:tcW w:w="1871"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7*24小时 </w:t>
            </w:r>
            <w:r/>
          </w:p>
        </w:tc>
        <w:tc>
          <w:tcPr>
            <w:tcW w:w="1737"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现场4小时响应</w:t>
            </w:r>
            <w:r/>
          </w:p>
        </w:tc>
        <w:tc>
          <w:tcPr>
            <w:tcW w:w="1870"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现场24小时响应 </w:t>
            </w:r>
            <w:r/>
          </w:p>
        </w:tc>
      </w:tr>
    </w:tbl>
    <w:p>
      <w:pPr>
        <w:ind w:firstLine="480"/>
        <w:spacing w:line="360" w:lineRule="auto"/>
        <w:rPr>
          <w:rFonts w:ascii="宋体" w:hAnsi="宋体" w:cs="宋体"/>
          <w:b/>
          <w:bCs/>
          <w:sz w:val="21"/>
          <w:szCs w:val="21"/>
        </w:rPr>
      </w:pPr>
      <w:r>
        <w:rPr>
          <w:rFonts w:hint="eastAsia" w:ascii="宋体" w:hAnsi="宋体" w:cs="宋体"/>
          <w:b/>
          <w:bCs/>
          <w:sz w:val="21"/>
          <w:szCs w:val="21"/>
        </w:rPr>
        <w:t xml:space="preserve">（二）网络设备运维</w:t>
      </w:r>
      <w:r/>
    </w:p>
    <w:p>
      <w:pPr>
        <w:ind w:firstLine="480"/>
        <w:spacing w:line="360" w:lineRule="auto"/>
        <w:rPr>
          <w:rFonts w:ascii="宋体" w:hAnsi="宋体" w:cs="宋体"/>
          <w:sz w:val="21"/>
          <w:szCs w:val="21"/>
        </w:rPr>
      </w:pPr>
      <w:r>
        <w:rPr>
          <w:rFonts w:hint="eastAsia" w:ascii="宋体" w:hAnsi="宋体" w:cs="宋体"/>
          <w:sz w:val="21"/>
          <w:szCs w:val="21"/>
        </w:rPr>
        <w:t xml:space="preserve">1、网络设备运维清单</w:t>
      </w:r>
      <w:r/>
    </w:p>
    <w:tbl>
      <w:tblPr>
        <w:tblStyle w:val="989"/>
        <w:tblW w:w="927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
        <w:gridCol w:w="774"/>
        <w:gridCol w:w="819"/>
        <w:gridCol w:w="5225"/>
        <w:gridCol w:w="478"/>
        <w:gridCol w:w="527"/>
        <w:gridCol w:w="941"/>
      </w:tblGrid>
      <w:tr>
        <w:trPr>
          <w:trHeight w:val="927"/>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序号</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名称</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品牌</w:t>
            </w:r>
            <w:r/>
          </w:p>
        </w:tc>
        <w:tc>
          <w:tcPr>
            <w:tcW w:w="5225"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型号</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数量</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单位</w:t>
            </w:r>
            <w:r/>
          </w:p>
        </w:tc>
        <w:tc>
          <w:tcPr>
            <w:tcW w:w="941"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备注</w:t>
            </w:r>
            <w:r/>
          </w:p>
        </w:tc>
      </w:tr>
      <w:tr>
        <w:trPr>
          <w:trHeight w:val="2455"/>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核心交换机</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522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S6730-H48X6C</w:t>
            </w:r>
            <w:r>
              <w:rPr>
                <w:rFonts w:hint="eastAsia" w:ascii="宋体" w:hAnsi="宋体" w:cs="宋体"/>
                <w:sz w:val="21"/>
                <w:szCs w:val="21"/>
              </w:rPr>
              <w:br/>
            </w:r>
            <w:r>
              <w:rPr>
                <w:rFonts w:hint="eastAsia" w:ascii="宋体" w:hAnsi="宋体" w:cs="宋体"/>
                <w:sz w:val="21"/>
                <w:szCs w:val="21"/>
              </w:rPr>
              <w:t xml:space="preserve">交换容量为2.56Tbps，包转发率为1620Mpps  </w:t>
            </w:r>
            <w:r>
              <w:rPr>
                <w:rFonts w:hint="eastAsia" w:ascii="宋体" w:hAnsi="宋体" w:cs="宋体"/>
                <w:sz w:val="21"/>
                <w:szCs w:val="21"/>
              </w:rPr>
              <w:br/>
            </w:r>
            <w:r>
              <w:rPr>
                <w:rFonts w:hint="eastAsia" w:ascii="宋体" w:hAnsi="宋体" w:cs="宋体"/>
                <w:sz w:val="21"/>
                <w:szCs w:val="21"/>
              </w:rPr>
              <w:t xml:space="preserve">为了提高设备可靠性，支持并实配可插拔的双电源</w:t>
            </w:r>
            <w:r>
              <w:rPr>
                <w:rFonts w:hint="eastAsia" w:ascii="宋体" w:hAnsi="宋体" w:cs="宋体"/>
                <w:sz w:val="21"/>
                <w:szCs w:val="21"/>
              </w:rPr>
              <w:br/>
            </w:r>
            <w:r>
              <w:rPr>
                <w:rFonts w:hint="eastAsia" w:ascii="宋体" w:hAnsi="宋体" w:cs="宋体"/>
                <w:sz w:val="21"/>
                <w:szCs w:val="21"/>
              </w:rPr>
              <w:t xml:space="preserve">为了提高设备散热性能，支持可插拔风扇框，风扇框个数4</w:t>
            </w:r>
            <w:r>
              <w:rPr>
                <w:rFonts w:hint="eastAsia" w:ascii="宋体" w:hAnsi="宋体" w:cs="宋体"/>
                <w:sz w:val="21"/>
                <w:szCs w:val="21"/>
              </w:rPr>
              <w:br/>
            </w:r>
            <w:r>
              <w:rPr>
                <w:rFonts w:hint="eastAsia" w:ascii="宋体" w:hAnsi="宋体" w:cs="宋体"/>
                <w:sz w:val="21"/>
                <w:szCs w:val="21"/>
              </w:rPr>
              <w:t xml:space="preserve">支持融合AC管理功能，整机可管理1K AP</w:t>
            </w:r>
            <w:r>
              <w:rPr>
                <w:rFonts w:hint="eastAsia" w:ascii="宋体" w:hAnsi="宋体" w:cs="宋体"/>
                <w:sz w:val="21"/>
                <w:szCs w:val="21"/>
              </w:rPr>
              <w:br/>
            </w:r>
            <w:r>
              <w:rPr>
                <w:rFonts w:hint="eastAsia" w:ascii="宋体" w:hAnsi="宋体" w:cs="宋体"/>
                <w:sz w:val="21"/>
                <w:szCs w:val="21"/>
              </w:rPr>
              <w:t xml:space="preserve">电源2块，万兆SFP+接口48个， 100GE QSFP28接口6个，1根3M堆叠线缆，本次所需AP授权140个</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2</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941"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149"/>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2</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48口接入交换机</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522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S5735-S48T4X </w:t>
            </w:r>
            <w:r>
              <w:rPr>
                <w:rFonts w:hint="eastAsia" w:ascii="宋体" w:hAnsi="宋体" w:cs="宋体"/>
                <w:sz w:val="21"/>
                <w:szCs w:val="21"/>
              </w:rPr>
              <w:br/>
            </w:r>
            <w:r>
              <w:rPr>
                <w:rFonts w:hint="eastAsia" w:ascii="宋体" w:hAnsi="宋体" w:cs="宋体"/>
                <w:sz w:val="21"/>
                <w:szCs w:val="21"/>
              </w:rPr>
              <w:t xml:space="preserve">交换容量为432Gbps，包转发率为144Mpps；</w:t>
            </w:r>
            <w:r>
              <w:rPr>
                <w:rFonts w:hint="eastAsia" w:ascii="宋体" w:hAnsi="宋体" w:cs="宋体"/>
                <w:sz w:val="21"/>
                <w:szCs w:val="21"/>
              </w:rPr>
              <w:br/>
            </w:r>
            <w:r>
              <w:rPr>
                <w:rFonts w:hint="eastAsia" w:ascii="宋体" w:hAnsi="宋体" w:cs="宋体"/>
                <w:sz w:val="21"/>
                <w:szCs w:val="21"/>
              </w:rPr>
              <w:t xml:space="preserve">整机提供千兆电口48个，万兆光口4个；</w:t>
            </w:r>
            <w:r>
              <w:rPr>
                <w:rFonts w:hint="eastAsia" w:ascii="宋体" w:hAnsi="宋体" w:cs="宋体"/>
                <w:sz w:val="21"/>
                <w:szCs w:val="21"/>
              </w:rPr>
              <w:br/>
            </w:r>
            <w:r>
              <w:rPr>
                <w:rFonts w:hint="eastAsia" w:ascii="宋体" w:hAnsi="宋体" w:cs="宋体"/>
                <w:sz w:val="21"/>
                <w:szCs w:val="21"/>
              </w:rPr>
              <w:t xml:space="preserve">支持USB接口；</w:t>
            </w:r>
            <w:r>
              <w:rPr>
                <w:rFonts w:hint="eastAsia" w:ascii="宋体" w:hAnsi="宋体" w:cs="宋体"/>
                <w:sz w:val="21"/>
                <w:szCs w:val="21"/>
              </w:rPr>
              <w:br/>
            </w:r>
            <w:r>
              <w:rPr>
                <w:rFonts w:hint="eastAsia" w:ascii="宋体" w:hAnsi="宋体" w:cs="宋体"/>
                <w:sz w:val="21"/>
                <w:szCs w:val="21"/>
              </w:rPr>
              <w:t xml:space="preserve">支持模块化可插拔双电源</w:t>
            </w:r>
            <w:r>
              <w:rPr>
                <w:rFonts w:hint="eastAsia" w:ascii="宋体" w:hAnsi="宋体" w:cs="宋体"/>
                <w:sz w:val="21"/>
                <w:szCs w:val="21"/>
              </w:rPr>
              <w:br/>
            </w:r>
            <w:r>
              <w:rPr>
                <w:rFonts w:hint="eastAsia" w:ascii="宋体" w:hAnsi="宋体" w:cs="宋体"/>
                <w:sz w:val="21"/>
                <w:szCs w:val="21"/>
              </w:rPr>
              <w:t xml:space="preserve">千兆电口48个，万兆光口4个，可插拔电源模块2块， 1根堆叠线缆</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16</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941"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621"/>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3</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48口POE多速率交换机</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522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S5732-H48UM2CC </w:t>
            </w:r>
            <w:r>
              <w:rPr>
                <w:rFonts w:hint="eastAsia" w:ascii="宋体" w:hAnsi="宋体" w:cs="宋体"/>
                <w:sz w:val="21"/>
                <w:szCs w:val="21"/>
              </w:rPr>
              <w:br/>
            </w:r>
            <w:r>
              <w:rPr>
                <w:rFonts w:hint="eastAsia" w:ascii="宋体" w:hAnsi="宋体" w:cs="宋体"/>
                <w:sz w:val="21"/>
                <w:szCs w:val="21"/>
              </w:rPr>
              <w:t xml:space="preserve">交换容量为2.4Tbps，包转发率为1320Mpps</w:t>
            </w:r>
            <w:r>
              <w:rPr>
                <w:rFonts w:hint="eastAsia" w:ascii="宋体" w:hAnsi="宋体" w:cs="宋体"/>
                <w:sz w:val="21"/>
                <w:szCs w:val="21"/>
              </w:rPr>
              <w:br/>
            </w:r>
            <w:r>
              <w:rPr>
                <w:rFonts w:hint="eastAsia" w:ascii="宋体" w:hAnsi="宋体" w:cs="宋体"/>
                <w:sz w:val="21"/>
                <w:szCs w:val="21"/>
              </w:rPr>
              <w:t xml:space="preserve">支持802.3af/at/bt供电协议，支持单端口POE++ 60W供电能力，整机POE供电功率1570W</w:t>
            </w:r>
            <w:r>
              <w:rPr>
                <w:rFonts w:hint="eastAsia" w:ascii="宋体" w:hAnsi="宋体" w:cs="宋体"/>
                <w:sz w:val="21"/>
                <w:szCs w:val="21"/>
              </w:rPr>
              <w:br/>
            </w:r>
            <w:r>
              <w:rPr>
                <w:rFonts w:hint="eastAsia" w:ascii="宋体" w:hAnsi="宋体" w:cs="宋体"/>
                <w:sz w:val="21"/>
                <w:szCs w:val="21"/>
              </w:rPr>
              <w:t xml:space="preserve">为了提高设备可靠性，支持模块化双电源槽位，支持热插拔</w:t>
            </w:r>
            <w:r>
              <w:rPr>
                <w:rFonts w:hint="eastAsia" w:ascii="宋体" w:hAnsi="宋体" w:cs="宋体"/>
                <w:sz w:val="21"/>
                <w:szCs w:val="21"/>
              </w:rPr>
              <w:br/>
            </w:r>
            <w:r>
              <w:rPr>
                <w:rFonts w:hint="eastAsia" w:ascii="宋体" w:hAnsi="宋体" w:cs="宋体"/>
                <w:sz w:val="21"/>
                <w:szCs w:val="21"/>
              </w:rPr>
              <w:t xml:space="preserve">为了提高设备散热性能，支持可插拔风扇框，风扇框个数2</w:t>
            </w:r>
            <w:r>
              <w:rPr>
                <w:rFonts w:hint="eastAsia" w:ascii="宋体" w:hAnsi="宋体" w:cs="宋体"/>
                <w:sz w:val="21"/>
                <w:szCs w:val="21"/>
              </w:rPr>
              <w:br/>
            </w:r>
            <w:r>
              <w:rPr>
                <w:rFonts w:hint="eastAsia" w:ascii="宋体" w:hAnsi="宋体" w:cs="宋体"/>
                <w:sz w:val="21"/>
                <w:szCs w:val="21"/>
              </w:rPr>
              <w:t xml:space="preserve">1000W POE电源2块，100M/1G/2.5以太网接口36个，5G以太网接口12个，25GE SFP28接口4个，40GE QSFP+2个</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6</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941"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455"/>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4</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吸顶AP</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522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AirEngine5760-51</w:t>
            </w:r>
            <w:r>
              <w:rPr>
                <w:rFonts w:hint="eastAsia" w:ascii="宋体" w:hAnsi="宋体" w:cs="宋体"/>
                <w:sz w:val="21"/>
                <w:szCs w:val="21"/>
              </w:rPr>
              <w:br/>
            </w:r>
            <w:r>
              <w:rPr>
                <w:rFonts w:hint="eastAsia" w:ascii="宋体" w:hAnsi="宋体" w:cs="宋体"/>
                <w:sz w:val="21"/>
                <w:szCs w:val="21"/>
              </w:rPr>
              <w:t xml:space="preserve">支持2.4GHz/5GHz双频段，所有射频均支持802.11ax标准</w:t>
            </w:r>
            <w:r>
              <w:rPr>
                <w:rFonts w:hint="eastAsia" w:ascii="宋体" w:hAnsi="宋体" w:cs="宋体"/>
                <w:sz w:val="21"/>
                <w:szCs w:val="21"/>
              </w:rPr>
              <w:br/>
            </w:r>
            <w:r>
              <w:rPr>
                <w:rFonts w:hint="eastAsia" w:ascii="宋体" w:hAnsi="宋体" w:cs="宋体"/>
                <w:sz w:val="21"/>
                <w:szCs w:val="21"/>
              </w:rPr>
              <w:t xml:space="preserve">整机默认6条流，可通过授权升级增加至8条流</w:t>
            </w:r>
            <w:r>
              <w:rPr>
                <w:rFonts w:hint="eastAsia" w:ascii="宋体" w:hAnsi="宋体" w:cs="宋体"/>
                <w:sz w:val="21"/>
                <w:szCs w:val="21"/>
              </w:rPr>
              <w:br/>
            </w:r>
            <w:r>
              <w:rPr>
                <w:rFonts w:hint="eastAsia" w:ascii="宋体" w:hAnsi="宋体" w:cs="宋体"/>
                <w:sz w:val="21"/>
                <w:szCs w:val="21"/>
              </w:rPr>
              <w:t xml:space="preserve">2.4GHz射频支持802.11ax 4x4 MU-MIMO</w:t>
            </w:r>
            <w:r>
              <w:rPr>
                <w:rFonts w:hint="eastAsia" w:ascii="宋体" w:hAnsi="宋体" w:cs="宋体"/>
                <w:sz w:val="21"/>
                <w:szCs w:val="21"/>
              </w:rPr>
              <w:br/>
            </w:r>
            <w:r>
              <w:rPr>
                <w:rFonts w:hint="eastAsia" w:ascii="宋体" w:hAnsi="宋体" w:cs="宋体"/>
                <w:sz w:val="21"/>
                <w:szCs w:val="21"/>
              </w:rPr>
              <w:t xml:space="preserve">整机最大协商速率5.95Gbps</w:t>
            </w:r>
            <w:r>
              <w:rPr>
                <w:rFonts w:hint="eastAsia" w:ascii="宋体" w:hAnsi="宋体" w:cs="宋体"/>
                <w:sz w:val="21"/>
                <w:szCs w:val="21"/>
              </w:rPr>
              <w:br/>
            </w:r>
            <w:r>
              <w:rPr>
                <w:rFonts w:hint="eastAsia" w:ascii="宋体" w:hAnsi="宋体" w:cs="宋体"/>
                <w:sz w:val="21"/>
                <w:szCs w:val="21"/>
              </w:rPr>
              <w:t xml:space="preserve">支持1个5G自适应以太口，1个GE口</w:t>
            </w:r>
            <w:r>
              <w:rPr>
                <w:rFonts w:hint="eastAsia" w:ascii="宋体" w:hAnsi="宋体" w:cs="宋体"/>
                <w:sz w:val="21"/>
                <w:szCs w:val="21"/>
              </w:rPr>
              <w:br/>
            </w:r>
            <w:r>
              <w:rPr>
                <w:rFonts w:hint="eastAsia" w:ascii="宋体" w:hAnsi="宋体" w:cs="宋体"/>
                <w:sz w:val="21"/>
                <w:szCs w:val="21"/>
              </w:rPr>
              <w:t xml:space="preserve">内置智能天线</w:t>
            </w:r>
            <w:r>
              <w:rPr>
                <w:rFonts w:hint="eastAsia" w:ascii="宋体" w:hAnsi="宋体" w:cs="宋体"/>
                <w:sz w:val="21"/>
                <w:szCs w:val="21"/>
              </w:rPr>
              <w:br/>
            </w:r>
            <w:r>
              <w:rPr>
                <w:rFonts w:hint="eastAsia" w:ascii="宋体" w:hAnsi="宋体" w:cs="宋体"/>
                <w:sz w:val="21"/>
                <w:szCs w:val="21"/>
              </w:rPr>
              <w:t xml:space="preserve">内置蓝牙5.0，可实现蓝牙终端精确定位</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12</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941"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1年维保，原备件维修更换，耗材全包</w:t>
            </w:r>
            <w:r/>
          </w:p>
        </w:tc>
      </w:tr>
      <w:tr>
        <w:trPr>
          <w:trHeight w:val="3371"/>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5</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面板AP</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522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AP2051DN</w:t>
            </w:r>
            <w:r>
              <w:rPr>
                <w:rFonts w:hint="eastAsia" w:ascii="宋体" w:hAnsi="宋体" w:cs="宋体"/>
                <w:sz w:val="21"/>
                <w:szCs w:val="21"/>
              </w:rPr>
              <w:br/>
            </w:r>
            <w:r>
              <w:rPr>
                <w:rFonts w:hint="eastAsia" w:ascii="宋体" w:hAnsi="宋体" w:cs="宋体"/>
                <w:sz w:val="21"/>
                <w:szCs w:val="21"/>
              </w:rPr>
              <w:t xml:space="preserve">支持2.4GHz/5GHz双频段，支持802.11a/n/ac/ac wave2协议标准</w:t>
            </w:r>
            <w:r>
              <w:rPr>
                <w:rFonts w:hint="eastAsia" w:ascii="宋体" w:hAnsi="宋体" w:cs="宋体"/>
                <w:sz w:val="21"/>
                <w:szCs w:val="21"/>
              </w:rPr>
              <w:br/>
            </w:r>
            <w:r>
              <w:rPr>
                <w:rFonts w:hint="eastAsia" w:ascii="宋体" w:hAnsi="宋体" w:cs="宋体"/>
                <w:sz w:val="21"/>
                <w:szCs w:val="21"/>
              </w:rPr>
              <w:t xml:space="preserve">2.4G支持2x2，最高带宽400Mbps，5G支持2x2，,最高速率867Mbps，整机速率1.26Gbps</w:t>
            </w:r>
            <w:r>
              <w:rPr>
                <w:rFonts w:hint="eastAsia" w:ascii="宋体" w:hAnsi="宋体" w:cs="宋体"/>
                <w:sz w:val="21"/>
                <w:szCs w:val="21"/>
              </w:rPr>
              <w:br/>
            </w:r>
            <w:r>
              <w:rPr>
                <w:rFonts w:hint="eastAsia" w:ascii="宋体" w:hAnsi="宋体" w:cs="宋体"/>
                <w:sz w:val="21"/>
                <w:szCs w:val="21"/>
              </w:rPr>
              <w:t xml:space="preserve">支持1个GE上行接口，4个GE下行接口，其中一个上行接口可用于POE输入供电</w:t>
            </w:r>
            <w:r>
              <w:rPr>
                <w:rFonts w:hint="eastAsia" w:ascii="宋体" w:hAnsi="宋体" w:cs="宋体"/>
                <w:sz w:val="21"/>
                <w:szCs w:val="21"/>
              </w:rPr>
              <w:br/>
            </w:r>
            <w:r>
              <w:rPr>
                <w:rFonts w:hint="eastAsia" w:ascii="宋体" w:hAnsi="宋体" w:cs="宋体"/>
                <w:sz w:val="21"/>
                <w:szCs w:val="21"/>
              </w:rPr>
              <w:t xml:space="preserve">支持标准USB接口，可用于对外供电</w:t>
            </w:r>
            <w:r>
              <w:rPr>
                <w:rFonts w:hint="eastAsia" w:ascii="宋体" w:hAnsi="宋体" w:cs="宋体"/>
                <w:sz w:val="21"/>
                <w:szCs w:val="21"/>
              </w:rPr>
              <w:br/>
            </w:r>
            <w:r>
              <w:rPr>
                <w:rFonts w:hint="eastAsia" w:ascii="宋体" w:hAnsi="宋体" w:cs="宋体"/>
                <w:sz w:val="21"/>
                <w:szCs w:val="21"/>
              </w:rPr>
              <w:t xml:space="preserve">内置智能天线</w:t>
            </w:r>
            <w:r>
              <w:rPr>
                <w:rFonts w:hint="eastAsia" w:ascii="宋体" w:hAnsi="宋体" w:cs="宋体"/>
                <w:sz w:val="21"/>
                <w:szCs w:val="21"/>
              </w:rPr>
              <w:br/>
            </w:r>
            <w:r>
              <w:rPr>
                <w:rFonts w:hint="eastAsia" w:ascii="宋体" w:hAnsi="宋体" w:cs="宋体"/>
                <w:sz w:val="21"/>
                <w:szCs w:val="21"/>
              </w:rPr>
              <w:t xml:space="preserve">支持面板、挂墙、桌面等安装方式，可安装在86面板盒上，厚度40mm</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93</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941"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760"/>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6</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高密AP</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522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AirEngine6760-X1</w:t>
            </w:r>
            <w:r>
              <w:rPr>
                <w:rFonts w:hint="eastAsia" w:ascii="宋体" w:hAnsi="宋体" w:cs="宋体"/>
                <w:sz w:val="21"/>
                <w:szCs w:val="21"/>
              </w:rPr>
              <w:br/>
            </w:r>
            <w:r>
              <w:rPr>
                <w:rFonts w:hint="eastAsia" w:ascii="宋体" w:hAnsi="宋体" w:cs="宋体"/>
                <w:sz w:val="21"/>
                <w:szCs w:val="21"/>
              </w:rPr>
              <w:t xml:space="preserve">支持2.4GHz/5GHz双频段，所有射频均支持802.11ax标准</w:t>
            </w:r>
            <w:r>
              <w:rPr>
                <w:rFonts w:hint="eastAsia" w:ascii="宋体" w:hAnsi="宋体" w:cs="宋体"/>
                <w:sz w:val="21"/>
                <w:szCs w:val="21"/>
              </w:rPr>
              <w:br/>
            </w:r>
            <w:r>
              <w:rPr>
                <w:rFonts w:hint="eastAsia" w:ascii="宋体" w:hAnsi="宋体" w:cs="宋体"/>
                <w:sz w:val="21"/>
                <w:szCs w:val="21"/>
              </w:rPr>
              <w:t xml:space="preserve">整机默认10条流，可通过授权升级增加至12条流</w:t>
            </w:r>
            <w:r>
              <w:rPr>
                <w:rFonts w:hint="eastAsia" w:ascii="宋体" w:hAnsi="宋体" w:cs="宋体"/>
                <w:sz w:val="21"/>
                <w:szCs w:val="21"/>
              </w:rPr>
              <w:br/>
            </w:r>
            <w:r>
              <w:rPr>
                <w:rFonts w:hint="eastAsia" w:ascii="宋体" w:hAnsi="宋体" w:cs="宋体"/>
                <w:sz w:val="21"/>
                <w:szCs w:val="21"/>
              </w:rPr>
              <w:t xml:space="preserve">2.4GHz射频支持802.11ax 4x4 MU-MIMO</w:t>
            </w:r>
            <w:r>
              <w:rPr>
                <w:rFonts w:hint="eastAsia" w:ascii="宋体" w:hAnsi="宋体" w:cs="宋体"/>
                <w:sz w:val="21"/>
                <w:szCs w:val="21"/>
              </w:rPr>
              <w:br/>
            </w:r>
            <w:r>
              <w:rPr>
                <w:rFonts w:hint="eastAsia" w:ascii="宋体" w:hAnsi="宋体" w:cs="宋体"/>
                <w:sz w:val="21"/>
                <w:szCs w:val="21"/>
              </w:rPr>
              <w:t xml:space="preserve">整机最大协商速率10Gbps</w:t>
            </w:r>
            <w:r>
              <w:rPr>
                <w:rFonts w:hint="eastAsia" w:ascii="宋体" w:hAnsi="宋体" w:cs="宋体"/>
                <w:sz w:val="21"/>
                <w:szCs w:val="21"/>
              </w:rPr>
              <w:br/>
            </w:r>
            <w:r>
              <w:rPr>
                <w:rFonts w:hint="eastAsia" w:ascii="宋体" w:hAnsi="宋体" w:cs="宋体"/>
                <w:sz w:val="21"/>
                <w:szCs w:val="21"/>
              </w:rPr>
              <w:t xml:space="preserve">支持1个10GE电接口，兼容1G/2.5G/5G</w:t>
            </w:r>
            <w:r>
              <w:rPr>
                <w:rFonts w:hint="eastAsia" w:ascii="宋体" w:hAnsi="宋体" w:cs="宋体"/>
                <w:sz w:val="21"/>
                <w:szCs w:val="21"/>
              </w:rPr>
              <w:br/>
            </w:r>
            <w:r>
              <w:rPr>
                <w:rFonts w:hint="eastAsia" w:ascii="宋体" w:hAnsi="宋体" w:cs="宋体"/>
                <w:sz w:val="21"/>
                <w:szCs w:val="21"/>
              </w:rPr>
              <w:t xml:space="preserve">支持1个SFP+光口</w:t>
            </w:r>
            <w:r>
              <w:rPr>
                <w:rFonts w:hint="eastAsia" w:ascii="宋体" w:hAnsi="宋体" w:cs="宋体"/>
                <w:sz w:val="21"/>
                <w:szCs w:val="21"/>
              </w:rPr>
              <w:br/>
            </w:r>
            <w:r>
              <w:rPr>
                <w:rFonts w:hint="eastAsia" w:ascii="宋体" w:hAnsi="宋体" w:cs="宋体"/>
                <w:sz w:val="21"/>
                <w:szCs w:val="21"/>
              </w:rPr>
              <w:t xml:space="preserve">内置智能天线</w:t>
            </w:r>
            <w:r>
              <w:rPr>
                <w:rFonts w:hint="eastAsia" w:ascii="宋体" w:hAnsi="宋体" w:cs="宋体"/>
                <w:sz w:val="21"/>
                <w:szCs w:val="21"/>
              </w:rPr>
              <w:br/>
            </w:r>
            <w:r>
              <w:rPr>
                <w:rFonts w:hint="eastAsia" w:ascii="宋体" w:hAnsi="宋体" w:cs="宋体"/>
                <w:sz w:val="21"/>
                <w:szCs w:val="21"/>
              </w:rPr>
              <w:t xml:space="preserve">内置蓝牙5.0，可实现蓝牙终端精确定位</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10</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941"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149"/>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7</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管理区交换机</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522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S5735-S24T4X</w:t>
            </w:r>
            <w:r>
              <w:rPr>
                <w:rFonts w:hint="eastAsia" w:ascii="宋体" w:hAnsi="宋体" w:cs="宋体"/>
                <w:sz w:val="21"/>
                <w:szCs w:val="21"/>
              </w:rPr>
              <w:br/>
            </w:r>
            <w:r>
              <w:rPr>
                <w:rFonts w:hint="eastAsia" w:ascii="宋体" w:hAnsi="宋体" w:cs="宋体"/>
                <w:sz w:val="21"/>
                <w:szCs w:val="21"/>
              </w:rPr>
              <w:t xml:space="preserve">交换容量为336Gbps，包转发率为108Mpps</w:t>
            </w:r>
            <w:r>
              <w:rPr>
                <w:rFonts w:hint="eastAsia" w:ascii="宋体" w:hAnsi="宋体" w:cs="宋体"/>
                <w:sz w:val="21"/>
                <w:szCs w:val="21"/>
              </w:rPr>
              <w:br/>
            </w:r>
            <w:r>
              <w:rPr>
                <w:rFonts w:hint="eastAsia" w:ascii="宋体" w:hAnsi="宋体" w:cs="宋体"/>
                <w:sz w:val="21"/>
                <w:szCs w:val="21"/>
              </w:rPr>
              <w:t xml:space="preserve">整机提供千兆电口24个，万兆光口4个；</w:t>
            </w:r>
            <w:r>
              <w:rPr>
                <w:rFonts w:hint="eastAsia" w:ascii="宋体" w:hAnsi="宋体" w:cs="宋体"/>
                <w:sz w:val="21"/>
                <w:szCs w:val="21"/>
              </w:rPr>
              <w:br/>
            </w:r>
            <w:r>
              <w:rPr>
                <w:rFonts w:hint="eastAsia" w:ascii="宋体" w:hAnsi="宋体" w:cs="宋体"/>
                <w:sz w:val="21"/>
                <w:szCs w:val="21"/>
              </w:rPr>
              <w:t xml:space="preserve">支持USB接口；</w:t>
            </w:r>
            <w:r>
              <w:rPr>
                <w:rFonts w:hint="eastAsia" w:ascii="宋体" w:hAnsi="宋体" w:cs="宋体"/>
                <w:sz w:val="21"/>
                <w:szCs w:val="21"/>
              </w:rPr>
              <w:br/>
            </w:r>
            <w:r>
              <w:rPr>
                <w:rFonts w:hint="eastAsia" w:ascii="宋体" w:hAnsi="宋体" w:cs="宋体"/>
                <w:sz w:val="21"/>
                <w:szCs w:val="21"/>
              </w:rPr>
              <w:t xml:space="preserve">支持模块化可插拔双电源</w:t>
            </w:r>
            <w:r>
              <w:rPr>
                <w:rFonts w:hint="eastAsia" w:ascii="宋体" w:hAnsi="宋体" w:cs="宋体"/>
                <w:sz w:val="21"/>
                <w:szCs w:val="21"/>
              </w:rPr>
              <w:br/>
            </w:r>
            <w:r>
              <w:rPr>
                <w:rFonts w:hint="eastAsia" w:ascii="宋体" w:hAnsi="宋体" w:cs="宋体"/>
                <w:sz w:val="21"/>
                <w:szCs w:val="21"/>
              </w:rPr>
              <w:t xml:space="preserve">千兆电口24个，万兆光口4个，可插拔电源模块2块，1根堆叠线缆</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2</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941"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455"/>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8</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出口防火墙</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522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USG6625E </w:t>
            </w:r>
            <w:r>
              <w:rPr>
                <w:rFonts w:hint="eastAsia" w:ascii="宋体" w:hAnsi="宋体" w:cs="宋体"/>
                <w:sz w:val="21"/>
                <w:szCs w:val="21"/>
              </w:rPr>
              <w:br/>
            </w:r>
            <w:r>
              <w:rPr>
                <w:rFonts w:hint="eastAsia" w:ascii="宋体" w:hAnsi="宋体" w:cs="宋体"/>
                <w:sz w:val="21"/>
                <w:szCs w:val="21"/>
              </w:rPr>
              <w:t xml:space="preserve">吞吐量20Gbps，最大并发连接数800万，每秒新建连接数20万，IPSec吞吐量15Gbps，IPS吞吐量10Gbps</w:t>
            </w:r>
            <w:r>
              <w:rPr>
                <w:rFonts w:hint="eastAsia" w:ascii="宋体" w:hAnsi="宋体" w:cs="宋体"/>
                <w:sz w:val="21"/>
                <w:szCs w:val="21"/>
              </w:rPr>
              <w:br/>
            </w:r>
            <w:r>
              <w:rPr>
                <w:rFonts w:hint="eastAsia" w:ascii="宋体" w:hAnsi="宋体" w:cs="宋体"/>
                <w:sz w:val="21"/>
                <w:szCs w:val="21"/>
              </w:rPr>
              <w:t xml:space="preserve">支持双电源，支持风扇可插拔，支持前后风道</w:t>
            </w:r>
            <w:r>
              <w:rPr>
                <w:rFonts w:hint="eastAsia" w:ascii="宋体" w:hAnsi="宋体" w:cs="宋体"/>
                <w:sz w:val="21"/>
                <w:szCs w:val="21"/>
              </w:rPr>
              <w:br/>
            </w:r>
            <w:r>
              <w:rPr>
                <w:rFonts w:hint="eastAsia" w:ascii="宋体" w:hAnsi="宋体" w:cs="宋体"/>
                <w:sz w:val="21"/>
                <w:szCs w:val="21"/>
              </w:rPr>
              <w:t xml:space="preserve">千兆电口16，千兆光口6，10G光接口6，电源模块2块，硬盘容量240GB， IPS、AV、URL、云沙箱升级防护功能，虚拟防火墙数量100</w:t>
            </w:r>
            <w:r/>
          </w:p>
          <w:p>
            <w:pPr>
              <w:jc w:val="left"/>
              <w:widowControl/>
              <w:rPr>
                <w:rFonts w:ascii="宋体" w:hAnsi="宋体" w:cs="宋体"/>
                <w:sz w:val="21"/>
                <w:szCs w:val="21"/>
              </w:rPr>
            </w:pPr>
            <w:r>
              <w:rPr>
                <w:rFonts w:hint="eastAsia" w:ascii="宋体" w:hAnsi="宋体" w:cs="宋体"/>
                <w:sz w:val="21"/>
                <w:szCs w:val="21"/>
              </w:rPr>
              <w:t xml:space="preserve">威胁防护12个月(适用于USG6625E)</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2</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941"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1844"/>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9</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运维审计</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522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UMA1520E</w:t>
            </w:r>
            <w:r>
              <w:rPr>
                <w:rFonts w:hint="eastAsia" w:ascii="宋体" w:hAnsi="宋体" w:cs="宋体"/>
                <w:sz w:val="21"/>
                <w:szCs w:val="21"/>
              </w:rPr>
              <w:br/>
            </w:r>
            <w:r>
              <w:rPr>
                <w:rFonts w:hint="eastAsia" w:ascii="宋体" w:hAnsi="宋体" w:cs="宋体"/>
                <w:sz w:val="21"/>
                <w:szCs w:val="21"/>
              </w:rPr>
              <w:t xml:space="preserve">路由器，交换机，防火墙，Windows/Linux/Unix服务器等（支持多个主流厂家设备类型）</w:t>
            </w:r>
            <w:r>
              <w:rPr>
                <w:rFonts w:hint="eastAsia" w:ascii="宋体" w:hAnsi="宋体" w:cs="宋体"/>
                <w:sz w:val="21"/>
                <w:szCs w:val="21"/>
              </w:rPr>
              <w:br/>
            </w:r>
            <w:r>
              <w:rPr>
                <w:rFonts w:hint="eastAsia" w:ascii="宋体" w:hAnsi="宋体" w:cs="宋体"/>
                <w:sz w:val="21"/>
                <w:szCs w:val="21"/>
              </w:rPr>
              <w:t xml:space="preserve">专用千兆硬件平台，扩展插槽2；</w:t>
            </w:r>
            <w:r>
              <w:rPr>
                <w:rFonts w:hint="eastAsia" w:ascii="宋体" w:hAnsi="宋体" w:cs="宋体"/>
                <w:sz w:val="21"/>
                <w:szCs w:val="21"/>
              </w:rPr>
              <w:br/>
            </w:r>
            <w:r>
              <w:rPr>
                <w:rFonts w:hint="eastAsia" w:ascii="宋体" w:hAnsi="宋体" w:cs="宋体"/>
                <w:sz w:val="21"/>
                <w:szCs w:val="21"/>
              </w:rPr>
              <w:t xml:space="preserve">实配资产管理数50个，千兆电口6个，万兆光口2个，冗余电源模块</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941"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149"/>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br w:type="page" w:clear="all"/>
            </w:r>
            <w:r>
              <w:rPr>
                <w:rFonts w:hint="eastAsia" w:ascii="宋体" w:hAnsi="宋体" w:cs="宋体"/>
                <w:sz w:val="21"/>
                <w:szCs w:val="21"/>
              </w:rPr>
              <w:t xml:space="preserve">10</w:t>
            </w:r>
            <w:r/>
          </w:p>
        </w:tc>
        <w:tc>
          <w:tcPr>
            <w:tcW w:w="77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运维管理区防火墙</w:t>
            </w:r>
            <w:r/>
          </w:p>
        </w:tc>
        <w:tc>
          <w:tcPr>
            <w:tcW w:w="819"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522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USG6525E </w:t>
            </w:r>
            <w:r>
              <w:rPr>
                <w:rFonts w:hint="eastAsia" w:ascii="宋体" w:hAnsi="宋体" w:cs="宋体"/>
                <w:sz w:val="21"/>
                <w:szCs w:val="21"/>
              </w:rPr>
              <w:br/>
            </w:r>
            <w:r>
              <w:rPr>
                <w:rFonts w:hint="eastAsia" w:ascii="宋体" w:hAnsi="宋体" w:cs="宋体"/>
                <w:sz w:val="21"/>
                <w:szCs w:val="21"/>
              </w:rPr>
              <w:t xml:space="preserve">吞吐量2Gbps，最大并发连接数300万，每秒新建连接数7万，IPSec吞吐量2Gbps；</w:t>
            </w:r>
            <w:r>
              <w:rPr>
                <w:rFonts w:hint="eastAsia" w:ascii="宋体" w:hAnsi="宋体" w:cs="宋体"/>
                <w:sz w:val="21"/>
                <w:szCs w:val="21"/>
              </w:rPr>
              <w:br/>
            </w:r>
            <w:r>
              <w:rPr>
                <w:rFonts w:hint="eastAsia" w:ascii="宋体" w:hAnsi="宋体" w:cs="宋体"/>
                <w:sz w:val="21"/>
                <w:szCs w:val="21"/>
              </w:rPr>
              <w:t xml:space="preserve">支持双电源，支持风扇可插拔，支持前后风道</w:t>
            </w:r>
            <w:r>
              <w:rPr>
                <w:rFonts w:hint="eastAsia" w:ascii="宋体" w:hAnsi="宋体" w:cs="宋体"/>
                <w:sz w:val="21"/>
                <w:szCs w:val="21"/>
              </w:rPr>
              <w:br/>
            </w:r>
            <w:r>
              <w:rPr>
                <w:rFonts w:hint="eastAsia" w:ascii="宋体" w:hAnsi="宋体" w:cs="宋体"/>
                <w:sz w:val="21"/>
                <w:szCs w:val="21"/>
              </w:rPr>
              <w:t xml:space="preserve">千兆Combo接口8，万兆光口2，千兆WAN口2,电源模块2块，硬盘容量64GB，虚拟防火墙数量50</w:t>
            </w:r>
            <w:r/>
          </w:p>
          <w:p>
            <w:pPr>
              <w:jc w:val="left"/>
              <w:widowControl/>
              <w:rPr>
                <w:rFonts w:ascii="宋体" w:hAnsi="宋体" w:cs="宋体"/>
                <w:sz w:val="21"/>
                <w:szCs w:val="21"/>
              </w:rPr>
            </w:pPr>
            <w:r>
              <w:rPr>
                <w:rFonts w:hint="eastAsia" w:ascii="宋体" w:hAnsi="宋体" w:cs="宋体"/>
                <w:sz w:val="21"/>
                <w:szCs w:val="21"/>
              </w:rPr>
              <w:t xml:space="preserve">与态势感知设备联动</w:t>
            </w:r>
            <w:r/>
          </w:p>
        </w:tc>
        <w:tc>
          <w:tcPr>
            <w:tcW w:w="478"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2</w:t>
            </w:r>
            <w:r/>
          </w:p>
        </w:tc>
        <w:tc>
          <w:tcPr>
            <w:tcW w:w="527"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941"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937"/>
        </w:trPr>
        <w:tc>
          <w:tcPr>
            <w:tcW w:w="51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11</w:t>
            </w:r>
            <w:r/>
          </w:p>
        </w:tc>
        <w:tc>
          <w:tcPr>
            <w:gridSpan w:val="6"/>
            <w:tcW w:w="876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根据厂商发布的设备最新的软件（固件）和策略（规则库），及时关注并升级以上网络设备、安全设备的软件（固件）和策略（规则库），确保系统安全性和稳定性。</w:t>
            </w:r>
            <w:r/>
          </w:p>
        </w:tc>
      </w:tr>
    </w:tbl>
    <w:p>
      <w:pPr>
        <w:ind w:firstLine="480"/>
        <w:spacing w:line="360" w:lineRule="auto"/>
        <w:rPr>
          <w:rFonts w:ascii="宋体" w:hAnsi="宋体" w:cs="宋体"/>
          <w:sz w:val="21"/>
          <w:szCs w:val="21"/>
        </w:rPr>
      </w:pPr>
      <w:r>
        <w:rPr>
          <w:rFonts w:hint="eastAsia" w:ascii="宋体" w:hAnsi="宋体" w:cs="宋体"/>
          <w:sz w:val="21"/>
          <w:szCs w:val="21"/>
        </w:rPr>
        <w:t xml:space="preserve">注：以上网络和安全设备提供相关延保和升级服务，在维护期间设备出现故障，需更换设备，必须更换同型号或比原设备版本更高的设备。为保证采购人在用业务的稳定性，设备的兼容性，供应商需提供相关延保服务（需在合同签订时提供相关服务承诺，合同签订后一个月内完成所有技术服务购买和实施）。</w:t>
      </w:r>
      <w:r/>
    </w:p>
    <w:p>
      <w:pPr>
        <w:ind w:firstLine="480"/>
        <w:spacing w:line="360" w:lineRule="auto"/>
        <w:rPr>
          <w:rFonts w:ascii="宋体" w:hAnsi="宋体" w:cs="宋体"/>
          <w:sz w:val="21"/>
          <w:szCs w:val="21"/>
        </w:rPr>
      </w:pPr>
      <w:r>
        <w:rPr>
          <w:rFonts w:hint="eastAsia" w:ascii="宋体" w:hAnsi="宋体" w:cs="宋体"/>
          <w:sz w:val="21"/>
          <w:szCs w:val="21"/>
        </w:rPr>
        <w:t xml:space="preserve">供应商应就其承诺内容的真实性负责，签订合同前成交供应商需提供网络和安全设备采用相关延保和升级服务的相关证明材料（原件）供采购人核验，如无法履行或提供虚假材料谋取成交的，采购人有权取消其成交资格，并追究相关法律责任。</w:t>
      </w:r>
      <w:r/>
    </w:p>
    <w:p>
      <w:pPr>
        <w:ind w:firstLine="480"/>
        <w:spacing w:line="360" w:lineRule="auto"/>
        <w:rPr>
          <w:rFonts w:ascii="宋体" w:hAnsi="宋体" w:cs="宋体"/>
          <w:sz w:val="21"/>
          <w:szCs w:val="21"/>
        </w:rPr>
      </w:pPr>
      <w:r>
        <w:rPr>
          <w:rFonts w:hint="eastAsia" w:ascii="宋体" w:hAnsi="宋体" w:cs="宋体"/>
          <w:sz w:val="21"/>
          <w:szCs w:val="21"/>
        </w:rPr>
        <w:t xml:space="preserve">2、总体响应时间</w:t>
      </w:r>
      <w:r/>
    </w:p>
    <w:tbl>
      <w:tblPr>
        <w:tblStyle w:val="989"/>
        <w:tblW w:w="91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6"/>
        <w:gridCol w:w="1822"/>
        <w:gridCol w:w="1854"/>
        <w:gridCol w:w="1722"/>
        <w:gridCol w:w="1854"/>
      </w:tblGrid>
      <w:tr>
        <w:trPr>
          <w:trHeight w:val="458"/>
        </w:trPr>
        <w:tc>
          <w:tcPr>
            <w:gridSpan w:val="2"/>
            <w:tcW w:w="3708"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响应时间</w:t>
            </w:r>
            <w:r/>
          </w:p>
        </w:tc>
        <w:tc>
          <w:tcPr>
            <w:tcW w:w="1854"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w:t>
            </w:r>
            <w:r/>
          </w:p>
        </w:tc>
        <w:tc>
          <w:tcPr>
            <w:gridSpan w:val="2"/>
            <w:tcW w:w="3576"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解决时间</w:t>
            </w:r>
            <w:r/>
          </w:p>
        </w:tc>
      </w:tr>
      <w:tr>
        <w:trPr>
          <w:trHeight w:val="893"/>
        </w:trPr>
        <w:tc>
          <w:tcPr>
            <w:tcW w:w="1886"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22"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c>
          <w:tcPr>
            <w:tcW w:w="1854"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服务时间要求</w:t>
            </w:r>
            <w:r/>
          </w:p>
        </w:tc>
        <w:tc>
          <w:tcPr>
            <w:tcW w:w="1722"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54"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r>
      <w:tr>
        <w:trPr>
          <w:trHeight w:val="461"/>
        </w:trPr>
        <w:tc>
          <w:tcPr>
            <w:tcW w:w="1886"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现场4小时响应</w:t>
            </w:r>
            <w:r/>
          </w:p>
        </w:tc>
        <w:tc>
          <w:tcPr>
            <w:tcW w:w="1822"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现场24小时响应 </w:t>
            </w:r>
            <w:r/>
          </w:p>
        </w:tc>
        <w:tc>
          <w:tcPr>
            <w:tcW w:w="1854"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7*24小时 </w:t>
            </w:r>
            <w:r/>
          </w:p>
        </w:tc>
        <w:tc>
          <w:tcPr>
            <w:tcW w:w="1722"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现场4小时响应</w:t>
            </w:r>
            <w:r/>
          </w:p>
        </w:tc>
        <w:tc>
          <w:tcPr>
            <w:tcW w:w="1854"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现场24小时响应 </w:t>
            </w:r>
            <w:r/>
          </w:p>
        </w:tc>
      </w:tr>
    </w:tbl>
    <w:p>
      <w:pPr>
        <w:ind w:firstLine="480"/>
        <w:spacing w:line="360" w:lineRule="auto"/>
        <w:rPr>
          <w:rFonts w:ascii="宋体" w:hAnsi="宋体" w:cs="宋体"/>
          <w:b/>
          <w:bCs/>
          <w:sz w:val="21"/>
          <w:szCs w:val="21"/>
        </w:rPr>
      </w:pPr>
      <w:r>
        <w:rPr>
          <w:rFonts w:hint="eastAsia" w:ascii="宋体" w:hAnsi="宋体" w:cs="宋体"/>
          <w:b/>
          <w:bCs/>
          <w:sz w:val="21"/>
          <w:szCs w:val="21"/>
        </w:rPr>
        <w:t xml:space="preserve">（三）安全设备运维</w:t>
      </w:r>
      <w:r/>
    </w:p>
    <w:p>
      <w:pPr>
        <w:ind w:firstLine="480"/>
        <w:spacing w:line="360" w:lineRule="auto"/>
        <w:rPr>
          <w:rFonts w:ascii="宋体" w:hAnsi="宋体" w:cs="宋体"/>
          <w:sz w:val="21"/>
          <w:szCs w:val="21"/>
        </w:rPr>
      </w:pPr>
      <w:r>
        <w:rPr>
          <w:rFonts w:hint="eastAsia" w:ascii="宋体" w:hAnsi="宋体" w:cs="宋体"/>
          <w:sz w:val="21"/>
          <w:szCs w:val="21"/>
        </w:rPr>
        <w:t xml:space="preserve">1、运维服务范围与要求</w:t>
      </w:r>
      <w:r/>
    </w:p>
    <w:tbl>
      <w:tblPr>
        <w:tblStyle w:val="989"/>
        <w:tblW w:w="905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5"/>
        <w:gridCol w:w="1575"/>
        <w:gridCol w:w="2232"/>
        <w:gridCol w:w="1313"/>
        <w:gridCol w:w="3413"/>
      </w:tblGrid>
      <w:tr>
        <w:trPr>
          <w:trHeight w:val="616"/>
        </w:trPr>
        <w:tc>
          <w:tcPr>
            <w:tcW w:w="52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序号</w:t>
            </w:r>
            <w:r/>
          </w:p>
        </w:tc>
        <w:tc>
          <w:tcPr>
            <w:tcW w:w="157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设备名称</w:t>
            </w:r>
            <w:r/>
          </w:p>
        </w:tc>
        <w:tc>
          <w:tcPr>
            <w:tcW w:w="2232"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产品型号</w:t>
            </w:r>
            <w:r/>
          </w:p>
        </w:tc>
        <w:tc>
          <w:tcPr>
            <w:tcW w:w="13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主产品数量</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维保内容</w:t>
            </w:r>
            <w:r/>
          </w:p>
        </w:tc>
      </w:tr>
      <w:tr>
        <w:trPr>
          <w:trHeight w:val="313"/>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全网行为管理</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AC-1000-SK1500-AK</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URL&amp;应用识别规则库升级</w:t>
            </w:r>
            <w:r/>
          </w:p>
        </w:tc>
      </w:tr>
      <w:tr>
        <w:trPr>
          <w:trHeight w:val="31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维保服务（标准版）</w:t>
            </w:r>
            <w:r/>
          </w:p>
        </w:tc>
      </w:tr>
      <w:tr>
        <w:trPr>
          <w:trHeight w:val="616"/>
        </w:trPr>
        <w:tc>
          <w:tcPr>
            <w:tcW w:w="52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2</w:t>
            </w:r>
            <w:r/>
          </w:p>
        </w:tc>
        <w:tc>
          <w:tcPr>
            <w:tcW w:w="157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终端安全管理系统（EDR）</w:t>
            </w:r>
            <w:r/>
          </w:p>
        </w:tc>
        <w:tc>
          <w:tcPr>
            <w:tcW w:w="2232"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终端安全管理系统（EDR）</w:t>
            </w:r>
            <w:r/>
          </w:p>
        </w:tc>
        <w:tc>
          <w:tcPr>
            <w:tcW w:w="13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软件升级（PC端）</w:t>
            </w:r>
            <w:r/>
          </w:p>
        </w:tc>
      </w:tr>
      <w:tr>
        <w:trPr>
          <w:trHeight w:val="616"/>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3</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防火墙:</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AF-1000-B1800-LV</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深信服云智订阅软件（AF8.0.7及以上版本适用）</w:t>
            </w:r>
            <w:r/>
          </w:p>
        </w:tc>
      </w:tr>
      <w:tr>
        <w:trPr>
          <w:trHeight w:val="31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维保服务（标准版）</w:t>
            </w:r>
            <w:r/>
          </w:p>
        </w:tc>
      </w:tr>
      <w:tr>
        <w:trPr>
          <w:trHeight w:val="616"/>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4</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防火墙:</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AF-1000-B400</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深信服云智订阅软件（AF8.0.7及以上版本适用）</w:t>
            </w:r>
            <w:r/>
          </w:p>
        </w:tc>
      </w:tr>
      <w:tr>
        <w:trPr>
          <w:trHeight w:val="31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维保服务（标准版）</w:t>
            </w:r>
            <w:r/>
          </w:p>
        </w:tc>
      </w:tr>
      <w:tr>
        <w:trPr>
          <w:trHeight w:val="864"/>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5</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安全感知管理设备</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SIP-1000-B400</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软件升级</w:t>
            </w:r>
            <w:r/>
          </w:p>
        </w:tc>
      </w:tr>
      <w:tr>
        <w:trPr>
          <w:trHeight w:val="57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产品质保（标准版）</w:t>
            </w:r>
            <w:r/>
          </w:p>
        </w:tc>
      </w:tr>
      <w:tr>
        <w:trPr>
          <w:trHeight w:val="31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售后支持服务（P）</w:t>
            </w:r>
            <w:r/>
          </w:p>
        </w:tc>
      </w:tr>
      <w:tr>
        <w:trPr>
          <w:trHeight w:val="313"/>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6</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潜伏威胁探针设备</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STA-100-B2100</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售后支持服务（P）</w:t>
            </w:r>
            <w:r/>
          </w:p>
        </w:tc>
      </w:tr>
      <w:tr>
        <w:trPr>
          <w:trHeight w:val="31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维保服务（标准版）</w:t>
            </w:r>
            <w:r/>
          </w:p>
        </w:tc>
      </w:tr>
      <w:tr>
        <w:trPr>
          <w:trHeight w:val="671"/>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7</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网闸</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GAP-1000-C640-HK</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产品质保</w:t>
            </w:r>
            <w:r/>
          </w:p>
        </w:tc>
      </w:tr>
      <w:tr>
        <w:trPr>
          <w:trHeight w:val="671"/>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软件升级（GAP-1000-C640）</w:t>
            </w:r>
            <w:r/>
          </w:p>
        </w:tc>
      </w:tr>
      <w:tr>
        <w:trPr>
          <w:trHeight w:val="929"/>
        </w:trPr>
        <w:tc>
          <w:tcPr>
            <w:tcW w:w="52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8</w:t>
            </w:r>
            <w:r/>
          </w:p>
        </w:tc>
        <w:tc>
          <w:tcPr>
            <w:tcW w:w="157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态势感知第三方安全设备联动授权</w:t>
            </w:r>
            <w:r/>
          </w:p>
        </w:tc>
        <w:tc>
          <w:tcPr>
            <w:tcW w:w="2232"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态势感知第三方安全设备联动授权</w:t>
            </w:r>
            <w:r/>
          </w:p>
        </w:tc>
        <w:tc>
          <w:tcPr>
            <w:tcW w:w="13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态势感知联动防火墙授权*1套，第三方接入授权*5个</w:t>
            </w:r>
            <w:r/>
          </w:p>
        </w:tc>
      </w:tr>
    </w:tbl>
    <w:p>
      <w:pPr>
        <w:ind w:firstLine="480"/>
        <w:spacing w:line="360" w:lineRule="auto"/>
        <w:rPr>
          <w:rFonts w:ascii="宋体" w:hAnsi="宋体" w:cs="宋体"/>
          <w:sz w:val="21"/>
          <w:szCs w:val="21"/>
        </w:rPr>
      </w:pPr>
      <w:r>
        <w:rPr>
          <w:rFonts w:hint="eastAsia" w:ascii="宋体" w:hAnsi="宋体" w:cs="宋体"/>
          <w:sz w:val="21"/>
          <w:szCs w:val="21"/>
        </w:rPr>
        <w:t xml:space="preserve">注：以上网络和安全设备提供相关延保和升级服务，在维护期间设备出现故障，需更换设备，必须更换同型号或比原设备版本更高的设备。为保证采购人在用业务的稳定性，设备的兼容性，供应商需提供相关延保服务（需在合同签订时提供相关服务承诺，合同签订后一个月内完成所有技术服务购买和实施）。</w:t>
      </w:r>
      <w:r/>
    </w:p>
    <w:p>
      <w:pPr>
        <w:ind w:firstLine="480"/>
        <w:spacing w:line="360" w:lineRule="auto"/>
        <w:rPr>
          <w:rFonts w:ascii="宋体" w:hAnsi="宋体" w:cs="宋体"/>
          <w:sz w:val="21"/>
          <w:szCs w:val="21"/>
        </w:rPr>
      </w:pPr>
      <w:r>
        <w:rPr>
          <w:rFonts w:hint="eastAsia" w:ascii="宋体" w:hAnsi="宋体" w:cs="宋体"/>
          <w:sz w:val="21"/>
          <w:szCs w:val="21"/>
        </w:rPr>
        <w:t xml:space="preserve">供应商应就其承诺内容的真实性负责，签订合同前成交供应商需提供网络和安全设备采用相关延保和升级服务的相关证明材料（原件）供采购人核验，如无法履行或提供虚假材料谋取成交的，采购人有权取消其成交资格，并追究相关法律责任。</w:t>
      </w:r>
      <w:r/>
    </w:p>
    <w:p>
      <w:pPr>
        <w:ind w:firstLine="480"/>
        <w:spacing w:line="360" w:lineRule="auto"/>
        <w:rPr>
          <w:rFonts w:ascii="宋体" w:hAnsi="宋体" w:cs="宋体"/>
          <w:sz w:val="21"/>
          <w:szCs w:val="21"/>
        </w:rPr>
      </w:pPr>
      <w:r>
        <w:rPr>
          <w:rFonts w:hint="eastAsia" w:ascii="宋体" w:hAnsi="宋体" w:cs="宋体"/>
          <w:sz w:val="21"/>
          <w:szCs w:val="21"/>
        </w:rPr>
        <w:t xml:space="preserve">2、总体响应时间</w:t>
      </w:r>
      <w:r/>
    </w:p>
    <w:tbl>
      <w:tblPr>
        <w:tblStyle w:val="989"/>
        <w:tblW w:w="92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1850"/>
        <w:gridCol w:w="1883"/>
        <w:gridCol w:w="1748"/>
        <w:gridCol w:w="1882"/>
      </w:tblGrid>
      <w:tr>
        <w:trPr>
          <w:trHeight w:val="467"/>
        </w:trPr>
        <w:tc>
          <w:tcPr>
            <w:gridSpan w:val="2"/>
            <w:tcW w:w="3765"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响应时间</w:t>
            </w:r>
            <w:r/>
          </w:p>
        </w:tc>
        <w:tc>
          <w:tcPr>
            <w:tcW w:w="1883"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w:t>
            </w:r>
            <w:r/>
          </w:p>
        </w:tc>
        <w:tc>
          <w:tcPr>
            <w:gridSpan w:val="2"/>
            <w:tcW w:w="3630"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解决时间</w:t>
            </w:r>
            <w:r/>
          </w:p>
        </w:tc>
      </w:tr>
      <w:tr>
        <w:trPr>
          <w:trHeight w:val="911"/>
        </w:trPr>
        <w:tc>
          <w:tcPr>
            <w:tcW w:w="1915"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50"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c>
          <w:tcPr>
            <w:tcW w:w="1883"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服务时间要求</w:t>
            </w:r>
            <w:r/>
          </w:p>
        </w:tc>
        <w:tc>
          <w:tcPr>
            <w:tcW w:w="1748"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82"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r>
      <w:tr>
        <w:trPr>
          <w:trHeight w:val="470"/>
        </w:trPr>
        <w:tc>
          <w:tcPr>
            <w:tcW w:w="1915"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现场4小时响应</w:t>
            </w:r>
            <w:r/>
          </w:p>
        </w:tc>
        <w:tc>
          <w:tcPr>
            <w:tcW w:w="1850"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现场24小时响应 </w:t>
            </w:r>
            <w:r/>
          </w:p>
        </w:tc>
        <w:tc>
          <w:tcPr>
            <w:tcW w:w="1883"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7*24小时 </w:t>
            </w:r>
            <w:r/>
          </w:p>
        </w:tc>
        <w:tc>
          <w:tcPr>
            <w:tcW w:w="1748"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现场4小时响应</w:t>
            </w:r>
            <w:r/>
          </w:p>
        </w:tc>
        <w:tc>
          <w:tcPr>
            <w:tcW w:w="1882"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现场24小时响应 </w:t>
            </w:r>
            <w:r/>
          </w:p>
        </w:tc>
      </w:tr>
    </w:tbl>
    <w:p>
      <w:pPr>
        <w:ind w:firstLine="480"/>
        <w:spacing w:line="360" w:lineRule="auto"/>
        <w:rPr>
          <w:rFonts w:ascii="宋体" w:hAnsi="宋体" w:cs="宋体"/>
          <w:b/>
          <w:bCs/>
          <w:sz w:val="21"/>
          <w:szCs w:val="21"/>
        </w:rPr>
      </w:pPr>
      <w:r>
        <w:rPr>
          <w:rFonts w:hint="eastAsia" w:ascii="宋体" w:hAnsi="宋体" w:cs="宋体"/>
          <w:b/>
          <w:bCs/>
          <w:sz w:val="21"/>
          <w:szCs w:val="21"/>
        </w:rPr>
        <w:t xml:space="preserve">（四）地震监测服务器</w:t>
      </w:r>
      <w:r/>
    </w:p>
    <w:p>
      <w:pPr>
        <w:ind w:firstLine="480"/>
        <w:spacing w:line="360" w:lineRule="auto"/>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1、运维服务内容</w:t>
      </w:r>
      <w:r/>
    </w:p>
    <w:p>
      <w:pPr>
        <w:ind w:firstLine="480"/>
        <w:spacing w:line="360" w:lineRule="auto"/>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（1）为设备提供硬件维保服务</w:t>
      </w:r>
      <w:r/>
    </w:p>
    <w:p>
      <w:pPr>
        <w:ind w:firstLine="480"/>
        <w:spacing w:line="360" w:lineRule="auto"/>
        <w:rPr>
          <w:rFonts w:ascii="宋体" w:hAnsi="宋体" w:cs="宋体"/>
          <w:sz w:val="21"/>
          <w:szCs w:val="21"/>
        </w:rPr>
      </w:pPr>
      <w:r>
        <w:rPr>
          <w:rFonts w:hint="eastAsia" w:ascii="宋体" w:hAnsi="宋体" w:cs="宋体"/>
          <w:sz w:val="21"/>
          <w:szCs w:val="21"/>
        </w:rPr>
        <w:t xml:space="preserve">对发现损坏的部件进行更换，保证列表中硬件在服务期限内系统稳定、连续、可靠运行。</w:t>
      </w:r>
      <w:r/>
    </w:p>
    <w:p>
      <w:pPr>
        <w:ind w:firstLine="480"/>
        <w:spacing w:line="360" w:lineRule="auto"/>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（2）每季度提供定期巡检服务</w:t>
      </w:r>
      <w:r/>
    </w:p>
    <w:p>
      <w:pPr>
        <w:ind w:firstLine="480"/>
        <w:spacing w:line="360" w:lineRule="auto"/>
        <w:rPr>
          <w:rFonts w:ascii="宋体" w:hAnsi="宋体" w:cs="宋体"/>
          <w:sz w:val="21"/>
          <w:szCs w:val="21"/>
        </w:rPr>
      </w:pPr>
      <w:r>
        <w:rPr>
          <w:rFonts w:hint="eastAsia" w:ascii="宋体" w:hAnsi="宋体" w:cs="宋体"/>
          <w:sz w:val="21"/>
          <w:szCs w:val="21"/>
        </w:rPr>
        <w:t xml:space="preserve">巡检设备范围为设备内所有设备。巡检服务包括现场巡检、调整优化，以保证能够及时发现问题并予以解决，巡检需输出巡检报告，并提出改进方案。预防性维护及检测的时间应在不影响采购人设备使用的情况下与用户协商共同确定。</w:t>
      </w:r>
      <w:r/>
    </w:p>
    <w:p>
      <w:pPr>
        <w:ind w:firstLine="480"/>
        <w:spacing w:line="360" w:lineRule="auto"/>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（3）提供7*24级别的服务支持</w:t>
      </w:r>
      <w:r/>
    </w:p>
    <w:p>
      <w:pPr>
        <w:ind w:firstLine="480"/>
        <w:spacing w:line="360" w:lineRule="auto"/>
        <w:rPr>
          <w:rFonts w:ascii="宋体" w:hAnsi="宋体" w:cs="宋体"/>
          <w:szCs w:val="21"/>
        </w:rPr>
      </w:pPr>
      <w:r>
        <w:rPr>
          <w:rFonts w:hint="eastAsia" w:ascii="宋体" w:hAnsi="宋体" w:cs="宋体"/>
          <w:sz w:val="21"/>
          <w:szCs w:val="21"/>
        </w:rPr>
        <w:t xml:space="preserve">接到采购人故障申告后按要求赶到现场并予以故障排除。现场技术支持包</w:t>
      </w:r>
      <w:r>
        <w:rPr>
          <w:rFonts w:hint="eastAsia" w:ascii="宋体" w:hAnsi="宋体" w:cs="宋体"/>
          <w:szCs w:val="21"/>
        </w:rPr>
        <w:t xml:space="preserve">括：用户设备的启保全面现场检查，建立技术档案；紧急现场故障处理等。</w:t>
      </w:r>
      <w:r/>
    </w:p>
    <w:p>
      <w:pPr>
        <w:ind w:firstLine="480"/>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 xml:space="preserve">（4）24小时服务热线支持</w:t>
      </w:r>
      <w:r/>
    </w:p>
    <w:p>
      <w:pPr>
        <w:ind w:firstLine="480"/>
        <w:spacing w:line="360" w:lineRule="auto"/>
        <w:rPr>
          <w:rFonts w:ascii="宋体" w:hAnsi="宋体" w:cs="宋体"/>
          <w:szCs w:val="21"/>
        </w:rPr>
      </w:pPr>
      <w:r>
        <w:rPr>
          <w:rFonts w:hint="eastAsia" w:ascii="宋体" w:hAnsi="宋体" w:cs="宋体"/>
          <w:szCs w:val="21"/>
        </w:rPr>
        <w:t xml:space="preserve">当采购人系统出现故障且需要供应商进行支持处理时，得到采购人的允许后，成交供应商工程师根据采购人要求并取得相关授权，在确保整个系统安全的前提下，及时登录到采购人机器上，及时进行问题诊断与故障排除，以最迅速、高效、快捷的方式为采购人解决问题，提供专业的技术支持服务。</w:t>
      </w:r>
      <w:r/>
    </w:p>
    <w:p>
      <w:pPr>
        <w:ind w:firstLine="480"/>
        <w:spacing w:line="360" w:lineRule="auto"/>
        <w:rPr>
          <w:rFonts w:ascii="宋体" w:hAnsi="宋体" w:cs="宋体"/>
          <w:szCs w:val="21"/>
        </w:rPr>
      </w:pPr>
      <w:r>
        <w:rPr>
          <w:rFonts w:hint="eastAsia" w:ascii="宋体" w:hAnsi="宋体" w:cs="宋体"/>
          <w:szCs w:val="21"/>
        </w:rPr>
        <w:t xml:space="preserve">2、维保设备清单</w:t>
      </w:r>
      <w:r/>
    </w:p>
    <w:tbl>
      <w:tblPr>
        <w:tblStyle w:val="98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1268"/>
        <w:gridCol w:w="1409"/>
        <w:gridCol w:w="3528"/>
        <w:gridCol w:w="709"/>
        <w:gridCol w:w="850"/>
        <w:gridCol w:w="706"/>
      </w:tblGrid>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序号</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名称</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品牌</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规格参数</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数量</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单位</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备注</w:t>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联想</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thinkserverTS560</w:t>
            </w:r>
            <w:r>
              <w:rPr>
                <w:rFonts w:hint="eastAsia" w:ascii="宋体" w:hAnsi="宋体" w:cs="宋体"/>
              </w:rPr>
              <w:t xml:space="preserve">（</w:t>
            </w:r>
            <w:r>
              <w:rPr>
                <w:rFonts w:hint="eastAsia" w:ascii="宋体" w:hAnsi="宋体" w:cs="宋体"/>
                <w:lang w:bidi="ar"/>
              </w:rPr>
              <w:t xml:space="preserve">PCOUP51E</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2</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X3500 M4</w:t>
            </w:r>
            <w:r>
              <w:rPr>
                <w:rFonts w:hint="eastAsia" w:ascii="宋体" w:hAnsi="宋体" w:cs="宋体"/>
              </w:rPr>
              <w:t xml:space="preserve">（</w:t>
            </w:r>
            <w:r>
              <w:rPr>
                <w:rFonts w:hint="eastAsia" w:ascii="宋体" w:hAnsi="宋体" w:cs="宋体"/>
                <w:lang w:bidi="ar"/>
              </w:rPr>
              <w:t xml:space="preserve">06VXVW2</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3</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浪潮英信</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NF5180 M5</w:t>
            </w:r>
            <w:r>
              <w:rPr>
                <w:rFonts w:hint="eastAsia" w:ascii="宋体" w:hAnsi="宋体" w:cs="宋体"/>
              </w:rPr>
              <w:t xml:space="preserve">（</w:t>
            </w:r>
            <w:r>
              <w:rPr>
                <w:rFonts w:hint="eastAsia" w:ascii="宋体" w:hAnsi="宋体" w:cs="宋体"/>
                <w:lang w:bidi="ar"/>
              </w:rPr>
              <w:t xml:space="preserve">719267856</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4</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X3550 M4</w:t>
            </w:r>
            <w:r>
              <w:rPr>
                <w:rFonts w:hint="eastAsia" w:ascii="宋体" w:hAnsi="宋体" w:cs="宋体"/>
              </w:rPr>
              <w:t xml:space="preserve">（</w:t>
            </w:r>
            <w:r>
              <w:rPr>
                <w:rFonts w:hint="eastAsia" w:ascii="宋体" w:hAnsi="宋体" w:cs="宋体"/>
                <w:lang w:bidi="ar"/>
              </w:rPr>
              <w:t xml:space="preserve">06ATPRE</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5</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X3750 M4</w:t>
            </w:r>
            <w:r>
              <w:rPr>
                <w:rFonts w:hint="eastAsia" w:ascii="宋体" w:hAnsi="宋体" w:cs="宋体"/>
              </w:rPr>
              <w:t xml:space="preserve">（</w:t>
            </w:r>
            <w:r>
              <w:rPr>
                <w:rFonts w:hint="eastAsia" w:ascii="宋体" w:hAnsi="宋体" w:cs="宋体"/>
                <w:lang w:bidi="ar"/>
              </w:rPr>
              <w:t xml:space="preserve">06CW331</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6</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X3650 M4</w:t>
            </w:r>
            <w:r>
              <w:rPr>
                <w:rFonts w:hint="eastAsia" w:ascii="宋体" w:hAnsi="宋体" w:cs="宋体"/>
              </w:rPr>
              <w:t xml:space="preserve">（</w:t>
            </w:r>
            <w:r>
              <w:rPr>
                <w:rFonts w:hint="eastAsia" w:ascii="宋体" w:hAnsi="宋体" w:cs="宋体"/>
                <w:lang w:bidi="ar"/>
              </w:rPr>
              <w:t xml:space="preserve">06EHKFX</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7</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X3750 M4</w:t>
            </w:r>
            <w:r>
              <w:rPr>
                <w:rFonts w:hint="eastAsia" w:ascii="宋体" w:hAnsi="宋体" w:cs="宋体"/>
              </w:rPr>
              <w:t xml:space="preserve">（</w:t>
            </w:r>
            <w:r>
              <w:rPr>
                <w:rFonts w:hint="eastAsia" w:ascii="宋体" w:hAnsi="宋体" w:cs="宋体"/>
                <w:lang w:bidi="ar"/>
              </w:rPr>
              <w:t xml:space="preserve">06DX508</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8</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X3500 M4</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9</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systemX3650</w:t>
            </w:r>
            <w:r>
              <w:rPr>
                <w:rFonts w:hint="eastAsia" w:ascii="宋体" w:hAnsi="宋体" w:cs="宋体"/>
              </w:rPr>
              <w:t xml:space="preserve">（</w:t>
            </w:r>
            <w:r>
              <w:rPr>
                <w:rFonts w:hint="eastAsia" w:ascii="宋体" w:hAnsi="宋体" w:cs="宋体"/>
                <w:lang w:bidi="ar"/>
              </w:rPr>
              <w:t xml:space="preserve">99H6317</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10</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systemX3250</w:t>
            </w:r>
            <w:r>
              <w:rPr>
                <w:rFonts w:hint="eastAsia" w:ascii="宋体" w:hAnsi="宋体" w:cs="宋体"/>
              </w:rPr>
              <w:t xml:space="preserve">（</w:t>
            </w:r>
            <w:r>
              <w:rPr>
                <w:rFonts w:hint="eastAsia" w:ascii="宋体" w:hAnsi="宋体" w:cs="宋体"/>
                <w:lang w:bidi="ar"/>
              </w:rPr>
              <w:t xml:space="preserve">99A7235</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11</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浪潮英信</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NF5280M5</w:t>
            </w:r>
            <w:r>
              <w:rPr>
                <w:rFonts w:hint="eastAsia" w:ascii="宋体" w:hAnsi="宋体" w:cs="宋体"/>
              </w:rPr>
              <w:t xml:space="preserve">（</w:t>
            </w:r>
            <w:r>
              <w:rPr>
                <w:rFonts w:hint="eastAsia" w:ascii="宋体" w:hAnsi="宋体" w:cs="宋体"/>
                <w:lang w:bidi="ar"/>
              </w:rPr>
              <w:t xml:space="preserve">419232279</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bl>
    <w:p>
      <w:pPr>
        <w:ind w:firstLine="480"/>
        <w:spacing w:line="360" w:lineRule="auto"/>
        <w:rPr>
          <w:rFonts w:ascii="宋体" w:hAnsi="宋体" w:cs="宋体"/>
          <w:szCs w:val="21"/>
        </w:rPr>
      </w:pPr>
      <w:r>
        <w:rPr>
          <w:rFonts w:hint="eastAsia" w:ascii="宋体" w:hAnsi="宋体" w:cs="宋体"/>
          <w:szCs w:val="21"/>
        </w:rPr>
        <w:t xml:space="preserve">3、总体响应时间</w:t>
      </w:r>
      <w:r/>
    </w:p>
    <w:tbl>
      <w:tblPr>
        <w:tblStyle w:val="989"/>
        <w:tblW w:w="94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4"/>
        <w:gridCol w:w="1878"/>
        <w:gridCol w:w="1911"/>
        <w:gridCol w:w="1774"/>
        <w:gridCol w:w="1911"/>
      </w:tblGrid>
      <w:tr>
        <w:trPr>
          <w:trHeight w:val="473"/>
        </w:trPr>
        <w:tc>
          <w:tcPr>
            <w:gridSpan w:val="2"/>
            <w:tcW w:w="3822"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响应时间</w:t>
            </w:r>
            <w:r/>
          </w:p>
        </w:tc>
        <w:tc>
          <w:tcPr>
            <w:tcW w:w="191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服务时间</w:t>
            </w:r>
            <w:r/>
          </w:p>
        </w:tc>
        <w:tc>
          <w:tcPr>
            <w:gridSpan w:val="2"/>
            <w:tcW w:w="3685"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解决时间</w:t>
            </w:r>
            <w:r/>
          </w:p>
        </w:tc>
      </w:tr>
      <w:tr>
        <w:trPr>
          <w:trHeight w:val="935"/>
        </w:trPr>
        <w:tc>
          <w:tcPr>
            <w:tcW w:w="1944"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紧急故障响应时间要求</w:t>
            </w:r>
            <w:r/>
          </w:p>
        </w:tc>
        <w:tc>
          <w:tcPr>
            <w:tcW w:w="1878"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非紧急故障响应时间要求</w:t>
            </w:r>
            <w:r/>
          </w:p>
        </w:tc>
        <w:tc>
          <w:tcPr>
            <w:tcW w:w="191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服务时间要求</w:t>
            </w:r>
            <w:r/>
          </w:p>
        </w:tc>
        <w:tc>
          <w:tcPr>
            <w:tcW w:w="1774"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紧急故障响应时间要求</w:t>
            </w:r>
            <w:r/>
          </w:p>
        </w:tc>
        <w:tc>
          <w:tcPr>
            <w:tcW w:w="191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非紧急故障响应时间要求</w:t>
            </w:r>
            <w:r/>
          </w:p>
        </w:tc>
      </w:tr>
      <w:tr>
        <w:trPr>
          <w:trHeight w:val="484"/>
        </w:trPr>
        <w:tc>
          <w:tcPr>
            <w:tcW w:w="1944"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现场4小时响应</w:t>
            </w:r>
            <w:r/>
          </w:p>
        </w:tc>
        <w:tc>
          <w:tcPr>
            <w:tcW w:w="1878"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现场24小时响应 </w:t>
            </w:r>
            <w:r/>
          </w:p>
        </w:tc>
        <w:tc>
          <w:tcPr>
            <w:tcW w:w="1911"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7*24小时 </w:t>
            </w:r>
            <w:r/>
          </w:p>
        </w:tc>
        <w:tc>
          <w:tcPr>
            <w:tcW w:w="1774"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现场4小时响应</w:t>
            </w:r>
            <w:r/>
          </w:p>
        </w:tc>
        <w:tc>
          <w:tcPr>
            <w:tcW w:w="1911"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现场24小时响应 </w:t>
            </w:r>
            <w:r/>
          </w:p>
        </w:tc>
      </w:tr>
    </w:tbl>
    <w:p>
      <w:pPr>
        <w:ind w:firstLine="480"/>
        <w:spacing w:line="360" w:lineRule="auto"/>
        <w:rPr>
          <w:rFonts w:ascii="宋体" w:hAnsi="宋体" w:cs="宋体"/>
          <w:b/>
          <w:szCs w:val="21"/>
        </w:rPr>
      </w:pPr>
      <w:r>
        <w:rPr>
          <w:rFonts w:hint="eastAsia" w:ascii="宋体" w:hAnsi="宋体" w:cs="宋体"/>
          <w:b/>
          <w:szCs w:val="21"/>
        </w:rPr>
        <w:t xml:space="preserve">（五）精密空调、气体灭火等物理环境</w:t>
      </w:r>
      <w:r/>
    </w:p>
    <w:p>
      <w:pPr>
        <w:ind w:firstLine="480"/>
        <w:spacing w:line="360" w:lineRule="auto"/>
        <w:rPr>
          <w:rFonts w:ascii="宋体" w:hAnsi="宋体" w:cs="宋体"/>
          <w:bCs/>
          <w:szCs w:val="21"/>
        </w:rPr>
      </w:pPr>
      <w:r>
        <w:rPr>
          <w:rFonts w:hint="eastAsia" w:ascii="宋体" w:hAnsi="宋体" w:cs="宋体"/>
          <w:bCs/>
          <w:szCs w:val="21"/>
        </w:rPr>
        <w:t xml:space="preserve">1、运维服务内容</w:t>
      </w:r>
      <w:r/>
    </w:p>
    <w:p>
      <w:pPr>
        <w:ind w:firstLine="480"/>
        <w:spacing w:line="360" w:lineRule="auto"/>
        <w:rPr>
          <w:rFonts w:ascii="宋体" w:hAnsi="宋体" w:cs="宋体"/>
          <w:bCs/>
          <w:szCs w:val="21"/>
        </w:rPr>
      </w:pPr>
      <w:r>
        <w:rPr>
          <w:rFonts w:hint="eastAsia" w:ascii="宋体" w:hAnsi="宋体" w:cs="宋体"/>
          <w:bCs/>
          <w:szCs w:val="21"/>
        </w:rPr>
        <w:t xml:space="preserve">主要包括机房空调、消防系统等定期检查、清洁保养、故障排除和性能优化等服务。</w:t>
      </w:r>
      <w:r/>
    </w:p>
    <w:p>
      <w:pPr>
        <w:ind w:firstLine="480"/>
        <w:spacing w:line="360" w:lineRule="auto"/>
        <w:rPr>
          <w:rFonts w:ascii="宋体" w:hAnsi="宋体" w:cs="宋体"/>
          <w:bCs/>
          <w:szCs w:val="21"/>
        </w:rPr>
      </w:pPr>
      <w:r>
        <w:rPr>
          <w:rFonts w:hint="eastAsia" w:ascii="宋体" w:hAnsi="宋体" w:cs="宋体"/>
          <w:bCs/>
          <w:szCs w:val="21"/>
        </w:rPr>
        <w:t xml:space="preserve">（1）机房空调维保服务要求</w:t>
      </w:r>
      <w:r/>
    </w:p>
    <w:p>
      <w:pPr>
        <w:ind w:firstLine="480"/>
        <w:spacing w:line="360" w:lineRule="auto"/>
        <w:rPr>
          <w:rFonts w:ascii="宋体" w:hAnsi="宋体" w:cs="宋体"/>
          <w:bCs/>
          <w:szCs w:val="21"/>
        </w:rPr>
      </w:pPr>
      <w:r>
        <w:rPr>
          <w:rFonts w:hint="eastAsia" w:ascii="宋体" w:hAnsi="宋体" w:cs="宋体"/>
          <w:bCs/>
          <w:szCs w:val="21"/>
        </w:rPr>
        <w:t xml:space="preserve">为确保机房空调稳定可靠运行，提供包括现场、电话及远程故障维修、技术咨询等服务。具体服务内容包括：</w:t>
      </w:r>
      <w:r/>
    </w:p>
    <w:p>
      <w:pPr>
        <w:ind w:firstLine="480"/>
        <w:spacing w:line="360" w:lineRule="auto"/>
        <w:rPr>
          <w:rFonts w:ascii="宋体" w:hAnsi="宋体" w:cs="宋体"/>
          <w:bCs/>
          <w:szCs w:val="21"/>
        </w:rPr>
      </w:pPr>
      <w:r>
        <w:rPr>
          <w:rFonts w:hint="eastAsia" w:ascii="宋体" w:hAnsi="宋体" w:cs="宋体"/>
          <w:bCs/>
          <w:szCs w:val="21"/>
        </w:rPr>
        <w:t xml:space="preserve">定期检查：定期巡检检查机房空调系统的各个部件，包括冷凝器、蒸发器、压缩机、冷凝器风机、蒸发器风机、控制柜等，确保设备正常运行，定期对空调设备进行巡查和基本测试，及时发现并记录故障或隐患；</w:t>
      </w:r>
      <w:r/>
    </w:p>
    <w:p>
      <w:pPr>
        <w:ind w:firstLine="480"/>
        <w:spacing w:line="360" w:lineRule="auto"/>
        <w:rPr>
          <w:rFonts w:ascii="宋体" w:hAnsi="宋体" w:cs="宋体"/>
          <w:bCs/>
          <w:szCs w:val="21"/>
        </w:rPr>
      </w:pPr>
      <w:r>
        <w:rPr>
          <w:rFonts w:hint="eastAsia" w:ascii="宋体" w:hAnsi="宋体" w:cs="宋体"/>
          <w:bCs/>
          <w:szCs w:val="21"/>
        </w:rPr>
        <w:t xml:space="preserve">清洁保养：定期清洁过滤网和冷凝器，确保其畅通无阻，防止灰尘积累影响制冷效果和增加能耗；</w:t>
      </w:r>
      <w:r/>
    </w:p>
    <w:p>
      <w:pPr>
        <w:ind w:firstLine="480"/>
        <w:spacing w:line="360" w:lineRule="auto"/>
        <w:rPr>
          <w:rFonts w:ascii="宋体" w:hAnsi="宋体" w:cs="宋体"/>
          <w:bCs/>
          <w:szCs w:val="21"/>
        </w:rPr>
      </w:pPr>
      <w:r>
        <w:rPr>
          <w:rFonts w:hint="eastAsia" w:ascii="宋体" w:hAnsi="宋体" w:cs="宋体"/>
          <w:bCs/>
          <w:szCs w:val="21"/>
        </w:rPr>
        <w:t xml:space="preserve">故障维修：根据不同等级故障的响应级别，迅速定位并排除故障，采取有效措施恢复系统正常运行，并分析故障原因，提出预防措施；</w:t>
      </w:r>
      <w:r/>
    </w:p>
    <w:p>
      <w:pPr>
        <w:ind w:firstLine="480"/>
        <w:spacing w:line="360" w:lineRule="auto"/>
        <w:rPr>
          <w:rFonts w:ascii="宋体" w:hAnsi="宋体" w:cs="宋体"/>
          <w:bCs/>
          <w:szCs w:val="21"/>
        </w:rPr>
      </w:pPr>
      <w:r>
        <w:rPr>
          <w:rFonts w:hint="eastAsia" w:ascii="宋体" w:hAnsi="宋体" w:cs="宋体"/>
          <w:bCs/>
          <w:szCs w:val="21"/>
        </w:rPr>
        <w:t xml:space="preserve">性能优化：根据运行情况优化系统参数，确保系统稳定运行，提高制冷效率；</w:t>
      </w:r>
      <w:r/>
    </w:p>
    <w:p>
      <w:pPr>
        <w:ind w:firstLine="480"/>
        <w:spacing w:line="360" w:lineRule="auto"/>
        <w:rPr>
          <w:rFonts w:ascii="宋体" w:hAnsi="宋体" w:cs="宋体"/>
          <w:bCs/>
          <w:szCs w:val="21"/>
        </w:rPr>
      </w:pPr>
      <w:r>
        <w:rPr>
          <w:rFonts w:hint="eastAsia" w:ascii="宋体" w:hAnsi="宋体" w:cs="宋体"/>
          <w:bCs/>
          <w:szCs w:val="21"/>
        </w:rPr>
        <w:t xml:space="preserve">安全检查：检查设备是否符合国家安全标准，确保接地、防雷、防静电等安全措施到位。</w:t>
      </w:r>
      <w:r/>
    </w:p>
    <w:p>
      <w:pPr>
        <w:ind w:firstLine="480"/>
        <w:spacing w:line="360" w:lineRule="auto"/>
        <w:rPr>
          <w:rFonts w:ascii="宋体" w:hAnsi="宋体" w:cs="宋体"/>
          <w:bCs/>
          <w:szCs w:val="21"/>
        </w:rPr>
      </w:pPr>
      <w:r>
        <w:rPr>
          <w:rFonts w:hint="eastAsia" w:ascii="宋体" w:hAnsi="宋体" w:cs="宋体"/>
          <w:bCs/>
          <w:szCs w:val="21"/>
        </w:rPr>
        <w:t xml:space="preserve">（2）消防系统维保服务要求</w:t>
      </w:r>
      <w:r/>
    </w:p>
    <w:p>
      <w:pPr>
        <w:ind w:firstLine="480"/>
        <w:spacing w:line="360" w:lineRule="auto"/>
        <w:rPr>
          <w:rFonts w:ascii="宋体" w:hAnsi="宋体" w:cs="宋体"/>
          <w:bCs/>
          <w:szCs w:val="21"/>
        </w:rPr>
      </w:pPr>
      <w:r>
        <w:rPr>
          <w:rFonts w:hint="eastAsia" w:ascii="宋体" w:hAnsi="宋体" w:cs="宋体"/>
          <w:bCs/>
          <w:szCs w:val="21"/>
        </w:rPr>
        <w:t xml:space="preserve">定期检查：定期巡检对火灾自动报警系统、气体灭火系统等进行检查和试验，确保其功能正常，钢质气瓶需进行一次全面检验；</w:t>
      </w:r>
      <w:r/>
    </w:p>
    <w:p>
      <w:pPr>
        <w:ind w:firstLine="480"/>
        <w:spacing w:line="360" w:lineRule="auto"/>
        <w:rPr>
          <w:rFonts w:ascii="宋体" w:hAnsi="宋体" w:cs="宋体"/>
          <w:bCs/>
          <w:szCs w:val="21"/>
        </w:rPr>
      </w:pPr>
      <w:r>
        <w:rPr>
          <w:rFonts w:hint="eastAsia" w:ascii="宋体" w:hAnsi="宋体" w:cs="宋体"/>
          <w:bCs/>
          <w:szCs w:val="21"/>
        </w:rPr>
        <w:t xml:space="preserve">清洁保养：定期清洁消防设施，确保其处于良好状态；</w:t>
      </w:r>
      <w:r/>
    </w:p>
    <w:p>
      <w:pPr>
        <w:ind w:firstLine="480"/>
        <w:spacing w:line="360" w:lineRule="auto"/>
        <w:rPr>
          <w:rFonts w:ascii="宋体" w:hAnsi="宋体" w:cs="宋体"/>
          <w:bCs/>
          <w:szCs w:val="21"/>
        </w:rPr>
      </w:pPr>
      <w:r>
        <w:rPr>
          <w:rFonts w:hint="eastAsia" w:ascii="宋体" w:hAnsi="宋体" w:cs="宋体"/>
          <w:bCs/>
          <w:szCs w:val="21"/>
        </w:rPr>
        <w:t xml:space="preserve">故障排除：对消防系统的故障进行维修，确保系统恢复正常运行；</w:t>
      </w:r>
      <w:r/>
    </w:p>
    <w:p>
      <w:pPr>
        <w:ind w:firstLine="480"/>
        <w:spacing w:line="360" w:lineRule="auto"/>
        <w:rPr>
          <w:rFonts w:ascii="宋体" w:hAnsi="宋体" w:cs="宋体"/>
          <w:bCs/>
          <w:szCs w:val="21"/>
        </w:rPr>
      </w:pPr>
      <w:r>
        <w:rPr>
          <w:rFonts w:hint="eastAsia" w:ascii="宋体" w:hAnsi="宋体" w:cs="宋体"/>
          <w:bCs/>
          <w:szCs w:val="21"/>
        </w:rPr>
        <w:t xml:space="preserve">性能优化：根据运行情况优化系统性能，确保其高效运行；</w:t>
      </w:r>
      <w:r/>
    </w:p>
    <w:p>
      <w:pPr>
        <w:ind w:firstLine="480"/>
        <w:spacing w:line="360" w:lineRule="auto"/>
        <w:rPr>
          <w:rFonts w:ascii="宋体" w:hAnsi="宋体" w:cs="宋体"/>
          <w:bCs/>
          <w:szCs w:val="21"/>
        </w:rPr>
      </w:pPr>
      <w:r>
        <w:rPr>
          <w:rFonts w:hint="eastAsia" w:ascii="宋体" w:hAnsi="宋体" w:cs="宋体"/>
          <w:bCs/>
          <w:szCs w:val="21"/>
        </w:rPr>
        <w:t xml:space="preserve">安全检查：检查消防设施是否符合国家安全标准，确保其安全可靠。</w:t>
      </w:r>
      <w:r/>
    </w:p>
    <w:p>
      <w:pPr>
        <w:ind w:firstLine="480"/>
        <w:spacing w:line="360" w:lineRule="auto"/>
        <w:rPr>
          <w:rFonts w:ascii="宋体" w:hAnsi="宋体" w:cs="宋体"/>
          <w:bCs/>
          <w:szCs w:val="21"/>
        </w:rPr>
      </w:pPr>
      <w:r>
        <w:rPr>
          <w:rFonts w:hint="eastAsia" w:ascii="宋体" w:hAnsi="宋体" w:cs="宋体"/>
          <w:bCs/>
          <w:szCs w:val="21"/>
        </w:rPr>
        <w:t xml:space="preserve">（3）机房空调及消防系统维保服务设备清单：</w:t>
      </w:r>
      <w:r/>
    </w:p>
    <w:tbl>
      <w:tblPr>
        <w:tblStyle w:val="989"/>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948"/>
        <w:gridCol w:w="1476"/>
        <w:gridCol w:w="684"/>
        <w:gridCol w:w="660"/>
        <w:gridCol w:w="4069"/>
      </w:tblGrid>
      <w:tr>
        <w:trPr>
          <w:trHeight w:val="640"/>
        </w:trPr>
        <w:tc>
          <w:tcPr>
            <w:tcW w:w="80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948" w:type="dxa"/>
            <w:vAlign w:val="center"/>
            <w:textDirection w:val="lrTb"/>
            <w:noWrap w:val="false"/>
          </w:tcPr>
          <w:p>
            <w:pPr>
              <w:spacing w:line="360" w:lineRule="auto"/>
              <w:rPr>
                <w:rFonts w:ascii="宋体" w:hAnsi="宋体" w:cs="宋体"/>
              </w:rPr>
            </w:pPr>
            <w:r>
              <w:rPr>
                <w:rFonts w:hint="eastAsia" w:ascii="宋体" w:hAnsi="宋体" w:cs="宋体"/>
              </w:rPr>
              <w:t xml:space="preserve">名称</w:t>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主要设备型号</w:t>
            </w:r>
            <w:r/>
          </w:p>
        </w:tc>
        <w:tc>
          <w:tcPr>
            <w:tcW w:w="684" w:type="dxa"/>
            <w:vAlign w:val="center"/>
            <w:textDirection w:val="lrTb"/>
            <w:noWrap w:val="false"/>
          </w:tcPr>
          <w:p>
            <w:pPr>
              <w:spacing w:line="360" w:lineRule="auto"/>
              <w:rPr>
                <w:rFonts w:ascii="宋体" w:hAnsi="宋体" w:cs="宋体"/>
              </w:rPr>
            </w:pPr>
            <w:r>
              <w:rPr>
                <w:rFonts w:hint="eastAsia" w:ascii="宋体" w:hAnsi="宋体" w:cs="宋体"/>
              </w:rPr>
              <w:t xml:space="preserve">数量</w:t>
            </w:r>
            <w:r/>
          </w:p>
        </w:tc>
        <w:tc>
          <w:tcPr>
            <w:tcW w:w="660" w:type="dxa"/>
            <w:vAlign w:val="center"/>
            <w:textDirection w:val="lrTb"/>
            <w:noWrap w:val="false"/>
          </w:tcPr>
          <w:p>
            <w:pPr>
              <w:spacing w:line="360" w:lineRule="auto"/>
              <w:rPr>
                <w:rFonts w:ascii="宋体" w:hAnsi="宋体" w:cs="宋体"/>
              </w:rPr>
            </w:pPr>
            <w:r>
              <w:rPr>
                <w:rFonts w:hint="eastAsia" w:ascii="宋体" w:hAnsi="宋体" w:cs="宋体"/>
              </w:rPr>
              <w:t xml:space="preserve">单位</w:t>
            </w:r>
            <w:r/>
          </w:p>
        </w:tc>
        <w:tc>
          <w:tcPr>
            <w:tcW w:w="4069" w:type="dxa"/>
            <w:vAlign w:val="center"/>
            <w:textDirection w:val="lrTb"/>
            <w:noWrap w:val="false"/>
          </w:tcPr>
          <w:p>
            <w:pPr>
              <w:spacing w:line="360" w:lineRule="auto"/>
              <w:rPr>
                <w:rFonts w:ascii="宋体" w:hAnsi="宋体" w:cs="宋体"/>
              </w:rPr>
            </w:pPr>
            <w:r>
              <w:rPr>
                <w:rFonts w:hint="eastAsia" w:ascii="宋体" w:hAnsi="宋体" w:cs="宋体"/>
              </w:rPr>
              <w:t xml:space="preserve">服务指标</w:t>
            </w:r>
            <w:r/>
          </w:p>
        </w:tc>
      </w:tr>
      <w:tr>
        <w:trPr>
          <w:trHeight w:val="271"/>
        </w:trPr>
        <w:tc>
          <w:tcPr>
            <w:tcW w:w="80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948" w:type="dxa"/>
            <w:vAlign w:val="center"/>
            <w:textDirection w:val="lrTb"/>
            <w:noWrap w:val="false"/>
          </w:tcPr>
          <w:p>
            <w:pPr>
              <w:spacing w:line="360" w:lineRule="auto"/>
              <w:rPr>
                <w:rFonts w:ascii="宋体" w:hAnsi="宋体" w:cs="宋体"/>
              </w:rPr>
            </w:pPr>
            <w:r>
              <w:rPr>
                <w:rFonts w:hint="eastAsia" w:ascii="宋体" w:hAnsi="宋体" w:cs="宋体"/>
              </w:rPr>
              <w:t xml:space="preserve">机房空调系统</w:t>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维谛DME12MCT2</w:t>
            </w:r>
            <w:r/>
          </w:p>
        </w:tc>
        <w:tc>
          <w:tcPr>
            <w:tcW w:w="6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6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single" w:color="auto" w:sz="4" w:space="0"/>
              <w:left w:val="single" w:color="auto" w:sz="4" w:space="0"/>
              <w:bottom w:val="single" w:color="auto" w:sz="4" w:space="0"/>
              <w:right w:val="single" w:color="auto" w:sz="4" w:space="0"/>
            </w:tcBorders>
            <w:tcW w:w="4069" w:type="dxa"/>
            <w:vAlign w:val="center"/>
            <w:textDirection w:val="lrTb"/>
            <w:noWrap w:val="false"/>
          </w:tcPr>
          <w:p>
            <w:pPr>
              <w:spacing w:line="360" w:lineRule="auto"/>
              <w:rPr>
                <w:rFonts w:ascii="宋体" w:hAnsi="宋体" w:cs="宋体"/>
              </w:rPr>
            </w:pPr>
            <w:r>
              <w:rPr>
                <w:rFonts w:hint="eastAsia" w:ascii="宋体" w:hAnsi="宋体" w:cs="宋体"/>
              </w:rPr>
              <w:t xml:space="preserve">服务内容：1）质保：提供维谛DME精密空调1年硬件质保，备件更换维修；2）季度巡检：季度巡检空调运行状态，检查系统的各个部件，定期对设备进行巡查和基本测试，确保设备正常运行‌；3）专业保养及性能优化，由相关工程师提供年度专业保养和性能优化，包含压缩机与制冷循环系统、电气与控制系统、加湿与排水系统及风机与传动组件等，优化高压电气和制冷系统的运行效率降低能耗，延长设备使用寿命。</w:t>
            </w:r>
            <w:r>
              <w:rPr>
                <w:rFonts w:hint="eastAsia" w:ascii="宋体" w:hAnsi="宋体" w:cs="宋体"/>
              </w:rPr>
              <w:br/>
            </w:r>
            <w:r>
              <w:rPr>
                <w:rFonts w:hint="eastAsia" w:ascii="宋体" w:hAnsi="宋体" w:cs="宋体"/>
              </w:rPr>
              <w:t xml:space="preserve">服务响应标准：5-15分钟响应并开始处理，并根据故障级别在规定时间内（如1-4小时）解决并恢复服务，每季度提供运维报告1份，配置2名运维人员。</w:t>
            </w:r>
            <w:r/>
          </w:p>
        </w:tc>
      </w:tr>
      <w:tr>
        <w:trPr>
          <w:trHeight w:val="271"/>
        </w:trPr>
        <w:tc>
          <w:tcPr>
            <w:tcW w:w="80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948"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消防系统</w:t>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海湾GST-QKP01气体灭火控制器</w:t>
            </w:r>
            <w:r/>
          </w:p>
        </w:tc>
        <w:tc>
          <w:tcPr>
            <w:tcW w:w="6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6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none" w:color="000000" w:sz="4" w:space="0"/>
              <w:left w:val="single" w:color="auto" w:sz="4" w:space="0"/>
              <w:bottom w:val="single" w:color="auto" w:sz="4" w:space="0"/>
              <w:right w:val="single" w:color="auto" w:sz="4" w:space="0"/>
            </w:tcBorders>
            <w:tcW w:w="406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服务内容：海湾GST-QKP01气体灭火控制器及柜式七氟丙烷气体灭火装置1年维保，季度巡检，定期检查与清洁：对火灾自动报警系统、气体灭火装置等进行检测，进行关键功能测试，包括联动模拟、手动/自动切换、管路检查等，确保系统运行功能正常，钢质气瓶压力定期检测确保在正常工作范围；</w:t>
            </w:r>
            <w:r>
              <w:rPr>
                <w:rFonts w:hint="eastAsia" w:ascii="宋体" w:hAnsi="宋体" w:cs="宋体"/>
              </w:rPr>
              <w:br/>
            </w:r>
            <w:r>
              <w:rPr>
                <w:rFonts w:hint="eastAsia" w:ascii="宋体" w:hAnsi="宋体" w:cs="宋体"/>
              </w:rPr>
              <w:t xml:space="preserve">服务响应标准：5-15分钟响应并开始处理，并根据故障级别在规定时间内（如1-4小时）解决并恢复服务，每季度提供运维报告1份，配置2名运维人员。</w:t>
            </w:r>
            <w:r/>
          </w:p>
        </w:tc>
      </w:tr>
      <w:tr>
        <w:trPr>
          <w:trHeight w:val="271"/>
        </w:trPr>
        <w:tc>
          <w:tcPr>
            <w:tcW w:w="8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9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柜式七氟丙烷气体灭火装置</w:t>
            </w:r>
            <w:r/>
          </w:p>
        </w:tc>
        <w:tc>
          <w:tcPr>
            <w:tcW w:w="6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6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W w:w="4069"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271"/>
        </w:trPr>
        <w:tc>
          <w:tcPr>
            <w:tcW w:w="80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000000" w:sz="4" w:space="0"/>
            </w:tcBorders>
            <w:tcW w:w="948" w:type="dxa"/>
            <w:vAlign w:val="center"/>
            <w:textDirection w:val="lrTb"/>
            <w:noWrap w:val="false"/>
          </w:tcPr>
          <w:p>
            <w:pPr>
              <w:spacing w:line="360" w:lineRule="auto"/>
              <w:rPr>
                <w:rFonts w:ascii="宋体" w:hAnsi="宋体" w:cs="宋体"/>
              </w:rPr>
            </w:pPr>
            <w:r>
              <w:rPr>
                <w:rFonts w:hint="eastAsia" w:ascii="宋体" w:hAnsi="宋体" w:cs="宋体"/>
                <w:sz w:val="22"/>
                <w:szCs w:val="22"/>
              </w:rPr>
              <w:t xml:space="preserve">华为模块化机柜(含空调，UPS)</w:t>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华为FusionModule800模块化机柜</w:t>
            </w:r>
            <w:r/>
          </w:p>
        </w:tc>
        <w:tc>
          <w:tcPr>
            <w:tcW w:w="6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6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single" w:color="auto" w:sz="4" w:space="0"/>
              <w:left w:val="single" w:color="auto" w:sz="4" w:space="0"/>
              <w:bottom w:val="single" w:color="auto" w:sz="4" w:space="0"/>
              <w:right w:val="single" w:color="auto" w:sz="4" w:space="0"/>
            </w:tcBorders>
            <w:tcW w:w="4069" w:type="dxa"/>
            <w:vAlign w:val="center"/>
            <w:textDirection w:val="lrTb"/>
            <w:noWrap w:val="false"/>
          </w:tcPr>
          <w:p>
            <w:pPr>
              <w:spacing w:line="360" w:lineRule="auto"/>
              <w:rPr>
                <w:rFonts w:ascii="宋体" w:hAnsi="宋体" w:cs="宋体"/>
              </w:rPr>
            </w:pPr>
            <w:r>
              <w:rPr>
                <w:rFonts w:hint="eastAsia" w:ascii="宋体" w:hAnsi="宋体" w:cs="宋体"/>
              </w:rPr>
              <w:t xml:space="preserve">1）质保：提供华为Fusio</w:t>
            </w:r>
            <w:r>
              <w:rPr>
                <w:rFonts w:hint="eastAsia" w:ascii="宋体" w:hAnsi="宋体" w:cs="宋体"/>
              </w:rPr>
              <w:t xml:space="preserve">nModule800模块化机柜1年软硬件质保，含机柜空调系统NetCol5000及UPS 15kw各2套，备件维修，每季度巡检，确保设备正常运行‌；2）保养维护：检测和优化主机运行参数，检测主路、旁路供电是否正常，检查控制器程序菜单设置、压机、风机、加热器、冷凝器、制冷循环管路、过滤网、加湿器和供排水管路及电器系统等部份的运行情况，排除发现的故障,更换损坏的配件、整机系统电路和控制的检修、系统的气密性检测、检漏等，调整控制器程序，调整系统运行压力，清洁空气过滤网、冷凝器、加湿器等设备，室内外机定期卫生清理；</w:t>
            </w:r>
            <w:r>
              <w:rPr>
                <w:rFonts w:hint="eastAsia" w:ascii="宋体" w:hAnsi="宋体" w:cs="宋体"/>
              </w:rPr>
              <w:br/>
            </w:r>
            <w:r>
              <w:rPr>
                <w:rFonts w:hint="eastAsia" w:ascii="宋体" w:hAnsi="宋体" w:cs="宋体"/>
              </w:rPr>
              <w:t xml:space="preserve">服务响应标准：5-15分钟响应并开始处理，并根据故障级别在规定时间内（如1-4小时）解决并恢复服务，每季度提供运维报告1份，配置2名运维人员。</w:t>
            </w:r>
            <w:r/>
          </w:p>
        </w:tc>
      </w:tr>
      <w:tr>
        <w:trPr>
          <w:trHeight w:val="271"/>
        </w:trPr>
        <w:tc>
          <w:tcPr>
            <w:tcW w:w="80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000000" w:sz="4" w:space="0"/>
            </w:tcBorders>
            <w:tcW w:w="948" w:type="dxa"/>
            <w:vAlign w:val="center"/>
            <w:textDirection w:val="lrTb"/>
            <w:noWrap w:val="false"/>
          </w:tcPr>
          <w:p>
            <w:pPr>
              <w:spacing w:line="360" w:lineRule="auto"/>
              <w:rPr>
                <w:rFonts w:ascii="宋体" w:hAnsi="宋体" w:cs="宋体"/>
              </w:rPr>
            </w:pPr>
            <w:r>
              <w:rPr>
                <w:rFonts w:hint="eastAsia" w:ascii="宋体" w:hAnsi="宋体" w:cs="宋体"/>
                <w:sz w:val="22"/>
                <w:szCs w:val="22"/>
              </w:rPr>
              <w:t xml:space="preserve">气体灭火药剂</w:t>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七氟丙烷气体灭火装置</w:t>
            </w:r>
            <w:r/>
          </w:p>
        </w:tc>
        <w:tc>
          <w:tcPr>
            <w:tcW w:w="6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6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none" w:color="000000" w:sz="4" w:space="0"/>
              <w:left w:val="single" w:color="auto" w:sz="4" w:space="0"/>
              <w:bottom w:val="single" w:color="auto" w:sz="4" w:space="0"/>
              <w:right w:val="single" w:color="auto" w:sz="4" w:space="0"/>
            </w:tcBorders>
            <w:tcW w:w="4069" w:type="dxa"/>
            <w:vAlign w:val="center"/>
            <w:textDirection w:val="lrTb"/>
            <w:noWrap w:val="false"/>
          </w:tcPr>
          <w:p>
            <w:pPr>
              <w:spacing w:line="360" w:lineRule="auto"/>
              <w:rPr>
                <w:rFonts w:ascii="宋体" w:hAnsi="宋体" w:cs="宋体"/>
              </w:rPr>
            </w:pPr>
            <w:r>
              <w:rPr>
                <w:rFonts w:hint="eastAsia" w:ascii="宋体" w:hAnsi="宋体" w:cs="宋体"/>
              </w:rPr>
              <w:t xml:space="preserve">气体灭火装置钢瓶满5年返厂检测及七氟丙烷灭火药剂填充更换，由专业消防检测机构提供一站式服务，包含设备的拆卸、运输、检测和复原，出具规范的检测报告（注：消防钢瓶及药剂启用日期2022年9月29日，至2027年9月29日使用期将满5年）</w:t>
            </w:r>
            <w:r/>
          </w:p>
        </w:tc>
      </w:tr>
    </w:tbl>
    <w:p>
      <w:pPr>
        <w:ind w:firstLine="480"/>
        <w:spacing w:line="360" w:lineRule="auto"/>
        <w:rPr>
          <w:rFonts w:ascii="宋体" w:hAnsi="宋体" w:cs="宋体"/>
          <w:bCs/>
          <w:szCs w:val="21"/>
        </w:rPr>
      </w:pPr>
      <w:r>
        <w:rPr>
          <w:rFonts w:hint="eastAsia" w:ascii="宋体" w:hAnsi="宋体" w:cs="宋体"/>
          <w:bCs/>
          <w:szCs w:val="21"/>
        </w:rPr>
        <w:t xml:space="preserve">2、总体响应时间</w:t>
      </w:r>
      <w:r/>
    </w:p>
    <w:tbl>
      <w:tblPr>
        <w:tblStyle w:val="989"/>
        <w:tblW w:w="93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3"/>
        <w:gridCol w:w="1858"/>
        <w:gridCol w:w="1891"/>
        <w:gridCol w:w="1756"/>
        <w:gridCol w:w="1890"/>
      </w:tblGrid>
      <w:tr>
        <w:trPr>
          <w:trHeight w:val="429"/>
        </w:trPr>
        <w:tc>
          <w:tcPr>
            <w:gridSpan w:val="2"/>
            <w:tcW w:w="378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响应时间</w:t>
            </w:r>
            <w:r/>
          </w:p>
        </w:tc>
        <w:tc>
          <w:tcPr>
            <w:tcW w:w="189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服务时间</w:t>
            </w:r>
            <w:r/>
          </w:p>
        </w:tc>
        <w:tc>
          <w:tcPr>
            <w:gridSpan w:val="2"/>
            <w:tcW w:w="3646"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解决时间</w:t>
            </w:r>
            <w:r/>
          </w:p>
        </w:tc>
      </w:tr>
      <w:tr>
        <w:trPr>
          <w:trHeight w:val="836"/>
        </w:trPr>
        <w:tc>
          <w:tcPr>
            <w:tcW w:w="1923"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紧急故障响应时间要求</w:t>
            </w:r>
            <w:r/>
          </w:p>
        </w:tc>
        <w:tc>
          <w:tcPr>
            <w:tcW w:w="1858"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非紧急故障响应时间要求</w:t>
            </w:r>
            <w:r/>
          </w:p>
        </w:tc>
        <w:tc>
          <w:tcPr>
            <w:tcW w:w="189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服务时间要求</w:t>
            </w:r>
            <w:r/>
          </w:p>
        </w:tc>
        <w:tc>
          <w:tcPr>
            <w:tcW w:w="1756"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紧急故障响应时间要求</w:t>
            </w:r>
            <w:r/>
          </w:p>
        </w:tc>
        <w:tc>
          <w:tcPr>
            <w:tcW w:w="1890"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非紧急故障响应时间要求</w:t>
            </w:r>
            <w:r/>
          </w:p>
        </w:tc>
      </w:tr>
      <w:tr>
        <w:trPr>
          <w:trHeight w:val="431"/>
        </w:trPr>
        <w:tc>
          <w:tcPr>
            <w:tcW w:w="1923"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现场4小时响应</w:t>
            </w:r>
            <w:r/>
          </w:p>
        </w:tc>
        <w:tc>
          <w:tcPr>
            <w:tcW w:w="1858"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现场24小时响应 </w:t>
            </w:r>
            <w:r/>
          </w:p>
        </w:tc>
        <w:tc>
          <w:tcPr>
            <w:tcW w:w="1891"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7*24小时 </w:t>
            </w:r>
            <w:r/>
          </w:p>
        </w:tc>
        <w:tc>
          <w:tcPr>
            <w:tcW w:w="1756"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现场4小时响应</w:t>
            </w:r>
            <w:r/>
          </w:p>
        </w:tc>
        <w:tc>
          <w:tcPr>
            <w:tcW w:w="1890"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现场24小时响应 </w:t>
            </w:r>
            <w:r/>
          </w:p>
        </w:tc>
      </w:tr>
    </w:tbl>
    <w:p>
      <w:pPr>
        <w:ind w:firstLine="480"/>
        <w:spacing w:line="360" w:lineRule="auto"/>
        <w:rPr>
          <w:rFonts w:ascii="宋体" w:hAnsi="宋体" w:cs="宋体"/>
          <w:b/>
          <w:szCs w:val="21"/>
        </w:rPr>
      </w:pPr>
      <w:r>
        <w:rPr>
          <w:rFonts w:hint="eastAsia" w:ascii="宋体" w:hAnsi="宋体" w:cs="宋体"/>
          <w:b/>
          <w:szCs w:val="21"/>
        </w:rPr>
        <w:t xml:space="preserve">（六）数据治理</w:t>
      </w:r>
      <w:r/>
    </w:p>
    <w:p>
      <w:pPr>
        <w:ind w:firstLine="480"/>
        <w:spacing w:line="360" w:lineRule="auto"/>
        <w:rPr>
          <w:rFonts w:ascii="宋体" w:hAnsi="宋体" w:cs="宋体"/>
          <w:bCs/>
          <w:szCs w:val="21"/>
        </w:rPr>
      </w:pPr>
      <w:r>
        <w:rPr>
          <w:rFonts w:hint="eastAsia" w:ascii="宋体" w:hAnsi="宋体" w:cs="宋体"/>
          <w:bCs/>
          <w:szCs w:val="21"/>
        </w:rPr>
        <w:t xml:space="preserve">1、服务要求</w:t>
      </w:r>
      <w:r/>
    </w:p>
    <w:p>
      <w:pPr>
        <w:ind w:firstLine="480"/>
        <w:spacing w:line="360" w:lineRule="auto"/>
        <w:rPr>
          <w:rFonts w:ascii="宋体" w:hAnsi="宋体" w:cs="宋体"/>
          <w:bCs/>
          <w:szCs w:val="21"/>
        </w:rPr>
      </w:pPr>
      <w:r>
        <w:rPr>
          <w:rFonts w:hint="eastAsia" w:ascii="宋体" w:hAnsi="宋体" w:cs="宋体"/>
          <w:bCs/>
          <w:szCs w:val="21"/>
        </w:rPr>
        <w:t xml:space="preserve">（1）业务系统数据库表梳理</w:t>
      </w:r>
      <w:r/>
    </w:p>
    <w:p>
      <w:pPr>
        <w:ind w:firstLine="480"/>
        <w:spacing w:line="360" w:lineRule="auto"/>
        <w:rPr>
          <w:rFonts w:ascii="宋体" w:hAnsi="宋体" w:cs="宋体"/>
          <w:bCs/>
          <w:szCs w:val="21"/>
        </w:rPr>
      </w:pPr>
      <w:r>
        <w:rPr>
          <w:rFonts w:hint="eastAsia" w:ascii="宋体" w:hAnsi="宋体" w:cs="宋体"/>
          <w:bCs/>
          <w:szCs w:val="21"/>
        </w:rPr>
        <w:t xml:space="preserve">牵头其他技术支撑单位对采购人现有和在建的南京市应急管理综合应用平台（行业部门安全生产责任管理、城市安全风险管理、安全生产培训考试、安全生产风险监测预警、安全生产行政执法、应急研判指挥调度等系统）的数据库表进行详细梳理，探查理清每个业务系统的库表和字段。</w:t>
      </w:r>
      <w:r/>
    </w:p>
    <w:p>
      <w:pPr>
        <w:ind w:firstLine="480"/>
        <w:spacing w:line="360" w:lineRule="auto"/>
        <w:rPr>
          <w:rFonts w:ascii="宋体" w:hAnsi="宋体" w:cs="宋体"/>
          <w:bCs/>
          <w:szCs w:val="21"/>
        </w:rPr>
      </w:pPr>
      <w:r>
        <w:rPr>
          <w:rFonts w:hint="eastAsia" w:ascii="宋体" w:hAnsi="宋体" w:cs="宋体"/>
          <w:bCs/>
          <w:szCs w:val="21"/>
        </w:rPr>
        <w:t xml:space="preserve">（2）数据流向管理</w:t>
      </w:r>
      <w:r/>
    </w:p>
    <w:p>
      <w:pPr>
        <w:ind w:firstLine="480"/>
        <w:spacing w:line="360" w:lineRule="auto"/>
        <w:rPr>
          <w:rFonts w:ascii="宋体" w:hAnsi="宋体" w:cs="宋体"/>
          <w:bCs/>
          <w:szCs w:val="21"/>
        </w:rPr>
      </w:pPr>
      <w:r>
        <w:rPr>
          <w:rFonts w:hint="eastAsia" w:ascii="宋体" w:hAnsi="宋体" w:cs="宋体"/>
          <w:bCs/>
          <w:szCs w:val="21"/>
        </w:rPr>
        <w:t xml:space="preserve">通过组织对系统库表的梳理，融合汇聚的外部部门（单位）的数据，牵头业务技术支撑单位，梳理明确企业面和社会面小场所基本信息、工业企业风险信息、行政审批信息、特种作业人员信息、用户组织架构和用户信息等的数据流向管理，为其他业务系统建设提供权威的源数据，支撑防治指尖上的形式主义、避免数据多头填和重复填报工作需要。</w:t>
      </w:r>
      <w:r/>
    </w:p>
    <w:p>
      <w:pPr>
        <w:ind w:firstLine="480"/>
        <w:spacing w:line="360" w:lineRule="auto"/>
        <w:rPr>
          <w:rFonts w:ascii="宋体" w:hAnsi="宋体" w:cs="宋体"/>
          <w:bCs/>
          <w:szCs w:val="21"/>
        </w:rPr>
      </w:pPr>
      <w:r>
        <w:rPr>
          <w:rFonts w:hint="eastAsia" w:ascii="宋体" w:hAnsi="宋体" w:cs="宋体"/>
          <w:bCs/>
          <w:szCs w:val="21"/>
        </w:rPr>
        <w:t xml:space="preserve">（3）目录资源编制更新</w:t>
      </w:r>
      <w:r/>
    </w:p>
    <w:p>
      <w:pPr>
        <w:ind w:firstLine="480"/>
        <w:spacing w:line="360" w:lineRule="auto"/>
        <w:rPr>
          <w:rFonts w:ascii="宋体" w:hAnsi="宋体" w:cs="宋体"/>
          <w:bCs/>
          <w:szCs w:val="21"/>
        </w:rPr>
      </w:pPr>
      <w:r>
        <w:rPr>
          <w:rFonts w:hint="eastAsia" w:ascii="宋体" w:hAnsi="宋体" w:cs="宋体"/>
          <w:bCs/>
          <w:szCs w:val="21"/>
        </w:rPr>
        <w:t xml:space="preserve">按照企业面、社会面、特种作业人员等不同主体和行政审批、巡查检查、监督执法、应急救援等不同场景编制更新应急管理领域数据目录资源，将主体所属的关键字段和场景之间以主键进行关联，并以简明扼要的方式标示出每个数据资源目录代表的意义，根据数据和场景更新的情况对资源目录及时更新。</w:t>
      </w:r>
      <w:r/>
    </w:p>
    <w:p>
      <w:pPr>
        <w:ind w:firstLine="480"/>
        <w:spacing w:line="360" w:lineRule="auto"/>
        <w:rPr>
          <w:rFonts w:ascii="宋体" w:hAnsi="宋体" w:cs="宋体"/>
          <w:bCs/>
          <w:szCs w:val="21"/>
        </w:rPr>
      </w:pPr>
      <w:r>
        <w:rPr>
          <w:rFonts w:hint="eastAsia" w:ascii="宋体" w:hAnsi="宋体" w:cs="宋体"/>
          <w:bCs/>
          <w:szCs w:val="21"/>
        </w:rPr>
        <w:t xml:space="preserve">（4）数据标签服务</w:t>
      </w:r>
      <w:r/>
    </w:p>
    <w:p>
      <w:pPr>
        <w:ind w:firstLine="480"/>
        <w:spacing w:line="360" w:lineRule="auto"/>
        <w:rPr>
          <w:rFonts w:ascii="宋体" w:hAnsi="宋体" w:cs="宋体"/>
          <w:bCs/>
          <w:szCs w:val="21"/>
        </w:rPr>
      </w:pPr>
      <w:r>
        <w:rPr>
          <w:rFonts w:hint="eastAsia" w:ascii="宋体" w:hAnsi="宋体" w:cs="宋体"/>
          <w:bCs/>
          <w:szCs w:val="21"/>
        </w:rPr>
        <w:t xml:space="preserve">牵头其他技术支撑单位对采购人现有和在建系统的数据进行标签，通过数据标签，简明扼要的方式标示出每个数据字段代表的意义，并可对标签进行读取、完善。</w:t>
      </w:r>
      <w:r/>
    </w:p>
    <w:p>
      <w:pPr>
        <w:ind w:firstLine="480"/>
        <w:spacing w:line="360" w:lineRule="auto"/>
        <w:rPr>
          <w:rFonts w:ascii="宋体" w:hAnsi="宋体" w:cs="宋体"/>
          <w:bCs/>
          <w:szCs w:val="21"/>
        </w:rPr>
      </w:pPr>
      <w:r>
        <w:rPr>
          <w:rFonts w:hint="eastAsia" w:ascii="宋体" w:hAnsi="宋体" w:cs="宋体"/>
          <w:bCs/>
          <w:szCs w:val="21"/>
        </w:rPr>
        <w:t xml:space="preserve">（5）数据专家咨询服务</w:t>
      </w:r>
      <w:r/>
    </w:p>
    <w:p>
      <w:pPr>
        <w:ind w:firstLine="480"/>
        <w:spacing w:line="360" w:lineRule="auto"/>
        <w:rPr>
          <w:rFonts w:ascii="宋体" w:hAnsi="宋体" w:cs="宋体"/>
          <w:bCs/>
          <w:szCs w:val="21"/>
        </w:rPr>
      </w:pPr>
      <w:r>
        <w:rPr>
          <w:rFonts w:hint="eastAsia" w:ascii="宋体" w:hAnsi="宋体" w:cs="宋体"/>
          <w:bCs/>
          <w:szCs w:val="21"/>
        </w:rPr>
        <w:t xml:space="preserve">结合人工智能大模型在政务服务数据中的应用，提供数据治理、数据利用、数据分析、数据风险管控等相关咨询和交流，推动数据治理普及和应用，提升应急管理数据服务能力。</w:t>
      </w:r>
      <w:r/>
    </w:p>
    <w:p>
      <w:pPr>
        <w:ind w:firstLine="480"/>
        <w:spacing w:line="360" w:lineRule="auto"/>
        <w:rPr>
          <w:rFonts w:ascii="宋体" w:hAnsi="宋体" w:cs="宋体"/>
          <w:bCs/>
          <w:szCs w:val="21"/>
        </w:rPr>
      </w:pPr>
      <w:r>
        <w:rPr>
          <w:rFonts w:hint="eastAsia" w:ascii="宋体" w:hAnsi="宋体" w:cs="宋体"/>
          <w:bCs/>
          <w:szCs w:val="21"/>
        </w:rPr>
        <w:t xml:space="preserve">（6）数据宽表和专题库更新完善</w:t>
      </w:r>
      <w:r/>
    </w:p>
    <w:p>
      <w:pPr>
        <w:ind w:firstLine="480"/>
        <w:spacing w:line="360" w:lineRule="auto"/>
        <w:rPr>
          <w:rFonts w:ascii="宋体" w:hAnsi="宋体" w:cs="宋体"/>
          <w:bCs/>
          <w:szCs w:val="21"/>
        </w:rPr>
      </w:pPr>
      <w:r>
        <w:rPr>
          <w:rFonts w:hint="eastAsia" w:ascii="宋体" w:hAnsi="宋体" w:cs="宋体"/>
          <w:bCs/>
          <w:szCs w:val="21"/>
        </w:rPr>
        <w:t xml:space="preserve">在原有数据宽表和专题库基础上，完善数据宽表和专题库建设。通过业务分析与数据处理形成各类专题库与数据宽表，为各系统应用提供专题数据支撑，提升数据应用的便捷性和有效性。</w:t>
      </w:r>
      <w:r/>
    </w:p>
    <w:p>
      <w:pPr>
        <w:ind w:firstLine="480"/>
        <w:spacing w:line="360" w:lineRule="auto"/>
        <w:rPr>
          <w:rFonts w:ascii="宋体" w:hAnsi="宋体" w:cs="宋体"/>
          <w:bCs/>
          <w:szCs w:val="21"/>
        </w:rPr>
      </w:pPr>
      <w:r>
        <w:rPr>
          <w:rFonts w:hint="eastAsia" w:ascii="宋体" w:hAnsi="宋体" w:cs="宋体"/>
          <w:bCs/>
          <w:szCs w:val="21"/>
        </w:rPr>
        <w:t xml:space="preserve">（7）数据平台产品功能基础运维服务</w:t>
      </w:r>
      <w:r/>
    </w:p>
    <w:p>
      <w:pPr>
        <w:ind w:firstLine="480"/>
        <w:spacing w:line="360" w:lineRule="auto"/>
        <w:rPr>
          <w:rFonts w:ascii="宋体" w:hAnsi="宋体" w:cs="宋体"/>
          <w:bCs/>
          <w:szCs w:val="21"/>
        </w:rPr>
      </w:pPr>
      <w:r>
        <w:rPr>
          <w:rFonts w:hint="eastAsia" w:ascii="宋体" w:hAnsi="宋体" w:cs="宋体"/>
          <w:bCs/>
          <w:szCs w:val="21"/>
        </w:rPr>
        <w:t xml:space="preserve">提供南京市应急管理数据治理系统功能基础运维服务，保障系统的正常功能使用。包括数据集成、数据管控、数据开发等相关功能的保障。</w:t>
      </w:r>
      <w:r/>
    </w:p>
    <w:p>
      <w:pPr>
        <w:ind w:firstLine="480"/>
        <w:spacing w:line="360" w:lineRule="auto"/>
        <w:rPr>
          <w:rFonts w:ascii="宋体" w:hAnsi="宋体" w:cs="宋体"/>
          <w:bCs/>
          <w:szCs w:val="21"/>
        </w:rPr>
      </w:pPr>
      <w:r>
        <w:rPr>
          <w:rFonts w:hint="eastAsia" w:ascii="宋体" w:hAnsi="宋体" w:cs="宋体"/>
          <w:bCs/>
          <w:szCs w:val="21"/>
        </w:rPr>
        <w:t xml:space="preserve">（8）网络和数据资源工单流程审核服务</w:t>
      </w:r>
      <w:r/>
    </w:p>
    <w:p>
      <w:pPr>
        <w:ind w:firstLine="480"/>
        <w:spacing w:line="360" w:lineRule="auto"/>
        <w:rPr>
          <w:rFonts w:ascii="宋体" w:hAnsi="宋体" w:cs="宋体"/>
          <w:bCs/>
          <w:szCs w:val="21"/>
        </w:rPr>
      </w:pPr>
      <w:r>
        <w:rPr>
          <w:rFonts w:hint="eastAsia" w:ascii="宋体" w:hAnsi="宋体" w:cs="宋体"/>
          <w:bCs/>
          <w:szCs w:val="21"/>
        </w:rPr>
        <w:t xml:space="preserve">牵头其他技术支撑单位为采购人提供各业务系统网络、服务器、堡垒机工单、数据资源工单需求审核及开通等服务，确保业务系统正常运行和网络信息安全。提供工单需求审核、配置评估、开通申请处理、进度跟踪及反馈等全面高效的服务和保障。</w:t>
      </w:r>
      <w:r/>
    </w:p>
    <w:p>
      <w:pPr>
        <w:ind w:firstLine="480"/>
        <w:spacing w:line="360" w:lineRule="auto"/>
        <w:rPr>
          <w:rFonts w:ascii="宋体" w:hAnsi="宋体" w:cs="宋体"/>
          <w:bCs/>
          <w:szCs w:val="21"/>
        </w:rPr>
      </w:pPr>
      <w:r>
        <w:rPr>
          <w:rFonts w:hint="eastAsia" w:ascii="宋体" w:hAnsi="宋体" w:cs="宋体"/>
          <w:bCs/>
          <w:szCs w:val="21"/>
        </w:rPr>
        <w:t xml:space="preserve">（9）新建项目数据库设计审核</w:t>
      </w:r>
      <w:r/>
    </w:p>
    <w:p>
      <w:pPr>
        <w:ind w:firstLine="480"/>
        <w:spacing w:line="360" w:lineRule="auto"/>
        <w:rPr>
          <w:rFonts w:ascii="宋体" w:hAnsi="宋体" w:cs="宋体"/>
          <w:bCs/>
          <w:szCs w:val="21"/>
        </w:rPr>
      </w:pPr>
      <w:r>
        <w:rPr>
          <w:rFonts w:hint="eastAsia" w:ascii="宋体" w:hAnsi="宋体" w:cs="宋体"/>
          <w:bCs/>
          <w:szCs w:val="21"/>
        </w:rPr>
        <w:t xml:space="preserve">为采购人提供数据标准、数据架构咨询审核服务，对在建项目的数据标准、数据架构符合性进行评估，指导业务开发单位依照标准进行数据库设计。</w:t>
      </w:r>
      <w:r/>
    </w:p>
    <w:p>
      <w:pPr>
        <w:ind w:firstLine="480"/>
        <w:spacing w:line="360" w:lineRule="auto"/>
        <w:rPr>
          <w:rFonts w:ascii="宋体" w:hAnsi="宋体" w:cs="宋体"/>
          <w:b/>
          <w:szCs w:val="21"/>
        </w:rPr>
      </w:pPr>
      <w:r>
        <w:rPr>
          <w:rFonts w:hint="eastAsia" w:ascii="宋体" w:hAnsi="宋体" w:cs="宋体"/>
          <w:b/>
          <w:szCs w:val="21"/>
        </w:rPr>
        <w:t xml:space="preserve">（七）网络安全服务</w:t>
      </w:r>
      <w:r/>
    </w:p>
    <w:p>
      <w:pPr>
        <w:ind w:firstLine="480"/>
        <w:spacing w:line="360" w:lineRule="auto"/>
        <w:rPr>
          <w:rFonts w:ascii="宋体" w:hAnsi="宋体" w:cs="宋体"/>
          <w:bCs/>
          <w:szCs w:val="21"/>
        </w:rPr>
      </w:pPr>
      <w:r>
        <w:rPr>
          <w:rFonts w:hint="eastAsia" w:ascii="宋体" w:hAnsi="宋体" w:cs="宋体"/>
          <w:bCs/>
          <w:szCs w:val="21"/>
        </w:rPr>
        <w:t xml:space="preserve">1、服务要求</w:t>
      </w:r>
      <w:r/>
    </w:p>
    <w:p>
      <w:pPr>
        <w:ind w:firstLine="480"/>
        <w:spacing w:line="360" w:lineRule="auto"/>
        <w:rPr>
          <w:rFonts w:ascii="宋体" w:hAnsi="宋体" w:cs="宋体"/>
          <w:bCs/>
          <w:szCs w:val="21"/>
        </w:rPr>
      </w:pPr>
      <w:r>
        <w:rPr>
          <w:rFonts w:hint="eastAsia" w:ascii="宋体" w:hAnsi="宋体" w:cs="宋体"/>
          <w:bCs/>
          <w:szCs w:val="21"/>
        </w:rPr>
        <w:t xml:space="preserve">包含漏扫、渗透测试、重要时期网络安全保障、网络安全应急演练、网络安全培训、网络安全宣传、网络安全咨询等技术服务。其中，供应商在开展漏洞扫描、渗透测试服务过程中，完成漏洞、隐患发现、明确整改时限、下达整改要求并履行对整改对象的督促提醒责任后，整改对象的隐患仍未实现整改、由此产生的安全风险、或被主管部门通报等情形，不认定为网络安全服务供应商未履行本项目安全服务职责。</w:t>
      </w:r>
      <w:r/>
    </w:p>
    <w:p>
      <w:pPr>
        <w:ind w:firstLine="480"/>
        <w:spacing w:line="360" w:lineRule="auto"/>
        <w:rPr>
          <w:rFonts w:ascii="宋体" w:hAnsi="宋体" w:cs="宋体"/>
          <w:bCs/>
          <w:szCs w:val="21"/>
        </w:rPr>
      </w:pPr>
      <w:r>
        <w:rPr>
          <w:rFonts w:ascii="宋体" w:hAnsi="宋体" w:cs="宋体"/>
          <w:bCs/>
          <w:szCs w:val="21"/>
        </w:rPr>
      </w:r>
      <w:r/>
    </w:p>
    <w:p>
      <w:pPr>
        <w:ind w:firstLine="480"/>
        <w:spacing w:line="360" w:lineRule="auto"/>
        <w:rPr>
          <w:rFonts w:ascii="宋体" w:hAnsi="宋体" w:cs="宋体"/>
          <w:bCs/>
          <w:szCs w:val="21"/>
        </w:rPr>
      </w:pPr>
      <w:r>
        <w:rPr>
          <w:rFonts w:hint="eastAsia" w:ascii="宋体" w:hAnsi="宋体" w:cs="宋体"/>
          <w:bCs/>
          <w:szCs w:val="21"/>
        </w:rPr>
        <w:t xml:space="preserve">(1)漏洞扫描</w:t>
      </w:r>
      <w:r/>
    </w:p>
    <w:p>
      <w:pPr>
        <w:ind w:firstLine="480"/>
        <w:spacing w:line="360" w:lineRule="auto"/>
        <w:rPr>
          <w:rFonts w:ascii="宋体" w:hAnsi="宋体" w:cs="宋体"/>
          <w:bCs/>
          <w:szCs w:val="21"/>
        </w:rPr>
      </w:pPr>
      <w:r>
        <w:rPr>
          <w:rFonts w:hint="eastAsia" w:ascii="宋体" w:hAnsi="宋体" w:cs="宋体"/>
          <w:bCs/>
          <w:szCs w:val="21"/>
        </w:rPr>
        <w:t xml:space="preserve">对采购人各类网络、主机、数据库、中间件及业务系统资产开展漏洞扫描，每季度不少于1次，排查设备及系统存在的安全漏洞风险问题。针对扫描出的隐患，提供合理的修复建议与整改思路，配合开展技术整改支撑，跟踪问题整改情况，推进隐患逐步整改完善，提升资产基础安全防护能力。</w:t>
      </w:r>
      <w:r/>
    </w:p>
    <w:p>
      <w:pPr>
        <w:ind w:firstLine="480"/>
        <w:spacing w:line="360" w:lineRule="auto"/>
        <w:rPr>
          <w:rFonts w:ascii="宋体" w:hAnsi="宋体" w:cs="宋体"/>
          <w:bCs/>
          <w:szCs w:val="21"/>
        </w:rPr>
      </w:pPr>
      <w:r>
        <w:rPr>
          <w:rFonts w:hint="eastAsia" w:ascii="宋体" w:hAnsi="宋体" w:cs="宋体"/>
          <w:bCs/>
          <w:szCs w:val="21"/>
        </w:rPr>
        <w:t xml:space="preserve">(2)渗透测试</w:t>
      </w:r>
      <w:r/>
    </w:p>
    <w:p>
      <w:pPr>
        <w:ind w:firstLine="480"/>
        <w:spacing w:line="360" w:lineRule="auto"/>
        <w:rPr>
          <w:rFonts w:ascii="宋体" w:hAnsi="宋体" w:cs="宋体"/>
          <w:bCs/>
          <w:szCs w:val="21"/>
        </w:rPr>
      </w:pPr>
      <w:r>
        <w:rPr>
          <w:rFonts w:hint="eastAsia" w:ascii="宋体" w:hAnsi="宋体" w:cs="宋体"/>
          <w:bCs/>
          <w:szCs w:val="21"/>
        </w:rPr>
        <w:t xml:space="preserve">通过模拟攻击的方式对业务系统开展渗透测试工作，每季度不少于1次，排查系统潜在的安全隐患和防护薄弱点，检验现有安全防护措施的实际效果。根据测试结果修复已知漏洞，辅助提升业务系统应对常规网络威胁的安全防护能力。</w:t>
      </w:r>
      <w:r/>
    </w:p>
    <w:p>
      <w:pPr>
        <w:ind w:firstLine="480"/>
        <w:spacing w:line="360" w:lineRule="auto"/>
        <w:rPr>
          <w:rFonts w:ascii="宋体" w:hAnsi="宋体" w:cs="宋体"/>
          <w:bCs/>
          <w:szCs w:val="21"/>
        </w:rPr>
      </w:pPr>
      <w:r>
        <w:rPr>
          <w:rFonts w:hint="eastAsia" w:ascii="宋体" w:hAnsi="宋体" w:cs="宋体"/>
          <w:bCs/>
          <w:szCs w:val="21"/>
        </w:rPr>
        <w:t xml:space="preserve">(3)重要时期网络安全保障</w:t>
      </w:r>
      <w:r/>
    </w:p>
    <w:p>
      <w:pPr>
        <w:ind w:firstLine="480"/>
        <w:spacing w:line="360" w:lineRule="auto"/>
        <w:rPr>
          <w:rFonts w:ascii="宋体" w:hAnsi="宋体" w:cs="宋体"/>
          <w:bCs/>
          <w:szCs w:val="21"/>
        </w:rPr>
      </w:pPr>
      <w:r>
        <w:rPr>
          <w:rFonts w:hint="eastAsia" w:ascii="宋体" w:hAnsi="宋体" w:cs="宋体"/>
          <w:bCs/>
          <w:szCs w:val="21"/>
        </w:rPr>
        <w:t xml:space="preserve">在重大活动、节假日、护网等重要安全保障时期，安排开展安全值守工作。配合采购人做好重保期间网络安全保障工作，降低安全风险。</w:t>
      </w:r>
      <w:r/>
    </w:p>
    <w:p>
      <w:pPr>
        <w:ind w:firstLine="480"/>
        <w:spacing w:line="360" w:lineRule="auto"/>
        <w:rPr>
          <w:rFonts w:ascii="宋体" w:hAnsi="宋体" w:cs="宋体"/>
          <w:bCs/>
          <w:szCs w:val="21"/>
        </w:rPr>
      </w:pPr>
      <w:r>
        <w:rPr>
          <w:rFonts w:hint="eastAsia" w:ascii="宋体" w:hAnsi="宋体" w:cs="宋体"/>
          <w:bCs/>
          <w:szCs w:val="21"/>
        </w:rPr>
        <w:t xml:space="preserve">(4)网络安全应急演练</w:t>
      </w:r>
      <w:r/>
    </w:p>
    <w:p>
      <w:pPr>
        <w:ind w:firstLine="480"/>
        <w:spacing w:line="360" w:lineRule="auto"/>
        <w:rPr>
          <w:rFonts w:ascii="宋体" w:hAnsi="宋体" w:cs="宋体"/>
          <w:bCs/>
          <w:szCs w:val="21"/>
        </w:rPr>
      </w:pPr>
      <w:r>
        <w:rPr>
          <w:rFonts w:hint="eastAsia" w:ascii="宋体" w:hAnsi="宋体" w:cs="宋体"/>
          <w:bCs/>
          <w:szCs w:val="21"/>
        </w:rPr>
        <w:t xml:space="preserve">配合采购人开展网络安全应急演练，通过演练梳理应急处置流程，磨合双方联动响应机制，提升工作人员的应急处置和协同配合能力，夯实日常应急工作基础。</w:t>
      </w:r>
      <w:r/>
    </w:p>
    <w:p>
      <w:pPr>
        <w:ind w:firstLine="480"/>
        <w:spacing w:line="360" w:lineRule="auto"/>
        <w:rPr>
          <w:rFonts w:ascii="宋体" w:hAnsi="宋体" w:cs="宋体"/>
          <w:bCs/>
          <w:szCs w:val="21"/>
        </w:rPr>
      </w:pPr>
      <w:r>
        <w:rPr>
          <w:rFonts w:hint="eastAsia" w:ascii="宋体" w:hAnsi="宋体" w:cs="宋体"/>
          <w:bCs/>
          <w:szCs w:val="21"/>
        </w:rPr>
        <w:t xml:space="preserve">(5)网络安全培训</w:t>
      </w:r>
      <w:r/>
    </w:p>
    <w:p>
      <w:pPr>
        <w:ind w:firstLine="480"/>
        <w:spacing w:line="360" w:lineRule="auto"/>
        <w:rPr>
          <w:rFonts w:ascii="宋体" w:hAnsi="宋体" w:cs="宋体"/>
          <w:bCs/>
          <w:szCs w:val="21"/>
        </w:rPr>
      </w:pPr>
      <w:r>
        <w:rPr>
          <w:rFonts w:hint="eastAsia" w:ascii="宋体" w:hAnsi="宋体" w:cs="宋体"/>
          <w:bCs/>
          <w:szCs w:val="21"/>
        </w:rPr>
        <w:t xml:space="preserve">开展基础网络安全培训，服务期内不少于2次，围绕政务运维规范、常见网络风险、钓鱼攻击防范、基础数据安全等内容开展科普教学。帮助工作人员提升基础网络安全意识，减少因操作不规范、安全意识不足引发的基础安全问题。</w:t>
      </w:r>
      <w:r/>
    </w:p>
    <w:p>
      <w:pPr>
        <w:ind w:firstLine="480"/>
        <w:spacing w:line="360" w:lineRule="auto"/>
        <w:rPr>
          <w:rFonts w:ascii="宋体" w:hAnsi="宋体" w:cs="宋体"/>
          <w:bCs/>
          <w:szCs w:val="21"/>
        </w:rPr>
      </w:pPr>
      <w:r>
        <w:rPr>
          <w:rFonts w:hint="eastAsia" w:ascii="宋体" w:hAnsi="宋体" w:cs="宋体"/>
          <w:bCs/>
          <w:szCs w:val="21"/>
        </w:rPr>
        <w:t xml:space="preserve">(6)网络安全宣传</w:t>
      </w:r>
      <w:r/>
    </w:p>
    <w:p>
      <w:pPr>
        <w:ind w:firstLine="480"/>
        <w:spacing w:line="360" w:lineRule="auto"/>
        <w:rPr>
          <w:rFonts w:ascii="宋体" w:hAnsi="宋体" w:cs="宋体"/>
          <w:bCs/>
          <w:szCs w:val="21"/>
        </w:rPr>
      </w:pPr>
      <w:r>
        <w:rPr>
          <w:rFonts w:hint="eastAsia" w:ascii="宋体" w:hAnsi="宋体" w:cs="宋体"/>
          <w:bCs/>
          <w:szCs w:val="21"/>
        </w:rPr>
        <w:t xml:space="preserve">配合采购人开展各类网络安全宣传工作。按需提供安全科普素材、风险警示内容，协助采购人开展内部安全宣传，助力营造良好的网络安全运维氛围。</w:t>
      </w:r>
      <w:r/>
    </w:p>
    <w:p>
      <w:pPr>
        <w:ind w:firstLine="480"/>
        <w:spacing w:line="360" w:lineRule="auto"/>
        <w:rPr>
          <w:rFonts w:ascii="宋体" w:hAnsi="宋体" w:cs="宋体"/>
          <w:bCs/>
          <w:szCs w:val="21"/>
        </w:rPr>
      </w:pPr>
      <w:r>
        <w:rPr>
          <w:rFonts w:hint="eastAsia" w:ascii="宋体" w:hAnsi="宋体" w:cs="宋体"/>
          <w:bCs/>
          <w:szCs w:val="21"/>
        </w:rPr>
        <w:t xml:space="preserve">(7)网络安全咨询</w:t>
      </w:r>
      <w:r/>
    </w:p>
    <w:p>
      <w:pPr>
        <w:ind w:firstLine="480"/>
        <w:spacing w:line="360" w:lineRule="auto"/>
        <w:rPr>
          <w:rFonts w:ascii="宋体" w:hAnsi="宋体" w:cs="宋体"/>
          <w:bCs/>
          <w:szCs w:val="21"/>
        </w:rPr>
      </w:pPr>
      <w:r>
        <w:rPr>
          <w:rFonts w:hint="eastAsia" w:ascii="宋体" w:hAnsi="宋体" w:cs="宋体"/>
          <w:bCs/>
          <w:szCs w:val="21"/>
        </w:rPr>
        <w:t xml:space="preserve">依据网络安全相关规范、等保及政务安全基线要求，为采购人提供网络安全、数据安全咨询服务。针对现有运维及防护工作中存在的问题，提供针对性的优化建议，协助采购人逐步完善网络安全防护体系，满足常态化安全合规运维需求。</w:t>
      </w:r>
      <w:r/>
    </w:p>
    <w:p>
      <w:pPr>
        <w:ind w:firstLine="480"/>
        <w:spacing w:line="360" w:lineRule="auto"/>
        <w:rPr>
          <w:rFonts w:ascii="宋体" w:hAnsi="宋体" w:cs="宋体"/>
          <w:b/>
          <w:szCs w:val="21"/>
        </w:rPr>
      </w:pPr>
      <w:r>
        <w:rPr>
          <w:rFonts w:hint="eastAsia" w:ascii="宋体" w:hAnsi="宋体" w:cs="宋体"/>
          <w:b/>
          <w:szCs w:val="21"/>
        </w:rPr>
        <w:t xml:space="preserve">（八）超融合运维服务</w:t>
      </w:r>
      <w:r/>
    </w:p>
    <w:p>
      <w:pPr>
        <w:ind w:firstLine="480"/>
        <w:spacing w:line="360" w:lineRule="auto"/>
        <w:rPr>
          <w:rFonts w:ascii="宋体" w:hAnsi="宋体" w:cs="宋体"/>
          <w:bCs/>
          <w:szCs w:val="21"/>
        </w:rPr>
      </w:pPr>
      <w:r>
        <w:rPr>
          <w:rFonts w:hint="eastAsia" w:ascii="宋体" w:hAnsi="宋体" w:cs="宋体"/>
          <w:bCs/>
          <w:szCs w:val="21"/>
        </w:rPr>
        <w:t xml:space="preserve">1、服务要求</w:t>
      </w:r>
      <w:r/>
    </w:p>
    <w:p>
      <w:pPr>
        <w:ind w:firstLine="480"/>
        <w:spacing w:line="360" w:lineRule="auto"/>
        <w:rPr>
          <w:rFonts w:ascii="宋体" w:hAnsi="宋体" w:cs="宋体"/>
          <w:bCs/>
          <w:szCs w:val="21"/>
        </w:rPr>
      </w:pPr>
      <w:r>
        <w:rPr>
          <w:rFonts w:hint="eastAsia" w:ascii="宋体" w:hAnsi="宋体" w:cs="宋体"/>
          <w:bCs/>
          <w:szCs w:val="21"/>
        </w:rPr>
        <w:t xml:space="preserve">（1）硬件运维</w:t>
      </w:r>
      <w:r/>
    </w:p>
    <w:p>
      <w:pPr>
        <w:ind w:firstLine="480"/>
        <w:spacing w:line="360" w:lineRule="auto"/>
        <w:rPr>
          <w:rFonts w:ascii="宋体" w:hAnsi="宋体" w:cs="宋体"/>
          <w:bCs/>
          <w:szCs w:val="21"/>
        </w:rPr>
      </w:pPr>
      <w:r>
        <w:rPr>
          <w:rFonts w:hint="eastAsia" w:ascii="宋体" w:hAnsi="宋体" w:cs="宋体"/>
          <w:bCs/>
          <w:szCs w:val="21"/>
        </w:rPr>
        <w:t xml:space="preserve">对设备提供硬件维护，并对损坏的部件进行更换，保证硬件在服务期限内系统稳定、连续、可靠运行。设备列表如下：</w:t>
      </w:r>
      <w:r/>
    </w:p>
    <w:tbl>
      <w:tblPr>
        <w:tblStyle w:val="10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96"/>
        <w:gridCol w:w="1189"/>
        <w:gridCol w:w="4896"/>
        <w:gridCol w:w="697"/>
        <w:gridCol w:w="697"/>
      </w:tblGrid>
      <w:tr>
        <w:trPr>
          <w:jc w:val="center"/>
        </w:trPr>
        <w:tc>
          <w:tcPr>
            <w:tcW w:w="676" w:type="dxa"/>
            <w:vAlign w:val="center"/>
            <w:textDirection w:val="lrTb"/>
            <w:noWrap w:val="false"/>
          </w:tcPr>
          <w:p>
            <w:pPr>
              <w:jc w:val="left"/>
              <w:spacing w:line="360" w:lineRule="auto"/>
              <w:rPr>
                <w:rFonts w:ascii="宋体" w:hAnsi="宋体" w:cs="宋体" w:eastAsiaTheme="minorEastAsia"/>
                <w:b/>
              </w:rPr>
            </w:pPr>
            <w:r>
              <w:rPr>
                <w:rFonts w:hint="eastAsia" w:ascii="宋体" w:hAnsi="宋体" w:cs="宋体" w:eastAsiaTheme="minorEastAsia"/>
                <w:b/>
              </w:rPr>
              <w:t xml:space="preserve">序号</w:t>
            </w:r>
            <w:r/>
          </w:p>
        </w:tc>
        <w:tc>
          <w:tcPr>
            <w:tcW w:w="1196"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产品名称</w:t>
            </w:r>
            <w:r/>
          </w:p>
        </w:tc>
        <w:tc>
          <w:tcPr>
            <w:tcW w:w="1189" w:type="dxa"/>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型号</w:t>
            </w:r>
            <w:r/>
          </w:p>
        </w:tc>
        <w:tc>
          <w:tcPr>
            <w:tcW w:w="4896"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项目配置</w:t>
            </w:r>
            <w:r/>
          </w:p>
        </w:tc>
        <w:tc>
          <w:tcPr>
            <w:tcW w:w="697"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数量</w:t>
            </w:r>
            <w:r/>
          </w:p>
        </w:tc>
        <w:tc>
          <w:tcPr>
            <w:tcW w:w="697"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单位</w:t>
            </w:r>
            <w:r/>
          </w:p>
        </w:tc>
      </w:tr>
      <w:tr>
        <w:trPr>
          <w:jc w:val="center"/>
        </w:trPr>
        <w:tc>
          <w:tcPr>
            <w:tcW w:w="67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1</w:t>
            </w:r>
            <w:r/>
          </w:p>
        </w:tc>
        <w:tc>
          <w:tcPr>
            <w:tcW w:w="11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超融合一体机</w:t>
            </w:r>
            <w:r/>
          </w:p>
        </w:tc>
        <w:tc>
          <w:tcPr>
            <w:tcW w:w="1189" w:type="dxa"/>
            <w:vAlign w:val="center"/>
            <w:textDirection w:val="lrTb"/>
            <w:noWrap w:val="false"/>
          </w:tcPr>
          <w:p>
            <w:pPr>
              <w:jc w:val="center"/>
              <w:widowControl/>
              <w:rPr>
                <w:rFonts w:ascii="宋体" w:hAnsi="宋体" w:cs="宋体" w:eastAsiaTheme="minorEastAsia"/>
              </w:rPr>
            </w:pPr>
            <w:r>
              <w:rPr>
                <w:rFonts w:hint="eastAsia" w:ascii="宋体" w:hAnsi="宋体" w:cs="宋体" w:eastAsiaTheme="minorEastAsia"/>
              </w:rPr>
              <w:t xml:space="preserve">华为2288H V5</w:t>
            </w:r>
            <w:r/>
          </w:p>
        </w:tc>
        <w:tc>
          <w:tcPr>
            <w:tcW w:w="4896" w:type="dxa"/>
            <w:vAlign w:val="center"/>
            <w:textDirection w:val="lrTb"/>
            <w:noWrap w:val="false"/>
          </w:tcPr>
          <w:p>
            <w:pPr>
              <w:jc w:val="center"/>
              <w:widowControl/>
              <w:rPr>
                <w:rFonts w:ascii="宋体" w:hAnsi="宋体" w:cs="宋体" w:eastAsiaTheme="minorEastAsia"/>
              </w:rPr>
            </w:pPr>
            <w:r>
              <w:rPr>
                <w:rFonts w:hint="eastAsia" w:ascii="宋体" w:hAnsi="宋体" w:cs="宋体" w:eastAsiaTheme="minorEastAsia"/>
              </w:rPr>
              <w:t xml:space="preserve">12*3.5 英寸硬盘机箱,CPU:2*金牌 5220， 内存： 8*32GB,硬盘： 2*600GB SAS,12*6TB SATA,1*800GB SSD,接口： 2*GE 电口， 4*10GE 光接口，满配多模万兆光模块。</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5</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台</w:t>
            </w:r>
            <w:r/>
          </w:p>
        </w:tc>
      </w:tr>
      <w:tr>
        <w:trPr>
          <w:jc w:val="center"/>
          <w:trHeight w:val="491"/>
        </w:trPr>
        <w:tc>
          <w:tcPr>
            <w:tcW w:w="67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2</w:t>
            </w:r>
            <w:r/>
          </w:p>
        </w:tc>
        <w:tc>
          <w:tcPr>
            <w:tcW w:w="11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GPU服务器</w:t>
            </w:r>
            <w:r/>
          </w:p>
        </w:tc>
        <w:tc>
          <w:tcPr>
            <w:tcW w:w="1189"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华为2288H V5</w:t>
            </w:r>
            <w:r/>
          </w:p>
        </w:tc>
        <w:tc>
          <w:tcPr>
            <w:tcW w:w="48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288H V5 (8*2.5 英寸硬盘机箱,CPU:2*银盘 4214，内存： 4*32GB,硬盘：2*1.8TB SAS,GPU 卡：1*NVIDIA Tesla T4-16GB，接口：2*GE 电口，4*10GE 光接口，满配多模万兆光模块）</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1</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台</w:t>
            </w:r>
            <w:r/>
          </w:p>
        </w:tc>
      </w:tr>
      <w:tr>
        <w:trPr>
          <w:jc w:val="center"/>
          <w:trHeight w:val="491"/>
        </w:trPr>
        <w:tc>
          <w:tcPr>
            <w:tcW w:w="67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3</w:t>
            </w:r>
            <w:r/>
          </w:p>
        </w:tc>
        <w:tc>
          <w:tcPr>
            <w:tcW w:w="11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互联交换机</w:t>
            </w:r>
            <w:r/>
          </w:p>
        </w:tc>
        <w:tc>
          <w:tcPr>
            <w:tcW w:w="1189"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华为S6720</w:t>
            </w:r>
            <w:r/>
          </w:p>
        </w:tc>
        <w:tc>
          <w:tcPr>
            <w:tcW w:w="48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万兆光口交换机,含24个万兆光口，支持全端口线速转发；支持aNAC统一管理、统一查看状态、VLAN、堆叠等配置管理；</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2</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台</w:t>
            </w:r>
            <w:r/>
          </w:p>
        </w:tc>
      </w:tr>
      <w:tr>
        <w:trPr>
          <w:jc w:val="center"/>
          <w:trHeight w:val="491"/>
        </w:trPr>
        <w:tc>
          <w:tcPr>
            <w:tcW w:w="67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4</w:t>
            </w:r>
            <w:r/>
          </w:p>
        </w:tc>
        <w:tc>
          <w:tcPr>
            <w:tcW w:w="11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机架式服务器</w:t>
            </w:r>
            <w:r/>
          </w:p>
        </w:tc>
        <w:tc>
          <w:tcPr>
            <w:tcW w:w="1189"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华为RH2288V5</w:t>
            </w:r>
            <w:r/>
          </w:p>
        </w:tc>
        <w:tc>
          <w:tcPr>
            <w:tcW w:w="48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12*3.5 英寸硬盘机箱,CPU:2*Sliver 4210CPU，内存： 4*32GB,硬盘：硬盘：2*600GB SAS,接口： 2*GE 电口， 2*10GE 光接口，冗余电源</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1</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台</w:t>
            </w:r>
            <w:r/>
          </w:p>
        </w:tc>
      </w:tr>
    </w:tbl>
    <w:p>
      <w:pPr>
        <w:ind w:firstLine="480"/>
        <w:spacing w:line="360" w:lineRule="auto"/>
        <w:rPr>
          <w:rFonts w:ascii="宋体" w:hAnsi="宋体" w:cs="宋体"/>
          <w:bCs/>
          <w:szCs w:val="21"/>
        </w:rPr>
      </w:pPr>
      <w:r>
        <w:rPr>
          <w:rFonts w:hint="eastAsia" w:ascii="宋体" w:hAnsi="宋体" w:cs="宋体"/>
          <w:bCs/>
          <w:szCs w:val="21"/>
        </w:rPr>
        <w:t xml:space="preserve">（2）软件运维</w:t>
      </w:r>
      <w:r/>
    </w:p>
    <w:p>
      <w:pPr>
        <w:ind w:firstLine="480"/>
        <w:spacing w:line="360" w:lineRule="auto"/>
        <w:rPr>
          <w:rFonts w:ascii="宋体" w:hAnsi="宋体" w:cs="宋体"/>
          <w:bCs/>
          <w:szCs w:val="21"/>
        </w:rPr>
      </w:pPr>
      <w:r>
        <w:rPr>
          <w:rFonts w:hint="eastAsia" w:ascii="宋体" w:hAnsi="宋体" w:cs="宋体"/>
          <w:bCs/>
          <w:szCs w:val="21"/>
        </w:rPr>
        <w:t xml:space="preserve">本项目对超融合平台软件进行运维，保证软件平台在服务期限内正常运维和使用。</w:t>
      </w:r>
      <w:r/>
    </w:p>
    <w:tbl>
      <w:tblPr>
        <w:tblStyle w:val="10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0"/>
        <w:gridCol w:w="2116"/>
        <w:gridCol w:w="3439"/>
        <w:gridCol w:w="1337"/>
        <w:gridCol w:w="632"/>
      </w:tblGrid>
      <w:tr>
        <w:trPr>
          <w:jc w:val="center"/>
        </w:trPr>
        <w:tc>
          <w:tcPr>
            <w:tcW w:w="1440"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序号</w:t>
            </w:r>
            <w:r/>
          </w:p>
        </w:tc>
        <w:tc>
          <w:tcPr>
            <w:tcW w:w="2116"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产品名称</w:t>
            </w:r>
            <w:r/>
          </w:p>
        </w:tc>
        <w:tc>
          <w:tcPr>
            <w:tcW w:w="3439"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型号</w:t>
            </w:r>
            <w:r/>
          </w:p>
        </w:tc>
        <w:tc>
          <w:tcPr>
            <w:tcW w:w="1337"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数量</w:t>
            </w:r>
            <w:r/>
          </w:p>
        </w:tc>
        <w:tc>
          <w:tcPr>
            <w:tcW w:w="632"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单位</w:t>
            </w:r>
            <w:r/>
          </w:p>
        </w:tc>
      </w:tr>
      <w:tr>
        <w:trPr>
          <w:jc w:val="center"/>
          <w:trHeight w:val="491"/>
        </w:trPr>
        <w:tc>
          <w:tcPr>
            <w:tcW w:w="1440"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1</w:t>
            </w:r>
            <w:r/>
          </w:p>
        </w:tc>
        <w:tc>
          <w:tcPr>
            <w:tcW w:w="211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超融合平台软件</w:t>
            </w:r>
            <w:r/>
          </w:p>
        </w:tc>
        <w:tc>
          <w:tcPr>
            <w:tcW w:w="3439" w:type="dxa"/>
            <w:vAlign w:val="center"/>
            <w:textDirection w:val="lrTb"/>
            <w:noWrap w:val="false"/>
          </w:tcPr>
          <w:p>
            <w:pPr>
              <w:jc w:val="center"/>
              <w:spacing w:line="360" w:lineRule="auto"/>
              <w:widowControl/>
              <w:rPr>
                <w:rFonts w:ascii="宋体" w:hAnsi="宋体" w:cs="宋体" w:eastAsiaTheme="minorEastAsia"/>
              </w:rPr>
            </w:pPr>
            <w:r>
              <w:rPr>
                <w:rFonts w:hint="eastAsia" w:ascii="宋体" w:hAnsi="宋体" w:cs="宋体" w:eastAsiaTheme="minorEastAsia"/>
              </w:rPr>
              <w:t xml:space="preserve">华为FusionCube HCI V5</w:t>
            </w:r>
            <w:r/>
          </w:p>
        </w:tc>
        <w:tc>
          <w:tcPr>
            <w:tcW w:w="133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10</w:t>
            </w:r>
            <w:r/>
          </w:p>
        </w:tc>
        <w:tc>
          <w:tcPr>
            <w:tcW w:w="632"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CPU</w:t>
            </w:r>
            <w:r/>
          </w:p>
        </w:tc>
      </w:tr>
      <w:tr>
        <w:trPr>
          <w:jc w:val="center"/>
          <w:trHeight w:val="491"/>
        </w:trPr>
        <w:tc>
          <w:tcPr>
            <w:tcW w:w="1440"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2</w:t>
            </w:r>
            <w:r/>
          </w:p>
        </w:tc>
        <w:tc>
          <w:tcPr>
            <w:tcW w:w="211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超融合虚拟机操作系统</w:t>
            </w:r>
            <w:r/>
          </w:p>
        </w:tc>
        <w:tc>
          <w:tcPr>
            <w:tcW w:w="3439" w:type="dxa"/>
            <w:vAlign w:val="center"/>
            <w:textDirection w:val="lrTb"/>
            <w:noWrap w:val="false"/>
          </w:tcPr>
          <w:p>
            <w:pPr>
              <w:jc w:val="center"/>
              <w:spacing w:line="360" w:lineRule="auto"/>
              <w:widowControl/>
              <w:rPr>
                <w:rFonts w:ascii="宋体" w:hAnsi="宋体" w:cs="宋体" w:eastAsiaTheme="minorEastAsia"/>
              </w:rPr>
            </w:pPr>
            <w:r>
              <w:rPr>
                <w:rFonts w:hint="eastAsia" w:ascii="宋体" w:hAnsi="宋体" w:cs="宋体" w:eastAsiaTheme="minorEastAsia"/>
              </w:rPr>
              <w:t xml:space="preserve">Windows Server 2012等</w:t>
            </w:r>
            <w:r/>
          </w:p>
        </w:tc>
        <w:tc>
          <w:tcPr>
            <w:tcW w:w="133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39</w:t>
            </w:r>
            <w:r/>
          </w:p>
        </w:tc>
        <w:tc>
          <w:tcPr>
            <w:tcW w:w="632"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套</w:t>
            </w:r>
            <w:r/>
          </w:p>
        </w:tc>
      </w:tr>
    </w:tbl>
    <w:p>
      <w:pPr>
        <w:ind w:firstLine="480"/>
        <w:spacing w:line="360" w:lineRule="auto"/>
        <w:rPr>
          <w:rFonts w:ascii="宋体" w:hAnsi="宋体" w:cs="宋体"/>
          <w:bCs/>
          <w:szCs w:val="21"/>
        </w:rPr>
      </w:pPr>
      <w:r>
        <w:rPr>
          <w:rFonts w:hint="eastAsia" w:ascii="宋体" w:hAnsi="宋体" w:cs="宋体"/>
          <w:bCs/>
          <w:szCs w:val="21"/>
        </w:rPr>
        <w:t xml:space="preserve">（3）数据库运维</w:t>
      </w:r>
      <w:r/>
    </w:p>
    <w:p>
      <w:pPr>
        <w:ind w:firstLine="480"/>
        <w:spacing w:line="360" w:lineRule="auto"/>
        <w:rPr>
          <w:rFonts w:ascii="宋体" w:hAnsi="宋体" w:cs="宋体"/>
          <w:bCs/>
          <w:szCs w:val="21"/>
        </w:rPr>
      </w:pPr>
      <w:r>
        <w:rPr>
          <w:rFonts w:hint="eastAsia" w:ascii="宋体" w:hAnsi="宋体" w:cs="宋体"/>
          <w:bCs/>
          <w:szCs w:val="21"/>
        </w:rPr>
        <w:t xml:space="preserve">供应商应对超融合平台中运行的业务数据库（数据库类型包括Oracle、MySQL、PostgreSQL、Redis）提供运维支持服务，并根据采购人的需要提供远程、现场支持服务。具体服务时间由采购人需求决定。</w:t>
      </w:r>
      <w:r/>
    </w:p>
    <w:p>
      <w:pPr>
        <w:ind w:firstLine="480"/>
        <w:spacing w:line="360" w:lineRule="auto"/>
        <w:rPr>
          <w:rFonts w:ascii="宋体" w:hAnsi="宋体" w:cs="宋体"/>
          <w:bCs/>
          <w:szCs w:val="21"/>
        </w:rPr>
      </w:pPr>
      <w:r>
        <w:rPr>
          <w:rFonts w:hint="eastAsia" w:ascii="宋体" w:hAnsi="宋体" w:cs="宋体"/>
          <w:bCs/>
          <w:szCs w:val="21"/>
        </w:rPr>
        <w:t xml:space="preserve">服务内容包括：健康检查、技术支持、数据库性能调优等</w:t>
      </w:r>
      <w:r/>
    </w:p>
    <w:p>
      <w:pPr>
        <w:ind w:firstLine="480"/>
        <w:spacing w:line="360" w:lineRule="auto"/>
        <w:rPr>
          <w:rFonts w:ascii="宋体" w:hAnsi="宋体" w:cs="宋体"/>
          <w:bCs/>
          <w:szCs w:val="21"/>
        </w:rPr>
      </w:pPr>
      <w:r>
        <w:rPr>
          <w:rFonts w:hint="eastAsia" w:ascii="宋体" w:hAnsi="宋体" w:cs="宋体"/>
          <w:bCs/>
          <w:szCs w:val="21"/>
        </w:rPr>
        <w:t xml:space="preserve">数据库健康检查是常态化基础运维工作，定期对数据库实例、操作系统、存储、网络等组件开展全面巡检。重点核查运行状态、表空间占用、日志增长、备份有效性、会话连接、锁等待及系统资源负载等指标，排查各类潜在风险。汇总巡检数据形成评估报告，识别磁盘不足、备份失效、参数不合理、数据碎片等隐患，并给出整改建议。提前规避隐性故障引发的宕机、数据丢失风险，降低突发故障概率，保障数据库持续稳定运行，为业务系统提供可靠底层支撑。</w:t>
      </w:r>
      <w:r/>
    </w:p>
    <w:p>
      <w:pPr>
        <w:ind w:firstLine="480"/>
        <w:spacing w:line="360" w:lineRule="auto"/>
        <w:rPr>
          <w:rFonts w:ascii="宋体" w:hAnsi="宋体" w:cs="宋体"/>
          <w:bCs/>
          <w:szCs w:val="21"/>
        </w:rPr>
      </w:pPr>
      <w:r>
        <w:rPr>
          <w:rFonts w:hint="eastAsia" w:ascii="宋体" w:hAnsi="宋体" w:cs="宋体"/>
          <w:bCs/>
          <w:szCs w:val="21"/>
        </w:rPr>
        <w:t xml:space="preserve">数据库技术支持覆盖业务全周期，建立分级响应机制，承接数据库相关咨询、告警及故障申报。针对连接异常、报错、访问卡顿、数据异常等问题快速定位根因，通过远程或现场方式开展应急处置，尽快恢复数据库服务。同时提供数据库部署升级、账号权限管理、备份恢复演练、迁移方案咨询等服务，解答日常运维疑问。完整记录故障信息并复盘，输出处置报告，沉淀处理经验，减少同类问题重复发生，保障数据库稳定支撑业务运转。</w:t>
      </w:r>
      <w:r/>
    </w:p>
    <w:p>
      <w:pPr>
        <w:ind w:firstLine="480"/>
        <w:spacing w:line="360" w:lineRule="auto"/>
        <w:rPr>
          <w:rFonts w:ascii="宋体" w:hAnsi="宋体" w:cs="宋体"/>
          <w:bCs/>
          <w:szCs w:val="21"/>
        </w:rPr>
      </w:pPr>
      <w:r>
        <w:rPr>
          <w:rFonts w:hint="eastAsia" w:ascii="宋体" w:hAnsi="宋体" w:cs="宋体"/>
          <w:bCs/>
          <w:szCs w:val="21"/>
        </w:rPr>
        <w:t xml:space="preserve">数据库性能调优针对业务访问延迟、SQL 执行缓慢、资源瓶颈等问题开展专项优化。采集慢查询日志、执行计划、系统资源、锁等待等性能数据，分析低效 SQL、不合理索引、数据库参数、表结构与业务访问特点。通过改写 SQL、增减索引、调整内核参数、清理数据碎片、优化分区等方式，降低 CPU、内存、IO 开销，缩短查询响应时间。调优后持续监测指标验证效果，随业务变化迭代优化策略，提升数据库吞吐能力，保障业务高效访问。</w:t>
      </w:r>
      <w:r/>
    </w:p>
    <w:p>
      <w:pPr>
        <w:ind w:firstLine="480"/>
        <w:spacing w:line="360" w:lineRule="auto"/>
        <w:rPr>
          <w:rFonts w:ascii="宋体" w:hAnsi="宋体" w:cs="宋体"/>
          <w:b/>
          <w:szCs w:val="21"/>
        </w:rPr>
      </w:pPr>
      <w:r>
        <w:rPr>
          <w:rFonts w:hint="eastAsia" w:ascii="宋体" w:hAnsi="宋体" w:cs="宋体"/>
          <w:b/>
          <w:szCs w:val="21"/>
        </w:rPr>
        <w:t xml:space="preserve">（九）统一门户和统一用户</w:t>
      </w:r>
      <w:r/>
    </w:p>
    <w:p>
      <w:pPr>
        <w:ind w:firstLine="480"/>
        <w:spacing w:line="360" w:lineRule="auto"/>
        <w:rPr>
          <w:rFonts w:ascii="宋体" w:hAnsi="宋体" w:cs="宋体"/>
          <w:bCs/>
          <w:szCs w:val="21"/>
        </w:rPr>
      </w:pPr>
      <w:r>
        <w:rPr>
          <w:rFonts w:hint="eastAsia" w:ascii="宋体" w:hAnsi="宋体" w:cs="宋体"/>
          <w:bCs/>
          <w:szCs w:val="21"/>
        </w:rPr>
        <w:t xml:space="preserve">1、服务要求</w:t>
      </w:r>
      <w:r/>
    </w:p>
    <w:p>
      <w:pPr>
        <w:ind w:firstLine="480"/>
        <w:spacing w:line="360" w:lineRule="auto"/>
        <w:rPr>
          <w:rFonts w:ascii="宋体" w:hAnsi="宋体" w:cs="宋体"/>
          <w:bCs/>
          <w:szCs w:val="21"/>
        </w:rPr>
      </w:pPr>
      <w:r>
        <w:rPr>
          <w:rFonts w:hint="eastAsia" w:ascii="宋体" w:hAnsi="宋体" w:cs="宋体"/>
          <w:bCs/>
          <w:szCs w:val="21"/>
        </w:rPr>
        <w:t xml:space="preserve">（1）为已建成的统一门户平台提供专业的业务系统接入集成、日常运营支撑及用户端服务。确保门户与各业务系统无缝衔接、用户账号权限精准高效、使用体验流畅稳定。</w:t>
      </w:r>
      <w:r/>
    </w:p>
    <w:p>
      <w:pPr>
        <w:ind w:firstLine="480"/>
        <w:spacing w:line="360" w:lineRule="auto"/>
        <w:rPr>
          <w:rFonts w:ascii="宋体" w:hAnsi="宋体" w:cs="宋体"/>
          <w:bCs/>
          <w:szCs w:val="21"/>
        </w:rPr>
      </w:pPr>
      <w:r>
        <w:rPr>
          <w:rFonts w:hint="eastAsia" w:ascii="宋体" w:hAnsi="宋体" w:cs="宋体"/>
          <w:bCs/>
          <w:szCs w:val="21"/>
        </w:rPr>
        <w:t xml:space="preserve">（2）保障身份管理系统稳定运行，确保实体管理、认证管理、数据服务等模块功能完备，实现身份信息同步及认证漫游，筑牢统一身份管理根基。</w:t>
      </w:r>
      <w:r/>
    </w:p>
    <w:p>
      <w:pPr>
        <w:ind w:firstLine="480"/>
        <w:spacing w:line="360" w:lineRule="auto"/>
        <w:rPr>
          <w:rFonts w:ascii="宋体" w:hAnsi="宋体" w:cs="宋体"/>
          <w:bCs/>
          <w:szCs w:val="21"/>
        </w:rPr>
      </w:pPr>
      <w:r>
        <w:rPr>
          <w:rFonts w:hint="eastAsia" w:ascii="宋体" w:hAnsi="宋体" w:cs="宋体"/>
          <w:bCs/>
          <w:szCs w:val="21"/>
        </w:rPr>
        <w:t xml:space="preserve">（3）保障权限管理系统稳定运行，实现授权精准化、策略规范化、鉴权标准化，与身份管理系统数据协同一致。</w:t>
      </w:r>
      <w:r/>
    </w:p>
    <w:p>
      <w:pPr>
        <w:ind w:firstLine="480"/>
        <w:spacing w:line="360" w:lineRule="auto"/>
        <w:rPr>
          <w:rFonts w:ascii="宋体" w:hAnsi="宋体" w:cs="宋体"/>
          <w:bCs/>
          <w:szCs w:val="21"/>
        </w:rPr>
      </w:pPr>
      <w:r>
        <w:rPr>
          <w:rFonts w:hint="eastAsia" w:ascii="宋体" w:hAnsi="宋体" w:cs="宋体"/>
          <w:bCs/>
          <w:szCs w:val="21"/>
        </w:rPr>
        <w:t xml:space="preserve">（4）保障所有接入业务系统的单点登录链接状态、响应性能稳定运行，及时排查并解决链接异常问题，提供与各个业务系统的单点登录对接与集成管理，确保业务系统接入统一门户系统，保障门户与业务系统的顺畅衔接。</w:t>
      </w:r>
      <w:r/>
    </w:p>
    <w:p>
      <w:pPr>
        <w:ind w:firstLine="480"/>
        <w:spacing w:line="360" w:lineRule="auto"/>
        <w:rPr>
          <w:rFonts w:ascii="宋体" w:hAnsi="宋体" w:cs="宋体"/>
          <w:bCs/>
          <w:szCs w:val="21"/>
        </w:rPr>
      </w:pPr>
      <w:r>
        <w:rPr>
          <w:rFonts w:hint="eastAsia" w:ascii="宋体" w:hAnsi="宋体" w:cs="宋体"/>
          <w:bCs/>
          <w:szCs w:val="21"/>
        </w:rPr>
        <w:t xml:space="preserve">（5）定期核查离职、调岗人员的账号冻结、权限回收及最终删除情况，确保“人离权消”。</w:t>
      </w:r>
      <w:r/>
    </w:p>
    <w:p>
      <w:pPr>
        <w:ind w:firstLine="480"/>
        <w:spacing w:line="360" w:lineRule="auto"/>
        <w:rPr>
          <w:rFonts w:ascii="宋体" w:hAnsi="宋体" w:cs="宋体"/>
          <w:bCs/>
          <w:szCs w:val="21"/>
        </w:rPr>
      </w:pPr>
      <w:r>
        <w:rPr>
          <w:rFonts w:hint="eastAsia" w:ascii="宋体" w:hAnsi="宋体" w:cs="宋体"/>
          <w:bCs/>
          <w:szCs w:val="21"/>
        </w:rPr>
        <w:t xml:space="preserve">（6）定期根据人事变动，在门户中维护机构、人员信息，确保基础数据准确。</w:t>
      </w:r>
      <w:r/>
    </w:p>
    <w:p>
      <w:pPr>
        <w:ind w:firstLine="480"/>
        <w:spacing w:line="360" w:lineRule="auto"/>
        <w:rPr>
          <w:rFonts w:ascii="宋体" w:hAnsi="宋体" w:cs="宋体"/>
          <w:bCs/>
          <w:szCs w:val="21"/>
        </w:rPr>
      </w:pPr>
      <w:r>
        <w:rPr>
          <w:rFonts w:hint="eastAsia" w:ascii="宋体" w:hAnsi="宋体" w:cs="宋体"/>
          <w:bCs/>
          <w:szCs w:val="21"/>
        </w:rPr>
        <w:t xml:space="preserve">（7）对应用系统的运行、维护提供7x24小时的电话技术支持。</w:t>
      </w:r>
      <w:r/>
    </w:p>
    <w:p>
      <w:pPr>
        <w:ind w:firstLine="480"/>
        <w:spacing w:line="360" w:lineRule="auto"/>
        <w:rPr>
          <w:rFonts w:ascii="宋体" w:hAnsi="宋体" w:cs="宋体"/>
          <w:bCs/>
          <w:szCs w:val="21"/>
        </w:rPr>
      </w:pPr>
      <w:r>
        <w:rPr>
          <w:rFonts w:hint="eastAsia" w:ascii="宋体" w:hAnsi="宋体" w:cs="宋体"/>
          <w:bCs/>
          <w:szCs w:val="21"/>
        </w:rPr>
        <w:t xml:space="preserve">（8）用户使用问题解答，系统流程的配置，用户的权限配置，新增账号及个人信息更新配置等。</w:t>
      </w:r>
      <w:r/>
    </w:p>
    <w:p>
      <w:pPr>
        <w:ind w:firstLine="480"/>
        <w:spacing w:line="360" w:lineRule="auto"/>
        <w:rPr>
          <w:rFonts w:ascii="宋体" w:hAnsi="宋体" w:cs="宋体"/>
          <w:bCs/>
          <w:szCs w:val="21"/>
        </w:rPr>
      </w:pPr>
      <w:r>
        <w:rPr>
          <w:rFonts w:hint="eastAsia" w:ascii="宋体" w:hAnsi="宋体" w:cs="宋体"/>
          <w:bCs/>
          <w:szCs w:val="21"/>
        </w:rPr>
        <w:t xml:space="preserve">（9）每季度对服务器、系统、数据库等内容进行巡检。</w:t>
      </w:r>
      <w:r/>
    </w:p>
    <w:p>
      <w:pPr>
        <w:ind w:firstLine="480"/>
        <w:spacing w:line="360" w:lineRule="auto"/>
        <w:rPr>
          <w:rFonts w:ascii="宋体" w:hAnsi="宋体" w:cs="宋体"/>
          <w:bCs/>
          <w:szCs w:val="21"/>
        </w:rPr>
      </w:pPr>
      <w:r>
        <w:rPr>
          <w:rFonts w:hint="eastAsia" w:ascii="宋体" w:hAnsi="宋体" w:cs="宋体"/>
          <w:bCs/>
          <w:szCs w:val="21"/>
        </w:rPr>
        <w:t xml:space="preserve">（10）对工作人员在系统使用过程中，对影响用户操作的BUG问题进行修复；</w:t>
      </w:r>
      <w:r/>
    </w:p>
    <w:p>
      <w:pPr>
        <w:ind w:firstLine="480"/>
        <w:spacing w:line="360" w:lineRule="auto"/>
        <w:rPr>
          <w:rFonts w:ascii="宋体" w:hAnsi="宋体" w:cs="宋体"/>
          <w:bCs/>
          <w:szCs w:val="21"/>
        </w:rPr>
      </w:pPr>
      <w:r>
        <w:rPr>
          <w:rFonts w:hint="eastAsia" w:ascii="宋体" w:hAnsi="宋体" w:cs="宋体"/>
          <w:bCs/>
          <w:szCs w:val="21"/>
        </w:rPr>
        <w:t xml:space="preserve">（11）按照用户需求统计各项数据报表；</w:t>
      </w:r>
      <w:r/>
    </w:p>
    <w:p>
      <w:pPr>
        <w:ind w:firstLine="480"/>
        <w:spacing w:line="360" w:lineRule="auto"/>
        <w:rPr>
          <w:rFonts w:ascii="宋体" w:hAnsi="宋体" w:cs="宋体"/>
          <w:bCs/>
          <w:szCs w:val="21"/>
        </w:rPr>
      </w:pPr>
      <w:r>
        <w:rPr>
          <w:rFonts w:hint="eastAsia" w:ascii="宋体" w:hAnsi="宋体" w:cs="宋体"/>
          <w:bCs/>
          <w:szCs w:val="21"/>
        </w:rPr>
        <w:t xml:space="preserve">（12）针对软件问题处理，开展系统更新部署、测试、监控等工作，检查系统服务配置是否正常、日志文件是否有异常报错、运行是否流畅。</w:t>
      </w:r>
      <w:r/>
    </w:p>
    <w:p>
      <w:pPr>
        <w:ind w:firstLine="480"/>
        <w:spacing w:line="360" w:lineRule="auto"/>
        <w:rPr>
          <w:rFonts w:ascii="宋体" w:hAnsi="宋体" w:cs="宋体"/>
          <w:b/>
          <w:szCs w:val="21"/>
        </w:rPr>
      </w:pPr>
      <w:r>
        <w:rPr>
          <w:rFonts w:hint="eastAsia" w:ascii="宋体" w:hAnsi="宋体" w:cs="宋体"/>
          <w:b/>
          <w:szCs w:val="21"/>
        </w:rPr>
        <w:t xml:space="preserve">（十）金陵应急宝(专家服务）</w:t>
      </w:r>
      <w:r/>
    </w:p>
    <w:p>
      <w:pPr>
        <w:ind w:firstLine="480"/>
        <w:spacing w:line="360" w:lineRule="auto"/>
        <w:rPr>
          <w:rFonts w:ascii="宋体" w:hAnsi="宋体" w:cs="宋体"/>
          <w:bCs/>
          <w:szCs w:val="21"/>
        </w:rPr>
      </w:pPr>
      <w:r>
        <w:rPr>
          <w:rFonts w:hint="eastAsia" w:ascii="宋体" w:hAnsi="宋体" w:cs="宋体"/>
          <w:bCs/>
          <w:szCs w:val="21"/>
        </w:rPr>
        <w:t xml:space="preserve">1、服务要求</w:t>
      </w:r>
      <w:r/>
    </w:p>
    <w:p>
      <w:pPr>
        <w:ind w:firstLine="480"/>
        <w:spacing w:line="360" w:lineRule="auto"/>
        <w:rPr>
          <w:rFonts w:ascii="宋体" w:hAnsi="宋体" w:cs="宋体"/>
          <w:bCs/>
          <w:szCs w:val="21"/>
        </w:rPr>
      </w:pPr>
      <w:r>
        <w:rPr>
          <w:rFonts w:hint="eastAsia" w:ascii="宋体" w:hAnsi="宋体" w:cs="宋体"/>
          <w:bCs/>
          <w:szCs w:val="21"/>
        </w:rPr>
        <w:t xml:space="preserve">（1）保障专家申报功能稳定运行，维护市级专家线上申报模块，确保专家申报流程顺畅、数据录入准确、信息留存完整。</w:t>
      </w:r>
      <w:r/>
    </w:p>
    <w:p>
      <w:pPr>
        <w:ind w:firstLine="480"/>
        <w:spacing w:line="360" w:lineRule="auto"/>
        <w:rPr>
          <w:rFonts w:ascii="宋体" w:hAnsi="宋体" w:cs="宋体"/>
          <w:bCs/>
          <w:szCs w:val="21"/>
        </w:rPr>
      </w:pPr>
      <w:r>
        <w:rPr>
          <w:rFonts w:hint="eastAsia" w:ascii="宋体" w:hAnsi="宋体" w:cs="宋体"/>
          <w:bCs/>
          <w:szCs w:val="21"/>
        </w:rPr>
        <w:t xml:space="preserve">（2）保障专家任务全流程闭环管控，支撑政府端任务发布、任务派单、任务评价等功能，保障专家端任务接收、任务详情查看、任务申请等操作正常可用，确保任务能高效流转。</w:t>
      </w:r>
      <w:r/>
    </w:p>
    <w:p>
      <w:pPr>
        <w:ind w:firstLine="480"/>
        <w:spacing w:line="360" w:lineRule="auto"/>
        <w:rPr>
          <w:rFonts w:ascii="宋体" w:hAnsi="宋体" w:cs="宋体"/>
          <w:bCs/>
          <w:szCs w:val="21"/>
        </w:rPr>
      </w:pPr>
      <w:r>
        <w:rPr>
          <w:rFonts w:hint="eastAsia" w:ascii="宋体" w:hAnsi="宋体" w:cs="宋体"/>
          <w:bCs/>
          <w:szCs w:val="21"/>
        </w:rPr>
        <w:t xml:space="preserve">（3）对应用系统的运行、维护提供7x24小时的电话技术支持。</w:t>
      </w:r>
      <w:r/>
    </w:p>
    <w:p>
      <w:pPr>
        <w:ind w:firstLine="480"/>
        <w:spacing w:line="360" w:lineRule="auto"/>
        <w:rPr>
          <w:rFonts w:ascii="宋体" w:hAnsi="宋体" w:cs="宋体"/>
          <w:bCs/>
          <w:szCs w:val="21"/>
        </w:rPr>
      </w:pPr>
      <w:r>
        <w:rPr>
          <w:rFonts w:hint="eastAsia" w:ascii="宋体" w:hAnsi="宋体" w:cs="宋体"/>
          <w:bCs/>
          <w:szCs w:val="21"/>
        </w:rPr>
        <w:t xml:space="preserve">（4）用户使用问题解答，系统流程的配置，用户的权限配置，新增账号及个人信息更新配置等。</w:t>
      </w:r>
      <w:r/>
    </w:p>
    <w:p>
      <w:pPr>
        <w:ind w:firstLine="480"/>
        <w:spacing w:line="360" w:lineRule="auto"/>
        <w:rPr>
          <w:rFonts w:ascii="宋体" w:hAnsi="宋体" w:cs="宋体"/>
          <w:bCs/>
          <w:szCs w:val="21"/>
        </w:rPr>
      </w:pPr>
      <w:r>
        <w:rPr>
          <w:rFonts w:hint="eastAsia" w:ascii="宋体" w:hAnsi="宋体" w:cs="宋体"/>
          <w:bCs/>
          <w:szCs w:val="21"/>
        </w:rPr>
        <w:t xml:space="preserve">（5）每季度对服务器、系统、数据库等内容进行巡检。</w:t>
      </w:r>
      <w:r/>
    </w:p>
    <w:p>
      <w:pPr>
        <w:ind w:firstLine="480"/>
        <w:spacing w:line="360" w:lineRule="auto"/>
        <w:rPr>
          <w:rFonts w:ascii="宋体" w:hAnsi="宋体" w:cs="宋体"/>
          <w:bCs/>
          <w:szCs w:val="21"/>
        </w:rPr>
      </w:pPr>
      <w:r>
        <w:rPr>
          <w:rFonts w:hint="eastAsia" w:ascii="宋体" w:hAnsi="宋体" w:cs="宋体"/>
          <w:bCs/>
          <w:szCs w:val="21"/>
        </w:rPr>
        <w:t xml:space="preserve">（6）对工作人员在系统使用过程中，对影响用户操作的BUG问题进行修复；</w:t>
      </w:r>
      <w:r/>
    </w:p>
    <w:p>
      <w:pPr>
        <w:ind w:firstLine="480"/>
        <w:spacing w:line="360" w:lineRule="auto"/>
        <w:rPr>
          <w:rFonts w:ascii="宋体" w:hAnsi="宋体" w:cs="宋体"/>
          <w:bCs/>
          <w:szCs w:val="21"/>
        </w:rPr>
      </w:pPr>
      <w:r>
        <w:rPr>
          <w:rFonts w:hint="eastAsia" w:ascii="宋体" w:hAnsi="宋体" w:cs="宋体"/>
          <w:bCs/>
          <w:szCs w:val="21"/>
        </w:rPr>
        <w:t xml:space="preserve">（7）按照用户需求统计各项数据报表；</w:t>
      </w:r>
      <w:r/>
    </w:p>
    <w:p>
      <w:pPr>
        <w:ind w:firstLine="480"/>
        <w:spacing w:line="360" w:lineRule="auto"/>
        <w:rPr>
          <w:rFonts w:ascii="宋体" w:hAnsi="宋体" w:cs="宋体"/>
          <w:bCs/>
          <w:szCs w:val="21"/>
        </w:rPr>
      </w:pPr>
      <w:r>
        <w:rPr>
          <w:rFonts w:hint="eastAsia" w:ascii="宋体" w:hAnsi="宋体" w:cs="宋体"/>
          <w:bCs/>
          <w:szCs w:val="21"/>
        </w:rPr>
        <w:t xml:space="preserve">（8）针对软件问题处理，开展系统更新部署、测试、监控等工作，检查系统服务配置是否正常、日志文件是否有异常报错、运行是否流畅。</w:t>
      </w:r>
      <w:r/>
    </w:p>
    <w:p>
      <w:pPr>
        <w:ind w:firstLine="480"/>
        <w:jc w:val="left"/>
        <w:spacing w:line="360" w:lineRule="auto"/>
        <w:rPr>
          <w:rFonts w:ascii="宋体" w:hAnsi="宋体" w:cs="宋体"/>
          <w:b/>
          <w:bCs/>
          <w:szCs w:val="21"/>
        </w:rPr>
      </w:pPr>
      <w:r>
        <w:rPr>
          <w:rFonts w:hint="eastAsia" w:ascii="宋体" w:hAnsi="宋体" w:cs="宋体"/>
          <w:b/>
          <w:bCs/>
          <w:szCs w:val="21"/>
        </w:rPr>
        <w:t xml:space="preserve">（十一）项目实施要求</w:t>
      </w:r>
      <w:r/>
    </w:p>
    <w:p>
      <w:pPr>
        <w:ind w:firstLine="480"/>
        <w:jc w:val="left"/>
        <w:spacing w:line="360" w:lineRule="auto"/>
        <w:rPr>
          <w:rFonts w:ascii="宋体" w:hAnsi="宋体" w:cs="宋体"/>
          <w:szCs w:val="21"/>
        </w:rPr>
      </w:pPr>
      <w:r>
        <w:rPr>
          <w:rFonts w:hint="eastAsia" w:ascii="宋体" w:hAnsi="宋体" w:cs="宋体"/>
          <w:szCs w:val="21"/>
        </w:rPr>
        <w:t xml:space="preserve">1、总体要求</w:t>
      </w:r>
      <w:r/>
    </w:p>
    <w:p>
      <w:pPr>
        <w:ind w:firstLine="480"/>
        <w:jc w:val="left"/>
        <w:spacing w:line="360" w:lineRule="auto"/>
        <w:rPr>
          <w:rFonts w:ascii="宋体" w:hAnsi="宋体" w:cs="宋体"/>
          <w:szCs w:val="21"/>
        </w:rPr>
      </w:pPr>
      <w:r>
        <w:rPr>
          <w:rFonts w:hint="eastAsia" w:ascii="宋体" w:hAnsi="宋体" w:cs="宋体"/>
          <w:szCs w:val="21"/>
        </w:rPr>
        <w:t xml:space="preserve">①供应商交付的货物和服务应当完全符合采购文件规定、响应文件所承诺的数量和规格要求。</w:t>
      </w:r>
      <w:r/>
    </w:p>
    <w:p>
      <w:pPr>
        <w:ind w:firstLine="480"/>
        <w:jc w:val="left"/>
        <w:spacing w:line="360" w:lineRule="auto"/>
        <w:rPr>
          <w:rFonts w:ascii="宋体" w:hAnsi="宋体" w:cs="宋体"/>
          <w:szCs w:val="21"/>
        </w:rPr>
      </w:pPr>
      <w:r>
        <w:rPr>
          <w:rFonts w:hint="eastAsia" w:ascii="宋体" w:hAnsi="宋体" w:cs="宋体"/>
          <w:szCs w:val="21"/>
        </w:rPr>
        <w:t xml:space="preserve">②本项目中所有模块数据对接的维护周期不短于项目的运维期（在此期间进行调整的不再另行收费）。</w:t>
      </w:r>
      <w:r/>
    </w:p>
    <w:p>
      <w:pPr>
        <w:ind w:firstLine="480"/>
        <w:jc w:val="left"/>
        <w:spacing w:line="360" w:lineRule="auto"/>
        <w:rPr>
          <w:rFonts w:ascii="宋体" w:hAnsi="宋体" w:cs="宋体"/>
          <w:szCs w:val="21"/>
        </w:rPr>
      </w:pPr>
      <w:r>
        <w:rPr>
          <w:rFonts w:hint="eastAsia" w:ascii="宋体" w:hAnsi="宋体" w:cs="宋体"/>
          <w:szCs w:val="21"/>
        </w:rPr>
        <w:t xml:space="preserve">③本项目中所有模块，涉及到调整、优化、升级等变动均需在国产化环境下实施，上线前应通过供应商组织的网络安全自测和安全加固。均需支持IPv4协议和IPv6互联网协议，并做好相关的适配和测试工作。</w:t>
      </w:r>
      <w:r/>
    </w:p>
    <w:p>
      <w:pPr>
        <w:ind w:firstLine="480"/>
        <w:jc w:val="left"/>
        <w:spacing w:line="360" w:lineRule="auto"/>
        <w:rPr>
          <w:rFonts w:ascii="宋体" w:hAnsi="宋体" w:cs="宋体"/>
          <w:szCs w:val="21"/>
        </w:rPr>
      </w:pPr>
      <w:r>
        <w:rPr>
          <w:rFonts w:hint="eastAsia" w:ascii="宋体" w:hAnsi="宋体" w:cs="宋体"/>
          <w:szCs w:val="21"/>
        </w:rPr>
        <w:t xml:space="preserve">④本项目中所有涉及使用地理信息的模块需统一对接和使用南京市数据局和应急局统一的地理信息底座模块，实现基于“一张图”的数据资源统一汇聚、空间化和可视化显示。</w:t>
      </w:r>
      <w:r/>
    </w:p>
    <w:p>
      <w:pPr>
        <w:ind w:firstLine="480"/>
        <w:jc w:val="left"/>
        <w:spacing w:line="360" w:lineRule="auto"/>
        <w:rPr>
          <w:rFonts w:ascii="宋体" w:hAnsi="宋体" w:cs="宋体"/>
          <w:szCs w:val="21"/>
        </w:rPr>
      </w:pPr>
      <w:r>
        <w:rPr>
          <w:rFonts w:hint="eastAsia" w:ascii="宋体" w:hAnsi="宋体" w:cs="宋体"/>
          <w:szCs w:val="21"/>
        </w:rPr>
        <w:t xml:space="preserve">⑤本项目中所有模块需要按照市数据局工作要求和提供的接入能力，实现入口、身份、功能等在移动端、电脑端、后管平台接入我的南京、我的南京政务版、南京的我、苏服办、宁企通等，实现统一用户、统一入口。</w:t>
      </w:r>
      <w:r/>
    </w:p>
    <w:p>
      <w:pPr>
        <w:ind w:firstLine="480"/>
        <w:jc w:val="left"/>
        <w:spacing w:line="360" w:lineRule="auto"/>
        <w:rPr>
          <w:rFonts w:ascii="宋体" w:hAnsi="宋体" w:cs="宋体"/>
          <w:szCs w:val="21"/>
        </w:rPr>
      </w:pPr>
      <w:r>
        <w:rPr>
          <w:rFonts w:hint="eastAsia" w:ascii="宋体" w:hAnsi="宋体" w:cs="宋体"/>
          <w:szCs w:val="21"/>
        </w:rPr>
        <w:t xml:space="preserve">⑥本项目中涉及的所有小程序统一基于现有的金陵应急宝进行整合及开发升级。</w:t>
      </w:r>
      <w:r/>
    </w:p>
    <w:p>
      <w:pPr>
        <w:ind w:firstLine="480"/>
        <w:jc w:val="left"/>
        <w:spacing w:line="360" w:lineRule="auto"/>
        <w:rPr>
          <w:rFonts w:ascii="宋体" w:hAnsi="宋体" w:cs="宋体"/>
          <w:szCs w:val="21"/>
        </w:rPr>
      </w:pPr>
      <w:r>
        <w:rPr>
          <w:rFonts w:hint="eastAsia" w:ascii="宋体" w:hAnsi="宋体" w:cs="宋体"/>
          <w:szCs w:val="21"/>
        </w:rPr>
        <w:t xml:space="preserve">⑦项目中的所有模块在南京市应急管理综合应用平台的统一架构下实施，所在的业务系统均需集成至南京应急管理主域名下，实现统一门户集成、统一用户管理。</w:t>
      </w:r>
      <w:r/>
    </w:p>
    <w:p>
      <w:pPr>
        <w:ind w:firstLine="480"/>
        <w:jc w:val="left"/>
        <w:spacing w:line="360" w:lineRule="auto"/>
        <w:rPr>
          <w:rFonts w:ascii="宋体" w:hAnsi="宋体" w:cs="宋体"/>
          <w:szCs w:val="21"/>
        </w:rPr>
      </w:pPr>
      <w:r>
        <w:rPr>
          <w:rFonts w:hint="eastAsia" w:ascii="宋体" w:hAnsi="宋体" w:cs="宋体"/>
          <w:szCs w:val="21"/>
        </w:rPr>
        <w:t xml:space="preserve">⑧本项目中数据治理团队会同业务处室、技术开发团队开展相关源数据定义活动。</w:t>
      </w:r>
      <w:r/>
    </w:p>
    <w:p>
      <w:pPr>
        <w:ind w:firstLine="480"/>
        <w:jc w:val="left"/>
        <w:spacing w:line="360" w:lineRule="auto"/>
        <w:rPr>
          <w:rFonts w:ascii="宋体" w:hAnsi="宋体" w:cs="宋体"/>
          <w:szCs w:val="21"/>
        </w:rPr>
      </w:pPr>
      <w:r>
        <w:rPr>
          <w:rFonts w:hint="eastAsia" w:ascii="宋体" w:hAnsi="宋体" w:cs="宋体"/>
          <w:szCs w:val="21"/>
        </w:rPr>
        <w:t xml:space="preserve">2、项目管理要求</w:t>
      </w:r>
      <w:r/>
    </w:p>
    <w:p>
      <w:pPr>
        <w:ind w:firstLine="480"/>
        <w:jc w:val="left"/>
        <w:spacing w:line="360" w:lineRule="auto"/>
        <w:rPr>
          <w:rFonts w:ascii="宋体" w:hAnsi="宋体" w:cs="宋体"/>
          <w:szCs w:val="21"/>
        </w:rPr>
      </w:pPr>
      <w:r>
        <w:rPr>
          <w:rFonts w:hint="eastAsia" w:ascii="宋体" w:hAnsi="宋体" w:cs="宋体"/>
          <w:szCs w:val="21"/>
        </w:rPr>
        <w:t xml:space="preserve">①供应商应提供详尽的项目管理办法，成立专门的项目管理组，由专人负责，确保项目按时按质进行，并保证实施质量、进度和安全。</w:t>
      </w:r>
      <w:r/>
    </w:p>
    <w:p>
      <w:pPr>
        <w:ind w:firstLine="480"/>
        <w:jc w:val="left"/>
        <w:spacing w:line="360" w:lineRule="auto"/>
        <w:rPr>
          <w:rFonts w:ascii="宋体" w:hAnsi="宋体" w:cs="宋体"/>
          <w:szCs w:val="21"/>
        </w:rPr>
      </w:pPr>
      <w:r>
        <w:rPr>
          <w:rFonts w:hint="eastAsia" w:ascii="宋体" w:hAnsi="宋体" w:cs="宋体"/>
          <w:szCs w:val="21"/>
        </w:rPr>
        <w:t xml:space="preserve">②针对部分系统使用了原厂标准化产品和算法等情况，在运维过程中若需要提供产品或算法的更新升级迭代、安全加固及漏洞修复等服务，供应商可根据实际需求情况自行向第三方采购配套服务（相关费用包含在本次报价中，采购人不再额外增加费用）并做好项目管理工作。</w:t>
      </w:r>
      <w:r/>
    </w:p>
    <w:p>
      <w:pPr>
        <w:ind w:firstLine="480"/>
        <w:jc w:val="left"/>
        <w:spacing w:line="360" w:lineRule="auto"/>
        <w:rPr>
          <w:rFonts w:ascii="宋体" w:hAnsi="宋体" w:cs="宋体"/>
          <w:szCs w:val="21"/>
        </w:rPr>
      </w:pPr>
      <w:r>
        <w:rPr>
          <w:rFonts w:hint="eastAsia" w:ascii="宋体" w:hAnsi="宋体" w:cs="宋体"/>
          <w:szCs w:val="21"/>
        </w:rPr>
        <w:t xml:space="preserve">③项目管理要求达到以下两个目标：进度目标，确保项目在预定的时间内完成；质量目标，项目达到投标要求，并按要求提交相关运维成果。</w:t>
      </w:r>
      <w:r/>
    </w:p>
    <w:p>
      <w:pPr>
        <w:ind w:firstLine="480"/>
        <w:jc w:val="left"/>
        <w:spacing w:line="360" w:lineRule="auto"/>
        <w:rPr>
          <w:rFonts w:ascii="宋体" w:hAnsi="宋体" w:cs="宋体"/>
          <w:szCs w:val="21"/>
        </w:rPr>
      </w:pPr>
      <w:r>
        <w:rPr>
          <w:rFonts w:hint="eastAsia" w:ascii="宋体" w:hAnsi="宋体" w:cs="宋体"/>
          <w:szCs w:val="21"/>
        </w:rPr>
        <w:t xml:space="preserve">3、质量要求</w:t>
      </w:r>
      <w:r/>
    </w:p>
    <w:p>
      <w:pPr>
        <w:ind w:firstLine="480"/>
        <w:jc w:val="left"/>
        <w:spacing w:line="360" w:lineRule="auto"/>
        <w:rPr>
          <w:rFonts w:ascii="宋体" w:hAnsi="宋体" w:cs="宋体"/>
          <w:szCs w:val="21"/>
        </w:rPr>
      </w:pPr>
      <w:r>
        <w:rPr>
          <w:rFonts w:hint="eastAsia" w:ascii="宋体" w:hAnsi="宋体" w:cs="宋体"/>
          <w:szCs w:val="21"/>
        </w:rPr>
        <w:t xml:space="preserve">供应商提供的服务质量应当符合响应文件的响应内容及承诺。</w:t>
      </w:r>
      <w:r/>
    </w:p>
    <w:p>
      <w:pPr>
        <w:ind w:firstLine="480"/>
        <w:jc w:val="left"/>
        <w:spacing w:line="360" w:lineRule="auto"/>
        <w:rPr>
          <w:rFonts w:ascii="宋体" w:hAnsi="宋体" w:cs="宋体"/>
          <w:szCs w:val="21"/>
        </w:rPr>
      </w:pPr>
      <w:r>
        <w:rPr>
          <w:rFonts w:hint="eastAsia" w:ascii="宋体" w:hAnsi="宋体" w:cs="宋体"/>
          <w:szCs w:val="21"/>
        </w:rPr>
        <w:t xml:space="preserve">4、运维成果要求</w:t>
      </w:r>
      <w:r/>
    </w:p>
    <w:p>
      <w:pPr>
        <w:ind w:firstLine="480"/>
        <w:jc w:val="left"/>
        <w:spacing w:line="360" w:lineRule="auto"/>
        <w:rPr>
          <w:rFonts w:ascii="宋体" w:hAnsi="宋体" w:cs="宋体"/>
          <w:szCs w:val="21"/>
        </w:rPr>
      </w:pPr>
      <w:r>
        <w:rPr>
          <w:rFonts w:hint="eastAsia" w:ascii="宋体" w:hAnsi="宋体" w:cs="宋体"/>
          <w:szCs w:val="21"/>
        </w:rPr>
        <w:t xml:space="preserve">①年度运维总结报告（分系统，在项目验收前提交）</w:t>
      </w:r>
      <w:r/>
    </w:p>
    <w:p>
      <w:pPr>
        <w:ind w:firstLine="480"/>
        <w:jc w:val="left"/>
        <w:spacing w:line="360" w:lineRule="auto"/>
        <w:rPr>
          <w:rFonts w:ascii="宋体" w:hAnsi="宋体" w:cs="宋体"/>
          <w:szCs w:val="21"/>
        </w:rPr>
      </w:pPr>
      <w:r>
        <w:rPr>
          <w:rFonts w:hint="eastAsia" w:ascii="宋体" w:hAnsi="宋体" w:cs="宋体"/>
          <w:szCs w:val="21"/>
        </w:rPr>
        <w:t xml:space="preserve">②月度或阶段总结报告（分系统，按月或阶段提交）</w:t>
      </w:r>
      <w:r/>
    </w:p>
    <w:p>
      <w:pPr>
        <w:ind w:firstLine="480"/>
        <w:jc w:val="left"/>
        <w:spacing w:line="360" w:lineRule="auto"/>
        <w:rPr>
          <w:rFonts w:ascii="宋体" w:hAnsi="宋体" w:cs="宋体"/>
          <w:szCs w:val="21"/>
        </w:rPr>
      </w:pPr>
      <w:r>
        <w:rPr>
          <w:rFonts w:hint="eastAsia" w:ascii="宋体" w:hAnsi="宋体" w:cs="宋体"/>
          <w:szCs w:val="21"/>
        </w:rPr>
        <w:t xml:space="preserve">③运维系统整合建议（项目验收前，统一输出一份报告提交市应急管理局）</w:t>
      </w:r>
      <w:r/>
    </w:p>
    <w:p>
      <w:pPr>
        <w:ind w:firstLine="480"/>
        <w:jc w:val="left"/>
        <w:spacing w:line="360" w:lineRule="auto"/>
        <w:rPr>
          <w:rFonts w:ascii="宋体" w:hAnsi="宋体" w:cs="宋体"/>
          <w:szCs w:val="21"/>
        </w:rPr>
      </w:pPr>
      <w:r>
        <w:rPr>
          <w:rFonts w:hint="eastAsia" w:ascii="宋体" w:hAnsi="宋体" w:cs="宋体"/>
          <w:szCs w:val="21"/>
        </w:rPr>
        <w:t xml:space="preserve">④其他具体服务内容中要求的成果</w:t>
      </w:r>
      <w:r/>
    </w:p>
    <w:p>
      <w:pPr>
        <w:ind w:firstLine="480"/>
        <w:jc w:val="left"/>
        <w:spacing w:line="360" w:lineRule="auto"/>
        <w:rPr>
          <w:rFonts w:ascii="宋体" w:hAnsi="宋体" w:cs="宋体"/>
          <w:szCs w:val="21"/>
        </w:rPr>
      </w:pPr>
      <w:r>
        <w:rPr>
          <w:rFonts w:hint="eastAsia" w:ascii="宋体" w:hAnsi="宋体" w:cs="宋体"/>
          <w:szCs w:val="21"/>
        </w:rPr>
        <w:t xml:space="preserve">5、验收要求</w:t>
      </w:r>
      <w:r/>
    </w:p>
    <w:p>
      <w:pPr>
        <w:ind w:firstLine="480"/>
        <w:jc w:val="left"/>
        <w:spacing w:line="360" w:lineRule="auto"/>
        <w:rPr>
          <w:rFonts w:ascii="宋体" w:hAnsi="宋体" w:cs="宋体"/>
          <w:szCs w:val="21"/>
        </w:rPr>
      </w:pPr>
      <w:r>
        <w:rPr>
          <w:rFonts w:hint="eastAsia" w:ascii="宋体" w:hAnsi="宋体" w:cs="宋体"/>
          <w:szCs w:val="21"/>
        </w:rPr>
        <w:t xml:space="preserve">项目交付应在合同规定时间内，将采购范围内所界定的工作完成，系统符合项目目标和相应的技术要求、业务需求，并能保持稳定、良好运行，采购人组织验收。</w:t>
      </w:r>
      <w:r/>
    </w:p>
    <w:p>
      <w:pPr>
        <w:ind w:firstLine="480"/>
        <w:jc w:val="left"/>
        <w:spacing w:line="360" w:lineRule="auto"/>
        <w:rPr>
          <w:rFonts w:ascii="宋体" w:hAnsi="宋体" w:cs="宋体"/>
          <w:szCs w:val="21"/>
        </w:rPr>
      </w:pPr>
      <w:r>
        <w:rPr>
          <w:rFonts w:hint="eastAsia" w:ascii="宋体" w:hAnsi="宋体" w:cs="宋体"/>
          <w:szCs w:val="21"/>
        </w:rPr>
        <w:t xml:space="preserve">①系统功能和非功能要求得到实现；</w:t>
      </w:r>
      <w:r/>
    </w:p>
    <w:p>
      <w:pPr>
        <w:ind w:firstLine="480"/>
        <w:jc w:val="left"/>
        <w:spacing w:line="360" w:lineRule="auto"/>
        <w:rPr>
          <w:rFonts w:ascii="宋体" w:hAnsi="宋体" w:cs="宋体"/>
          <w:szCs w:val="21"/>
        </w:rPr>
      </w:pPr>
      <w:r>
        <w:rPr>
          <w:rFonts w:hint="eastAsia" w:ascii="宋体" w:hAnsi="宋体" w:cs="宋体"/>
          <w:szCs w:val="21"/>
        </w:rPr>
        <w:t xml:space="preserve">②系统基础数据齐全，协助实现与其它应用的对接；</w:t>
      </w:r>
      <w:r/>
    </w:p>
    <w:p>
      <w:pPr>
        <w:ind w:firstLine="480"/>
        <w:jc w:val="left"/>
        <w:spacing w:line="360" w:lineRule="auto"/>
        <w:rPr>
          <w:rFonts w:ascii="宋体" w:hAnsi="宋体" w:cs="宋体"/>
          <w:szCs w:val="21"/>
        </w:rPr>
      </w:pPr>
      <w:r>
        <w:rPr>
          <w:rFonts w:hint="eastAsia" w:ascii="宋体" w:hAnsi="宋体" w:cs="宋体"/>
          <w:szCs w:val="21"/>
        </w:rPr>
        <w:t xml:space="preserve">③系统经过培训，各模块功能和系统性能都稳定；</w:t>
      </w:r>
      <w:r/>
    </w:p>
    <w:p>
      <w:pPr>
        <w:ind w:firstLine="480"/>
        <w:jc w:val="left"/>
        <w:spacing w:line="360" w:lineRule="auto"/>
        <w:rPr>
          <w:rFonts w:ascii="宋体" w:hAnsi="宋体" w:cs="宋体"/>
          <w:szCs w:val="21"/>
        </w:rPr>
      </w:pPr>
      <w:r>
        <w:rPr>
          <w:rFonts w:hint="eastAsia" w:ascii="宋体" w:hAnsi="宋体" w:cs="宋体"/>
          <w:szCs w:val="21"/>
        </w:rPr>
        <w:t xml:space="preserve">④系统文档和资料完整，售后服务条款清晰；</w:t>
      </w:r>
      <w:r/>
    </w:p>
    <w:p>
      <w:pPr>
        <w:ind w:firstLine="480"/>
        <w:jc w:val="left"/>
        <w:spacing w:line="360" w:lineRule="auto"/>
        <w:rPr>
          <w:rFonts w:ascii="宋体" w:hAnsi="宋体" w:cs="宋体"/>
          <w:szCs w:val="21"/>
        </w:rPr>
      </w:pPr>
      <w:r>
        <w:rPr>
          <w:rFonts w:hint="eastAsia" w:ascii="宋体" w:hAnsi="宋体" w:cs="宋体"/>
          <w:szCs w:val="21"/>
        </w:rPr>
        <w:t xml:space="preserve">⑤系统相关资料交付完全，包括但不限于技术文档、源代码、操作手册等；</w:t>
      </w:r>
      <w:r/>
    </w:p>
    <w:p>
      <w:pPr>
        <w:ind w:firstLine="480"/>
        <w:jc w:val="left"/>
        <w:spacing w:line="360" w:lineRule="auto"/>
        <w:rPr>
          <w:rFonts w:ascii="宋体" w:hAnsi="宋体" w:cs="宋体"/>
          <w:szCs w:val="21"/>
        </w:rPr>
      </w:pPr>
      <w:r>
        <w:rPr>
          <w:rFonts w:hint="eastAsia" w:ascii="宋体" w:hAnsi="宋体" w:cs="宋体"/>
          <w:szCs w:val="21"/>
        </w:rPr>
        <w:t xml:space="preserve">⑥验收流程按照《南京市政务信息化项目建设和资金管理办法》(宁政发〔2025〕24号）、市数据局及采购人的要求进行。</w:t>
      </w:r>
      <w:r/>
    </w:p>
    <w:p>
      <w:pPr>
        <w:ind w:firstLine="480"/>
        <w:jc w:val="left"/>
        <w:spacing w:line="360" w:lineRule="auto"/>
        <w:rPr>
          <w:rFonts w:ascii="宋体" w:hAnsi="宋体" w:cs="宋体"/>
          <w:szCs w:val="21"/>
        </w:rPr>
      </w:pPr>
      <w:r>
        <w:rPr>
          <w:rFonts w:hint="eastAsia" w:ascii="宋体" w:hAnsi="宋体" w:cs="宋体"/>
          <w:szCs w:val="21"/>
        </w:rPr>
        <w:t xml:space="preserve">6、权利保证</w:t>
      </w:r>
      <w:r/>
    </w:p>
    <w:p>
      <w:pPr>
        <w:ind w:firstLine="480"/>
        <w:jc w:val="left"/>
        <w:spacing w:line="360" w:lineRule="auto"/>
        <w:rPr>
          <w:rFonts w:ascii="宋体" w:hAnsi="宋体" w:cs="宋体"/>
          <w:szCs w:val="21"/>
        </w:rPr>
      </w:pPr>
      <w:r>
        <w:rPr>
          <w:rFonts w:hint="eastAsia" w:ascii="宋体" w:hAnsi="宋体" w:cs="宋体"/>
          <w:szCs w:val="21"/>
        </w:rPr>
        <w:t xml:space="preserve">供应商应保证采购人在使用本项目服务或其任何一部分时不受第三方提出侵犯其专利权、版权、商标权或其他权利的起诉。一旦出现侵权，供应商应承担全部责任。</w:t>
      </w:r>
      <w:r/>
    </w:p>
    <w:p>
      <w:pPr>
        <w:ind w:firstLine="480"/>
        <w:jc w:val="left"/>
        <w:spacing w:line="360" w:lineRule="auto"/>
        <w:rPr>
          <w:rFonts w:ascii="宋体" w:hAnsi="宋体" w:cs="宋体"/>
          <w:szCs w:val="21"/>
        </w:rPr>
      </w:pPr>
      <w:r>
        <w:rPr>
          <w:rFonts w:hint="eastAsia" w:ascii="宋体" w:hAnsi="宋体" w:cs="宋体"/>
          <w:szCs w:val="21"/>
        </w:rPr>
        <w:t xml:space="preserve">7、知识产权及保密要求</w:t>
      </w:r>
      <w:r/>
    </w:p>
    <w:p>
      <w:pPr>
        <w:ind w:firstLine="480"/>
        <w:jc w:val="left"/>
        <w:spacing w:line="360" w:lineRule="auto"/>
        <w:rPr>
          <w:rFonts w:ascii="宋体" w:hAnsi="宋体" w:cs="宋体"/>
          <w:szCs w:val="21"/>
        </w:rPr>
      </w:pPr>
      <w:r>
        <w:rPr>
          <w:rFonts w:hint="eastAsia" w:ascii="宋体" w:hAnsi="宋体" w:cs="宋体"/>
          <w:szCs w:val="21"/>
        </w:rPr>
        <w:t xml:space="preserve">项目内涉及到系统更新优化的知识产权归</w:t>
      </w:r>
      <w:r>
        <w:rPr>
          <w:rFonts w:hint="eastAsia" w:ascii="宋体" w:hAnsi="宋体" w:cs="宋体"/>
          <w:bCs/>
          <w:szCs w:val="21"/>
        </w:rPr>
        <w:t xml:space="preserve">采购人</w:t>
      </w:r>
      <w:r>
        <w:rPr>
          <w:rFonts w:hint="eastAsia" w:ascii="宋体" w:hAnsi="宋体" w:cs="宋体"/>
          <w:szCs w:val="21"/>
        </w:rPr>
        <w:t xml:space="preserve">所有。供应商就本项目开发的软件（包括但不限于运维监控系统、运维管理系统等），在项目验收时须提交软件源代码、安装程序和操作文档。供应商如在项目实施过程中采用自有知识成果，供应商须提供开发接口和开发手册等技术文档，并提供相应的技术支持。</w:t>
      </w:r>
      <w:r/>
    </w:p>
    <w:p>
      <w:pPr>
        <w:ind w:firstLine="480"/>
        <w:jc w:val="left"/>
        <w:spacing w:line="360" w:lineRule="auto"/>
        <w:rPr>
          <w:rFonts w:ascii="宋体" w:hAnsi="宋体" w:cs="宋体"/>
          <w:szCs w:val="21"/>
        </w:rPr>
      </w:pPr>
      <w:r>
        <w:rPr>
          <w:rFonts w:hint="eastAsia" w:ascii="宋体" w:hAnsi="宋体" w:cs="宋体"/>
          <w:szCs w:val="21"/>
        </w:rPr>
        <w:t xml:space="preserve">本项目实施过程中及前述工作成果使用过程中采集、分析、处理产生的数据资源、数据产品的所有权利（包括但不限于知识产权、数据资产等持有权、使用权、经营权）均归采购方所有。</w:t>
      </w:r>
      <w:r/>
    </w:p>
    <w:p>
      <w:pPr>
        <w:ind w:firstLine="480"/>
        <w:jc w:val="left"/>
        <w:spacing w:line="360" w:lineRule="auto"/>
        <w:rPr>
          <w:rFonts w:ascii="宋体" w:hAnsi="宋体" w:cs="宋体"/>
          <w:szCs w:val="21"/>
        </w:rPr>
      </w:pPr>
      <w:r>
        <w:rPr>
          <w:rFonts w:hint="eastAsia" w:ascii="宋体" w:hAnsi="宋体" w:cs="宋体"/>
          <w:szCs w:val="21"/>
        </w:rPr>
        <w:t xml:space="preserve">对于</w:t>
      </w:r>
      <w:r>
        <w:rPr>
          <w:rFonts w:hint="eastAsia" w:ascii="宋体" w:hAnsi="宋体" w:cs="宋体"/>
          <w:bCs/>
          <w:szCs w:val="21"/>
        </w:rPr>
        <w:t xml:space="preserve">采购人</w:t>
      </w:r>
      <w:r>
        <w:rPr>
          <w:rFonts w:hint="eastAsia" w:ascii="宋体" w:hAnsi="宋体" w:cs="宋体"/>
          <w:szCs w:val="21"/>
        </w:rPr>
        <w:t xml:space="preserve">及主管部门在系统建设及运维过程中提出的保密及安全等要求，供应商应严格遵守，做好相关工作。供应商（包括工作人员与派遣人员）应对履行本合同中获知的</w:t>
      </w:r>
      <w:r>
        <w:rPr>
          <w:rFonts w:hint="eastAsia" w:ascii="宋体" w:hAnsi="宋体" w:cs="宋体"/>
          <w:bCs/>
          <w:szCs w:val="21"/>
        </w:rPr>
        <w:t xml:space="preserve">采购人</w:t>
      </w:r>
      <w:r>
        <w:rPr>
          <w:rFonts w:hint="eastAsia" w:ascii="宋体" w:hAnsi="宋体" w:cs="宋体"/>
          <w:szCs w:val="21"/>
        </w:rPr>
        <w:t xml:space="preserve">的保密信息（包括但不限于财务信息、技术信息、人员信息、项目信息等）予以保密，未经</w:t>
      </w:r>
      <w:r>
        <w:rPr>
          <w:rFonts w:hint="eastAsia" w:ascii="宋体" w:hAnsi="宋体" w:cs="宋体"/>
          <w:bCs/>
          <w:szCs w:val="21"/>
        </w:rPr>
        <w:t xml:space="preserve">采购人</w:t>
      </w:r>
      <w:r>
        <w:rPr>
          <w:rFonts w:hint="eastAsia" w:ascii="宋体" w:hAnsi="宋体" w:cs="宋体"/>
          <w:szCs w:val="21"/>
        </w:rPr>
        <w:t xml:space="preserve">同意，不得向第三方披露相关信息。供应商人员违反保密义务时，由供应商承担责任，需支付</w:t>
      </w:r>
      <w:r>
        <w:rPr>
          <w:rFonts w:hint="eastAsia" w:ascii="宋体" w:hAnsi="宋体" w:cs="宋体"/>
          <w:bCs/>
          <w:szCs w:val="21"/>
        </w:rPr>
        <w:t xml:space="preserve">采购人</w:t>
      </w:r>
      <w:r>
        <w:rPr>
          <w:rFonts w:hint="eastAsia" w:ascii="宋体" w:hAnsi="宋体" w:cs="宋体"/>
          <w:szCs w:val="21"/>
        </w:rPr>
        <w:t xml:space="preserve">合同总价10%的违约金，违约金不足以弥补损失的，应继续赔偿。供应商为履行项目合同向</w:t>
      </w:r>
      <w:r>
        <w:rPr>
          <w:rFonts w:hint="eastAsia" w:ascii="宋体" w:hAnsi="宋体" w:cs="宋体"/>
          <w:bCs/>
          <w:szCs w:val="21"/>
        </w:rPr>
        <w:t xml:space="preserve">采购人</w:t>
      </w:r>
      <w:r>
        <w:rPr>
          <w:rFonts w:hint="eastAsia" w:ascii="宋体" w:hAnsi="宋体" w:cs="宋体"/>
          <w:szCs w:val="21"/>
        </w:rPr>
        <w:t xml:space="preserve">交付工作成果的所有权与知识产权均归属于</w:t>
      </w:r>
      <w:r>
        <w:rPr>
          <w:rFonts w:hint="eastAsia" w:ascii="宋体" w:hAnsi="宋体" w:cs="宋体"/>
          <w:bCs/>
          <w:szCs w:val="21"/>
        </w:rPr>
        <w:t xml:space="preserve">采购人</w:t>
      </w:r>
      <w:r>
        <w:rPr>
          <w:rFonts w:hint="eastAsia" w:ascii="宋体" w:hAnsi="宋体" w:cs="宋体"/>
          <w:szCs w:val="21"/>
        </w:rPr>
        <w:t xml:space="preserve">，未经</w:t>
      </w:r>
      <w:r>
        <w:rPr>
          <w:rFonts w:hint="eastAsia" w:ascii="宋体" w:hAnsi="宋体" w:cs="宋体"/>
          <w:bCs/>
          <w:szCs w:val="21"/>
        </w:rPr>
        <w:t xml:space="preserve">采购人</w:t>
      </w:r>
      <w:r>
        <w:rPr>
          <w:rFonts w:hint="eastAsia" w:ascii="宋体" w:hAnsi="宋体" w:cs="宋体"/>
          <w:szCs w:val="21"/>
        </w:rPr>
        <w:t xml:space="preserve">同意，供应商不得擅自处分（包括但不限于使用、许可他人使用、转让、出租、出借、买卖、对外披露等）该服务工作成果。</w:t>
      </w:r>
      <w:r/>
    </w:p>
    <w:p>
      <w:pPr>
        <w:ind w:firstLine="480"/>
        <w:jc w:val="left"/>
        <w:spacing w:line="360" w:lineRule="auto"/>
        <w:rPr>
          <w:rFonts w:ascii="宋体" w:hAnsi="宋体" w:cs="宋体"/>
          <w:szCs w:val="21"/>
        </w:rPr>
      </w:pPr>
      <w:r>
        <w:rPr>
          <w:rFonts w:hint="eastAsia" w:ascii="宋体" w:hAnsi="宋体" w:cs="宋体"/>
          <w:szCs w:val="21"/>
        </w:rPr>
        <w:t xml:space="preserve">8、人员要求</w:t>
      </w:r>
      <w:r/>
    </w:p>
    <w:p>
      <w:pPr>
        <w:ind w:firstLine="480"/>
        <w:jc w:val="left"/>
        <w:spacing w:line="360" w:lineRule="auto"/>
        <w:rPr>
          <w:rFonts w:ascii="宋体" w:hAnsi="宋体" w:cs="宋体"/>
          <w:szCs w:val="21"/>
        </w:rPr>
      </w:pPr>
      <w:r>
        <w:rPr>
          <w:rFonts w:hint="eastAsia" w:ascii="宋体" w:hAnsi="宋体" w:cs="宋体"/>
          <w:szCs w:val="21"/>
        </w:rPr>
        <w:t xml:space="preserve">供应商对本项目配备不少于8人（不含项目总负责人、技术负责人）的实施团队，并明确承担网络安全管理的机构和负责本项目网络安全管理的人员。</w:t>
      </w:r>
      <w:r/>
    </w:p>
    <w:p>
      <w:pPr>
        <w:ind w:firstLine="480"/>
        <w:jc w:val="left"/>
        <w:spacing w:line="360" w:lineRule="auto"/>
        <w:rPr>
          <w:rFonts w:ascii="宋体" w:hAnsi="宋体" w:cs="宋体"/>
          <w:szCs w:val="21"/>
        </w:rPr>
      </w:pPr>
      <w:r>
        <w:rPr>
          <w:rFonts w:hint="eastAsia" w:ascii="宋体" w:hAnsi="宋体" w:cs="宋体"/>
          <w:szCs w:val="21"/>
        </w:rPr>
        <w:t xml:space="preserve">①项目总负责人：1人，主要负责制定并执行系统运维项目整体计划，管理项目实施团队，统筹协调项目资源，确保项目按时按质完成交付。</w:t>
      </w:r>
      <w:r/>
    </w:p>
    <w:p>
      <w:pPr>
        <w:ind w:firstLine="480"/>
        <w:jc w:val="left"/>
        <w:spacing w:line="360" w:lineRule="auto"/>
        <w:rPr>
          <w:rFonts w:ascii="宋体" w:hAnsi="宋体" w:cs="宋体"/>
          <w:szCs w:val="21"/>
        </w:rPr>
      </w:pPr>
      <w:r>
        <w:rPr>
          <w:rFonts w:hint="eastAsia" w:ascii="宋体" w:hAnsi="宋体" w:cs="宋体"/>
          <w:szCs w:val="21"/>
        </w:rPr>
        <w:t xml:space="preserve">②项目技术负责人：1人，主要负责系统运维技术标准制定与管理，包括运维技术优化、运维流程管控、故障排查支撑、运维质量监督及团队技术指导等工作。</w:t>
      </w:r>
      <w:r/>
    </w:p>
    <w:p>
      <w:pPr>
        <w:ind w:firstLine="480"/>
        <w:jc w:val="left"/>
        <w:spacing w:line="360" w:lineRule="auto"/>
        <w:rPr>
          <w:rFonts w:ascii="宋体" w:hAnsi="宋体" w:cs="宋体"/>
          <w:szCs w:val="21"/>
        </w:rPr>
      </w:pPr>
      <w:r>
        <w:rPr>
          <w:rFonts w:hint="eastAsia" w:ascii="宋体" w:hAnsi="宋体" w:cs="宋体"/>
          <w:szCs w:val="21"/>
        </w:rPr>
        <w:t xml:space="preserve">③项目团队：不少于8人，本项目的实施团队其他成员（不含项目总负责人、技术负责人），包括但不限网络安全工程师、运维工程师等，负责项目实施交付工作。</w:t>
      </w:r>
      <w:r/>
    </w:p>
    <w:p>
      <w:pPr>
        <w:ind w:firstLine="480"/>
        <w:jc w:val="left"/>
        <w:spacing w:line="360" w:lineRule="auto"/>
        <w:rPr>
          <w:rFonts w:ascii="宋体" w:hAnsi="宋体" w:cs="宋体"/>
          <w:szCs w:val="21"/>
        </w:rPr>
      </w:pPr>
      <w:r>
        <w:rPr>
          <w:rFonts w:hint="eastAsia" w:ascii="宋体" w:hAnsi="宋体" w:cs="宋体"/>
          <w:szCs w:val="21"/>
        </w:rPr>
        <w:t xml:space="preserve">④派驻人员的安全保障与责任</w:t>
      </w:r>
      <w:r/>
    </w:p>
    <w:p>
      <w:pPr>
        <w:ind w:firstLine="480"/>
        <w:jc w:val="left"/>
        <w:spacing w:line="360" w:lineRule="auto"/>
        <w:rPr>
          <w:rFonts w:ascii="宋体" w:hAnsi="宋体" w:cs="宋体"/>
          <w:szCs w:val="21"/>
        </w:rPr>
      </w:pPr>
      <w:r>
        <w:rPr>
          <w:rFonts w:hint="eastAsia" w:ascii="宋体" w:hAnsi="宋体" w:cs="宋体"/>
          <w:szCs w:val="21"/>
        </w:rPr>
        <w:t xml:space="preserve">供应商应完全负责其派驻至采购人处提供服务的人员（下称“派驻人员”）的人身安全与财产安全。供应商作为派驻人员的用人单位，应依法独立、全面地履行《中华人民共和国劳动合同法》等法律法规规定的全部用人单位责任，包括但不限于与派驻人员签订书面劳动合同、依法缴纳社会保险、保障工作场所安全、进行安全培训、提供必要的劳动防护用品、承担工伤保险责任等。</w:t>
      </w:r>
      <w:r/>
    </w:p>
    <w:p>
      <w:pPr>
        <w:ind w:firstLine="480"/>
        <w:jc w:val="left"/>
        <w:spacing w:line="360" w:lineRule="auto"/>
        <w:rPr>
          <w:rFonts w:ascii="宋体" w:hAnsi="宋体" w:cs="宋体"/>
          <w:szCs w:val="21"/>
        </w:rPr>
      </w:pPr>
      <w:r>
        <w:rPr>
          <w:rFonts w:hint="eastAsia" w:ascii="宋体" w:hAnsi="宋体" w:cs="宋体"/>
          <w:szCs w:val="21"/>
        </w:rPr>
        <w:t xml:space="preserve">采购人仅为派驻人员提供必要的工作场地与办公条件。除因采购人存在直接且重大的过错所导致的事故外，采购人对派驻人员在驻场期间发生的任何人身伤害、财产损失、以及与劳动关系相关的任何争议、索赔、诉讼等均不承担任何形式的责任。</w:t>
      </w:r>
      <w:r/>
    </w:p>
    <w:p>
      <w:pPr>
        <w:ind w:firstLine="480"/>
        <w:jc w:val="left"/>
        <w:spacing w:line="360" w:lineRule="auto"/>
        <w:rPr>
          <w:rFonts w:ascii="宋体" w:hAnsi="宋体" w:cs="宋体"/>
          <w:szCs w:val="21"/>
        </w:rPr>
      </w:pPr>
      <w:r>
        <w:rPr>
          <w:rFonts w:hint="eastAsia" w:ascii="宋体" w:hAnsi="宋体" w:cs="宋体"/>
          <w:szCs w:val="21"/>
        </w:rPr>
        <w:t xml:space="preserve">若因供应商未能履行本条前述任何一款义务（包括但不限于未依法缴纳工伤保险、未提供安全培训、未提供必要劳动防护等），导致任何事故或争议发生，并使采购人卷入索赔、诉讼、仲裁或遭受任何形式的损失（包括但不限于赔偿金、罚款、律师费、诉讼费等），则供应商应承担全部法律责任，并对采购人因此遭受的全部损失承担违约赔偿责任。采购人有权直接从应付供应商的款项中扣除相应金额，或通过法律途径向供应商进行追偿。</w:t>
      </w:r>
      <w:r/>
    </w:p>
    <w:p>
      <w:pPr>
        <w:ind w:firstLine="480"/>
        <w:jc w:val="left"/>
        <w:spacing w:line="360" w:lineRule="auto"/>
        <w:rPr>
          <w:rFonts w:ascii="宋体" w:hAnsi="宋体" w:cs="宋体"/>
          <w:szCs w:val="21"/>
        </w:rPr>
      </w:pPr>
      <w:r>
        <w:rPr>
          <w:rFonts w:hint="eastAsia" w:ascii="宋体" w:hAnsi="宋体" w:cs="宋体"/>
          <w:szCs w:val="21"/>
        </w:rPr>
        <w:t xml:space="preserve">9、服务要求</w:t>
      </w:r>
      <w:r/>
    </w:p>
    <w:p>
      <w:pPr>
        <w:ind w:firstLine="480"/>
        <w:jc w:val="left"/>
        <w:spacing w:line="360" w:lineRule="auto"/>
        <w:rPr>
          <w:rFonts w:ascii="宋体" w:hAnsi="宋体" w:cs="宋体"/>
          <w:szCs w:val="21"/>
        </w:rPr>
      </w:pPr>
      <w:r>
        <w:rPr>
          <w:rFonts w:hint="eastAsia" w:ascii="宋体" w:hAnsi="宋体" w:cs="宋体"/>
          <w:szCs w:val="21"/>
        </w:rPr>
        <w:t xml:space="preserve">提供7*24小时不间断的技术支持响应。</w:t>
      </w:r>
      <w:r/>
    </w:p>
    <w:p>
      <w:pPr>
        <w:ind w:firstLine="480"/>
        <w:jc w:val="left"/>
        <w:spacing w:line="360" w:lineRule="auto"/>
        <w:rPr>
          <w:rFonts w:ascii="宋体" w:hAnsi="宋体" w:cs="宋体"/>
          <w:szCs w:val="21"/>
        </w:rPr>
      </w:pPr>
      <w:r>
        <w:rPr>
          <w:rFonts w:hint="eastAsia" w:ascii="宋体" w:hAnsi="宋体" w:cs="宋体"/>
          <w:szCs w:val="21"/>
        </w:rPr>
        <w:t xml:space="preserve">①维护期内，本合同项目所有技术和服务发生任何非人为故障，由供应商负责系统恢复。故障报修的响应时间为即时，及时有效提供解决方案，属于应用系统故障的三种情况下的系统恢复时间（一是界面级简易故障，在到达现场后1小时内恢复系统正常运行；二是应用级一般故障，在12小时内恢复系统正常运行；三是系统级重大故障，在48小时内恢复系统正常运行）。 </w:t>
      </w:r>
      <w:r/>
    </w:p>
    <w:p>
      <w:pPr>
        <w:ind w:firstLine="480"/>
        <w:jc w:val="left"/>
        <w:spacing w:line="360" w:lineRule="auto"/>
        <w:rPr>
          <w:rFonts w:ascii="宋体" w:hAnsi="宋体" w:cs="宋体"/>
          <w:szCs w:val="21"/>
        </w:rPr>
      </w:pPr>
      <w:r>
        <w:rPr>
          <w:rFonts w:hint="eastAsia" w:ascii="宋体" w:hAnsi="宋体" w:cs="宋体"/>
          <w:szCs w:val="21"/>
        </w:rPr>
        <w:t xml:space="preserve">②维护期内，供应商应当通过漏洞扫描、渗透测试等方式，定期对系统进行网络安全风险自查和漏洞修复、安全加固，并进行重要时期网络安全保障工作。</w:t>
      </w:r>
      <w:r/>
    </w:p>
    <w:p>
      <w:pPr>
        <w:ind w:firstLine="480"/>
        <w:jc w:val="left"/>
        <w:spacing w:line="360" w:lineRule="auto"/>
        <w:rPr>
          <w:rFonts w:ascii="宋体" w:hAnsi="宋体" w:cs="宋体"/>
          <w:szCs w:val="21"/>
        </w:rPr>
      </w:pPr>
      <w:r>
        <w:rPr>
          <w:rFonts w:hint="eastAsia" w:ascii="宋体" w:hAnsi="宋体" w:cs="宋体"/>
          <w:szCs w:val="21"/>
        </w:rPr>
        <w:t xml:space="preserve">③维护期内，对采购人提出的合理服务要求，供应商必须及时进行现场支持。对系统功能模块，根据采购人的意见进行修改。如未按照采购人意见进行处理，采购人有权自行处理，相关费用由供应商负责。</w:t>
      </w:r>
      <w:r/>
    </w:p>
    <w:p>
      <w:pPr>
        <w:ind w:firstLine="480"/>
        <w:jc w:val="left"/>
        <w:spacing w:line="360" w:lineRule="auto"/>
        <w:rPr>
          <w:rFonts w:ascii="宋体" w:hAnsi="宋体" w:cs="宋体"/>
          <w:szCs w:val="21"/>
        </w:rPr>
      </w:pPr>
      <w:r>
        <w:rPr>
          <w:rFonts w:hint="eastAsia" w:ascii="宋体" w:hAnsi="宋体" w:cs="宋体"/>
          <w:szCs w:val="21"/>
        </w:rPr>
        <w:t xml:space="preserve">④本项目实施和维保期间，每出现一起网络安全事件（包括但不限于省市主管部门通报的系统漏洞、安全风险等情况）供应商应当支付该系统运维服务费用的5%作为违约金，违约金最高不超过合同总价款的10%。 </w:t>
      </w:r>
      <w:r/>
    </w:p>
    <w:p>
      <w:pPr>
        <w:ind w:firstLine="480"/>
        <w:jc w:val="left"/>
        <w:spacing w:line="360" w:lineRule="auto"/>
        <w:rPr>
          <w:rFonts w:ascii="宋体" w:hAnsi="宋体" w:cs="宋体"/>
          <w:szCs w:val="21"/>
        </w:rPr>
      </w:pPr>
      <w:r>
        <w:rPr>
          <w:rFonts w:hint="eastAsia" w:ascii="宋体" w:hAnsi="宋体" w:cs="宋体"/>
          <w:szCs w:val="21"/>
        </w:rPr>
        <w:t xml:space="preserve">⑤本项目实施和维保期间，未及时落实采购人的工作要求事件（以采购人具体的项目工作要求为准），供应商应当支付该系统运维服务费用的5%作为违约金，违约金最高不超过合同总价款的10%。</w:t>
      </w:r>
      <w:r/>
    </w:p>
    <w:p>
      <w:pPr>
        <w:ind w:firstLine="480"/>
        <w:jc w:val="left"/>
        <w:spacing w:line="360" w:lineRule="auto"/>
        <w:rPr>
          <w:rFonts w:ascii="宋体" w:hAnsi="宋体" w:cs="宋体"/>
          <w:szCs w:val="21"/>
        </w:rPr>
      </w:pPr>
      <w:r>
        <w:rPr>
          <w:rFonts w:hint="eastAsia" w:ascii="宋体" w:hAnsi="宋体" w:cs="宋体"/>
          <w:szCs w:val="21"/>
        </w:rPr>
        <w:t xml:space="preserve">10、日志存储要求</w:t>
      </w:r>
      <w:r/>
    </w:p>
    <w:p>
      <w:pPr>
        <w:ind w:firstLine="480"/>
        <w:jc w:val="left"/>
        <w:spacing w:line="360" w:lineRule="auto"/>
        <w:rPr>
          <w:rFonts w:ascii="宋体" w:hAnsi="宋体" w:cs="宋体"/>
          <w:szCs w:val="21"/>
        </w:rPr>
      </w:pPr>
      <w:r>
        <w:rPr>
          <w:rFonts w:hint="eastAsia" w:ascii="宋体" w:hAnsi="宋体" w:cs="宋体"/>
          <w:szCs w:val="21"/>
        </w:rPr>
        <w:t xml:space="preserve">①日志范围与类型</w:t>
      </w:r>
      <w:r/>
    </w:p>
    <w:p>
      <w:pPr>
        <w:ind w:firstLine="480"/>
        <w:jc w:val="left"/>
        <w:spacing w:line="360" w:lineRule="auto"/>
        <w:rPr>
          <w:rFonts w:ascii="宋体" w:hAnsi="宋体" w:cs="宋体"/>
          <w:szCs w:val="21"/>
        </w:rPr>
      </w:pPr>
      <w:r>
        <w:rPr>
          <w:rFonts w:hint="eastAsia" w:ascii="宋体" w:hAnsi="宋体" w:cs="宋体"/>
          <w:szCs w:val="21"/>
        </w:rPr>
        <w:t xml:space="preserve">供应商应确保运维范围内所有信息系统（含服务器、网络设备、安全设备、数据库、中间件、应用系统等）产生的各类日志完整采集并存储，包括但不限于：</w:t>
      </w:r>
      <w:r/>
    </w:p>
    <w:p>
      <w:pPr>
        <w:ind w:firstLine="480"/>
        <w:jc w:val="left"/>
        <w:spacing w:line="360" w:lineRule="auto"/>
        <w:rPr>
          <w:rFonts w:ascii="宋体" w:hAnsi="宋体" w:cs="宋体"/>
          <w:szCs w:val="21"/>
        </w:rPr>
      </w:pPr>
      <w:r>
        <w:rPr>
          <w:rFonts w:hint="eastAsia" w:ascii="宋体" w:hAnsi="宋体" w:cs="宋体"/>
          <w:szCs w:val="21"/>
        </w:rPr>
        <w:t xml:space="preserve">系统运行日志：服务器、操作系统、虚拟化平台、网络设备、安全设备等基础设施的运行状态日志；</w:t>
      </w:r>
      <w:r/>
    </w:p>
    <w:p>
      <w:pPr>
        <w:ind w:firstLine="480"/>
        <w:jc w:val="left"/>
        <w:spacing w:line="360" w:lineRule="auto"/>
        <w:rPr>
          <w:rFonts w:ascii="宋体" w:hAnsi="宋体" w:cs="宋体"/>
          <w:szCs w:val="21"/>
        </w:rPr>
      </w:pPr>
      <w:r>
        <w:rPr>
          <w:rFonts w:hint="eastAsia" w:ascii="宋体" w:hAnsi="宋体" w:cs="宋体"/>
          <w:szCs w:val="21"/>
        </w:rPr>
        <w:t xml:space="preserve">用户操作日志：用户登录登出、权限变更、配置修改、数据增删改查等操作行为日志；</w:t>
      </w:r>
      <w:r/>
    </w:p>
    <w:p>
      <w:pPr>
        <w:ind w:firstLine="480"/>
        <w:jc w:val="left"/>
        <w:spacing w:line="360" w:lineRule="auto"/>
        <w:rPr>
          <w:rFonts w:ascii="宋体" w:hAnsi="宋体" w:cs="宋体"/>
          <w:szCs w:val="21"/>
        </w:rPr>
      </w:pPr>
      <w:r>
        <w:rPr>
          <w:rFonts w:hint="eastAsia" w:ascii="宋体" w:hAnsi="宋体" w:cs="宋体"/>
          <w:szCs w:val="21"/>
        </w:rPr>
        <w:t xml:space="preserve">安全事件日志：防火墙、入侵检测/防御系统（IDS/IPS）、WAF、终端安全、漏洞扫描等安全设备产生的告警与事件日志；</w:t>
      </w:r>
      <w:r/>
    </w:p>
    <w:p>
      <w:pPr>
        <w:ind w:firstLine="480"/>
        <w:jc w:val="left"/>
        <w:spacing w:line="360" w:lineRule="auto"/>
        <w:rPr>
          <w:rFonts w:ascii="宋体" w:hAnsi="宋体" w:cs="宋体"/>
          <w:szCs w:val="21"/>
        </w:rPr>
      </w:pPr>
      <w:r>
        <w:rPr>
          <w:rFonts w:hint="eastAsia" w:ascii="宋体" w:hAnsi="宋体" w:cs="宋体"/>
          <w:szCs w:val="21"/>
        </w:rPr>
        <w:t xml:space="preserve">运维操作日志：供应商运维人员所有远程登录、指令执行、配置变更、故障处理等运维行为日志；</w:t>
      </w:r>
      <w:r/>
    </w:p>
    <w:p>
      <w:pPr>
        <w:ind w:firstLine="480"/>
        <w:jc w:val="left"/>
        <w:spacing w:line="360" w:lineRule="auto"/>
        <w:rPr>
          <w:rFonts w:ascii="宋体" w:hAnsi="宋体" w:cs="宋体"/>
          <w:szCs w:val="21"/>
        </w:rPr>
      </w:pPr>
      <w:r>
        <w:rPr>
          <w:rFonts w:hint="eastAsia" w:ascii="宋体" w:hAnsi="宋体" w:cs="宋体"/>
          <w:szCs w:val="21"/>
        </w:rPr>
        <w:t xml:space="preserve">业务应用日志：应用系统交易记录、接口调用、异常报错、性能指标等业务层面日志；</w:t>
      </w:r>
      <w:r/>
    </w:p>
    <w:p>
      <w:pPr>
        <w:ind w:firstLine="480"/>
        <w:jc w:val="left"/>
        <w:spacing w:line="360" w:lineRule="auto"/>
        <w:rPr>
          <w:rFonts w:ascii="宋体" w:hAnsi="宋体" w:cs="宋体"/>
          <w:szCs w:val="21"/>
        </w:rPr>
      </w:pPr>
      <w:r>
        <w:rPr>
          <w:rFonts w:hint="eastAsia" w:ascii="宋体" w:hAnsi="宋体" w:cs="宋体"/>
          <w:szCs w:val="21"/>
        </w:rPr>
        <w:t xml:space="preserve">个人信息处理活动日志：涉及个人信息（含敏感个人信息）的采集、使用、委托处理、对外提供、公开、出境等处理行为的记录。</w:t>
      </w:r>
      <w:r/>
    </w:p>
    <w:p>
      <w:pPr>
        <w:ind w:firstLine="480"/>
        <w:jc w:val="left"/>
        <w:spacing w:line="360" w:lineRule="auto"/>
        <w:rPr>
          <w:rFonts w:ascii="宋体" w:hAnsi="宋体" w:cs="宋体"/>
          <w:szCs w:val="21"/>
        </w:rPr>
      </w:pPr>
      <w:r>
        <w:rPr>
          <w:rFonts w:hint="eastAsia" w:ascii="宋体" w:hAnsi="宋体" w:cs="宋体"/>
          <w:szCs w:val="21"/>
        </w:rPr>
        <w:t xml:space="preserve">②日志内容要求</w:t>
      </w:r>
      <w:r/>
    </w:p>
    <w:p>
      <w:pPr>
        <w:ind w:firstLine="480"/>
        <w:jc w:val="left"/>
        <w:spacing w:line="360" w:lineRule="auto"/>
        <w:rPr>
          <w:rFonts w:ascii="宋体" w:hAnsi="宋体" w:cs="宋体"/>
          <w:szCs w:val="21"/>
        </w:rPr>
      </w:pPr>
      <w:r>
        <w:rPr>
          <w:rFonts w:hint="eastAsia" w:ascii="宋体" w:hAnsi="宋体" w:cs="宋体"/>
          <w:szCs w:val="21"/>
        </w:rPr>
        <w:t xml:space="preserve">每条日志记录应至少包含以下要素：时间戳（采用北京时间）、事件来源（设备/系统/ 应用标识）、事件类型、操作主体（用户/进程标识）、操作对象、操作结果、源IP地址、目标IP地址、唯一会话标识/操作流水号、关键参数摘要等信息，确保日志内容可追溯、可审计、可还原。</w:t>
      </w:r>
      <w:r/>
    </w:p>
    <w:p>
      <w:pPr>
        <w:ind w:firstLine="480"/>
        <w:jc w:val="left"/>
        <w:spacing w:line="360" w:lineRule="auto"/>
        <w:rPr>
          <w:rFonts w:ascii="宋体" w:hAnsi="宋体" w:cs="宋体"/>
          <w:szCs w:val="21"/>
        </w:rPr>
      </w:pPr>
      <w:r>
        <w:rPr>
          <w:rFonts w:hint="eastAsia" w:ascii="宋体" w:hAnsi="宋体" w:cs="宋体"/>
          <w:szCs w:val="21"/>
        </w:rPr>
        <w:t xml:space="preserve">③存储期限</w:t>
      </w:r>
      <w:r/>
    </w:p>
    <w:p>
      <w:pPr>
        <w:ind w:firstLine="480"/>
        <w:jc w:val="left"/>
        <w:spacing w:line="360" w:lineRule="auto"/>
        <w:rPr>
          <w:rFonts w:ascii="宋体" w:hAnsi="宋体" w:cs="宋体"/>
          <w:szCs w:val="21"/>
        </w:rPr>
      </w:pPr>
      <w:r>
        <w:rPr>
          <w:rFonts w:hint="eastAsia" w:ascii="宋体" w:hAnsi="宋体" w:cs="宋体"/>
          <w:szCs w:val="21"/>
        </w:rPr>
        <w:t xml:space="preserve">安全日志、运维操作日志、用户操作日志等具有审计价值的日志，保存期限不少于6个月；</w:t>
      </w:r>
      <w:r/>
    </w:p>
    <w:p>
      <w:pPr>
        <w:ind w:firstLine="480"/>
        <w:jc w:val="left"/>
        <w:spacing w:line="360" w:lineRule="auto"/>
        <w:rPr>
          <w:rFonts w:ascii="宋体" w:hAnsi="宋体" w:cs="宋体"/>
          <w:szCs w:val="21"/>
        </w:rPr>
      </w:pPr>
      <w:r>
        <w:rPr>
          <w:rFonts w:hint="eastAsia" w:ascii="宋体" w:hAnsi="宋体" w:cs="宋体"/>
          <w:szCs w:val="21"/>
        </w:rPr>
        <w:t xml:space="preserve">涉及等保三级及以上系统、重要业务系统的日志，保存期限不少于1年；</w:t>
      </w:r>
      <w:r/>
    </w:p>
    <w:p>
      <w:pPr>
        <w:ind w:firstLine="480"/>
        <w:jc w:val="left"/>
        <w:spacing w:line="360" w:lineRule="auto"/>
        <w:rPr>
          <w:rFonts w:ascii="宋体" w:hAnsi="宋体" w:cs="宋体"/>
          <w:szCs w:val="21"/>
        </w:rPr>
      </w:pPr>
      <w:r>
        <w:rPr>
          <w:rFonts w:hint="eastAsia" w:ascii="宋体" w:hAnsi="宋体" w:cs="宋体"/>
          <w:szCs w:val="21"/>
        </w:rPr>
        <w:t xml:space="preserve">含个人信息（含敏感个人信息）的日志及个人信息处理活动记录，保存期限不少于 3 年；</w:t>
      </w:r>
      <w:r/>
    </w:p>
    <w:p>
      <w:pPr>
        <w:ind w:firstLine="480"/>
        <w:jc w:val="left"/>
        <w:spacing w:line="360" w:lineRule="auto"/>
        <w:rPr>
          <w:rFonts w:ascii="宋体" w:hAnsi="宋体" w:cs="宋体"/>
          <w:szCs w:val="21"/>
        </w:rPr>
      </w:pPr>
      <w:r>
        <w:rPr>
          <w:rFonts w:hint="eastAsia" w:ascii="宋体" w:hAnsi="宋体" w:cs="宋体"/>
          <w:szCs w:val="21"/>
        </w:rPr>
        <w:t xml:space="preserve">法律法规或行业监管另有规定的，从其规定。</w:t>
      </w:r>
      <w:r/>
    </w:p>
    <w:p>
      <w:pPr>
        <w:ind w:firstLine="480"/>
        <w:jc w:val="left"/>
        <w:spacing w:line="360" w:lineRule="auto"/>
        <w:rPr>
          <w:rFonts w:ascii="宋体" w:hAnsi="宋体" w:cs="宋体"/>
          <w:szCs w:val="21"/>
        </w:rPr>
      </w:pPr>
      <w:r>
        <w:rPr>
          <w:rFonts w:hint="eastAsia" w:ascii="宋体" w:hAnsi="宋体" w:cs="宋体"/>
          <w:szCs w:val="21"/>
        </w:rPr>
        <w:t xml:space="preserve">④日志格式与标准化</w:t>
      </w:r>
      <w:r/>
    </w:p>
    <w:p>
      <w:pPr>
        <w:ind w:firstLine="480"/>
        <w:jc w:val="left"/>
        <w:spacing w:line="360" w:lineRule="auto"/>
        <w:rPr>
          <w:rFonts w:ascii="宋体" w:hAnsi="宋体" w:cs="宋体"/>
          <w:szCs w:val="21"/>
        </w:rPr>
      </w:pPr>
      <w:r>
        <w:rPr>
          <w:rFonts w:hint="eastAsia" w:ascii="宋体" w:hAnsi="宋体" w:cs="宋体"/>
          <w:szCs w:val="21"/>
        </w:rPr>
        <w:t xml:space="preserve">日志应采用结构化或半结构化格式存储，支持全文检索和多维度查询；</w:t>
      </w:r>
      <w:r/>
    </w:p>
    <w:p>
      <w:pPr>
        <w:ind w:firstLine="480"/>
        <w:jc w:val="left"/>
        <w:spacing w:line="360" w:lineRule="auto"/>
        <w:rPr>
          <w:rFonts w:ascii="宋体" w:hAnsi="宋体" w:cs="宋体"/>
          <w:szCs w:val="21"/>
        </w:rPr>
      </w:pPr>
      <w:r>
        <w:rPr>
          <w:rFonts w:hint="eastAsia" w:ascii="宋体" w:hAnsi="宋体" w:cs="宋体"/>
          <w:szCs w:val="21"/>
        </w:rPr>
        <w:t xml:space="preserve">供应商应统一日志字段命名与格式规范，确保不同来源日志可关联分析；</w:t>
      </w:r>
      <w:r/>
    </w:p>
    <w:p>
      <w:pPr>
        <w:ind w:firstLine="480"/>
        <w:jc w:val="left"/>
        <w:spacing w:line="360" w:lineRule="auto"/>
        <w:rPr>
          <w:rFonts w:ascii="宋体" w:hAnsi="宋体" w:cs="宋体"/>
          <w:szCs w:val="21"/>
        </w:rPr>
      </w:pPr>
      <w:r>
        <w:rPr>
          <w:rFonts w:hint="eastAsia" w:ascii="宋体" w:hAnsi="宋体" w:cs="宋体"/>
          <w:szCs w:val="21"/>
        </w:rPr>
        <w:t xml:space="preserve">时间戳应统一采用北京时间（CST，UTC+8），各设备时钟应与 NTP 时间服务器同步，偏差不超过 30 秒。</w:t>
      </w:r>
      <w:r/>
    </w:p>
    <w:p>
      <w:pPr>
        <w:ind w:firstLine="480"/>
        <w:jc w:val="left"/>
        <w:spacing w:line="360" w:lineRule="auto"/>
        <w:rPr>
          <w:rFonts w:ascii="宋体" w:hAnsi="宋体" w:cs="宋体"/>
          <w:szCs w:val="21"/>
        </w:rPr>
      </w:pPr>
      <w:r>
        <w:rPr>
          <w:rFonts w:hint="eastAsia" w:ascii="宋体" w:hAnsi="宋体" w:cs="宋体"/>
          <w:szCs w:val="21"/>
        </w:rPr>
        <w:t xml:space="preserve">⑤日志安全与完整性</w:t>
      </w:r>
      <w:r/>
    </w:p>
    <w:p>
      <w:pPr>
        <w:ind w:firstLine="480"/>
        <w:jc w:val="left"/>
        <w:spacing w:line="360" w:lineRule="auto"/>
        <w:rPr>
          <w:rFonts w:ascii="宋体" w:hAnsi="宋体" w:cs="宋体"/>
          <w:szCs w:val="21"/>
        </w:rPr>
      </w:pPr>
      <w:r>
        <w:rPr>
          <w:rFonts w:hint="eastAsia" w:ascii="宋体" w:hAnsi="宋体" w:cs="宋体"/>
          <w:szCs w:val="21"/>
        </w:rPr>
        <w:t xml:space="preserve">日志数据应采取防篡改措施，可采用哈希校验、数字签名、区块链存证等技术手段确保日志完整性；</w:t>
      </w:r>
      <w:r/>
    </w:p>
    <w:p>
      <w:pPr>
        <w:ind w:firstLine="480"/>
        <w:jc w:val="left"/>
        <w:spacing w:line="360" w:lineRule="auto"/>
        <w:rPr>
          <w:rFonts w:ascii="宋体" w:hAnsi="宋体" w:cs="宋体"/>
          <w:szCs w:val="21"/>
        </w:rPr>
      </w:pPr>
      <w:r>
        <w:rPr>
          <w:rFonts w:hint="eastAsia" w:ascii="宋体" w:hAnsi="宋体" w:cs="宋体"/>
          <w:szCs w:val="21"/>
        </w:rPr>
        <w:t xml:space="preserve">日志存储系统应设置严格的访问控制，仅授权人员可查询日志，且查询操作本身须留痕；</w:t>
      </w:r>
      <w:r/>
    </w:p>
    <w:p>
      <w:pPr>
        <w:ind w:firstLine="480"/>
        <w:jc w:val="left"/>
        <w:spacing w:line="360" w:lineRule="auto"/>
        <w:rPr>
          <w:rFonts w:ascii="宋体" w:hAnsi="宋体" w:cs="宋体"/>
          <w:szCs w:val="21"/>
        </w:rPr>
      </w:pPr>
      <w:r>
        <w:rPr>
          <w:rFonts w:hint="eastAsia" w:ascii="宋体" w:hAnsi="宋体" w:cs="宋体"/>
          <w:szCs w:val="21"/>
        </w:rPr>
        <w:t xml:space="preserve">日志传输过程应采用加密通道（如 TLS/SSL、Syslog over TLS 等），防止日志在传输过程中被截获或篡改；</w:t>
      </w:r>
      <w:r/>
    </w:p>
    <w:p>
      <w:pPr>
        <w:ind w:firstLine="480"/>
        <w:jc w:val="left"/>
        <w:spacing w:line="360" w:lineRule="auto"/>
        <w:rPr>
          <w:rFonts w:ascii="宋体" w:hAnsi="宋体" w:cs="宋体"/>
          <w:szCs w:val="21"/>
        </w:rPr>
      </w:pPr>
      <w:r>
        <w:rPr>
          <w:rFonts w:hint="eastAsia" w:ascii="宋体" w:hAnsi="宋体" w:cs="宋体"/>
          <w:szCs w:val="21"/>
        </w:rPr>
        <w:t xml:space="preserve">供应商不得删除、修改、伪造任何日志记录，不得擅自关闭或降低日志记录级别。</w:t>
      </w:r>
      <w:r/>
    </w:p>
    <w:p>
      <w:pPr>
        <w:ind w:firstLine="480"/>
        <w:jc w:val="left"/>
        <w:spacing w:line="360" w:lineRule="auto"/>
        <w:rPr>
          <w:rFonts w:ascii="宋体" w:hAnsi="宋体" w:cs="宋体"/>
          <w:szCs w:val="21"/>
        </w:rPr>
      </w:pPr>
      <w:r>
        <w:rPr>
          <w:rFonts w:hint="eastAsia" w:ascii="宋体" w:hAnsi="宋体" w:cs="宋体"/>
          <w:szCs w:val="21"/>
        </w:rPr>
        <w:t xml:space="preserve">⑥日志备份与恢复</w:t>
      </w:r>
      <w:r/>
    </w:p>
    <w:p>
      <w:pPr>
        <w:ind w:firstLine="480"/>
        <w:jc w:val="left"/>
        <w:spacing w:line="360" w:lineRule="auto"/>
        <w:rPr>
          <w:rFonts w:ascii="宋体" w:hAnsi="宋体" w:cs="宋体"/>
          <w:szCs w:val="21"/>
        </w:rPr>
      </w:pPr>
      <w:r>
        <w:rPr>
          <w:rFonts w:hint="eastAsia" w:ascii="宋体" w:hAnsi="宋体" w:cs="宋体"/>
          <w:szCs w:val="21"/>
        </w:rPr>
        <w:t xml:space="preserve">供应商应制定日志备份策略，定期对日志数据进行备份；</w:t>
      </w:r>
      <w:r/>
    </w:p>
    <w:p>
      <w:pPr>
        <w:ind w:firstLine="480"/>
        <w:jc w:val="left"/>
        <w:spacing w:line="360" w:lineRule="auto"/>
        <w:rPr>
          <w:rFonts w:ascii="宋体" w:hAnsi="宋体" w:cs="宋体"/>
          <w:szCs w:val="21"/>
        </w:rPr>
      </w:pPr>
      <w:r>
        <w:rPr>
          <w:rFonts w:hint="eastAsia" w:ascii="宋体" w:hAnsi="宋体" w:cs="宋体"/>
          <w:szCs w:val="21"/>
        </w:rPr>
        <w:t xml:space="preserve">供应商应具备日志数据恢复能力，发生日志丢失或损坏时，应在4小时内完成恢复，并向</w:t>
      </w:r>
      <w:r>
        <w:rPr>
          <w:rFonts w:hint="eastAsia" w:ascii="宋体" w:hAnsi="宋体" w:cs="宋体"/>
          <w:bCs/>
          <w:szCs w:val="21"/>
        </w:rPr>
        <w:t xml:space="preserve">采购人</w:t>
      </w:r>
      <w:r>
        <w:rPr>
          <w:rFonts w:hint="eastAsia" w:ascii="宋体" w:hAnsi="宋体" w:cs="宋体"/>
          <w:szCs w:val="21"/>
        </w:rPr>
        <w:t xml:space="preserve">提交事件报告。</w:t>
      </w:r>
      <w:r/>
    </w:p>
    <w:p>
      <w:pPr>
        <w:ind w:firstLine="480"/>
        <w:jc w:val="left"/>
        <w:spacing w:line="360" w:lineRule="auto"/>
        <w:rPr>
          <w:rFonts w:ascii="宋体" w:hAnsi="宋体" w:cs="宋体"/>
          <w:szCs w:val="21"/>
        </w:rPr>
      </w:pPr>
      <w:r>
        <w:rPr>
          <w:rFonts w:hint="eastAsia" w:ascii="宋体" w:hAnsi="宋体" w:cs="宋体"/>
          <w:szCs w:val="21"/>
        </w:rPr>
        <w:t xml:space="preserve">⑦日志查询与审计支持</w:t>
      </w:r>
      <w:r/>
    </w:p>
    <w:p>
      <w:pPr>
        <w:ind w:firstLine="480"/>
        <w:jc w:val="left"/>
        <w:spacing w:line="360" w:lineRule="auto"/>
        <w:rPr>
          <w:rFonts w:ascii="宋体" w:hAnsi="宋体" w:cs="宋体"/>
          <w:szCs w:val="21"/>
        </w:rPr>
      </w:pPr>
      <w:r>
        <w:rPr>
          <w:rFonts w:hint="eastAsia" w:ascii="宋体" w:hAnsi="宋体" w:cs="宋体"/>
          <w:szCs w:val="21"/>
        </w:rPr>
        <w:t xml:space="preserve">供应商应向</w:t>
      </w:r>
      <w:r>
        <w:rPr>
          <w:rFonts w:hint="eastAsia" w:ascii="宋体" w:hAnsi="宋体" w:cs="宋体"/>
          <w:bCs/>
          <w:szCs w:val="21"/>
        </w:rPr>
        <w:t xml:space="preserve">采购人</w:t>
      </w:r>
      <w:r>
        <w:rPr>
          <w:rFonts w:hint="eastAsia" w:ascii="宋体" w:hAnsi="宋体" w:cs="宋体"/>
          <w:szCs w:val="21"/>
        </w:rPr>
        <w:t xml:space="preserve">提供日志查询界面或接口，支持</w:t>
      </w:r>
      <w:r>
        <w:rPr>
          <w:rFonts w:hint="eastAsia" w:ascii="宋体" w:hAnsi="宋体" w:cs="宋体"/>
          <w:bCs/>
          <w:szCs w:val="21"/>
        </w:rPr>
        <w:t xml:space="preserve">采购人</w:t>
      </w:r>
      <w:r>
        <w:rPr>
          <w:rFonts w:hint="eastAsia" w:ascii="宋体" w:hAnsi="宋体" w:cs="宋体"/>
          <w:szCs w:val="21"/>
        </w:rPr>
        <w:t xml:space="preserve">按需检索、导出日志；</w:t>
      </w:r>
      <w:r/>
    </w:p>
    <w:p>
      <w:pPr>
        <w:ind w:firstLine="480"/>
        <w:jc w:val="left"/>
        <w:spacing w:line="360" w:lineRule="auto"/>
        <w:rPr>
          <w:rFonts w:ascii="宋体" w:hAnsi="宋体" w:cs="宋体"/>
          <w:szCs w:val="21"/>
        </w:rPr>
      </w:pPr>
      <w:r>
        <w:rPr>
          <w:rFonts w:hint="eastAsia" w:ascii="宋体" w:hAnsi="宋体" w:cs="宋体"/>
          <w:bCs/>
          <w:szCs w:val="21"/>
        </w:rPr>
        <w:t xml:space="preserve">采购人</w:t>
      </w:r>
      <w:r>
        <w:rPr>
          <w:rFonts w:hint="eastAsia" w:ascii="宋体" w:hAnsi="宋体" w:cs="宋体"/>
          <w:szCs w:val="21"/>
        </w:rPr>
        <w:t xml:space="preserve">或其委托的审计机构提出日志调阅需求时，供应商应在2个工作日内提供完整日志数据，不得以任何理由推诿或延迟；</w:t>
      </w:r>
      <w:r/>
    </w:p>
    <w:p>
      <w:pPr>
        <w:ind w:firstLine="480"/>
        <w:jc w:val="left"/>
        <w:spacing w:line="360" w:lineRule="auto"/>
        <w:rPr>
          <w:rFonts w:ascii="宋体" w:hAnsi="宋体" w:cs="宋体"/>
          <w:szCs w:val="21"/>
        </w:rPr>
      </w:pPr>
      <w:r>
        <w:rPr>
          <w:rFonts w:hint="eastAsia" w:ascii="宋体" w:hAnsi="宋体" w:cs="宋体"/>
          <w:bCs/>
          <w:szCs w:val="21"/>
        </w:rPr>
        <w:t xml:space="preserve">采购人</w:t>
      </w:r>
      <w:r>
        <w:rPr>
          <w:rFonts w:hint="eastAsia" w:ascii="宋体" w:hAnsi="宋体" w:cs="宋体"/>
          <w:szCs w:val="21"/>
        </w:rPr>
        <w:t xml:space="preserve">接到公安机关、国家安全机关、网信等监管部门依法提出的日志调证或协查要求时，供应商应在法定/监管要求的时限内（或双方另行约定的更短时限内）配合</w:t>
      </w:r>
      <w:r>
        <w:rPr>
          <w:rFonts w:hint="eastAsia" w:ascii="宋体" w:hAnsi="宋体" w:cs="宋体"/>
          <w:bCs/>
          <w:szCs w:val="21"/>
        </w:rPr>
        <w:t xml:space="preserve">采购人</w:t>
      </w:r>
      <w:r>
        <w:rPr>
          <w:rFonts w:hint="eastAsia" w:ascii="宋体" w:hAnsi="宋体" w:cs="宋体"/>
          <w:szCs w:val="21"/>
        </w:rPr>
        <w:t xml:space="preserve">及时提供；</w:t>
      </w:r>
      <w:r/>
    </w:p>
    <w:p>
      <w:pPr>
        <w:ind w:firstLine="480"/>
        <w:jc w:val="left"/>
        <w:spacing w:line="360" w:lineRule="auto"/>
        <w:rPr>
          <w:rFonts w:ascii="宋体" w:hAnsi="宋体" w:cs="宋体"/>
          <w:szCs w:val="21"/>
        </w:rPr>
      </w:pPr>
      <w:r>
        <w:rPr>
          <w:rFonts w:hint="eastAsia" w:ascii="宋体" w:hAnsi="宋体" w:cs="宋体"/>
          <w:szCs w:val="21"/>
        </w:rPr>
        <w:t xml:space="preserve">供应商应配合</w:t>
      </w:r>
      <w:r>
        <w:rPr>
          <w:rFonts w:hint="eastAsia" w:ascii="宋体" w:hAnsi="宋体" w:cs="宋体"/>
          <w:bCs/>
          <w:szCs w:val="21"/>
        </w:rPr>
        <w:t xml:space="preserve">采购人</w:t>
      </w:r>
      <w:r>
        <w:rPr>
          <w:rFonts w:hint="eastAsia" w:ascii="宋体" w:hAnsi="宋体" w:cs="宋体"/>
          <w:szCs w:val="21"/>
        </w:rPr>
        <w:t xml:space="preserve">开展安全审计、合规检查、故障溯源等工作，提供必要的日志分析支持。</w:t>
      </w:r>
      <w:r/>
    </w:p>
    <w:p>
      <w:pPr>
        <w:ind w:firstLine="480"/>
        <w:jc w:val="left"/>
        <w:spacing w:line="360" w:lineRule="auto"/>
        <w:rPr>
          <w:rFonts w:ascii="宋体" w:hAnsi="宋体" w:cs="宋体"/>
          <w:szCs w:val="21"/>
        </w:rPr>
      </w:pPr>
      <w:r>
        <w:rPr>
          <w:rFonts w:hint="eastAsia" w:ascii="宋体" w:hAnsi="宋体" w:cs="宋体"/>
          <w:szCs w:val="21"/>
        </w:rPr>
        <w:t xml:space="preserve">⑧违约责任</w:t>
      </w:r>
      <w:r/>
    </w:p>
    <w:p>
      <w:pPr>
        <w:ind w:firstLine="480"/>
        <w:jc w:val="left"/>
        <w:spacing w:line="360" w:lineRule="auto"/>
        <w:rPr>
          <w:rFonts w:ascii="宋体" w:hAnsi="宋体" w:cs="宋体"/>
          <w:szCs w:val="21"/>
        </w:rPr>
      </w:pPr>
      <w:r>
        <w:rPr>
          <w:rFonts w:hint="eastAsia" w:ascii="宋体" w:hAnsi="宋体" w:cs="宋体"/>
          <w:szCs w:val="21"/>
        </w:rPr>
        <w:t xml:space="preserve">因供应商原因导致日志缺失、篡改、泄露或未按规定期限保存的，供应商应承担由此造成的全部损失；</w:t>
      </w:r>
      <w:r/>
    </w:p>
    <w:p>
      <w:pPr>
        <w:ind w:firstLine="480"/>
        <w:jc w:val="left"/>
        <w:spacing w:line="360" w:lineRule="auto"/>
        <w:rPr>
          <w:rFonts w:ascii="宋体" w:hAnsi="宋体" w:cs="宋体"/>
          <w:szCs w:val="21"/>
        </w:rPr>
      </w:pPr>
      <w:r>
        <w:rPr>
          <w:rFonts w:hint="eastAsia" w:ascii="宋体" w:hAnsi="宋体" w:cs="宋体"/>
          <w:szCs w:val="21"/>
        </w:rPr>
        <w:t xml:space="preserve">每发现一次日志不完整或存储不达标，</w:t>
      </w:r>
      <w:r>
        <w:rPr>
          <w:rFonts w:hint="eastAsia" w:ascii="宋体" w:hAnsi="宋体" w:cs="宋体"/>
          <w:bCs/>
          <w:szCs w:val="21"/>
        </w:rPr>
        <w:t xml:space="preserve">采购人</w:t>
      </w:r>
      <w:r>
        <w:rPr>
          <w:rFonts w:hint="eastAsia" w:ascii="宋体" w:hAnsi="宋体" w:cs="宋体"/>
          <w:szCs w:val="21"/>
        </w:rPr>
        <w:t xml:space="preserve">有权扣除当期运维服务费的1%—5%作为违约金；</w:t>
      </w:r>
      <w:r/>
    </w:p>
    <w:p>
      <w:pPr>
        <w:ind w:firstLine="480"/>
        <w:jc w:val="left"/>
        <w:spacing w:line="360" w:lineRule="auto"/>
        <w:rPr>
          <w:rFonts w:ascii="宋体" w:hAnsi="宋体" w:cs="宋体"/>
          <w:szCs w:val="21"/>
        </w:rPr>
      </w:pPr>
      <w:r>
        <w:rPr>
          <w:rFonts w:hint="eastAsia" w:ascii="宋体" w:hAnsi="宋体" w:cs="宋体"/>
          <w:szCs w:val="21"/>
        </w:rPr>
        <w:t xml:space="preserve">因日志缺失导致安全事件无法溯源或影响合规审计的，</w:t>
      </w:r>
      <w:r>
        <w:rPr>
          <w:rFonts w:hint="eastAsia" w:ascii="宋体" w:hAnsi="宋体" w:cs="宋体"/>
          <w:bCs/>
          <w:szCs w:val="21"/>
        </w:rPr>
        <w:t xml:space="preserve">采购人</w:t>
      </w:r>
      <w:r>
        <w:rPr>
          <w:rFonts w:hint="eastAsia" w:ascii="宋体" w:hAnsi="宋体" w:cs="宋体"/>
          <w:szCs w:val="21"/>
        </w:rPr>
        <w:t xml:space="preserve">有权单方解除合同并追究供应商相应法律责任。</w:t>
      </w:r>
      <w:r/>
    </w:p>
    <w:p>
      <w:pPr>
        <w:ind w:firstLine="480"/>
        <w:jc w:val="left"/>
        <w:spacing w:line="360" w:lineRule="auto"/>
        <w:rPr>
          <w:rFonts w:ascii="宋体" w:hAnsi="宋体" w:cs="宋体"/>
          <w:szCs w:val="21"/>
        </w:rPr>
      </w:pPr>
      <w:r>
        <w:rPr>
          <w:rFonts w:hint="eastAsia" w:ascii="宋体" w:hAnsi="宋体" w:cs="宋体"/>
          <w:szCs w:val="21"/>
        </w:rPr>
        <w:t xml:space="preserve">11、其他要求</w:t>
      </w:r>
      <w:r/>
    </w:p>
    <w:p>
      <w:pPr>
        <w:ind w:firstLine="480"/>
        <w:jc w:val="left"/>
        <w:spacing w:line="360" w:lineRule="auto"/>
        <w:rPr>
          <w:rFonts w:ascii="宋体" w:hAnsi="宋体" w:cs="宋体"/>
          <w:szCs w:val="21"/>
        </w:rPr>
      </w:pPr>
      <w:r>
        <w:rPr>
          <w:rFonts w:hint="eastAsia" w:ascii="宋体" w:hAnsi="宋体" w:cs="宋体"/>
          <w:szCs w:val="21"/>
        </w:rPr>
        <w:t xml:space="preserve">①如果发生因供应商安全措施不力造成的事故责任，或者其他工作失误，</w:t>
      </w:r>
      <w:r>
        <w:rPr>
          <w:rFonts w:hint="eastAsia" w:ascii="宋体" w:hAnsi="宋体" w:cs="宋体"/>
          <w:bCs/>
          <w:szCs w:val="21"/>
        </w:rPr>
        <w:t xml:space="preserve">采购人</w:t>
      </w:r>
      <w:r>
        <w:rPr>
          <w:rFonts w:hint="eastAsia" w:ascii="宋体" w:hAnsi="宋体" w:cs="宋体"/>
          <w:szCs w:val="21"/>
        </w:rPr>
        <w:t xml:space="preserve">有权解除合同，由此所产生的一切责任由供应商承担。</w:t>
      </w:r>
      <w:r/>
    </w:p>
    <w:p>
      <w:pPr>
        <w:ind w:firstLine="480"/>
        <w:jc w:val="left"/>
        <w:spacing w:line="360" w:lineRule="auto"/>
        <w:rPr>
          <w:rFonts w:ascii="宋体" w:hAnsi="宋体" w:cs="宋体"/>
          <w:szCs w:val="21"/>
        </w:rPr>
      </w:pPr>
      <w:r>
        <w:rPr>
          <w:rFonts w:hint="eastAsia" w:ascii="宋体" w:hAnsi="宋体" w:cs="宋体"/>
          <w:szCs w:val="21"/>
        </w:rPr>
        <w:t xml:space="preserve">②如因供应商投入人员过少原因，造成无法在承诺工期内完成服务，</w:t>
      </w:r>
      <w:r>
        <w:rPr>
          <w:rFonts w:hint="eastAsia" w:ascii="宋体" w:hAnsi="宋体" w:cs="宋体"/>
          <w:bCs/>
          <w:szCs w:val="21"/>
        </w:rPr>
        <w:t xml:space="preserve">采购人</w:t>
      </w:r>
      <w:r>
        <w:rPr>
          <w:rFonts w:hint="eastAsia" w:ascii="宋体" w:hAnsi="宋体" w:cs="宋体"/>
          <w:szCs w:val="21"/>
        </w:rPr>
        <w:t xml:space="preserve">有权解除合同，由此所产生的一切责任由供应商承担。</w:t>
      </w:r>
      <w:r/>
    </w:p>
    <w:p>
      <w:pPr>
        <w:ind w:firstLine="480"/>
        <w:spacing w:line="360" w:lineRule="auto"/>
        <w:rPr>
          <w:rFonts w:ascii="宋体" w:hAnsi="宋体" w:cs="宋体"/>
          <w:b/>
          <w:bCs/>
          <w:szCs w:val="21"/>
        </w:rPr>
      </w:pPr>
      <w:r>
        <w:rPr>
          <w:rFonts w:hint="eastAsia" w:ascii="宋体" w:hAnsi="宋体" w:cs="宋体"/>
          <w:b/>
          <w:bCs/>
          <w:szCs w:val="21"/>
        </w:rPr>
        <w:t xml:space="preserve">★四、拟采购标的需要满足的商务要求</w:t>
      </w:r>
      <w:r/>
    </w:p>
    <w:p>
      <w:pPr>
        <w:ind w:firstLine="480"/>
        <w:jc w:val="left"/>
        <w:spacing w:line="360" w:lineRule="auto"/>
        <w:rPr>
          <w:rFonts w:ascii="宋体" w:hAnsi="宋体" w:cs="宋体"/>
          <w:szCs w:val="21"/>
        </w:rPr>
      </w:pPr>
      <w:r>
        <w:rPr>
          <w:rFonts w:hint="eastAsia" w:ascii="宋体" w:hAnsi="宋体" w:cs="宋体"/>
          <w:szCs w:val="21"/>
        </w:rPr>
        <w:t xml:space="preserve">1、服务时间</w:t>
      </w:r>
      <w:r/>
    </w:p>
    <w:p>
      <w:pPr>
        <w:ind w:firstLine="480"/>
        <w:jc w:val="left"/>
        <w:spacing w:line="360" w:lineRule="auto"/>
        <w:rPr>
          <w:rFonts w:ascii="宋体" w:hAnsi="宋体" w:cs="宋体"/>
          <w:szCs w:val="21"/>
        </w:rPr>
      </w:pPr>
      <w:r>
        <w:rPr>
          <w:rFonts w:hint="eastAsia" w:ascii="宋体" w:hAnsi="宋体" w:cs="宋体"/>
          <w:bCs/>
          <w:szCs w:val="21"/>
        </w:rPr>
        <w:t xml:space="preserve">自合同签订后</w:t>
      </w:r>
      <w:r>
        <w:rPr>
          <w:rFonts w:hint="eastAsia" w:ascii="宋体" w:hAnsi="宋体" w:cs="宋体"/>
          <w:bCs/>
          <w:szCs w:val="21"/>
          <w:lang w:val="en-US" w:eastAsia="zh-CN"/>
        </w:rPr>
        <w:t xml:space="preserve">365天</w:t>
      </w:r>
      <w:r>
        <w:rPr>
          <w:rFonts w:hint="eastAsia" w:ascii="宋体" w:hAnsi="宋体" w:cs="宋体"/>
          <w:bCs/>
          <w:szCs w:val="21"/>
        </w:rPr>
        <w:t xml:space="preserve">。</w:t>
      </w:r>
      <w:r/>
    </w:p>
    <w:p>
      <w:pPr>
        <w:ind w:firstLine="480"/>
        <w:jc w:val="left"/>
        <w:spacing w:line="360" w:lineRule="auto"/>
        <w:rPr>
          <w:rFonts w:ascii="宋体" w:hAnsi="宋体" w:cs="宋体"/>
          <w:szCs w:val="21"/>
        </w:rPr>
      </w:pPr>
      <w:r>
        <w:rPr>
          <w:rFonts w:hint="eastAsia" w:ascii="宋体" w:hAnsi="宋体" w:cs="宋体"/>
          <w:szCs w:val="21"/>
        </w:rPr>
        <w:t xml:space="preserve">2、报价要求</w:t>
      </w:r>
      <w:r/>
    </w:p>
    <w:p>
      <w:pPr>
        <w:ind w:firstLine="480"/>
        <w:jc w:val="left"/>
        <w:spacing w:line="360" w:lineRule="auto"/>
        <w:rPr>
          <w:rFonts w:ascii="宋体" w:hAnsi="宋体" w:cs="宋体"/>
          <w:szCs w:val="21"/>
        </w:rPr>
      </w:pPr>
      <w:r>
        <w:rPr>
          <w:rFonts w:hint="eastAsia" w:ascii="宋体" w:hAnsi="宋体" w:cs="宋体"/>
          <w:szCs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宋体" w:hAnsi="宋体" w:cs="宋体"/>
          <w:szCs w:val="21"/>
        </w:rPr>
      </w:pPr>
      <w:r>
        <w:rPr>
          <w:rFonts w:hint="eastAsia" w:ascii="宋体" w:hAnsi="宋体" w:cs="宋体"/>
          <w:szCs w:val="21"/>
        </w:rPr>
        <w:t xml:space="preserve">（2）供应商的任何错漏、优惠、竞争性报价不得作为减轻责任、减少服务、增加收费、降低服务质量的理由。</w:t>
      </w:r>
      <w:r/>
    </w:p>
    <w:p>
      <w:pPr>
        <w:ind w:firstLine="480"/>
        <w:jc w:val="left"/>
        <w:spacing w:line="360" w:lineRule="auto"/>
        <w:rPr>
          <w:rFonts w:ascii="宋体" w:hAnsi="宋体" w:cs="宋体"/>
          <w:szCs w:val="21"/>
        </w:rPr>
      </w:pPr>
      <w:r>
        <w:rPr>
          <w:rFonts w:hint="eastAsia" w:ascii="宋体" w:hAnsi="宋体" w:cs="宋体"/>
          <w:szCs w:val="21"/>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jc w:val="left"/>
        <w:spacing w:line="360" w:lineRule="auto"/>
        <w:rPr>
          <w:rFonts w:ascii="宋体" w:hAnsi="宋体" w:cs="宋体"/>
          <w:szCs w:val="21"/>
        </w:rPr>
      </w:pPr>
      <w:r>
        <w:rPr>
          <w:rFonts w:hint="eastAsia" w:ascii="宋体" w:hAnsi="宋体" w:cs="宋体"/>
          <w:szCs w:val="21"/>
        </w:rPr>
        <w:t xml:space="preserve">3、付款条件</w:t>
      </w:r>
      <w:r/>
    </w:p>
    <w:p>
      <w:pPr>
        <w:ind w:firstLine="480"/>
        <w:jc w:val="left"/>
        <w:spacing w:line="360" w:lineRule="auto"/>
        <w:rPr>
          <w:rFonts w:ascii="宋体" w:hAnsi="宋体" w:cs="宋体"/>
          <w:szCs w:val="21"/>
        </w:rPr>
      </w:pPr>
      <w:r>
        <w:rPr>
          <w:rFonts w:hint="eastAsia" w:ascii="宋体" w:hAnsi="宋体" w:cs="宋体"/>
          <w:szCs w:val="21"/>
        </w:rPr>
        <w:t xml:space="preserve">（1）预付款：在本合同签订且财政预算资金下达后，采购人向成交供应商支付本合同总额的50%。</w:t>
      </w:r>
      <w:r/>
    </w:p>
    <w:p>
      <w:pPr>
        <w:ind w:firstLine="480"/>
        <w:jc w:val="left"/>
        <w:spacing w:line="360" w:lineRule="auto"/>
        <w:rPr>
          <w:rFonts w:ascii="宋体" w:hAnsi="宋体" w:cs="宋体"/>
          <w:szCs w:val="21"/>
        </w:rPr>
      </w:pPr>
      <w:r>
        <w:rPr>
          <w:rFonts w:hint="eastAsia" w:ascii="宋体" w:hAnsi="宋体" w:cs="宋体"/>
          <w:szCs w:val="21"/>
        </w:rPr>
        <w:t xml:space="preserve">（2）尾款：在完成各个系统的运维服务质量考核验收后，且财政预算资金下达后，采购人向成交供应商支付合同尾款。</w:t>
      </w:r>
      <w:r/>
    </w:p>
    <w:p>
      <w:pPr>
        <w:ind w:firstLine="480"/>
        <w:jc w:val="left"/>
        <w:spacing w:line="360" w:lineRule="auto"/>
        <w:rPr>
          <w:rFonts w:ascii="宋体" w:hAnsi="宋体" w:cs="宋体"/>
          <w:szCs w:val="21"/>
        </w:rPr>
      </w:pPr>
      <w:r>
        <w:rPr>
          <w:rFonts w:hint="eastAsia" w:ascii="宋体" w:hAnsi="宋体" w:cs="宋体"/>
          <w:szCs w:val="21"/>
        </w:rPr>
        <w:t xml:space="preserve">（3）满足合同约定支付条件的，采购人在收到成交供应商发票后</w:t>
      </w:r>
      <w:r>
        <w:rPr>
          <w:rFonts w:hint="eastAsia" w:ascii="宋体" w:hAnsi="宋体" w:cs="宋体"/>
          <w:szCs w:val="21"/>
          <w:lang w:val="en-US" w:eastAsia="zh-CN"/>
        </w:rPr>
        <w:t xml:space="preserve">15</w:t>
      </w:r>
      <w:r>
        <w:rPr>
          <w:rFonts w:hint="eastAsia" w:ascii="宋体" w:hAnsi="宋体" w:cs="宋体"/>
          <w:szCs w:val="21"/>
        </w:rPr>
        <w:t xml:space="preserve">个工作日内，将资金支付到合同约定的成交供应商账户。</w:t>
      </w:r>
      <w:r/>
    </w:p>
    <w:p>
      <w:pPr>
        <w:ind w:firstLine="480"/>
        <w:jc w:val="left"/>
        <w:spacing w:line="360" w:lineRule="auto"/>
        <w:rPr>
          <w:rFonts w:ascii="宋体" w:hAnsi="宋体" w:cs="宋体"/>
          <w:szCs w:val="21"/>
        </w:rPr>
      </w:pPr>
      <w:r>
        <w:rPr>
          <w:rFonts w:hint="eastAsia" w:ascii="宋体" w:hAnsi="宋体" w:cs="宋体"/>
          <w:szCs w:val="21"/>
        </w:rPr>
        <w:t xml:space="preserve">4、服务地点</w:t>
      </w:r>
      <w:r/>
    </w:p>
    <w:p>
      <w:pPr>
        <w:ind w:firstLine="480"/>
        <w:jc w:val="left"/>
        <w:spacing w:line="360" w:lineRule="auto"/>
        <w:rPr>
          <w:rFonts w:ascii="宋体" w:hAnsi="宋体" w:cs="宋体"/>
          <w:szCs w:val="21"/>
        </w:rPr>
      </w:pPr>
      <w:r>
        <w:rPr>
          <w:rFonts w:hint="eastAsia" w:ascii="宋体" w:hAnsi="宋体" w:cs="宋体"/>
          <w:szCs w:val="21"/>
        </w:rPr>
        <w:t xml:space="preserve">采购人指定地点。</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本章节加“★”内容为实质性要求，需在《技术要求响应及偏离表》和《商务要求响应及偏离表》中明确响应，供应商未对实质性要求明确响应或有负偏离的，按无效响应处理。</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ind w:left="567"/>
        <w:rPr>
          <w:rFonts w:ascii="宋体" w:hAnsi="宋体" w:cs="宋体"/>
        </w:rPr>
      </w:pPr>
      <w:r/>
      <w:bookmarkStart w:id="106" w:name="_Toc176878663"/>
      <w:r/>
      <w:bookmarkStart w:id="107" w:name="_Toc67494810"/>
      <w:r>
        <w:rPr>
          <w:rFonts w:hint="eastAsia" w:ascii="宋体" w:hAnsi="宋体" w:cs="宋体"/>
        </w:rPr>
        <w:br w:type="page" w:clear="all"/>
      </w:r>
      <w:r/>
    </w:p>
    <w:p>
      <w:pPr>
        <w:pStyle w:val="979"/>
        <w:numPr>
          <w:ilvl w:val="0"/>
          <w:numId w:val="0"/>
        </w:numPr>
        <w:ind w:left="567"/>
        <w:rPr>
          <w:rFonts w:ascii="宋体" w:hAnsi="宋体" w:cs="宋体"/>
        </w:rPr>
      </w:pPr>
      <w:r>
        <w:rPr>
          <w:rFonts w:hint="eastAsia" w:ascii="宋体" w:hAnsi="宋体" w:cs="宋体"/>
        </w:rPr>
        <w:t xml:space="preserve">第五章 合同主要条款及格式</w:t>
      </w:r>
      <w:bookmarkEnd w:id="104"/>
      <w:r/>
      <w:bookmarkEnd w:id="105"/>
      <w:r/>
      <w:bookmarkEnd w:id="106"/>
      <w:r/>
      <w:bookmarkEnd w:id="107"/>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shd w:val="clear" w:color="auto" w:fill="ffffff"/>
        <w:widowControl/>
        <w:rPr>
          <w:rFonts w:ascii="宋体" w:hAnsi="宋体" w:cs="宋体"/>
          <w:b/>
          <w:bCs/>
          <w:sz w:val="32"/>
          <w:szCs w:val="32"/>
        </w:rPr>
      </w:pPr>
      <w:r/>
      <w:bookmarkStart w:id="108" w:name="_Toc12929"/>
      <w:r>
        <w:rPr>
          <w:rFonts w:hint="eastAsia" w:ascii="宋体" w:hAnsi="宋体" w:cs="宋体"/>
          <w:b/>
          <w:bCs/>
          <w:sz w:val="32"/>
          <w:szCs w:val="32"/>
        </w:rPr>
        <w:t xml:space="preserve">政府采购合同</w:t>
      </w:r>
      <w:r/>
    </w:p>
    <w:p>
      <w:pPr>
        <w:ind w:firstLine="315"/>
        <w:spacing w:line="360" w:lineRule="auto"/>
        <w:shd w:val="clear" w:color="auto" w:fill="ffffff"/>
        <w:widowControl/>
        <w:rPr>
          <w:rFonts w:ascii="宋体" w:hAnsi="宋体" w:cs="宋体"/>
          <w:szCs w:val="21"/>
        </w:rPr>
      </w:pPr>
      <w:r>
        <w:rPr>
          <w:rFonts w:hint="eastAsia" w:ascii="宋体" w:hAnsi="宋体" w:cs="宋体"/>
          <w:b/>
          <w:bCs/>
          <w:sz w:val="36"/>
          <w:szCs w:val="36"/>
        </w:rPr>
        <w:t xml:space="preserve"> </w:t>
      </w:r>
      <w:r/>
    </w:p>
    <w:p>
      <w:pPr>
        <w:spacing w:line="360" w:lineRule="auto"/>
        <w:shd w:val="clear" w:color="auto" w:fill="ffffff"/>
        <w:widowControl/>
        <w:rPr>
          <w:rFonts w:ascii="宋体" w:hAnsi="宋体" w:cs="宋体"/>
          <w:b/>
          <w:bCs/>
          <w:sz w:val="36"/>
          <w:szCs w:val="36"/>
        </w:rPr>
      </w:pPr>
      <w:r>
        <w:rPr>
          <w:rFonts w:ascii="宋体" w:hAnsi="宋体" w:cs="宋体"/>
          <w:b/>
          <w:bCs/>
          <w:sz w:val="36"/>
          <w:szCs w:val="36"/>
        </w:rPr>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bookmarkStart w:id="109" w:name="_Hlk164774502"/>
      <w:r>
        <w:rPr>
          <w:rFonts w:hint="eastAsia" w:ascii="宋体" w:hAnsi="宋体" w:cs="宋体"/>
          <w:b/>
          <w:bCs/>
          <w:sz w:val="32"/>
          <w:szCs w:val="32"/>
        </w:rPr>
        <w:t xml:space="preserve">采购人（甲方）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供应商（乙方）：</w:t>
      </w:r>
      <w:r>
        <w:rPr>
          <w:rFonts w:hint="eastAsia" w:ascii="宋体" w:hAnsi="宋体" w:cs="宋体"/>
          <w:b/>
          <w:bCs/>
          <w:sz w:val="32"/>
          <w:szCs w:val="32"/>
          <w:u w:val="single"/>
        </w:rPr>
        <w:t xml:space="preserve">       </w:t>
      </w:r>
      <w:bookmarkEnd w:id="109"/>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spacing w:line="360" w:lineRule="auto"/>
        <w:shd w:val="clear" w:color="auto" w:fill="ffffff"/>
        <w:widowControl/>
        <w:rPr>
          <w:rFonts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p>
    <w:p>
      <w:pPr>
        <w:ind w:firstLine="2984"/>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 </w:t>
      </w:r>
      <w:r/>
    </w:p>
    <w:p>
      <w:pPr>
        <w:jc w:val="center"/>
        <w:spacing w:line="360" w:lineRule="auto"/>
        <w:shd w:val="clear" w:color="auto" w:fill="ffffff"/>
        <w:widowControl/>
        <w:rPr>
          <w:rFonts w:ascii="宋体" w:hAnsi="宋体" w:cs="宋体"/>
          <w:sz w:val="24"/>
        </w:rPr>
      </w:pPr>
      <w:r>
        <w:rPr>
          <w:rFonts w:hint="eastAsia" w:ascii="宋体" w:hAnsi="宋体" w:cs="宋体"/>
          <w:sz w:val="24"/>
        </w:rPr>
        <w:br w:type="page" w:clear="all"/>
      </w:r>
      <w:bookmarkStart w:id="110" w:name="_Hlk44666747"/>
      <w:r/>
      <w:r/>
    </w:p>
    <w:p>
      <w:pPr>
        <w:spacing w:line="360" w:lineRule="auto"/>
        <w:shd w:val="clear" w:color="auto" w:fill="ffffff"/>
        <w:widowControl/>
        <w:rPr>
          <w:rFonts w:ascii="宋体" w:hAnsi="宋体" w:cs="宋体"/>
          <w:szCs w:val="21"/>
        </w:rPr>
      </w:pPr>
      <w:r>
        <w:rPr>
          <w:rFonts w:hint="eastAsia" w:ascii="宋体" w:hAnsi="宋体" w:cs="宋体"/>
          <w:szCs w:val="21"/>
        </w:rPr>
        <w:t xml:space="preserve">合同编号：</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政府采购计划号：</w:t>
      </w:r>
      <w:r/>
    </w:p>
    <w:p>
      <w:pPr>
        <w:jc w:val="center"/>
        <w:spacing w:line="360" w:lineRule="auto"/>
        <w:shd w:val="clear" w:color="auto" w:fill="ffffff"/>
        <w:widowControl/>
        <w:rPr>
          <w:rFonts w:ascii="宋体" w:hAnsi="宋体" w:cs="宋体"/>
          <w:szCs w:val="21"/>
        </w:rPr>
      </w:pPr>
      <w:r>
        <w:rPr>
          <w:rFonts w:hint="eastAsia" w:ascii="宋体" w:hAnsi="宋体" w:cs="宋体"/>
          <w:szCs w:val="21"/>
        </w:rPr>
        <w:t xml:space="preserve"> </w:t>
      </w:r>
      <w:r/>
    </w:p>
    <w:tbl>
      <w:tblPr>
        <w:tblStyle w:val="989"/>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住所地：</w:t>
            </w:r>
            <w:r/>
          </w:p>
        </w:tc>
      </w:tr>
    </w:tbl>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第一条合同标的</w:t>
      </w:r>
      <w:r>
        <w:rPr>
          <w:rFonts w:hint="eastAsia" w:ascii="宋体" w:hAnsi="宋体" w:cs="宋体"/>
          <w:szCs w:val="21"/>
        </w:rPr>
        <w:t xml:space="preserve"> </w:t>
      </w:r>
      <w:r/>
    </w:p>
    <w:p>
      <w:pPr>
        <w:ind w:firstLine="422"/>
        <w:spacing w:line="360" w:lineRule="auto"/>
        <w:shd w:val="clear" w:color="auto" w:fill="ffffff"/>
        <w:widowControl/>
        <w:rPr>
          <w:rFonts w:ascii="宋体" w:hAnsi="宋体" w:cs="宋体"/>
          <w:szCs w:val="21"/>
        </w:rPr>
      </w:pPr>
      <w:r>
        <w:rPr>
          <w:rFonts w:hint="eastAsia" w:ascii="宋体" w:hAnsi="宋体" w:cs="宋体"/>
          <w:szCs w:val="21"/>
        </w:rPr>
        <w:t xml:space="preserve">乙方根据甲方要求提供下列服务：</w:t>
      </w:r>
      <w:r>
        <w:rPr>
          <w:rFonts w:hint="eastAsia" w:ascii="宋体" w:hAnsi="宋体" w:cs="宋体"/>
          <w:szCs w:val="21"/>
          <w:u w:val="single"/>
        </w:rPr>
        <w:t xml:space="preserve">                 </w:t>
      </w:r>
      <w:r/>
    </w:p>
    <w:p>
      <w:pPr>
        <w:ind w:firstLine="422"/>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服务内容详见竞争性磋商文件及乙方响应性文件等。</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第二条合同总价款</w:t>
      </w:r>
      <w:r>
        <w:rPr>
          <w:rFonts w:hint="eastAsia" w:ascii="宋体" w:hAnsi="宋体" w:cs="宋体"/>
          <w:color w:val="auto"/>
          <w:szCs w:val="21"/>
        </w:rPr>
        <w:t xml:space="preserve"> </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本合同项下服务总价款（含税）为___________（大写）人民币（￥     （小写）），分项价款在“分项报价表”中有明确规定。</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甲方就本合同不再向乙方支付任何其他款项。 </w:t>
      </w:r>
      <w:r/>
    </w:p>
    <w:p>
      <w:pPr>
        <w:ind w:firstLine="413"/>
        <w:spacing w:line="360" w:lineRule="auto"/>
        <w:shd w:val="clear" w:color="auto" w:fill="ffffff"/>
        <w:widowControl/>
        <w:rPr>
          <w:rFonts w:ascii="宋体" w:hAnsi="宋体" w:cs="宋体"/>
          <w:szCs w:val="21"/>
        </w:rPr>
      </w:pPr>
      <w:r>
        <w:rPr>
          <w:rFonts w:hint="eastAsia" w:ascii="宋体" w:hAnsi="宋体" w:cs="宋体"/>
          <w:b/>
          <w:bCs/>
          <w:szCs w:val="21"/>
        </w:rPr>
        <w:t xml:space="preserve">第三条 组成本合同的有关文件</w:t>
      </w:r>
      <w:r/>
    </w:p>
    <w:p>
      <w:pPr>
        <w:ind w:firstLine="411"/>
        <w:spacing w:line="360" w:lineRule="auto"/>
        <w:shd w:val="clear" w:color="auto" w:fill="ffffff"/>
        <w:widowControl/>
        <w:rPr>
          <w:rFonts w:ascii="宋体" w:hAnsi="宋体" w:cs="宋体"/>
          <w:szCs w:val="21"/>
        </w:rPr>
      </w:pPr>
      <w:r>
        <w:rPr>
          <w:rFonts w:hint="eastAsia" w:ascii="宋体" w:hAnsi="宋体" w:cs="宋体"/>
          <w:szCs w:val="21"/>
        </w:rPr>
        <w:t xml:space="preserve">竞争性磋商文件和有关附件</w:t>
      </w:r>
      <w:r>
        <w:rPr>
          <w:rFonts w:hint="eastAsia" w:ascii="宋体" w:hAnsi="宋体" w:cs="宋体"/>
          <w:szCs w:val="21"/>
          <w:lang w:eastAsia="zh-CN"/>
        </w:rPr>
        <w:t xml:space="preserve">、乙方提供的响应文件、成交通知书</w:t>
      </w:r>
      <w:r>
        <w:rPr>
          <w:rFonts w:hint="eastAsia" w:ascii="宋体" w:hAnsi="宋体" w:cs="宋体"/>
          <w:szCs w:val="21"/>
        </w:rPr>
        <w:t xml:space="preserve">是本合同不可分割的组成部分，与本合同具有同等法律效力。</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第四条 权利保证</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第五条 质量保证</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乙方提供的服务必须全部达到竞争性磋商文件各项要求，国家或行业有规定的，还要符合相应规定。</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第六条 交付使用和验收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1.乙方应当在甲方规定的时间内完成竞争性磋商文件规定的项目并交付甲方使用，不得影响项目的进度计划。竞争性磋商文件有约定的，从其约定。</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2.甲方自行组织或视情邀请相关专家或国家认可的质量检测机构参加验收，乙方提供的服务不符合竞争性磋商文件和合同规定的，甲方有权拒收，乙方承担验收费用等。</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3.合同履行期限：</w:t>
      </w:r>
      <w:r>
        <w:rPr>
          <w:rFonts w:hint="eastAsia" w:ascii="宋体" w:hAnsi="宋体" w:cs="宋体"/>
          <w:bCs/>
          <w:szCs w:val="21"/>
        </w:rPr>
        <w:t xml:space="preserve">自合同签订后</w:t>
      </w:r>
      <w:r>
        <w:rPr>
          <w:rFonts w:hint="eastAsia" w:ascii="宋体" w:hAnsi="宋体" w:cs="宋体"/>
          <w:bCs/>
          <w:szCs w:val="21"/>
          <w:lang w:val="en-US" w:eastAsia="zh-CN"/>
        </w:rPr>
        <w:t xml:space="preserve">365天</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第七条 合同款支付</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1.本合同项下所有款项均以人民币支付。</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2.本合同项下的采购资金由甲方自行支付，乙方向甲方开具发票。</w:t>
      </w:r>
      <w:r/>
    </w:p>
    <w:p>
      <w:pPr>
        <w:ind w:firstLine="480"/>
        <w:jc w:val="left"/>
        <w:spacing w:line="360" w:lineRule="auto"/>
        <w:rPr>
          <w:rFonts w:hint="eastAsia" w:ascii="宋体" w:hAnsi="宋体" w:cs="宋体"/>
          <w:szCs w:val="21"/>
        </w:rPr>
      </w:pPr>
      <w:r>
        <w:rPr>
          <w:rFonts w:hint="eastAsia" w:ascii="宋体" w:hAnsi="宋体" w:cs="宋体"/>
          <w:szCs w:val="21"/>
        </w:rPr>
        <w:t xml:space="preserve">3.付款方式：</w:t>
      </w:r>
      <w:r/>
    </w:p>
    <w:p>
      <w:pPr>
        <w:ind w:firstLine="480"/>
        <w:jc w:val="left"/>
        <w:spacing w:line="360" w:lineRule="auto"/>
        <w:rPr>
          <w:rFonts w:ascii="宋体" w:hAnsi="宋体" w:cs="宋体"/>
          <w:szCs w:val="21"/>
        </w:rPr>
      </w:pPr>
      <w:r>
        <w:rPr>
          <w:rFonts w:hint="eastAsia" w:ascii="宋体" w:hAnsi="宋体" w:cs="宋体"/>
          <w:szCs w:val="21"/>
        </w:rPr>
        <w:t xml:space="preserve">（1）预付款：在本合同签订且财政预算资金下达后，采购人向成交供应商支付本合同总额的50%。</w:t>
      </w:r>
      <w:r/>
    </w:p>
    <w:p>
      <w:pPr>
        <w:ind w:firstLine="480"/>
        <w:jc w:val="left"/>
        <w:spacing w:line="360" w:lineRule="auto"/>
        <w:rPr>
          <w:rFonts w:ascii="宋体" w:hAnsi="宋体" w:cs="宋体"/>
          <w:szCs w:val="21"/>
        </w:rPr>
      </w:pPr>
      <w:r>
        <w:rPr>
          <w:rFonts w:hint="eastAsia" w:ascii="宋体" w:hAnsi="宋体" w:cs="宋体"/>
          <w:szCs w:val="21"/>
        </w:rPr>
        <w:t xml:space="preserve">（2）尾款：在完成各个系统的运维服务质量考核验收后，且财政预算资金下达后，采购人向成交供应商支付合同尾款。</w:t>
      </w:r>
      <w:r/>
    </w:p>
    <w:p>
      <w:pPr>
        <w:ind w:firstLine="480"/>
        <w:jc w:val="left"/>
        <w:spacing w:line="360" w:lineRule="auto"/>
        <w:rPr>
          <w:rFonts w:ascii="宋体" w:hAnsi="宋体" w:cs="宋体"/>
          <w:szCs w:val="21"/>
        </w:rPr>
      </w:pPr>
      <w:r>
        <w:rPr>
          <w:rFonts w:hint="eastAsia" w:ascii="宋体" w:hAnsi="宋体" w:cs="宋体"/>
          <w:szCs w:val="21"/>
        </w:rPr>
        <w:t xml:space="preserve">（3）满足合同约定支付条件的，采购人在收到成交供应商发票后</w:t>
      </w:r>
      <w:r>
        <w:rPr>
          <w:rFonts w:hint="eastAsia" w:ascii="宋体" w:hAnsi="宋体" w:cs="宋体"/>
          <w:szCs w:val="21"/>
          <w:lang w:val="en-US" w:eastAsia="zh-CN"/>
        </w:rPr>
        <w:t xml:space="preserve">15</w:t>
      </w:r>
      <w:r>
        <w:rPr>
          <w:rFonts w:hint="eastAsia" w:ascii="宋体" w:hAnsi="宋体" w:cs="宋体"/>
          <w:szCs w:val="21"/>
        </w:rPr>
        <w:t xml:space="preserve">个工作日内，将资金支付到合同约定的成交供应商账户。乙方未按要求提供发票的，甲方有权拒绝付款。</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第八条 违约责任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乙方未按合同约定的时间和标准</w:t>
      </w:r>
      <w:r>
        <w:rPr>
          <w:rFonts w:hint="eastAsia" w:ascii="宋体" w:hAnsi="宋体" w:cs="宋体"/>
          <w:szCs w:val="21"/>
          <w:lang w:val="en-US" w:eastAsia="zh-CN"/>
        </w:rPr>
        <w:t xml:space="preserve">要求</w:t>
      </w:r>
      <w:r>
        <w:rPr>
          <w:rFonts w:hint="eastAsia" w:ascii="宋体" w:hAnsi="宋体" w:cs="宋体"/>
          <w:szCs w:val="21"/>
        </w:rPr>
        <w:t xml:space="preserve">提供服务，但未给甲方造成损失的，甲方可要求乙方整改，乙方在双方协定期限内达到甲方或第三方评估机构认定的标准后，甲方应支付相应的服务费用；否则，甲方有权解除本合同。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乙方未按合同约定的时间和标准</w:t>
      </w:r>
      <w:r>
        <w:rPr>
          <w:rFonts w:hint="eastAsia" w:ascii="宋体" w:hAnsi="宋体" w:cs="宋体"/>
          <w:szCs w:val="21"/>
          <w:lang w:val="en-US" w:eastAsia="zh-CN"/>
        </w:rPr>
        <w:t xml:space="preserve">要求</w:t>
      </w:r>
      <w:r>
        <w:rPr>
          <w:rFonts w:hint="eastAsia" w:ascii="宋体" w:hAnsi="宋体" w:cs="宋体"/>
          <w:szCs w:val="21"/>
        </w:rPr>
        <w:t xml:space="preserve">提供服务，给甲方造成损失的，甲方可要求乙方按实赔偿；因乙方服务质量问题导致甲方无法实现合同目的的，甲方有权解除合同。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乙方有下列情形之一的，甲方有权单方解除合同：</w:t>
      </w:r>
      <w:r>
        <w:rPr>
          <w:rFonts w:hint="default" w:ascii="Calibri" w:hAnsi="Calibri" w:cs="Calibri"/>
          <w:szCs w:val="21"/>
        </w:rPr>
        <w:t xml:space="preserve">①</w:t>
      </w:r>
      <w:r>
        <w:rPr>
          <w:rFonts w:hint="eastAsia" w:ascii="宋体" w:hAnsi="宋体" w:cs="宋体"/>
          <w:szCs w:val="21"/>
        </w:rPr>
        <w:t xml:space="preserve">乙方的履约情况经甲方验收不合格的，经2次以上修正或调整，仍然不符合甲方的要求或合同的约定；</w:t>
      </w:r>
      <w:r>
        <w:rPr>
          <w:rFonts w:hint="default" w:ascii="Calibri" w:hAnsi="Calibri" w:cs="Calibri"/>
          <w:szCs w:val="21"/>
        </w:rPr>
        <w:t xml:space="preserve">②</w:t>
      </w:r>
      <w:r>
        <w:rPr>
          <w:rFonts w:hint="eastAsia" w:ascii="宋体" w:hAnsi="宋体" w:cs="宋体"/>
          <w:szCs w:val="21"/>
        </w:rPr>
        <w:t xml:space="preserve">侵犯第三人合法权益的；</w:t>
      </w:r>
      <w:r>
        <w:rPr>
          <w:rFonts w:hint="default" w:ascii="Calibri" w:hAnsi="Calibri" w:cs="Calibri"/>
          <w:szCs w:val="21"/>
        </w:rPr>
        <w:t xml:space="preserve">③</w:t>
      </w:r>
      <w:r>
        <w:rPr>
          <w:rFonts w:hint="eastAsia" w:ascii="宋体" w:hAnsi="宋体" w:cs="宋体"/>
          <w:szCs w:val="21"/>
        </w:rPr>
        <w:t xml:space="preserve">未履行合同信息保密和使用约定的；</w:t>
      </w:r>
      <w:r>
        <w:rPr>
          <w:rFonts w:hint="eastAsia" w:ascii="宋体" w:hAnsi="宋体" w:eastAsia="宋体" w:cs="宋体"/>
          <w:szCs w:val="21"/>
        </w:rPr>
        <w:t xml:space="preserve">④</w:t>
      </w:r>
      <w:r>
        <w:rPr>
          <w:rFonts w:hint="eastAsia" w:ascii="宋体" w:hAnsi="宋体" w:cs="宋体"/>
          <w:szCs w:val="21"/>
        </w:rPr>
        <w:t xml:space="preserve">乙方擅自部分或全部转让其应履行的合同义务；</w:t>
      </w:r>
      <w:r>
        <w:rPr>
          <w:rFonts w:hint="eastAsia" w:ascii="宋体" w:hAnsi="宋体" w:eastAsia="宋体" w:cs="宋体"/>
          <w:szCs w:val="21"/>
        </w:rPr>
        <w:t xml:space="preserve">⑤</w:t>
      </w:r>
      <w:r>
        <w:rPr>
          <w:rFonts w:hint="eastAsia" w:ascii="宋体" w:hAnsi="宋体" w:cs="宋体"/>
          <w:szCs w:val="21"/>
        </w:rPr>
        <w:t xml:space="preserve">未履行本合同约定其他义务，经甲方催告后7日内，仍未整改的。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甲方依法律规定或本合同约定单方解除合同的或合同终止后，乙方应退还已收取的全部款项，同时应按合同总价款的</w:t>
      </w:r>
      <w:r>
        <w:rPr>
          <w:rFonts w:hint="eastAsia" w:ascii="宋体" w:hAnsi="宋体" w:cs="宋体"/>
          <w:szCs w:val="21"/>
          <w:lang w:val="en-US" w:eastAsia="zh-CN"/>
        </w:rPr>
        <w:t xml:space="preserve">3</w:t>
      </w:r>
      <w:r>
        <w:rPr>
          <w:rFonts w:hint="eastAsia" w:ascii="宋体" w:hAnsi="宋体" w:cs="宋体"/>
          <w:szCs w:val="21"/>
        </w:rPr>
        <w:t xml:space="preserve">0%向甲方支付违约金，给甲方造成损失的，还应赔偿全部损失，包括但不限于赔偿金、罚款、诉讼费、保全费、评估费、调查费、律师费等。</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乙方虚假承诺，或经权威部门检测提供的货物或服务不能满足竞争性磋商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第九条 合同的变更和终止</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第十条 合同的转让</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乙方不得擅自部分或全部转让其应履行的合同义务。</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第十一条 争议的解决</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1.因履行本合同引起的或与本合同有关的争议，甲、乙双方应首先通过友好协商解决，如果协商不能解决争议，则采取以下第（1）种方式解决争议：</w:t>
      </w:r>
      <w:r/>
    </w:p>
    <w:p>
      <w:pPr>
        <w:ind w:firstLine="560"/>
        <w:jc w:val="left"/>
        <w:spacing w:line="360" w:lineRule="auto"/>
        <w:shd w:val="clear" w:color="auto" w:fill="ffffff"/>
        <w:widowControl/>
        <w:rPr>
          <w:rFonts w:ascii="宋体" w:hAnsi="宋体" w:cs="宋体"/>
          <w:szCs w:val="21"/>
        </w:rPr>
      </w:pPr>
      <w:r>
        <w:rPr>
          <w:rFonts w:hint="eastAsia" w:ascii="宋体" w:hAnsi="宋体" w:cs="宋体"/>
          <w:szCs w:val="21"/>
        </w:rPr>
        <w:t xml:space="preserve">（1）向甲方所在地有管辖权的人民法院提起诉讼；</w:t>
      </w:r>
      <w:r/>
    </w:p>
    <w:p>
      <w:pPr>
        <w:ind w:firstLine="560"/>
        <w:jc w:val="left"/>
        <w:spacing w:line="360" w:lineRule="auto"/>
        <w:shd w:val="clear" w:color="auto" w:fill="ffffff"/>
        <w:widowControl/>
        <w:rPr>
          <w:rFonts w:ascii="宋体" w:hAnsi="宋体" w:cs="宋体"/>
          <w:szCs w:val="21"/>
        </w:rPr>
      </w:pPr>
      <w:r>
        <w:rPr>
          <w:rFonts w:hint="eastAsia" w:ascii="宋体" w:hAnsi="宋体" w:cs="宋体"/>
          <w:szCs w:val="21"/>
        </w:rPr>
        <w:t xml:space="preserve">（2）向南京仲裁委员会按其仲裁规则申请仲裁。</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2.在诉讼期间，本合同应继续履行。</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第十二条 诚实信用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乙方应诚实信用，严格按照竞争性磋商文件要求和承诺履行合同，不向甲方进行商业贿赂或者提供不正当利益。</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第十三条 合同生效及其他</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1.本合同自双方签字盖章之日起生效。</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2.本合同一式四份，甲乙双方各执两份，扫描件发采购代理机构存档。</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3.本合同应按照中华人民共和国的现行法律进行解释。</w:t>
      </w:r>
      <w:r/>
    </w:p>
    <w:p>
      <w:pPr>
        <w:ind w:firstLine="420"/>
        <w:jc w:val="left"/>
        <w:spacing w:line="360" w:lineRule="auto"/>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cs="宋体"/>
          <w:szCs w:val="21"/>
        </w:rPr>
        <w:t xml:space="preserve">本合同所需或所确定的所有通知、要求或其他通讯应以书面形式，通过亲自派送、特快专递、电子邮箱可按合同约定或签署盖章信息中所列（或此后重新书面指定）的信息传送，签署栏的信息也是法院送达邮寄法律文书的法定送达地址。一方若需变更通讯地址，应当及时通知对方。因接受方或其签收人原因导致接受方没有收到送达文件的，视为已送达。任何通知、要求或通讯若以传真方式或电子邮件传送，将视为立即送达。</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（以下无正文）</w:t>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tbl>
      <w:tblPr>
        <w:tblStyle w:val="989"/>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zh-CN"/>
              </w:rPr>
              <w:t xml:space="preserve">法定代表人或委托代理人</w:t>
            </w:r>
            <w:r>
              <w:rPr>
                <w:rFonts w:hint="eastAsia" w:ascii="宋体" w:hAnsi="宋体" w:cs="宋体"/>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zh-CN"/>
              </w:rPr>
              <w:t xml:space="preserve">法定代表人或委托代理人</w:t>
            </w:r>
            <w:r>
              <w:rPr>
                <w:rFonts w:hint="eastAsia" w:ascii="宋体" w:hAnsi="宋体" w:cs="宋体"/>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账</w:t>
            </w:r>
            <w:r>
              <w:rPr>
                <w:rFonts w:hint="eastAsia" w:ascii="宋体" w:hAnsi="宋体" w:cs="宋体"/>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账</w:t>
            </w:r>
            <w:r>
              <w:rPr>
                <w:rFonts w:hint="eastAsia" w:ascii="宋体" w:hAnsi="宋体" w:cs="宋体"/>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日期： 年 月 日</w:t>
            </w:r>
            <w:r/>
          </w:p>
        </w:tc>
      </w:tr>
    </w:tbl>
    <w:p>
      <w:pPr>
        <w:jc w:val="left"/>
        <w:spacing w:line="360" w:lineRule="auto"/>
        <w:widowControl/>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hint="eastAsia" w:ascii="宋体" w:hAnsi="宋体" w:cs="宋体"/>
          <w:b/>
          <w:bCs/>
          <w:szCs w:val="21"/>
          <w:lang w:val="zh-CN"/>
        </w:rPr>
        <w:br w:type="page" w:clear="all"/>
      </w:r>
      <w:r/>
    </w:p>
    <w:p>
      <w:pPr>
        <w:pStyle w:val="979"/>
        <w:numPr>
          <w:ilvl w:val="0"/>
          <w:numId w:val="0"/>
        </w:numPr>
        <w:rPr>
          <w:rFonts w:ascii="宋体" w:hAnsi="宋体" w:cs="宋体"/>
        </w:rPr>
      </w:pPr>
      <w:r/>
      <w:bookmarkStart w:id="111" w:name="_Toc67494811"/>
      <w:r/>
      <w:bookmarkStart w:id="112" w:name="_Toc176878664"/>
      <w:r>
        <w:rPr>
          <w:rFonts w:hint="eastAsia" w:ascii="宋体" w:hAnsi="宋体" w:cs="宋体"/>
        </w:rPr>
        <w:t xml:space="preserve">第六章 </w:t>
      </w:r>
      <w:bookmarkStart w:id="113" w:name="_Hlk176528087"/>
      <w:r>
        <w:rPr>
          <w:rFonts w:hint="eastAsia" w:ascii="宋体" w:hAnsi="宋体" w:cs="宋体"/>
        </w:rPr>
        <w:t xml:space="preserve">响应文件格式</w:t>
      </w:r>
      <w:bookmarkEnd w:id="108"/>
      <w:r/>
      <w:bookmarkEnd w:id="111"/>
      <w:r/>
      <w:bookmarkEnd w:id="112"/>
      <w:r/>
      <w:bookmarkEnd w:id="113"/>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b/>
          <w:bCs/>
          <w:sz w:val="20"/>
          <w:szCs w:val="20"/>
        </w:rPr>
      </w:pPr>
      <w:r>
        <w:rPr>
          <w:rFonts w:ascii="宋体" w:hAnsi="宋体" w:cs="宋体"/>
          <w:b/>
          <w:bCs/>
          <w:sz w:val="20"/>
          <w:szCs w:val="20"/>
        </w:rPr>
      </w:r>
      <w:r/>
    </w:p>
    <w:p>
      <w:pPr>
        <w:jc w:val="cente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jc w:val="center"/>
        <w:rPr>
          <w:rFonts w:ascii="宋体" w:hAnsi="宋体" w:cs="宋体"/>
          <w:b/>
          <w:bCs/>
          <w:sz w:val="52"/>
          <w:szCs w:val="52"/>
        </w:rPr>
      </w:pPr>
      <w:r>
        <w:rPr>
          <w:rFonts w:hint="eastAsia" w:ascii="宋体" w:hAnsi="宋体" w:cs="宋体"/>
          <w:b/>
          <w:bCs/>
          <w:sz w:val="52"/>
          <w:szCs w:val="52"/>
        </w:rPr>
        <w:t xml:space="preserve">响应文件</w:t>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ind w:firstLine="1084"/>
        <w:rPr>
          <w:rFonts w:ascii="宋体" w:hAnsi="宋体" w:cs="宋体"/>
          <w:b/>
          <w:sz w:val="32"/>
          <w:szCs w:val="32"/>
        </w:rPr>
      </w:pPr>
      <w:r/>
      <w:bookmarkStart w:id="114" w:name="_Hlk176528118"/>
      <w:r>
        <w:rPr>
          <w:rFonts w:hint="eastAsia" w:ascii="宋体" w:hAnsi="宋体" w:cs="宋体"/>
          <w:b/>
          <w:sz w:val="32"/>
          <w:szCs w:val="32"/>
        </w:rPr>
        <w:t xml:space="preserve">项 目 名 称：</w:t>
      </w:r>
      <w:r>
        <w:rPr>
          <w:rFonts w:hint="eastAsia" w:ascii="宋体" w:hAnsi="宋体" w:cs="宋体"/>
          <w:b/>
          <w:sz w:val="32"/>
          <w:szCs w:val="32"/>
          <w:u w:val="single"/>
        </w:rPr>
        <w:t xml:space="preserve">                   </w:t>
      </w:r>
      <w:r/>
    </w:p>
    <w:p>
      <w:pPr>
        <w:ind w:firstLine="1084"/>
        <w:rPr>
          <w:rFonts w:ascii="宋体" w:hAnsi="宋体" w:cs="宋体"/>
          <w:b/>
          <w:sz w:val="32"/>
          <w:szCs w:val="32"/>
          <w:u w:val="single"/>
        </w:rPr>
      </w:pPr>
      <w:r>
        <w:rPr>
          <w:rFonts w:hint="eastAsia" w:ascii="宋体" w:hAnsi="宋体" w:cs="宋体"/>
          <w:b/>
          <w:sz w:val="32"/>
          <w:szCs w:val="32"/>
        </w:rPr>
        <w:t xml:space="preserve">项 目 编 号：</w:t>
      </w:r>
      <w:r>
        <w:rPr>
          <w:rFonts w:hint="eastAsia" w:ascii="宋体" w:hAnsi="宋体" w:cs="宋体"/>
          <w:b/>
          <w:sz w:val="32"/>
          <w:szCs w:val="32"/>
          <w:u w:val="single"/>
        </w:rPr>
        <w:t xml:space="preserve">                   </w:t>
      </w:r>
      <w:r/>
    </w:p>
    <w:p>
      <w:pPr>
        <w:rPr>
          <w:rFonts w:ascii="宋体" w:hAnsi="宋体" w:cs="宋体"/>
          <w:b/>
          <w:sz w:val="32"/>
          <w:szCs w:val="32"/>
          <w:u w:val="single"/>
        </w:rPr>
      </w:pPr>
      <w:r>
        <w:rPr>
          <w:rFonts w:hint="eastAsia" w:ascii="宋体" w:hAnsi="宋体" w:cs="宋体"/>
          <w:b/>
          <w:sz w:val="32"/>
          <w:szCs w:val="32"/>
        </w:rPr>
        <w:t xml:space="preserve">       供应商名称 ：</w:t>
      </w:r>
      <w:bookmarkStart w:id="115" w:name="OLE_LINK1"/>
      <w:r>
        <w:rPr>
          <w:rFonts w:hint="eastAsia" w:ascii="宋体" w:hAnsi="宋体" w:cs="宋体"/>
          <w:b/>
          <w:sz w:val="32"/>
          <w:szCs w:val="32"/>
          <w:u w:val="single"/>
        </w:rPr>
        <w:t xml:space="preserve">（加盖电子公章）</w:t>
      </w:r>
      <w:bookmarkEnd w:id="115"/>
      <w:r>
        <w:rPr>
          <w:rFonts w:hint="eastAsia" w:ascii="宋体" w:hAnsi="宋体" w:cs="宋体"/>
          <w:b/>
          <w:sz w:val="32"/>
          <w:szCs w:val="32"/>
          <w:u w:val="single"/>
        </w:rPr>
        <w:t xml:space="preserve">   </w:t>
      </w:r>
      <w:r/>
    </w:p>
    <w:p>
      <w:pPr>
        <w:rPr>
          <w:rFonts w:ascii="宋体" w:hAnsi="宋体" w:cs="宋体"/>
          <w:b/>
          <w:sz w:val="32"/>
          <w:szCs w:val="32"/>
          <w:u w:val="single"/>
        </w:rPr>
      </w:pPr>
      <w:r>
        <w:rPr>
          <w:rFonts w:hint="eastAsia" w:ascii="宋体" w:hAnsi="宋体" w:cs="宋体"/>
          <w:b/>
          <w:sz w:val="32"/>
          <w:szCs w:val="32"/>
        </w:rPr>
        <w:t xml:space="preserve">       日      期 ：</w:t>
      </w:r>
      <w:r>
        <w:rPr>
          <w:rFonts w:hint="eastAsia" w:ascii="宋体" w:hAnsi="宋体" w:cs="宋体"/>
          <w:b/>
          <w:sz w:val="32"/>
          <w:szCs w:val="32"/>
          <w:u w:val="single"/>
        </w:rPr>
        <w:t xml:space="preserve">                   </w:t>
      </w:r>
      <w:bookmarkEnd w:id="114"/>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rPr>
          <w:rFonts w:ascii="宋体" w:hAnsi="宋体" w:cs="宋体"/>
        </w:rPr>
      </w:pPr>
      <w:r/>
      <w:bookmarkStart w:id="116" w:name="_Toc43917771"/>
      <w:r/>
      <w:bookmarkStart w:id="117" w:name="_Toc43994934"/>
      <w:r>
        <w:rPr>
          <w:rFonts w:hint="eastAsia" w:ascii="宋体" w:hAnsi="宋体" w:cs="宋体"/>
        </w:rPr>
        <w:br w:type="page" w:clear="all"/>
      </w:r>
      <w:r/>
    </w:p>
    <w:p>
      <w:pPr>
        <w:pStyle w:val="980"/>
        <w:numPr>
          <w:ilvl w:val="0"/>
          <w:numId w:val="0"/>
        </w:numPr>
        <w:rPr>
          <w:rFonts w:ascii="宋体" w:hAnsi="宋体" w:cs="宋体"/>
        </w:rPr>
      </w:pPr>
      <w:r>
        <w:rPr>
          <w:rFonts w:hint="eastAsia" w:ascii="宋体" w:hAnsi="宋体" w:cs="宋体"/>
        </w:rPr>
        <w:t xml:space="preserve">附件一、</w:t>
      </w:r>
      <w:bookmarkEnd w:id="116"/>
      <w:r>
        <w:rPr>
          <w:rFonts w:hint="eastAsia" w:ascii="宋体" w:hAnsi="宋体" w:cs="宋体"/>
        </w:rPr>
        <w:t xml:space="preserve">竞争性磋商响应函</w:t>
      </w:r>
      <w:bookmarkEnd w:id="117"/>
      <w:r/>
      <w:r/>
    </w:p>
    <w:p>
      <w:pPr>
        <w:jc w:val="center"/>
        <w:spacing w:line="360" w:lineRule="auto"/>
        <w:shd w:val="clear" w:color="auto" w:fill="ffffff"/>
        <w:widowControl/>
        <w:rPr>
          <w:rFonts w:ascii="宋体" w:hAnsi="宋体" w:cs="宋体"/>
          <w:b/>
          <w:sz w:val="32"/>
          <w:szCs w:val="32"/>
        </w:rPr>
      </w:pPr>
      <w:r>
        <w:rPr>
          <w:rFonts w:hint="eastAsia" w:ascii="宋体" w:hAnsi="宋体" w:cs="宋体"/>
          <w:b/>
          <w:sz w:val="32"/>
          <w:szCs w:val="32"/>
        </w:rPr>
        <w:t xml:space="preserve">竞争性磋商</w:t>
      </w:r>
      <w:bookmarkStart w:id="118" w:name="OLE_LINK11"/>
      <w:r>
        <w:rPr>
          <w:rFonts w:hint="eastAsia" w:ascii="宋体" w:hAnsi="宋体" w:cs="宋体"/>
          <w:b/>
          <w:sz w:val="32"/>
          <w:szCs w:val="32"/>
        </w:rPr>
        <w:t xml:space="preserve">响应函</w:t>
      </w:r>
      <w:bookmarkEnd w:id="118"/>
      <w:r/>
      <w:r/>
    </w:p>
    <w:p>
      <w:pPr>
        <w:spacing w:line="360" w:lineRule="auto"/>
        <w:shd w:val="clear" w:color="auto" w:fill="ffffff"/>
        <w:widowControl/>
        <w:rPr>
          <w:rFonts w:ascii="宋体" w:hAnsi="宋体" w:cs="宋体"/>
          <w:szCs w:val="21"/>
        </w:rPr>
      </w:pPr>
      <w:r>
        <w:rPr>
          <w:rFonts w:hint="eastAsia" w:ascii="宋体" w:hAnsi="宋体" w:cs="宋体"/>
          <w:szCs w:val="21"/>
        </w:rPr>
        <w:t xml:space="preserve">致：</w:t>
      </w:r>
      <w:r>
        <w:rPr>
          <w:rFonts w:hint="eastAsia" w:ascii="宋体" w:hAnsi="宋体" w:cs="宋体"/>
          <w:bCs/>
          <w:szCs w:val="21"/>
        </w:rPr>
        <w:t xml:space="preserve">南京市应急管理局</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江苏国采工程咨询有限公司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 </w:t>
      </w:r>
      <w:r>
        <w:rPr>
          <w:rFonts w:hint="eastAsia" w:ascii="宋体" w:hAnsi="宋体" w:cs="宋体"/>
          <w:b/>
          <w:szCs w:val="21"/>
          <w:u w:val="single"/>
          <w:lang w:val="zh-CN"/>
        </w:rPr>
        <w:t xml:space="preserve">         </w:t>
      </w:r>
      <w:r>
        <w:rPr>
          <w:rFonts w:hint="eastAsia" w:ascii="宋体" w:hAnsi="宋体" w:cs="宋体"/>
          <w:szCs w:val="21"/>
          <w:lang w:val="zh-CN"/>
        </w:rPr>
        <w:t xml:space="preserve">（项目编号）竞争性磋商公告，正式授权</w:t>
      </w:r>
      <w:r>
        <w:rPr>
          <w:rFonts w:hint="eastAsia" w:ascii="宋体" w:hAnsi="宋体" w:cs="宋体"/>
          <w:szCs w:val="21"/>
          <w:u w:val="single"/>
          <w:lang w:val="zh-CN"/>
        </w:rPr>
        <w:t xml:space="preserve">                   (姓名和职务)</w:t>
      </w:r>
      <w:r>
        <w:rPr>
          <w:rFonts w:hint="eastAsia" w:ascii="宋体" w:hAnsi="宋体" w:cs="宋体"/>
          <w:szCs w:val="21"/>
          <w:lang w:val="zh-CN"/>
        </w:rPr>
        <w:t xml:space="preserve">代表</w:t>
      </w:r>
      <w:r>
        <w:rPr>
          <w:rFonts w:hint="eastAsia" w:ascii="宋体" w:hAnsi="宋体" w:cs="宋体"/>
          <w:szCs w:val="21"/>
          <w:u w:val="single"/>
          <w:lang w:val="zh-CN"/>
        </w:rPr>
        <w:t xml:space="preserve">                        </w:t>
      </w:r>
      <w:r>
        <w:rPr>
          <w:rFonts w:hint="eastAsia" w:ascii="宋体" w:hAnsi="宋体" w:cs="宋体"/>
          <w:szCs w:val="21"/>
          <w:lang w:val="zh-CN"/>
        </w:rPr>
        <w:t xml:space="preserve">（供应商名称），提交响应性文件并参加磋商。</w:t>
      </w:r>
      <w:r/>
    </w:p>
    <w:p>
      <w:pPr>
        <w:ind w:firstLine="420"/>
        <w:spacing w:line="360" w:lineRule="auto"/>
        <w:rPr>
          <w:rFonts w:ascii="宋体" w:hAnsi="宋体" w:cs="宋体"/>
          <w:szCs w:val="21"/>
        </w:rPr>
      </w:pPr>
      <w:r>
        <w:rPr>
          <w:rFonts w:hint="eastAsia" w:ascii="宋体" w:hAnsi="宋体" w:cs="宋体"/>
          <w:szCs w:val="21"/>
        </w:rPr>
        <w:t xml:space="preserve">据此函，我公司兹宣布同意如下内容：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1.按竞争性磋商文件规定的各项要求，向采购人提供所需货物或服务。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2.我们已详细审核全部采购文件及其有效补充文件。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3.我们同意从规定的开标日期起遵循本响应文件，并在规定的投标有效期期满之前均具有约束力。</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5.一旦我方成交，我方将根据竞争性磋商文件的规定，严格履行合同的责任和义务，并保证在竞争性磋商文件规定的时间完成项目，交付采购人验收、使用。</w:t>
      </w:r>
      <w:r/>
    </w:p>
    <w:p>
      <w:pPr>
        <w:ind w:firstLine="420"/>
        <w:spacing w:line="360" w:lineRule="auto"/>
        <w:rPr>
          <w:rFonts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宋体" w:hAnsi="宋体" w:cs="宋体"/>
          <w:szCs w:val="21"/>
        </w:rPr>
      </w:pPr>
      <w:r>
        <w:rPr>
          <w:rFonts w:hint="eastAsia" w:ascii="宋体" w:hAnsi="宋体" w:cs="宋体"/>
          <w:szCs w:val="21"/>
        </w:rPr>
        <w:t xml:space="preserve">7.我方正式通讯方式为：</w:t>
      </w:r>
      <w:r/>
    </w:p>
    <w:p>
      <w:pPr>
        <w:ind w:firstLine="420"/>
        <w:spacing w:line="360" w:lineRule="auto"/>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8.我方正式开户银行和账号为：</w:t>
      </w:r>
      <w:r/>
    </w:p>
    <w:p>
      <w:pPr>
        <w:ind w:firstLine="420"/>
        <w:spacing w:line="360" w:lineRule="auto"/>
        <w:rPr>
          <w:rFonts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账    号：</w:t>
      </w:r>
      <w:r>
        <w:rPr>
          <w:rFonts w:hint="eastAsia" w:ascii="宋体" w:hAnsi="宋体" w:cs="宋体"/>
          <w:szCs w:val="21"/>
          <w:u w:val="single"/>
        </w:rPr>
        <w:t xml:space="preserve">                       </w:t>
      </w:r>
      <w:r/>
    </w:p>
    <w:p>
      <w:pPr>
        <w:ind w:firstLine="420"/>
        <w:jc w:val="left"/>
        <w:spacing w:line="360" w:lineRule="auto"/>
        <w:rPr>
          <w:rFonts w:ascii="宋体" w:hAnsi="宋体" w:cs="宋体"/>
          <w:bCs/>
          <w:szCs w:val="21"/>
        </w:rPr>
      </w:pPr>
      <w:r>
        <w:rPr>
          <w:rFonts w:hint="eastAsia" w:ascii="宋体" w:hAnsi="宋体" w:cs="宋体"/>
          <w:szCs w:val="21"/>
        </w:rPr>
        <w:t xml:space="preserve">9.</w:t>
      </w:r>
      <w:r>
        <w:rPr>
          <w:rFonts w:hint="eastAsia" w:ascii="宋体" w:hAnsi="宋体" w:cs="宋体"/>
          <w:bCs/>
          <w:szCs w:val="21"/>
        </w:rPr>
        <w:t xml:space="preserve">我方具有独立承担民事责任的能力（法人或其他组织提供营业执照，自然人提供身份证明）。</w:t>
      </w:r>
      <w:r/>
    </w:p>
    <w:p>
      <w:pPr>
        <w:ind w:firstLine="422"/>
        <w:jc w:val="center"/>
        <w:spacing w:line="360" w:lineRule="auto"/>
        <w:rPr>
          <w:rFonts w:ascii="宋体" w:hAnsi="宋体" w:cs="宋体"/>
          <w:b/>
          <w:szCs w:val="21"/>
        </w:rPr>
      </w:pPr>
      <w:r>
        <w:rPr>
          <w:rFonts w:hint="eastAsia" w:ascii="宋体" w:hAnsi="宋体" w:cs="宋体"/>
          <w:b/>
          <w:szCs w:val="21"/>
        </w:rPr>
        <w:t xml:space="preserve">营业执照扫描</w:t>
      </w:r>
      <w:r>
        <w:rPr>
          <w:rFonts w:hint="eastAsia" w:ascii="宋体" w:hAnsi="宋体" w:cs="宋体"/>
          <w:b/>
          <w:szCs w:val="21"/>
        </w:rPr>
        <w:t xml:space="preserve">件：</w:t>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供应商名称（加盖电子公章）：</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ascii="宋体" w:hAnsi="宋体" w:cs="宋体"/>
          <w:szCs w:val="21"/>
        </w:rPr>
      </w:pPr>
      <w:r>
        <w:rPr>
          <w:rFonts w:hint="eastAsia" w:ascii="宋体" w:hAnsi="宋体" w:cs="宋体"/>
          <w:szCs w:val="21"/>
        </w:rPr>
        <w:br w:type="page" w:clear="all"/>
      </w:r>
      <w:r/>
    </w:p>
    <w:p>
      <w:pPr>
        <w:pStyle w:val="980"/>
        <w:numPr>
          <w:ilvl w:val="0"/>
          <w:numId w:val="0"/>
        </w:numPr>
        <w:rPr>
          <w:rFonts w:ascii="宋体" w:hAnsi="宋体" w:cs="宋体"/>
        </w:rPr>
      </w:pPr>
      <w:r/>
      <w:bookmarkStart w:id="119" w:name="_Toc43917772"/>
      <w:r/>
      <w:bookmarkStart w:id="120" w:name="_Toc43994935"/>
      <w:r>
        <w:rPr>
          <w:rFonts w:hint="eastAsia" w:ascii="宋体" w:hAnsi="宋体" w:cs="宋体"/>
        </w:rPr>
        <w:t xml:space="preserve">附件二、法定代表人授权委托书格式</w:t>
      </w:r>
      <w:bookmarkEnd w:id="119"/>
      <w:r/>
      <w:bookmarkEnd w:id="120"/>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 w:val="32"/>
          <w:szCs w:val="32"/>
        </w:rPr>
      </w:pPr>
      <w:r>
        <w:rPr>
          <w:rFonts w:hint="eastAsia" w:ascii="宋体" w:hAnsi="宋体" w:cs="宋体"/>
          <w:b/>
          <w:sz w:val="32"/>
          <w:szCs w:val="32"/>
        </w:rPr>
        <w:t xml:space="preserve">法定代表人授权委托书</w:t>
      </w:r>
      <w:r/>
    </w:p>
    <w:p>
      <w:pPr>
        <w:jc w:val="left"/>
        <w:spacing w:line="360" w:lineRule="auto"/>
        <w:shd w:val="clear" w:color="auto" w:fill="ffffff"/>
        <w:widowControl/>
        <w:rPr>
          <w:rFonts w:ascii="宋体" w:hAnsi="宋体" w:cs="宋体"/>
          <w:sz w:val="24"/>
        </w:rPr>
      </w:pPr>
      <w:r>
        <w:rPr>
          <w:rFonts w:ascii="宋体" w:hAnsi="宋体" w:cs="宋体"/>
          <w:sz w:val="24"/>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致：</w:t>
      </w:r>
      <w:r>
        <w:rPr>
          <w:rFonts w:hint="eastAsia" w:ascii="宋体" w:hAnsi="宋体" w:cs="宋体"/>
          <w:bCs/>
          <w:szCs w:val="21"/>
        </w:rPr>
        <w:t xml:space="preserve">南京市应急管理局</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江苏国采工程咨询有限公司</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              </w:t>
      </w:r>
      <w:r>
        <w:rPr>
          <w:rFonts w:hint="eastAsia" w:ascii="宋体" w:hAnsi="宋体" w:cs="宋体"/>
          <w:szCs w:val="21"/>
        </w:rPr>
        <w:t xml:space="preserve">（供应商住址）的</w:t>
      </w:r>
      <w:r>
        <w:rPr>
          <w:rFonts w:hint="eastAsia" w:ascii="宋体" w:hAnsi="宋体" w:cs="宋体"/>
          <w:szCs w:val="21"/>
          <w:u w:val="single"/>
        </w:rPr>
        <w:t xml:space="preserve">      </w:t>
      </w:r>
      <w:r>
        <w:rPr>
          <w:rFonts w:hint="eastAsia" w:ascii="宋体" w:hAnsi="宋体" w:cs="宋体"/>
          <w:szCs w:val="21"/>
        </w:rPr>
        <w:t xml:space="preserve">（供应商名称）法定代表人</w:t>
      </w:r>
      <w:r>
        <w:rPr>
          <w:rFonts w:hint="eastAsia" w:ascii="宋体" w:hAnsi="宋体" w:cs="宋体"/>
          <w:szCs w:val="21"/>
          <w:u w:val="single"/>
        </w:rPr>
        <w:t xml:space="preserve">        </w:t>
      </w:r>
      <w:r>
        <w:rPr>
          <w:rFonts w:hint="eastAsia" w:ascii="宋体" w:hAnsi="宋体" w:cs="宋体"/>
          <w:szCs w:val="21"/>
        </w:rPr>
        <w:t xml:space="preserve">（法定代表人姓名、职务）代表本公司授权</w:t>
      </w:r>
      <w:r>
        <w:rPr>
          <w:rFonts w:hint="eastAsia" w:ascii="宋体" w:hAnsi="宋体" w:cs="宋体"/>
          <w:szCs w:val="21"/>
          <w:u w:val="single"/>
        </w:rPr>
        <w:t xml:space="preserve">        </w:t>
      </w:r>
      <w:r>
        <w:rPr>
          <w:rFonts w:hint="eastAsia" w:ascii="宋体" w:hAnsi="宋体" w:cs="宋体"/>
          <w:szCs w:val="21"/>
        </w:rPr>
        <w:t xml:space="preserve">（供应商代表姓名、职务）为本公司的合法代理人，就贵方组织的</w:t>
      </w:r>
      <w:r>
        <w:rPr>
          <w:rFonts w:hint="eastAsia" w:ascii="宋体" w:hAnsi="宋体" w:cs="宋体"/>
          <w:b/>
          <w:bCs/>
          <w:szCs w:val="21"/>
          <w:u w:val="single"/>
        </w:rPr>
        <w:t xml:space="preserve">          </w:t>
      </w: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（项目编号）</w:t>
      </w:r>
      <w:r>
        <w:rPr>
          <w:rFonts w:hint="eastAsia" w:ascii="宋体" w:hAnsi="宋体" w:cs="宋体"/>
          <w:szCs w:val="21"/>
          <w:lang w:val="zh-CN"/>
        </w:rPr>
        <w:t xml:space="preserve">竞争性磋商</w:t>
      </w:r>
      <w:r>
        <w:rPr>
          <w:rFonts w:hint="eastAsia" w:ascii="宋体" w:hAnsi="宋体" w:cs="宋体"/>
          <w:szCs w:val="21"/>
        </w:rPr>
        <w:t xml:space="preserve">，以本公司名义处理一切与之有关的事务。</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本授权书于    年  月  日加盖电子公章生效，特此声明。</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825"/>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供应商（加盖电子公章）：                   </w:t>
      </w:r>
      <w:r/>
    </w:p>
    <w:p>
      <w:pPr>
        <w:ind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840"/>
        <w:jc w:val="left"/>
        <w:spacing w:line="360" w:lineRule="auto"/>
        <w:shd w:val="clear" w:color="auto" w:fill="ffffff"/>
        <w:widowControl/>
        <w:rPr>
          <w:rFonts w:ascii="宋体" w:hAnsi="宋体" w:cs="宋体"/>
          <w:szCs w:val="21"/>
        </w:rPr>
      </w:pPr>
      <w:r/>
      <w:bookmarkStart w:id="121" w:name="_Hlk45292522"/>
      <w:r>
        <w:rPr>
          <w:rFonts w:hint="eastAsia" w:ascii="宋体" w:hAnsi="宋体" w:cs="宋体"/>
          <w:szCs w:val="21"/>
        </w:rPr>
        <w:t xml:space="preserve">法定代表人身份证的复印件：</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委托代理人身份证的复印件：</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pStyle w:val="980"/>
        <w:numPr>
          <w:ilvl w:val="0"/>
          <w:numId w:val="0"/>
        </w:numPr>
        <w:rPr>
          <w:rFonts w:ascii="宋体" w:hAnsi="宋体" w:cs="宋体"/>
        </w:rPr>
      </w:pPr>
      <w:r/>
      <w:bookmarkStart w:id="122" w:name="_Toc43917782"/>
      <w:r/>
      <w:bookmarkStart w:id="123" w:name="_Toc43994945"/>
      <w:r/>
      <w:bookmarkStart w:id="124" w:name="_Hlk68084163"/>
      <w:r>
        <w:rPr>
          <w:rFonts w:hint="eastAsia" w:ascii="宋体" w:hAnsi="宋体" w:cs="宋体"/>
        </w:rPr>
        <w:t xml:space="preserve">附件三、 资格证明文件</w:t>
      </w:r>
      <w:bookmarkEnd w:id="122"/>
      <w:r/>
      <w:bookmarkEnd w:id="123"/>
      <w:r/>
      <w:r/>
    </w:p>
    <w:p>
      <w:pPr>
        <w:ind w:firstLine="420"/>
        <w:spacing w:line="360" w:lineRule="auto"/>
        <w:rPr>
          <w:rFonts w:ascii="宋体" w:hAnsi="宋体" w:cs="宋体"/>
          <w:bCs/>
          <w:szCs w:val="21"/>
        </w:rPr>
      </w:pPr>
      <w:r>
        <w:rPr>
          <w:rFonts w:hint="eastAsia" w:ascii="宋体" w:hAnsi="宋体" w:cs="宋体"/>
          <w:bCs/>
          <w:szCs w:val="21"/>
        </w:rPr>
        <w:t xml:space="preserve">1. 第一章</w:t>
      </w:r>
      <w:r>
        <w:rPr>
          <w:rFonts w:hint="eastAsia" w:ascii="宋体" w:hAnsi="宋体" w:cs="宋体"/>
          <w:szCs w:val="21"/>
        </w:rPr>
        <w:t xml:space="preserve">竞争性磋商公告</w:t>
      </w:r>
      <w:r>
        <w:rPr>
          <w:rFonts w:hint="eastAsia" w:ascii="宋体" w:hAnsi="宋体" w:cs="宋体"/>
          <w:bCs/>
          <w:szCs w:val="21"/>
        </w:rPr>
        <w:t xml:space="preserve">中二、申请人的资格要求（二）落实政府采购政策需满足的资格要求相关材料（如有）； </w:t>
      </w:r>
      <w:bookmarkStart w:id="125" w:name="_Hlk168583619"/>
      <w:r/>
      <w:bookmarkEnd w:id="125"/>
      <w:r/>
      <w:r/>
    </w:p>
    <w:p>
      <w:pPr>
        <w:ind w:firstLine="420"/>
        <w:spacing w:line="360" w:lineRule="auto"/>
        <w:rPr>
          <w:rFonts w:ascii="宋体" w:hAnsi="宋体" w:cs="宋体"/>
          <w:szCs w:val="21"/>
        </w:rPr>
      </w:pPr>
      <w:r>
        <w:rPr>
          <w:rFonts w:hint="eastAsia" w:ascii="宋体" w:hAnsi="宋体" w:cs="宋体"/>
          <w:szCs w:val="21"/>
        </w:rPr>
        <w:t xml:space="preserve">2. 第一章竞争性磋商公告中二、申请人的资格要求（三）本项目特定资格要求证明文件（如有）</w:t>
      </w:r>
      <w:r>
        <w:rPr>
          <w:rFonts w:hint="eastAsia" w:ascii="宋体" w:hAnsi="宋体" w:cs="宋体"/>
          <w:bCs/>
          <w:szCs w:val="21"/>
        </w:rPr>
        <w:t xml:space="preserve">；</w:t>
      </w:r>
      <w:r/>
    </w:p>
    <w:p>
      <w:pPr>
        <w:ind w:firstLine="420"/>
        <w:spacing w:line="360" w:lineRule="auto"/>
        <w:rPr>
          <w:rFonts w:ascii="宋体" w:hAnsi="宋体" w:cs="宋体"/>
        </w:rPr>
      </w:pPr>
      <w:r>
        <w:rPr>
          <w:rFonts w:hint="eastAsia" w:ascii="宋体" w:hAnsi="宋体" w:cs="宋体"/>
          <w:bCs/>
          <w:szCs w:val="21"/>
        </w:rPr>
        <w:t xml:space="preserve">3.</w:t>
      </w:r>
      <w:r>
        <w:rPr>
          <w:rFonts w:hint="eastAsia" w:ascii="宋体" w:hAnsi="宋体" w:cs="宋体"/>
        </w:rPr>
        <w:t xml:space="preserve">《南京市政府采购供应商信用承诺书》，需加盖单位公章并由法定代表人签字或盖章；</w:t>
      </w:r>
      <w:r/>
    </w:p>
    <w:p>
      <w:pPr>
        <w:ind w:firstLine="420"/>
        <w:spacing w:line="360" w:lineRule="auto"/>
        <w:rPr>
          <w:rFonts w:ascii="宋体" w:hAnsi="宋体" w:cs="宋体"/>
          <w:bCs/>
          <w:szCs w:val="21"/>
        </w:rPr>
      </w:pPr>
      <w:r>
        <w:rPr>
          <w:rFonts w:hint="eastAsia" w:ascii="宋体" w:hAnsi="宋体" w:cs="宋体"/>
          <w:bCs/>
          <w:szCs w:val="21"/>
        </w:rPr>
        <w:t xml:space="preserve">4. 第一章</w:t>
      </w:r>
      <w:r>
        <w:rPr>
          <w:rFonts w:hint="eastAsia" w:ascii="宋体" w:hAnsi="宋体" w:cs="宋体"/>
          <w:szCs w:val="21"/>
        </w:rPr>
        <w:t xml:space="preserve">竞争性磋商公告</w:t>
      </w:r>
      <w:r>
        <w:rPr>
          <w:rFonts w:hint="eastAsia" w:ascii="宋体" w:hAnsi="宋体" w:cs="宋体"/>
          <w:bCs/>
          <w:szCs w:val="21"/>
        </w:rPr>
        <w:t xml:space="preserve">中二、申请人的资格要求（一）《中华人民共和国政府采购法》2—5条规定的资格证明文件；</w:t>
      </w:r>
      <w:r/>
    </w:p>
    <w:p>
      <w:pPr>
        <w:ind w:firstLine="420"/>
        <w:spacing w:line="360" w:lineRule="auto"/>
        <w:rPr>
          <w:rFonts w:ascii="宋体" w:hAnsi="宋体" w:cs="宋体"/>
          <w:bCs/>
          <w:szCs w:val="21"/>
        </w:rPr>
      </w:pPr>
      <w:r>
        <w:rPr>
          <w:rFonts w:hint="eastAsia" w:ascii="宋体" w:hAnsi="宋体" w:cs="宋体"/>
          <w:bCs/>
          <w:szCs w:val="21"/>
        </w:rPr>
        <w:t xml:space="preserve">5. 供应商未被“信用中国”网站（www.creditchina.gov.cn）、“中国政府采购网”(www.ccgp.gov.cn)列入失信被执行人、重大税收违法案件当事人名单、政府采购严重违法失信行为记录名单证明文件。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ascii="宋体" w:hAnsi="宋体" w:cs="宋体"/>
          <w:b/>
          <w:szCs w:val="21"/>
        </w:rPr>
      </w:pPr>
      <w:r>
        <w:rPr>
          <w:rFonts w:hint="eastAsia" w:ascii="宋体" w:hAnsi="宋体" w:cs="宋体"/>
          <w:b/>
          <w:szCs w:val="21"/>
        </w:rPr>
        <w:t xml:space="preserve">注：上述“4和5”项，供应商可以在响应文件中一次性提交资格证明材料，也可以在响应文件中提供《南京市政府采购供应商信用承诺书》。</w:t>
      </w:r>
      <w:r/>
    </w:p>
    <w:p>
      <w:pPr>
        <w:ind w:firstLine="422"/>
        <w:spacing w:line="360" w:lineRule="auto"/>
        <w:rPr>
          <w:rFonts w:ascii="宋体" w:hAnsi="宋体" w:cs="宋体"/>
          <w:b/>
          <w:szCs w:val="21"/>
        </w:rPr>
      </w:pPr>
      <w:r>
        <w:rPr>
          <w:rFonts w:hint="eastAsia" w:ascii="宋体" w:hAnsi="宋体" w:cs="宋体"/>
          <w:b/>
          <w:szCs w:val="21"/>
        </w:rPr>
        <w:t xml:space="preserve">供应商仅提供信用承诺书而未提供证明材料的，须在成交后另行提供上述由信用承诺书替代的证明材料（一式两份）</w:t>
      </w:r>
      <w:r>
        <w:rPr>
          <w:rFonts w:hint="eastAsia" w:ascii="宋体" w:hAnsi="宋体" w:cs="宋体"/>
          <w:b/>
          <w:bCs/>
          <w:szCs w:val="21"/>
        </w:rPr>
        <w:t xml:space="preserve">加盖公章</w:t>
      </w:r>
      <w:r>
        <w:rPr>
          <w:rFonts w:hint="eastAsia" w:ascii="宋体" w:hAnsi="宋体" w:cs="宋体"/>
          <w:b/>
          <w:szCs w:val="21"/>
        </w:rPr>
        <w:t xml:space="preserve">，提交采购人或采购代理机构核验。经核验无误后，由采购人或采购代理机构发出成交通知书。</w:t>
      </w:r>
      <w:r/>
    </w:p>
    <w:p>
      <w:pPr>
        <w:ind w:firstLine="422"/>
        <w:spacing w:line="360" w:lineRule="auto"/>
        <w:rPr>
          <w:rFonts w:ascii="宋体" w:hAnsi="宋体" w:cs="宋体"/>
          <w:b/>
          <w:szCs w:val="21"/>
        </w:rPr>
      </w:pPr>
      <w:r>
        <w:rPr>
          <w:rFonts w:hint="eastAsia" w:ascii="宋体" w:hAnsi="宋体" w:cs="宋体"/>
          <w:b/>
          <w:szCs w:val="21"/>
        </w:rPr>
        <w:t xml:space="preserve">供应商涉及以下情形的，不适用信用承诺，仍须提供上述证明材料：</w:t>
      </w:r>
      <w:r/>
    </w:p>
    <w:p>
      <w:pPr>
        <w:ind w:firstLine="211"/>
        <w:spacing w:line="360" w:lineRule="auto"/>
        <w:rPr>
          <w:rFonts w:ascii="宋体" w:hAnsi="宋体" w:cs="宋体"/>
          <w:b/>
          <w:szCs w:val="21"/>
        </w:rPr>
      </w:pPr>
      <w:r>
        <w:rPr>
          <w:rFonts w:hint="eastAsia" w:ascii="宋体" w:hAnsi="宋体" w:cs="宋体"/>
          <w:b/>
          <w:szCs w:val="21"/>
        </w:rPr>
        <w:t xml:space="preserve">（1）供应商被列入严重失信主体名单；</w:t>
      </w:r>
      <w:r/>
    </w:p>
    <w:p>
      <w:pPr>
        <w:ind w:firstLine="211"/>
        <w:spacing w:line="360" w:lineRule="auto"/>
        <w:rPr>
          <w:rFonts w:ascii="宋体" w:hAnsi="宋体" w:cs="宋体"/>
          <w:b/>
          <w:szCs w:val="21"/>
        </w:rPr>
      </w:pPr>
      <w:r>
        <w:rPr>
          <w:rFonts w:hint="eastAsia" w:ascii="宋体" w:hAnsi="宋体" w:cs="宋体"/>
          <w:b/>
          <w:szCs w:val="21"/>
        </w:rPr>
        <w:t xml:space="preserve">（2）被相关监管部门作出行政处罚且尚在处罚有效期内；</w:t>
      </w:r>
      <w:r/>
    </w:p>
    <w:p>
      <w:pPr>
        <w:ind w:firstLine="211"/>
        <w:spacing w:line="360" w:lineRule="auto"/>
        <w:rPr>
          <w:rFonts w:ascii="宋体" w:hAnsi="宋体" w:cs="宋体"/>
          <w:b/>
          <w:szCs w:val="21"/>
        </w:rPr>
      </w:pPr>
      <w:r>
        <w:rPr>
          <w:rFonts w:hint="eastAsia" w:ascii="宋体" w:hAnsi="宋体" w:cs="宋体"/>
          <w:b/>
          <w:szCs w:val="21"/>
        </w:rPr>
        <w:t xml:space="preserve">（3）其他法律、行政法规规定的不适用信用承诺的情形。</w:t>
      </w:r>
      <w:r/>
    </w:p>
    <w:p>
      <w:pPr>
        <w:ind w:firstLine="422"/>
        <w:spacing w:line="360" w:lineRule="auto"/>
        <w:rPr>
          <w:rFonts w:ascii="宋体" w:hAnsi="宋体" w:cs="宋体"/>
          <w:b/>
          <w:szCs w:val="21"/>
        </w:rPr>
      </w:pPr>
      <w:r>
        <w:rPr>
          <w:rFonts w:hint="eastAsia" w:ascii="宋体" w:hAnsi="宋体" w:cs="宋体"/>
          <w:b/>
          <w:szCs w:val="21"/>
        </w:rPr>
        <w:t xml:space="preserve">供应商对信用承诺内容的真实性、合法性、有效性负责。如作出虚假信用承诺，视同为“提供虚假材料谋取成交”的违法行为。</w:t>
      </w:r>
      <w:r/>
    </w:p>
    <w:p>
      <w:pPr>
        <w:rPr>
          <w:rFonts w:ascii="宋体" w:hAnsi="宋体" w:cs="宋体"/>
          <w:b/>
          <w:szCs w:val="21"/>
        </w:rPr>
      </w:pPr>
      <w:r>
        <w:rPr>
          <w:rFonts w:hint="eastAsia" w:ascii="宋体" w:hAnsi="宋体" w:cs="宋体"/>
          <w:b/>
          <w:szCs w:val="21"/>
        </w:rPr>
        <w:br w:type="page" w:clear="all"/>
      </w:r>
      <w:r/>
    </w:p>
    <w:p>
      <w:pPr>
        <w:jc w:val="center"/>
        <w:rPr>
          <w:rFonts w:ascii="宋体" w:hAnsi="宋体" w:cs="宋体"/>
          <w:sz w:val="44"/>
          <w:szCs w:val="52"/>
        </w:rPr>
      </w:pPr>
      <w:r>
        <w:rPr>
          <w:rFonts w:hint="eastAsia" w:ascii="宋体" w:hAnsi="宋体" w:cs="宋体"/>
          <w:sz w:val="44"/>
          <w:szCs w:val="52"/>
        </w:rPr>
        <w:t xml:space="preserve">南京市政府采购供应商信用承诺书</w:t>
      </w:r>
      <w:r/>
    </w:p>
    <w:p>
      <w:pPr>
        <w:jc w:val="right"/>
        <w:rPr>
          <w:rFonts w:ascii="宋体" w:hAnsi="宋体" w:cs="宋体"/>
          <w:sz w:val="22"/>
          <w:szCs w:val="28"/>
        </w:rPr>
      </w:pPr>
      <w:r>
        <w:rPr>
          <w:rFonts w:hint="eastAsia" w:ascii="宋体" w:hAnsi="宋体" w:cs="宋体"/>
          <w:sz w:val="22"/>
          <w:szCs w:val="28"/>
        </w:rPr>
        <w:t xml:space="preserve">XXXX年XX月XX日</w:t>
      </w:r>
      <w:r/>
    </w:p>
    <w:p>
      <w:pPr>
        <w:jc w:val="center"/>
        <w:rPr>
          <w:rFonts w:ascii="宋体" w:hAnsi="宋体" w:cs="宋体"/>
        </w:rPr>
      </w:pPr>
      <w:r>
        <w:rPr>
          <w:rFonts w:ascii="宋体" w:hAnsi="宋体" w:cs="宋体"/>
        </w:rPr>
      </w:r>
      <w:r/>
    </w:p>
    <w:tbl>
      <w:tblPr>
        <w:tblStyle w:val="1024"/>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cs="宋体" w:eastAsiaTheme="minorEastAsia"/>
                <w:sz w:val="24"/>
                <w:szCs w:val="32"/>
              </w:rPr>
            </w:pPr>
            <w:r>
              <w:rPr>
                <w:rFonts w:hint="eastAsia" w:ascii="宋体" w:hAnsi="宋体" w:cs="宋体" w:eastAsiaTheme="minorEastAsia"/>
                <w:sz w:val="24"/>
                <w:szCs w:val="32"/>
              </w:rPr>
              <w:t xml:space="preserve">   单位名称</w:t>
            </w:r>
            <w:r/>
          </w:p>
        </w:tc>
        <w:tc>
          <w:tcPr>
            <w:tcW w:w="2284" w:type="dxa"/>
            <w:vAlign w:val="center"/>
            <w:textDirection w:val="lrTb"/>
            <w:noWrap w:val="false"/>
          </w:tcPr>
          <w:p>
            <w:pPr>
              <w:jc w:val="center"/>
              <w:rPr>
                <w:rFonts w:ascii="宋体" w:hAnsi="宋体" w:cs="宋体" w:eastAsiaTheme="minorEastAsia"/>
                <w:sz w:val="24"/>
                <w:szCs w:val="32"/>
              </w:rPr>
            </w:pPr>
            <w:r>
              <w:rPr>
                <w:rFonts w:ascii="宋体" w:hAnsi="宋体" w:cs="宋体" w:eastAsiaTheme="minorEastAsia"/>
                <w:sz w:val="24"/>
                <w:szCs w:val="32"/>
              </w:rPr>
            </w:r>
            <w:r/>
          </w:p>
        </w:tc>
        <w:tc>
          <w:tcPr>
            <w:tcW w:w="1833" w:type="dxa"/>
            <w:vAlign w:val="center"/>
            <w:textDirection w:val="lrTb"/>
            <w:noWrap w:val="false"/>
          </w:tcPr>
          <w:p>
            <w:pPr>
              <w:jc w:val="center"/>
              <w:rPr>
                <w:rFonts w:ascii="宋体" w:hAnsi="宋体" w:cs="宋体" w:eastAsiaTheme="minorEastAsia"/>
                <w:sz w:val="24"/>
                <w:szCs w:val="32"/>
              </w:rPr>
            </w:pPr>
            <w:r>
              <w:rPr>
                <w:rFonts w:hint="eastAsia" w:ascii="宋体" w:hAnsi="宋体" w:cs="宋体" w:eastAsiaTheme="minorEastAsia"/>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宋体" w:hAnsi="宋体" w:cs="宋体" w:eastAsiaTheme="minorEastAsia"/>
              </w:rPr>
            </w:pPr>
            <w:r>
              <w:rPr>
                <w:rFonts w:ascii="宋体" w:hAnsi="宋体" w:cs="宋体" w:eastAsiaTheme="minorEastAsia"/>
              </w:rPr>
            </w:r>
            <w:r/>
          </w:p>
        </w:tc>
      </w:tr>
      <w:tr>
        <w:trPr>
          <w:trHeight w:val="567"/>
        </w:trPr>
        <w:tc>
          <w:tcPr>
            <w:tcW w:w="2148" w:type="dxa"/>
            <w:vAlign w:val="center"/>
            <w:textDirection w:val="lrTb"/>
            <w:noWrap w:val="false"/>
          </w:tcPr>
          <w:p>
            <w:pPr>
              <w:jc w:val="center"/>
              <w:rPr>
                <w:rFonts w:ascii="宋体" w:hAnsi="宋体" w:cs="宋体" w:eastAsiaTheme="minorEastAsia"/>
                <w:sz w:val="24"/>
                <w:szCs w:val="32"/>
              </w:rPr>
            </w:pPr>
            <w:r>
              <w:rPr>
                <w:rFonts w:hint="eastAsia" w:ascii="宋体" w:hAnsi="宋体" w:cs="宋体" w:eastAsiaTheme="minorEastAsia"/>
                <w:sz w:val="24"/>
                <w:szCs w:val="32"/>
              </w:rPr>
              <w:t xml:space="preserve">法定代表人</w:t>
            </w:r>
            <w:r/>
          </w:p>
        </w:tc>
        <w:tc>
          <w:tcPr>
            <w:tcW w:w="2284" w:type="dxa"/>
            <w:vAlign w:val="center"/>
            <w:textDirection w:val="lrTb"/>
            <w:noWrap w:val="false"/>
          </w:tcPr>
          <w:p>
            <w:pPr>
              <w:jc w:val="center"/>
              <w:rPr>
                <w:rFonts w:ascii="宋体" w:hAnsi="宋体" w:cs="宋体" w:eastAsiaTheme="minorEastAsia"/>
                <w:sz w:val="24"/>
                <w:szCs w:val="32"/>
              </w:rPr>
            </w:pPr>
            <w:r>
              <w:rPr>
                <w:rFonts w:ascii="宋体" w:hAnsi="宋体" w:cs="宋体" w:eastAsiaTheme="minorEastAsia"/>
                <w:sz w:val="24"/>
                <w:szCs w:val="32"/>
              </w:rPr>
            </w:r>
            <w:r/>
          </w:p>
        </w:tc>
        <w:tc>
          <w:tcPr>
            <w:tcW w:w="1833" w:type="dxa"/>
            <w:vAlign w:val="center"/>
            <w:textDirection w:val="lrTb"/>
            <w:noWrap w:val="false"/>
          </w:tcPr>
          <w:p>
            <w:pPr>
              <w:jc w:val="center"/>
              <w:rPr>
                <w:rFonts w:ascii="宋体" w:hAnsi="宋体" w:cs="宋体" w:eastAsiaTheme="minorEastAsia"/>
                <w:sz w:val="24"/>
                <w:szCs w:val="32"/>
              </w:rPr>
            </w:pPr>
            <w:r>
              <w:rPr>
                <w:rFonts w:hint="eastAsia" w:ascii="宋体" w:hAnsi="宋体" w:cs="宋体" w:eastAsiaTheme="minorEastAsia"/>
                <w:sz w:val="24"/>
                <w:szCs w:val="32"/>
              </w:rPr>
              <w:t xml:space="preserve">联系人</w:t>
            </w:r>
            <w:r/>
          </w:p>
        </w:tc>
        <w:tc>
          <w:tcPr>
            <w:tcW w:w="3331" w:type="dxa"/>
            <w:vAlign w:val="center"/>
            <w:textDirection w:val="lrTb"/>
            <w:noWrap w:val="false"/>
          </w:tcPr>
          <w:p>
            <w:pPr>
              <w:jc w:val="center"/>
              <w:rPr>
                <w:rFonts w:ascii="宋体" w:hAnsi="宋体" w:cs="宋体" w:eastAsiaTheme="minorEastAsia"/>
              </w:rPr>
            </w:pPr>
            <w:r>
              <w:rPr>
                <w:rFonts w:ascii="宋体" w:hAnsi="宋体" w:cs="宋体" w:eastAsiaTheme="minorEastAsia"/>
              </w:rPr>
            </w:r>
            <w:r/>
          </w:p>
        </w:tc>
      </w:tr>
      <w:tr>
        <w:trPr>
          <w:trHeight w:val="567"/>
        </w:trPr>
        <w:tc>
          <w:tcPr>
            <w:tcW w:w="2148" w:type="dxa"/>
            <w:vAlign w:val="center"/>
            <w:textDirection w:val="lrTb"/>
            <w:noWrap w:val="false"/>
          </w:tcPr>
          <w:p>
            <w:pPr>
              <w:jc w:val="center"/>
              <w:rPr>
                <w:rFonts w:ascii="宋体" w:hAnsi="宋体" w:cs="宋体" w:eastAsiaTheme="minorEastAsia"/>
                <w:sz w:val="24"/>
                <w:szCs w:val="32"/>
              </w:rPr>
            </w:pPr>
            <w:r>
              <w:rPr>
                <w:rFonts w:hint="eastAsia" w:ascii="宋体" w:hAnsi="宋体" w:cs="宋体" w:eastAsiaTheme="minorEastAsia"/>
                <w:sz w:val="24"/>
                <w:szCs w:val="32"/>
              </w:rPr>
              <w:t xml:space="preserve">联系地址</w:t>
            </w:r>
            <w:r/>
          </w:p>
        </w:tc>
        <w:tc>
          <w:tcPr>
            <w:tcW w:w="2284" w:type="dxa"/>
            <w:vAlign w:val="center"/>
            <w:textDirection w:val="lrTb"/>
            <w:noWrap w:val="false"/>
          </w:tcPr>
          <w:p>
            <w:pPr>
              <w:jc w:val="center"/>
              <w:rPr>
                <w:rFonts w:ascii="宋体" w:hAnsi="宋体" w:cs="宋体" w:eastAsiaTheme="minorEastAsia"/>
                <w:sz w:val="24"/>
                <w:szCs w:val="32"/>
              </w:rPr>
            </w:pPr>
            <w:r>
              <w:rPr>
                <w:rFonts w:ascii="宋体" w:hAnsi="宋体" w:cs="宋体" w:eastAsiaTheme="minorEastAsia"/>
                <w:sz w:val="24"/>
                <w:szCs w:val="32"/>
              </w:rPr>
            </w:r>
            <w:r/>
          </w:p>
        </w:tc>
        <w:tc>
          <w:tcPr>
            <w:tcW w:w="1833" w:type="dxa"/>
            <w:vAlign w:val="center"/>
            <w:textDirection w:val="lrTb"/>
            <w:noWrap w:val="false"/>
          </w:tcPr>
          <w:p>
            <w:pPr>
              <w:jc w:val="center"/>
              <w:rPr>
                <w:rFonts w:ascii="宋体" w:hAnsi="宋体" w:cs="宋体" w:eastAsiaTheme="minorEastAsia"/>
                <w:sz w:val="24"/>
                <w:szCs w:val="32"/>
              </w:rPr>
            </w:pPr>
            <w:r>
              <w:rPr>
                <w:rFonts w:hint="eastAsia" w:ascii="宋体" w:hAnsi="宋体" w:cs="宋体" w:eastAsiaTheme="minorEastAsia"/>
                <w:sz w:val="24"/>
                <w:szCs w:val="32"/>
              </w:rPr>
              <w:t xml:space="preserve">联系电话</w:t>
            </w:r>
            <w:r/>
          </w:p>
        </w:tc>
        <w:tc>
          <w:tcPr>
            <w:tcW w:w="3331" w:type="dxa"/>
            <w:vAlign w:val="center"/>
            <w:textDirection w:val="lrTb"/>
            <w:noWrap w:val="false"/>
          </w:tcPr>
          <w:p>
            <w:pPr>
              <w:jc w:val="center"/>
              <w:rPr>
                <w:rFonts w:ascii="宋体" w:hAnsi="宋体" w:cs="宋体" w:eastAsiaTheme="minorEastAsia"/>
              </w:rPr>
            </w:pPr>
            <w:r>
              <w:rPr>
                <w:rFonts w:ascii="宋体" w:hAnsi="宋体" w:cs="宋体" w:eastAsiaTheme="minorEastAsia"/>
              </w:rPr>
            </w:r>
            <w:r/>
          </w:p>
        </w:tc>
      </w:tr>
      <w:tr>
        <w:trPr>
          <w:trHeight w:val="5560"/>
        </w:trPr>
        <w:tc>
          <w:tcPr>
            <w:tcW w:w="2148" w:type="dxa"/>
            <w:vAlign w:val="center"/>
            <w:textDirection w:val="lrTb"/>
            <w:noWrap w:val="false"/>
          </w:tcPr>
          <w:p>
            <w:pPr>
              <w:jc w:val="center"/>
              <w:rPr>
                <w:rFonts w:ascii="宋体" w:hAnsi="宋体" w:cs="宋体" w:eastAsiaTheme="minorEastAsia"/>
                <w:sz w:val="24"/>
                <w:szCs w:val="32"/>
              </w:rPr>
            </w:pPr>
            <w:r>
              <w:rPr>
                <w:rFonts w:hint="eastAsia" w:ascii="宋体" w:hAnsi="宋体" w:cs="宋体" w:eastAsiaTheme="minorEastAsia"/>
                <w:sz w:val="24"/>
                <w:szCs w:val="32"/>
              </w:rPr>
              <w:t xml:space="preserve">信用承诺</w:t>
            </w:r>
            <w:r/>
          </w:p>
        </w:tc>
        <w:tc>
          <w:tcPr>
            <w:gridSpan w:val="3"/>
            <w:tcW w:w="7448" w:type="dxa"/>
            <w:vAlign w:val="center"/>
            <w:textDirection w:val="lrTb"/>
            <w:noWrap w:val="false"/>
          </w:tcPr>
          <w:p>
            <w:pPr>
              <w:ind w:firstLine="420"/>
              <w:rPr>
                <w:rFonts w:ascii="宋体" w:hAnsi="宋体" w:cs="宋体" w:eastAsiaTheme="minorEastAsia"/>
              </w:rPr>
            </w:pPr>
            <w:r>
              <w:rPr>
                <w:rFonts w:hint="eastAsia" w:ascii="宋体" w:hAnsi="宋体" w:cs="宋体" w:eastAsiaTheme="minorEastAsia"/>
              </w:rPr>
              <w:t xml:space="preserve">我公司自愿参加贵中心（公司）组织的本次采购活动，严格遵守《中华人民共和国政府采购法》及相关</w:t>
            </w:r>
            <w:r>
              <w:rPr>
                <w:rFonts w:hint="eastAsia" w:ascii="宋体" w:hAnsi="宋体" w:cs="宋体" w:eastAsiaTheme="minor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cs="宋体" w:eastAsiaTheme="minorEastAsia"/>
              </w:rPr>
            </w:pPr>
            <w:r>
              <w:rPr>
                <w:rFonts w:ascii="宋体" w:hAnsi="宋体" w:cs="宋体" w:eastAsiaTheme="minorEastAsia"/>
              </w:rPr>
            </w:r>
            <w:r/>
          </w:p>
          <w:p>
            <w:pPr>
              <w:ind w:firstLine="420"/>
              <w:jc w:val="center"/>
              <w:rPr>
                <w:rFonts w:ascii="宋体" w:hAnsi="宋体" w:cs="宋体" w:eastAsiaTheme="minorEastAsia"/>
              </w:rPr>
            </w:pPr>
            <w:r>
              <w:rPr>
                <w:rFonts w:hint="eastAsia" w:ascii="宋体" w:hAnsi="宋体" w:cs="宋体" w:eastAsiaTheme="minorEastAsia"/>
              </w:rPr>
              <w:t xml:space="preserve">供应商名称（盖章）：</w:t>
            </w:r>
            <w:r/>
          </w:p>
          <w:p>
            <w:pPr>
              <w:ind w:firstLine="420"/>
              <w:jc w:val="center"/>
              <w:rPr>
                <w:rFonts w:ascii="宋体" w:hAnsi="宋体" w:cs="宋体" w:eastAsiaTheme="minorEastAsia"/>
              </w:rPr>
            </w:pPr>
            <w:r>
              <w:rPr>
                <w:rFonts w:ascii="宋体" w:hAnsi="宋体" w:cs="宋体" w:eastAsiaTheme="minorEastAsia"/>
              </w:rPr>
            </w:r>
            <w:r/>
          </w:p>
          <w:p>
            <w:pPr>
              <w:ind w:firstLine="420"/>
              <w:jc w:val="center"/>
              <w:rPr>
                <w:rFonts w:ascii="宋体" w:hAnsi="宋体" w:cs="宋体" w:eastAsiaTheme="minorEastAsia"/>
              </w:rPr>
            </w:pPr>
            <w:r>
              <w:rPr>
                <w:rFonts w:hint="eastAsia" w:ascii="宋体" w:hAnsi="宋体" w:cs="宋体" w:eastAsiaTheme="minorEastAsia"/>
              </w:rPr>
              <w:t xml:space="preserve">法定代表人（签字或盖章）：</w:t>
            </w:r>
            <w:r/>
          </w:p>
          <w:p>
            <w:pPr>
              <w:ind w:firstLine="420"/>
              <w:jc w:val="center"/>
              <w:rPr>
                <w:rFonts w:ascii="宋体" w:hAnsi="宋体" w:cs="宋体" w:eastAsiaTheme="minorEastAsia"/>
              </w:rPr>
            </w:pPr>
            <w:r>
              <w:rPr>
                <w:rFonts w:ascii="宋体" w:hAnsi="宋体" w:cs="宋体" w:eastAsiaTheme="minorEastAsia"/>
              </w:rPr>
            </w:r>
            <w:r/>
          </w:p>
          <w:p>
            <w:pPr>
              <w:ind w:firstLine="420"/>
              <w:jc w:val="center"/>
              <w:rPr>
                <w:rFonts w:ascii="宋体" w:hAnsi="宋体" w:cs="宋体" w:eastAsiaTheme="minorEastAsia"/>
              </w:rPr>
            </w:pPr>
            <w:r>
              <w:rPr>
                <w:rFonts w:hint="eastAsia" w:ascii="宋体" w:hAnsi="宋体" w:cs="宋体" w:eastAsiaTheme="minorEastAsia"/>
              </w:rPr>
              <w:t xml:space="preserve">XXXX年XX月XX日</w:t>
            </w:r>
            <w:r/>
          </w:p>
        </w:tc>
      </w:tr>
    </w:tbl>
    <w:p>
      <w:pPr>
        <w:ind w:firstLine="422"/>
        <w:spacing w:line="360" w:lineRule="auto"/>
        <w:rPr>
          <w:rFonts w:ascii="宋体" w:hAnsi="宋体" w:cs="宋体"/>
        </w:rPr>
      </w:pPr>
      <w:r>
        <w:rPr>
          <w:rFonts w:hint="eastAsia" w:ascii="宋体" w:hAnsi="宋体" w:cs="宋体"/>
          <w:b/>
          <w:bCs/>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p>
    <w:p>
      <w:pPr>
        <w:pStyle w:val="1023"/>
        <w:ind w:left="420"/>
        <w:rPr>
          <w:rFonts w:cs="宋体"/>
        </w:rPr>
      </w:pPr>
      <w:r>
        <w:rPr>
          <w:rFonts w:cs="宋体"/>
        </w:rPr>
      </w:r>
      <w:r/>
    </w:p>
    <w:p>
      <w:pPr>
        <w:ind w:firstLine="422"/>
        <w:spacing w:line="360" w:lineRule="auto"/>
        <w:rPr>
          <w:rFonts w:ascii="宋体" w:hAnsi="宋体" w:cs="宋体"/>
          <w:b/>
          <w:szCs w:val="21"/>
        </w:rPr>
      </w:pPr>
      <w:r>
        <w:rPr>
          <w:rFonts w:ascii="宋体" w:hAnsi="宋体" w:cs="宋体"/>
          <w:b/>
          <w:szCs w:val="21"/>
        </w:rPr>
      </w:r>
      <w:r/>
    </w:p>
    <w:p>
      <w:pPr>
        <w:rPr>
          <w:rFonts w:ascii="宋体" w:hAnsi="宋体" w:cs="宋体"/>
        </w:rPr>
      </w:pPr>
      <w:r>
        <w:rPr>
          <w:rFonts w:ascii="宋体" w:hAnsi="宋体" w:cs="宋体"/>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bookmarkEnd w:id="124"/>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bookmarkEnd w:id="121"/>
      <w:r/>
      <w:r/>
    </w:p>
    <w:p>
      <w:pPr>
        <w:pStyle w:val="980"/>
        <w:numPr>
          <w:ilvl w:val="1"/>
          <w:numId w:val="0"/>
        </w:numPr>
        <w:rPr>
          <w:rFonts w:ascii="宋体" w:hAnsi="宋体" w:cs="宋体"/>
          <w:lang w:val="zh-CN"/>
        </w:rPr>
      </w:pPr>
      <w:r/>
      <w:bookmarkStart w:id="126" w:name="_Toc26810"/>
      <w:r/>
      <w:bookmarkStart w:id="127" w:name="_Toc43917773"/>
      <w:r/>
      <w:bookmarkStart w:id="128" w:name="_Toc43994936"/>
      <w:r>
        <w:rPr>
          <w:rFonts w:hint="eastAsia" w:ascii="宋体" w:hAnsi="宋体" w:cs="宋体"/>
          <w:lang w:val="zh-CN"/>
        </w:rPr>
        <w:t xml:space="preserve">附件四、磋商报价表</w:t>
      </w:r>
      <w:r/>
    </w:p>
    <w:p>
      <w:pPr>
        <w:pStyle w:val="992"/>
        <w:ind w:firstLine="321"/>
        <w:jc w:val="center"/>
        <w:spacing w:line="360" w:lineRule="auto"/>
        <w:rPr>
          <w:rFonts w:ascii="宋体" w:hAnsi="宋体" w:cs="宋体"/>
          <w:sz w:val="32"/>
          <w:szCs w:val="32"/>
        </w:rPr>
      </w:pPr>
      <w:r>
        <w:rPr>
          <w:rFonts w:hint="eastAsia" w:ascii="宋体" w:hAnsi="宋体" w:cs="宋体"/>
          <w:sz w:val="32"/>
          <w:szCs w:val="32"/>
        </w:rPr>
        <w:t xml:space="preserve">磋商报价表</w:t>
      </w:r>
      <w:r/>
    </w:p>
    <w:p>
      <w:pPr>
        <w:pStyle w:val="992"/>
        <w:ind w:firstLine="210"/>
        <w:spacing w:line="360" w:lineRule="auto"/>
        <w:rPr>
          <w:rFonts w:ascii="宋体" w:hAnsi="宋体" w:cs="宋体"/>
          <w:b w:val="0"/>
          <w:bCs/>
          <w:sz w:val="21"/>
          <w:szCs w:val="21"/>
        </w:rPr>
      </w:pPr>
      <w:r/>
      <w:bookmarkStart w:id="129" w:name="OLE_LINK36"/>
      <w:r>
        <w:rPr>
          <w:rFonts w:hint="eastAsia" w:ascii="宋体" w:hAnsi="宋体" w:cs="宋体"/>
          <w:b w:val="0"/>
          <w:bCs/>
          <w:sz w:val="21"/>
          <w:szCs w:val="21"/>
        </w:rPr>
        <w:t xml:space="preserve">项目编号：                                        货币单位：人民币元</w:t>
      </w:r>
      <w:r/>
    </w:p>
    <w:tbl>
      <w:tblPr>
        <w:tblStyle w:val="989"/>
        <w:tblW w:w="93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6"/>
        <w:gridCol w:w="2636"/>
        <w:gridCol w:w="4127"/>
      </w:tblGrid>
      <w:tr>
        <w:trPr>
          <w:cantSplit/>
          <w:trHeight w:val="342"/>
        </w:trPr>
        <w:tc>
          <w:tcPr>
            <w:tcW w:w="263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项目名称</w:t>
            </w:r>
            <w:r/>
          </w:p>
        </w:tc>
        <w:tc>
          <w:tcPr>
            <w:tcW w:w="263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项目内容</w:t>
            </w:r>
            <w:r/>
          </w:p>
        </w:tc>
        <w:tc>
          <w:tcPr>
            <w:tcW w:w="41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总价（小写）</w:t>
            </w:r>
            <w:r/>
          </w:p>
        </w:tc>
      </w:tr>
      <w:tr>
        <w:trPr>
          <w:cantSplit/>
          <w:trHeight w:val="697"/>
        </w:trPr>
        <w:tc>
          <w:tcPr>
            <w:tcW w:w="2636" w:type="dxa"/>
            <w:vAlign w:val="center"/>
            <w:textDirection w:val="lrTb"/>
            <w:noWrap w:val="false"/>
          </w:tcPr>
          <w:p>
            <w:pPr>
              <w:rPr>
                <w:rFonts w:ascii="宋体" w:hAnsi="宋体" w:cs="宋体"/>
                <w:bCs/>
                <w:szCs w:val="21"/>
              </w:rPr>
            </w:pPr>
            <w:r>
              <w:rPr>
                <w:rFonts w:ascii="宋体" w:hAnsi="宋体" w:cs="宋体"/>
                <w:bCs/>
                <w:szCs w:val="21"/>
              </w:rPr>
            </w:r>
            <w:r/>
          </w:p>
        </w:tc>
        <w:tc>
          <w:tcPr>
            <w:tcW w:w="263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详见响应文件</w:t>
            </w:r>
            <w:r/>
          </w:p>
        </w:tc>
        <w:tc>
          <w:tcPr>
            <w:tcW w:w="4127" w:type="dxa"/>
            <w:vAlign w:val="center"/>
            <w:textDirection w:val="lrTb"/>
            <w:noWrap w:val="false"/>
          </w:tcPr>
          <w:p>
            <w:pPr>
              <w:rPr>
                <w:rFonts w:ascii="宋体" w:hAnsi="宋体" w:cs="宋体"/>
                <w:bCs/>
                <w:szCs w:val="21"/>
              </w:rPr>
            </w:pPr>
            <w:r>
              <w:rPr>
                <w:rFonts w:ascii="宋体" w:hAnsi="宋体" w:cs="宋体"/>
                <w:bCs/>
                <w:szCs w:val="21"/>
              </w:rPr>
            </w:r>
            <w:r/>
          </w:p>
        </w:tc>
      </w:tr>
      <w:tr>
        <w:trPr>
          <w:cantSplit/>
          <w:trHeight w:val="707"/>
        </w:trPr>
        <w:tc>
          <w:tcPr>
            <w:tcW w:w="2636" w:type="dxa"/>
            <w:vAlign w:val="center"/>
            <w:textDirection w:val="lrTb"/>
            <w:noWrap w:val="false"/>
          </w:tcPr>
          <w:p>
            <w:pPr>
              <w:rPr>
                <w:rFonts w:ascii="宋体" w:hAnsi="宋体" w:cs="宋体"/>
                <w:bCs/>
                <w:szCs w:val="21"/>
              </w:rPr>
            </w:pPr>
            <w:r>
              <w:rPr>
                <w:rFonts w:hint="eastAsia" w:ascii="宋体" w:hAnsi="宋体" w:cs="宋体"/>
                <w:bCs/>
                <w:szCs w:val="21"/>
              </w:rPr>
              <w:t xml:space="preserve">总价（大写）：</w:t>
            </w:r>
            <w:r/>
          </w:p>
        </w:tc>
        <w:tc>
          <w:tcPr>
            <w:gridSpan w:val="2"/>
            <w:tcW w:w="6763" w:type="dxa"/>
            <w:vAlign w:val="center"/>
            <w:textDirection w:val="lrTb"/>
            <w:noWrap w:val="false"/>
          </w:tcPr>
          <w:p>
            <w:pPr>
              <w:rPr>
                <w:rFonts w:ascii="宋体" w:hAnsi="宋体" w:cs="宋体"/>
                <w:bCs/>
                <w:szCs w:val="21"/>
              </w:rPr>
            </w:pPr>
            <w:r>
              <w:rPr>
                <w:rFonts w:ascii="宋体" w:hAnsi="宋体" w:cs="宋体"/>
                <w:bCs/>
                <w:szCs w:val="21"/>
              </w:rPr>
            </w:r>
            <w:bookmarkEnd w:id="129"/>
            <w:r/>
            <w:r/>
          </w:p>
        </w:tc>
      </w:tr>
    </w:tbl>
    <w:p>
      <w:pPr>
        <w:jc w:val="left"/>
        <w:spacing w:line="360" w:lineRule="auto"/>
        <w:shd w:val="clear" w:color="auto" w:fill="ffffff"/>
        <w:widowControl/>
        <w:rPr>
          <w:rFonts w:ascii="宋体" w:hAnsi="宋体" w:cs="宋体"/>
          <w:szCs w:val="21"/>
        </w:rPr>
      </w:pPr>
      <w:r/>
      <w:bookmarkStart w:id="130" w:name="_Hlk176531797"/>
      <w:r>
        <w:rPr>
          <w:rFonts w:hint="eastAsia" w:ascii="宋体" w:hAnsi="宋体" w:cs="宋体"/>
          <w:szCs w:val="21"/>
        </w:rPr>
        <w:br/>
      </w:r>
      <w:r>
        <w:rPr>
          <w:rFonts w:hint="eastAsia" w:ascii="宋体" w:hAnsi="宋体" w:cs="宋体"/>
          <w:szCs w:val="21"/>
        </w:rPr>
        <w:t xml:space="preserve">说明:</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1、报价包括完成项目的所有费用。采购人不再支付报价以外的任何费用；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2、报价以总价为准，大小写不一致以大写为准。</w:t>
      </w:r>
      <w:bookmarkEnd w:id="130"/>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p>
    <w:p>
      <w:pPr>
        <w:ind w:firstLine="420"/>
        <w:jc w:val="left"/>
        <w:spacing w:line="360" w:lineRule="auto"/>
        <w:shd w:val="clear" w:color="auto" w:fill="ffffff"/>
        <w:widowControl/>
        <w:rPr>
          <w:rFonts w:ascii="宋体" w:hAnsi="宋体" w:cs="宋体"/>
          <w:szCs w:val="21"/>
        </w:rPr>
      </w:pPr>
      <w:r/>
      <w:bookmarkStart w:id="131" w:name="_Hlk176528660"/>
      <w:r>
        <w:rPr>
          <w:rFonts w:hint="eastAsia" w:ascii="宋体" w:hAnsi="宋体" w:cs="宋体"/>
          <w:szCs w:val="21"/>
        </w:rPr>
        <w:t xml:space="preserve">日    期：   年    月    日</w:t>
      </w:r>
      <w:bookmarkEnd w:id="131"/>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bCs/>
          <w:sz w:val="24"/>
          <w:lang w:val="zh-CN"/>
        </w:rPr>
      </w:pPr>
      <w:r>
        <w:rPr>
          <w:rFonts w:ascii="宋体" w:hAnsi="宋体" w:cs="宋体"/>
          <w:b/>
          <w:bCs/>
          <w:sz w:val="24"/>
          <w:lang w:val="zh-CN"/>
        </w:rPr>
      </w:r>
      <w:r/>
    </w:p>
    <w:p>
      <w:pPr>
        <w:jc w:val="left"/>
        <w:spacing w:line="360" w:lineRule="auto"/>
        <w:shd w:val="clear" w:color="auto" w:fill="ffffff"/>
        <w:widowControl/>
        <w:rPr>
          <w:rFonts w:ascii="宋体" w:hAnsi="宋体" w:cs="宋体"/>
          <w:b/>
          <w:bCs/>
          <w:sz w:val="24"/>
          <w:lang w:val="zh-CN"/>
        </w:rPr>
      </w:pPr>
      <w:r>
        <w:rPr>
          <w:rFonts w:ascii="宋体" w:hAnsi="宋体" w:cs="宋体"/>
          <w:b/>
          <w:bCs/>
          <w:sz w:val="24"/>
          <w:lang w:val="zh-CN"/>
        </w:rPr>
      </w:r>
      <w:r/>
    </w:p>
    <w:p>
      <w:pPr>
        <w:jc w:val="left"/>
        <w:spacing w:line="360" w:lineRule="auto"/>
        <w:shd w:val="clear" w:color="auto" w:fill="ffffff"/>
        <w:widowControl/>
        <w:rPr>
          <w:rFonts w:ascii="宋体" w:hAnsi="宋体" w:cs="宋体"/>
          <w:b/>
          <w:bCs/>
          <w:sz w:val="24"/>
          <w:lang w:val="zh-CN"/>
        </w:rPr>
      </w:pPr>
      <w:r>
        <w:rPr>
          <w:rFonts w:ascii="宋体" w:hAnsi="宋体" w:cs="宋体"/>
          <w:b/>
          <w:bCs/>
          <w:sz w:val="24"/>
          <w:lang w:val="zh-CN"/>
        </w:rPr>
      </w:r>
      <w:bookmarkEnd w:id="126"/>
      <w:r/>
      <w:bookmarkEnd w:id="127"/>
      <w:r/>
      <w:bookmarkEnd w:id="128"/>
      <w:r/>
      <w:r/>
    </w:p>
    <w:p>
      <w:pPr>
        <w:pStyle w:val="980"/>
        <w:numPr>
          <w:ilvl w:val="0"/>
          <w:numId w:val="0"/>
        </w:numPr>
        <w:rPr>
          <w:rFonts w:ascii="宋体" w:hAnsi="宋体" w:cs="宋体"/>
        </w:rPr>
      </w:pPr>
      <w:r/>
      <w:bookmarkStart w:id="132" w:name="_Toc12264"/>
      <w:r/>
      <w:bookmarkStart w:id="133" w:name="_Toc43994937"/>
      <w:r/>
      <w:bookmarkStart w:id="134" w:name="_Toc43917774"/>
      <w:r>
        <w:rPr>
          <w:rFonts w:hint="eastAsia" w:ascii="宋体" w:hAnsi="宋体" w:cs="宋体"/>
          <w:lang w:val="zh-CN"/>
        </w:rPr>
        <w:t xml:space="preserve">附件五、分项报价表格式</w:t>
      </w:r>
      <w:bookmarkEnd w:id="132"/>
      <w:r/>
      <w:bookmarkEnd w:id="133"/>
      <w:r/>
      <w:bookmarkEnd w:id="134"/>
      <w:r/>
      <w:bookmarkStart w:id="135" w:name="_Hlk44577839"/>
      <w:r/>
      <w:bookmarkStart w:id="136" w:name="_Hlk44580887"/>
      <w:r/>
      <w:r/>
    </w:p>
    <w:p>
      <w:pPr>
        <w:rPr>
          <w:rFonts w:ascii="宋体" w:hAnsi="宋体" w:cs="宋体"/>
        </w:rPr>
      </w:pPr>
      <w:r/>
      <w:bookmarkStart w:id="137" w:name="_Hlk68083992"/>
      <w:r/>
      <w:bookmarkEnd w:id="135"/>
      <w:r/>
      <w:r/>
    </w:p>
    <w:p>
      <w:pPr>
        <w:pStyle w:val="1003"/>
        <w:jc w:val="center"/>
        <w:rPr>
          <w:rFonts w:ascii="宋体" w:hAnsi="宋体" w:cs="宋体"/>
          <w:b/>
          <w:bCs/>
          <w:sz w:val="32"/>
          <w:szCs w:val="32"/>
        </w:rPr>
      </w:pPr>
      <w:r>
        <w:rPr>
          <w:rFonts w:hint="eastAsia" w:ascii="宋体" w:hAnsi="宋体" w:cs="宋体"/>
          <w:b/>
          <w:bCs/>
          <w:sz w:val="32"/>
          <w:szCs w:val="32"/>
        </w:rPr>
        <w:t xml:space="preserve">分项报价表</w:t>
      </w:r>
      <w:r/>
    </w:p>
    <w:p>
      <w:pPr>
        <w:ind w:firstLine="29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989"/>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271"/>
        </w:trPr>
        <w:tc>
          <w:tcPr>
            <w:tcW w:w="113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271"/>
        </w:trPr>
        <w:tc>
          <w:tcPr>
            <w:tcW w:w="113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271"/>
        </w:trPr>
        <w:tc>
          <w:tcPr>
            <w:tcW w:w="113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322"/>
        </w:trPr>
        <w:tc>
          <w:tcPr>
            <w:tcW w:w="113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322"/>
        </w:trPr>
        <w:tc>
          <w:tcPr>
            <w:tcW w:w="113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271"/>
        </w:trPr>
        <w:tc>
          <w:tcPr>
            <w:tcW w:w="113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271"/>
        </w:trPr>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271"/>
        </w:trPr>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271"/>
        </w:trPr>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271"/>
        </w:trPr>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271"/>
        </w:trPr>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c>
          <w:tcPr>
            <w:tcW w:w="1134" w:type="dxa"/>
            <w:vAlign w:val="center"/>
            <w:textDirection w:val="lrTb"/>
            <w:noWrap w:val="false"/>
          </w:tcPr>
          <w:p>
            <w:pPr>
              <w:rPr>
                <w:rFonts w:ascii="宋体" w:hAnsi="宋体" w:cs="宋体"/>
                <w:szCs w:val="21"/>
              </w:rPr>
            </w:pPr>
            <w:r>
              <w:rPr>
                <w:rFonts w:ascii="宋体" w:hAnsi="宋体" w:cs="宋体"/>
                <w:szCs w:val="21"/>
              </w:rPr>
            </w:r>
            <w:r/>
          </w:p>
        </w:tc>
        <w:tc>
          <w:tcPr>
            <w:tcW w:w="1134" w:type="dxa"/>
            <w:vAlign w:val="center"/>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left="210"/>
        <w:jc w:val="left"/>
        <w:spacing w:line="360" w:lineRule="auto"/>
        <w:shd w:val="clear" w:color="auto" w:fill="ffffff"/>
        <w:widowControl/>
        <w:rPr>
          <w:rFonts w:ascii="宋体" w:hAnsi="宋体" w:cs="宋体"/>
        </w:rPr>
      </w:pPr>
      <w:r/>
      <w:bookmarkStart w:id="138" w:name="_Hlk176531826"/>
      <w:r>
        <w:rPr>
          <w:rFonts w:hint="eastAsia" w:ascii="宋体" w:hAnsi="宋体" w:cs="宋体"/>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2.《分项报价表》中“</w:t>
      </w:r>
      <w:bookmarkStart w:id="139" w:name="OLE_LINK32"/>
      <w:r>
        <w:rPr>
          <w:rFonts w:hint="eastAsia" w:ascii="宋体" w:hAnsi="宋体" w:cs="宋体"/>
          <w:szCs w:val="21"/>
        </w:rPr>
        <w:t xml:space="preserve">投标总价</w:t>
      </w:r>
      <w:bookmarkEnd w:id="139"/>
      <w:r>
        <w:rPr>
          <w:rFonts w:hint="eastAsia" w:ascii="宋体" w:hAnsi="宋体" w:cs="宋体"/>
          <w:szCs w:val="21"/>
        </w:rPr>
        <w:t xml:space="preserve">”应当与《磋商报价表》中“投标总价”一致。</w:t>
      </w:r>
      <w:r/>
    </w:p>
    <w:p>
      <w:pPr>
        <w:ind w:firstLine="210"/>
        <w:jc w:val="left"/>
        <w:spacing w:line="360" w:lineRule="auto"/>
        <w:shd w:val="clear" w:color="auto" w:fill="ffffff"/>
        <w:widowControl/>
        <w:rPr>
          <w:rFonts w:ascii="宋体" w:hAnsi="宋体" w:cs="宋体"/>
          <w:szCs w:val="21"/>
        </w:rPr>
      </w:pPr>
      <w:r>
        <w:rPr>
          <w:rFonts w:hint="eastAsia" w:ascii="宋体" w:hAnsi="宋体" w:cs="宋体"/>
          <w:lang w:val="zh-CN"/>
        </w:rPr>
        <w:t xml:space="preserve">3.分项报价格式自拟，</w:t>
      </w:r>
      <w:r>
        <w:rPr>
          <w:rFonts w:hint="eastAsia" w:ascii="宋体" w:hAnsi="宋体" w:cs="宋体"/>
          <w:szCs w:val="21"/>
        </w:rPr>
        <w:t xml:space="preserve">如果行数不够，请自行增加。</w:t>
      </w:r>
      <w:bookmarkEnd w:id="138"/>
      <w:r/>
      <w:r/>
    </w:p>
    <w:p>
      <w:pPr>
        <w:ind w:firstLine="210"/>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widowControl/>
        <w:rPr>
          <w:rFonts w:ascii="宋体" w:hAnsi="宋体" w:cs="宋体"/>
          <w:b/>
          <w:bCs/>
          <w:sz w:val="32"/>
          <w:szCs w:val="32"/>
        </w:rPr>
      </w:pPr>
      <w:r>
        <w:rPr>
          <w:rFonts w:hint="eastAsia" w:ascii="宋体" w:hAnsi="宋体" w:cs="宋体"/>
          <w:b/>
          <w:bCs/>
          <w:sz w:val="32"/>
          <w:szCs w:val="32"/>
        </w:rPr>
        <w:br w:type="page" w:clear="all"/>
      </w:r>
      <w:bookmarkEnd w:id="136"/>
      <w:r/>
      <w:bookmarkEnd w:id="137"/>
      <w:r/>
      <w:r/>
    </w:p>
    <w:p>
      <w:pPr>
        <w:pStyle w:val="980"/>
        <w:numPr>
          <w:ilvl w:val="0"/>
          <w:numId w:val="0"/>
        </w:numPr>
        <w:rPr>
          <w:rFonts w:ascii="宋体" w:hAnsi="宋体" w:cs="宋体"/>
        </w:rPr>
      </w:pPr>
      <w:r/>
      <w:bookmarkStart w:id="140" w:name="_Toc43994938"/>
      <w:r/>
      <w:bookmarkStart w:id="141" w:name="_Toc43917775"/>
      <w:r>
        <w:rPr>
          <w:rFonts w:hint="eastAsia" w:ascii="宋体" w:hAnsi="宋体" w:cs="宋体"/>
        </w:rPr>
        <w:t xml:space="preserve">附件六、技术要求响应及偏离表</w:t>
      </w:r>
      <w:bookmarkEnd w:id="140"/>
      <w:r/>
      <w:bookmarkEnd w:id="141"/>
      <w:r/>
      <w:r/>
    </w:p>
    <w:p>
      <w:pPr>
        <w:ind w:left="435"/>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jc w:val="center"/>
        <w:spacing w:line="360" w:lineRule="auto"/>
        <w:shd w:val="clear" w:color="auto" w:fill="ffffff"/>
        <w:widowControl/>
        <w:rPr>
          <w:rFonts w:ascii="宋体" w:hAnsi="宋体" w:cs="宋体"/>
          <w:szCs w:val="21"/>
        </w:rPr>
      </w:pPr>
      <w:r/>
      <w:bookmarkStart w:id="142" w:name="_Hlk66806518"/>
      <w:r>
        <w:rPr>
          <w:rFonts w:hint="eastAsia" w:ascii="宋体" w:hAnsi="宋体" w:cs="宋体"/>
          <w:b/>
          <w:sz w:val="32"/>
          <w:szCs w:val="32"/>
        </w:rPr>
        <w:t xml:space="preserve">技术要求响应及偏离表</w:t>
      </w:r>
      <w:r/>
    </w:p>
    <w:p>
      <w:pPr>
        <w:ind w:firstLine="29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989"/>
        <w:tblW w:w="11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91"/>
        <w:gridCol w:w="9229"/>
        <w:gridCol w:w="668"/>
        <w:gridCol w:w="912"/>
      </w:tblGrid>
      <w:tr>
        <w:trPr>
          <w:jc w:val="center"/>
          <w:trHeight w:val="284"/>
        </w:trPr>
        <w:tc>
          <w:tcPr>
            <w:tcMar>
              <w:left w:w="10" w:type="dxa"/>
              <w:top w:w="0" w:type="dxa"/>
              <w:right w:w="10" w:type="dxa"/>
              <w:bottom w:w="0" w:type="dxa"/>
            </w:tcMar>
            <w:tcW w:w="39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922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竞争性磋商文件的技术要求</w:t>
            </w:r>
            <w:r/>
          </w:p>
        </w:tc>
        <w:tc>
          <w:tcPr>
            <w:tcMar>
              <w:left w:w="10" w:type="dxa"/>
              <w:top w:w="0" w:type="dxa"/>
              <w:right w:w="10" w:type="dxa"/>
              <w:bottom w:w="0" w:type="dxa"/>
            </w:tcMar>
            <w:tcW w:w="66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p>
            <w:pPr>
              <w:jc w:val="center"/>
              <w:spacing w:line="360" w:lineRule="auto"/>
              <w:widowControl/>
              <w:rPr>
                <w:rFonts w:ascii="宋体" w:hAnsi="宋体" w:cs="宋体"/>
                <w:b/>
                <w:szCs w:val="21"/>
              </w:rPr>
            </w:pPr>
            <w:r/>
            <w:bookmarkStart w:id="143" w:name="OLE_LINK54"/>
            <w:r>
              <w:rPr>
                <w:rFonts w:hint="eastAsia" w:ascii="宋体" w:hAnsi="宋体" w:cs="宋体"/>
                <w:b/>
                <w:szCs w:val="21"/>
              </w:rPr>
              <w:t xml:space="preserve">(响应或不响应)</w:t>
            </w:r>
            <w:bookmarkEnd w:id="143"/>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偏离情况</w:t>
            </w:r>
            <w:r/>
          </w:p>
          <w:p>
            <w:pPr>
              <w:jc w:val="center"/>
              <w:spacing w:line="360" w:lineRule="auto"/>
              <w:widowControl/>
              <w:rPr>
                <w:rFonts w:ascii="宋体" w:hAnsi="宋体" w:cs="宋体"/>
                <w:b/>
                <w:szCs w:val="21"/>
              </w:rPr>
            </w:pPr>
            <w:r>
              <w:rPr>
                <w:rFonts w:hint="eastAsia" w:ascii="宋体" w:hAnsi="宋体" w:cs="宋体"/>
                <w:b/>
                <w:szCs w:val="21"/>
              </w:rPr>
              <w:t xml:space="preserve">（正偏离、无偏离或负偏离）</w:t>
            </w:r>
            <w:r/>
          </w:p>
        </w:tc>
      </w:tr>
      <w:tr>
        <w:trPr>
          <w:jc w:val="center"/>
          <w:trHeight w:val="284"/>
        </w:trPr>
        <w:tc>
          <w:tcPr>
            <w:tcMar>
              <w:left w:w="10" w:type="dxa"/>
              <w:top w:w="0" w:type="dxa"/>
              <w:right w:w="10" w:type="dxa"/>
              <w:bottom w:w="0" w:type="dxa"/>
            </w:tcMar>
            <w:tcW w:w="391"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rPr>
              <w:t xml:space="preserve"> </w:t>
            </w:r>
            <w:r>
              <w:rPr>
                <w:rFonts w:hint="eastAsia" w:ascii="宋体" w:hAnsi="宋体" w:cs="宋体"/>
                <w:szCs w:val="21"/>
                <w:lang w:val="en-US" w:eastAsia="zh-CN"/>
              </w:rPr>
              <w:t xml:space="preserve">1</w:t>
            </w:r>
            <w:r/>
          </w:p>
        </w:tc>
        <w:tc>
          <w:tcPr>
            <w:tcMar>
              <w:left w:w="10" w:type="dxa"/>
              <w:top w:w="0" w:type="dxa"/>
              <w:right w:w="10" w:type="dxa"/>
              <w:bottom w:w="0" w:type="dxa"/>
            </w:tcMar>
            <w:tcW w:w="9229" w:type="dxa"/>
            <w:vAlign w:val="center"/>
            <w:textDirection w:val="lrTb"/>
            <w:noWrap w:val="false"/>
          </w:tcPr>
          <w:p>
            <w:pPr>
              <w:ind w:firstLine="480"/>
              <w:spacing w:line="360" w:lineRule="auto"/>
              <w:rPr>
                <w:rFonts w:ascii="宋体" w:hAnsi="宋体" w:cs="宋体"/>
                <w:szCs w:val="21"/>
              </w:rPr>
            </w:pPr>
            <w:r>
              <w:rPr>
                <w:rFonts w:hint="eastAsia" w:ascii="宋体" w:hAnsi="宋体" w:cs="宋体"/>
                <w:b/>
                <w:bCs/>
                <w:szCs w:val="21"/>
              </w:rPr>
              <w:t xml:space="preserve">（一）日常巡检</w:t>
            </w:r>
            <w:r>
              <w:rPr>
                <w:rFonts w:hint="eastAsia" w:ascii="宋体" w:hAnsi="宋体" w:cs="宋体"/>
                <w:szCs w:val="21"/>
              </w:rPr>
              <w:t xml:space="preserve"> </w:t>
            </w:r>
            <w:r/>
          </w:p>
          <w:p>
            <w:pPr>
              <w:ind w:firstLine="480"/>
              <w:spacing w:line="360" w:lineRule="auto"/>
              <w:rPr>
                <w:rFonts w:ascii="宋体" w:hAnsi="宋体" w:cs="宋体"/>
                <w:sz w:val="21"/>
                <w:szCs w:val="21"/>
              </w:rPr>
            </w:pPr>
            <w:r>
              <w:rPr>
                <w:rFonts w:hint="eastAsia" w:ascii="宋体" w:hAnsi="宋体" w:cs="宋体"/>
                <w:sz w:val="21"/>
                <w:szCs w:val="21"/>
              </w:rPr>
              <w:t xml:space="preserve">1、运维服务内容</w:t>
            </w:r>
            <w:r/>
          </w:p>
          <w:p>
            <w:pPr>
              <w:ind w:firstLine="480"/>
              <w:spacing w:line="360" w:lineRule="auto"/>
              <w:rPr>
                <w:rFonts w:ascii="宋体" w:hAnsi="宋体" w:cs="宋体"/>
                <w:sz w:val="21"/>
                <w:szCs w:val="21"/>
              </w:rPr>
            </w:pPr>
            <w:r>
              <w:rPr>
                <w:rFonts w:hint="eastAsia" w:ascii="宋体" w:hAnsi="宋体" w:cs="宋体"/>
                <w:sz w:val="21"/>
                <w:szCs w:val="21"/>
              </w:rPr>
              <w:t xml:space="preserve">针对办公区网络、安全、物理环境、综合布线等设备和线路提供日常巡检、重要通信保障、资产梳理、故障处理和网络优化、专家诊断、网络安全防护和事件处置等。</w:t>
            </w:r>
            <w:r/>
          </w:p>
          <w:p>
            <w:pPr>
              <w:ind w:firstLine="480"/>
              <w:spacing w:line="360" w:lineRule="auto"/>
              <w:rPr>
                <w:rFonts w:ascii="宋体" w:hAnsi="宋体" w:cs="宋体"/>
                <w:sz w:val="21"/>
                <w:szCs w:val="21"/>
              </w:rPr>
            </w:pPr>
            <w:r>
              <w:rPr>
                <w:rFonts w:hint="eastAsia" w:ascii="宋体" w:hAnsi="宋体" w:cs="宋体"/>
                <w:sz w:val="21"/>
                <w:szCs w:val="21"/>
              </w:rPr>
              <w:t xml:space="preserve">2、运维保障服务要求</w:t>
            </w:r>
            <w:r/>
          </w:p>
          <w:p>
            <w:pPr>
              <w:ind w:firstLine="480"/>
              <w:spacing w:line="360" w:lineRule="auto"/>
              <w:rPr>
                <w:rFonts w:ascii="宋体" w:hAnsi="宋体" w:cs="宋体"/>
                <w:sz w:val="21"/>
                <w:szCs w:val="21"/>
              </w:rPr>
            </w:pPr>
            <w:r>
              <w:rPr>
                <w:rFonts w:hint="eastAsia" w:ascii="宋体" w:hAnsi="宋体" w:cs="宋体"/>
                <w:sz w:val="21"/>
                <w:szCs w:val="21"/>
              </w:rPr>
              <w:t xml:space="preserve">日常巡检：根据巡检计划内容及周期要求，按时按要求完成所有巡检任务。包括机房现场设备硬件、线缆、标签、环境等现场巡检工作，并按要求反馈作业结果，发现异常及时汇报，并根据要求现场处理异常情况。</w:t>
            </w:r>
            <w:r/>
          </w:p>
          <w:p>
            <w:pPr>
              <w:ind w:firstLine="480"/>
              <w:spacing w:line="360" w:lineRule="auto"/>
              <w:rPr>
                <w:rFonts w:ascii="宋体" w:hAnsi="宋体" w:cs="宋体"/>
                <w:sz w:val="21"/>
                <w:szCs w:val="21"/>
              </w:rPr>
            </w:pPr>
            <w:r>
              <w:rPr>
                <w:rFonts w:hint="eastAsia" w:ascii="宋体" w:hAnsi="宋体" w:cs="宋体"/>
                <w:sz w:val="21"/>
                <w:szCs w:val="21"/>
              </w:rPr>
              <w:t xml:space="preserve">重要通信保障：为应对法定节假日，国家重大事件及突发事件等保障需求，可提供远程和现场值班工程师及时响应。特别重要的场合下可提供人员现场保障。提供通信保障前的巡检服务。</w:t>
            </w:r>
            <w:r/>
          </w:p>
          <w:p>
            <w:pPr>
              <w:ind w:firstLine="480"/>
              <w:spacing w:line="360" w:lineRule="auto"/>
              <w:rPr>
                <w:rFonts w:ascii="宋体" w:hAnsi="宋体" w:cs="宋体"/>
                <w:sz w:val="21"/>
                <w:szCs w:val="21"/>
              </w:rPr>
            </w:pPr>
            <w:r>
              <w:rPr>
                <w:rFonts w:hint="eastAsia" w:ascii="宋体" w:hAnsi="宋体" w:cs="宋体"/>
                <w:sz w:val="21"/>
                <w:szCs w:val="21"/>
              </w:rPr>
              <w:t xml:space="preserve">资产梳理：对采购人办公区网络架构、资产情况进行梳理，并出具拓扑和资产清单；后续根据网络情况动态调整拓扑，机房内设备标签核查、更新、增补。</w:t>
            </w:r>
            <w:r/>
          </w:p>
          <w:p>
            <w:pPr>
              <w:ind w:firstLine="480"/>
              <w:spacing w:line="360" w:lineRule="auto"/>
              <w:rPr>
                <w:rFonts w:ascii="宋体" w:hAnsi="宋体" w:cs="宋体"/>
                <w:sz w:val="21"/>
                <w:szCs w:val="21"/>
              </w:rPr>
            </w:pPr>
            <w:r>
              <w:rPr>
                <w:rFonts w:hint="eastAsia" w:ascii="宋体" w:hAnsi="宋体" w:cs="宋体"/>
                <w:sz w:val="21"/>
                <w:szCs w:val="21"/>
              </w:rPr>
              <w:t xml:space="preserve">故障处理和网络优化：上门进行设备检测，故障排查，提供故障报告和解决方案。</w:t>
            </w:r>
            <w:r/>
          </w:p>
          <w:p>
            <w:pPr>
              <w:ind w:firstLine="480"/>
              <w:spacing w:line="360" w:lineRule="auto"/>
              <w:rPr>
                <w:rFonts w:ascii="宋体" w:hAnsi="宋体" w:cs="宋体"/>
                <w:sz w:val="21"/>
                <w:szCs w:val="21"/>
              </w:rPr>
            </w:pPr>
            <w:r>
              <w:rPr>
                <w:rFonts w:hint="eastAsia" w:ascii="宋体" w:hAnsi="宋体"/>
                <w:sz w:val="21"/>
                <w:szCs w:val="21"/>
              </w:rPr>
              <w:t xml:space="preserve">专家诊断：遇到疑难网络故障时调度专家进行诊断，安排云网安专家进行网络隐患排查、事件追溯、终端定位和特殊事件处理等，特殊事件含：包网络优化、华为网管和日志审计设备服务，每季度对设备配置进行检查、网络拓扑进行评估，以及相关服务</w:t>
            </w:r>
            <w:r>
              <w:rPr>
                <w:rFonts w:hint="eastAsia" w:ascii="宋体" w:hAnsi="宋体" w:cs="宋体"/>
                <w:sz w:val="21"/>
                <w:szCs w:val="21"/>
              </w:rPr>
              <w:t xml:space="preserve">。</w:t>
            </w:r>
            <w:r/>
          </w:p>
          <w:p>
            <w:pPr>
              <w:ind w:firstLine="480"/>
              <w:spacing w:line="360" w:lineRule="auto"/>
              <w:rPr>
                <w:rFonts w:ascii="宋体" w:hAnsi="宋体" w:cs="宋体"/>
                <w:sz w:val="21"/>
                <w:szCs w:val="21"/>
              </w:rPr>
            </w:pPr>
            <w:r>
              <w:rPr>
                <w:rFonts w:hint="eastAsia" w:ascii="宋体" w:hAnsi="宋体" w:cs="宋体"/>
                <w:sz w:val="21"/>
                <w:szCs w:val="21"/>
              </w:rPr>
              <w:t xml:space="preserve">软件（固件）和策略（规则库）维护：及时关注并升级网络设备、安全设备的软件（固件），确保系统安全性和稳定性。根据业务需求和网络环境变化，优化网络策略（规则库）等，提高网络效率和安全性。</w:t>
            </w:r>
            <w:r/>
          </w:p>
          <w:p>
            <w:pPr>
              <w:ind w:firstLine="480"/>
              <w:spacing w:line="360" w:lineRule="auto"/>
              <w:rPr>
                <w:rFonts w:ascii="宋体" w:hAnsi="宋体" w:cs="宋体"/>
                <w:sz w:val="21"/>
                <w:szCs w:val="21"/>
              </w:rPr>
            </w:pPr>
            <w:r>
              <w:rPr>
                <w:rFonts w:hint="eastAsia" w:ascii="宋体" w:hAnsi="宋体" w:cs="宋体"/>
                <w:sz w:val="21"/>
                <w:szCs w:val="21"/>
              </w:rPr>
              <w:t xml:space="preserve">3、总体响应时间</w:t>
            </w:r>
            <w:r/>
          </w:p>
          <w:tbl>
            <w:tblPr>
              <w:tblStyle w:val="989"/>
              <w:tblW w:w="92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679"/>
              <w:gridCol w:w="689"/>
              <w:gridCol w:w="650"/>
              <w:gridCol w:w="689"/>
            </w:tblGrid>
            <w:tr>
              <w:trPr>
                <w:trHeight w:val="475"/>
              </w:trPr>
              <w:tc>
                <w:tcPr>
                  <w:gridSpan w:val="2"/>
                  <w:tcW w:w="3741"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响应时间</w:t>
                  </w:r>
                  <w:r/>
                </w:p>
              </w:tc>
              <w:tc>
                <w:tcPr>
                  <w:tcW w:w="1871"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w:t>
                  </w:r>
                  <w:r/>
                </w:p>
              </w:tc>
              <w:tc>
                <w:tcPr>
                  <w:gridSpan w:val="2"/>
                  <w:tcW w:w="3607"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解决时间</w:t>
                  </w:r>
                  <w:r/>
                </w:p>
              </w:tc>
            </w:tr>
            <w:tr>
              <w:trPr>
                <w:trHeight w:val="402"/>
              </w:trPr>
              <w:tc>
                <w:tcPr>
                  <w:tcW w:w="1903"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38"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c>
                <w:tcPr>
                  <w:tcW w:w="1871"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服务时间要求</w:t>
                  </w:r>
                  <w:r/>
                </w:p>
              </w:tc>
              <w:tc>
                <w:tcPr>
                  <w:tcW w:w="1737"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70"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r>
            <w:tr>
              <w:trPr>
                <w:trHeight w:val="347"/>
              </w:trPr>
              <w:tc>
                <w:tcPr>
                  <w:tcW w:w="1903"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现场4小时响应</w:t>
                  </w:r>
                  <w:r/>
                </w:p>
              </w:tc>
              <w:tc>
                <w:tcPr>
                  <w:tcW w:w="1838"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现场24小时响应 </w:t>
                  </w:r>
                  <w:r/>
                </w:p>
              </w:tc>
              <w:tc>
                <w:tcPr>
                  <w:tcW w:w="1871"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7*24小时 </w:t>
                  </w:r>
                  <w:r/>
                </w:p>
              </w:tc>
              <w:tc>
                <w:tcPr>
                  <w:tcW w:w="1737"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现场4小时响应</w:t>
                  </w:r>
                  <w:r/>
                </w:p>
              </w:tc>
              <w:tc>
                <w:tcPr>
                  <w:tcW w:w="1870"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现场24小时响应 </w:t>
                  </w:r>
                  <w:r/>
                </w:p>
              </w:tc>
            </w:tr>
          </w:tbl>
          <w:p>
            <w:pPr>
              <w:ind w:firstLine="480"/>
              <w:spacing w:line="360" w:lineRule="auto"/>
              <w:rPr>
                <w:rFonts w:ascii="宋体" w:hAnsi="宋体" w:cs="宋体"/>
                <w:b/>
                <w:bCs/>
                <w:sz w:val="21"/>
                <w:szCs w:val="21"/>
              </w:rPr>
            </w:pPr>
            <w:r>
              <w:rPr>
                <w:rFonts w:hint="eastAsia" w:ascii="宋体" w:hAnsi="宋体" w:cs="宋体"/>
                <w:b/>
                <w:bCs/>
                <w:sz w:val="21"/>
                <w:szCs w:val="21"/>
              </w:rPr>
              <w:t xml:space="preserve">（二）网络设备运维</w:t>
            </w:r>
            <w:r/>
          </w:p>
          <w:p>
            <w:pPr>
              <w:ind w:firstLine="480"/>
              <w:spacing w:line="360" w:lineRule="auto"/>
              <w:rPr>
                <w:rFonts w:ascii="宋体" w:hAnsi="宋体" w:cs="宋体"/>
                <w:sz w:val="21"/>
                <w:szCs w:val="21"/>
              </w:rPr>
            </w:pPr>
            <w:r>
              <w:rPr>
                <w:rFonts w:hint="eastAsia" w:ascii="宋体" w:hAnsi="宋体" w:cs="宋体"/>
                <w:sz w:val="21"/>
                <w:szCs w:val="21"/>
              </w:rPr>
              <w:t xml:space="preserve">1、网络设备运维清单</w:t>
            </w:r>
            <w:r/>
          </w:p>
          <w:tbl>
            <w:tblPr>
              <w:tblStyle w:val="989"/>
              <w:tblW w:w="879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734"/>
              <w:gridCol w:w="776"/>
              <w:gridCol w:w="4956"/>
              <w:gridCol w:w="453"/>
              <w:gridCol w:w="499"/>
              <w:gridCol w:w="892"/>
            </w:tblGrid>
            <w:tr>
              <w:trPr>
                <w:trHeight w:val="924"/>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序号</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名称</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品牌</w:t>
                  </w:r>
                  <w:r/>
                </w:p>
              </w:tc>
              <w:tc>
                <w:tcPr>
                  <w:tcW w:w="495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型号</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数量</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单位</w:t>
                  </w:r>
                  <w:r/>
                </w:p>
              </w:tc>
              <w:tc>
                <w:tcPr>
                  <w:tcW w:w="892"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备注</w:t>
                  </w:r>
                  <w:r/>
                </w:p>
              </w:tc>
            </w:tr>
            <w:tr>
              <w:trPr>
                <w:trHeight w:val="2447"/>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核心交换机</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495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S6730-H48X6C</w:t>
                  </w:r>
                  <w:r>
                    <w:rPr>
                      <w:rFonts w:hint="eastAsia" w:ascii="宋体" w:hAnsi="宋体" w:cs="宋体"/>
                      <w:sz w:val="21"/>
                      <w:szCs w:val="21"/>
                    </w:rPr>
                    <w:br/>
                  </w:r>
                  <w:r>
                    <w:rPr>
                      <w:rFonts w:hint="eastAsia" w:ascii="宋体" w:hAnsi="宋体" w:cs="宋体"/>
                      <w:sz w:val="21"/>
                      <w:szCs w:val="21"/>
                    </w:rPr>
                    <w:t xml:space="preserve">交换容量为2.56Tbps，包转发率为1620Mpps  </w:t>
                  </w:r>
                  <w:r>
                    <w:rPr>
                      <w:rFonts w:hint="eastAsia" w:ascii="宋体" w:hAnsi="宋体" w:cs="宋体"/>
                      <w:sz w:val="21"/>
                      <w:szCs w:val="21"/>
                    </w:rPr>
                    <w:br/>
                  </w:r>
                  <w:r>
                    <w:rPr>
                      <w:rFonts w:hint="eastAsia" w:ascii="宋体" w:hAnsi="宋体" w:cs="宋体"/>
                      <w:sz w:val="21"/>
                      <w:szCs w:val="21"/>
                    </w:rPr>
                    <w:t xml:space="preserve">为了提高设备可靠性，支持并实配可插拔的双电源</w:t>
                  </w:r>
                  <w:r>
                    <w:rPr>
                      <w:rFonts w:hint="eastAsia" w:ascii="宋体" w:hAnsi="宋体" w:cs="宋体"/>
                      <w:sz w:val="21"/>
                      <w:szCs w:val="21"/>
                    </w:rPr>
                    <w:br/>
                  </w:r>
                  <w:r>
                    <w:rPr>
                      <w:rFonts w:hint="eastAsia" w:ascii="宋体" w:hAnsi="宋体" w:cs="宋体"/>
                      <w:sz w:val="21"/>
                      <w:szCs w:val="21"/>
                    </w:rPr>
                    <w:t xml:space="preserve">为了提高设备散热性能，支持可插拔风扇框，风扇框个数4</w:t>
                  </w:r>
                  <w:r>
                    <w:rPr>
                      <w:rFonts w:hint="eastAsia" w:ascii="宋体" w:hAnsi="宋体" w:cs="宋体"/>
                      <w:sz w:val="21"/>
                      <w:szCs w:val="21"/>
                    </w:rPr>
                    <w:br/>
                  </w:r>
                  <w:r>
                    <w:rPr>
                      <w:rFonts w:hint="eastAsia" w:ascii="宋体" w:hAnsi="宋体" w:cs="宋体"/>
                      <w:sz w:val="21"/>
                      <w:szCs w:val="21"/>
                    </w:rPr>
                    <w:t xml:space="preserve">支持融合AC管理功能，整机可管理1K AP</w:t>
                  </w:r>
                  <w:r>
                    <w:rPr>
                      <w:rFonts w:hint="eastAsia" w:ascii="宋体" w:hAnsi="宋体" w:cs="宋体"/>
                      <w:sz w:val="21"/>
                      <w:szCs w:val="21"/>
                    </w:rPr>
                    <w:br/>
                  </w:r>
                  <w:r>
                    <w:rPr>
                      <w:rFonts w:hint="eastAsia" w:ascii="宋体" w:hAnsi="宋体" w:cs="宋体"/>
                      <w:sz w:val="21"/>
                      <w:szCs w:val="21"/>
                    </w:rPr>
                    <w:t xml:space="preserve">电源2块，万兆SFP+接口48个， 100GE QSFP28接口6个，1根3M堆叠线缆，本次所需AP授权140个</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2</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892"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142"/>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2</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48口接入交换机</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495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S5735-S48T4X </w:t>
                  </w:r>
                  <w:r>
                    <w:rPr>
                      <w:rFonts w:hint="eastAsia" w:ascii="宋体" w:hAnsi="宋体" w:cs="宋体"/>
                      <w:sz w:val="21"/>
                      <w:szCs w:val="21"/>
                    </w:rPr>
                    <w:br/>
                  </w:r>
                  <w:r>
                    <w:rPr>
                      <w:rFonts w:hint="eastAsia" w:ascii="宋体" w:hAnsi="宋体" w:cs="宋体"/>
                      <w:sz w:val="21"/>
                      <w:szCs w:val="21"/>
                    </w:rPr>
                    <w:t xml:space="preserve">交换容量为432Gbps，包转发率为144Mpps；</w:t>
                  </w:r>
                  <w:r>
                    <w:rPr>
                      <w:rFonts w:hint="eastAsia" w:ascii="宋体" w:hAnsi="宋体" w:cs="宋体"/>
                      <w:sz w:val="21"/>
                      <w:szCs w:val="21"/>
                    </w:rPr>
                    <w:br/>
                  </w:r>
                  <w:r>
                    <w:rPr>
                      <w:rFonts w:hint="eastAsia" w:ascii="宋体" w:hAnsi="宋体" w:cs="宋体"/>
                      <w:sz w:val="21"/>
                      <w:szCs w:val="21"/>
                    </w:rPr>
                    <w:t xml:space="preserve">整机提供千兆电口48个，万兆光口4个；</w:t>
                  </w:r>
                  <w:r>
                    <w:rPr>
                      <w:rFonts w:hint="eastAsia" w:ascii="宋体" w:hAnsi="宋体" w:cs="宋体"/>
                      <w:sz w:val="21"/>
                      <w:szCs w:val="21"/>
                    </w:rPr>
                    <w:br/>
                  </w:r>
                  <w:r>
                    <w:rPr>
                      <w:rFonts w:hint="eastAsia" w:ascii="宋体" w:hAnsi="宋体" w:cs="宋体"/>
                      <w:sz w:val="21"/>
                      <w:szCs w:val="21"/>
                    </w:rPr>
                    <w:t xml:space="preserve">支持USB接口；</w:t>
                  </w:r>
                  <w:r>
                    <w:rPr>
                      <w:rFonts w:hint="eastAsia" w:ascii="宋体" w:hAnsi="宋体" w:cs="宋体"/>
                      <w:sz w:val="21"/>
                      <w:szCs w:val="21"/>
                    </w:rPr>
                    <w:br/>
                  </w:r>
                  <w:r>
                    <w:rPr>
                      <w:rFonts w:hint="eastAsia" w:ascii="宋体" w:hAnsi="宋体" w:cs="宋体"/>
                      <w:sz w:val="21"/>
                      <w:szCs w:val="21"/>
                    </w:rPr>
                    <w:t xml:space="preserve">支持模块化可插拔双电源</w:t>
                  </w:r>
                  <w:r>
                    <w:rPr>
                      <w:rFonts w:hint="eastAsia" w:ascii="宋体" w:hAnsi="宋体" w:cs="宋体"/>
                      <w:sz w:val="21"/>
                      <w:szCs w:val="21"/>
                    </w:rPr>
                    <w:br/>
                  </w:r>
                  <w:r>
                    <w:rPr>
                      <w:rFonts w:hint="eastAsia" w:ascii="宋体" w:hAnsi="宋体" w:cs="宋体"/>
                      <w:sz w:val="21"/>
                      <w:szCs w:val="21"/>
                    </w:rPr>
                    <w:t xml:space="preserve">千兆电口48个，万兆光口4个，可插拔电源模块2块， 1根堆叠线缆</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16</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892"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1838"/>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3</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48口POE多速率交换机</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495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S5732-H48UM2CC </w:t>
                  </w:r>
                  <w:r>
                    <w:rPr>
                      <w:rFonts w:hint="eastAsia" w:ascii="宋体" w:hAnsi="宋体" w:cs="宋体"/>
                      <w:sz w:val="21"/>
                      <w:szCs w:val="21"/>
                    </w:rPr>
                    <w:br/>
                  </w:r>
                  <w:r>
                    <w:rPr>
                      <w:rFonts w:hint="eastAsia" w:ascii="宋体" w:hAnsi="宋体" w:cs="宋体"/>
                      <w:sz w:val="21"/>
                      <w:szCs w:val="21"/>
                    </w:rPr>
                    <w:t xml:space="preserve">交换容量为2.4Tbps，包转发率为1320Mpps</w:t>
                  </w:r>
                  <w:r>
                    <w:rPr>
                      <w:rFonts w:hint="eastAsia" w:ascii="宋体" w:hAnsi="宋体" w:cs="宋体"/>
                      <w:sz w:val="21"/>
                      <w:szCs w:val="21"/>
                    </w:rPr>
                    <w:br/>
                  </w:r>
                  <w:r>
                    <w:rPr>
                      <w:rFonts w:hint="eastAsia" w:ascii="宋体" w:hAnsi="宋体" w:cs="宋体"/>
                      <w:sz w:val="21"/>
                      <w:szCs w:val="21"/>
                    </w:rPr>
                    <w:t xml:space="preserve">支持802.3af/at/bt供电协议，支持单端口POE++ 60W供电能力，整机POE供电功率1570W</w:t>
                  </w:r>
                  <w:r>
                    <w:rPr>
                      <w:rFonts w:hint="eastAsia" w:ascii="宋体" w:hAnsi="宋体" w:cs="宋体"/>
                      <w:sz w:val="21"/>
                      <w:szCs w:val="21"/>
                    </w:rPr>
                    <w:br/>
                  </w:r>
                  <w:r>
                    <w:rPr>
                      <w:rFonts w:hint="eastAsia" w:ascii="宋体" w:hAnsi="宋体" w:cs="宋体"/>
                      <w:sz w:val="21"/>
                      <w:szCs w:val="21"/>
                    </w:rPr>
                    <w:t xml:space="preserve">为了提高设备可靠性，支持模块化双电源槽位，支持热插拔</w:t>
                  </w:r>
                  <w:r>
                    <w:rPr>
                      <w:rFonts w:hint="eastAsia" w:ascii="宋体" w:hAnsi="宋体" w:cs="宋体"/>
                      <w:sz w:val="21"/>
                      <w:szCs w:val="21"/>
                    </w:rPr>
                    <w:br/>
                  </w:r>
                  <w:r>
                    <w:rPr>
                      <w:rFonts w:hint="eastAsia" w:ascii="宋体" w:hAnsi="宋体" w:cs="宋体"/>
                      <w:sz w:val="21"/>
                      <w:szCs w:val="21"/>
                    </w:rPr>
                    <w:t xml:space="preserve">为了提高设备散热性能，支持可插拔风扇框，风扇框个数2</w:t>
                  </w:r>
                  <w:r>
                    <w:rPr>
                      <w:rFonts w:hint="eastAsia" w:ascii="宋体" w:hAnsi="宋体" w:cs="宋体"/>
                      <w:sz w:val="21"/>
                      <w:szCs w:val="21"/>
                    </w:rPr>
                    <w:br/>
                  </w:r>
                  <w:r>
                    <w:rPr>
                      <w:rFonts w:hint="eastAsia" w:ascii="宋体" w:hAnsi="宋体" w:cs="宋体"/>
                      <w:sz w:val="21"/>
                      <w:szCs w:val="21"/>
                    </w:rPr>
                    <w:t xml:space="preserve">1000W POE电源2块，100M/1G/2.5以太网接口36个，5G以太网接口12个，25GE SFP28接口4个，40GE QSFP+2个</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6</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892"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751"/>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4</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吸顶AP</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495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AirEngine5760-51</w:t>
                  </w:r>
                  <w:r>
                    <w:rPr>
                      <w:rFonts w:hint="eastAsia" w:ascii="宋体" w:hAnsi="宋体" w:cs="宋体"/>
                      <w:sz w:val="21"/>
                      <w:szCs w:val="21"/>
                    </w:rPr>
                    <w:br/>
                  </w:r>
                  <w:r>
                    <w:rPr>
                      <w:rFonts w:hint="eastAsia" w:ascii="宋体" w:hAnsi="宋体" w:cs="宋体"/>
                      <w:sz w:val="21"/>
                      <w:szCs w:val="21"/>
                    </w:rPr>
                    <w:t xml:space="preserve">支持2.4GHz/5GHz双频段，所有射频均支持802.11ax标准</w:t>
                  </w:r>
                  <w:r>
                    <w:rPr>
                      <w:rFonts w:hint="eastAsia" w:ascii="宋体" w:hAnsi="宋体" w:cs="宋体"/>
                      <w:sz w:val="21"/>
                      <w:szCs w:val="21"/>
                    </w:rPr>
                    <w:br/>
                  </w:r>
                  <w:r>
                    <w:rPr>
                      <w:rFonts w:hint="eastAsia" w:ascii="宋体" w:hAnsi="宋体" w:cs="宋体"/>
                      <w:sz w:val="21"/>
                      <w:szCs w:val="21"/>
                    </w:rPr>
                    <w:t xml:space="preserve">整机默认6条流，可通过授权升级增加至8条流</w:t>
                  </w:r>
                  <w:r>
                    <w:rPr>
                      <w:rFonts w:hint="eastAsia" w:ascii="宋体" w:hAnsi="宋体" w:cs="宋体"/>
                      <w:sz w:val="21"/>
                      <w:szCs w:val="21"/>
                    </w:rPr>
                    <w:br/>
                  </w:r>
                  <w:r>
                    <w:rPr>
                      <w:rFonts w:hint="eastAsia" w:ascii="宋体" w:hAnsi="宋体" w:cs="宋体"/>
                      <w:sz w:val="21"/>
                      <w:szCs w:val="21"/>
                    </w:rPr>
                    <w:t xml:space="preserve">2.4GHz射频支持802.11ax 4x4 MU-MIMO</w:t>
                  </w:r>
                  <w:r>
                    <w:rPr>
                      <w:rFonts w:hint="eastAsia" w:ascii="宋体" w:hAnsi="宋体" w:cs="宋体"/>
                      <w:sz w:val="21"/>
                      <w:szCs w:val="21"/>
                    </w:rPr>
                    <w:br/>
                  </w:r>
                  <w:r>
                    <w:rPr>
                      <w:rFonts w:hint="eastAsia" w:ascii="宋体" w:hAnsi="宋体" w:cs="宋体"/>
                      <w:sz w:val="21"/>
                      <w:szCs w:val="21"/>
                    </w:rPr>
                    <w:t xml:space="preserve">整机最大协商速率5.95Gbps</w:t>
                  </w:r>
                  <w:r>
                    <w:rPr>
                      <w:rFonts w:hint="eastAsia" w:ascii="宋体" w:hAnsi="宋体" w:cs="宋体"/>
                      <w:sz w:val="21"/>
                      <w:szCs w:val="21"/>
                    </w:rPr>
                    <w:br/>
                  </w:r>
                  <w:r>
                    <w:rPr>
                      <w:rFonts w:hint="eastAsia" w:ascii="宋体" w:hAnsi="宋体" w:cs="宋体"/>
                      <w:sz w:val="21"/>
                      <w:szCs w:val="21"/>
                    </w:rPr>
                    <w:t xml:space="preserve">支持1个5G自适应以太口，1个GE口</w:t>
                  </w:r>
                  <w:r>
                    <w:rPr>
                      <w:rFonts w:hint="eastAsia" w:ascii="宋体" w:hAnsi="宋体" w:cs="宋体"/>
                      <w:sz w:val="21"/>
                      <w:szCs w:val="21"/>
                    </w:rPr>
                    <w:br/>
                  </w:r>
                  <w:r>
                    <w:rPr>
                      <w:rFonts w:hint="eastAsia" w:ascii="宋体" w:hAnsi="宋体" w:cs="宋体"/>
                      <w:sz w:val="21"/>
                      <w:szCs w:val="21"/>
                    </w:rPr>
                    <w:t xml:space="preserve">内置智能天线</w:t>
                  </w:r>
                  <w:r>
                    <w:rPr>
                      <w:rFonts w:hint="eastAsia" w:ascii="宋体" w:hAnsi="宋体" w:cs="宋体"/>
                      <w:sz w:val="21"/>
                      <w:szCs w:val="21"/>
                    </w:rPr>
                    <w:br/>
                  </w:r>
                  <w:r>
                    <w:rPr>
                      <w:rFonts w:hint="eastAsia" w:ascii="宋体" w:hAnsi="宋体" w:cs="宋体"/>
                      <w:sz w:val="21"/>
                      <w:szCs w:val="21"/>
                    </w:rPr>
                    <w:t xml:space="preserve">内置蓝牙5.0，可实现蓝牙终端精确定位</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12</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892"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1年维保，原备件维修更换，耗材全包</w:t>
                  </w:r>
                  <w:r/>
                </w:p>
              </w:tc>
            </w:tr>
            <w:tr>
              <w:trPr>
                <w:trHeight w:val="3360"/>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5</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面板AP</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495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AP2051DN</w:t>
                  </w:r>
                  <w:r>
                    <w:rPr>
                      <w:rFonts w:hint="eastAsia" w:ascii="宋体" w:hAnsi="宋体" w:cs="宋体"/>
                      <w:sz w:val="21"/>
                      <w:szCs w:val="21"/>
                    </w:rPr>
                    <w:br/>
                  </w:r>
                  <w:r>
                    <w:rPr>
                      <w:rFonts w:hint="eastAsia" w:ascii="宋体" w:hAnsi="宋体" w:cs="宋体"/>
                      <w:sz w:val="21"/>
                      <w:szCs w:val="21"/>
                    </w:rPr>
                    <w:t xml:space="preserve">支持2.4GHz/5GHz双频段，支持802.11a/n/ac/ac wave2协议标准</w:t>
                  </w:r>
                  <w:r>
                    <w:rPr>
                      <w:rFonts w:hint="eastAsia" w:ascii="宋体" w:hAnsi="宋体" w:cs="宋体"/>
                      <w:sz w:val="21"/>
                      <w:szCs w:val="21"/>
                    </w:rPr>
                    <w:br/>
                  </w:r>
                  <w:r>
                    <w:rPr>
                      <w:rFonts w:hint="eastAsia" w:ascii="宋体" w:hAnsi="宋体" w:cs="宋体"/>
                      <w:sz w:val="21"/>
                      <w:szCs w:val="21"/>
                    </w:rPr>
                    <w:t xml:space="preserve">2.4G支持2x2，最高带宽400Mbps，5G支持2x2，,最高速率867Mbps，整机速率1.26Gbps</w:t>
                  </w:r>
                  <w:r>
                    <w:rPr>
                      <w:rFonts w:hint="eastAsia" w:ascii="宋体" w:hAnsi="宋体" w:cs="宋体"/>
                      <w:sz w:val="21"/>
                      <w:szCs w:val="21"/>
                    </w:rPr>
                    <w:br/>
                  </w:r>
                  <w:r>
                    <w:rPr>
                      <w:rFonts w:hint="eastAsia" w:ascii="宋体" w:hAnsi="宋体" w:cs="宋体"/>
                      <w:sz w:val="21"/>
                      <w:szCs w:val="21"/>
                    </w:rPr>
                    <w:t xml:space="preserve">支持1个GE上行接口，4个GE下行接口，其中一个上行接口可用于POE输入供电</w:t>
                  </w:r>
                  <w:r>
                    <w:rPr>
                      <w:rFonts w:hint="eastAsia" w:ascii="宋体" w:hAnsi="宋体" w:cs="宋体"/>
                      <w:sz w:val="21"/>
                      <w:szCs w:val="21"/>
                    </w:rPr>
                    <w:br/>
                  </w:r>
                  <w:r>
                    <w:rPr>
                      <w:rFonts w:hint="eastAsia" w:ascii="宋体" w:hAnsi="宋体" w:cs="宋体"/>
                      <w:sz w:val="21"/>
                      <w:szCs w:val="21"/>
                    </w:rPr>
                    <w:t xml:space="preserve">支持标准USB接口，可用于对外供电</w:t>
                  </w:r>
                  <w:r>
                    <w:rPr>
                      <w:rFonts w:hint="eastAsia" w:ascii="宋体" w:hAnsi="宋体" w:cs="宋体"/>
                      <w:sz w:val="21"/>
                      <w:szCs w:val="21"/>
                    </w:rPr>
                    <w:br/>
                  </w:r>
                  <w:r>
                    <w:rPr>
                      <w:rFonts w:hint="eastAsia" w:ascii="宋体" w:hAnsi="宋体" w:cs="宋体"/>
                      <w:sz w:val="21"/>
                      <w:szCs w:val="21"/>
                    </w:rPr>
                    <w:t xml:space="preserve">内置智能天线</w:t>
                  </w:r>
                  <w:r>
                    <w:rPr>
                      <w:rFonts w:hint="eastAsia" w:ascii="宋体" w:hAnsi="宋体" w:cs="宋体"/>
                      <w:sz w:val="21"/>
                      <w:szCs w:val="21"/>
                    </w:rPr>
                    <w:br/>
                  </w:r>
                  <w:r>
                    <w:rPr>
                      <w:rFonts w:hint="eastAsia" w:ascii="宋体" w:hAnsi="宋体" w:cs="宋体"/>
                      <w:sz w:val="21"/>
                      <w:szCs w:val="21"/>
                    </w:rPr>
                    <w:t xml:space="preserve">支持面板、挂墙、桌面等安装方式，可安装在86面板盒上，厚度40mm</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93</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892"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3056"/>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6</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高密AP</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495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AirEngine6760-X1</w:t>
                  </w:r>
                  <w:r>
                    <w:rPr>
                      <w:rFonts w:hint="eastAsia" w:ascii="宋体" w:hAnsi="宋体" w:cs="宋体"/>
                      <w:sz w:val="21"/>
                      <w:szCs w:val="21"/>
                    </w:rPr>
                    <w:br/>
                  </w:r>
                  <w:r>
                    <w:rPr>
                      <w:rFonts w:hint="eastAsia" w:ascii="宋体" w:hAnsi="宋体" w:cs="宋体"/>
                      <w:sz w:val="21"/>
                      <w:szCs w:val="21"/>
                    </w:rPr>
                    <w:t xml:space="preserve">支持2.4GHz/5GHz双频段，所有射频均支持802.11ax标准</w:t>
                  </w:r>
                  <w:r>
                    <w:rPr>
                      <w:rFonts w:hint="eastAsia" w:ascii="宋体" w:hAnsi="宋体" w:cs="宋体"/>
                      <w:sz w:val="21"/>
                      <w:szCs w:val="21"/>
                    </w:rPr>
                    <w:br/>
                  </w:r>
                  <w:r>
                    <w:rPr>
                      <w:rFonts w:hint="eastAsia" w:ascii="宋体" w:hAnsi="宋体" w:cs="宋体"/>
                      <w:sz w:val="21"/>
                      <w:szCs w:val="21"/>
                    </w:rPr>
                    <w:t xml:space="preserve">整机默认10条流，可通过授权升级增加至12条流</w:t>
                  </w:r>
                  <w:r>
                    <w:rPr>
                      <w:rFonts w:hint="eastAsia" w:ascii="宋体" w:hAnsi="宋体" w:cs="宋体"/>
                      <w:sz w:val="21"/>
                      <w:szCs w:val="21"/>
                    </w:rPr>
                    <w:br/>
                  </w:r>
                  <w:r>
                    <w:rPr>
                      <w:rFonts w:hint="eastAsia" w:ascii="宋体" w:hAnsi="宋体" w:cs="宋体"/>
                      <w:sz w:val="21"/>
                      <w:szCs w:val="21"/>
                    </w:rPr>
                    <w:t xml:space="preserve">2.4GHz射频支持802.11ax 4x4 MU-MIMO</w:t>
                  </w:r>
                  <w:r>
                    <w:rPr>
                      <w:rFonts w:hint="eastAsia" w:ascii="宋体" w:hAnsi="宋体" w:cs="宋体"/>
                      <w:sz w:val="21"/>
                      <w:szCs w:val="21"/>
                    </w:rPr>
                    <w:br/>
                  </w:r>
                  <w:r>
                    <w:rPr>
                      <w:rFonts w:hint="eastAsia" w:ascii="宋体" w:hAnsi="宋体" w:cs="宋体"/>
                      <w:sz w:val="21"/>
                      <w:szCs w:val="21"/>
                    </w:rPr>
                    <w:t xml:space="preserve">整机最大协商速率10Gbps</w:t>
                  </w:r>
                  <w:r>
                    <w:rPr>
                      <w:rFonts w:hint="eastAsia" w:ascii="宋体" w:hAnsi="宋体" w:cs="宋体"/>
                      <w:sz w:val="21"/>
                      <w:szCs w:val="21"/>
                    </w:rPr>
                    <w:br/>
                  </w:r>
                  <w:r>
                    <w:rPr>
                      <w:rFonts w:hint="eastAsia" w:ascii="宋体" w:hAnsi="宋体" w:cs="宋体"/>
                      <w:sz w:val="21"/>
                      <w:szCs w:val="21"/>
                    </w:rPr>
                    <w:t xml:space="preserve">支持1个10GE电接口，兼容1G/2.5G/5G</w:t>
                  </w:r>
                  <w:r>
                    <w:rPr>
                      <w:rFonts w:hint="eastAsia" w:ascii="宋体" w:hAnsi="宋体" w:cs="宋体"/>
                      <w:sz w:val="21"/>
                      <w:szCs w:val="21"/>
                    </w:rPr>
                    <w:br/>
                  </w:r>
                  <w:r>
                    <w:rPr>
                      <w:rFonts w:hint="eastAsia" w:ascii="宋体" w:hAnsi="宋体" w:cs="宋体"/>
                      <w:sz w:val="21"/>
                      <w:szCs w:val="21"/>
                    </w:rPr>
                    <w:t xml:space="preserve">支持1个SFP+光口</w:t>
                  </w:r>
                  <w:r>
                    <w:rPr>
                      <w:rFonts w:hint="eastAsia" w:ascii="宋体" w:hAnsi="宋体" w:cs="宋体"/>
                      <w:sz w:val="21"/>
                      <w:szCs w:val="21"/>
                    </w:rPr>
                    <w:br/>
                  </w:r>
                  <w:r>
                    <w:rPr>
                      <w:rFonts w:hint="eastAsia" w:ascii="宋体" w:hAnsi="宋体" w:cs="宋体"/>
                      <w:sz w:val="21"/>
                      <w:szCs w:val="21"/>
                    </w:rPr>
                    <w:t xml:space="preserve">内置智能天线</w:t>
                  </w:r>
                  <w:r>
                    <w:rPr>
                      <w:rFonts w:hint="eastAsia" w:ascii="宋体" w:hAnsi="宋体" w:cs="宋体"/>
                      <w:sz w:val="21"/>
                      <w:szCs w:val="21"/>
                    </w:rPr>
                    <w:br/>
                  </w:r>
                  <w:r>
                    <w:rPr>
                      <w:rFonts w:hint="eastAsia" w:ascii="宋体" w:hAnsi="宋体" w:cs="宋体"/>
                      <w:sz w:val="21"/>
                      <w:szCs w:val="21"/>
                    </w:rPr>
                    <w:t xml:space="preserve">内置蓝牙5.0，可实现蓝牙终端精确定位</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10</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892"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142"/>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7</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管理区交换机</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495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S5735-S24T4X</w:t>
                  </w:r>
                  <w:r>
                    <w:rPr>
                      <w:rFonts w:hint="eastAsia" w:ascii="宋体" w:hAnsi="宋体" w:cs="宋体"/>
                      <w:sz w:val="21"/>
                      <w:szCs w:val="21"/>
                    </w:rPr>
                    <w:br/>
                  </w:r>
                  <w:r>
                    <w:rPr>
                      <w:rFonts w:hint="eastAsia" w:ascii="宋体" w:hAnsi="宋体" w:cs="宋体"/>
                      <w:sz w:val="21"/>
                      <w:szCs w:val="21"/>
                    </w:rPr>
                    <w:t xml:space="preserve">交换容量为336Gbps，包转发率为108Mpps</w:t>
                  </w:r>
                  <w:r>
                    <w:rPr>
                      <w:rFonts w:hint="eastAsia" w:ascii="宋体" w:hAnsi="宋体" w:cs="宋体"/>
                      <w:sz w:val="21"/>
                      <w:szCs w:val="21"/>
                    </w:rPr>
                    <w:br/>
                  </w:r>
                  <w:r>
                    <w:rPr>
                      <w:rFonts w:hint="eastAsia" w:ascii="宋体" w:hAnsi="宋体" w:cs="宋体"/>
                      <w:sz w:val="21"/>
                      <w:szCs w:val="21"/>
                    </w:rPr>
                    <w:t xml:space="preserve">整机提供千兆电口24个，万兆光口4个；</w:t>
                  </w:r>
                  <w:r>
                    <w:rPr>
                      <w:rFonts w:hint="eastAsia" w:ascii="宋体" w:hAnsi="宋体" w:cs="宋体"/>
                      <w:sz w:val="21"/>
                      <w:szCs w:val="21"/>
                    </w:rPr>
                    <w:br/>
                  </w:r>
                  <w:r>
                    <w:rPr>
                      <w:rFonts w:hint="eastAsia" w:ascii="宋体" w:hAnsi="宋体" w:cs="宋体"/>
                      <w:sz w:val="21"/>
                      <w:szCs w:val="21"/>
                    </w:rPr>
                    <w:t xml:space="preserve">支持USB接口；</w:t>
                  </w:r>
                  <w:r>
                    <w:rPr>
                      <w:rFonts w:hint="eastAsia" w:ascii="宋体" w:hAnsi="宋体" w:cs="宋体"/>
                      <w:sz w:val="21"/>
                      <w:szCs w:val="21"/>
                    </w:rPr>
                    <w:br/>
                  </w:r>
                  <w:r>
                    <w:rPr>
                      <w:rFonts w:hint="eastAsia" w:ascii="宋体" w:hAnsi="宋体" w:cs="宋体"/>
                      <w:sz w:val="21"/>
                      <w:szCs w:val="21"/>
                    </w:rPr>
                    <w:t xml:space="preserve">支持模块化可插拔双电源</w:t>
                  </w:r>
                  <w:r>
                    <w:rPr>
                      <w:rFonts w:hint="eastAsia" w:ascii="宋体" w:hAnsi="宋体" w:cs="宋体"/>
                      <w:sz w:val="21"/>
                      <w:szCs w:val="21"/>
                    </w:rPr>
                    <w:br/>
                  </w:r>
                  <w:r>
                    <w:rPr>
                      <w:rFonts w:hint="eastAsia" w:ascii="宋体" w:hAnsi="宋体" w:cs="宋体"/>
                      <w:sz w:val="21"/>
                      <w:szCs w:val="21"/>
                    </w:rPr>
                    <w:t xml:space="preserve">千兆电口24个，万兆光口4个，可插拔电源模块2块，1根堆叠线缆</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2</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892"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447"/>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8</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出口防火墙</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495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USG6625E </w:t>
                  </w:r>
                  <w:r>
                    <w:rPr>
                      <w:rFonts w:hint="eastAsia" w:ascii="宋体" w:hAnsi="宋体" w:cs="宋体"/>
                      <w:sz w:val="21"/>
                      <w:szCs w:val="21"/>
                    </w:rPr>
                    <w:br/>
                  </w:r>
                  <w:r>
                    <w:rPr>
                      <w:rFonts w:hint="eastAsia" w:ascii="宋体" w:hAnsi="宋体" w:cs="宋体"/>
                      <w:sz w:val="21"/>
                      <w:szCs w:val="21"/>
                    </w:rPr>
                    <w:t xml:space="preserve">吞吐量20Gbps，最大并发连接数800万，每秒新建连接数20万，IPSec吞吐量15Gbps，IPS吞吐量10Gbps</w:t>
                  </w:r>
                  <w:r>
                    <w:rPr>
                      <w:rFonts w:hint="eastAsia" w:ascii="宋体" w:hAnsi="宋体" w:cs="宋体"/>
                      <w:sz w:val="21"/>
                      <w:szCs w:val="21"/>
                    </w:rPr>
                    <w:br/>
                  </w:r>
                  <w:r>
                    <w:rPr>
                      <w:rFonts w:hint="eastAsia" w:ascii="宋体" w:hAnsi="宋体" w:cs="宋体"/>
                      <w:sz w:val="21"/>
                      <w:szCs w:val="21"/>
                    </w:rPr>
                    <w:t xml:space="preserve">支持双电源，支持风扇可插拔，支持前后风道</w:t>
                  </w:r>
                  <w:r>
                    <w:rPr>
                      <w:rFonts w:hint="eastAsia" w:ascii="宋体" w:hAnsi="宋体" w:cs="宋体"/>
                      <w:sz w:val="21"/>
                      <w:szCs w:val="21"/>
                    </w:rPr>
                    <w:br/>
                  </w:r>
                  <w:r>
                    <w:rPr>
                      <w:rFonts w:hint="eastAsia" w:ascii="宋体" w:hAnsi="宋体" w:cs="宋体"/>
                      <w:sz w:val="21"/>
                      <w:szCs w:val="21"/>
                    </w:rPr>
                    <w:t xml:space="preserve">千兆电口16，千兆光口6，10G光接口6，电源模块2块，硬盘容量240GB， IPS、AV、URL、云沙箱升级防护功能，虚拟防火墙数量100</w:t>
                  </w:r>
                  <w:r/>
                </w:p>
                <w:p>
                  <w:pPr>
                    <w:jc w:val="left"/>
                    <w:widowControl/>
                    <w:rPr>
                      <w:rFonts w:ascii="宋体" w:hAnsi="宋体" w:cs="宋体"/>
                      <w:sz w:val="21"/>
                      <w:szCs w:val="21"/>
                    </w:rPr>
                  </w:pPr>
                  <w:r>
                    <w:rPr>
                      <w:rFonts w:hint="eastAsia" w:ascii="宋体" w:hAnsi="宋体" w:cs="宋体"/>
                      <w:sz w:val="21"/>
                      <w:szCs w:val="21"/>
                    </w:rPr>
                    <w:t xml:space="preserve">威胁防护12个月(适用于USG6625E)</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2</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892"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1838"/>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9</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运维审计</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495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UMA1520E</w:t>
                  </w:r>
                  <w:r>
                    <w:rPr>
                      <w:rFonts w:hint="eastAsia" w:ascii="宋体" w:hAnsi="宋体" w:cs="宋体"/>
                      <w:sz w:val="21"/>
                      <w:szCs w:val="21"/>
                    </w:rPr>
                    <w:br/>
                  </w:r>
                  <w:r>
                    <w:rPr>
                      <w:rFonts w:hint="eastAsia" w:ascii="宋体" w:hAnsi="宋体" w:cs="宋体"/>
                      <w:sz w:val="21"/>
                      <w:szCs w:val="21"/>
                    </w:rPr>
                    <w:t xml:space="preserve">路由器，交换机，防火墙，Windows/Linux/Unix服务器等（支持多个主流厂家设备类型）</w:t>
                  </w:r>
                  <w:r>
                    <w:rPr>
                      <w:rFonts w:hint="eastAsia" w:ascii="宋体" w:hAnsi="宋体" w:cs="宋体"/>
                      <w:sz w:val="21"/>
                      <w:szCs w:val="21"/>
                    </w:rPr>
                    <w:br/>
                  </w:r>
                  <w:r>
                    <w:rPr>
                      <w:rFonts w:hint="eastAsia" w:ascii="宋体" w:hAnsi="宋体" w:cs="宋体"/>
                      <w:sz w:val="21"/>
                      <w:szCs w:val="21"/>
                    </w:rPr>
                    <w:t xml:space="preserve">专用千兆硬件平台，扩展插槽2；</w:t>
                  </w:r>
                  <w:r>
                    <w:rPr>
                      <w:rFonts w:hint="eastAsia" w:ascii="宋体" w:hAnsi="宋体" w:cs="宋体"/>
                      <w:sz w:val="21"/>
                      <w:szCs w:val="21"/>
                    </w:rPr>
                    <w:br/>
                  </w:r>
                  <w:r>
                    <w:rPr>
                      <w:rFonts w:hint="eastAsia" w:ascii="宋体" w:hAnsi="宋体" w:cs="宋体"/>
                      <w:sz w:val="21"/>
                      <w:szCs w:val="21"/>
                    </w:rPr>
                    <w:t xml:space="preserve">实配资产管理数50个，千兆电口6个，万兆光口2个，冗余电源模块</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892"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2142"/>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br w:type="page" w:clear="all"/>
                  </w:r>
                  <w:r>
                    <w:rPr>
                      <w:rFonts w:hint="eastAsia" w:ascii="宋体" w:hAnsi="宋体" w:cs="宋体"/>
                      <w:sz w:val="21"/>
                      <w:szCs w:val="21"/>
                    </w:rPr>
                    <w:t xml:space="preserve">10</w:t>
                  </w:r>
                  <w:r/>
                </w:p>
              </w:tc>
              <w:tc>
                <w:tcPr>
                  <w:tcW w:w="7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运维管理区防火墙</w:t>
                  </w:r>
                  <w:r/>
                </w:p>
              </w:tc>
              <w:tc>
                <w:tcPr>
                  <w:tcW w:w="776"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华为</w:t>
                  </w:r>
                  <w:r/>
                </w:p>
              </w:tc>
              <w:tc>
                <w:tcPr>
                  <w:tcW w:w="495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USG6525E </w:t>
                  </w:r>
                  <w:r>
                    <w:rPr>
                      <w:rFonts w:hint="eastAsia" w:ascii="宋体" w:hAnsi="宋体" w:cs="宋体"/>
                      <w:sz w:val="21"/>
                      <w:szCs w:val="21"/>
                    </w:rPr>
                    <w:br/>
                  </w:r>
                  <w:r>
                    <w:rPr>
                      <w:rFonts w:hint="eastAsia" w:ascii="宋体" w:hAnsi="宋体" w:cs="宋体"/>
                      <w:sz w:val="21"/>
                      <w:szCs w:val="21"/>
                    </w:rPr>
                    <w:t xml:space="preserve">吞吐量2Gbps，最大并发连接数300万，每秒新建连接数7万，IPSec吞吐量2Gbps；</w:t>
                  </w:r>
                  <w:r>
                    <w:rPr>
                      <w:rFonts w:hint="eastAsia" w:ascii="宋体" w:hAnsi="宋体" w:cs="宋体"/>
                      <w:sz w:val="21"/>
                      <w:szCs w:val="21"/>
                    </w:rPr>
                    <w:br/>
                  </w:r>
                  <w:r>
                    <w:rPr>
                      <w:rFonts w:hint="eastAsia" w:ascii="宋体" w:hAnsi="宋体" w:cs="宋体"/>
                      <w:sz w:val="21"/>
                      <w:szCs w:val="21"/>
                    </w:rPr>
                    <w:t xml:space="preserve">支持双电源，支持风扇可插拔，支持前后风道</w:t>
                  </w:r>
                  <w:r>
                    <w:rPr>
                      <w:rFonts w:hint="eastAsia" w:ascii="宋体" w:hAnsi="宋体" w:cs="宋体"/>
                      <w:sz w:val="21"/>
                      <w:szCs w:val="21"/>
                    </w:rPr>
                    <w:br/>
                  </w:r>
                  <w:r>
                    <w:rPr>
                      <w:rFonts w:hint="eastAsia" w:ascii="宋体" w:hAnsi="宋体" w:cs="宋体"/>
                      <w:sz w:val="21"/>
                      <w:szCs w:val="21"/>
                    </w:rPr>
                    <w:t xml:space="preserve">千兆Combo接口8，万兆光口2，千兆WAN口2,电源模块2块，硬盘容量64GB，虚拟防火墙数量50</w:t>
                  </w:r>
                  <w:r/>
                </w:p>
                <w:p>
                  <w:pPr>
                    <w:jc w:val="left"/>
                    <w:widowControl/>
                    <w:rPr>
                      <w:rFonts w:ascii="宋体" w:hAnsi="宋体" w:cs="宋体"/>
                      <w:sz w:val="21"/>
                      <w:szCs w:val="21"/>
                    </w:rPr>
                  </w:pPr>
                  <w:r>
                    <w:rPr>
                      <w:rFonts w:hint="eastAsia" w:ascii="宋体" w:hAnsi="宋体" w:cs="宋体"/>
                      <w:sz w:val="21"/>
                      <w:szCs w:val="21"/>
                    </w:rPr>
                    <w:t xml:space="preserve">与态势感知设备联动</w:t>
                  </w:r>
                  <w:r/>
                </w:p>
              </w:tc>
              <w:tc>
                <w:tcPr>
                  <w:tcW w:w="453"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2</w:t>
                  </w:r>
                  <w:r/>
                </w:p>
              </w:tc>
              <w:tc>
                <w:tcPr>
                  <w:tcW w:w="499"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台</w:t>
                  </w:r>
                  <w:r/>
                </w:p>
              </w:tc>
              <w:tc>
                <w:tcPr>
                  <w:tcW w:w="892"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1年维保，备件维修更换，耗材全包</w:t>
                  </w:r>
                  <w:r/>
                </w:p>
              </w:tc>
            </w:tr>
            <w:tr>
              <w:trPr>
                <w:trHeight w:val="935"/>
              </w:trPr>
              <w:tc>
                <w:tcPr>
                  <w:tcW w:w="486" w:type="dxa"/>
                  <w:vAlign w:val="center"/>
                  <w:textDirection w:val="lrTb"/>
                  <w:noWrap/>
                </w:tcPr>
                <w:p>
                  <w:pPr>
                    <w:jc w:val="center"/>
                    <w:spacing w:line="360" w:lineRule="auto"/>
                    <w:widowControl/>
                    <w:rPr>
                      <w:rFonts w:ascii="宋体" w:hAnsi="宋体" w:cs="宋体"/>
                      <w:sz w:val="21"/>
                      <w:szCs w:val="21"/>
                    </w:rPr>
                  </w:pPr>
                  <w:r>
                    <w:rPr>
                      <w:rFonts w:hint="eastAsia" w:ascii="宋体" w:hAnsi="宋体" w:cs="宋体"/>
                      <w:sz w:val="21"/>
                      <w:szCs w:val="21"/>
                    </w:rPr>
                    <w:t xml:space="preserve">11</w:t>
                  </w:r>
                  <w:r/>
                </w:p>
              </w:tc>
              <w:tc>
                <w:tcPr>
                  <w:gridSpan w:val="6"/>
                  <w:tcW w:w="8310"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根据厂商发布的设备最新的软件（固件）和策略（规则库），及时关注并升级以上网络设备、安全设备的软件（固件）和策略（规则库），确保系统安全性和稳定性。</w:t>
                  </w:r>
                  <w:r/>
                </w:p>
              </w:tc>
            </w:tr>
          </w:tbl>
          <w:p>
            <w:pPr>
              <w:ind w:firstLine="480"/>
              <w:spacing w:line="360" w:lineRule="auto"/>
              <w:rPr>
                <w:rFonts w:ascii="宋体" w:hAnsi="宋体" w:cs="宋体"/>
                <w:sz w:val="21"/>
                <w:szCs w:val="21"/>
              </w:rPr>
            </w:pPr>
            <w:r>
              <w:rPr>
                <w:rFonts w:hint="eastAsia" w:ascii="宋体" w:hAnsi="宋体" w:cs="宋体"/>
                <w:sz w:val="21"/>
                <w:szCs w:val="21"/>
              </w:rPr>
              <w:t xml:space="preserve">注：以上网络和安全设备提供相关延保和升级服务，在维护期间设备出现故障，需更换设备，必须更换同型号或比原设备版本更高的设备。为保证采购人在用业务的稳定性，设备的兼容性，供应商需提供相关延保服务（需在合同签订时提供相关服务承诺，合同签订后一个月内完成所有技术服务购买和实施）。</w:t>
            </w:r>
            <w:r/>
          </w:p>
          <w:p>
            <w:pPr>
              <w:ind w:firstLine="480"/>
              <w:spacing w:line="360" w:lineRule="auto"/>
              <w:rPr>
                <w:rFonts w:ascii="宋体" w:hAnsi="宋体" w:cs="宋体"/>
                <w:sz w:val="21"/>
                <w:szCs w:val="21"/>
              </w:rPr>
            </w:pPr>
            <w:r>
              <w:rPr>
                <w:rFonts w:hint="eastAsia" w:ascii="宋体" w:hAnsi="宋体" w:cs="宋体"/>
                <w:sz w:val="21"/>
                <w:szCs w:val="21"/>
              </w:rPr>
              <w:t xml:space="preserve">供应商应就其承诺内容的真实性负责，签订合同前成交供应商需提供网络和安全设备采用相关延保和升级服务的相关证明材料（原件）供采购人核验，如无法履行或提供虚假材料谋取成交的，采购人有权取消其成交资格，并追究相关法律责任。</w:t>
            </w:r>
            <w:r/>
          </w:p>
          <w:p>
            <w:pPr>
              <w:ind w:firstLine="480"/>
              <w:spacing w:line="360" w:lineRule="auto"/>
              <w:rPr>
                <w:rFonts w:ascii="宋体" w:hAnsi="宋体" w:cs="宋体"/>
                <w:sz w:val="21"/>
                <w:szCs w:val="21"/>
              </w:rPr>
            </w:pPr>
            <w:r>
              <w:rPr>
                <w:rFonts w:hint="eastAsia" w:ascii="宋体" w:hAnsi="宋体" w:cs="宋体"/>
                <w:sz w:val="21"/>
                <w:szCs w:val="21"/>
              </w:rPr>
              <w:t xml:space="preserve">2、总体响应时间</w:t>
            </w:r>
            <w:r/>
          </w:p>
          <w:tbl>
            <w:tblPr>
              <w:tblStyle w:val="989"/>
              <w:tblW w:w="91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679"/>
              <w:gridCol w:w="689"/>
              <w:gridCol w:w="651"/>
              <w:gridCol w:w="689"/>
            </w:tblGrid>
            <w:tr>
              <w:trPr>
                <w:trHeight w:val="458"/>
              </w:trPr>
              <w:tc>
                <w:tcPr>
                  <w:gridSpan w:val="2"/>
                  <w:tcW w:w="3708"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响应时间</w:t>
                  </w:r>
                  <w:r/>
                </w:p>
              </w:tc>
              <w:tc>
                <w:tcPr>
                  <w:tcW w:w="1854"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w:t>
                  </w:r>
                  <w:r/>
                </w:p>
              </w:tc>
              <w:tc>
                <w:tcPr>
                  <w:gridSpan w:val="2"/>
                  <w:tcW w:w="3576"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解决时间</w:t>
                  </w:r>
                  <w:r/>
                </w:p>
              </w:tc>
            </w:tr>
            <w:tr>
              <w:trPr>
                <w:trHeight w:val="893"/>
              </w:trPr>
              <w:tc>
                <w:tcPr>
                  <w:tcW w:w="1886"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22"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c>
                <w:tcPr>
                  <w:tcW w:w="1854"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服务时间要求</w:t>
                  </w:r>
                  <w:r/>
                </w:p>
              </w:tc>
              <w:tc>
                <w:tcPr>
                  <w:tcW w:w="1722"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54"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r>
            <w:tr>
              <w:trPr>
                <w:trHeight w:val="461"/>
              </w:trPr>
              <w:tc>
                <w:tcPr>
                  <w:tcW w:w="1886"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现场4小时响应</w:t>
                  </w:r>
                  <w:r/>
                </w:p>
              </w:tc>
              <w:tc>
                <w:tcPr>
                  <w:tcW w:w="1822"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现场24小时响应 </w:t>
                  </w:r>
                  <w:r/>
                </w:p>
              </w:tc>
              <w:tc>
                <w:tcPr>
                  <w:tcW w:w="1854"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7*24小时 </w:t>
                  </w:r>
                  <w:r/>
                </w:p>
              </w:tc>
              <w:tc>
                <w:tcPr>
                  <w:tcW w:w="1722"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现场4小时响应</w:t>
                  </w:r>
                  <w:r/>
                </w:p>
              </w:tc>
              <w:tc>
                <w:tcPr>
                  <w:tcW w:w="1854"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现场24小时响应 </w:t>
                  </w:r>
                  <w:r/>
                </w:p>
              </w:tc>
            </w:tr>
          </w:tbl>
          <w:p>
            <w:pPr>
              <w:ind w:firstLine="480"/>
              <w:spacing w:line="360" w:lineRule="auto"/>
              <w:rPr>
                <w:rFonts w:ascii="宋体" w:hAnsi="宋体" w:cs="宋体"/>
                <w:b/>
                <w:bCs/>
                <w:sz w:val="21"/>
                <w:szCs w:val="21"/>
              </w:rPr>
            </w:pPr>
            <w:r>
              <w:rPr>
                <w:rFonts w:hint="eastAsia" w:ascii="宋体" w:hAnsi="宋体" w:cs="宋体"/>
                <w:b/>
                <w:bCs/>
                <w:sz w:val="21"/>
                <w:szCs w:val="21"/>
              </w:rPr>
              <w:t xml:space="preserve">（三）安全设备运维</w:t>
            </w:r>
            <w:r/>
          </w:p>
          <w:p>
            <w:pPr>
              <w:ind w:firstLine="480"/>
              <w:spacing w:line="360" w:lineRule="auto"/>
              <w:rPr>
                <w:rFonts w:ascii="宋体" w:hAnsi="宋体" w:cs="宋体"/>
                <w:sz w:val="21"/>
                <w:szCs w:val="21"/>
              </w:rPr>
            </w:pPr>
            <w:r>
              <w:rPr>
                <w:rFonts w:hint="eastAsia" w:ascii="宋体" w:hAnsi="宋体" w:cs="宋体"/>
                <w:sz w:val="21"/>
                <w:szCs w:val="21"/>
              </w:rPr>
              <w:t xml:space="preserve">1、运维服务范围与要求</w:t>
            </w:r>
            <w:r/>
          </w:p>
          <w:tbl>
            <w:tblPr>
              <w:tblStyle w:val="989"/>
              <w:tblW w:w="905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575"/>
              <w:gridCol w:w="2232"/>
              <w:gridCol w:w="1313"/>
              <w:gridCol w:w="3413"/>
            </w:tblGrid>
            <w:tr>
              <w:trPr>
                <w:trHeight w:val="616"/>
              </w:trPr>
              <w:tc>
                <w:tcPr>
                  <w:tcW w:w="52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序号</w:t>
                  </w:r>
                  <w:r/>
                </w:p>
              </w:tc>
              <w:tc>
                <w:tcPr>
                  <w:tcW w:w="157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设备名称</w:t>
                  </w:r>
                  <w:r/>
                </w:p>
              </w:tc>
              <w:tc>
                <w:tcPr>
                  <w:tcW w:w="2232"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产品型号</w:t>
                  </w:r>
                  <w:r/>
                </w:p>
              </w:tc>
              <w:tc>
                <w:tcPr>
                  <w:tcW w:w="13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主产品数量</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维保内容</w:t>
                  </w:r>
                  <w:r/>
                </w:p>
              </w:tc>
            </w:tr>
            <w:tr>
              <w:trPr>
                <w:trHeight w:val="313"/>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全网行为管理</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AC-1000-SK1500-AK</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URL&amp;应用识别规则库升级</w:t>
                  </w:r>
                  <w:r/>
                </w:p>
              </w:tc>
            </w:tr>
            <w:tr>
              <w:trPr>
                <w:trHeight w:val="31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维保服务（标准版）</w:t>
                  </w:r>
                  <w:r/>
                </w:p>
              </w:tc>
            </w:tr>
            <w:tr>
              <w:trPr>
                <w:trHeight w:val="616"/>
              </w:trPr>
              <w:tc>
                <w:tcPr>
                  <w:tcW w:w="52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2</w:t>
                  </w:r>
                  <w:r/>
                </w:p>
              </w:tc>
              <w:tc>
                <w:tcPr>
                  <w:tcW w:w="157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终端安全管理系统（EDR）</w:t>
                  </w:r>
                  <w:r/>
                </w:p>
              </w:tc>
              <w:tc>
                <w:tcPr>
                  <w:tcW w:w="2232"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终端安全管理系统（EDR）</w:t>
                  </w:r>
                  <w:r/>
                </w:p>
              </w:tc>
              <w:tc>
                <w:tcPr>
                  <w:tcW w:w="13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软件升级（PC端）</w:t>
                  </w:r>
                  <w:r/>
                </w:p>
              </w:tc>
            </w:tr>
            <w:tr>
              <w:trPr>
                <w:trHeight w:val="616"/>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3</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防火墙:</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AF-1000-B1800-LV</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深信服云智订阅软件（AF8.0.7及以上版本适用）</w:t>
                  </w:r>
                  <w:r/>
                </w:p>
              </w:tc>
            </w:tr>
            <w:tr>
              <w:trPr>
                <w:trHeight w:val="31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维保服务（标准版）</w:t>
                  </w:r>
                  <w:r/>
                </w:p>
              </w:tc>
            </w:tr>
            <w:tr>
              <w:trPr>
                <w:trHeight w:val="616"/>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4</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防火墙:</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AF-1000-B400</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深信服云智订阅软件（AF8.0.7及以上版本适用）</w:t>
                  </w:r>
                  <w:r/>
                </w:p>
              </w:tc>
            </w:tr>
            <w:tr>
              <w:trPr>
                <w:trHeight w:val="31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维保服务（标准版）</w:t>
                  </w:r>
                  <w:r/>
                </w:p>
              </w:tc>
            </w:tr>
            <w:tr>
              <w:trPr>
                <w:trHeight w:val="864"/>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5</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安全感知管理设备</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SIP-1000-B400</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软件升级</w:t>
                  </w:r>
                  <w:r/>
                </w:p>
              </w:tc>
            </w:tr>
            <w:tr>
              <w:trPr>
                <w:trHeight w:val="57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产品质保（标准版）</w:t>
                  </w:r>
                  <w:r/>
                </w:p>
              </w:tc>
            </w:tr>
            <w:tr>
              <w:trPr>
                <w:trHeight w:val="31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售后支持服务（P）</w:t>
                  </w:r>
                  <w:r/>
                </w:p>
              </w:tc>
            </w:tr>
            <w:tr>
              <w:trPr>
                <w:trHeight w:val="313"/>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6</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潜伏威胁探针设备</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STA-100-B2100</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售后支持服务（P）</w:t>
                  </w:r>
                  <w:r/>
                </w:p>
              </w:tc>
            </w:tr>
            <w:tr>
              <w:trPr>
                <w:trHeight w:val="313"/>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维保服务（标准版）</w:t>
                  </w:r>
                  <w:r/>
                </w:p>
              </w:tc>
            </w:tr>
            <w:tr>
              <w:trPr>
                <w:trHeight w:val="671"/>
              </w:trPr>
              <w:tc>
                <w:tcPr>
                  <w:tcW w:w="52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7</w:t>
                  </w:r>
                  <w:r/>
                </w:p>
              </w:tc>
              <w:tc>
                <w:tcPr>
                  <w:tcW w:w="1575"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网闸</w:t>
                  </w:r>
                  <w:r/>
                </w:p>
              </w:tc>
              <w:tc>
                <w:tcPr>
                  <w:tcW w:w="2232"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GAP-1000-C640-HK</w:t>
                  </w:r>
                  <w:r/>
                </w:p>
              </w:tc>
              <w:tc>
                <w:tcPr>
                  <w:tcW w:w="1313"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产品质保</w:t>
                  </w:r>
                  <w:r/>
                </w:p>
              </w:tc>
            </w:tr>
            <w:tr>
              <w:trPr>
                <w:trHeight w:val="671"/>
              </w:trPr>
              <w:tc>
                <w:tcPr>
                  <w:tcW w:w="52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575"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2232"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1313" w:type="dxa"/>
                  <w:vAlign w:val="center"/>
                  <w:vMerge w:val="continue"/>
                  <w:textDirection w:val="lrTb"/>
                  <w:noWrap w:val="false"/>
                </w:tcPr>
                <w:p>
                  <w:pPr>
                    <w:jc w:val="center"/>
                    <w:widowControl/>
                    <w:rPr>
                      <w:rFonts w:ascii="宋体" w:hAnsi="宋体" w:cs="宋体"/>
                      <w:sz w:val="21"/>
                      <w:szCs w:val="21"/>
                    </w:rPr>
                  </w:pPr>
                  <w:r>
                    <w:rPr>
                      <w:rFonts w:ascii="宋体" w:hAnsi="宋体" w:cs="宋体"/>
                      <w:sz w:val="21"/>
                      <w:szCs w:val="21"/>
                    </w:rPr>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软件升级（GAP-1000-C640）</w:t>
                  </w:r>
                  <w:r/>
                </w:p>
              </w:tc>
            </w:tr>
            <w:tr>
              <w:trPr>
                <w:trHeight w:val="929"/>
              </w:trPr>
              <w:tc>
                <w:tcPr>
                  <w:tcW w:w="52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8</w:t>
                  </w:r>
                  <w:r/>
                </w:p>
              </w:tc>
              <w:tc>
                <w:tcPr>
                  <w:tcW w:w="157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态势感知第三方安全设备联动授权</w:t>
                  </w:r>
                  <w:r/>
                </w:p>
              </w:tc>
              <w:tc>
                <w:tcPr>
                  <w:tcW w:w="2232"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态势感知第三方安全设备联动授权</w:t>
                  </w:r>
                  <w:r/>
                </w:p>
              </w:tc>
              <w:tc>
                <w:tcPr>
                  <w:tcW w:w="13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W w:w="3413"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态势感知联动防火墙授权*1套，第三方接入授权*5个</w:t>
                  </w:r>
                  <w:r/>
                </w:p>
              </w:tc>
            </w:tr>
          </w:tbl>
          <w:p>
            <w:pPr>
              <w:ind w:firstLine="480"/>
              <w:spacing w:line="360" w:lineRule="auto"/>
              <w:rPr>
                <w:rFonts w:ascii="宋体" w:hAnsi="宋体" w:cs="宋体"/>
                <w:sz w:val="21"/>
                <w:szCs w:val="21"/>
              </w:rPr>
            </w:pPr>
            <w:r>
              <w:rPr>
                <w:rFonts w:hint="eastAsia" w:ascii="宋体" w:hAnsi="宋体" w:cs="宋体"/>
                <w:sz w:val="21"/>
                <w:szCs w:val="21"/>
              </w:rPr>
              <w:t xml:space="preserve">注：以上网络和安全设备提供相关延保和升级服务，在维护期间设备出现故障，需更换设备，必须更换同型号或比原设备版本更高的设备。为保证采购人在用业务的稳定性，设备的兼容性，供应商需提供相关延保服务（需在合同签订时提供相关服务承诺，合同签订后一个月内完成所有技术服务购买和实施）。</w:t>
            </w:r>
            <w:r/>
          </w:p>
          <w:p>
            <w:pPr>
              <w:ind w:firstLine="480"/>
              <w:spacing w:line="360" w:lineRule="auto"/>
              <w:rPr>
                <w:rFonts w:ascii="宋体" w:hAnsi="宋体" w:cs="宋体"/>
                <w:sz w:val="21"/>
                <w:szCs w:val="21"/>
              </w:rPr>
            </w:pPr>
            <w:r>
              <w:rPr>
                <w:rFonts w:hint="eastAsia" w:ascii="宋体" w:hAnsi="宋体" w:cs="宋体"/>
                <w:sz w:val="21"/>
                <w:szCs w:val="21"/>
              </w:rPr>
              <w:t xml:space="preserve">供应商应就其承诺内容的真实性负责，签订合同前成交供应商需提供网络和安全设备采用相关延保和升级服务的相关证明材料（原件）供采购人核验，如无法履行或提供虚假材料谋取成交的，采购人有权取消其成交资格，并追究相关法律责任。</w:t>
            </w:r>
            <w:r/>
          </w:p>
          <w:p>
            <w:pPr>
              <w:ind w:firstLine="480"/>
              <w:spacing w:line="360" w:lineRule="auto"/>
              <w:rPr>
                <w:rFonts w:ascii="宋体" w:hAnsi="宋体" w:cs="宋体"/>
                <w:sz w:val="21"/>
                <w:szCs w:val="21"/>
              </w:rPr>
            </w:pPr>
            <w:r>
              <w:rPr>
                <w:rFonts w:hint="eastAsia" w:ascii="宋体" w:hAnsi="宋体" w:cs="宋体"/>
                <w:sz w:val="21"/>
                <w:szCs w:val="21"/>
              </w:rPr>
              <w:t xml:space="preserve">2、总体响应时间</w:t>
            </w:r>
            <w:r/>
          </w:p>
          <w:tbl>
            <w:tblPr>
              <w:tblStyle w:val="989"/>
              <w:tblW w:w="92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679"/>
              <w:gridCol w:w="689"/>
              <w:gridCol w:w="650"/>
              <w:gridCol w:w="689"/>
            </w:tblGrid>
            <w:tr>
              <w:trPr>
                <w:trHeight w:val="467"/>
              </w:trPr>
              <w:tc>
                <w:tcPr>
                  <w:gridSpan w:val="2"/>
                  <w:tcW w:w="3765"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响应时间</w:t>
                  </w:r>
                  <w:r/>
                </w:p>
              </w:tc>
              <w:tc>
                <w:tcPr>
                  <w:tcW w:w="1883"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w:t>
                  </w:r>
                  <w:r/>
                </w:p>
              </w:tc>
              <w:tc>
                <w:tcPr>
                  <w:gridSpan w:val="2"/>
                  <w:tcW w:w="3630"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解决时间</w:t>
                  </w:r>
                  <w:r/>
                </w:p>
              </w:tc>
            </w:tr>
            <w:tr>
              <w:trPr>
                <w:trHeight w:val="911"/>
              </w:trPr>
              <w:tc>
                <w:tcPr>
                  <w:tcW w:w="1915"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50"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c>
                <w:tcPr>
                  <w:tcW w:w="1883"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服务时间要求</w:t>
                  </w:r>
                  <w:r/>
                </w:p>
              </w:tc>
              <w:tc>
                <w:tcPr>
                  <w:tcW w:w="1748"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紧急故障响应时间要求</w:t>
                  </w:r>
                  <w:r/>
                </w:p>
              </w:tc>
              <w:tc>
                <w:tcPr>
                  <w:tcW w:w="1882" w:type="dxa"/>
                  <w:vAlign w:val="center"/>
                  <w:textDirection w:val="lrTb"/>
                  <w:noWrap w:val="false"/>
                </w:tcPr>
                <w:p>
                  <w:pPr>
                    <w:jc w:val="center"/>
                    <w:spacing w:line="360" w:lineRule="auto"/>
                    <w:widowControl/>
                    <w:rPr>
                      <w:rFonts w:ascii="宋体" w:hAnsi="宋体" w:cs="宋体"/>
                      <w:sz w:val="21"/>
                      <w:szCs w:val="21"/>
                    </w:rPr>
                    <w:outlineLvl w:val="0"/>
                  </w:pPr>
                  <w:r>
                    <w:rPr>
                      <w:rFonts w:hint="eastAsia" w:ascii="宋体" w:hAnsi="宋体" w:cs="宋体"/>
                      <w:sz w:val="21"/>
                      <w:szCs w:val="21"/>
                    </w:rPr>
                    <w:t xml:space="preserve">非紧急故障响应时间要求</w:t>
                  </w:r>
                  <w:r/>
                </w:p>
              </w:tc>
            </w:tr>
            <w:tr>
              <w:trPr>
                <w:trHeight w:val="470"/>
              </w:trPr>
              <w:tc>
                <w:tcPr>
                  <w:tcW w:w="1915"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现场4小时响应</w:t>
                  </w:r>
                  <w:r/>
                </w:p>
              </w:tc>
              <w:tc>
                <w:tcPr>
                  <w:tcW w:w="1850"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现场24小时响应 </w:t>
                  </w:r>
                  <w:r/>
                </w:p>
              </w:tc>
              <w:tc>
                <w:tcPr>
                  <w:tcW w:w="1883"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7*24小时 </w:t>
                  </w:r>
                  <w:r/>
                </w:p>
              </w:tc>
              <w:tc>
                <w:tcPr>
                  <w:tcW w:w="1748"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现场4小时响应</w:t>
                  </w:r>
                  <w:r/>
                </w:p>
              </w:tc>
              <w:tc>
                <w:tcPr>
                  <w:tcW w:w="1882" w:type="dxa"/>
                  <w:vAlign w:val="center"/>
                  <w:textDirection w:val="lrTb"/>
                  <w:noWrap/>
                </w:tcPr>
                <w:p>
                  <w:pPr>
                    <w:spacing w:line="360" w:lineRule="auto"/>
                    <w:widowControl/>
                    <w:rPr>
                      <w:rFonts w:ascii="宋体" w:hAnsi="宋体" w:cs="宋体"/>
                      <w:sz w:val="21"/>
                      <w:szCs w:val="21"/>
                    </w:rPr>
                    <w:outlineLvl w:val="0"/>
                  </w:pPr>
                  <w:r>
                    <w:rPr>
                      <w:rFonts w:hint="eastAsia" w:ascii="宋体" w:hAnsi="宋体" w:cs="宋体"/>
                      <w:sz w:val="21"/>
                      <w:szCs w:val="21"/>
                    </w:rPr>
                    <w:t xml:space="preserve"> 现场24小时响应 </w:t>
                  </w:r>
                  <w:r/>
                </w:p>
              </w:tc>
            </w:tr>
          </w:tbl>
          <w:p>
            <w:pPr>
              <w:ind w:firstLine="480"/>
              <w:spacing w:line="360" w:lineRule="auto"/>
              <w:rPr>
                <w:rFonts w:ascii="宋体" w:hAnsi="宋体" w:cs="宋体"/>
                <w:b/>
                <w:bCs/>
                <w:sz w:val="21"/>
                <w:szCs w:val="21"/>
              </w:rPr>
            </w:pPr>
            <w:r>
              <w:rPr>
                <w:rFonts w:hint="eastAsia" w:ascii="宋体" w:hAnsi="宋体" w:cs="宋体"/>
                <w:b/>
                <w:bCs/>
                <w:sz w:val="21"/>
                <w:szCs w:val="21"/>
              </w:rPr>
              <w:t xml:space="preserve">（四）地震监测服务器</w:t>
            </w:r>
            <w:r/>
          </w:p>
          <w:p>
            <w:pPr>
              <w:ind w:firstLine="480"/>
              <w:spacing w:line="360" w:lineRule="auto"/>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1、运维服务内容</w:t>
            </w:r>
            <w:r/>
          </w:p>
          <w:p>
            <w:pPr>
              <w:ind w:firstLine="480"/>
              <w:spacing w:line="360" w:lineRule="auto"/>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（1）为设备提供硬件维保服务</w:t>
            </w:r>
            <w:r/>
          </w:p>
          <w:p>
            <w:pPr>
              <w:ind w:firstLine="480"/>
              <w:spacing w:line="360" w:lineRule="auto"/>
              <w:rPr>
                <w:rFonts w:ascii="宋体" w:hAnsi="宋体" w:cs="宋体"/>
                <w:sz w:val="21"/>
                <w:szCs w:val="21"/>
              </w:rPr>
            </w:pPr>
            <w:r>
              <w:rPr>
                <w:rFonts w:hint="eastAsia" w:ascii="宋体" w:hAnsi="宋体" w:cs="宋体"/>
                <w:sz w:val="21"/>
                <w:szCs w:val="21"/>
              </w:rPr>
              <w:t xml:space="preserve">对发现损坏的部件进行更换，保证列表中硬件在服务期限内系统稳定、连续、可靠运行。</w:t>
            </w:r>
            <w:r/>
          </w:p>
          <w:p>
            <w:pPr>
              <w:ind w:firstLine="480"/>
              <w:spacing w:line="360" w:lineRule="auto"/>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（2）每季度提供定期巡检服务</w:t>
            </w:r>
            <w:r/>
          </w:p>
          <w:p>
            <w:pPr>
              <w:ind w:firstLine="480"/>
              <w:spacing w:line="360" w:lineRule="auto"/>
              <w:rPr>
                <w:rFonts w:ascii="宋体" w:hAnsi="宋体" w:cs="宋体"/>
                <w:sz w:val="21"/>
                <w:szCs w:val="21"/>
              </w:rPr>
            </w:pPr>
            <w:r>
              <w:rPr>
                <w:rFonts w:hint="eastAsia" w:ascii="宋体" w:hAnsi="宋体" w:cs="宋体"/>
                <w:sz w:val="21"/>
                <w:szCs w:val="21"/>
              </w:rPr>
              <w:t xml:space="preserve">巡检设备范围为设备内所有设备。巡检服务包括现场巡检、调整优化，以保证能够及时发现问题并予以解决，巡检需输出巡检报告，并提出改进方案。预防性维护及检测的时间应在不影响采购人设备使用的情况下与用户协商共同确定。</w:t>
            </w:r>
            <w:r/>
          </w:p>
          <w:p>
            <w:pPr>
              <w:ind w:firstLine="480"/>
              <w:spacing w:line="360" w:lineRule="auto"/>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（3）提供7*24级别的服务支持</w:t>
            </w:r>
            <w:r/>
          </w:p>
          <w:p>
            <w:pPr>
              <w:ind w:firstLine="480"/>
              <w:spacing w:line="360" w:lineRule="auto"/>
              <w:rPr>
                <w:rFonts w:ascii="宋体" w:hAnsi="宋体" w:cs="宋体"/>
                <w:szCs w:val="21"/>
              </w:rPr>
            </w:pPr>
            <w:r>
              <w:rPr>
                <w:rFonts w:hint="eastAsia" w:ascii="宋体" w:hAnsi="宋体" w:cs="宋体"/>
                <w:sz w:val="21"/>
                <w:szCs w:val="21"/>
              </w:rPr>
              <w:t xml:space="preserve">接到采购人故障申告后按要求赶到现场并予以故障排除。现场技术支持包</w:t>
            </w:r>
            <w:r>
              <w:rPr>
                <w:rFonts w:hint="eastAsia" w:ascii="宋体" w:hAnsi="宋体" w:cs="宋体"/>
                <w:szCs w:val="21"/>
              </w:rPr>
              <w:t xml:space="preserve">括：用户设备的启保全面现场检查，建立技术档案；紧急现场故障处理等。</w:t>
            </w:r>
            <w:r/>
          </w:p>
          <w:p>
            <w:pPr>
              <w:ind w:firstLine="480"/>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 xml:space="preserve">（4）24小时服务热线支持</w:t>
            </w:r>
            <w:r/>
          </w:p>
          <w:p>
            <w:pPr>
              <w:ind w:firstLine="480"/>
              <w:spacing w:line="360" w:lineRule="auto"/>
              <w:rPr>
                <w:rFonts w:ascii="宋体" w:hAnsi="宋体" w:cs="宋体"/>
                <w:szCs w:val="21"/>
              </w:rPr>
            </w:pPr>
            <w:r>
              <w:rPr>
                <w:rFonts w:hint="eastAsia" w:ascii="宋体" w:hAnsi="宋体" w:cs="宋体"/>
                <w:szCs w:val="21"/>
              </w:rPr>
              <w:t xml:space="preserve">当采购人系统出现故障且需要供应商进行支持处理时，得到采购人的允许后，成交供应商工程师根据采购人要求并取得相关授权，在确保整个系统安全的前提下，及时登录到采购人机器上，及时进行问题诊断与故障排除，以最迅速、高效、快捷的方式为采购人解决问题，提供专业的技术支持服务。</w:t>
            </w:r>
            <w:r/>
          </w:p>
          <w:p>
            <w:pPr>
              <w:ind w:firstLine="480"/>
              <w:spacing w:line="360" w:lineRule="auto"/>
              <w:rPr>
                <w:rFonts w:ascii="宋体" w:hAnsi="宋体" w:cs="宋体"/>
                <w:szCs w:val="21"/>
              </w:rPr>
            </w:pPr>
            <w:r>
              <w:rPr>
                <w:rFonts w:hint="eastAsia" w:ascii="宋体" w:hAnsi="宋体" w:cs="宋体"/>
                <w:szCs w:val="21"/>
              </w:rPr>
              <w:t xml:space="preserve">2、维保设备清单</w:t>
            </w:r>
            <w:r/>
          </w:p>
          <w:tbl>
            <w:tblPr>
              <w:tblStyle w:val="98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417"/>
              <w:gridCol w:w="3544"/>
              <w:gridCol w:w="709"/>
              <w:gridCol w:w="850"/>
              <w:gridCol w:w="709"/>
            </w:tblGrid>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序号</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名称</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品牌</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规格参数</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数量</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单位</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备注</w:t>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联想</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thinkserverTS560</w:t>
                  </w:r>
                  <w:r>
                    <w:rPr>
                      <w:rFonts w:hint="eastAsia" w:ascii="宋体" w:hAnsi="宋体" w:cs="宋体"/>
                    </w:rPr>
                    <w:t xml:space="preserve">（</w:t>
                  </w:r>
                  <w:r>
                    <w:rPr>
                      <w:rFonts w:hint="eastAsia" w:ascii="宋体" w:hAnsi="宋体" w:cs="宋体"/>
                      <w:lang w:bidi="ar"/>
                    </w:rPr>
                    <w:t xml:space="preserve">PCOUP51E</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2</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X3500 M4</w:t>
                  </w:r>
                  <w:r>
                    <w:rPr>
                      <w:rFonts w:hint="eastAsia" w:ascii="宋体" w:hAnsi="宋体" w:cs="宋体"/>
                    </w:rPr>
                    <w:t xml:space="preserve">（</w:t>
                  </w:r>
                  <w:r>
                    <w:rPr>
                      <w:rFonts w:hint="eastAsia" w:ascii="宋体" w:hAnsi="宋体" w:cs="宋体"/>
                      <w:lang w:bidi="ar"/>
                    </w:rPr>
                    <w:t xml:space="preserve">06VXVW2</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3</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浪潮英信</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NF5180 M5</w:t>
                  </w:r>
                  <w:r>
                    <w:rPr>
                      <w:rFonts w:hint="eastAsia" w:ascii="宋体" w:hAnsi="宋体" w:cs="宋体"/>
                    </w:rPr>
                    <w:t xml:space="preserve">（</w:t>
                  </w:r>
                  <w:r>
                    <w:rPr>
                      <w:rFonts w:hint="eastAsia" w:ascii="宋体" w:hAnsi="宋体" w:cs="宋体"/>
                      <w:lang w:bidi="ar"/>
                    </w:rPr>
                    <w:t xml:space="preserve">719267856</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4</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X3550 M4</w:t>
                  </w:r>
                  <w:r>
                    <w:rPr>
                      <w:rFonts w:hint="eastAsia" w:ascii="宋体" w:hAnsi="宋体" w:cs="宋体"/>
                    </w:rPr>
                    <w:t xml:space="preserve">（</w:t>
                  </w:r>
                  <w:r>
                    <w:rPr>
                      <w:rFonts w:hint="eastAsia" w:ascii="宋体" w:hAnsi="宋体" w:cs="宋体"/>
                      <w:lang w:bidi="ar"/>
                    </w:rPr>
                    <w:t xml:space="preserve">06ATPRE</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5</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X3750 M4</w:t>
                  </w:r>
                  <w:r>
                    <w:rPr>
                      <w:rFonts w:hint="eastAsia" w:ascii="宋体" w:hAnsi="宋体" w:cs="宋体"/>
                    </w:rPr>
                    <w:t xml:space="preserve">（</w:t>
                  </w:r>
                  <w:r>
                    <w:rPr>
                      <w:rFonts w:hint="eastAsia" w:ascii="宋体" w:hAnsi="宋体" w:cs="宋体"/>
                      <w:lang w:bidi="ar"/>
                    </w:rPr>
                    <w:t xml:space="preserve">06CW331</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6</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X3650 M4</w:t>
                  </w:r>
                  <w:r>
                    <w:rPr>
                      <w:rFonts w:hint="eastAsia" w:ascii="宋体" w:hAnsi="宋体" w:cs="宋体"/>
                    </w:rPr>
                    <w:t xml:space="preserve">（</w:t>
                  </w:r>
                  <w:r>
                    <w:rPr>
                      <w:rFonts w:hint="eastAsia" w:ascii="宋体" w:hAnsi="宋体" w:cs="宋体"/>
                      <w:lang w:bidi="ar"/>
                    </w:rPr>
                    <w:t xml:space="preserve">06EHKFX</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7</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X3750 M4</w:t>
                  </w:r>
                  <w:r>
                    <w:rPr>
                      <w:rFonts w:hint="eastAsia" w:ascii="宋体" w:hAnsi="宋体" w:cs="宋体"/>
                    </w:rPr>
                    <w:t xml:space="preserve">（</w:t>
                  </w:r>
                  <w:r>
                    <w:rPr>
                      <w:rFonts w:hint="eastAsia" w:ascii="宋体" w:hAnsi="宋体" w:cs="宋体"/>
                      <w:lang w:bidi="ar"/>
                    </w:rPr>
                    <w:t xml:space="preserve">06DX508</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8</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X3500 M4</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9</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systemX3650</w:t>
                  </w:r>
                  <w:r>
                    <w:rPr>
                      <w:rFonts w:hint="eastAsia" w:ascii="宋体" w:hAnsi="宋体" w:cs="宋体"/>
                    </w:rPr>
                    <w:t xml:space="preserve">（</w:t>
                  </w:r>
                  <w:r>
                    <w:rPr>
                      <w:rFonts w:hint="eastAsia" w:ascii="宋体" w:hAnsi="宋体" w:cs="宋体"/>
                      <w:lang w:bidi="ar"/>
                    </w:rPr>
                    <w:t xml:space="preserve">99H6317</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10</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IBM</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systemX3250</w:t>
                  </w:r>
                  <w:r>
                    <w:rPr>
                      <w:rFonts w:hint="eastAsia" w:ascii="宋体" w:hAnsi="宋体" w:cs="宋体"/>
                    </w:rPr>
                    <w:t xml:space="preserve">（</w:t>
                  </w:r>
                  <w:r>
                    <w:rPr>
                      <w:rFonts w:hint="eastAsia" w:ascii="宋体" w:hAnsi="宋体" w:cs="宋体"/>
                      <w:lang w:bidi="ar"/>
                    </w:rPr>
                    <w:t xml:space="preserve">99A7235</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c>
                <w:tcPr>
                  <w:tcW w:w="1276"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11</w:t>
                  </w:r>
                  <w:r/>
                </w:p>
              </w:tc>
              <w:tc>
                <w:tcPr>
                  <w:tcW w:w="12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w:t>
                  </w:r>
                  <w:r/>
                </w:p>
              </w:tc>
              <w:tc>
                <w:tcPr>
                  <w:tcW w:w="1417"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浪潮英信</w:t>
                  </w:r>
                  <w:r/>
                </w:p>
              </w:tc>
              <w:tc>
                <w:tcPr>
                  <w:tcW w:w="3544"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NF5280M5</w:t>
                  </w:r>
                  <w:r>
                    <w:rPr>
                      <w:rFonts w:hint="eastAsia" w:ascii="宋体" w:hAnsi="宋体" w:cs="宋体"/>
                    </w:rPr>
                    <w:t xml:space="preserve">（</w:t>
                  </w:r>
                  <w:r>
                    <w:rPr>
                      <w:rFonts w:hint="eastAsia" w:ascii="宋体" w:hAnsi="宋体" w:cs="宋体"/>
                      <w:lang w:bidi="ar"/>
                    </w:rPr>
                    <w:t xml:space="preserve">419232279</w:t>
                  </w:r>
                  <w:r>
                    <w:rPr>
                      <w:rFonts w:hint="eastAsia" w:ascii="宋体" w:hAnsi="宋体" w:cs="宋体"/>
                    </w:rPr>
                    <w:t xml:space="preserve">）</w:t>
                  </w:r>
                  <w:r/>
                </w:p>
              </w:tc>
              <w:tc>
                <w:tcPr>
                  <w:tcW w:w="709"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1</w:t>
                  </w:r>
                  <w:r/>
                </w:p>
              </w:tc>
              <w:tc>
                <w:tcPr>
                  <w:tcW w:w="850"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bl>
          <w:p>
            <w:pPr>
              <w:ind w:firstLine="480"/>
              <w:spacing w:line="360" w:lineRule="auto"/>
              <w:rPr>
                <w:rFonts w:ascii="宋体" w:hAnsi="宋体" w:cs="宋体"/>
                <w:szCs w:val="21"/>
              </w:rPr>
            </w:pPr>
            <w:r>
              <w:rPr>
                <w:rFonts w:hint="eastAsia" w:ascii="宋体" w:hAnsi="宋体" w:cs="宋体"/>
                <w:szCs w:val="21"/>
              </w:rPr>
              <w:t xml:space="preserve">3、总体响应时间</w:t>
            </w:r>
            <w:r/>
          </w:p>
          <w:tbl>
            <w:tblPr>
              <w:tblStyle w:val="989"/>
              <w:tblW w:w="94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679"/>
              <w:gridCol w:w="689"/>
              <w:gridCol w:w="650"/>
              <w:gridCol w:w="689"/>
            </w:tblGrid>
            <w:tr>
              <w:trPr>
                <w:trHeight w:val="473"/>
              </w:trPr>
              <w:tc>
                <w:tcPr>
                  <w:gridSpan w:val="2"/>
                  <w:tcW w:w="3822"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响应时间</w:t>
                  </w:r>
                  <w:r/>
                </w:p>
              </w:tc>
              <w:tc>
                <w:tcPr>
                  <w:tcW w:w="191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服务时间</w:t>
                  </w:r>
                  <w:r/>
                </w:p>
              </w:tc>
              <w:tc>
                <w:tcPr>
                  <w:gridSpan w:val="2"/>
                  <w:tcW w:w="3685"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解决时间</w:t>
                  </w:r>
                  <w:r/>
                </w:p>
              </w:tc>
            </w:tr>
            <w:tr>
              <w:trPr>
                <w:trHeight w:val="935"/>
              </w:trPr>
              <w:tc>
                <w:tcPr>
                  <w:tcW w:w="1944"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紧急故障响应时间要求</w:t>
                  </w:r>
                  <w:r/>
                </w:p>
              </w:tc>
              <w:tc>
                <w:tcPr>
                  <w:tcW w:w="1878"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非紧急故障响应时间要求</w:t>
                  </w:r>
                  <w:r/>
                </w:p>
              </w:tc>
              <w:tc>
                <w:tcPr>
                  <w:tcW w:w="191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服务时间要求</w:t>
                  </w:r>
                  <w:r/>
                </w:p>
              </w:tc>
              <w:tc>
                <w:tcPr>
                  <w:tcW w:w="1774"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紧急故障响应时间要求</w:t>
                  </w:r>
                  <w:r/>
                </w:p>
              </w:tc>
              <w:tc>
                <w:tcPr>
                  <w:tcW w:w="191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非紧急故障响应时间要求</w:t>
                  </w:r>
                  <w:r/>
                </w:p>
              </w:tc>
            </w:tr>
            <w:tr>
              <w:trPr>
                <w:trHeight w:val="484"/>
              </w:trPr>
              <w:tc>
                <w:tcPr>
                  <w:tcW w:w="1944"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现场4小时响应</w:t>
                  </w:r>
                  <w:r/>
                </w:p>
              </w:tc>
              <w:tc>
                <w:tcPr>
                  <w:tcW w:w="1878"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现场24小时响应 </w:t>
                  </w:r>
                  <w:r/>
                </w:p>
              </w:tc>
              <w:tc>
                <w:tcPr>
                  <w:tcW w:w="1911"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7*24小时 </w:t>
                  </w:r>
                  <w:r/>
                </w:p>
              </w:tc>
              <w:tc>
                <w:tcPr>
                  <w:tcW w:w="1774"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现场4小时响应</w:t>
                  </w:r>
                  <w:r/>
                </w:p>
              </w:tc>
              <w:tc>
                <w:tcPr>
                  <w:tcW w:w="1911"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现场24小时响应 </w:t>
                  </w:r>
                  <w:r/>
                </w:p>
              </w:tc>
            </w:tr>
          </w:tbl>
          <w:p>
            <w:pPr>
              <w:ind w:firstLine="480"/>
              <w:spacing w:line="360" w:lineRule="auto"/>
              <w:rPr>
                <w:rFonts w:ascii="宋体" w:hAnsi="宋体" w:cs="宋体"/>
                <w:b/>
                <w:szCs w:val="21"/>
              </w:rPr>
            </w:pPr>
            <w:r>
              <w:rPr>
                <w:rFonts w:hint="eastAsia" w:ascii="宋体" w:hAnsi="宋体" w:cs="宋体"/>
                <w:b/>
                <w:szCs w:val="21"/>
              </w:rPr>
              <w:t xml:space="preserve">（五）精密空调、气体灭火等物理环境</w:t>
            </w:r>
            <w:r/>
          </w:p>
          <w:p>
            <w:pPr>
              <w:ind w:firstLine="480"/>
              <w:spacing w:line="360" w:lineRule="auto"/>
              <w:rPr>
                <w:rFonts w:ascii="宋体" w:hAnsi="宋体" w:cs="宋体"/>
                <w:bCs/>
                <w:szCs w:val="21"/>
              </w:rPr>
            </w:pPr>
            <w:r>
              <w:rPr>
                <w:rFonts w:hint="eastAsia" w:ascii="宋体" w:hAnsi="宋体" w:cs="宋体"/>
                <w:bCs/>
                <w:szCs w:val="21"/>
              </w:rPr>
              <w:t xml:space="preserve">1、运维服务内容</w:t>
            </w:r>
            <w:r/>
          </w:p>
          <w:p>
            <w:pPr>
              <w:ind w:firstLine="480"/>
              <w:spacing w:line="360" w:lineRule="auto"/>
              <w:rPr>
                <w:rFonts w:ascii="宋体" w:hAnsi="宋体" w:cs="宋体"/>
                <w:bCs/>
                <w:szCs w:val="21"/>
              </w:rPr>
            </w:pPr>
            <w:r>
              <w:rPr>
                <w:rFonts w:hint="eastAsia" w:ascii="宋体" w:hAnsi="宋体" w:cs="宋体"/>
                <w:bCs/>
                <w:szCs w:val="21"/>
              </w:rPr>
              <w:t xml:space="preserve">主要包括机房空调、消防系统等定期检查、清洁保养、故障排除和性能优化等服务。</w:t>
            </w:r>
            <w:r/>
          </w:p>
          <w:p>
            <w:pPr>
              <w:ind w:firstLine="480"/>
              <w:spacing w:line="360" w:lineRule="auto"/>
              <w:rPr>
                <w:rFonts w:ascii="宋体" w:hAnsi="宋体" w:cs="宋体"/>
                <w:bCs/>
                <w:szCs w:val="21"/>
              </w:rPr>
            </w:pPr>
            <w:r>
              <w:rPr>
                <w:rFonts w:hint="eastAsia" w:ascii="宋体" w:hAnsi="宋体" w:cs="宋体"/>
                <w:bCs/>
                <w:szCs w:val="21"/>
              </w:rPr>
              <w:t xml:space="preserve">（1）机房空调维保服务要求</w:t>
            </w:r>
            <w:r/>
          </w:p>
          <w:p>
            <w:pPr>
              <w:ind w:firstLine="480"/>
              <w:spacing w:line="360" w:lineRule="auto"/>
              <w:rPr>
                <w:rFonts w:ascii="宋体" w:hAnsi="宋体" w:cs="宋体"/>
                <w:bCs/>
                <w:szCs w:val="21"/>
              </w:rPr>
            </w:pPr>
            <w:r>
              <w:rPr>
                <w:rFonts w:hint="eastAsia" w:ascii="宋体" w:hAnsi="宋体" w:cs="宋体"/>
                <w:bCs/>
                <w:szCs w:val="21"/>
              </w:rPr>
              <w:t xml:space="preserve">为确保机房空调稳定可靠运行，提供包括现场、电话及远程故障维修、技术咨询等服务。具体服务内容包括：</w:t>
            </w:r>
            <w:r/>
          </w:p>
          <w:p>
            <w:pPr>
              <w:ind w:firstLine="480"/>
              <w:spacing w:line="360" w:lineRule="auto"/>
              <w:rPr>
                <w:rFonts w:ascii="宋体" w:hAnsi="宋体" w:cs="宋体"/>
                <w:bCs/>
                <w:szCs w:val="21"/>
              </w:rPr>
            </w:pPr>
            <w:r>
              <w:rPr>
                <w:rFonts w:hint="eastAsia" w:ascii="宋体" w:hAnsi="宋体" w:cs="宋体"/>
                <w:bCs/>
                <w:szCs w:val="21"/>
              </w:rPr>
              <w:t xml:space="preserve">定期检查：定期巡检检查机房空调系统的各个部件，包括冷凝器、蒸发器、压缩机、冷凝器风机、蒸发器风机、控制柜等，确保设备正常运行，定期对空调设备进行巡查和基本测试，及时发现并记录故障或隐患；</w:t>
            </w:r>
            <w:r/>
          </w:p>
          <w:p>
            <w:pPr>
              <w:ind w:firstLine="480"/>
              <w:spacing w:line="360" w:lineRule="auto"/>
              <w:rPr>
                <w:rFonts w:ascii="宋体" w:hAnsi="宋体" w:cs="宋体"/>
                <w:bCs/>
                <w:szCs w:val="21"/>
              </w:rPr>
            </w:pPr>
            <w:r>
              <w:rPr>
                <w:rFonts w:hint="eastAsia" w:ascii="宋体" w:hAnsi="宋体" w:cs="宋体"/>
                <w:bCs/>
                <w:szCs w:val="21"/>
              </w:rPr>
              <w:t xml:space="preserve">清洁保养：定期清洁过滤网和冷凝器，确保其畅通无阻，防止灰尘积累影响制冷效果和增加能耗；</w:t>
            </w:r>
            <w:r/>
          </w:p>
          <w:p>
            <w:pPr>
              <w:ind w:firstLine="480"/>
              <w:spacing w:line="360" w:lineRule="auto"/>
              <w:rPr>
                <w:rFonts w:ascii="宋体" w:hAnsi="宋体" w:cs="宋体"/>
                <w:bCs/>
                <w:szCs w:val="21"/>
              </w:rPr>
            </w:pPr>
            <w:r>
              <w:rPr>
                <w:rFonts w:hint="eastAsia" w:ascii="宋体" w:hAnsi="宋体" w:cs="宋体"/>
                <w:bCs/>
                <w:szCs w:val="21"/>
              </w:rPr>
              <w:t xml:space="preserve">故障维修：根据不同等级故障的响应级别，迅速定位并排除故障，采取有效措施恢复系统正常运行，并分析故障原因，提出预防措施；</w:t>
            </w:r>
            <w:r/>
          </w:p>
          <w:p>
            <w:pPr>
              <w:ind w:firstLine="480"/>
              <w:spacing w:line="360" w:lineRule="auto"/>
              <w:rPr>
                <w:rFonts w:ascii="宋体" w:hAnsi="宋体" w:cs="宋体"/>
                <w:bCs/>
                <w:szCs w:val="21"/>
              </w:rPr>
            </w:pPr>
            <w:r>
              <w:rPr>
                <w:rFonts w:hint="eastAsia" w:ascii="宋体" w:hAnsi="宋体" w:cs="宋体"/>
                <w:bCs/>
                <w:szCs w:val="21"/>
              </w:rPr>
              <w:t xml:space="preserve">性能优化：根据运行情况优化系统参数，确保系统稳定运行，提高制冷效率；</w:t>
            </w:r>
            <w:r/>
          </w:p>
          <w:p>
            <w:pPr>
              <w:ind w:firstLine="480"/>
              <w:spacing w:line="360" w:lineRule="auto"/>
              <w:rPr>
                <w:rFonts w:ascii="宋体" w:hAnsi="宋体" w:cs="宋体"/>
                <w:bCs/>
                <w:szCs w:val="21"/>
              </w:rPr>
            </w:pPr>
            <w:r>
              <w:rPr>
                <w:rFonts w:hint="eastAsia" w:ascii="宋体" w:hAnsi="宋体" w:cs="宋体"/>
                <w:bCs/>
                <w:szCs w:val="21"/>
              </w:rPr>
              <w:t xml:space="preserve">安全检查：检查设备是否符合国家安全标准，确保接地、防雷、防静电等安全措施到位。</w:t>
            </w:r>
            <w:r/>
          </w:p>
          <w:p>
            <w:pPr>
              <w:ind w:firstLine="480"/>
              <w:spacing w:line="360" w:lineRule="auto"/>
              <w:rPr>
                <w:rFonts w:ascii="宋体" w:hAnsi="宋体" w:cs="宋体"/>
                <w:bCs/>
                <w:szCs w:val="21"/>
              </w:rPr>
            </w:pPr>
            <w:r>
              <w:rPr>
                <w:rFonts w:hint="eastAsia" w:ascii="宋体" w:hAnsi="宋体" w:cs="宋体"/>
                <w:bCs/>
                <w:szCs w:val="21"/>
              </w:rPr>
              <w:t xml:space="preserve">（2）消防系统维保服务要求</w:t>
            </w:r>
            <w:r/>
          </w:p>
          <w:p>
            <w:pPr>
              <w:ind w:firstLine="480"/>
              <w:spacing w:line="360" w:lineRule="auto"/>
              <w:rPr>
                <w:rFonts w:ascii="宋体" w:hAnsi="宋体" w:cs="宋体"/>
                <w:bCs/>
                <w:szCs w:val="21"/>
              </w:rPr>
            </w:pPr>
            <w:r>
              <w:rPr>
                <w:rFonts w:hint="eastAsia" w:ascii="宋体" w:hAnsi="宋体" w:cs="宋体"/>
                <w:bCs/>
                <w:szCs w:val="21"/>
              </w:rPr>
              <w:t xml:space="preserve">定期检查：定期巡检对火灾自动报警系统、气体灭火系统等进行检查和试验，确保其功能正常，钢质气瓶需进行一次全面检验；</w:t>
            </w:r>
            <w:r/>
          </w:p>
          <w:p>
            <w:pPr>
              <w:ind w:firstLine="480"/>
              <w:spacing w:line="360" w:lineRule="auto"/>
              <w:rPr>
                <w:rFonts w:ascii="宋体" w:hAnsi="宋体" w:cs="宋体"/>
                <w:bCs/>
                <w:szCs w:val="21"/>
              </w:rPr>
            </w:pPr>
            <w:r>
              <w:rPr>
                <w:rFonts w:hint="eastAsia" w:ascii="宋体" w:hAnsi="宋体" w:cs="宋体"/>
                <w:bCs/>
                <w:szCs w:val="21"/>
              </w:rPr>
              <w:t xml:space="preserve">清洁保养：定期清洁消防设施，确保其处于良好状态；</w:t>
            </w:r>
            <w:r/>
          </w:p>
          <w:p>
            <w:pPr>
              <w:ind w:firstLine="480"/>
              <w:spacing w:line="360" w:lineRule="auto"/>
              <w:rPr>
                <w:rFonts w:ascii="宋体" w:hAnsi="宋体" w:cs="宋体"/>
                <w:bCs/>
                <w:szCs w:val="21"/>
              </w:rPr>
            </w:pPr>
            <w:r>
              <w:rPr>
                <w:rFonts w:hint="eastAsia" w:ascii="宋体" w:hAnsi="宋体" w:cs="宋体"/>
                <w:bCs/>
                <w:szCs w:val="21"/>
              </w:rPr>
              <w:t xml:space="preserve">故障排除：对消防系统的故障进行维修，确保系统恢复正常运行；</w:t>
            </w:r>
            <w:r/>
          </w:p>
          <w:p>
            <w:pPr>
              <w:ind w:firstLine="480"/>
              <w:spacing w:line="360" w:lineRule="auto"/>
              <w:rPr>
                <w:rFonts w:ascii="宋体" w:hAnsi="宋体" w:cs="宋体"/>
                <w:bCs/>
                <w:szCs w:val="21"/>
              </w:rPr>
            </w:pPr>
            <w:r>
              <w:rPr>
                <w:rFonts w:hint="eastAsia" w:ascii="宋体" w:hAnsi="宋体" w:cs="宋体"/>
                <w:bCs/>
                <w:szCs w:val="21"/>
              </w:rPr>
              <w:t xml:space="preserve">性能优化：根据运行情况优化系统性能，确保其高效运行；</w:t>
            </w:r>
            <w:r/>
          </w:p>
          <w:p>
            <w:pPr>
              <w:ind w:firstLine="480"/>
              <w:spacing w:line="360" w:lineRule="auto"/>
              <w:rPr>
                <w:rFonts w:ascii="宋体" w:hAnsi="宋体" w:cs="宋体"/>
                <w:bCs/>
                <w:szCs w:val="21"/>
              </w:rPr>
            </w:pPr>
            <w:r>
              <w:rPr>
                <w:rFonts w:hint="eastAsia" w:ascii="宋体" w:hAnsi="宋体" w:cs="宋体"/>
                <w:bCs/>
                <w:szCs w:val="21"/>
              </w:rPr>
              <w:t xml:space="preserve">安全检查：检查消防设施是否符合国家安全标准，确保其安全可靠。</w:t>
            </w:r>
            <w:r/>
          </w:p>
          <w:p>
            <w:pPr>
              <w:ind w:firstLine="480"/>
              <w:spacing w:line="360" w:lineRule="auto"/>
              <w:rPr>
                <w:rFonts w:ascii="宋体" w:hAnsi="宋体" w:cs="宋体"/>
                <w:bCs/>
                <w:szCs w:val="21"/>
              </w:rPr>
            </w:pPr>
            <w:r>
              <w:rPr>
                <w:rFonts w:hint="eastAsia" w:ascii="宋体" w:hAnsi="宋体" w:cs="宋体"/>
                <w:bCs/>
                <w:szCs w:val="21"/>
              </w:rPr>
              <w:t xml:space="preserve">（3）机房空调及消防系统维保服务设备清单：</w:t>
            </w:r>
            <w:r/>
          </w:p>
          <w:tbl>
            <w:tblPr>
              <w:tblStyle w:val="989"/>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948"/>
              <w:gridCol w:w="1476"/>
              <w:gridCol w:w="684"/>
              <w:gridCol w:w="660"/>
              <w:gridCol w:w="4069"/>
            </w:tblGrid>
            <w:tr>
              <w:trPr>
                <w:trHeight w:val="640"/>
              </w:trPr>
              <w:tc>
                <w:tcPr>
                  <w:tcW w:w="80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948" w:type="dxa"/>
                  <w:vAlign w:val="center"/>
                  <w:textDirection w:val="lrTb"/>
                  <w:noWrap w:val="false"/>
                </w:tcPr>
                <w:p>
                  <w:pPr>
                    <w:spacing w:line="360" w:lineRule="auto"/>
                    <w:rPr>
                      <w:rFonts w:ascii="宋体" w:hAnsi="宋体" w:cs="宋体"/>
                    </w:rPr>
                  </w:pPr>
                  <w:r>
                    <w:rPr>
                      <w:rFonts w:hint="eastAsia" w:ascii="宋体" w:hAnsi="宋体" w:cs="宋体"/>
                    </w:rPr>
                    <w:t xml:space="preserve">名称</w:t>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主要设备型号</w:t>
                  </w:r>
                  <w:r/>
                </w:p>
              </w:tc>
              <w:tc>
                <w:tcPr>
                  <w:tcW w:w="684" w:type="dxa"/>
                  <w:vAlign w:val="center"/>
                  <w:textDirection w:val="lrTb"/>
                  <w:noWrap w:val="false"/>
                </w:tcPr>
                <w:p>
                  <w:pPr>
                    <w:spacing w:line="360" w:lineRule="auto"/>
                    <w:rPr>
                      <w:rFonts w:ascii="宋体" w:hAnsi="宋体" w:cs="宋体"/>
                    </w:rPr>
                  </w:pPr>
                  <w:r>
                    <w:rPr>
                      <w:rFonts w:hint="eastAsia" w:ascii="宋体" w:hAnsi="宋体" w:cs="宋体"/>
                    </w:rPr>
                    <w:t xml:space="preserve">数量</w:t>
                  </w:r>
                  <w:r/>
                </w:p>
              </w:tc>
              <w:tc>
                <w:tcPr>
                  <w:tcW w:w="660" w:type="dxa"/>
                  <w:vAlign w:val="center"/>
                  <w:textDirection w:val="lrTb"/>
                  <w:noWrap w:val="false"/>
                </w:tcPr>
                <w:p>
                  <w:pPr>
                    <w:spacing w:line="360" w:lineRule="auto"/>
                    <w:rPr>
                      <w:rFonts w:ascii="宋体" w:hAnsi="宋体" w:cs="宋体"/>
                    </w:rPr>
                  </w:pPr>
                  <w:r>
                    <w:rPr>
                      <w:rFonts w:hint="eastAsia" w:ascii="宋体" w:hAnsi="宋体" w:cs="宋体"/>
                    </w:rPr>
                    <w:t xml:space="preserve">单位</w:t>
                  </w:r>
                  <w:r/>
                </w:p>
              </w:tc>
              <w:tc>
                <w:tcPr>
                  <w:tcW w:w="4069" w:type="dxa"/>
                  <w:vAlign w:val="center"/>
                  <w:textDirection w:val="lrTb"/>
                  <w:noWrap w:val="false"/>
                </w:tcPr>
                <w:p>
                  <w:pPr>
                    <w:spacing w:line="360" w:lineRule="auto"/>
                    <w:rPr>
                      <w:rFonts w:ascii="宋体" w:hAnsi="宋体" w:cs="宋体"/>
                    </w:rPr>
                  </w:pPr>
                  <w:r>
                    <w:rPr>
                      <w:rFonts w:hint="eastAsia" w:ascii="宋体" w:hAnsi="宋体" w:cs="宋体"/>
                    </w:rPr>
                    <w:t xml:space="preserve">服务指标</w:t>
                  </w:r>
                  <w:r/>
                </w:p>
              </w:tc>
            </w:tr>
            <w:tr>
              <w:trPr>
                <w:trHeight w:val="271"/>
              </w:trPr>
              <w:tc>
                <w:tcPr>
                  <w:tcW w:w="80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948" w:type="dxa"/>
                  <w:vAlign w:val="center"/>
                  <w:textDirection w:val="lrTb"/>
                  <w:noWrap w:val="false"/>
                </w:tcPr>
                <w:p>
                  <w:pPr>
                    <w:spacing w:line="360" w:lineRule="auto"/>
                    <w:rPr>
                      <w:rFonts w:ascii="宋体" w:hAnsi="宋体" w:cs="宋体"/>
                    </w:rPr>
                  </w:pPr>
                  <w:r>
                    <w:rPr>
                      <w:rFonts w:hint="eastAsia" w:ascii="宋体" w:hAnsi="宋体" w:cs="宋体"/>
                    </w:rPr>
                    <w:t xml:space="preserve">机房空调系统</w:t>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维谛DME12MCT2</w:t>
                  </w:r>
                  <w:r/>
                </w:p>
              </w:tc>
              <w:tc>
                <w:tcPr>
                  <w:tcW w:w="6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6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single" w:color="auto" w:sz="4" w:space="0"/>
                    <w:left w:val="single" w:color="auto" w:sz="4" w:space="0"/>
                    <w:bottom w:val="single" w:color="auto" w:sz="4" w:space="0"/>
                    <w:right w:val="single" w:color="auto" w:sz="4" w:space="0"/>
                  </w:tcBorders>
                  <w:tcW w:w="4069" w:type="dxa"/>
                  <w:vAlign w:val="center"/>
                  <w:textDirection w:val="lrTb"/>
                  <w:noWrap w:val="false"/>
                </w:tcPr>
                <w:p>
                  <w:pPr>
                    <w:spacing w:line="360" w:lineRule="auto"/>
                    <w:rPr>
                      <w:rFonts w:ascii="宋体" w:hAnsi="宋体" w:cs="宋体"/>
                    </w:rPr>
                  </w:pPr>
                  <w:r>
                    <w:rPr>
                      <w:rFonts w:hint="eastAsia" w:ascii="宋体" w:hAnsi="宋体" w:cs="宋体"/>
                    </w:rPr>
                    <w:t xml:space="preserve">服务内容：1）质保：提供维谛DME精密空调1年硬件质保，备件更换维修；2）季度巡检：季度巡检空调运行状态，检查系统的各个部件，定期对设备进行巡查和基本测试，确保设备正常运行‌；3）专业保养及性能优化，由相关工程师提供年度专业保养和性能优化，包含压缩机与制冷循环系统、电气与控制系统、加湿与排水系统及风机与传动组件等，优化高压电气和制冷系统的运行效率降低能耗，延长设备使用寿命。</w:t>
                  </w:r>
                  <w:r>
                    <w:rPr>
                      <w:rFonts w:hint="eastAsia" w:ascii="宋体" w:hAnsi="宋体" w:cs="宋体"/>
                    </w:rPr>
                    <w:br/>
                  </w:r>
                  <w:r>
                    <w:rPr>
                      <w:rFonts w:hint="eastAsia" w:ascii="宋体" w:hAnsi="宋体" w:cs="宋体"/>
                    </w:rPr>
                    <w:t xml:space="preserve">服务响应标准：5-15分钟响应并开始处理，并根据故障级别在规定时间内（如1-4小时）解决并恢复服务，每季度提供运维报告1份，配置2名运维人员。</w:t>
                  </w:r>
                  <w:r/>
                </w:p>
              </w:tc>
            </w:tr>
            <w:tr>
              <w:trPr>
                <w:trHeight w:val="271"/>
              </w:trPr>
              <w:tc>
                <w:tcPr>
                  <w:tcW w:w="80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948"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消防系统</w:t>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海湾GST-QKP01气体灭火控制器</w:t>
                  </w:r>
                  <w:r/>
                </w:p>
              </w:tc>
              <w:tc>
                <w:tcPr>
                  <w:tcW w:w="6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6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none" w:color="000000" w:sz="4" w:space="0"/>
                    <w:left w:val="single" w:color="auto" w:sz="4" w:space="0"/>
                    <w:bottom w:val="single" w:color="auto" w:sz="4" w:space="0"/>
                    <w:right w:val="single" w:color="auto" w:sz="4" w:space="0"/>
                  </w:tcBorders>
                  <w:tcW w:w="406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服务内容：海湾GST-QKP01气体灭火控制器及柜式七氟丙烷气体灭火装置1年维保，季度巡检，定期检查与清洁：对火灾自动报警系统、气体灭火装置等进行检测，进行关键功能测试，包括联动模拟、手动/自动切换、管路检查等，确保系统运行功能正常，钢质气瓶压力定期检测确保在正常工作范围；</w:t>
                  </w:r>
                  <w:r>
                    <w:rPr>
                      <w:rFonts w:hint="eastAsia" w:ascii="宋体" w:hAnsi="宋体" w:cs="宋体"/>
                    </w:rPr>
                    <w:br/>
                  </w:r>
                  <w:r>
                    <w:rPr>
                      <w:rFonts w:hint="eastAsia" w:ascii="宋体" w:hAnsi="宋体" w:cs="宋体"/>
                    </w:rPr>
                    <w:t xml:space="preserve">服务响应标准：5-15分钟响应并开始处理，并根据故障级别在规定时间内（如1-4小时）解决并恢复服务，每季度提供运维报告1份，配置2名运维人员。</w:t>
                  </w:r>
                  <w:r/>
                </w:p>
              </w:tc>
            </w:tr>
            <w:tr>
              <w:trPr>
                <w:trHeight w:val="271"/>
              </w:trPr>
              <w:tc>
                <w:tcPr>
                  <w:tcW w:w="8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948"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柜式七氟丙烷气体灭火装置</w:t>
                  </w:r>
                  <w:r/>
                </w:p>
              </w:tc>
              <w:tc>
                <w:tcPr>
                  <w:tcW w:w="6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6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W w:w="4069" w:type="dxa"/>
                  <w:vAlign w:val="center"/>
                  <w:vMerge w:val="continue"/>
                  <w:textDirection w:val="lrTb"/>
                  <w:noWrap w:val="false"/>
                </w:tcPr>
                <w:p>
                  <w:pPr>
                    <w:spacing w:line="360" w:lineRule="auto"/>
                    <w:rPr>
                      <w:rFonts w:ascii="宋体" w:hAnsi="宋体" w:cs="宋体"/>
                    </w:rPr>
                  </w:pPr>
                  <w:r>
                    <w:rPr>
                      <w:rFonts w:ascii="宋体" w:hAnsi="宋体" w:cs="宋体"/>
                    </w:rPr>
                  </w:r>
                  <w:r/>
                </w:p>
              </w:tc>
            </w:tr>
            <w:tr>
              <w:trPr>
                <w:trHeight w:val="271"/>
              </w:trPr>
              <w:tc>
                <w:tcPr>
                  <w:tcW w:w="80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000000" w:sz="4" w:space="0"/>
                  </w:tcBorders>
                  <w:tcW w:w="948" w:type="dxa"/>
                  <w:vAlign w:val="center"/>
                  <w:textDirection w:val="lrTb"/>
                  <w:noWrap w:val="false"/>
                </w:tcPr>
                <w:p>
                  <w:pPr>
                    <w:spacing w:line="360" w:lineRule="auto"/>
                    <w:rPr>
                      <w:rFonts w:ascii="宋体" w:hAnsi="宋体" w:cs="宋体"/>
                    </w:rPr>
                  </w:pPr>
                  <w:r>
                    <w:rPr>
                      <w:rFonts w:hint="eastAsia" w:ascii="宋体" w:hAnsi="宋体" w:cs="宋体"/>
                      <w:sz w:val="22"/>
                      <w:szCs w:val="22"/>
                    </w:rPr>
                    <w:t xml:space="preserve">华为模块化机柜(含空调，UPS)</w:t>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华为FusionModule800模块化机柜</w:t>
                  </w:r>
                  <w:r/>
                </w:p>
              </w:tc>
              <w:tc>
                <w:tcPr>
                  <w:tcW w:w="6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6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single" w:color="auto" w:sz="4" w:space="0"/>
                    <w:left w:val="single" w:color="auto" w:sz="4" w:space="0"/>
                    <w:bottom w:val="single" w:color="auto" w:sz="4" w:space="0"/>
                    <w:right w:val="single" w:color="auto" w:sz="4" w:space="0"/>
                  </w:tcBorders>
                  <w:tcW w:w="4069" w:type="dxa"/>
                  <w:vAlign w:val="center"/>
                  <w:textDirection w:val="lrTb"/>
                  <w:noWrap w:val="false"/>
                </w:tcPr>
                <w:p>
                  <w:pPr>
                    <w:spacing w:line="360" w:lineRule="auto"/>
                    <w:rPr>
                      <w:rFonts w:ascii="宋体" w:hAnsi="宋体" w:cs="宋体"/>
                    </w:rPr>
                  </w:pPr>
                  <w:r>
                    <w:rPr>
                      <w:rFonts w:hint="eastAsia" w:ascii="宋体" w:hAnsi="宋体" w:cs="宋体"/>
                    </w:rPr>
                    <w:t xml:space="preserve">1）质保：提供华为Fusio</w:t>
                  </w:r>
                  <w:r>
                    <w:rPr>
                      <w:rFonts w:hint="eastAsia" w:ascii="宋体" w:hAnsi="宋体" w:cs="宋体"/>
                    </w:rPr>
                    <w:t xml:space="preserve">nModule800模块化机柜1年软硬件质保，含机柜空调系统NetCol5000及UPS 15kw各2套，备件维修，每季度巡检，确保设备正常运行‌；2）保养维护：检测和优化主机运行参数，检测主路、旁路供电是否正常，检查控制器程序菜单设置、压机、风机、加热器、冷凝器、制冷循环管路、过滤网、加湿器和供排水管路及电器系统等部份的运行情况，排除发现的故障,更换损坏的配件、整机系统电路和控制的检修、系统的气密性检测、检漏等，调整控制器程序，调整系统运行压力，清洁空气过滤网、冷凝器、加湿器等设备，室内外机定期卫生清理；</w:t>
                  </w:r>
                  <w:r>
                    <w:rPr>
                      <w:rFonts w:hint="eastAsia" w:ascii="宋体" w:hAnsi="宋体" w:cs="宋体"/>
                    </w:rPr>
                    <w:br/>
                  </w:r>
                  <w:r>
                    <w:rPr>
                      <w:rFonts w:hint="eastAsia" w:ascii="宋体" w:hAnsi="宋体" w:cs="宋体"/>
                    </w:rPr>
                    <w:t xml:space="preserve">服务响应标准：5-15分钟响应并开始处理，并根据故障级别在规定时间内（如1-4小时）解决并恢复服务，每季度提供运维报告1份，配置2名运维人员。</w:t>
                  </w:r>
                  <w:r/>
                </w:p>
              </w:tc>
            </w:tr>
            <w:tr>
              <w:trPr>
                <w:trHeight w:val="271"/>
              </w:trPr>
              <w:tc>
                <w:tcPr>
                  <w:tcW w:w="80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000000" w:sz="4" w:space="0"/>
                  </w:tcBorders>
                  <w:tcW w:w="948" w:type="dxa"/>
                  <w:vAlign w:val="center"/>
                  <w:textDirection w:val="lrTb"/>
                  <w:noWrap w:val="false"/>
                </w:tcPr>
                <w:p>
                  <w:pPr>
                    <w:spacing w:line="360" w:lineRule="auto"/>
                    <w:rPr>
                      <w:rFonts w:ascii="宋体" w:hAnsi="宋体" w:cs="宋体"/>
                    </w:rPr>
                  </w:pPr>
                  <w:r>
                    <w:rPr>
                      <w:rFonts w:hint="eastAsia" w:ascii="宋体" w:hAnsi="宋体" w:cs="宋体"/>
                      <w:sz w:val="22"/>
                      <w:szCs w:val="22"/>
                    </w:rPr>
                    <w:t xml:space="preserve">气体灭火药剂</w:t>
                  </w:r>
                  <w:r/>
                </w:p>
              </w:tc>
              <w:tc>
                <w:tcPr>
                  <w:tcW w:w="1476" w:type="dxa"/>
                  <w:vAlign w:val="center"/>
                  <w:textDirection w:val="lrTb"/>
                  <w:noWrap w:val="false"/>
                </w:tcPr>
                <w:p>
                  <w:pPr>
                    <w:spacing w:line="360" w:lineRule="auto"/>
                    <w:rPr>
                      <w:rFonts w:ascii="宋体" w:hAnsi="宋体" w:cs="宋体"/>
                    </w:rPr>
                  </w:pPr>
                  <w:r>
                    <w:rPr>
                      <w:rFonts w:hint="eastAsia" w:ascii="宋体" w:hAnsi="宋体" w:cs="宋体"/>
                    </w:rPr>
                    <w:t xml:space="preserve">七氟丙烷气体灭火装置</w:t>
                  </w:r>
                  <w:r/>
                </w:p>
              </w:tc>
              <w:tc>
                <w:tcPr>
                  <w:tcW w:w="6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6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none" w:color="000000" w:sz="4" w:space="0"/>
                    <w:left w:val="single" w:color="auto" w:sz="4" w:space="0"/>
                    <w:bottom w:val="single" w:color="auto" w:sz="4" w:space="0"/>
                    <w:right w:val="single" w:color="auto" w:sz="4" w:space="0"/>
                  </w:tcBorders>
                  <w:tcW w:w="4069" w:type="dxa"/>
                  <w:vAlign w:val="center"/>
                  <w:textDirection w:val="lrTb"/>
                  <w:noWrap w:val="false"/>
                </w:tcPr>
                <w:p>
                  <w:pPr>
                    <w:spacing w:line="360" w:lineRule="auto"/>
                    <w:rPr>
                      <w:rFonts w:ascii="宋体" w:hAnsi="宋体" w:cs="宋体"/>
                    </w:rPr>
                  </w:pPr>
                  <w:r>
                    <w:rPr>
                      <w:rFonts w:hint="eastAsia" w:ascii="宋体" w:hAnsi="宋体" w:cs="宋体"/>
                    </w:rPr>
                    <w:t xml:space="preserve">气体灭火装置钢瓶满5年返厂检测及七氟丙烷灭火药剂填充更换，由专业消防检测机构提供一站式服务，包含设备的拆卸、运输、检测和复原，出具规范的检测报告（注：消防钢瓶及药剂启用日期2022年9月29日，至2027年9月29日使用期将满5年）</w:t>
                  </w:r>
                  <w:r/>
                </w:p>
              </w:tc>
            </w:tr>
          </w:tbl>
          <w:p>
            <w:pPr>
              <w:ind w:firstLine="480"/>
              <w:spacing w:line="360" w:lineRule="auto"/>
              <w:rPr>
                <w:rFonts w:ascii="宋体" w:hAnsi="宋体" w:cs="宋体"/>
                <w:bCs/>
                <w:szCs w:val="21"/>
              </w:rPr>
            </w:pPr>
            <w:r>
              <w:rPr>
                <w:rFonts w:hint="eastAsia" w:ascii="宋体" w:hAnsi="宋体" w:cs="宋体"/>
                <w:bCs/>
                <w:szCs w:val="21"/>
              </w:rPr>
              <w:t xml:space="preserve">2、总体响应时间</w:t>
            </w:r>
            <w:r/>
          </w:p>
          <w:tbl>
            <w:tblPr>
              <w:tblStyle w:val="989"/>
              <w:tblW w:w="93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679"/>
              <w:gridCol w:w="689"/>
              <w:gridCol w:w="651"/>
              <w:gridCol w:w="688"/>
            </w:tblGrid>
            <w:tr>
              <w:trPr>
                <w:trHeight w:val="429"/>
              </w:trPr>
              <w:tc>
                <w:tcPr>
                  <w:gridSpan w:val="2"/>
                  <w:tcW w:w="378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响应时间</w:t>
                  </w:r>
                  <w:r/>
                </w:p>
              </w:tc>
              <w:tc>
                <w:tcPr>
                  <w:tcW w:w="189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服务时间</w:t>
                  </w:r>
                  <w:r/>
                </w:p>
              </w:tc>
              <w:tc>
                <w:tcPr>
                  <w:gridSpan w:val="2"/>
                  <w:tcW w:w="3646"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解决时间</w:t>
                  </w:r>
                  <w:r/>
                </w:p>
              </w:tc>
            </w:tr>
            <w:tr>
              <w:trPr>
                <w:trHeight w:val="836"/>
              </w:trPr>
              <w:tc>
                <w:tcPr>
                  <w:tcW w:w="1923"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紧急故障响应时间要求</w:t>
                  </w:r>
                  <w:r/>
                </w:p>
              </w:tc>
              <w:tc>
                <w:tcPr>
                  <w:tcW w:w="1858"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非紧急故障响应时间要求</w:t>
                  </w:r>
                  <w:r/>
                </w:p>
              </w:tc>
              <w:tc>
                <w:tcPr>
                  <w:tcW w:w="1891"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服务时间要求</w:t>
                  </w:r>
                  <w:r/>
                </w:p>
              </w:tc>
              <w:tc>
                <w:tcPr>
                  <w:tcW w:w="1756"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紧急故障响应时间要求</w:t>
                  </w:r>
                  <w:r/>
                </w:p>
              </w:tc>
              <w:tc>
                <w:tcPr>
                  <w:tcW w:w="1890" w:type="dxa"/>
                  <w:vAlign w:val="center"/>
                  <w:textDirection w:val="lrTb"/>
                  <w:noWrap w:val="false"/>
                </w:tcPr>
                <w:p>
                  <w:pPr>
                    <w:jc w:val="center"/>
                    <w:spacing w:line="360" w:lineRule="auto"/>
                    <w:widowControl/>
                    <w:rPr>
                      <w:rFonts w:ascii="宋体" w:hAnsi="宋体" w:cs="宋体"/>
                    </w:rPr>
                    <w:outlineLvl w:val="0"/>
                  </w:pPr>
                  <w:r>
                    <w:rPr>
                      <w:rFonts w:hint="eastAsia" w:ascii="宋体" w:hAnsi="宋体" w:cs="宋体"/>
                    </w:rPr>
                    <w:t xml:space="preserve">非紧急故障响应时间要求</w:t>
                  </w:r>
                  <w:r/>
                </w:p>
              </w:tc>
            </w:tr>
            <w:tr>
              <w:trPr>
                <w:trHeight w:val="431"/>
              </w:trPr>
              <w:tc>
                <w:tcPr>
                  <w:tcW w:w="1923"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现场4小时响应</w:t>
                  </w:r>
                  <w:r/>
                </w:p>
              </w:tc>
              <w:tc>
                <w:tcPr>
                  <w:tcW w:w="1858"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现场24小时响应 </w:t>
                  </w:r>
                  <w:r/>
                </w:p>
              </w:tc>
              <w:tc>
                <w:tcPr>
                  <w:tcW w:w="1891"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7*24小时 </w:t>
                  </w:r>
                  <w:r/>
                </w:p>
              </w:tc>
              <w:tc>
                <w:tcPr>
                  <w:tcW w:w="1756"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现场4小时响应</w:t>
                  </w:r>
                  <w:r/>
                </w:p>
              </w:tc>
              <w:tc>
                <w:tcPr>
                  <w:tcW w:w="1890" w:type="dxa"/>
                  <w:vAlign w:val="center"/>
                  <w:textDirection w:val="lrTb"/>
                  <w:noWrap/>
                </w:tcPr>
                <w:p>
                  <w:pPr>
                    <w:spacing w:line="360" w:lineRule="auto"/>
                    <w:widowControl/>
                    <w:rPr>
                      <w:rFonts w:ascii="宋体" w:hAnsi="宋体" w:cs="宋体"/>
                    </w:rPr>
                    <w:outlineLvl w:val="0"/>
                  </w:pPr>
                  <w:r>
                    <w:rPr>
                      <w:rFonts w:hint="eastAsia" w:ascii="宋体" w:hAnsi="宋体" w:cs="宋体"/>
                    </w:rPr>
                    <w:t xml:space="preserve"> 现场24小时响应 </w:t>
                  </w:r>
                  <w:r/>
                </w:p>
              </w:tc>
            </w:tr>
          </w:tbl>
          <w:p>
            <w:pPr>
              <w:ind w:firstLine="480"/>
              <w:spacing w:line="360" w:lineRule="auto"/>
              <w:rPr>
                <w:rFonts w:ascii="宋体" w:hAnsi="宋体" w:cs="宋体"/>
                <w:b/>
                <w:szCs w:val="21"/>
              </w:rPr>
            </w:pPr>
            <w:r>
              <w:rPr>
                <w:rFonts w:hint="eastAsia" w:ascii="宋体" w:hAnsi="宋体" w:cs="宋体"/>
                <w:b/>
                <w:szCs w:val="21"/>
              </w:rPr>
              <w:t xml:space="preserve">（六）数据治理</w:t>
            </w:r>
            <w:r/>
          </w:p>
          <w:p>
            <w:pPr>
              <w:ind w:firstLine="480"/>
              <w:spacing w:line="360" w:lineRule="auto"/>
              <w:rPr>
                <w:rFonts w:ascii="宋体" w:hAnsi="宋体" w:cs="宋体"/>
                <w:bCs/>
                <w:szCs w:val="21"/>
              </w:rPr>
            </w:pPr>
            <w:r>
              <w:rPr>
                <w:rFonts w:hint="eastAsia" w:ascii="宋体" w:hAnsi="宋体" w:cs="宋体"/>
                <w:bCs/>
                <w:szCs w:val="21"/>
              </w:rPr>
              <w:t xml:space="preserve">1、服务要求</w:t>
            </w:r>
            <w:r/>
          </w:p>
          <w:p>
            <w:pPr>
              <w:ind w:firstLine="480"/>
              <w:spacing w:line="360" w:lineRule="auto"/>
              <w:rPr>
                <w:rFonts w:ascii="宋体" w:hAnsi="宋体" w:cs="宋体"/>
                <w:bCs/>
                <w:szCs w:val="21"/>
              </w:rPr>
            </w:pPr>
            <w:r>
              <w:rPr>
                <w:rFonts w:hint="eastAsia" w:ascii="宋体" w:hAnsi="宋体" w:cs="宋体"/>
                <w:bCs/>
                <w:szCs w:val="21"/>
              </w:rPr>
              <w:t xml:space="preserve">（1）业务系统数据库表梳理</w:t>
            </w:r>
            <w:r/>
          </w:p>
          <w:p>
            <w:pPr>
              <w:ind w:firstLine="480"/>
              <w:spacing w:line="360" w:lineRule="auto"/>
              <w:rPr>
                <w:rFonts w:ascii="宋体" w:hAnsi="宋体" w:cs="宋体"/>
                <w:bCs/>
                <w:szCs w:val="21"/>
              </w:rPr>
            </w:pPr>
            <w:r>
              <w:rPr>
                <w:rFonts w:hint="eastAsia" w:ascii="宋体" w:hAnsi="宋体" w:cs="宋体"/>
                <w:bCs/>
                <w:szCs w:val="21"/>
              </w:rPr>
              <w:t xml:space="preserve">牵头其他技术支撑单位对采购人现有和在建的南京市应急管理综合应用平台（行业部门安全生产责任管理、城市安全风险管理、安全生产培训考试、安全生产风险监测预警、安全生产行政执法、应急研判指挥调度等系统）的数据库表进行详细梳理，探查理清每个业务系统的库表和字段。</w:t>
            </w:r>
            <w:r/>
          </w:p>
          <w:p>
            <w:pPr>
              <w:ind w:firstLine="480"/>
              <w:spacing w:line="360" w:lineRule="auto"/>
              <w:rPr>
                <w:rFonts w:ascii="宋体" w:hAnsi="宋体" w:cs="宋体"/>
                <w:bCs/>
                <w:szCs w:val="21"/>
              </w:rPr>
            </w:pPr>
            <w:r>
              <w:rPr>
                <w:rFonts w:hint="eastAsia" w:ascii="宋体" w:hAnsi="宋体" w:cs="宋体"/>
                <w:bCs/>
                <w:szCs w:val="21"/>
              </w:rPr>
              <w:t xml:space="preserve">（2）数据流向管理</w:t>
            </w:r>
            <w:r/>
          </w:p>
          <w:p>
            <w:pPr>
              <w:ind w:firstLine="480"/>
              <w:spacing w:line="360" w:lineRule="auto"/>
              <w:rPr>
                <w:rFonts w:ascii="宋体" w:hAnsi="宋体" w:cs="宋体"/>
                <w:bCs/>
                <w:szCs w:val="21"/>
              </w:rPr>
            </w:pPr>
            <w:r>
              <w:rPr>
                <w:rFonts w:hint="eastAsia" w:ascii="宋体" w:hAnsi="宋体" w:cs="宋体"/>
                <w:bCs/>
                <w:szCs w:val="21"/>
              </w:rPr>
              <w:t xml:space="preserve">通过组织对系统库表的梳理，融合汇聚的外部部门（单位）的数据，牵头业务技术支撑单位，梳理明确企业面和社会面小场所基本信息、工业企业风险信息、行政审批信息、特种作业人员信息、用户组织架构和用户信息等的数据流向管理，为其他业务系统建设提供权威的源数据，支撑防治指尖上的形式主义、避免数据多头填和重复填报工作需要。</w:t>
            </w:r>
            <w:r/>
          </w:p>
          <w:p>
            <w:pPr>
              <w:ind w:firstLine="480"/>
              <w:spacing w:line="360" w:lineRule="auto"/>
              <w:rPr>
                <w:rFonts w:ascii="宋体" w:hAnsi="宋体" w:cs="宋体"/>
                <w:bCs/>
                <w:szCs w:val="21"/>
              </w:rPr>
            </w:pPr>
            <w:r>
              <w:rPr>
                <w:rFonts w:hint="eastAsia" w:ascii="宋体" w:hAnsi="宋体" w:cs="宋体"/>
                <w:bCs/>
                <w:szCs w:val="21"/>
              </w:rPr>
              <w:t xml:space="preserve">（3）目录资源编制更新</w:t>
            </w:r>
            <w:r/>
          </w:p>
          <w:p>
            <w:pPr>
              <w:ind w:firstLine="480"/>
              <w:spacing w:line="360" w:lineRule="auto"/>
              <w:rPr>
                <w:rFonts w:ascii="宋体" w:hAnsi="宋体" w:cs="宋体"/>
                <w:bCs/>
                <w:szCs w:val="21"/>
              </w:rPr>
            </w:pPr>
            <w:r>
              <w:rPr>
                <w:rFonts w:hint="eastAsia" w:ascii="宋体" w:hAnsi="宋体" w:cs="宋体"/>
                <w:bCs/>
                <w:szCs w:val="21"/>
              </w:rPr>
              <w:t xml:space="preserve">按照企业面、社会面、特种作业人员等不同主体和行政审批、巡查检查、监督执法、应急救援等不同场景编制更新应急管理领域数据目录资源，将主体所属的关键字段和场景之间以主键进行关联，并以简明扼要的方式标示出每个数据资源目录代表的意义，根据数据和场景更新的情况对资源目录及时更新。</w:t>
            </w:r>
            <w:r/>
          </w:p>
          <w:p>
            <w:pPr>
              <w:ind w:firstLine="480"/>
              <w:spacing w:line="360" w:lineRule="auto"/>
              <w:rPr>
                <w:rFonts w:ascii="宋体" w:hAnsi="宋体" w:cs="宋体"/>
                <w:bCs/>
                <w:szCs w:val="21"/>
              </w:rPr>
            </w:pPr>
            <w:r>
              <w:rPr>
                <w:rFonts w:hint="eastAsia" w:ascii="宋体" w:hAnsi="宋体" w:cs="宋体"/>
                <w:bCs/>
                <w:szCs w:val="21"/>
              </w:rPr>
              <w:t xml:space="preserve">（4）数据标签服务</w:t>
            </w:r>
            <w:r/>
          </w:p>
          <w:p>
            <w:pPr>
              <w:ind w:firstLine="480"/>
              <w:spacing w:line="360" w:lineRule="auto"/>
              <w:rPr>
                <w:rFonts w:ascii="宋体" w:hAnsi="宋体" w:cs="宋体"/>
                <w:bCs/>
                <w:szCs w:val="21"/>
              </w:rPr>
            </w:pPr>
            <w:r>
              <w:rPr>
                <w:rFonts w:hint="eastAsia" w:ascii="宋体" w:hAnsi="宋体" w:cs="宋体"/>
                <w:bCs/>
                <w:szCs w:val="21"/>
              </w:rPr>
              <w:t xml:space="preserve">牵头其他技术支撑单位对采购人现有和在建系统的数据进行标签，通过数据标签，简明扼要的方式标示出每个数据字段代表的意义，并可对标签进行读取、完善。</w:t>
            </w:r>
            <w:r/>
          </w:p>
          <w:p>
            <w:pPr>
              <w:ind w:firstLine="480"/>
              <w:spacing w:line="360" w:lineRule="auto"/>
              <w:rPr>
                <w:rFonts w:ascii="宋体" w:hAnsi="宋体" w:cs="宋体"/>
                <w:bCs/>
                <w:szCs w:val="21"/>
              </w:rPr>
            </w:pPr>
            <w:r>
              <w:rPr>
                <w:rFonts w:hint="eastAsia" w:ascii="宋体" w:hAnsi="宋体" w:cs="宋体"/>
                <w:bCs/>
                <w:szCs w:val="21"/>
              </w:rPr>
              <w:t xml:space="preserve">（5）数据专家咨询服务</w:t>
            </w:r>
            <w:r/>
          </w:p>
          <w:p>
            <w:pPr>
              <w:ind w:firstLine="480"/>
              <w:spacing w:line="360" w:lineRule="auto"/>
              <w:rPr>
                <w:rFonts w:ascii="宋体" w:hAnsi="宋体" w:cs="宋体"/>
                <w:bCs/>
                <w:szCs w:val="21"/>
              </w:rPr>
            </w:pPr>
            <w:r>
              <w:rPr>
                <w:rFonts w:hint="eastAsia" w:ascii="宋体" w:hAnsi="宋体" w:cs="宋体"/>
                <w:bCs/>
                <w:szCs w:val="21"/>
              </w:rPr>
              <w:t xml:space="preserve">结合人工智能大模型在政务服务数据中的应用，提供数据治理、数据利用、数据分析、数据风险管控等相关咨询和交流，推动数据治理普及和应用，提升应急管理数据服务能力。</w:t>
            </w:r>
            <w:r/>
          </w:p>
          <w:p>
            <w:pPr>
              <w:ind w:firstLine="480"/>
              <w:spacing w:line="360" w:lineRule="auto"/>
              <w:rPr>
                <w:rFonts w:ascii="宋体" w:hAnsi="宋体" w:cs="宋体"/>
                <w:bCs/>
                <w:szCs w:val="21"/>
              </w:rPr>
            </w:pPr>
            <w:r>
              <w:rPr>
                <w:rFonts w:hint="eastAsia" w:ascii="宋体" w:hAnsi="宋体" w:cs="宋体"/>
                <w:bCs/>
                <w:szCs w:val="21"/>
              </w:rPr>
              <w:t xml:space="preserve">（6）数据宽表和专题库更新完善</w:t>
            </w:r>
            <w:r/>
          </w:p>
          <w:p>
            <w:pPr>
              <w:ind w:firstLine="480"/>
              <w:spacing w:line="360" w:lineRule="auto"/>
              <w:rPr>
                <w:rFonts w:ascii="宋体" w:hAnsi="宋体" w:cs="宋体"/>
                <w:bCs/>
                <w:szCs w:val="21"/>
              </w:rPr>
            </w:pPr>
            <w:r>
              <w:rPr>
                <w:rFonts w:hint="eastAsia" w:ascii="宋体" w:hAnsi="宋体" w:cs="宋体"/>
                <w:bCs/>
                <w:szCs w:val="21"/>
              </w:rPr>
              <w:t xml:space="preserve">在原有数据宽表和专题库基础上，完善数据宽表和专题库建设。通过业务分析与数据处理形成各类专题库与数据宽表，为各系统应用提供专题数据支撑，提升数据应用的便捷性和有效性。</w:t>
            </w:r>
            <w:r/>
          </w:p>
          <w:p>
            <w:pPr>
              <w:ind w:firstLine="480"/>
              <w:spacing w:line="360" w:lineRule="auto"/>
              <w:rPr>
                <w:rFonts w:ascii="宋体" w:hAnsi="宋体" w:cs="宋体"/>
                <w:bCs/>
                <w:szCs w:val="21"/>
              </w:rPr>
            </w:pPr>
            <w:r>
              <w:rPr>
                <w:rFonts w:hint="eastAsia" w:ascii="宋体" w:hAnsi="宋体" w:cs="宋体"/>
                <w:bCs/>
                <w:szCs w:val="21"/>
              </w:rPr>
              <w:t xml:space="preserve">（7）数据平台产品功能基础运维服务</w:t>
            </w:r>
            <w:r/>
          </w:p>
          <w:p>
            <w:pPr>
              <w:ind w:firstLine="480"/>
              <w:spacing w:line="360" w:lineRule="auto"/>
              <w:rPr>
                <w:rFonts w:ascii="宋体" w:hAnsi="宋体" w:cs="宋体"/>
                <w:bCs/>
                <w:szCs w:val="21"/>
              </w:rPr>
            </w:pPr>
            <w:r>
              <w:rPr>
                <w:rFonts w:hint="eastAsia" w:ascii="宋体" w:hAnsi="宋体" w:cs="宋体"/>
                <w:bCs/>
                <w:szCs w:val="21"/>
              </w:rPr>
              <w:t xml:space="preserve">提供南京市应急管理数据治理系统功能基础运维服务，保障系统的正常功能使用。包括数据集成、数据管控、数据开发等相关功能的保障。</w:t>
            </w:r>
            <w:r/>
          </w:p>
          <w:p>
            <w:pPr>
              <w:ind w:firstLine="480"/>
              <w:spacing w:line="360" w:lineRule="auto"/>
              <w:rPr>
                <w:rFonts w:ascii="宋体" w:hAnsi="宋体" w:cs="宋体"/>
                <w:bCs/>
                <w:szCs w:val="21"/>
              </w:rPr>
            </w:pPr>
            <w:r>
              <w:rPr>
                <w:rFonts w:hint="eastAsia" w:ascii="宋体" w:hAnsi="宋体" w:cs="宋体"/>
                <w:bCs/>
                <w:szCs w:val="21"/>
              </w:rPr>
              <w:t xml:space="preserve">（8）网络和数据资源工单流程审核服务</w:t>
            </w:r>
            <w:r/>
          </w:p>
          <w:p>
            <w:pPr>
              <w:ind w:firstLine="480"/>
              <w:spacing w:line="360" w:lineRule="auto"/>
              <w:rPr>
                <w:rFonts w:ascii="宋体" w:hAnsi="宋体" w:cs="宋体"/>
                <w:bCs/>
                <w:szCs w:val="21"/>
              </w:rPr>
            </w:pPr>
            <w:r>
              <w:rPr>
                <w:rFonts w:hint="eastAsia" w:ascii="宋体" w:hAnsi="宋体" w:cs="宋体"/>
                <w:bCs/>
                <w:szCs w:val="21"/>
              </w:rPr>
              <w:t xml:space="preserve">牵头其他技术支撑单位为采购人提供各业务系统网络、服务器、堡垒机工单、数据资源工单需求审核及开通等服务，确保业务系统正常运行和网络信息安全。提供工单需求审核、配置评估、开通申请处理、进度跟踪及反馈等全面高效的服务和保障。</w:t>
            </w:r>
            <w:r/>
          </w:p>
          <w:p>
            <w:pPr>
              <w:ind w:firstLine="480"/>
              <w:spacing w:line="360" w:lineRule="auto"/>
              <w:rPr>
                <w:rFonts w:ascii="宋体" w:hAnsi="宋体" w:cs="宋体"/>
                <w:bCs/>
                <w:szCs w:val="21"/>
              </w:rPr>
            </w:pPr>
            <w:r>
              <w:rPr>
                <w:rFonts w:hint="eastAsia" w:ascii="宋体" w:hAnsi="宋体" w:cs="宋体"/>
                <w:bCs/>
                <w:szCs w:val="21"/>
              </w:rPr>
              <w:t xml:space="preserve">（9）新建项目数据库设计审核</w:t>
            </w:r>
            <w:r/>
          </w:p>
          <w:p>
            <w:pPr>
              <w:ind w:firstLine="480"/>
              <w:spacing w:line="360" w:lineRule="auto"/>
              <w:rPr>
                <w:rFonts w:ascii="宋体" w:hAnsi="宋体" w:cs="宋体"/>
                <w:bCs/>
                <w:szCs w:val="21"/>
              </w:rPr>
            </w:pPr>
            <w:r>
              <w:rPr>
                <w:rFonts w:hint="eastAsia" w:ascii="宋体" w:hAnsi="宋体" w:cs="宋体"/>
                <w:bCs/>
                <w:szCs w:val="21"/>
              </w:rPr>
              <w:t xml:space="preserve">为采购人提供数据标准、数据架构咨询审核服务，对在建项目的数据标准、数据架构符合性进行评估，指导业务开发单位依照标准进行数据库设计。</w:t>
            </w:r>
            <w:r/>
          </w:p>
          <w:p>
            <w:pPr>
              <w:ind w:firstLine="480"/>
              <w:spacing w:line="360" w:lineRule="auto"/>
              <w:rPr>
                <w:rFonts w:ascii="宋体" w:hAnsi="宋体" w:cs="宋体"/>
                <w:b/>
                <w:szCs w:val="21"/>
              </w:rPr>
            </w:pPr>
            <w:r>
              <w:rPr>
                <w:rFonts w:hint="eastAsia" w:ascii="宋体" w:hAnsi="宋体" w:cs="宋体"/>
                <w:b/>
                <w:szCs w:val="21"/>
              </w:rPr>
              <w:t xml:space="preserve">（七）网络安全服务</w:t>
            </w:r>
            <w:r/>
          </w:p>
          <w:p>
            <w:pPr>
              <w:ind w:firstLine="480"/>
              <w:spacing w:line="360" w:lineRule="auto"/>
              <w:rPr>
                <w:rFonts w:ascii="宋体" w:hAnsi="宋体" w:cs="宋体"/>
                <w:bCs/>
                <w:szCs w:val="21"/>
              </w:rPr>
            </w:pPr>
            <w:r>
              <w:rPr>
                <w:rFonts w:hint="eastAsia" w:ascii="宋体" w:hAnsi="宋体" w:cs="宋体"/>
                <w:bCs/>
                <w:szCs w:val="21"/>
              </w:rPr>
              <w:t xml:space="preserve">1、服务要求</w:t>
            </w:r>
            <w:r/>
          </w:p>
          <w:p>
            <w:pPr>
              <w:ind w:firstLine="480"/>
              <w:spacing w:line="360" w:lineRule="auto"/>
              <w:rPr>
                <w:rFonts w:ascii="宋体" w:hAnsi="宋体" w:cs="宋体"/>
                <w:bCs/>
                <w:szCs w:val="21"/>
              </w:rPr>
            </w:pPr>
            <w:r>
              <w:rPr>
                <w:rFonts w:hint="eastAsia" w:ascii="宋体" w:hAnsi="宋体" w:cs="宋体"/>
                <w:bCs/>
                <w:szCs w:val="21"/>
              </w:rPr>
              <w:t xml:space="preserve">包含漏扫、渗透测试、重要时期网络安全保障、网络安全应急演练、网络安全培训、网络安全宣传、网络安全咨询等技术服务。其中，供应商在开展漏洞扫描、渗透测试服务过程中，完成漏洞、隐患发现、明确整改时限、下达整改要求并履行对整改对象的督促提醒责任后，整改对象的隐患仍未实现整改、由此产生的安全风险、或被主管部门通报等情形，不认定为网络安全服务供应商未履行本项目安全服务职责。</w:t>
            </w:r>
            <w:r/>
          </w:p>
          <w:p>
            <w:pPr>
              <w:ind w:firstLine="480"/>
              <w:spacing w:line="360" w:lineRule="auto"/>
              <w:rPr>
                <w:rFonts w:ascii="宋体" w:hAnsi="宋体" w:cs="宋体"/>
                <w:bCs/>
                <w:szCs w:val="21"/>
              </w:rPr>
            </w:pPr>
            <w:r>
              <w:rPr>
                <w:rFonts w:hint="eastAsia" w:ascii="宋体" w:hAnsi="宋体" w:cs="宋体"/>
                <w:bCs/>
                <w:szCs w:val="21"/>
              </w:rPr>
              <w:t xml:space="preserve">(1)漏洞扫描</w:t>
            </w:r>
            <w:r/>
          </w:p>
          <w:p>
            <w:pPr>
              <w:ind w:firstLine="480"/>
              <w:spacing w:line="360" w:lineRule="auto"/>
              <w:rPr>
                <w:rFonts w:ascii="宋体" w:hAnsi="宋体" w:cs="宋体"/>
                <w:bCs/>
                <w:szCs w:val="21"/>
              </w:rPr>
            </w:pPr>
            <w:r>
              <w:rPr>
                <w:rFonts w:hint="eastAsia" w:ascii="宋体" w:hAnsi="宋体" w:cs="宋体"/>
                <w:bCs/>
                <w:szCs w:val="21"/>
              </w:rPr>
              <w:t xml:space="preserve">对采购人各类网络、主机、数据库、中间件及业务系统资产开展漏洞扫描，每季度不少于1次，排查设备及系统存在的安全漏洞风险问题。针对扫描出的隐患，提供合理的修复建议与整改思路，配合开展技术整改支撑，跟踪问题整改情况，推进隐患逐步整改完善，提升资产基础安全防护能力。</w:t>
            </w:r>
            <w:r/>
          </w:p>
          <w:p>
            <w:pPr>
              <w:ind w:firstLine="480"/>
              <w:spacing w:line="360" w:lineRule="auto"/>
              <w:rPr>
                <w:rFonts w:ascii="宋体" w:hAnsi="宋体" w:cs="宋体"/>
                <w:bCs/>
                <w:szCs w:val="21"/>
              </w:rPr>
            </w:pPr>
            <w:r>
              <w:rPr>
                <w:rFonts w:hint="eastAsia" w:ascii="宋体" w:hAnsi="宋体" w:cs="宋体"/>
                <w:bCs/>
                <w:szCs w:val="21"/>
              </w:rPr>
              <w:t xml:space="preserve">(2)渗透测试</w:t>
            </w:r>
            <w:r/>
          </w:p>
          <w:p>
            <w:pPr>
              <w:ind w:firstLine="480"/>
              <w:spacing w:line="360" w:lineRule="auto"/>
              <w:rPr>
                <w:rFonts w:ascii="宋体" w:hAnsi="宋体" w:cs="宋体"/>
                <w:bCs/>
                <w:szCs w:val="21"/>
              </w:rPr>
            </w:pPr>
            <w:r>
              <w:rPr>
                <w:rFonts w:hint="eastAsia" w:ascii="宋体" w:hAnsi="宋体" w:cs="宋体"/>
                <w:bCs/>
                <w:szCs w:val="21"/>
              </w:rPr>
              <w:t xml:space="preserve">通过模拟攻击的方式对业务系统开展渗透测试工作，每季度不少于1次，排查系统潜在的安全隐患和防护薄弱点，检验现有安全防护措施的实际效果。根据测试结果修复已知漏洞，辅助提升业务系统应对常规网络威胁的安全防护能力。</w:t>
            </w:r>
            <w:r/>
          </w:p>
          <w:p>
            <w:pPr>
              <w:ind w:firstLine="480"/>
              <w:spacing w:line="360" w:lineRule="auto"/>
              <w:rPr>
                <w:rFonts w:ascii="宋体" w:hAnsi="宋体" w:cs="宋体"/>
                <w:bCs/>
                <w:szCs w:val="21"/>
              </w:rPr>
            </w:pPr>
            <w:r>
              <w:rPr>
                <w:rFonts w:hint="eastAsia" w:ascii="宋体" w:hAnsi="宋体" w:cs="宋体"/>
                <w:bCs/>
                <w:szCs w:val="21"/>
              </w:rPr>
              <w:t xml:space="preserve">(3)重要时期网络安全保障</w:t>
            </w:r>
            <w:r/>
          </w:p>
          <w:p>
            <w:pPr>
              <w:ind w:firstLine="480"/>
              <w:spacing w:line="360" w:lineRule="auto"/>
              <w:rPr>
                <w:rFonts w:ascii="宋体" w:hAnsi="宋体" w:cs="宋体"/>
                <w:bCs/>
                <w:szCs w:val="21"/>
              </w:rPr>
            </w:pPr>
            <w:r>
              <w:rPr>
                <w:rFonts w:hint="eastAsia" w:ascii="宋体" w:hAnsi="宋体" w:cs="宋体"/>
                <w:bCs/>
                <w:szCs w:val="21"/>
              </w:rPr>
              <w:t xml:space="preserve">在重大活动、节假日、护网等重要安全保障时期，安排开展安全值守工作。配合采购人做好重保期间网络安全保障工作，降低安全风险。</w:t>
            </w:r>
            <w:r/>
          </w:p>
          <w:p>
            <w:pPr>
              <w:ind w:firstLine="480"/>
              <w:spacing w:line="360" w:lineRule="auto"/>
              <w:rPr>
                <w:rFonts w:ascii="宋体" w:hAnsi="宋体" w:cs="宋体"/>
                <w:bCs/>
                <w:szCs w:val="21"/>
              </w:rPr>
            </w:pPr>
            <w:r>
              <w:rPr>
                <w:rFonts w:hint="eastAsia" w:ascii="宋体" w:hAnsi="宋体" w:cs="宋体"/>
                <w:bCs/>
                <w:szCs w:val="21"/>
              </w:rPr>
              <w:t xml:space="preserve">(4)网络安全应急演练</w:t>
            </w:r>
            <w:r/>
          </w:p>
          <w:p>
            <w:pPr>
              <w:ind w:firstLine="480"/>
              <w:spacing w:line="360" w:lineRule="auto"/>
              <w:rPr>
                <w:rFonts w:ascii="宋体" w:hAnsi="宋体" w:cs="宋体"/>
                <w:bCs/>
                <w:szCs w:val="21"/>
              </w:rPr>
            </w:pPr>
            <w:r>
              <w:rPr>
                <w:rFonts w:hint="eastAsia" w:ascii="宋体" w:hAnsi="宋体" w:cs="宋体"/>
                <w:bCs/>
                <w:szCs w:val="21"/>
              </w:rPr>
              <w:t xml:space="preserve">配合采购人开展网络安全应急演练，通过演练梳理应急处置流程，磨合双方联动响应机制，提升工作人员的应急处置和协同配合能力，夯实日常应急工作基础。</w:t>
            </w:r>
            <w:r/>
          </w:p>
          <w:p>
            <w:pPr>
              <w:ind w:firstLine="480"/>
              <w:spacing w:line="360" w:lineRule="auto"/>
              <w:rPr>
                <w:rFonts w:ascii="宋体" w:hAnsi="宋体" w:cs="宋体"/>
                <w:bCs/>
                <w:szCs w:val="21"/>
              </w:rPr>
            </w:pPr>
            <w:r>
              <w:rPr>
                <w:rFonts w:hint="eastAsia" w:ascii="宋体" w:hAnsi="宋体" w:cs="宋体"/>
                <w:bCs/>
                <w:szCs w:val="21"/>
              </w:rPr>
              <w:t xml:space="preserve">(5)网络安全培训</w:t>
            </w:r>
            <w:r/>
          </w:p>
          <w:p>
            <w:pPr>
              <w:ind w:firstLine="480"/>
              <w:spacing w:line="360" w:lineRule="auto"/>
              <w:rPr>
                <w:rFonts w:ascii="宋体" w:hAnsi="宋体" w:cs="宋体"/>
                <w:bCs/>
                <w:szCs w:val="21"/>
              </w:rPr>
            </w:pPr>
            <w:r>
              <w:rPr>
                <w:rFonts w:hint="eastAsia" w:ascii="宋体" w:hAnsi="宋体" w:cs="宋体"/>
                <w:bCs/>
                <w:szCs w:val="21"/>
              </w:rPr>
              <w:t xml:space="preserve">开展基础网络安全培训，服务期内不少于2次，围绕政务运维规范、常见网络风险、钓鱼攻击防范、基础数据安全等内容开展科普教学。帮助工作人员提升基础网络安全意识，减少因操作不规范、安全意识不足引发的基础安全问题。</w:t>
            </w:r>
            <w:r/>
          </w:p>
          <w:p>
            <w:pPr>
              <w:ind w:firstLine="480"/>
              <w:spacing w:line="360" w:lineRule="auto"/>
              <w:rPr>
                <w:rFonts w:ascii="宋体" w:hAnsi="宋体" w:cs="宋体"/>
                <w:bCs/>
                <w:szCs w:val="21"/>
              </w:rPr>
            </w:pPr>
            <w:r>
              <w:rPr>
                <w:rFonts w:hint="eastAsia" w:ascii="宋体" w:hAnsi="宋体" w:cs="宋体"/>
                <w:bCs/>
                <w:szCs w:val="21"/>
              </w:rPr>
              <w:t xml:space="preserve">(6)网络安全宣传</w:t>
            </w:r>
            <w:r/>
          </w:p>
          <w:p>
            <w:pPr>
              <w:ind w:firstLine="480"/>
              <w:spacing w:line="360" w:lineRule="auto"/>
              <w:rPr>
                <w:rFonts w:ascii="宋体" w:hAnsi="宋体" w:cs="宋体"/>
                <w:bCs/>
                <w:szCs w:val="21"/>
              </w:rPr>
            </w:pPr>
            <w:r>
              <w:rPr>
                <w:rFonts w:hint="eastAsia" w:ascii="宋体" w:hAnsi="宋体" w:cs="宋体"/>
                <w:bCs/>
                <w:szCs w:val="21"/>
              </w:rPr>
              <w:t xml:space="preserve">配合采购人开展各类网络安全宣传工作。按需提供安全科普素材、风险警示内容，协助采购人开展内部安全宣传，助力营造良好的网络安全运维氛围。</w:t>
            </w:r>
            <w:r/>
          </w:p>
          <w:p>
            <w:pPr>
              <w:ind w:firstLine="480"/>
              <w:spacing w:line="360" w:lineRule="auto"/>
              <w:rPr>
                <w:rFonts w:ascii="宋体" w:hAnsi="宋体" w:cs="宋体"/>
                <w:bCs/>
                <w:szCs w:val="21"/>
              </w:rPr>
            </w:pPr>
            <w:r>
              <w:rPr>
                <w:rFonts w:hint="eastAsia" w:ascii="宋体" w:hAnsi="宋体" w:cs="宋体"/>
                <w:bCs/>
                <w:szCs w:val="21"/>
              </w:rPr>
              <w:t xml:space="preserve">(7)网络安全咨询</w:t>
            </w:r>
            <w:r/>
          </w:p>
          <w:p>
            <w:pPr>
              <w:ind w:firstLine="480"/>
              <w:spacing w:line="360" w:lineRule="auto"/>
              <w:rPr>
                <w:rFonts w:ascii="宋体" w:hAnsi="宋体" w:cs="宋体"/>
                <w:bCs/>
                <w:szCs w:val="21"/>
              </w:rPr>
            </w:pPr>
            <w:r>
              <w:rPr>
                <w:rFonts w:hint="eastAsia" w:ascii="宋体" w:hAnsi="宋体" w:cs="宋体"/>
                <w:bCs/>
                <w:szCs w:val="21"/>
              </w:rPr>
              <w:t xml:space="preserve">依据网络安全相关规范、等保及政务安全基线要求，为采购人提供网络安全、数据安全咨询服务。针对现有运维及防护工作中存在的问题，提供针对性的优化建议，协助采购人逐步完善网络安全防护体系，满足常态化安全合规运维需求。</w:t>
            </w:r>
            <w:r/>
          </w:p>
          <w:p>
            <w:pPr>
              <w:ind w:firstLine="480"/>
              <w:spacing w:line="360" w:lineRule="auto"/>
              <w:rPr>
                <w:rFonts w:ascii="宋体" w:hAnsi="宋体" w:cs="宋体"/>
                <w:b/>
                <w:szCs w:val="21"/>
              </w:rPr>
            </w:pPr>
            <w:r>
              <w:rPr>
                <w:rFonts w:hint="eastAsia" w:ascii="宋体" w:hAnsi="宋体" w:cs="宋体"/>
                <w:b/>
                <w:szCs w:val="21"/>
              </w:rPr>
              <w:t xml:space="preserve">（八）超融合运维服务</w:t>
            </w:r>
            <w:r/>
          </w:p>
          <w:p>
            <w:pPr>
              <w:ind w:firstLine="480"/>
              <w:spacing w:line="360" w:lineRule="auto"/>
              <w:rPr>
                <w:rFonts w:ascii="宋体" w:hAnsi="宋体" w:cs="宋体"/>
                <w:bCs/>
                <w:szCs w:val="21"/>
              </w:rPr>
            </w:pPr>
            <w:r>
              <w:rPr>
                <w:rFonts w:hint="eastAsia" w:ascii="宋体" w:hAnsi="宋体" w:cs="宋体"/>
                <w:bCs/>
                <w:szCs w:val="21"/>
              </w:rPr>
              <w:t xml:space="preserve">1、服务要求</w:t>
            </w:r>
            <w:r/>
          </w:p>
          <w:p>
            <w:pPr>
              <w:ind w:firstLine="480"/>
              <w:spacing w:line="360" w:lineRule="auto"/>
              <w:rPr>
                <w:rFonts w:ascii="宋体" w:hAnsi="宋体" w:cs="宋体"/>
                <w:bCs/>
                <w:szCs w:val="21"/>
              </w:rPr>
            </w:pPr>
            <w:r>
              <w:rPr>
                <w:rFonts w:hint="eastAsia" w:ascii="宋体" w:hAnsi="宋体" w:cs="宋体"/>
                <w:bCs/>
                <w:szCs w:val="21"/>
              </w:rPr>
              <w:t xml:space="preserve">（1）硬件运维</w:t>
            </w:r>
            <w:r/>
          </w:p>
          <w:p>
            <w:pPr>
              <w:ind w:firstLine="480"/>
              <w:spacing w:line="360" w:lineRule="auto"/>
              <w:rPr>
                <w:rFonts w:ascii="宋体" w:hAnsi="宋体" w:cs="宋体"/>
                <w:bCs/>
                <w:szCs w:val="21"/>
              </w:rPr>
            </w:pPr>
            <w:r>
              <w:rPr>
                <w:rFonts w:hint="eastAsia" w:ascii="宋体" w:hAnsi="宋体" w:cs="宋体"/>
                <w:bCs/>
                <w:szCs w:val="21"/>
              </w:rPr>
              <w:t xml:space="preserve">对设备提供硬件维护，并对损坏的部件进行更换，保证硬件在服务期限内系统稳定、连续、可靠运行。设备列表如下：</w:t>
            </w:r>
            <w:r/>
          </w:p>
          <w:tbl>
            <w:tblPr>
              <w:tblStyle w:val="10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96"/>
              <w:gridCol w:w="1189"/>
              <w:gridCol w:w="4896"/>
              <w:gridCol w:w="697"/>
              <w:gridCol w:w="697"/>
            </w:tblGrid>
            <w:tr>
              <w:trPr>
                <w:jc w:val="center"/>
              </w:trPr>
              <w:tc>
                <w:tcPr>
                  <w:tcW w:w="676" w:type="dxa"/>
                  <w:vAlign w:val="center"/>
                  <w:textDirection w:val="lrTb"/>
                  <w:noWrap w:val="false"/>
                </w:tcPr>
                <w:p>
                  <w:pPr>
                    <w:jc w:val="left"/>
                    <w:spacing w:line="360" w:lineRule="auto"/>
                    <w:rPr>
                      <w:rFonts w:ascii="宋体" w:hAnsi="宋体" w:cs="宋体" w:eastAsiaTheme="minorEastAsia"/>
                      <w:b/>
                    </w:rPr>
                  </w:pPr>
                  <w:r>
                    <w:rPr>
                      <w:rFonts w:hint="eastAsia" w:ascii="宋体" w:hAnsi="宋体" w:cs="宋体" w:eastAsiaTheme="minorEastAsia"/>
                      <w:b/>
                    </w:rPr>
                    <w:t xml:space="preserve">序号</w:t>
                  </w:r>
                  <w:r/>
                </w:p>
              </w:tc>
              <w:tc>
                <w:tcPr>
                  <w:tcW w:w="1196"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产品名称</w:t>
                  </w:r>
                  <w:r/>
                </w:p>
              </w:tc>
              <w:tc>
                <w:tcPr>
                  <w:tcW w:w="1189" w:type="dxa"/>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型号</w:t>
                  </w:r>
                  <w:r/>
                </w:p>
              </w:tc>
              <w:tc>
                <w:tcPr>
                  <w:tcW w:w="4896"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项目配置</w:t>
                  </w:r>
                  <w:r/>
                </w:p>
              </w:tc>
              <w:tc>
                <w:tcPr>
                  <w:tcW w:w="697"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数量</w:t>
                  </w:r>
                  <w:r/>
                </w:p>
              </w:tc>
              <w:tc>
                <w:tcPr>
                  <w:tcW w:w="697"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单位</w:t>
                  </w:r>
                  <w:r/>
                </w:p>
              </w:tc>
            </w:tr>
            <w:tr>
              <w:trPr>
                <w:jc w:val="center"/>
              </w:trPr>
              <w:tc>
                <w:tcPr>
                  <w:tcW w:w="67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1</w:t>
                  </w:r>
                  <w:r/>
                </w:p>
              </w:tc>
              <w:tc>
                <w:tcPr>
                  <w:tcW w:w="11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超融合一体机</w:t>
                  </w:r>
                  <w:r/>
                </w:p>
              </w:tc>
              <w:tc>
                <w:tcPr>
                  <w:tcW w:w="1189" w:type="dxa"/>
                  <w:vAlign w:val="center"/>
                  <w:textDirection w:val="lrTb"/>
                  <w:noWrap w:val="false"/>
                </w:tcPr>
                <w:p>
                  <w:pPr>
                    <w:jc w:val="center"/>
                    <w:widowControl/>
                    <w:rPr>
                      <w:rFonts w:ascii="宋体" w:hAnsi="宋体" w:cs="宋体" w:eastAsiaTheme="minorEastAsia"/>
                    </w:rPr>
                  </w:pPr>
                  <w:r>
                    <w:rPr>
                      <w:rFonts w:hint="eastAsia" w:ascii="宋体" w:hAnsi="宋体" w:cs="宋体" w:eastAsiaTheme="minorEastAsia"/>
                    </w:rPr>
                    <w:t xml:space="preserve">华为2288H V5</w:t>
                  </w:r>
                  <w:r/>
                </w:p>
              </w:tc>
              <w:tc>
                <w:tcPr>
                  <w:tcW w:w="4896" w:type="dxa"/>
                  <w:vAlign w:val="center"/>
                  <w:textDirection w:val="lrTb"/>
                  <w:noWrap w:val="false"/>
                </w:tcPr>
                <w:p>
                  <w:pPr>
                    <w:jc w:val="center"/>
                    <w:widowControl/>
                    <w:rPr>
                      <w:rFonts w:ascii="宋体" w:hAnsi="宋体" w:cs="宋体" w:eastAsiaTheme="minorEastAsia"/>
                    </w:rPr>
                  </w:pPr>
                  <w:r>
                    <w:rPr>
                      <w:rFonts w:hint="eastAsia" w:ascii="宋体" w:hAnsi="宋体" w:cs="宋体" w:eastAsiaTheme="minorEastAsia"/>
                    </w:rPr>
                    <w:t xml:space="preserve">12*3.5 英寸硬盘机箱,CPU:2*金牌 5220， 内存： 8*32GB,硬盘： 2*600GB SAS,12*6TB SATA,1*800GB SSD,接口： 2*GE 电口， 4*10GE 光接口，满配多模万兆光模块。</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5</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台</w:t>
                  </w:r>
                  <w:r/>
                </w:p>
              </w:tc>
            </w:tr>
            <w:tr>
              <w:trPr>
                <w:jc w:val="center"/>
                <w:trHeight w:val="491"/>
              </w:trPr>
              <w:tc>
                <w:tcPr>
                  <w:tcW w:w="67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2</w:t>
                  </w:r>
                  <w:r/>
                </w:p>
              </w:tc>
              <w:tc>
                <w:tcPr>
                  <w:tcW w:w="11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GPU服务器</w:t>
                  </w:r>
                  <w:r/>
                </w:p>
              </w:tc>
              <w:tc>
                <w:tcPr>
                  <w:tcW w:w="1189"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华为2288H V5</w:t>
                  </w:r>
                  <w:r/>
                </w:p>
              </w:tc>
              <w:tc>
                <w:tcPr>
                  <w:tcW w:w="48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288H V5 (8*2.5 英寸硬盘机箱,CPU:2*银盘 4214，内存： 4*32GB,硬盘：2*1.8TB SAS,GPU 卡：1*NVIDIA Tesla T4-16GB，接口：2*GE 电口，4*10GE 光接口，满配多模万兆光模块）</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1</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台</w:t>
                  </w:r>
                  <w:r/>
                </w:p>
              </w:tc>
            </w:tr>
            <w:tr>
              <w:trPr>
                <w:jc w:val="center"/>
                <w:trHeight w:val="491"/>
              </w:trPr>
              <w:tc>
                <w:tcPr>
                  <w:tcW w:w="67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3</w:t>
                  </w:r>
                  <w:r/>
                </w:p>
              </w:tc>
              <w:tc>
                <w:tcPr>
                  <w:tcW w:w="11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互联交换机</w:t>
                  </w:r>
                  <w:r/>
                </w:p>
              </w:tc>
              <w:tc>
                <w:tcPr>
                  <w:tcW w:w="1189"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华为S6720</w:t>
                  </w:r>
                  <w:r/>
                </w:p>
              </w:tc>
              <w:tc>
                <w:tcPr>
                  <w:tcW w:w="48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万兆光口交换机,含24个万兆光口，支持全端口线速转发；支持aNAC统一管理、统一查看状态、VLAN、堆叠等配置管理；</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2</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台</w:t>
                  </w:r>
                  <w:r/>
                </w:p>
              </w:tc>
            </w:tr>
            <w:tr>
              <w:trPr>
                <w:jc w:val="center"/>
                <w:trHeight w:val="491"/>
              </w:trPr>
              <w:tc>
                <w:tcPr>
                  <w:tcW w:w="67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4</w:t>
                  </w:r>
                  <w:r/>
                </w:p>
              </w:tc>
              <w:tc>
                <w:tcPr>
                  <w:tcW w:w="11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机架式服务器</w:t>
                  </w:r>
                  <w:r/>
                </w:p>
              </w:tc>
              <w:tc>
                <w:tcPr>
                  <w:tcW w:w="1189"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华为RH2288V5</w:t>
                  </w:r>
                  <w:r/>
                </w:p>
              </w:tc>
              <w:tc>
                <w:tcPr>
                  <w:tcW w:w="4896" w:type="dxa"/>
                  <w:vAlign w:val="center"/>
                  <w:textDirection w:val="lrTb"/>
                  <w:noWrap w:val="false"/>
                </w:tcPr>
                <w:p>
                  <w:pPr>
                    <w:jc w:val="center"/>
                    <w:rPr>
                      <w:rFonts w:ascii="宋体" w:hAnsi="宋体" w:cs="宋体" w:eastAsiaTheme="minorEastAsia"/>
                    </w:rPr>
                  </w:pPr>
                  <w:r>
                    <w:rPr>
                      <w:rFonts w:hint="eastAsia" w:ascii="宋体" w:hAnsi="宋体" w:cs="宋体" w:eastAsiaTheme="minorEastAsia"/>
                    </w:rPr>
                    <w:t xml:space="preserve">12*3.5 英寸硬盘机箱,CPU:2*Sliver 4210CPU，内存： 4*32GB,硬盘：硬盘：2*600GB SAS,接口： 2*GE 电口， 2*10GE 光接口，冗余电源</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1</w:t>
                  </w:r>
                  <w:r/>
                </w:p>
              </w:tc>
              <w:tc>
                <w:tcPr>
                  <w:tcW w:w="69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台</w:t>
                  </w:r>
                  <w:r/>
                </w:p>
              </w:tc>
            </w:tr>
          </w:tbl>
          <w:p>
            <w:pPr>
              <w:ind w:firstLine="480"/>
              <w:spacing w:line="360" w:lineRule="auto"/>
              <w:rPr>
                <w:rFonts w:ascii="宋体" w:hAnsi="宋体" w:cs="宋体"/>
                <w:bCs/>
                <w:szCs w:val="21"/>
              </w:rPr>
            </w:pPr>
            <w:r>
              <w:rPr>
                <w:rFonts w:hint="eastAsia" w:ascii="宋体" w:hAnsi="宋体" w:cs="宋体"/>
                <w:bCs/>
                <w:szCs w:val="21"/>
              </w:rPr>
              <w:t xml:space="preserve">（2）软件运维</w:t>
            </w:r>
            <w:r/>
          </w:p>
          <w:p>
            <w:pPr>
              <w:ind w:firstLine="480"/>
              <w:spacing w:line="360" w:lineRule="auto"/>
              <w:rPr>
                <w:rFonts w:ascii="宋体" w:hAnsi="宋体" w:cs="宋体"/>
                <w:bCs/>
                <w:szCs w:val="21"/>
              </w:rPr>
            </w:pPr>
            <w:r>
              <w:rPr>
                <w:rFonts w:hint="eastAsia" w:ascii="宋体" w:hAnsi="宋体" w:cs="宋体"/>
                <w:bCs/>
                <w:szCs w:val="21"/>
              </w:rPr>
              <w:t xml:space="preserve">本项目对超融合平台软件进行运维，保证软件平台在服务期限内正常运维和使用。</w:t>
            </w:r>
            <w:r/>
          </w:p>
          <w:tbl>
            <w:tblPr>
              <w:tblStyle w:val="10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116"/>
              <w:gridCol w:w="3439"/>
              <w:gridCol w:w="1337"/>
              <w:gridCol w:w="632"/>
            </w:tblGrid>
            <w:tr>
              <w:trPr>
                <w:jc w:val="center"/>
              </w:trPr>
              <w:tc>
                <w:tcPr>
                  <w:tcW w:w="1440"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序号</w:t>
                  </w:r>
                  <w:r/>
                </w:p>
              </w:tc>
              <w:tc>
                <w:tcPr>
                  <w:tcW w:w="2116"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产品名称</w:t>
                  </w:r>
                  <w:r/>
                </w:p>
              </w:tc>
              <w:tc>
                <w:tcPr>
                  <w:tcW w:w="3439"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型号</w:t>
                  </w:r>
                  <w:r/>
                </w:p>
              </w:tc>
              <w:tc>
                <w:tcPr>
                  <w:tcW w:w="1337"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数量</w:t>
                  </w:r>
                  <w:r/>
                </w:p>
              </w:tc>
              <w:tc>
                <w:tcPr>
                  <w:tcW w:w="632" w:type="dxa"/>
                  <w:vAlign w:val="center"/>
                  <w:textDirection w:val="lrTb"/>
                  <w:noWrap w:val="false"/>
                </w:tcPr>
                <w:p>
                  <w:pPr>
                    <w:jc w:val="center"/>
                    <w:spacing w:line="360" w:lineRule="auto"/>
                    <w:rPr>
                      <w:rFonts w:ascii="宋体" w:hAnsi="宋体" w:cs="宋体" w:eastAsiaTheme="minorEastAsia"/>
                      <w:b/>
                    </w:rPr>
                  </w:pPr>
                  <w:r>
                    <w:rPr>
                      <w:rFonts w:hint="eastAsia" w:ascii="宋体" w:hAnsi="宋体" w:cs="宋体" w:eastAsiaTheme="minorEastAsia"/>
                      <w:b/>
                    </w:rPr>
                    <w:t xml:space="preserve">单位</w:t>
                  </w:r>
                  <w:r/>
                </w:p>
              </w:tc>
            </w:tr>
            <w:tr>
              <w:trPr>
                <w:jc w:val="center"/>
                <w:trHeight w:val="491"/>
              </w:trPr>
              <w:tc>
                <w:tcPr>
                  <w:tcW w:w="1440"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1</w:t>
                  </w:r>
                  <w:r/>
                </w:p>
              </w:tc>
              <w:tc>
                <w:tcPr>
                  <w:tcW w:w="211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超融合平台软件</w:t>
                  </w:r>
                  <w:r/>
                </w:p>
              </w:tc>
              <w:tc>
                <w:tcPr>
                  <w:tcW w:w="3439" w:type="dxa"/>
                  <w:vAlign w:val="center"/>
                  <w:textDirection w:val="lrTb"/>
                  <w:noWrap w:val="false"/>
                </w:tcPr>
                <w:p>
                  <w:pPr>
                    <w:jc w:val="center"/>
                    <w:spacing w:line="360" w:lineRule="auto"/>
                    <w:widowControl/>
                    <w:rPr>
                      <w:rFonts w:ascii="宋体" w:hAnsi="宋体" w:cs="宋体" w:eastAsiaTheme="minorEastAsia"/>
                    </w:rPr>
                  </w:pPr>
                  <w:r>
                    <w:rPr>
                      <w:rFonts w:hint="eastAsia" w:ascii="宋体" w:hAnsi="宋体" w:cs="宋体" w:eastAsiaTheme="minorEastAsia"/>
                    </w:rPr>
                    <w:t xml:space="preserve">华为FusionCube HCI V5</w:t>
                  </w:r>
                  <w:r/>
                </w:p>
              </w:tc>
              <w:tc>
                <w:tcPr>
                  <w:tcW w:w="133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10</w:t>
                  </w:r>
                  <w:r/>
                </w:p>
              </w:tc>
              <w:tc>
                <w:tcPr>
                  <w:tcW w:w="632"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CPU</w:t>
                  </w:r>
                  <w:r/>
                </w:p>
              </w:tc>
            </w:tr>
            <w:tr>
              <w:trPr>
                <w:jc w:val="center"/>
                <w:trHeight w:val="491"/>
              </w:trPr>
              <w:tc>
                <w:tcPr>
                  <w:tcW w:w="1440"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2</w:t>
                  </w:r>
                  <w:r/>
                </w:p>
              </w:tc>
              <w:tc>
                <w:tcPr>
                  <w:tcW w:w="2116"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超融合虚拟机操作系统</w:t>
                  </w:r>
                  <w:r/>
                </w:p>
              </w:tc>
              <w:tc>
                <w:tcPr>
                  <w:tcW w:w="3439" w:type="dxa"/>
                  <w:vAlign w:val="center"/>
                  <w:textDirection w:val="lrTb"/>
                  <w:noWrap w:val="false"/>
                </w:tcPr>
                <w:p>
                  <w:pPr>
                    <w:jc w:val="center"/>
                    <w:spacing w:line="360" w:lineRule="auto"/>
                    <w:widowControl/>
                    <w:rPr>
                      <w:rFonts w:ascii="宋体" w:hAnsi="宋体" w:cs="宋体" w:eastAsiaTheme="minorEastAsia"/>
                    </w:rPr>
                  </w:pPr>
                  <w:r>
                    <w:rPr>
                      <w:rFonts w:hint="eastAsia" w:ascii="宋体" w:hAnsi="宋体" w:cs="宋体" w:eastAsiaTheme="minorEastAsia"/>
                    </w:rPr>
                    <w:t xml:space="preserve">Windows Server 2012等</w:t>
                  </w:r>
                  <w:r/>
                </w:p>
              </w:tc>
              <w:tc>
                <w:tcPr>
                  <w:tcW w:w="1337"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39</w:t>
                  </w:r>
                  <w:r/>
                </w:p>
              </w:tc>
              <w:tc>
                <w:tcPr>
                  <w:tcW w:w="632" w:type="dxa"/>
                  <w:vAlign w:val="center"/>
                  <w:textDirection w:val="lrTb"/>
                  <w:noWrap w:val="false"/>
                </w:tcPr>
                <w:p>
                  <w:pPr>
                    <w:jc w:val="center"/>
                    <w:spacing w:line="360" w:lineRule="auto"/>
                    <w:rPr>
                      <w:rFonts w:ascii="宋体" w:hAnsi="宋体" w:cs="宋体" w:eastAsiaTheme="minorEastAsia"/>
                    </w:rPr>
                  </w:pPr>
                  <w:r>
                    <w:rPr>
                      <w:rFonts w:hint="eastAsia" w:ascii="宋体" w:hAnsi="宋体" w:cs="宋体" w:eastAsiaTheme="minorEastAsia"/>
                    </w:rPr>
                    <w:t xml:space="preserve">套</w:t>
                  </w:r>
                  <w:r/>
                </w:p>
              </w:tc>
            </w:tr>
          </w:tbl>
          <w:p>
            <w:pPr>
              <w:ind w:firstLine="480"/>
              <w:spacing w:line="360" w:lineRule="auto"/>
              <w:rPr>
                <w:rFonts w:ascii="宋体" w:hAnsi="宋体" w:cs="宋体"/>
                <w:bCs/>
                <w:szCs w:val="21"/>
              </w:rPr>
            </w:pPr>
            <w:r>
              <w:rPr>
                <w:rFonts w:hint="eastAsia" w:ascii="宋体" w:hAnsi="宋体" w:cs="宋体"/>
                <w:bCs/>
                <w:szCs w:val="21"/>
              </w:rPr>
              <w:t xml:space="preserve">（3）数据库运维</w:t>
            </w:r>
            <w:r/>
          </w:p>
          <w:p>
            <w:pPr>
              <w:ind w:firstLine="480"/>
              <w:spacing w:line="360" w:lineRule="auto"/>
              <w:rPr>
                <w:rFonts w:ascii="宋体" w:hAnsi="宋体" w:cs="宋体"/>
                <w:bCs/>
                <w:szCs w:val="21"/>
              </w:rPr>
            </w:pPr>
            <w:r>
              <w:rPr>
                <w:rFonts w:hint="eastAsia" w:ascii="宋体" w:hAnsi="宋体" w:cs="宋体"/>
                <w:bCs/>
                <w:szCs w:val="21"/>
              </w:rPr>
              <w:t xml:space="preserve">供应商应对超融合平台中运行的业务数据库（数据库类型包括Oracle、MySQL、PostgreSQL、Redis）提供运维支持服务，并根据采购人的需要提供远程、现场支持服务。具体服务时间由采购人需求决定。</w:t>
            </w:r>
            <w:r/>
          </w:p>
          <w:p>
            <w:pPr>
              <w:ind w:firstLine="480"/>
              <w:spacing w:line="360" w:lineRule="auto"/>
              <w:rPr>
                <w:rFonts w:ascii="宋体" w:hAnsi="宋体" w:cs="宋体"/>
                <w:bCs/>
                <w:szCs w:val="21"/>
              </w:rPr>
            </w:pPr>
            <w:r>
              <w:rPr>
                <w:rFonts w:hint="eastAsia" w:ascii="宋体" w:hAnsi="宋体" w:cs="宋体"/>
                <w:bCs/>
                <w:szCs w:val="21"/>
              </w:rPr>
              <w:t xml:space="preserve">服务内容包括：健康检查、技术支持、数据库性能调优等</w:t>
            </w:r>
            <w:r/>
          </w:p>
          <w:p>
            <w:pPr>
              <w:ind w:firstLine="480"/>
              <w:spacing w:line="360" w:lineRule="auto"/>
              <w:rPr>
                <w:rFonts w:ascii="宋体" w:hAnsi="宋体" w:cs="宋体"/>
                <w:bCs/>
                <w:szCs w:val="21"/>
              </w:rPr>
            </w:pPr>
            <w:r>
              <w:rPr>
                <w:rFonts w:hint="eastAsia" w:ascii="宋体" w:hAnsi="宋体" w:cs="宋体"/>
                <w:bCs/>
                <w:szCs w:val="21"/>
              </w:rPr>
              <w:t xml:space="preserve">数据库健康检查是常态化基础运维工作，定期对数据库实例、操作系统、存储、网络等组件开展全面巡检。重点核查运行状态、表空间占用、日志增长、备份有效性、会话连接、锁等待及系统资源负载等指标，排查各类潜在风险。汇总巡检数据形成评估报告，识别磁盘不足、备份失效、参数不合理、数据碎片等隐患，并给出整改建议。提前规避隐性故障引发的宕机、数据丢失风险，降低突发故障概率，保障数据库持续稳定运行，为业务系统提供可靠底层支撑。</w:t>
            </w:r>
            <w:r/>
          </w:p>
          <w:p>
            <w:pPr>
              <w:ind w:firstLine="480"/>
              <w:spacing w:line="360" w:lineRule="auto"/>
              <w:rPr>
                <w:rFonts w:ascii="宋体" w:hAnsi="宋体" w:cs="宋体"/>
                <w:bCs/>
                <w:szCs w:val="21"/>
              </w:rPr>
            </w:pPr>
            <w:r>
              <w:rPr>
                <w:rFonts w:hint="eastAsia" w:ascii="宋体" w:hAnsi="宋体" w:cs="宋体"/>
                <w:bCs/>
                <w:szCs w:val="21"/>
              </w:rPr>
              <w:t xml:space="preserve">数据库技术支持覆盖业务全周期，建立分级响应机制，承接数据库相关咨询、告警及故障申报。针对连接异常、报错、访问卡顿、数据异常等问题快速定位根因，通过远程或现场方式开展应急处置，尽快恢复数据库服务。同时提供数据库部署升级、账号权限管理、备份恢复演练、迁移方案咨询等服务，解答日常运维疑问。完整记录故障信息并复盘，输出处置报告，沉淀处理经验，减少同类问题重复发生，保障数据库稳定支撑业务运转。</w:t>
            </w:r>
            <w:r/>
          </w:p>
          <w:p>
            <w:pPr>
              <w:ind w:firstLine="480"/>
              <w:spacing w:line="360" w:lineRule="auto"/>
              <w:rPr>
                <w:rFonts w:ascii="宋体" w:hAnsi="宋体" w:cs="宋体"/>
                <w:bCs/>
                <w:szCs w:val="21"/>
              </w:rPr>
            </w:pPr>
            <w:r>
              <w:rPr>
                <w:rFonts w:hint="eastAsia" w:ascii="宋体" w:hAnsi="宋体" w:cs="宋体"/>
                <w:bCs/>
                <w:szCs w:val="21"/>
              </w:rPr>
              <w:t xml:space="preserve">数据库性能调优针对业务访问延迟、SQL 执行缓慢、资源瓶颈等问题开展专项优化。采集慢查询日志、执行计划、系统资源、锁等待等性能数据，分析低效 SQL、不合理索引、数据库参数、表结构与业务访问特点。通过改写 SQL、增减索引、调整内核参数、清理数据碎片、优化分区等方式，降低 CPU、内存、IO 开销，缩短查询响应时间。调优后持续监测指标验证效果，随业务变化迭代优化策略，提升数据库吞吐能力，保障业务高效访问。</w:t>
            </w:r>
            <w:r/>
          </w:p>
          <w:p>
            <w:pPr>
              <w:ind w:firstLine="480"/>
              <w:spacing w:line="360" w:lineRule="auto"/>
              <w:rPr>
                <w:rFonts w:ascii="宋体" w:hAnsi="宋体" w:cs="宋体"/>
                <w:b/>
                <w:szCs w:val="21"/>
              </w:rPr>
            </w:pPr>
            <w:r>
              <w:rPr>
                <w:rFonts w:hint="eastAsia" w:ascii="宋体" w:hAnsi="宋体" w:cs="宋体"/>
                <w:b/>
                <w:szCs w:val="21"/>
              </w:rPr>
              <w:t xml:space="preserve">（九）统一门户和统一用户</w:t>
            </w:r>
            <w:r/>
          </w:p>
          <w:p>
            <w:pPr>
              <w:ind w:firstLine="480"/>
              <w:spacing w:line="360" w:lineRule="auto"/>
              <w:rPr>
                <w:rFonts w:ascii="宋体" w:hAnsi="宋体" w:cs="宋体"/>
                <w:bCs/>
                <w:szCs w:val="21"/>
              </w:rPr>
            </w:pPr>
            <w:r>
              <w:rPr>
                <w:rFonts w:hint="eastAsia" w:ascii="宋体" w:hAnsi="宋体" w:cs="宋体"/>
                <w:bCs/>
                <w:szCs w:val="21"/>
              </w:rPr>
              <w:t xml:space="preserve">1、服务要求</w:t>
            </w:r>
            <w:r/>
          </w:p>
          <w:p>
            <w:pPr>
              <w:ind w:firstLine="480"/>
              <w:spacing w:line="360" w:lineRule="auto"/>
              <w:rPr>
                <w:rFonts w:ascii="宋体" w:hAnsi="宋体" w:cs="宋体"/>
                <w:bCs/>
                <w:szCs w:val="21"/>
              </w:rPr>
            </w:pPr>
            <w:r>
              <w:rPr>
                <w:rFonts w:hint="eastAsia" w:ascii="宋体" w:hAnsi="宋体" w:cs="宋体"/>
                <w:bCs/>
                <w:szCs w:val="21"/>
              </w:rPr>
              <w:t xml:space="preserve">（1）为已建成的统一门户平台提供专业的业务系统接入集成、日常运营支撑及用户端服务。确保门户与各业务系统无缝衔接、用户账号权限精准高效、使用体验流畅稳定。</w:t>
            </w:r>
            <w:r/>
          </w:p>
          <w:p>
            <w:pPr>
              <w:ind w:firstLine="480"/>
              <w:spacing w:line="360" w:lineRule="auto"/>
              <w:rPr>
                <w:rFonts w:ascii="宋体" w:hAnsi="宋体" w:cs="宋体"/>
                <w:bCs/>
                <w:szCs w:val="21"/>
              </w:rPr>
            </w:pPr>
            <w:r>
              <w:rPr>
                <w:rFonts w:hint="eastAsia" w:ascii="宋体" w:hAnsi="宋体" w:cs="宋体"/>
                <w:bCs/>
                <w:szCs w:val="21"/>
              </w:rPr>
              <w:t xml:space="preserve">（2）保障身份管理系统稳定运行，确保实体管理、认证管理、数据服务等模块功能完备，实现身份信息同步及认证漫游，筑牢统一身份管理根基。</w:t>
            </w:r>
            <w:r/>
          </w:p>
          <w:p>
            <w:pPr>
              <w:ind w:firstLine="480"/>
              <w:spacing w:line="360" w:lineRule="auto"/>
              <w:rPr>
                <w:rFonts w:ascii="宋体" w:hAnsi="宋体" w:cs="宋体"/>
                <w:bCs/>
                <w:szCs w:val="21"/>
              </w:rPr>
            </w:pPr>
            <w:r>
              <w:rPr>
                <w:rFonts w:hint="eastAsia" w:ascii="宋体" w:hAnsi="宋体" w:cs="宋体"/>
                <w:bCs/>
                <w:szCs w:val="21"/>
              </w:rPr>
              <w:t xml:space="preserve">（3）保障权限管理系统稳定运行，实现授权精准化、策略规范化、鉴权标准化，与身份管理系统数据协同一致。</w:t>
            </w:r>
            <w:r/>
          </w:p>
          <w:p>
            <w:pPr>
              <w:ind w:firstLine="480"/>
              <w:spacing w:line="360" w:lineRule="auto"/>
              <w:rPr>
                <w:rFonts w:ascii="宋体" w:hAnsi="宋体" w:cs="宋体"/>
                <w:bCs/>
                <w:szCs w:val="21"/>
              </w:rPr>
            </w:pPr>
            <w:r>
              <w:rPr>
                <w:rFonts w:hint="eastAsia" w:ascii="宋体" w:hAnsi="宋体" w:cs="宋体"/>
                <w:bCs/>
                <w:szCs w:val="21"/>
              </w:rPr>
              <w:t xml:space="preserve">（4）保障所有接入业务系统的单点登录链接状态、响应性能稳定运行，及时排查并解决链接异常问题，提供与各个业务系统的单点登录对接与集成管理，确保业务系统接入统一门户系统，保障门户与业务系统的顺畅衔接。</w:t>
            </w:r>
            <w:r/>
          </w:p>
          <w:p>
            <w:pPr>
              <w:ind w:firstLine="480"/>
              <w:spacing w:line="360" w:lineRule="auto"/>
              <w:rPr>
                <w:rFonts w:ascii="宋体" w:hAnsi="宋体" w:cs="宋体"/>
                <w:bCs/>
                <w:szCs w:val="21"/>
              </w:rPr>
            </w:pPr>
            <w:r>
              <w:rPr>
                <w:rFonts w:hint="eastAsia" w:ascii="宋体" w:hAnsi="宋体" w:cs="宋体"/>
                <w:bCs/>
                <w:szCs w:val="21"/>
              </w:rPr>
              <w:t xml:space="preserve">（5）定期核查离职、调岗人员的账号冻结、权限回收及最终删除情况，确保“人离权消”。</w:t>
            </w:r>
            <w:r/>
          </w:p>
          <w:p>
            <w:pPr>
              <w:ind w:firstLine="480"/>
              <w:spacing w:line="360" w:lineRule="auto"/>
              <w:rPr>
                <w:rFonts w:ascii="宋体" w:hAnsi="宋体" w:cs="宋体"/>
                <w:bCs/>
                <w:szCs w:val="21"/>
              </w:rPr>
            </w:pPr>
            <w:r>
              <w:rPr>
                <w:rFonts w:hint="eastAsia" w:ascii="宋体" w:hAnsi="宋体" w:cs="宋体"/>
                <w:bCs/>
                <w:szCs w:val="21"/>
              </w:rPr>
              <w:t xml:space="preserve">（6）定期根据人事变动，在门户中维护机构、人员信息，确保基础数据准确。</w:t>
            </w:r>
            <w:r/>
          </w:p>
          <w:p>
            <w:pPr>
              <w:ind w:firstLine="480"/>
              <w:spacing w:line="360" w:lineRule="auto"/>
              <w:rPr>
                <w:rFonts w:ascii="宋体" w:hAnsi="宋体" w:cs="宋体"/>
                <w:bCs/>
                <w:szCs w:val="21"/>
              </w:rPr>
            </w:pPr>
            <w:r>
              <w:rPr>
                <w:rFonts w:hint="eastAsia" w:ascii="宋体" w:hAnsi="宋体" w:cs="宋体"/>
                <w:bCs/>
                <w:szCs w:val="21"/>
              </w:rPr>
              <w:t xml:space="preserve">（7）对应用系统的运行、维护提供7x24小时的电话技术支持。</w:t>
            </w:r>
            <w:r/>
          </w:p>
          <w:p>
            <w:pPr>
              <w:ind w:firstLine="480"/>
              <w:spacing w:line="360" w:lineRule="auto"/>
              <w:rPr>
                <w:rFonts w:ascii="宋体" w:hAnsi="宋体" w:cs="宋体"/>
                <w:bCs/>
                <w:szCs w:val="21"/>
              </w:rPr>
            </w:pPr>
            <w:r>
              <w:rPr>
                <w:rFonts w:hint="eastAsia" w:ascii="宋体" w:hAnsi="宋体" w:cs="宋体"/>
                <w:bCs/>
                <w:szCs w:val="21"/>
              </w:rPr>
              <w:t xml:space="preserve">（8）用户使用问题解答，系统流程的配置，用户的权限配置，新增账号及个人信息更新配置等。</w:t>
            </w:r>
            <w:r/>
          </w:p>
          <w:p>
            <w:pPr>
              <w:ind w:firstLine="480"/>
              <w:spacing w:line="360" w:lineRule="auto"/>
              <w:rPr>
                <w:rFonts w:ascii="宋体" w:hAnsi="宋体" w:cs="宋体"/>
                <w:bCs/>
                <w:szCs w:val="21"/>
              </w:rPr>
            </w:pPr>
            <w:r>
              <w:rPr>
                <w:rFonts w:hint="eastAsia" w:ascii="宋体" w:hAnsi="宋体" w:cs="宋体"/>
                <w:bCs/>
                <w:szCs w:val="21"/>
              </w:rPr>
              <w:t xml:space="preserve">（9）每季度对服务器、系统、数据库等内容进行巡检。</w:t>
            </w:r>
            <w:r/>
          </w:p>
          <w:p>
            <w:pPr>
              <w:ind w:firstLine="480"/>
              <w:spacing w:line="360" w:lineRule="auto"/>
              <w:rPr>
                <w:rFonts w:ascii="宋体" w:hAnsi="宋体" w:cs="宋体"/>
                <w:bCs/>
                <w:szCs w:val="21"/>
              </w:rPr>
            </w:pPr>
            <w:r>
              <w:rPr>
                <w:rFonts w:hint="eastAsia" w:ascii="宋体" w:hAnsi="宋体" w:cs="宋体"/>
                <w:bCs/>
                <w:szCs w:val="21"/>
              </w:rPr>
              <w:t xml:space="preserve">（10）对工作人员在系统使用过程中，对影响用户操作的BUG问题进行修复；</w:t>
            </w:r>
            <w:r/>
          </w:p>
          <w:p>
            <w:pPr>
              <w:ind w:firstLine="480"/>
              <w:spacing w:line="360" w:lineRule="auto"/>
              <w:rPr>
                <w:rFonts w:ascii="宋体" w:hAnsi="宋体" w:cs="宋体"/>
                <w:bCs/>
                <w:szCs w:val="21"/>
              </w:rPr>
            </w:pPr>
            <w:r>
              <w:rPr>
                <w:rFonts w:hint="eastAsia" w:ascii="宋体" w:hAnsi="宋体" w:cs="宋体"/>
                <w:bCs/>
                <w:szCs w:val="21"/>
              </w:rPr>
              <w:t xml:space="preserve">（11）按照用户需求统计各项数据报表；</w:t>
            </w:r>
            <w:r/>
          </w:p>
          <w:p>
            <w:pPr>
              <w:ind w:firstLine="480"/>
              <w:spacing w:line="360" w:lineRule="auto"/>
              <w:rPr>
                <w:rFonts w:ascii="宋体" w:hAnsi="宋体" w:cs="宋体"/>
                <w:bCs/>
                <w:szCs w:val="21"/>
              </w:rPr>
            </w:pPr>
            <w:r>
              <w:rPr>
                <w:rFonts w:hint="eastAsia" w:ascii="宋体" w:hAnsi="宋体" w:cs="宋体"/>
                <w:bCs/>
                <w:szCs w:val="21"/>
              </w:rPr>
              <w:t xml:space="preserve">（12）针对软件问题处理，开展系统更新部署、测试、监控等工作，检查系统服务配置是否正常、日志文件是否有异常报错、运行是否流畅。</w:t>
            </w:r>
            <w:r/>
          </w:p>
          <w:p>
            <w:pPr>
              <w:ind w:firstLine="480"/>
              <w:spacing w:line="360" w:lineRule="auto"/>
              <w:rPr>
                <w:rFonts w:ascii="宋体" w:hAnsi="宋体" w:cs="宋体"/>
                <w:b/>
                <w:szCs w:val="21"/>
              </w:rPr>
            </w:pPr>
            <w:r>
              <w:rPr>
                <w:rFonts w:hint="eastAsia" w:ascii="宋体" w:hAnsi="宋体" w:cs="宋体"/>
                <w:b/>
                <w:szCs w:val="21"/>
              </w:rPr>
              <w:t xml:space="preserve">（十）金陵应急宝(专家服务）</w:t>
            </w:r>
            <w:r/>
          </w:p>
          <w:p>
            <w:pPr>
              <w:ind w:firstLine="480"/>
              <w:spacing w:line="360" w:lineRule="auto"/>
              <w:rPr>
                <w:rFonts w:ascii="宋体" w:hAnsi="宋体" w:cs="宋体"/>
                <w:bCs/>
                <w:szCs w:val="21"/>
              </w:rPr>
            </w:pPr>
            <w:r>
              <w:rPr>
                <w:rFonts w:hint="eastAsia" w:ascii="宋体" w:hAnsi="宋体" w:cs="宋体"/>
                <w:bCs/>
                <w:szCs w:val="21"/>
              </w:rPr>
              <w:t xml:space="preserve">1、服务要求</w:t>
            </w:r>
            <w:r/>
          </w:p>
          <w:p>
            <w:pPr>
              <w:ind w:firstLine="480"/>
              <w:spacing w:line="360" w:lineRule="auto"/>
              <w:rPr>
                <w:rFonts w:ascii="宋体" w:hAnsi="宋体" w:cs="宋体"/>
                <w:bCs/>
                <w:szCs w:val="21"/>
              </w:rPr>
            </w:pPr>
            <w:r>
              <w:rPr>
                <w:rFonts w:hint="eastAsia" w:ascii="宋体" w:hAnsi="宋体" w:cs="宋体"/>
                <w:bCs/>
                <w:szCs w:val="21"/>
              </w:rPr>
              <w:t xml:space="preserve">（1）保障专家申报功能稳定运行，维护市级专家线上申报模块，确保专家申报流程顺畅、数据录入准确、信息留存完整。</w:t>
            </w:r>
            <w:r/>
          </w:p>
          <w:p>
            <w:pPr>
              <w:ind w:firstLine="480"/>
              <w:spacing w:line="360" w:lineRule="auto"/>
              <w:rPr>
                <w:rFonts w:ascii="宋体" w:hAnsi="宋体" w:cs="宋体"/>
                <w:bCs/>
                <w:szCs w:val="21"/>
              </w:rPr>
            </w:pPr>
            <w:r>
              <w:rPr>
                <w:rFonts w:hint="eastAsia" w:ascii="宋体" w:hAnsi="宋体" w:cs="宋体"/>
                <w:bCs/>
                <w:szCs w:val="21"/>
              </w:rPr>
              <w:t xml:space="preserve">（2）保障专家任务全流程闭环管控，支撑政府端任务发布、任务派单、任务评价等功能，保障专家端任务接收、任务详情查看、任务申请等操作正常可用，确保任务能高效流转。</w:t>
            </w:r>
            <w:r/>
          </w:p>
          <w:p>
            <w:pPr>
              <w:ind w:firstLine="480"/>
              <w:spacing w:line="360" w:lineRule="auto"/>
              <w:rPr>
                <w:rFonts w:ascii="宋体" w:hAnsi="宋体" w:cs="宋体"/>
                <w:bCs/>
                <w:szCs w:val="21"/>
              </w:rPr>
            </w:pPr>
            <w:r>
              <w:rPr>
                <w:rFonts w:hint="eastAsia" w:ascii="宋体" w:hAnsi="宋体" w:cs="宋体"/>
                <w:bCs/>
                <w:szCs w:val="21"/>
              </w:rPr>
              <w:t xml:space="preserve">（3）对应用系统的运行、维护提供7x24小时的电话技术支持。</w:t>
            </w:r>
            <w:r/>
          </w:p>
          <w:p>
            <w:pPr>
              <w:ind w:firstLine="480"/>
              <w:spacing w:line="360" w:lineRule="auto"/>
              <w:rPr>
                <w:rFonts w:ascii="宋体" w:hAnsi="宋体" w:cs="宋体"/>
                <w:bCs/>
                <w:szCs w:val="21"/>
              </w:rPr>
            </w:pPr>
            <w:r>
              <w:rPr>
                <w:rFonts w:hint="eastAsia" w:ascii="宋体" w:hAnsi="宋体" w:cs="宋体"/>
                <w:bCs/>
                <w:szCs w:val="21"/>
              </w:rPr>
              <w:t xml:space="preserve">（4）用户使用问题解答，系统流程的配置，用户的权限配置，新增账号及个人信息更新配置等。</w:t>
            </w:r>
            <w:r/>
          </w:p>
          <w:p>
            <w:pPr>
              <w:ind w:firstLine="480"/>
              <w:spacing w:line="360" w:lineRule="auto"/>
              <w:rPr>
                <w:rFonts w:ascii="宋体" w:hAnsi="宋体" w:cs="宋体"/>
                <w:bCs/>
                <w:szCs w:val="21"/>
              </w:rPr>
            </w:pPr>
            <w:r>
              <w:rPr>
                <w:rFonts w:hint="eastAsia" w:ascii="宋体" w:hAnsi="宋体" w:cs="宋体"/>
                <w:bCs/>
                <w:szCs w:val="21"/>
              </w:rPr>
              <w:t xml:space="preserve">（5）每季度对服务器、系统、数据库等内容进行巡检。</w:t>
            </w:r>
            <w:r/>
          </w:p>
          <w:p>
            <w:pPr>
              <w:ind w:firstLine="480"/>
              <w:spacing w:line="360" w:lineRule="auto"/>
              <w:rPr>
                <w:rFonts w:ascii="宋体" w:hAnsi="宋体" w:cs="宋体"/>
                <w:bCs/>
                <w:szCs w:val="21"/>
              </w:rPr>
            </w:pPr>
            <w:r>
              <w:rPr>
                <w:rFonts w:hint="eastAsia" w:ascii="宋体" w:hAnsi="宋体" w:cs="宋体"/>
                <w:bCs/>
                <w:szCs w:val="21"/>
              </w:rPr>
              <w:t xml:space="preserve">（6）对工作人员在系统使用过程中，对影响用户操作的BUG问题进行修复；</w:t>
            </w:r>
            <w:r/>
          </w:p>
          <w:p>
            <w:pPr>
              <w:ind w:firstLine="480"/>
              <w:spacing w:line="360" w:lineRule="auto"/>
              <w:rPr>
                <w:rFonts w:ascii="宋体" w:hAnsi="宋体" w:cs="宋体"/>
                <w:bCs/>
                <w:szCs w:val="21"/>
              </w:rPr>
            </w:pPr>
            <w:r>
              <w:rPr>
                <w:rFonts w:hint="eastAsia" w:ascii="宋体" w:hAnsi="宋体" w:cs="宋体"/>
                <w:bCs/>
                <w:szCs w:val="21"/>
              </w:rPr>
              <w:t xml:space="preserve">（7）按照用户需求统计各项数据报表；</w:t>
            </w:r>
            <w:r/>
          </w:p>
          <w:p>
            <w:pPr>
              <w:ind w:firstLine="480"/>
              <w:spacing w:line="360" w:lineRule="auto"/>
              <w:rPr>
                <w:rFonts w:ascii="宋体" w:hAnsi="宋体" w:cs="宋体"/>
                <w:bCs/>
                <w:szCs w:val="21"/>
              </w:rPr>
            </w:pPr>
            <w:r>
              <w:rPr>
                <w:rFonts w:hint="eastAsia" w:ascii="宋体" w:hAnsi="宋体" w:cs="宋体"/>
                <w:bCs/>
                <w:szCs w:val="21"/>
              </w:rPr>
              <w:t xml:space="preserve">（8）针对软件问题处理，开展系统更新部署、测试、监控等工作，检查系统服务配置是否正常、日志文件是否有异常报错、运行是否流畅。</w:t>
            </w:r>
            <w:r/>
          </w:p>
          <w:p>
            <w:pPr>
              <w:ind w:firstLine="480"/>
              <w:jc w:val="left"/>
              <w:spacing w:line="360" w:lineRule="auto"/>
              <w:rPr>
                <w:rFonts w:ascii="宋体" w:hAnsi="宋体" w:cs="宋体"/>
                <w:b/>
                <w:bCs/>
                <w:szCs w:val="21"/>
              </w:rPr>
            </w:pPr>
            <w:r>
              <w:rPr>
                <w:rFonts w:hint="eastAsia" w:ascii="宋体" w:hAnsi="宋体" w:cs="宋体"/>
                <w:b/>
                <w:bCs/>
                <w:szCs w:val="21"/>
              </w:rPr>
              <w:t xml:space="preserve">（十一）项目实施要求</w:t>
            </w:r>
            <w:r/>
          </w:p>
          <w:p>
            <w:pPr>
              <w:ind w:firstLine="480"/>
              <w:jc w:val="left"/>
              <w:spacing w:line="360" w:lineRule="auto"/>
              <w:rPr>
                <w:rFonts w:ascii="宋体" w:hAnsi="宋体" w:cs="宋体"/>
                <w:szCs w:val="21"/>
              </w:rPr>
            </w:pPr>
            <w:r>
              <w:rPr>
                <w:rFonts w:hint="eastAsia" w:ascii="宋体" w:hAnsi="宋体" w:cs="宋体"/>
                <w:szCs w:val="21"/>
              </w:rPr>
              <w:t xml:space="preserve">1、总体要求</w:t>
            </w:r>
            <w:r/>
          </w:p>
          <w:p>
            <w:pPr>
              <w:ind w:firstLine="480"/>
              <w:jc w:val="left"/>
              <w:spacing w:line="360" w:lineRule="auto"/>
              <w:rPr>
                <w:rFonts w:ascii="宋体" w:hAnsi="宋体" w:cs="宋体"/>
                <w:szCs w:val="21"/>
              </w:rPr>
            </w:pPr>
            <w:r>
              <w:rPr>
                <w:rFonts w:hint="eastAsia" w:ascii="宋体" w:hAnsi="宋体" w:cs="宋体"/>
                <w:szCs w:val="21"/>
              </w:rPr>
              <w:t xml:space="preserve">①供应商交付的货物和服务应当完全符合采购文件规定、响应文件所承诺的数量和规格要求。</w:t>
            </w:r>
            <w:r/>
          </w:p>
          <w:p>
            <w:pPr>
              <w:ind w:firstLine="480"/>
              <w:jc w:val="left"/>
              <w:spacing w:line="360" w:lineRule="auto"/>
              <w:rPr>
                <w:rFonts w:ascii="宋体" w:hAnsi="宋体" w:cs="宋体"/>
                <w:szCs w:val="21"/>
              </w:rPr>
            </w:pPr>
            <w:r>
              <w:rPr>
                <w:rFonts w:hint="eastAsia" w:ascii="宋体" w:hAnsi="宋体" w:cs="宋体"/>
                <w:szCs w:val="21"/>
              </w:rPr>
              <w:t xml:space="preserve">②本项目中所有模块数据对接的维护周期不短于项目的运维期（在此期间进行调整的不再另行收费）。</w:t>
            </w:r>
            <w:r/>
          </w:p>
          <w:p>
            <w:pPr>
              <w:ind w:firstLine="480"/>
              <w:jc w:val="left"/>
              <w:spacing w:line="360" w:lineRule="auto"/>
              <w:rPr>
                <w:rFonts w:ascii="宋体" w:hAnsi="宋体" w:cs="宋体"/>
                <w:szCs w:val="21"/>
              </w:rPr>
            </w:pPr>
            <w:r>
              <w:rPr>
                <w:rFonts w:hint="eastAsia" w:ascii="宋体" w:hAnsi="宋体" w:cs="宋体"/>
                <w:szCs w:val="21"/>
              </w:rPr>
              <w:t xml:space="preserve">③本项目中所有模块，涉及到调整、优化、升级等变动均需在国产化环境下实施，上线前应通过供应商组织的网络安全自测和安全加固。均需支持IPv4协议和IPv6互联网协议，并做好相关的适配和测试工作。</w:t>
            </w:r>
            <w:r/>
          </w:p>
          <w:p>
            <w:pPr>
              <w:ind w:firstLine="480"/>
              <w:jc w:val="left"/>
              <w:spacing w:line="360" w:lineRule="auto"/>
              <w:rPr>
                <w:rFonts w:ascii="宋体" w:hAnsi="宋体" w:cs="宋体"/>
                <w:szCs w:val="21"/>
              </w:rPr>
            </w:pPr>
            <w:r>
              <w:rPr>
                <w:rFonts w:hint="eastAsia" w:ascii="宋体" w:hAnsi="宋体" w:cs="宋体"/>
                <w:szCs w:val="21"/>
              </w:rPr>
              <w:t xml:space="preserve">④本项目中所有涉及使用地理信息的模块需统一对接和使用南京市数据局和应急局统一的地理信息底座模块，实现基于“一张图”的数据资源统一汇聚、空间化和可视化显示。</w:t>
            </w:r>
            <w:r/>
          </w:p>
          <w:p>
            <w:pPr>
              <w:ind w:firstLine="480"/>
              <w:jc w:val="left"/>
              <w:spacing w:line="360" w:lineRule="auto"/>
              <w:rPr>
                <w:rFonts w:ascii="宋体" w:hAnsi="宋体" w:cs="宋体"/>
                <w:szCs w:val="21"/>
              </w:rPr>
            </w:pPr>
            <w:r>
              <w:rPr>
                <w:rFonts w:hint="eastAsia" w:ascii="宋体" w:hAnsi="宋体" w:cs="宋体"/>
                <w:szCs w:val="21"/>
              </w:rPr>
              <w:t xml:space="preserve">⑤本项目中所有模块需要按照市数据局工作要求和提供的接入能力，实现入口、身份、功能等在移动端、电脑端、后管平台接入我的南京、我的南京政务版、南京的我、苏服办、宁企通等，实现统一用户、统一入口。</w:t>
            </w:r>
            <w:r/>
          </w:p>
          <w:p>
            <w:pPr>
              <w:ind w:firstLine="480"/>
              <w:jc w:val="left"/>
              <w:spacing w:line="360" w:lineRule="auto"/>
              <w:rPr>
                <w:rFonts w:ascii="宋体" w:hAnsi="宋体" w:cs="宋体"/>
                <w:szCs w:val="21"/>
              </w:rPr>
            </w:pPr>
            <w:r>
              <w:rPr>
                <w:rFonts w:hint="eastAsia" w:ascii="宋体" w:hAnsi="宋体" w:cs="宋体"/>
                <w:szCs w:val="21"/>
              </w:rPr>
              <w:t xml:space="preserve">⑥本项目中涉及的所有小程序统一基于现有的金陵应急宝进行整合及开发升级。</w:t>
            </w:r>
            <w:r/>
          </w:p>
          <w:p>
            <w:pPr>
              <w:ind w:firstLine="480"/>
              <w:jc w:val="left"/>
              <w:spacing w:line="360" w:lineRule="auto"/>
              <w:rPr>
                <w:rFonts w:ascii="宋体" w:hAnsi="宋体" w:cs="宋体"/>
                <w:szCs w:val="21"/>
              </w:rPr>
            </w:pPr>
            <w:r>
              <w:rPr>
                <w:rFonts w:hint="eastAsia" w:ascii="宋体" w:hAnsi="宋体" w:cs="宋体"/>
                <w:szCs w:val="21"/>
              </w:rPr>
              <w:t xml:space="preserve">⑦项目中的所有模块在南京市应急管理综合应用平台的统一架构下实施，所在的业务系统均需集成至南京应急管理主域名下，实现统一门户集成、统一用户管理。</w:t>
            </w:r>
            <w:r/>
          </w:p>
          <w:p>
            <w:pPr>
              <w:ind w:firstLine="480"/>
              <w:jc w:val="left"/>
              <w:spacing w:line="360" w:lineRule="auto"/>
              <w:rPr>
                <w:rFonts w:ascii="宋体" w:hAnsi="宋体" w:cs="宋体"/>
                <w:szCs w:val="21"/>
              </w:rPr>
            </w:pPr>
            <w:r>
              <w:rPr>
                <w:rFonts w:hint="eastAsia" w:ascii="宋体" w:hAnsi="宋体" w:cs="宋体"/>
                <w:szCs w:val="21"/>
              </w:rPr>
              <w:t xml:space="preserve">⑧本项目中数据治理团队会同业务处室、技术开发团队开展相关源数据定义活动。</w:t>
            </w:r>
            <w:r/>
          </w:p>
          <w:p>
            <w:pPr>
              <w:ind w:firstLine="480"/>
              <w:jc w:val="left"/>
              <w:spacing w:line="360" w:lineRule="auto"/>
              <w:rPr>
                <w:rFonts w:ascii="宋体" w:hAnsi="宋体" w:cs="宋体"/>
                <w:szCs w:val="21"/>
              </w:rPr>
            </w:pPr>
            <w:r>
              <w:rPr>
                <w:rFonts w:hint="eastAsia" w:ascii="宋体" w:hAnsi="宋体" w:cs="宋体"/>
                <w:szCs w:val="21"/>
              </w:rPr>
              <w:t xml:space="preserve">2、项目管理要求</w:t>
            </w:r>
            <w:r/>
          </w:p>
          <w:p>
            <w:pPr>
              <w:ind w:firstLine="480"/>
              <w:jc w:val="left"/>
              <w:spacing w:line="360" w:lineRule="auto"/>
              <w:rPr>
                <w:rFonts w:ascii="宋体" w:hAnsi="宋体" w:cs="宋体"/>
                <w:szCs w:val="21"/>
              </w:rPr>
            </w:pPr>
            <w:r>
              <w:rPr>
                <w:rFonts w:hint="eastAsia" w:ascii="宋体" w:hAnsi="宋体" w:cs="宋体"/>
                <w:szCs w:val="21"/>
              </w:rPr>
              <w:t xml:space="preserve">①供应商应提供详尽的项目管理办法，成立专门的项目管理组，由专人负责，确保项目按时按质进行，并保证实施质量、进度和安全。</w:t>
            </w:r>
            <w:r/>
          </w:p>
          <w:p>
            <w:pPr>
              <w:ind w:firstLine="480"/>
              <w:jc w:val="left"/>
              <w:spacing w:line="360" w:lineRule="auto"/>
              <w:rPr>
                <w:rFonts w:ascii="宋体" w:hAnsi="宋体" w:cs="宋体"/>
                <w:szCs w:val="21"/>
              </w:rPr>
            </w:pPr>
            <w:r>
              <w:rPr>
                <w:rFonts w:hint="eastAsia" w:ascii="宋体" w:hAnsi="宋体" w:cs="宋体"/>
                <w:szCs w:val="21"/>
              </w:rPr>
              <w:t xml:space="preserve">②针对部分系统使用了原厂标准化产品和算法等情况，在运维过程中若需要提供产品或算法的更新升级迭代、安全加固及漏洞修复等服务，供应商可根据实际需求情况自行向第三方采购配套服务（相关费用包含在本次报价中，采购人不再额外增加费用）并做好项目管理工作。</w:t>
            </w:r>
            <w:r/>
          </w:p>
          <w:p>
            <w:pPr>
              <w:ind w:firstLine="480"/>
              <w:jc w:val="left"/>
              <w:spacing w:line="360" w:lineRule="auto"/>
              <w:rPr>
                <w:rFonts w:ascii="宋体" w:hAnsi="宋体" w:cs="宋体"/>
                <w:szCs w:val="21"/>
              </w:rPr>
            </w:pPr>
            <w:r>
              <w:rPr>
                <w:rFonts w:hint="eastAsia" w:ascii="宋体" w:hAnsi="宋体" w:cs="宋体"/>
                <w:szCs w:val="21"/>
              </w:rPr>
              <w:t xml:space="preserve">③项目管理要求达到以下两个目标：进度目标，确保项目在预定的时间内完成；质量目标，项目达到投标要求，并按要求提交相关运维成果。</w:t>
            </w:r>
            <w:r/>
          </w:p>
          <w:p>
            <w:pPr>
              <w:ind w:firstLine="480"/>
              <w:jc w:val="left"/>
              <w:spacing w:line="360" w:lineRule="auto"/>
              <w:rPr>
                <w:rFonts w:ascii="宋体" w:hAnsi="宋体" w:cs="宋体"/>
                <w:szCs w:val="21"/>
              </w:rPr>
            </w:pPr>
            <w:r>
              <w:rPr>
                <w:rFonts w:hint="eastAsia" w:ascii="宋体" w:hAnsi="宋体" w:cs="宋体"/>
                <w:szCs w:val="21"/>
              </w:rPr>
              <w:t xml:space="preserve">3、质量要求</w:t>
            </w:r>
            <w:r/>
          </w:p>
          <w:p>
            <w:pPr>
              <w:ind w:firstLine="480"/>
              <w:jc w:val="left"/>
              <w:spacing w:line="360" w:lineRule="auto"/>
              <w:rPr>
                <w:rFonts w:ascii="宋体" w:hAnsi="宋体" w:cs="宋体"/>
                <w:szCs w:val="21"/>
              </w:rPr>
            </w:pPr>
            <w:r>
              <w:rPr>
                <w:rFonts w:hint="eastAsia" w:ascii="宋体" w:hAnsi="宋体" w:cs="宋体"/>
                <w:szCs w:val="21"/>
              </w:rPr>
              <w:t xml:space="preserve">供应商提供的服务质量应当符合响应文件的响应内容及承诺。</w:t>
            </w:r>
            <w:r/>
          </w:p>
          <w:p>
            <w:pPr>
              <w:ind w:firstLine="480"/>
              <w:jc w:val="left"/>
              <w:spacing w:line="360" w:lineRule="auto"/>
              <w:rPr>
                <w:rFonts w:ascii="宋体" w:hAnsi="宋体" w:cs="宋体"/>
                <w:szCs w:val="21"/>
              </w:rPr>
            </w:pPr>
            <w:r>
              <w:rPr>
                <w:rFonts w:hint="eastAsia" w:ascii="宋体" w:hAnsi="宋体" w:cs="宋体"/>
                <w:szCs w:val="21"/>
              </w:rPr>
              <w:t xml:space="preserve">4、运维成果要求</w:t>
            </w:r>
            <w:r/>
          </w:p>
          <w:p>
            <w:pPr>
              <w:ind w:firstLine="480"/>
              <w:jc w:val="left"/>
              <w:spacing w:line="360" w:lineRule="auto"/>
              <w:rPr>
                <w:rFonts w:ascii="宋体" w:hAnsi="宋体" w:cs="宋体"/>
                <w:szCs w:val="21"/>
              </w:rPr>
            </w:pPr>
            <w:r>
              <w:rPr>
                <w:rFonts w:hint="eastAsia" w:ascii="宋体" w:hAnsi="宋体" w:cs="宋体"/>
                <w:szCs w:val="21"/>
              </w:rPr>
              <w:t xml:space="preserve">①年度运维总结报告（分系统，在项目验收前提交）</w:t>
            </w:r>
            <w:r/>
          </w:p>
          <w:p>
            <w:pPr>
              <w:ind w:firstLine="480"/>
              <w:jc w:val="left"/>
              <w:spacing w:line="360" w:lineRule="auto"/>
              <w:rPr>
                <w:rFonts w:ascii="宋体" w:hAnsi="宋体" w:cs="宋体"/>
                <w:szCs w:val="21"/>
              </w:rPr>
            </w:pPr>
            <w:r>
              <w:rPr>
                <w:rFonts w:hint="eastAsia" w:ascii="宋体" w:hAnsi="宋体" w:cs="宋体"/>
                <w:szCs w:val="21"/>
              </w:rPr>
              <w:t xml:space="preserve">②月度或阶段总结报告（分系统，按月或阶段提交）</w:t>
            </w:r>
            <w:r/>
          </w:p>
          <w:p>
            <w:pPr>
              <w:ind w:firstLine="480"/>
              <w:jc w:val="left"/>
              <w:spacing w:line="360" w:lineRule="auto"/>
              <w:rPr>
                <w:rFonts w:ascii="宋体" w:hAnsi="宋体" w:cs="宋体"/>
                <w:szCs w:val="21"/>
              </w:rPr>
            </w:pPr>
            <w:r>
              <w:rPr>
                <w:rFonts w:hint="eastAsia" w:ascii="宋体" w:hAnsi="宋体" w:cs="宋体"/>
                <w:szCs w:val="21"/>
              </w:rPr>
              <w:t xml:space="preserve">③运维系统整合建议（项目验收前，统一输出一份报告提交市应急管理局）</w:t>
            </w:r>
            <w:r/>
          </w:p>
          <w:p>
            <w:pPr>
              <w:ind w:firstLine="480"/>
              <w:jc w:val="left"/>
              <w:spacing w:line="360" w:lineRule="auto"/>
              <w:rPr>
                <w:rFonts w:ascii="宋体" w:hAnsi="宋体" w:cs="宋体"/>
                <w:szCs w:val="21"/>
              </w:rPr>
            </w:pPr>
            <w:r>
              <w:rPr>
                <w:rFonts w:hint="eastAsia" w:ascii="宋体" w:hAnsi="宋体" w:cs="宋体"/>
                <w:szCs w:val="21"/>
              </w:rPr>
              <w:t xml:space="preserve">④其他具体服务内容中要求的成果</w:t>
            </w:r>
            <w:r/>
          </w:p>
          <w:p>
            <w:pPr>
              <w:ind w:firstLine="480"/>
              <w:jc w:val="left"/>
              <w:spacing w:line="360" w:lineRule="auto"/>
              <w:rPr>
                <w:rFonts w:ascii="宋体" w:hAnsi="宋体" w:cs="宋体"/>
                <w:szCs w:val="21"/>
              </w:rPr>
            </w:pPr>
            <w:r>
              <w:rPr>
                <w:rFonts w:hint="eastAsia" w:ascii="宋体" w:hAnsi="宋体" w:cs="宋体"/>
                <w:szCs w:val="21"/>
              </w:rPr>
              <w:t xml:space="preserve">5、验收要求</w:t>
            </w:r>
            <w:r/>
          </w:p>
          <w:p>
            <w:pPr>
              <w:ind w:firstLine="480"/>
              <w:jc w:val="left"/>
              <w:spacing w:line="360" w:lineRule="auto"/>
              <w:rPr>
                <w:rFonts w:ascii="宋体" w:hAnsi="宋体" w:cs="宋体"/>
                <w:szCs w:val="21"/>
              </w:rPr>
            </w:pPr>
            <w:r>
              <w:rPr>
                <w:rFonts w:hint="eastAsia" w:ascii="宋体" w:hAnsi="宋体" w:cs="宋体"/>
                <w:szCs w:val="21"/>
              </w:rPr>
              <w:t xml:space="preserve">项目交付应在合同规定时间内，将采购范围内所界定的工作完成，系统符合项目目标和相应的技术要求、业务需求，并能保持稳定、良好运行，采购人组织验收。</w:t>
            </w:r>
            <w:r/>
          </w:p>
          <w:p>
            <w:pPr>
              <w:ind w:firstLine="480"/>
              <w:jc w:val="left"/>
              <w:spacing w:line="360" w:lineRule="auto"/>
              <w:rPr>
                <w:rFonts w:ascii="宋体" w:hAnsi="宋体" w:cs="宋体"/>
                <w:szCs w:val="21"/>
              </w:rPr>
            </w:pPr>
            <w:r>
              <w:rPr>
                <w:rFonts w:hint="eastAsia" w:ascii="宋体" w:hAnsi="宋体" w:cs="宋体"/>
                <w:szCs w:val="21"/>
              </w:rPr>
              <w:t xml:space="preserve">①系统功能和非功能要求得到实现；</w:t>
            </w:r>
            <w:r/>
          </w:p>
          <w:p>
            <w:pPr>
              <w:ind w:firstLine="480"/>
              <w:jc w:val="left"/>
              <w:spacing w:line="360" w:lineRule="auto"/>
              <w:rPr>
                <w:rFonts w:ascii="宋体" w:hAnsi="宋体" w:cs="宋体"/>
                <w:szCs w:val="21"/>
              </w:rPr>
            </w:pPr>
            <w:r>
              <w:rPr>
                <w:rFonts w:hint="eastAsia" w:ascii="宋体" w:hAnsi="宋体" w:cs="宋体"/>
                <w:szCs w:val="21"/>
              </w:rPr>
              <w:t xml:space="preserve">②系统基础数据齐全，协助实现与其它应用的对接；</w:t>
            </w:r>
            <w:r/>
          </w:p>
          <w:p>
            <w:pPr>
              <w:ind w:firstLine="480"/>
              <w:jc w:val="left"/>
              <w:spacing w:line="360" w:lineRule="auto"/>
              <w:rPr>
                <w:rFonts w:ascii="宋体" w:hAnsi="宋体" w:cs="宋体"/>
                <w:szCs w:val="21"/>
              </w:rPr>
            </w:pPr>
            <w:r>
              <w:rPr>
                <w:rFonts w:hint="eastAsia" w:ascii="宋体" w:hAnsi="宋体" w:cs="宋体"/>
                <w:szCs w:val="21"/>
              </w:rPr>
              <w:t xml:space="preserve">③系统经过培训，各模块功能和系统性能都稳定；</w:t>
            </w:r>
            <w:r/>
          </w:p>
          <w:p>
            <w:pPr>
              <w:ind w:firstLine="480"/>
              <w:jc w:val="left"/>
              <w:spacing w:line="360" w:lineRule="auto"/>
              <w:rPr>
                <w:rFonts w:ascii="宋体" w:hAnsi="宋体" w:cs="宋体"/>
                <w:szCs w:val="21"/>
              </w:rPr>
            </w:pPr>
            <w:r>
              <w:rPr>
                <w:rFonts w:hint="eastAsia" w:ascii="宋体" w:hAnsi="宋体" w:cs="宋体"/>
                <w:szCs w:val="21"/>
              </w:rPr>
              <w:t xml:space="preserve">④系统文档和资料完整，售后服务条款清晰；</w:t>
            </w:r>
            <w:r/>
          </w:p>
          <w:p>
            <w:pPr>
              <w:ind w:firstLine="480"/>
              <w:jc w:val="left"/>
              <w:spacing w:line="360" w:lineRule="auto"/>
              <w:rPr>
                <w:rFonts w:ascii="宋体" w:hAnsi="宋体" w:cs="宋体"/>
                <w:szCs w:val="21"/>
              </w:rPr>
            </w:pPr>
            <w:r>
              <w:rPr>
                <w:rFonts w:hint="eastAsia" w:ascii="宋体" w:hAnsi="宋体" w:cs="宋体"/>
                <w:szCs w:val="21"/>
              </w:rPr>
              <w:t xml:space="preserve">⑤系统相关资料交付完全，包括但不限于技术文档、源代码、操作手册等；</w:t>
            </w:r>
            <w:r/>
          </w:p>
          <w:p>
            <w:pPr>
              <w:ind w:firstLine="480"/>
              <w:jc w:val="left"/>
              <w:spacing w:line="360" w:lineRule="auto"/>
              <w:rPr>
                <w:rFonts w:ascii="宋体" w:hAnsi="宋体" w:cs="宋体"/>
                <w:szCs w:val="21"/>
              </w:rPr>
            </w:pPr>
            <w:r>
              <w:rPr>
                <w:rFonts w:hint="eastAsia" w:ascii="宋体" w:hAnsi="宋体" w:cs="宋体"/>
                <w:szCs w:val="21"/>
              </w:rPr>
              <w:t xml:space="preserve">⑥验收流程按照《南京市政务信息化项目建设和资金管理办法》(宁政发〔2025〕24号）、市数据局及采购人的要求进行。</w:t>
            </w:r>
            <w:r/>
          </w:p>
          <w:p>
            <w:pPr>
              <w:ind w:firstLine="480"/>
              <w:jc w:val="left"/>
              <w:spacing w:line="360" w:lineRule="auto"/>
              <w:rPr>
                <w:rFonts w:ascii="宋体" w:hAnsi="宋体" w:cs="宋体"/>
                <w:szCs w:val="21"/>
              </w:rPr>
            </w:pPr>
            <w:r>
              <w:rPr>
                <w:rFonts w:hint="eastAsia" w:ascii="宋体" w:hAnsi="宋体" w:cs="宋体"/>
                <w:szCs w:val="21"/>
              </w:rPr>
              <w:t xml:space="preserve">6、权利保证</w:t>
            </w:r>
            <w:r/>
          </w:p>
          <w:p>
            <w:pPr>
              <w:ind w:firstLine="480"/>
              <w:jc w:val="left"/>
              <w:spacing w:line="360" w:lineRule="auto"/>
              <w:rPr>
                <w:rFonts w:ascii="宋体" w:hAnsi="宋体" w:cs="宋体"/>
                <w:szCs w:val="21"/>
              </w:rPr>
            </w:pPr>
            <w:r>
              <w:rPr>
                <w:rFonts w:hint="eastAsia" w:ascii="宋体" w:hAnsi="宋体" w:cs="宋体"/>
                <w:szCs w:val="21"/>
              </w:rPr>
              <w:t xml:space="preserve">供应商应保证采购人在使用本项目服务或其任何一部分时不受第三方提出侵犯其专利权、版权、商标权或其他权利的起诉。一旦出现侵权，供应商应承担全部责任。</w:t>
            </w:r>
            <w:r/>
          </w:p>
          <w:p>
            <w:pPr>
              <w:ind w:firstLine="480"/>
              <w:jc w:val="left"/>
              <w:spacing w:line="360" w:lineRule="auto"/>
              <w:rPr>
                <w:rFonts w:ascii="宋体" w:hAnsi="宋体" w:cs="宋体"/>
                <w:szCs w:val="21"/>
              </w:rPr>
            </w:pPr>
            <w:r>
              <w:rPr>
                <w:rFonts w:hint="eastAsia" w:ascii="宋体" w:hAnsi="宋体" w:cs="宋体"/>
                <w:szCs w:val="21"/>
              </w:rPr>
              <w:t xml:space="preserve">7、知识产权及保密要求</w:t>
            </w:r>
            <w:r/>
          </w:p>
          <w:p>
            <w:pPr>
              <w:ind w:firstLine="480"/>
              <w:jc w:val="left"/>
              <w:spacing w:line="360" w:lineRule="auto"/>
              <w:rPr>
                <w:rFonts w:ascii="宋体" w:hAnsi="宋体" w:cs="宋体"/>
                <w:szCs w:val="21"/>
              </w:rPr>
            </w:pPr>
            <w:r>
              <w:rPr>
                <w:rFonts w:hint="eastAsia" w:ascii="宋体" w:hAnsi="宋体" w:cs="宋体"/>
                <w:szCs w:val="21"/>
              </w:rPr>
              <w:t xml:space="preserve">项目内涉及到系统更新优化的知识产权归</w:t>
            </w:r>
            <w:r>
              <w:rPr>
                <w:rFonts w:hint="eastAsia" w:ascii="宋体" w:hAnsi="宋体" w:cs="宋体"/>
                <w:bCs/>
                <w:szCs w:val="21"/>
              </w:rPr>
              <w:t xml:space="preserve">采购人</w:t>
            </w:r>
            <w:r>
              <w:rPr>
                <w:rFonts w:hint="eastAsia" w:ascii="宋体" w:hAnsi="宋体" w:cs="宋体"/>
                <w:szCs w:val="21"/>
              </w:rPr>
              <w:t xml:space="preserve">所有。供应商就本项目开发的软件（包括但不限于运维监控系统、运维管理系统等），在项目验收时须提交软件源代码、安装程序和操作文档。供应商如在项目实施过程中采用自有知识成果，供应商须提供开发接口和开发手册等技术文档，并提供相应的技术支持。</w:t>
            </w:r>
            <w:r/>
          </w:p>
          <w:p>
            <w:pPr>
              <w:ind w:firstLine="480"/>
              <w:jc w:val="left"/>
              <w:spacing w:line="360" w:lineRule="auto"/>
              <w:rPr>
                <w:rFonts w:ascii="宋体" w:hAnsi="宋体" w:cs="宋体"/>
                <w:szCs w:val="21"/>
              </w:rPr>
            </w:pPr>
            <w:r>
              <w:rPr>
                <w:rFonts w:hint="eastAsia" w:ascii="宋体" w:hAnsi="宋体" w:cs="宋体"/>
                <w:szCs w:val="21"/>
              </w:rPr>
              <w:t xml:space="preserve">本项目实施过程中及前述工作成果使用过程中采集、分析、处理产生的数据资源、数据产品的所有权利（包括但不限于知识产权、数据资产等持有权、使用权、经营权）均归采购方所有。</w:t>
            </w:r>
            <w:r/>
          </w:p>
          <w:p>
            <w:pPr>
              <w:ind w:firstLine="480"/>
              <w:jc w:val="left"/>
              <w:spacing w:line="360" w:lineRule="auto"/>
              <w:rPr>
                <w:rFonts w:ascii="宋体" w:hAnsi="宋体" w:cs="宋体"/>
                <w:szCs w:val="21"/>
              </w:rPr>
            </w:pPr>
            <w:r>
              <w:rPr>
                <w:rFonts w:hint="eastAsia" w:ascii="宋体" w:hAnsi="宋体" w:cs="宋体"/>
                <w:szCs w:val="21"/>
              </w:rPr>
              <w:t xml:space="preserve">对于</w:t>
            </w:r>
            <w:r>
              <w:rPr>
                <w:rFonts w:hint="eastAsia" w:ascii="宋体" w:hAnsi="宋体" w:cs="宋体"/>
                <w:bCs/>
                <w:szCs w:val="21"/>
              </w:rPr>
              <w:t xml:space="preserve">采购人</w:t>
            </w:r>
            <w:r>
              <w:rPr>
                <w:rFonts w:hint="eastAsia" w:ascii="宋体" w:hAnsi="宋体" w:cs="宋体"/>
                <w:szCs w:val="21"/>
              </w:rPr>
              <w:t xml:space="preserve">及主管部门在系统建设及运维过程中提出的保密及安全等要求，供应商应严格遵守，做好相关工作。供应商（包括工作人员与派遣人员）应对履行本合同中获知的</w:t>
            </w:r>
            <w:r>
              <w:rPr>
                <w:rFonts w:hint="eastAsia" w:ascii="宋体" w:hAnsi="宋体" w:cs="宋体"/>
                <w:bCs/>
                <w:szCs w:val="21"/>
              </w:rPr>
              <w:t xml:space="preserve">采购人</w:t>
            </w:r>
            <w:r>
              <w:rPr>
                <w:rFonts w:hint="eastAsia" w:ascii="宋体" w:hAnsi="宋体" w:cs="宋体"/>
                <w:szCs w:val="21"/>
              </w:rPr>
              <w:t xml:space="preserve">的保密信息（包括但不限于财务信息、技术信息、人员信息、项目信息等）予以保密，未经</w:t>
            </w:r>
            <w:r>
              <w:rPr>
                <w:rFonts w:hint="eastAsia" w:ascii="宋体" w:hAnsi="宋体" w:cs="宋体"/>
                <w:bCs/>
                <w:szCs w:val="21"/>
              </w:rPr>
              <w:t xml:space="preserve">采购人</w:t>
            </w:r>
            <w:r>
              <w:rPr>
                <w:rFonts w:hint="eastAsia" w:ascii="宋体" w:hAnsi="宋体" w:cs="宋体"/>
                <w:szCs w:val="21"/>
              </w:rPr>
              <w:t xml:space="preserve">同意，不得向第三方披露相关信息。供应商人员违反保密义务时，由供应商承担责任，需支付</w:t>
            </w:r>
            <w:r>
              <w:rPr>
                <w:rFonts w:hint="eastAsia" w:ascii="宋体" w:hAnsi="宋体" w:cs="宋体"/>
                <w:bCs/>
                <w:szCs w:val="21"/>
              </w:rPr>
              <w:t xml:space="preserve">采购人</w:t>
            </w:r>
            <w:r>
              <w:rPr>
                <w:rFonts w:hint="eastAsia" w:ascii="宋体" w:hAnsi="宋体" w:cs="宋体"/>
                <w:szCs w:val="21"/>
              </w:rPr>
              <w:t xml:space="preserve">合同总价10%的违约金，违约金不足以弥补损失的，应继续赔偿。供应商为履行项目合同向</w:t>
            </w:r>
            <w:r>
              <w:rPr>
                <w:rFonts w:hint="eastAsia" w:ascii="宋体" w:hAnsi="宋体" w:cs="宋体"/>
                <w:bCs/>
                <w:szCs w:val="21"/>
              </w:rPr>
              <w:t xml:space="preserve">采购人</w:t>
            </w:r>
            <w:r>
              <w:rPr>
                <w:rFonts w:hint="eastAsia" w:ascii="宋体" w:hAnsi="宋体" w:cs="宋体"/>
                <w:szCs w:val="21"/>
              </w:rPr>
              <w:t xml:space="preserve">交付工作成果的所有权与知识产权均归属于</w:t>
            </w:r>
            <w:r>
              <w:rPr>
                <w:rFonts w:hint="eastAsia" w:ascii="宋体" w:hAnsi="宋体" w:cs="宋体"/>
                <w:bCs/>
                <w:szCs w:val="21"/>
              </w:rPr>
              <w:t xml:space="preserve">采购人</w:t>
            </w:r>
            <w:r>
              <w:rPr>
                <w:rFonts w:hint="eastAsia" w:ascii="宋体" w:hAnsi="宋体" w:cs="宋体"/>
                <w:szCs w:val="21"/>
              </w:rPr>
              <w:t xml:space="preserve">，未经</w:t>
            </w:r>
            <w:r>
              <w:rPr>
                <w:rFonts w:hint="eastAsia" w:ascii="宋体" w:hAnsi="宋体" w:cs="宋体"/>
                <w:bCs/>
                <w:szCs w:val="21"/>
              </w:rPr>
              <w:t xml:space="preserve">采购人</w:t>
            </w:r>
            <w:r>
              <w:rPr>
                <w:rFonts w:hint="eastAsia" w:ascii="宋体" w:hAnsi="宋体" w:cs="宋体"/>
                <w:szCs w:val="21"/>
              </w:rPr>
              <w:t xml:space="preserve">同意，供应商不得擅自处分（包括但不限于使用、许可他人使用、转让、出租、出借、买卖、对外披露等）该服务工作成果。</w:t>
            </w:r>
            <w:r/>
          </w:p>
          <w:p>
            <w:pPr>
              <w:ind w:firstLine="480"/>
              <w:jc w:val="left"/>
              <w:spacing w:line="360" w:lineRule="auto"/>
              <w:rPr>
                <w:rFonts w:ascii="宋体" w:hAnsi="宋体" w:cs="宋体"/>
                <w:szCs w:val="21"/>
              </w:rPr>
            </w:pPr>
            <w:r>
              <w:rPr>
                <w:rFonts w:hint="eastAsia" w:ascii="宋体" w:hAnsi="宋体" w:cs="宋体"/>
                <w:szCs w:val="21"/>
              </w:rPr>
              <w:t xml:space="preserve">8、人员要求</w:t>
            </w:r>
            <w:r/>
          </w:p>
          <w:p>
            <w:pPr>
              <w:ind w:firstLine="480"/>
              <w:jc w:val="left"/>
              <w:spacing w:line="360" w:lineRule="auto"/>
              <w:rPr>
                <w:rFonts w:ascii="宋体" w:hAnsi="宋体" w:cs="宋体"/>
                <w:szCs w:val="21"/>
              </w:rPr>
            </w:pPr>
            <w:r>
              <w:rPr>
                <w:rFonts w:hint="eastAsia" w:ascii="宋体" w:hAnsi="宋体" w:cs="宋体"/>
                <w:szCs w:val="21"/>
              </w:rPr>
              <w:t xml:space="preserve">供应商对本项目配备不少于8人（不含项目总负责人、技术负责人）的实施团队，并明确承担网络安全管理的机构和负责本项目网络安全管理的人员。</w:t>
            </w:r>
            <w:r/>
          </w:p>
          <w:p>
            <w:pPr>
              <w:ind w:firstLine="480"/>
              <w:jc w:val="left"/>
              <w:spacing w:line="360" w:lineRule="auto"/>
              <w:rPr>
                <w:rFonts w:ascii="宋体" w:hAnsi="宋体" w:cs="宋体"/>
                <w:szCs w:val="21"/>
              </w:rPr>
            </w:pPr>
            <w:r>
              <w:rPr>
                <w:rFonts w:hint="eastAsia" w:ascii="宋体" w:hAnsi="宋体" w:cs="宋体"/>
                <w:szCs w:val="21"/>
              </w:rPr>
              <w:t xml:space="preserve">①项目总负责人：1人，主要负责制定并执行系统运维项目整体计划，管理项目实施团队，统筹协调项目资源，确保项目按时按质完成交付。</w:t>
            </w:r>
            <w:r/>
          </w:p>
          <w:p>
            <w:pPr>
              <w:ind w:firstLine="480"/>
              <w:jc w:val="left"/>
              <w:spacing w:line="360" w:lineRule="auto"/>
              <w:rPr>
                <w:rFonts w:ascii="宋体" w:hAnsi="宋体" w:cs="宋体"/>
                <w:szCs w:val="21"/>
              </w:rPr>
            </w:pPr>
            <w:r>
              <w:rPr>
                <w:rFonts w:hint="eastAsia" w:ascii="宋体" w:hAnsi="宋体" w:cs="宋体"/>
                <w:szCs w:val="21"/>
              </w:rPr>
              <w:t xml:space="preserve">②项目技术负责人：1人，主要负责系统运维技术标准制定与管理，包括运维技术优化、运维流程管控、故障排查支撑、运维质量监督及团队技术指导等工作。</w:t>
            </w:r>
            <w:r/>
          </w:p>
          <w:p>
            <w:pPr>
              <w:ind w:firstLine="480"/>
              <w:jc w:val="left"/>
              <w:spacing w:line="360" w:lineRule="auto"/>
              <w:rPr>
                <w:rFonts w:ascii="宋体" w:hAnsi="宋体" w:cs="宋体"/>
                <w:szCs w:val="21"/>
              </w:rPr>
            </w:pPr>
            <w:r>
              <w:rPr>
                <w:rFonts w:hint="eastAsia" w:ascii="宋体" w:hAnsi="宋体" w:cs="宋体"/>
                <w:szCs w:val="21"/>
              </w:rPr>
              <w:t xml:space="preserve">③项目团队：不少于8人，本项目的实施团队其他成员（不含项目总负责人、技术负责人），包括但不限网络安全工程师、运维工程师等，负责项目实施交付工作。</w:t>
            </w:r>
            <w:r/>
          </w:p>
          <w:p>
            <w:pPr>
              <w:ind w:firstLine="480"/>
              <w:jc w:val="left"/>
              <w:spacing w:line="360" w:lineRule="auto"/>
              <w:rPr>
                <w:rFonts w:ascii="宋体" w:hAnsi="宋体" w:cs="宋体"/>
                <w:szCs w:val="21"/>
              </w:rPr>
            </w:pPr>
            <w:r>
              <w:rPr>
                <w:rFonts w:hint="eastAsia" w:ascii="宋体" w:hAnsi="宋体" w:cs="宋体"/>
                <w:szCs w:val="21"/>
              </w:rPr>
              <w:t xml:space="preserve">④派驻人员的安全保障与责任</w:t>
            </w:r>
            <w:r/>
          </w:p>
          <w:p>
            <w:pPr>
              <w:ind w:firstLine="480"/>
              <w:jc w:val="left"/>
              <w:spacing w:line="360" w:lineRule="auto"/>
              <w:rPr>
                <w:rFonts w:ascii="宋体" w:hAnsi="宋体" w:cs="宋体"/>
                <w:szCs w:val="21"/>
              </w:rPr>
            </w:pPr>
            <w:r>
              <w:rPr>
                <w:rFonts w:hint="eastAsia" w:ascii="宋体" w:hAnsi="宋体" w:cs="宋体"/>
                <w:szCs w:val="21"/>
              </w:rPr>
              <w:t xml:space="preserve">供应商应完全负责其派驻至采购人处提供服务的人员（下称“派驻人员”）的人身安全与财产安全。供应商作为派驻人员的用人单位，应依法独立、全面地履行《中华人民共和国劳动合同法》等法律法规规定的全部用人单位责任，包括但不限于与派驻人员签订书面劳动合同、依法缴纳社会保险、保障工作场所安全、进行安全培训、提供必要的劳动防护用品、承担工伤保险责任等。</w:t>
            </w:r>
            <w:r/>
          </w:p>
          <w:p>
            <w:pPr>
              <w:ind w:firstLine="480"/>
              <w:jc w:val="left"/>
              <w:spacing w:line="360" w:lineRule="auto"/>
              <w:rPr>
                <w:rFonts w:ascii="宋体" w:hAnsi="宋体" w:cs="宋体"/>
                <w:szCs w:val="21"/>
              </w:rPr>
            </w:pPr>
            <w:r>
              <w:rPr>
                <w:rFonts w:hint="eastAsia" w:ascii="宋体" w:hAnsi="宋体" w:cs="宋体"/>
                <w:szCs w:val="21"/>
              </w:rPr>
              <w:t xml:space="preserve">采购人仅为派驻人员提供必要的工作场地与办公条件。除因采购人存在直接且重大的过错所导致的事故外，采购人对派驻人员在驻场期间发生的任何人身伤害、财产损失、以及与劳动关系相关的任何争议、索赔、诉讼等均不承担任何形式的责任。</w:t>
            </w:r>
            <w:r/>
          </w:p>
          <w:p>
            <w:pPr>
              <w:ind w:firstLine="480"/>
              <w:jc w:val="left"/>
              <w:spacing w:line="360" w:lineRule="auto"/>
              <w:rPr>
                <w:rFonts w:ascii="宋体" w:hAnsi="宋体" w:cs="宋体"/>
                <w:szCs w:val="21"/>
              </w:rPr>
            </w:pPr>
            <w:r>
              <w:rPr>
                <w:rFonts w:hint="eastAsia" w:ascii="宋体" w:hAnsi="宋体" w:cs="宋体"/>
                <w:szCs w:val="21"/>
              </w:rPr>
              <w:t xml:space="preserve">若因供应商未能履行本条前述任何一款义务（包括但不限于未依法缴纳工伤保险、未提供安全培训、未提供必要劳动防护等），导致任何事故或争议发生，并使采购人卷入索赔、诉讼、仲裁或遭受任何形式的损失（包括但不限于赔偿金、罚款、律师费、诉讼费等），则供应商应承担全部法律责任，并对采购人因此遭受的全部损失承担违约赔偿责任。采购人有权直接从应付供应商的款项中扣除相应金额，或通过法律途径向供应商进行追偿。</w:t>
            </w:r>
            <w:r/>
          </w:p>
          <w:p>
            <w:pPr>
              <w:ind w:firstLine="480"/>
              <w:jc w:val="left"/>
              <w:spacing w:line="360" w:lineRule="auto"/>
              <w:rPr>
                <w:rFonts w:ascii="宋体" w:hAnsi="宋体" w:cs="宋体"/>
                <w:szCs w:val="21"/>
              </w:rPr>
            </w:pPr>
            <w:r>
              <w:rPr>
                <w:rFonts w:hint="eastAsia" w:ascii="宋体" w:hAnsi="宋体" w:cs="宋体"/>
                <w:szCs w:val="21"/>
              </w:rPr>
              <w:t xml:space="preserve">9、服务要求</w:t>
            </w:r>
            <w:r/>
          </w:p>
          <w:p>
            <w:pPr>
              <w:ind w:firstLine="480"/>
              <w:jc w:val="left"/>
              <w:spacing w:line="360" w:lineRule="auto"/>
              <w:rPr>
                <w:rFonts w:ascii="宋体" w:hAnsi="宋体" w:cs="宋体"/>
                <w:szCs w:val="21"/>
              </w:rPr>
            </w:pPr>
            <w:r>
              <w:rPr>
                <w:rFonts w:hint="eastAsia" w:ascii="宋体" w:hAnsi="宋体" w:cs="宋体"/>
                <w:szCs w:val="21"/>
              </w:rPr>
              <w:t xml:space="preserve">提供7*24小时不间断的技术支持响应。</w:t>
            </w:r>
            <w:r/>
          </w:p>
          <w:p>
            <w:pPr>
              <w:ind w:firstLine="480"/>
              <w:jc w:val="left"/>
              <w:spacing w:line="360" w:lineRule="auto"/>
              <w:rPr>
                <w:rFonts w:ascii="宋体" w:hAnsi="宋体" w:cs="宋体"/>
                <w:szCs w:val="21"/>
              </w:rPr>
            </w:pPr>
            <w:r>
              <w:rPr>
                <w:rFonts w:hint="eastAsia" w:ascii="宋体" w:hAnsi="宋体" w:cs="宋体"/>
                <w:szCs w:val="21"/>
              </w:rPr>
              <w:t xml:space="preserve">①维护期内，本合同项目所有技术和服务发生任何非人为故障，由供应商负责系统恢复。故障报修的响应时间为即时，及时有效提供解决方案，属于应用系统故障的三种情况下的系统恢复时间（一是界面级简易故障，在到达现场后1小时内恢复系统正常运行；二是应用级一般故障，在12小时内恢复系统正常运行；三是系统级重大故障，在48小时内恢复系统正常运行）。 </w:t>
            </w:r>
            <w:r/>
          </w:p>
          <w:p>
            <w:pPr>
              <w:ind w:firstLine="480"/>
              <w:jc w:val="left"/>
              <w:spacing w:line="360" w:lineRule="auto"/>
              <w:rPr>
                <w:rFonts w:ascii="宋体" w:hAnsi="宋体" w:cs="宋体"/>
                <w:szCs w:val="21"/>
              </w:rPr>
            </w:pPr>
            <w:r>
              <w:rPr>
                <w:rFonts w:hint="eastAsia" w:ascii="宋体" w:hAnsi="宋体" w:cs="宋体"/>
                <w:szCs w:val="21"/>
              </w:rPr>
              <w:t xml:space="preserve">②维护期内，供应商应当通过漏洞扫描、渗透测试等方式，定期对系统进行网络安全风险自查和漏洞修复、安全加固，并进行重要时期网络安全保障工作。</w:t>
            </w:r>
            <w:r/>
          </w:p>
          <w:p>
            <w:pPr>
              <w:ind w:firstLine="480"/>
              <w:jc w:val="left"/>
              <w:spacing w:line="360" w:lineRule="auto"/>
              <w:rPr>
                <w:rFonts w:ascii="宋体" w:hAnsi="宋体" w:cs="宋体"/>
                <w:szCs w:val="21"/>
              </w:rPr>
            </w:pPr>
            <w:r>
              <w:rPr>
                <w:rFonts w:hint="eastAsia" w:ascii="宋体" w:hAnsi="宋体" w:cs="宋体"/>
                <w:szCs w:val="21"/>
              </w:rPr>
              <w:t xml:space="preserve">③维护期内，对采购人提出的合理服务要求，供应商必须及时进行现场支持。对系统功能模块，根据采购人的意见进行修改。如未按照采购人意见进行处理，采购人有权自行处理，相关费用由供应商负责。</w:t>
            </w:r>
            <w:r/>
          </w:p>
          <w:p>
            <w:pPr>
              <w:ind w:firstLine="480"/>
              <w:jc w:val="left"/>
              <w:spacing w:line="360" w:lineRule="auto"/>
              <w:rPr>
                <w:rFonts w:ascii="宋体" w:hAnsi="宋体" w:cs="宋体"/>
                <w:szCs w:val="21"/>
              </w:rPr>
            </w:pPr>
            <w:r>
              <w:rPr>
                <w:rFonts w:hint="eastAsia" w:ascii="宋体" w:hAnsi="宋体" w:cs="宋体"/>
                <w:szCs w:val="21"/>
              </w:rPr>
              <w:t xml:space="preserve">④本项目实施和维保期间，每出现一起网络安全事件（包括但不限于省市主管部门通报的系统漏洞、安全风险等情况）供应商应当支付该系统运维服务费用的5%作为违约金，违约金最高不超过合同总价款的10%。 </w:t>
            </w:r>
            <w:r/>
          </w:p>
          <w:p>
            <w:pPr>
              <w:ind w:firstLine="480"/>
              <w:jc w:val="left"/>
              <w:spacing w:line="360" w:lineRule="auto"/>
              <w:rPr>
                <w:rFonts w:ascii="宋体" w:hAnsi="宋体" w:cs="宋体"/>
                <w:szCs w:val="21"/>
              </w:rPr>
            </w:pPr>
            <w:r>
              <w:rPr>
                <w:rFonts w:hint="eastAsia" w:ascii="宋体" w:hAnsi="宋体" w:cs="宋体"/>
                <w:szCs w:val="21"/>
              </w:rPr>
              <w:t xml:space="preserve">⑤本项目实施和维保期间，未及时落实采购人的工作要求事件（以采购人具体的项目工作要求为准），供应商应当支付该系统运维服务费用的5%作为违约金，违约金最高不超过合同总价款的10%。</w:t>
            </w:r>
            <w:r/>
          </w:p>
          <w:p>
            <w:pPr>
              <w:ind w:firstLine="480"/>
              <w:jc w:val="left"/>
              <w:spacing w:line="360" w:lineRule="auto"/>
              <w:rPr>
                <w:rFonts w:ascii="宋体" w:hAnsi="宋体" w:cs="宋体"/>
                <w:szCs w:val="21"/>
              </w:rPr>
            </w:pPr>
            <w:r>
              <w:rPr>
                <w:rFonts w:hint="eastAsia" w:ascii="宋体" w:hAnsi="宋体" w:cs="宋体"/>
                <w:szCs w:val="21"/>
              </w:rPr>
              <w:t xml:space="preserve">10、日志存储要求</w:t>
            </w:r>
            <w:r/>
          </w:p>
          <w:p>
            <w:pPr>
              <w:ind w:firstLine="480"/>
              <w:jc w:val="left"/>
              <w:spacing w:line="360" w:lineRule="auto"/>
              <w:rPr>
                <w:rFonts w:ascii="宋体" w:hAnsi="宋体" w:cs="宋体"/>
                <w:szCs w:val="21"/>
              </w:rPr>
            </w:pPr>
            <w:r>
              <w:rPr>
                <w:rFonts w:hint="eastAsia" w:ascii="宋体" w:hAnsi="宋体" w:cs="宋体"/>
                <w:szCs w:val="21"/>
              </w:rPr>
              <w:t xml:space="preserve">①日志范围与类型</w:t>
            </w:r>
            <w:r/>
          </w:p>
          <w:p>
            <w:pPr>
              <w:ind w:firstLine="480"/>
              <w:jc w:val="left"/>
              <w:spacing w:line="360" w:lineRule="auto"/>
              <w:rPr>
                <w:rFonts w:ascii="宋体" w:hAnsi="宋体" w:cs="宋体"/>
                <w:szCs w:val="21"/>
              </w:rPr>
            </w:pPr>
            <w:r>
              <w:rPr>
                <w:rFonts w:hint="eastAsia" w:ascii="宋体" w:hAnsi="宋体" w:cs="宋体"/>
                <w:szCs w:val="21"/>
              </w:rPr>
              <w:t xml:space="preserve">供应商应确保运维范围内所有信息系统（含服务器、网络设备、安全设备、数据库、中间件、应用系统等）产生的各类日志完整采集并存储，包括但不限于：</w:t>
            </w:r>
            <w:r/>
          </w:p>
          <w:p>
            <w:pPr>
              <w:ind w:firstLine="480"/>
              <w:jc w:val="left"/>
              <w:spacing w:line="360" w:lineRule="auto"/>
              <w:rPr>
                <w:rFonts w:ascii="宋体" w:hAnsi="宋体" w:cs="宋体"/>
                <w:szCs w:val="21"/>
              </w:rPr>
            </w:pPr>
            <w:r>
              <w:rPr>
                <w:rFonts w:hint="eastAsia" w:ascii="宋体" w:hAnsi="宋体" w:cs="宋体"/>
                <w:szCs w:val="21"/>
              </w:rPr>
              <w:t xml:space="preserve">系统运行日志：服务器、操作系统、虚拟化平台、网络设备、安全设备等基础设施的运行状态日志；</w:t>
            </w:r>
            <w:r/>
          </w:p>
          <w:p>
            <w:pPr>
              <w:ind w:firstLine="480"/>
              <w:jc w:val="left"/>
              <w:spacing w:line="360" w:lineRule="auto"/>
              <w:rPr>
                <w:rFonts w:ascii="宋体" w:hAnsi="宋体" w:cs="宋体"/>
                <w:szCs w:val="21"/>
              </w:rPr>
            </w:pPr>
            <w:r>
              <w:rPr>
                <w:rFonts w:hint="eastAsia" w:ascii="宋体" w:hAnsi="宋体" w:cs="宋体"/>
                <w:szCs w:val="21"/>
              </w:rPr>
              <w:t xml:space="preserve">用户操作日志：用户登录登出、权限变更、配置修改、数据增删改查等操作行为日志；</w:t>
            </w:r>
            <w:r/>
          </w:p>
          <w:p>
            <w:pPr>
              <w:ind w:firstLine="480"/>
              <w:jc w:val="left"/>
              <w:spacing w:line="360" w:lineRule="auto"/>
              <w:rPr>
                <w:rFonts w:ascii="宋体" w:hAnsi="宋体" w:cs="宋体"/>
                <w:szCs w:val="21"/>
              </w:rPr>
            </w:pPr>
            <w:r>
              <w:rPr>
                <w:rFonts w:hint="eastAsia" w:ascii="宋体" w:hAnsi="宋体" w:cs="宋体"/>
                <w:szCs w:val="21"/>
              </w:rPr>
              <w:t xml:space="preserve">安全事件日志：防火墙、入侵检测/防御系统（IDS/IPS）、WAF、终端安全、漏洞扫描等安全设备产生的告警与事件日志；</w:t>
            </w:r>
            <w:r/>
          </w:p>
          <w:p>
            <w:pPr>
              <w:ind w:firstLine="480"/>
              <w:jc w:val="left"/>
              <w:spacing w:line="360" w:lineRule="auto"/>
              <w:rPr>
                <w:rFonts w:ascii="宋体" w:hAnsi="宋体" w:cs="宋体"/>
                <w:szCs w:val="21"/>
              </w:rPr>
            </w:pPr>
            <w:r>
              <w:rPr>
                <w:rFonts w:hint="eastAsia" w:ascii="宋体" w:hAnsi="宋体" w:cs="宋体"/>
                <w:szCs w:val="21"/>
              </w:rPr>
              <w:t xml:space="preserve">运维操作日志：供应商运维人员所有远程登录、指令执行、配置变更、故障处理等运维行为日志；</w:t>
            </w:r>
            <w:r/>
          </w:p>
          <w:p>
            <w:pPr>
              <w:ind w:firstLine="480"/>
              <w:jc w:val="left"/>
              <w:spacing w:line="360" w:lineRule="auto"/>
              <w:rPr>
                <w:rFonts w:ascii="宋体" w:hAnsi="宋体" w:cs="宋体"/>
                <w:szCs w:val="21"/>
              </w:rPr>
            </w:pPr>
            <w:r>
              <w:rPr>
                <w:rFonts w:hint="eastAsia" w:ascii="宋体" w:hAnsi="宋体" w:cs="宋体"/>
                <w:szCs w:val="21"/>
              </w:rPr>
              <w:t xml:space="preserve">业务应用日志：应用系统交易记录、接口调用、异常报错、性能指标等业务层面日志；</w:t>
            </w:r>
            <w:r/>
          </w:p>
          <w:p>
            <w:pPr>
              <w:ind w:firstLine="480"/>
              <w:jc w:val="left"/>
              <w:spacing w:line="360" w:lineRule="auto"/>
              <w:rPr>
                <w:rFonts w:ascii="宋体" w:hAnsi="宋体" w:cs="宋体"/>
                <w:szCs w:val="21"/>
              </w:rPr>
            </w:pPr>
            <w:r>
              <w:rPr>
                <w:rFonts w:hint="eastAsia" w:ascii="宋体" w:hAnsi="宋体" w:cs="宋体"/>
                <w:szCs w:val="21"/>
              </w:rPr>
              <w:t xml:space="preserve">个人信息处理活动日志：涉及个人信息（含敏感个人信息）的采集、使用、委托处理、对外提供、公开、出境等处理行为的记录。</w:t>
            </w:r>
            <w:r/>
          </w:p>
          <w:p>
            <w:pPr>
              <w:ind w:firstLine="480"/>
              <w:jc w:val="left"/>
              <w:spacing w:line="360" w:lineRule="auto"/>
              <w:rPr>
                <w:rFonts w:ascii="宋体" w:hAnsi="宋体" w:cs="宋体"/>
                <w:szCs w:val="21"/>
              </w:rPr>
            </w:pPr>
            <w:r>
              <w:rPr>
                <w:rFonts w:hint="eastAsia" w:ascii="宋体" w:hAnsi="宋体" w:cs="宋体"/>
                <w:szCs w:val="21"/>
              </w:rPr>
              <w:t xml:space="preserve">②日志内容要求</w:t>
            </w:r>
            <w:r/>
          </w:p>
          <w:p>
            <w:pPr>
              <w:ind w:firstLine="480"/>
              <w:jc w:val="left"/>
              <w:spacing w:line="360" w:lineRule="auto"/>
              <w:rPr>
                <w:rFonts w:ascii="宋体" w:hAnsi="宋体" w:cs="宋体"/>
                <w:szCs w:val="21"/>
              </w:rPr>
            </w:pPr>
            <w:r>
              <w:rPr>
                <w:rFonts w:hint="eastAsia" w:ascii="宋体" w:hAnsi="宋体" w:cs="宋体"/>
                <w:szCs w:val="21"/>
              </w:rPr>
              <w:t xml:space="preserve">每条日志记录应至少包含以下要素：时间戳（采用北京时间）、事件来源（设备/系统/ 应用标识）、事件类型、操作主体（用户/进程标识）、操作对象、操作结果、源IP地址、目标IP地址、唯一会话标识/操作流水号、关键参数摘要等信息，确保日志内容可追溯、可审计、可还原。</w:t>
            </w:r>
            <w:r/>
          </w:p>
          <w:p>
            <w:pPr>
              <w:ind w:firstLine="480"/>
              <w:jc w:val="left"/>
              <w:spacing w:line="360" w:lineRule="auto"/>
              <w:rPr>
                <w:rFonts w:ascii="宋体" w:hAnsi="宋体" w:cs="宋体"/>
                <w:szCs w:val="21"/>
              </w:rPr>
            </w:pPr>
            <w:r>
              <w:rPr>
                <w:rFonts w:hint="eastAsia" w:ascii="宋体" w:hAnsi="宋体" w:cs="宋体"/>
                <w:szCs w:val="21"/>
              </w:rPr>
              <w:t xml:space="preserve">③存储期限</w:t>
            </w:r>
            <w:r/>
          </w:p>
          <w:p>
            <w:pPr>
              <w:ind w:firstLine="480"/>
              <w:jc w:val="left"/>
              <w:spacing w:line="360" w:lineRule="auto"/>
              <w:rPr>
                <w:rFonts w:ascii="宋体" w:hAnsi="宋体" w:cs="宋体"/>
                <w:szCs w:val="21"/>
              </w:rPr>
            </w:pPr>
            <w:r>
              <w:rPr>
                <w:rFonts w:hint="eastAsia" w:ascii="宋体" w:hAnsi="宋体" w:cs="宋体"/>
                <w:szCs w:val="21"/>
              </w:rPr>
              <w:t xml:space="preserve">安全日志、运维操作日志、用户操作日志等具有审计价值的日志，保存期限不少于6个月；</w:t>
            </w:r>
            <w:r/>
          </w:p>
          <w:p>
            <w:pPr>
              <w:ind w:firstLine="480"/>
              <w:jc w:val="left"/>
              <w:spacing w:line="360" w:lineRule="auto"/>
              <w:rPr>
                <w:rFonts w:ascii="宋体" w:hAnsi="宋体" w:cs="宋体"/>
                <w:szCs w:val="21"/>
              </w:rPr>
            </w:pPr>
            <w:r>
              <w:rPr>
                <w:rFonts w:hint="eastAsia" w:ascii="宋体" w:hAnsi="宋体" w:cs="宋体"/>
                <w:szCs w:val="21"/>
              </w:rPr>
              <w:t xml:space="preserve">涉及等保三级及以上系统、重要业务系统的日志，保存期限不少于1年；</w:t>
            </w:r>
            <w:r/>
          </w:p>
          <w:p>
            <w:pPr>
              <w:ind w:firstLine="480"/>
              <w:jc w:val="left"/>
              <w:spacing w:line="360" w:lineRule="auto"/>
              <w:rPr>
                <w:rFonts w:ascii="宋体" w:hAnsi="宋体" w:cs="宋体"/>
                <w:szCs w:val="21"/>
              </w:rPr>
            </w:pPr>
            <w:r>
              <w:rPr>
                <w:rFonts w:hint="eastAsia" w:ascii="宋体" w:hAnsi="宋体" w:cs="宋体"/>
                <w:szCs w:val="21"/>
              </w:rPr>
              <w:t xml:space="preserve">含个人信息（含敏感个人信息）的日志及个人信息处理活动记录，保存期限不少于 3 年；</w:t>
            </w:r>
            <w:r/>
          </w:p>
          <w:p>
            <w:pPr>
              <w:ind w:firstLine="480"/>
              <w:jc w:val="left"/>
              <w:spacing w:line="360" w:lineRule="auto"/>
              <w:rPr>
                <w:rFonts w:ascii="宋体" w:hAnsi="宋体" w:cs="宋体"/>
                <w:szCs w:val="21"/>
              </w:rPr>
            </w:pPr>
            <w:r>
              <w:rPr>
                <w:rFonts w:hint="eastAsia" w:ascii="宋体" w:hAnsi="宋体" w:cs="宋体"/>
                <w:szCs w:val="21"/>
              </w:rPr>
              <w:t xml:space="preserve">法律法规或行业监管另有规定的，从其规定。</w:t>
            </w:r>
            <w:r/>
          </w:p>
          <w:p>
            <w:pPr>
              <w:ind w:firstLine="480"/>
              <w:jc w:val="left"/>
              <w:spacing w:line="360" w:lineRule="auto"/>
              <w:rPr>
                <w:rFonts w:ascii="宋体" w:hAnsi="宋体" w:cs="宋体"/>
                <w:szCs w:val="21"/>
              </w:rPr>
            </w:pPr>
            <w:r>
              <w:rPr>
                <w:rFonts w:hint="eastAsia" w:ascii="宋体" w:hAnsi="宋体" w:cs="宋体"/>
                <w:szCs w:val="21"/>
              </w:rPr>
              <w:t xml:space="preserve">④日志格式与标准化</w:t>
            </w:r>
            <w:r/>
          </w:p>
          <w:p>
            <w:pPr>
              <w:ind w:firstLine="480"/>
              <w:jc w:val="left"/>
              <w:spacing w:line="360" w:lineRule="auto"/>
              <w:rPr>
                <w:rFonts w:ascii="宋体" w:hAnsi="宋体" w:cs="宋体"/>
                <w:szCs w:val="21"/>
              </w:rPr>
            </w:pPr>
            <w:r>
              <w:rPr>
                <w:rFonts w:hint="eastAsia" w:ascii="宋体" w:hAnsi="宋体" w:cs="宋体"/>
                <w:szCs w:val="21"/>
              </w:rPr>
              <w:t xml:space="preserve">日志应采用结构化或半结构化格式存储，支持全文检索和多维度查询；</w:t>
            </w:r>
            <w:r/>
          </w:p>
          <w:p>
            <w:pPr>
              <w:ind w:firstLine="480"/>
              <w:jc w:val="left"/>
              <w:spacing w:line="360" w:lineRule="auto"/>
              <w:rPr>
                <w:rFonts w:ascii="宋体" w:hAnsi="宋体" w:cs="宋体"/>
                <w:szCs w:val="21"/>
              </w:rPr>
            </w:pPr>
            <w:r>
              <w:rPr>
                <w:rFonts w:hint="eastAsia" w:ascii="宋体" w:hAnsi="宋体" w:cs="宋体"/>
                <w:szCs w:val="21"/>
              </w:rPr>
              <w:t xml:space="preserve">供应商应统一日志字段命名与格式规范，确保不同来源日志可关联分析；</w:t>
            </w:r>
            <w:r/>
          </w:p>
          <w:p>
            <w:pPr>
              <w:ind w:firstLine="480"/>
              <w:jc w:val="left"/>
              <w:spacing w:line="360" w:lineRule="auto"/>
              <w:rPr>
                <w:rFonts w:ascii="宋体" w:hAnsi="宋体" w:cs="宋体"/>
                <w:szCs w:val="21"/>
              </w:rPr>
            </w:pPr>
            <w:r>
              <w:rPr>
                <w:rFonts w:hint="eastAsia" w:ascii="宋体" w:hAnsi="宋体" w:cs="宋体"/>
                <w:szCs w:val="21"/>
              </w:rPr>
              <w:t xml:space="preserve">时间戳应统一采用北京时间（CST，UTC+8），各设备时钟应与 NTP 时间服务器同步，偏差不超过 30 秒。</w:t>
            </w:r>
            <w:r/>
          </w:p>
          <w:p>
            <w:pPr>
              <w:ind w:firstLine="480"/>
              <w:jc w:val="left"/>
              <w:spacing w:line="360" w:lineRule="auto"/>
              <w:rPr>
                <w:rFonts w:ascii="宋体" w:hAnsi="宋体" w:cs="宋体"/>
                <w:szCs w:val="21"/>
              </w:rPr>
            </w:pPr>
            <w:r>
              <w:rPr>
                <w:rFonts w:hint="eastAsia" w:ascii="宋体" w:hAnsi="宋体" w:cs="宋体"/>
                <w:szCs w:val="21"/>
              </w:rPr>
              <w:t xml:space="preserve">⑤日志安全与完整性</w:t>
            </w:r>
            <w:r/>
          </w:p>
          <w:p>
            <w:pPr>
              <w:ind w:firstLine="480"/>
              <w:jc w:val="left"/>
              <w:spacing w:line="360" w:lineRule="auto"/>
              <w:rPr>
                <w:rFonts w:ascii="宋体" w:hAnsi="宋体" w:cs="宋体"/>
                <w:szCs w:val="21"/>
              </w:rPr>
            </w:pPr>
            <w:r>
              <w:rPr>
                <w:rFonts w:hint="eastAsia" w:ascii="宋体" w:hAnsi="宋体" w:cs="宋体"/>
                <w:szCs w:val="21"/>
              </w:rPr>
              <w:t xml:space="preserve">日志数据应采取防篡改措施，可采用哈希校验、数字签名、区块链存证等技术手段确保日志完整性；</w:t>
            </w:r>
            <w:r/>
          </w:p>
          <w:p>
            <w:pPr>
              <w:ind w:firstLine="480"/>
              <w:jc w:val="left"/>
              <w:spacing w:line="360" w:lineRule="auto"/>
              <w:rPr>
                <w:rFonts w:ascii="宋体" w:hAnsi="宋体" w:cs="宋体"/>
                <w:szCs w:val="21"/>
              </w:rPr>
            </w:pPr>
            <w:r>
              <w:rPr>
                <w:rFonts w:hint="eastAsia" w:ascii="宋体" w:hAnsi="宋体" w:cs="宋体"/>
                <w:szCs w:val="21"/>
              </w:rPr>
              <w:t xml:space="preserve">日志存储系统应设置严格的访问控制，仅授权人员可查询日志，且查询操作本身须留痕；</w:t>
            </w:r>
            <w:r/>
          </w:p>
          <w:p>
            <w:pPr>
              <w:ind w:firstLine="480"/>
              <w:jc w:val="left"/>
              <w:spacing w:line="360" w:lineRule="auto"/>
              <w:rPr>
                <w:rFonts w:ascii="宋体" w:hAnsi="宋体" w:cs="宋体"/>
                <w:szCs w:val="21"/>
              </w:rPr>
            </w:pPr>
            <w:r>
              <w:rPr>
                <w:rFonts w:hint="eastAsia" w:ascii="宋体" w:hAnsi="宋体" w:cs="宋体"/>
                <w:szCs w:val="21"/>
              </w:rPr>
              <w:t xml:space="preserve">日志传输过程应采用加密通道（如 TLS/SSL、Syslog over TLS 等），防止日志在传输过程中被截获或篡改；</w:t>
            </w:r>
            <w:r/>
          </w:p>
          <w:p>
            <w:pPr>
              <w:ind w:firstLine="480"/>
              <w:jc w:val="left"/>
              <w:spacing w:line="360" w:lineRule="auto"/>
              <w:rPr>
                <w:rFonts w:ascii="宋体" w:hAnsi="宋体" w:cs="宋体"/>
                <w:szCs w:val="21"/>
              </w:rPr>
            </w:pPr>
            <w:r>
              <w:rPr>
                <w:rFonts w:hint="eastAsia" w:ascii="宋体" w:hAnsi="宋体" w:cs="宋体"/>
                <w:szCs w:val="21"/>
              </w:rPr>
              <w:t xml:space="preserve">供应商不得删除、修改、伪造任何日志记录，不得擅自关闭或降低日志记录级别。</w:t>
            </w:r>
            <w:r/>
          </w:p>
          <w:p>
            <w:pPr>
              <w:ind w:firstLine="480"/>
              <w:jc w:val="left"/>
              <w:spacing w:line="360" w:lineRule="auto"/>
              <w:rPr>
                <w:rFonts w:ascii="宋体" w:hAnsi="宋体" w:cs="宋体"/>
                <w:szCs w:val="21"/>
              </w:rPr>
            </w:pPr>
            <w:r>
              <w:rPr>
                <w:rFonts w:hint="eastAsia" w:ascii="宋体" w:hAnsi="宋体" w:cs="宋体"/>
                <w:szCs w:val="21"/>
              </w:rPr>
              <w:t xml:space="preserve">⑥日志备份与恢复</w:t>
            </w:r>
            <w:r/>
          </w:p>
          <w:p>
            <w:pPr>
              <w:ind w:firstLine="480"/>
              <w:jc w:val="left"/>
              <w:spacing w:line="360" w:lineRule="auto"/>
              <w:rPr>
                <w:rFonts w:ascii="宋体" w:hAnsi="宋体" w:cs="宋体"/>
                <w:szCs w:val="21"/>
              </w:rPr>
            </w:pPr>
            <w:r>
              <w:rPr>
                <w:rFonts w:hint="eastAsia" w:ascii="宋体" w:hAnsi="宋体" w:cs="宋体"/>
                <w:szCs w:val="21"/>
              </w:rPr>
              <w:t xml:space="preserve">供应商应制定日志备份策略，定期对日志数据进行备份；</w:t>
            </w:r>
            <w:r/>
          </w:p>
          <w:p>
            <w:pPr>
              <w:ind w:firstLine="480"/>
              <w:jc w:val="left"/>
              <w:spacing w:line="360" w:lineRule="auto"/>
              <w:rPr>
                <w:rFonts w:ascii="宋体" w:hAnsi="宋体" w:cs="宋体"/>
                <w:szCs w:val="21"/>
              </w:rPr>
            </w:pPr>
            <w:r>
              <w:rPr>
                <w:rFonts w:hint="eastAsia" w:ascii="宋体" w:hAnsi="宋体" w:cs="宋体"/>
                <w:szCs w:val="21"/>
              </w:rPr>
              <w:t xml:space="preserve">供应商应具备日志数据恢复能力，发生日志丢失或损坏时，应在4小时内完成恢复，并向</w:t>
            </w:r>
            <w:r>
              <w:rPr>
                <w:rFonts w:hint="eastAsia" w:ascii="宋体" w:hAnsi="宋体" w:cs="宋体"/>
                <w:bCs/>
                <w:szCs w:val="21"/>
              </w:rPr>
              <w:t xml:space="preserve">采购人</w:t>
            </w:r>
            <w:r>
              <w:rPr>
                <w:rFonts w:hint="eastAsia" w:ascii="宋体" w:hAnsi="宋体" w:cs="宋体"/>
                <w:szCs w:val="21"/>
              </w:rPr>
              <w:t xml:space="preserve">提交事件报告。</w:t>
            </w:r>
            <w:r/>
          </w:p>
          <w:p>
            <w:pPr>
              <w:ind w:firstLine="480"/>
              <w:jc w:val="left"/>
              <w:spacing w:line="360" w:lineRule="auto"/>
              <w:rPr>
                <w:rFonts w:ascii="宋体" w:hAnsi="宋体" w:cs="宋体"/>
                <w:szCs w:val="21"/>
              </w:rPr>
            </w:pPr>
            <w:r>
              <w:rPr>
                <w:rFonts w:hint="eastAsia" w:ascii="宋体" w:hAnsi="宋体" w:cs="宋体"/>
                <w:szCs w:val="21"/>
              </w:rPr>
              <w:t xml:space="preserve">⑦日志查询与审计支持</w:t>
            </w:r>
            <w:r/>
          </w:p>
          <w:p>
            <w:pPr>
              <w:ind w:firstLine="480"/>
              <w:jc w:val="left"/>
              <w:spacing w:line="360" w:lineRule="auto"/>
              <w:rPr>
                <w:rFonts w:ascii="宋体" w:hAnsi="宋体" w:cs="宋体"/>
                <w:szCs w:val="21"/>
              </w:rPr>
            </w:pPr>
            <w:r>
              <w:rPr>
                <w:rFonts w:hint="eastAsia" w:ascii="宋体" w:hAnsi="宋体" w:cs="宋体"/>
                <w:szCs w:val="21"/>
              </w:rPr>
              <w:t xml:space="preserve">供应商应向</w:t>
            </w:r>
            <w:r>
              <w:rPr>
                <w:rFonts w:hint="eastAsia" w:ascii="宋体" w:hAnsi="宋体" w:cs="宋体"/>
                <w:bCs/>
                <w:szCs w:val="21"/>
              </w:rPr>
              <w:t xml:space="preserve">采购人</w:t>
            </w:r>
            <w:r>
              <w:rPr>
                <w:rFonts w:hint="eastAsia" w:ascii="宋体" w:hAnsi="宋体" w:cs="宋体"/>
                <w:szCs w:val="21"/>
              </w:rPr>
              <w:t xml:space="preserve">提供日志查询界面或接口，支持</w:t>
            </w:r>
            <w:r>
              <w:rPr>
                <w:rFonts w:hint="eastAsia" w:ascii="宋体" w:hAnsi="宋体" w:cs="宋体"/>
                <w:bCs/>
                <w:szCs w:val="21"/>
              </w:rPr>
              <w:t xml:space="preserve">采购人</w:t>
            </w:r>
            <w:r>
              <w:rPr>
                <w:rFonts w:hint="eastAsia" w:ascii="宋体" w:hAnsi="宋体" w:cs="宋体"/>
                <w:szCs w:val="21"/>
              </w:rPr>
              <w:t xml:space="preserve">按需检索、导出日志；</w:t>
            </w:r>
            <w:r/>
          </w:p>
          <w:p>
            <w:pPr>
              <w:ind w:firstLine="480"/>
              <w:jc w:val="left"/>
              <w:spacing w:line="360" w:lineRule="auto"/>
              <w:rPr>
                <w:rFonts w:ascii="宋体" w:hAnsi="宋体" w:cs="宋体"/>
                <w:szCs w:val="21"/>
              </w:rPr>
            </w:pPr>
            <w:r>
              <w:rPr>
                <w:rFonts w:hint="eastAsia" w:ascii="宋体" w:hAnsi="宋体" w:cs="宋体"/>
                <w:bCs/>
                <w:szCs w:val="21"/>
              </w:rPr>
              <w:t xml:space="preserve">采购人</w:t>
            </w:r>
            <w:r>
              <w:rPr>
                <w:rFonts w:hint="eastAsia" w:ascii="宋体" w:hAnsi="宋体" w:cs="宋体"/>
                <w:szCs w:val="21"/>
              </w:rPr>
              <w:t xml:space="preserve">或其委托的审计机构提出日志调阅需求时，供应商应在2个工作日内提供完整日志数据，不得以任何理由推诿或延迟；</w:t>
            </w:r>
            <w:r/>
          </w:p>
          <w:p>
            <w:pPr>
              <w:ind w:firstLine="480"/>
              <w:jc w:val="left"/>
              <w:spacing w:line="360" w:lineRule="auto"/>
              <w:rPr>
                <w:rFonts w:ascii="宋体" w:hAnsi="宋体" w:cs="宋体"/>
                <w:szCs w:val="21"/>
              </w:rPr>
            </w:pPr>
            <w:r>
              <w:rPr>
                <w:rFonts w:hint="eastAsia" w:ascii="宋体" w:hAnsi="宋体" w:cs="宋体"/>
                <w:bCs/>
                <w:szCs w:val="21"/>
              </w:rPr>
              <w:t xml:space="preserve">采购人</w:t>
            </w:r>
            <w:r>
              <w:rPr>
                <w:rFonts w:hint="eastAsia" w:ascii="宋体" w:hAnsi="宋体" w:cs="宋体"/>
                <w:szCs w:val="21"/>
              </w:rPr>
              <w:t xml:space="preserve">接到公安机关、国家安全机关、网信等监管部门依法提出的日志调证或协查要求时，供应商应在法定/监管要求的时限内（或双方另行约定的更短时限内）配合</w:t>
            </w:r>
            <w:r>
              <w:rPr>
                <w:rFonts w:hint="eastAsia" w:ascii="宋体" w:hAnsi="宋体" w:cs="宋体"/>
                <w:bCs/>
                <w:szCs w:val="21"/>
              </w:rPr>
              <w:t xml:space="preserve">采购人</w:t>
            </w:r>
            <w:r>
              <w:rPr>
                <w:rFonts w:hint="eastAsia" w:ascii="宋体" w:hAnsi="宋体" w:cs="宋体"/>
                <w:szCs w:val="21"/>
              </w:rPr>
              <w:t xml:space="preserve">及时提供；</w:t>
            </w:r>
            <w:r/>
          </w:p>
          <w:p>
            <w:pPr>
              <w:ind w:firstLine="480"/>
              <w:jc w:val="left"/>
              <w:spacing w:line="360" w:lineRule="auto"/>
              <w:rPr>
                <w:rFonts w:ascii="宋体" w:hAnsi="宋体" w:cs="宋体"/>
                <w:szCs w:val="21"/>
              </w:rPr>
            </w:pPr>
            <w:r>
              <w:rPr>
                <w:rFonts w:hint="eastAsia" w:ascii="宋体" w:hAnsi="宋体" w:cs="宋体"/>
                <w:szCs w:val="21"/>
              </w:rPr>
              <w:t xml:space="preserve">供应商应配合</w:t>
            </w:r>
            <w:r>
              <w:rPr>
                <w:rFonts w:hint="eastAsia" w:ascii="宋体" w:hAnsi="宋体" w:cs="宋体"/>
                <w:bCs/>
                <w:szCs w:val="21"/>
              </w:rPr>
              <w:t xml:space="preserve">采购人</w:t>
            </w:r>
            <w:r>
              <w:rPr>
                <w:rFonts w:hint="eastAsia" w:ascii="宋体" w:hAnsi="宋体" w:cs="宋体"/>
                <w:szCs w:val="21"/>
              </w:rPr>
              <w:t xml:space="preserve">开展安全审计、合规检查、故障溯源等工作，提供必要的日志分析支持。</w:t>
            </w:r>
            <w:r/>
          </w:p>
          <w:p>
            <w:pPr>
              <w:ind w:firstLine="480"/>
              <w:jc w:val="left"/>
              <w:spacing w:line="360" w:lineRule="auto"/>
              <w:rPr>
                <w:rFonts w:ascii="宋体" w:hAnsi="宋体" w:cs="宋体"/>
                <w:szCs w:val="21"/>
              </w:rPr>
            </w:pPr>
            <w:r>
              <w:rPr>
                <w:rFonts w:hint="eastAsia" w:ascii="宋体" w:hAnsi="宋体" w:cs="宋体"/>
                <w:szCs w:val="21"/>
              </w:rPr>
              <w:t xml:space="preserve">⑧违约责任</w:t>
            </w:r>
            <w:r/>
          </w:p>
          <w:p>
            <w:pPr>
              <w:ind w:firstLine="480"/>
              <w:jc w:val="left"/>
              <w:spacing w:line="360" w:lineRule="auto"/>
              <w:rPr>
                <w:rFonts w:ascii="宋体" w:hAnsi="宋体" w:cs="宋体"/>
                <w:szCs w:val="21"/>
              </w:rPr>
            </w:pPr>
            <w:r>
              <w:rPr>
                <w:rFonts w:hint="eastAsia" w:ascii="宋体" w:hAnsi="宋体" w:cs="宋体"/>
                <w:szCs w:val="21"/>
              </w:rPr>
              <w:t xml:space="preserve">因供应商原因导致日志缺失、篡改、泄露或未按规定期限保存的，供应商应承担由此造成的全部损失；</w:t>
            </w:r>
            <w:r/>
          </w:p>
          <w:p>
            <w:pPr>
              <w:ind w:firstLine="480"/>
              <w:jc w:val="left"/>
              <w:spacing w:line="360" w:lineRule="auto"/>
              <w:rPr>
                <w:rFonts w:ascii="宋体" w:hAnsi="宋体" w:cs="宋体"/>
                <w:szCs w:val="21"/>
              </w:rPr>
            </w:pPr>
            <w:r>
              <w:rPr>
                <w:rFonts w:hint="eastAsia" w:ascii="宋体" w:hAnsi="宋体" w:cs="宋体"/>
                <w:szCs w:val="21"/>
              </w:rPr>
              <w:t xml:space="preserve">每发现一次日志不完整或存储不达标，</w:t>
            </w:r>
            <w:r>
              <w:rPr>
                <w:rFonts w:hint="eastAsia" w:ascii="宋体" w:hAnsi="宋体" w:cs="宋体"/>
                <w:bCs/>
                <w:szCs w:val="21"/>
              </w:rPr>
              <w:t xml:space="preserve">采购人</w:t>
            </w:r>
            <w:r>
              <w:rPr>
                <w:rFonts w:hint="eastAsia" w:ascii="宋体" w:hAnsi="宋体" w:cs="宋体"/>
                <w:szCs w:val="21"/>
              </w:rPr>
              <w:t xml:space="preserve">有权扣除当期运维服务费的1%—5%作为违约金；</w:t>
            </w:r>
            <w:r/>
          </w:p>
          <w:p>
            <w:pPr>
              <w:ind w:firstLine="480"/>
              <w:jc w:val="left"/>
              <w:spacing w:line="360" w:lineRule="auto"/>
              <w:rPr>
                <w:rFonts w:ascii="宋体" w:hAnsi="宋体" w:cs="宋体"/>
                <w:szCs w:val="21"/>
              </w:rPr>
            </w:pPr>
            <w:r>
              <w:rPr>
                <w:rFonts w:hint="eastAsia" w:ascii="宋体" w:hAnsi="宋体" w:cs="宋体"/>
                <w:szCs w:val="21"/>
              </w:rPr>
              <w:t xml:space="preserve">因日志缺失导致安全事件无法溯源或影响合规审计的，</w:t>
            </w:r>
            <w:r>
              <w:rPr>
                <w:rFonts w:hint="eastAsia" w:ascii="宋体" w:hAnsi="宋体" w:cs="宋体"/>
                <w:bCs/>
                <w:szCs w:val="21"/>
              </w:rPr>
              <w:t xml:space="preserve">采购人</w:t>
            </w:r>
            <w:r>
              <w:rPr>
                <w:rFonts w:hint="eastAsia" w:ascii="宋体" w:hAnsi="宋体" w:cs="宋体"/>
                <w:szCs w:val="21"/>
              </w:rPr>
              <w:t xml:space="preserve">有权单方解除合同并追究供应商相应法律责任。</w:t>
            </w:r>
            <w:r/>
          </w:p>
          <w:p>
            <w:pPr>
              <w:ind w:firstLine="480"/>
              <w:jc w:val="left"/>
              <w:spacing w:line="360" w:lineRule="auto"/>
              <w:rPr>
                <w:rFonts w:ascii="宋体" w:hAnsi="宋体" w:cs="宋体"/>
                <w:szCs w:val="21"/>
              </w:rPr>
            </w:pPr>
            <w:r>
              <w:rPr>
                <w:rFonts w:hint="eastAsia" w:ascii="宋体" w:hAnsi="宋体" w:cs="宋体"/>
                <w:szCs w:val="21"/>
              </w:rPr>
              <w:t xml:space="preserve">11、其他要求</w:t>
            </w:r>
            <w:r/>
          </w:p>
          <w:p>
            <w:pPr>
              <w:ind w:firstLine="480"/>
              <w:jc w:val="left"/>
              <w:spacing w:line="360" w:lineRule="auto"/>
              <w:rPr>
                <w:rFonts w:ascii="宋体" w:hAnsi="宋体" w:cs="宋体"/>
                <w:szCs w:val="21"/>
              </w:rPr>
            </w:pPr>
            <w:r>
              <w:rPr>
                <w:rFonts w:hint="eastAsia" w:ascii="宋体" w:hAnsi="宋体" w:cs="宋体"/>
                <w:szCs w:val="21"/>
              </w:rPr>
              <w:t xml:space="preserve">①如果发生因供应商安全措施不力造成的事故责任，或者其他工作失误，</w:t>
            </w:r>
            <w:r>
              <w:rPr>
                <w:rFonts w:hint="eastAsia" w:ascii="宋体" w:hAnsi="宋体" w:cs="宋体"/>
                <w:bCs/>
                <w:szCs w:val="21"/>
              </w:rPr>
              <w:t xml:space="preserve">采购人</w:t>
            </w:r>
            <w:r>
              <w:rPr>
                <w:rFonts w:hint="eastAsia" w:ascii="宋体" w:hAnsi="宋体" w:cs="宋体"/>
                <w:szCs w:val="21"/>
              </w:rPr>
              <w:t xml:space="preserve">有权解除合同，由此所产生的一切责任由供应商承担。</w:t>
            </w:r>
            <w:r/>
          </w:p>
          <w:p>
            <w:pPr>
              <w:ind w:firstLine="480"/>
              <w:jc w:val="left"/>
              <w:spacing w:line="360" w:lineRule="auto"/>
              <w:rPr>
                <w:rFonts w:ascii="宋体" w:hAnsi="宋体" w:cs="宋体"/>
                <w:szCs w:val="21"/>
              </w:rPr>
            </w:pPr>
            <w:r>
              <w:rPr>
                <w:rFonts w:hint="eastAsia" w:ascii="宋体" w:hAnsi="宋体" w:cs="宋体"/>
                <w:szCs w:val="21"/>
              </w:rPr>
              <w:t xml:space="preserve">②如因供应商投入人员过少原因，造成无法在承诺工期内完成服务，</w:t>
            </w:r>
            <w:r>
              <w:rPr>
                <w:rFonts w:hint="eastAsia" w:ascii="宋体" w:hAnsi="宋体" w:cs="宋体"/>
                <w:bCs/>
                <w:szCs w:val="21"/>
              </w:rPr>
              <w:t xml:space="preserve">采购人</w:t>
            </w:r>
            <w:r>
              <w:rPr>
                <w:rFonts w:hint="eastAsia" w:ascii="宋体" w:hAnsi="宋体" w:cs="宋体"/>
                <w:szCs w:val="21"/>
              </w:rPr>
              <w:t xml:space="preserve">有权解除合同，由此所产生的一切责任由供应商承担。</w:t>
            </w:r>
            <w:r>
              <w:rPr>
                <w:rFonts w:hint="eastAsia" w:ascii="宋体" w:hAnsi="宋体" w:cs="宋体"/>
                <w:szCs w:val="21"/>
              </w:rPr>
              <w:t xml:space="preserve"> </w:t>
            </w:r>
            <w:r/>
          </w:p>
        </w:tc>
        <w:tc>
          <w:tcPr>
            <w:tcMar>
              <w:left w:w="10" w:type="dxa"/>
              <w:top w:w="0" w:type="dxa"/>
              <w:right w:w="10" w:type="dxa"/>
              <w:bottom w:w="0" w:type="dxa"/>
            </w:tcMar>
            <w:tcW w:w="6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91"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rPr>
              <w:t xml:space="preserve"> </w:t>
            </w:r>
            <w:r>
              <w:rPr>
                <w:rFonts w:hint="eastAsia" w:ascii="宋体" w:hAnsi="宋体" w:cs="宋体"/>
                <w:szCs w:val="21"/>
                <w:lang w:val="en-US" w:eastAsia="zh-CN"/>
              </w:rPr>
              <w:t xml:space="preserve">2</w:t>
            </w:r>
            <w:r/>
          </w:p>
        </w:tc>
        <w:tc>
          <w:tcPr>
            <w:tcMar>
              <w:left w:w="10" w:type="dxa"/>
              <w:top w:w="0" w:type="dxa"/>
              <w:right w:w="10" w:type="dxa"/>
              <w:bottom w:w="0" w:type="dxa"/>
            </w:tcMar>
            <w:tcW w:w="922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val="en-US" w:eastAsia="zh-CN"/>
              </w:rPr>
              <w:t xml:space="preserve">招标文件中其他技术要求</w:t>
            </w:r>
            <w:r>
              <w:rPr>
                <w:rFonts w:hint="eastAsia" w:ascii="宋体" w:hAnsi="宋体" w:cs="宋体"/>
                <w:szCs w:val="21"/>
              </w:rPr>
              <w:t xml:space="preserve"> </w:t>
            </w:r>
            <w:r/>
          </w:p>
        </w:tc>
        <w:tc>
          <w:tcPr>
            <w:tcMar>
              <w:left w:w="10" w:type="dxa"/>
              <w:top w:w="0" w:type="dxa"/>
              <w:right w:w="10" w:type="dxa"/>
              <w:bottom w:w="0" w:type="dxa"/>
            </w:tcMar>
            <w:tcW w:w="6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bl>
    <w:p>
      <w:pPr>
        <w:ind w:firstLine="210"/>
        <w:jc w:val="left"/>
        <w:spacing w:line="360" w:lineRule="auto"/>
        <w:shd w:val="clear" w:color="auto" w:fill="ffffff"/>
        <w:widowControl/>
        <w:rPr>
          <w:rFonts w:ascii="宋体" w:hAnsi="宋体" w:cs="宋体"/>
          <w:szCs w:val="21"/>
        </w:rPr>
      </w:pPr>
      <w:r/>
      <w:bookmarkStart w:id="144" w:name="OLE_LINK24"/>
      <w:r>
        <w:rPr>
          <w:rFonts w:hint="eastAsia" w:ascii="宋体" w:hAnsi="宋体" w:cs="宋体"/>
          <w:szCs w:val="21"/>
        </w:rPr>
        <w:t xml:space="preserve">说明：</w:t>
      </w:r>
      <w:r/>
    </w:p>
    <w:p>
      <w:pPr>
        <w:ind w:firstLine="211"/>
        <w:jc w:val="left"/>
        <w:spacing w:line="360" w:lineRule="auto"/>
        <w:shd w:val="clear" w:color="auto" w:fill="ffffff"/>
        <w:widowControl/>
        <w:rPr>
          <w:rFonts w:ascii="宋体" w:hAnsi="宋体" w:cs="宋体"/>
          <w:b/>
          <w:bCs/>
          <w:szCs w:val="21"/>
        </w:rPr>
      </w:pPr>
      <w:r/>
      <w:bookmarkStart w:id="145" w:name="OLE_LINK37"/>
      <w:r>
        <w:rPr>
          <w:rFonts w:hint="eastAsia" w:ascii="宋体" w:hAnsi="宋体" w:cs="宋体"/>
          <w:b/>
          <w:bCs/>
          <w:szCs w:val="21"/>
        </w:rPr>
        <w:t xml:space="preserve">1.</w:t>
      </w:r>
      <w:r>
        <w:rPr>
          <w:rFonts w:hint="eastAsia" w:ascii="宋体" w:hAnsi="宋体" w:cs="宋体"/>
          <w:b/>
          <w:bCs/>
        </w:rPr>
        <w:t xml:space="preserve">供应商</w:t>
      </w:r>
      <w:r>
        <w:rPr>
          <w:rFonts w:hint="eastAsia" w:ascii="宋体" w:hAnsi="宋体" w:cs="宋体"/>
          <w:b/>
          <w:bCs/>
          <w:szCs w:val="21"/>
        </w:rPr>
        <w:t xml:space="preserve">须对竞争性磋商文件技术要求中的实质性要求（斜体且有下划线部分，或者打“★”“*”等其他文字说明的商务和技术要求）做出明确响应，</w:t>
      </w:r>
      <w:r>
        <w:rPr>
          <w:rFonts w:hint="eastAsia" w:ascii="宋体" w:hAnsi="宋体" w:cs="宋体"/>
          <w:b/>
          <w:bCs/>
        </w:rPr>
        <w:t xml:space="preserve">供应商</w:t>
      </w:r>
      <w:r>
        <w:rPr>
          <w:rFonts w:hint="eastAsia" w:ascii="宋体" w:hAnsi="宋体" w:cs="宋体"/>
          <w:b/>
          <w:bCs/>
          <w:szCs w:val="21"/>
        </w:rPr>
        <w:t xml:space="preserve">未对实质性要求作出明确响应</w:t>
      </w:r>
      <w:bookmarkStart w:id="146" w:name="OLE_LINK55"/>
      <w:r>
        <w:rPr>
          <w:rFonts w:hint="eastAsia" w:ascii="宋体" w:hAnsi="宋体" w:cs="宋体"/>
          <w:b/>
          <w:bCs/>
          <w:szCs w:val="21"/>
        </w:rPr>
        <w:t xml:space="preserve">或有负偏离</w:t>
      </w:r>
      <w:bookmarkEnd w:id="146"/>
      <w:r>
        <w:rPr>
          <w:rFonts w:hint="eastAsia" w:ascii="宋体" w:hAnsi="宋体" w:cs="宋体"/>
          <w:b/>
          <w:bCs/>
          <w:szCs w:val="21"/>
        </w:rPr>
        <w:t xml:space="preserve">的，视为无效投标。</w:t>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2.行数不够，可自行添加。</w:t>
      </w:r>
      <w:bookmarkEnd w:id="142"/>
      <w:r/>
      <w:bookmarkEnd w:id="144"/>
      <w:r/>
      <w:bookmarkEnd w:id="145"/>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br w:type="page" w:clear="all"/>
      </w:r>
      <w:r/>
    </w:p>
    <w:p>
      <w:pPr>
        <w:pStyle w:val="980"/>
        <w:numPr>
          <w:ilvl w:val="1"/>
          <w:numId w:val="0"/>
        </w:numPr>
        <w:rPr>
          <w:rFonts w:ascii="宋体" w:hAnsi="宋体" w:cs="宋体"/>
        </w:rPr>
      </w:pPr>
      <w:r/>
      <w:bookmarkStart w:id="147" w:name="_Toc43917776"/>
      <w:r/>
      <w:bookmarkStart w:id="148" w:name="_Toc43994939"/>
      <w:r>
        <w:rPr>
          <w:rFonts w:hint="eastAsia" w:ascii="宋体" w:hAnsi="宋体" w:cs="宋体"/>
        </w:rPr>
        <w:t xml:space="preserve">附件七、商务要求响应及偏离表</w:t>
      </w:r>
      <w:bookmarkEnd w:id="147"/>
      <w:r/>
      <w:bookmarkEnd w:id="148"/>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bookmarkStart w:id="149" w:name="_Hlk66806534"/>
      <w:r/>
      <w:r/>
    </w:p>
    <w:p>
      <w:pPr>
        <w:jc w:val="center"/>
        <w:spacing w:line="360" w:lineRule="auto"/>
        <w:shd w:val="clear" w:color="auto" w:fill="ffffff"/>
        <w:widowControl/>
        <w:rPr>
          <w:rFonts w:ascii="宋体" w:hAnsi="宋体" w:cs="宋体"/>
          <w:szCs w:val="21"/>
        </w:rPr>
      </w:pPr>
      <w:r>
        <w:rPr>
          <w:rFonts w:hint="eastAsia" w:ascii="宋体" w:hAnsi="宋体" w:cs="宋体"/>
          <w:b/>
          <w:sz w:val="32"/>
          <w:szCs w:val="32"/>
        </w:rPr>
        <w:t xml:space="preserve">商务要求响应及偏离表</w:t>
      </w:r>
      <w:r/>
    </w:p>
    <w:p>
      <w:pPr>
        <w:ind w:firstLine="30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89"/>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宋体" w:hAnsi="宋体" w:cs="宋体"/>
                <w:b/>
                <w:szCs w:val="21"/>
              </w:rPr>
            </w:pPr>
            <w:r/>
            <w:bookmarkStart w:id="150" w:name="_Hlk66784541"/>
            <w:r>
              <w:rPr>
                <w:rFonts w:hint="eastAsia" w:ascii="宋体" w:hAnsi="宋体" w:cs="宋体"/>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p>
            <w:pPr>
              <w:jc w:val="center"/>
              <w:spacing w:line="360" w:lineRule="auto"/>
              <w:widowControl/>
              <w:rPr>
                <w:rFonts w:ascii="宋体" w:hAnsi="宋体" w:cs="宋体"/>
                <w:b/>
                <w:szCs w:val="21"/>
              </w:rPr>
            </w:pPr>
            <w:r>
              <w:rPr>
                <w:rFonts w:hint="eastAsia" w:ascii="宋体" w:hAnsi="宋体" w:cs="宋体"/>
                <w:b/>
                <w:szCs w:val="21"/>
              </w:rPr>
              <w:t xml:space="preserve">(响应或不响应)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偏离情况</w:t>
            </w:r>
            <w:r/>
          </w:p>
          <w:p>
            <w:pPr>
              <w:jc w:val="center"/>
              <w:spacing w:line="360" w:lineRule="auto"/>
              <w:widowControl/>
              <w:rPr>
                <w:rFonts w:ascii="宋体" w:hAnsi="宋体" w:cs="宋体"/>
                <w:b/>
                <w:szCs w:val="21"/>
              </w:rPr>
            </w:pPr>
            <w:r>
              <w:rPr>
                <w:rFonts w:hint="eastAsia" w:ascii="宋体" w:hAnsi="宋体" w:cs="宋体"/>
                <w:b/>
                <w:szCs w:val="21"/>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rPr>
              <w:t xml:space="preserve"> </w:t>
            </w:r>
            <w:r>
              <w:rPr>
                <w:rFonts w:hint="eastAsia" w:ascii="宋体" w:hAnsi="宋体" w:cs="宋体"/>
                <w:szCs w:val="21"/>
                <w:lang w:val="en-US" w:eastAsia="zh-CN"/>
              </w:rPr>
              <w:t xml:space="preserve">1</w:t>
            </w:r>
            <w:r/>
          </w:p>
        </w:tc>
        <w:tc>
          <w:tcPr>
            <w:tcMar>
              <w:left w:w="10" w:type="dxa"/>
              <w:top w:w="0" w:type="dxa"/>
              <w:right w:w="10" w:type="dxa"/>
              <w:bottom w:w="0" w:type="dxa"/>
            </w:tcMar>
            <w:tcW w:w="3649" w:type="dxa"/>
            <w:vAlign w:val="center"/>
            <w:textDirection w:val="lrTb"/>
            <w:noWrap w:val="false"/>
          </w:tcPr>
          <w:p>
            <w:pPr>
              <w:ind w:firstLine="480"/>
              <w:jc w:val="left"/>
              <w:spacing w:line="360" w:lineRule="auto"/>
              <w:rPr>
                <w:rFonts w:ascii="宋体" w:hAnsi="宋体" w:cs="宋体"/>
                <w:szCs w:val="21"/>
              </w:rPr>
            </w:pPr>
            <w:r>
              <w:rPr>
                <w:rFonts w:hint="eastAsia" w:ascii="宋体" w:hAnsi="宋体" w:cs="宋体"/>
                <w:szCs w:val="21"/>
              </w:rPr>
              <w:t xml:space="preserve">1、服务时间</w:t>
            </w:r>
            <w:r/>
          </w:p>
          <w:p>
            <w:pPr>
              <w:ind w:firstLine="480"/>
              <w:jc w:val="left"/>
              <w:spacing w:line="360" w:lineRule="auto"/>
              <w:rPr>
                <w:rFonts w:ascii="宋体" w:hAnsi="宋体" w:cs="宋体"/>
                <w:szCs w:val="21"/>
              </w:rPr>
            </w:pPr>
            <w:r>
              <w:rPr>
                <w:rFonts w:hint="eastAsia" w:ascii="宋体" w:hAnsi="宋体" w:cs="宋体"/>
                <w:bCs/>
                <w:szCs w:val="21"/>
              </w:rPr>
              <w:t xml:space="preserve">自合同签订后</w:t>
            </w:r>
            <w:r>
              <w:rPr>
                <w:rFonts w:hint="eastAsia" w:ascii="宋体" w:hAnsi="宋体" w:cs="宋体"/>
                <w:bCs/>
                <w:szCs w:val="21"/>
                <w:lang w:val="en-US" w:eastAsia="zh-CN"/>
              </w:rPr>
              <w:t xml:space="preserve">365天</w:t>
            </w:r>
            <w:r>
              <w:rPr>
                <w:rFonts w:hint="eastAsia" w:ascii="宋体" w:hAnsi="宋体" w:cs="宋体"/>
                <w:bCs/>
                <w:szCs w:val="21"/>
              </w:rPr>
              <w:t xml:space="preserve">。</w:t>
            </w:r>
            <w:r/>
          </w:p>
          <w:p>
            <w:pPr>
              <w:ind w:firstLine="480"/>
              <w:jc w:val="left"/>
              <w:spacing w:line="360" w:lineRule="auto"/>
              <w:rPr>
                <w:rFonts w:ascii="宋体" w:hAnsi="宋体" w:cs="宋体"/>
                <w:szCs w:val="21"/>
              </w:rPr>
            </w:pPr>
            <w:r>
              <w:rPr>
                <w:rFonts w:hint="eastAsia" w:ascii="宋体" w:hAnsi="宋体" w:cs="宋体"/>
                <w:szCs w:val="21"/>
              </w:rPr>
              <w:t xml:space="preserve">2、报价要求</w:t>
            </w:r>
            <w:r/>
          </w:p>
          <w:p>
            <w:pPr>
              <w:ind w:firstLine="480"/>
              <w:jc w:val="left"/>
              <w:spacing w:line="360" w:lineRule="auto"/>
              <w:rPr>
                <w:rFonts w:ascii="宋体" w:hAnsi="宋体" w:cs="宋体"/>
                <w:szCs w:val="21"/>
              </w:rPr>
            </w:pPr>
            <w:r>
              <w:rPr>
                <w:rFonts w:hint="eastAsia" w:ascii="宋体" w:hAnsi="宋体" w:cs="宋体"/>
                <w:szCs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宋体" w:hAnsi="宋体" w:cs="宋体"/>
                <w:szCs w:val="21"/>
              </w:rPr>
            </w:pPr>
            <w:r>
              <w:rPr>
                <w:rFonts w:hint="eastAsia" w:ascii="宋体" w:hAnsi="宋体" w:cs="宋体"/>
                <w:szCs w:val="21"/>
              </w:rPr>
              <w:t xml:space="preserve">（2）供应商的任何错漏、优惠、竞争性报价不得作为减轻责任、减少服务、增加收费、降低服务质量的理由。</w:t>
            </w:r>
            <w:r/>
          </w:p>
          <w:p>
            <w:pPr>
              <w:ind w:firstLine="480"/>
              <w:jc w:val="left"/>
              <w:spacing w:line="360" w:lineRule="auto"/>
              <w:rPr>
                <w:rFonts w:ascii="宋体" w:hAnsi="宋体" w:cs="宋体"/>
                <w:szCs w:val="21"/>
              </w:rPr>
            </w:pPr>
            <w:r>
              <w:rPr>
                <w:rFonts w:hint="eastAsia" w:ascii="宋体" w:hAnsi="宋体" w:cs="宋体"/>
                <w:szCs w:val="21"/>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jc w:val="left"/>
              <w:spacing w:line="360" w:lineRule="auto"/>
              <w:rPr>
                <w:rFonts w:ascii="宋体" w:hAnsi="宋体" w:cs="宋体"/>
                <w:szCs w:val="21"/>
              </w:rPr>
            </w:pPr>
            <w:r>
              <w:rPr>
                <w:rFonts w:hint="eastAsia" w:ascii="宋体" w:hAnsi="宋体" w:cs="宋体"/>
                <w:szCs w:val="21"/>
              </w:rPr>
              <w:t xml:space="preserve">3、付款条件</w:t>
            </w:r>
            <w:r/>
          </w:p>
          <w:p>
            <w:pPr>
              <w:ind w:firstLine="480"/>
              <w:jc w:val="left"/>
              <w:spacing w:line="360" w:lineRule="auto"/>
              <w:rPr>
                <w:rFonts w:ascii="宋体" w:hAnsi="宋体" w:cs="宋体"/>
                <w:szCs w:val="21"/>
              </w:rPr>
            </w:pPr>
            <w:r>
              <w:rPr>
                <w:rFonts w:hint="eastAsia" w:ascii="宋体" w:hAnsi="宋体" w:cs="宋体"/>
                <w:szCs w:val="21"/>
              </w:rPr>
              <w:t xml:space="preserve">（1）预付款：在本合同签订且财政预算资金下达后，采购人向成交供应商支付本合同总额的50%。</w:t>
            </w:r>
            <w:r/>
          </w:p>
          <w:p>
            <w:pPr>
              <w:ind w:firstLine="480"/>
              <w:jc w:val="left"/>
              <w:spacing w:line="360" w:lineRule="auto"/>
              <w:rPr>
                <w:rFonts w:ascii="宋体" w:hAnsi="宋体" w:cs="宋体"/>
                <w:szCs w:val="21"/>
              </w:rPr>
            </w:pPr>
            <w:r>
              <w:rPr>
                <w:rFonts w:hint="eastAsia" w:ascii="宋体" w:hAnsi="宋体" w:cs="宋体"/>
                <w:szCs w:val="21"/>
              </w:rPr>
              <w:t xml:space="preserve">（2）尾款：在完成各个系统的运维服务质量考核验收后，且财政预算资金下达后，采购人向成交供应商支付合同尾款。</w:t>
            </w:r>
            <w:r/>
          </w:p>
          <w:p>
            <w:pPr>
              <w:ind w:firstLine="480"/>
              <w:jc w:val="left"/>
              <w:spacing w:line="360" w:lineRule="auto"/>
              <w:rPr>
                <w:rFonts w:ascii="宋体" w:hAnsi="宋体" w:cs="宋体"/>
                <w:szCs w:val="21"/>
              </w:rPr>
            </w:pPr>
            <w:r>
              <w:rPr>
                <w:rFonts w:hint="eastAsia" w:ascii="宋体" w:hAnsi="宋体" w:cs="宋体"/>
                <w:szCs w:val="21"/>
              </w:rPr>
              <w:t xml:space="preserve">（3）满足合同约定支付条件的，采购人在收到成交供应商发票后</w:t>
            </w:r>
            <w:r>
              <w:rPr>
                <w:rFonts w:hint="eastAsia" w:ascii="宋体" w:hAnsi="宋体" w:cs="宋体"/>
                <w:szCs w:val="21"/>
                <w:lang w:val="en-US" w:eastAsia="zh-CN"/>
              </w:rPr>
              <w:t xml:space="preserve">15</w:t>
            </w:r>
            <w:r>
              <w:rPr>
                <w:rFonts w:hint="eastAsia" w:ascii="宋体" w:hAnsi="宋体" w:cs="宋体"/>
                <w:szCs w:val="21"/>
              </w:rPr>
              <w:t xml:space="preserve">个工作日内，将资金支付到合同约定的成交供应商账户。</w:t>
            </w:r>
            <w:r/>
          </w:p>
          <w:p>
            <w:pPr>
              <w:ind w:firstLine="480"/>
              <w:jc w:val="left"/>
              <w:spacing w:line="360" w:lineRule="auto"/>
              <w:rPr>
                <w:rFonts w:ascii="宋体" w:hAnsi="宋体" w:cs="宋体"/>
                <w:szCs w:val="21"/>
              </w:rPr>
            </w:pPr>
            <w:r>
              <w:rPr>
                <w:rFonts w:hint="eastAsia" w:ascii="宋体" w:hAnsi="宋体" w:cs="宋体"/>
                <w:szCs w:val="21"/>
              </w:rPr>
              <w:t xml:space="preserve">4、服务地点</w:t>
            </w:r>
            <w:r/>
          </w:p>
          <w:p>
            <w:pPr>
              <w:ind w:firstLine="480"/>
              <w:jc w:val="left"/>
              <w:spacing w:line="360" w:lineRule="auto"/>
              <w:rPr>
                <w:rFonts w:ascii="宋体" w:hAnsi="宋体" w:cs="宋体"/>
                <w:szCs w:val="21"/>
              </w:rPr>
            </w:pPr>
            <w:r>
              <w:rPr>
                <w:rFonts w:hint="eastAsia" w:ascii="宋体" w:hAnsi="宋体" w:cs="宋体"/>
                <w:szCs w:val="21"/>
              </w:rPr>
              <w:t xml:space="preserve">采购人指定地点。</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rPr>
              <w:t xml:space="preserve"> </w:t>
            </w:r>
            <w:r>
              <w:rPr>
                <w:rFonts w:hint="eastAsia" w:ascii="宋体" w:hAnsi="宋体" w:cs="宋体"/>
                <w:szCs w:val="21"/>
                <w:lang w:val="en-US" w:eastAsia="zh-CN"/>
              </w:rPr>
              <w:t xml:space="preserve">2</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val="en-US" w:eastAsia="zh-CN"/>
              </w:rPr>
              <w:t xml:space="preserve">招标文件中其他商务要求</w:t>
            </w:r>
            <w:r>
              <w:rPr>
                <w:rFonts w:hint="eastAsia" w:ascii="宋体" w:hAnsi="宋体" w:cs="宋体"/>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bookmarkEnd w:id="150"/>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firstLine="211"/>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w:t>
      </w:r>
      <w:r>
        <w:rPr>
          <w:rFonts w:hint="eastAsia" w:ascii="宋体" w:hAnsi="宋体" w:cs="宋体"/>
          <w:b/>
          <w:bCs/>
        </w:rPr>
        <w:t xml:space="preserve">供应商</w:t>
      </w:r>
      <w:r>
        <w:rPr>
          <w:rFonts w:hint="eastAsia" w:ascii="宋体" w:hAnsi="宋体" w:cs="宋体"/>
          <w:b/>
          <w:bCs/>
          <w:szCs w:val="21"/>
        </w:rPr>
        <w:t xml:space="preserve">须对竞争性磋商文件商务要求中的实质性要求（斜体且有下划线部分，或者打“★”“*”等其他文字说明的商务和技术要求）做出明确响应，</w:t>
      </w:r>
      <w:r>
        <w:rPr>
          <w:rFonts w:hint="eastAsia" w:ascii="宋体" w:hAnsi="宋体" w:cs="宋体"/>
          <w:b/>
          <w:bCs/>
        </w:rPr>
        <w:t xml:space="preserve">供应商</w:t>
      </w:r>
      <w:r>
        <w:rPr>
          <w:rFonts w:hint="eastAsia" w:ascii="宋体" w:hAnsi="宋体" w:cs="宋体"/>
          <w:b/>
          <w:bCs/>
          <w:szCs w:val="21"/>
        </w:rPr>
        <w:t xml:space="preserve">未对实质性要求作出明确响应或有负偏离的，视为无效投标。</w:t>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2.行数不够，可自行添加。</w:t>
      </w:r>
      <w:r/>
    </w:p>
    <w:p>
      <w:pPr>
        <w:ind w:firstLine="21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bookmarkEnd w:id="149"/>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80"/>
        <w:numPr>
          <w:ilvl w:val="0"/>
          <w:numId w:val="0"/>
        </w:numPr>
        <w:rPr>
          <w:rFonts w:ascii="宋体" w:hAnsi="宋体" w:cs="宋体"/>
        </w:rPr>
      </w:pPr>
      <w:r/>
      <w:bookmarkStart w:id="151" w:name="_Toc43917778"/>
      <w:r/>
      <w:bookmarkStart w:id="152" w:name="_Toc43994941"/>
      <w:r>
        <w:rPr>
          <w:rFonts w:hint="eastAsia" w:ascii="宋体" w:hAnsi="宋体" w:cs="宋体"/>
        </w:rPr>
        <w:t xml:space="preserve">附件八、拟参与本项目服务人员一览表</w:t>
      </w:r>
      <w:bookmarkEnd w:id="151"/>
      <w:r/>
      <w:bookmarkEnd w:id="152"/>
      <w:r/>
      <w:r/>
    </w:p>
    <w:p>
      <w:pPr>
        <w:spacing w:line="460" w:lineRule="atLeast"/>
        <w:widowControl/>
        <w:rPr>
          <w:rFonts w:ascii="宋体" w:hAnsi="宋体" w:cs="宋体"/>
          <w:b/>
          <w:bCs/>
          <w:sz w:val="24"/>
        </w:rPr>
      </w:pPr>
      <w:r/>
      <w:bookmarkStart w:id="153" w:name="_Hlk68084060"/>
      <w:r/>
      <w:r/>
    </w:p>
    <w:p>
      <w:pPr>
        <w:ind w:left="420"/>
        <w:jc w:val="center"/>
        <w:spacing w:line="360" w:lineRule="auto"/>
        <w:shd w:val="clear" w:color="auto" w:fill="ffffff"/>
        <w:widowControl/>
        <w:rPr>
          <w:rFonts w:ascii="宋体" w:hAnsi="宋体" w:cs="宋体"/>
          <w:b/>
          <w:sz w:val="30"/>
          <w:szCs w:val="30"/>
        </w:rPr>
      </w:pPr>
      <w:r/>
      <w:bookmarkStart w:id="154" w:name="_Hlk67995747"/>
      <w:r>
        <w:rPr>
          <w:rFonts w:hint="eastAsia" w:ascii="宋体" w:hAnsi="宋体" w:cs="宋体"/>
          <w:b/>
          <w:sz w:val="32"/>
          <w:szCs w:val="32"/>
        </w:rPr>
        <w:t xml:space="preserve">拟参与本项目服务人员一览表</w:t>
      </w:r>
      <w:bookmarkEnd w:id="154"/>
      <w:r/>
      <w:bookmarkStart w:id="155" w:name="_Hlk66378104"/>
      <w:r/>
      <w:bookmarkEnd w:id="155"/>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bookmarkStart w:id="156" w:name="_Hlk66784308"/>
      <w:r>
        <w:rPr>
          <w:rFonts w:hint="eastAsia" w:ascii="宋体" w:hAnsi="宋体" w:cs="宋体"/>
          <w:szCs w:val="21"/>
        </w:rPr>
        <w:t xml:space="preserve">项目名称：                                 项目编号：</w:t>
      </w:r>
      <w:bookmarkEnd w:id="156"/>
      <w:r/>
      <w:r/>
    </w:p>
    <w:tbl>
      <w:tblPr>
        <w:tblStyle w:val="98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hint="eastAsia" w:ascii="宋体" w:hAnsi="宋体" w:cs="宋体"/>
                <w:szCs w:val="21"/>
              </w:rPr>
              <w:t xml:space="preserve">项目总负责人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hint="eastAsia" w:ascii="宋体" w:hAnsi="宋体" w:cs="宋体"/>
                <w:szCs w:val="21"/>
              </w:rPr>
              <w:t xml:space="preserve">技术负责人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bookmarkEnd w:id="153"/>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hint="eastAsia" w:ascii="宋体" w:hAnsi="宋体" w:cs="宋体"/>
          <w:b/>
          <w:bCs/>
          <w:szCs w:val="21"/>
        </w:rPr>
        <w:br w:type="page" w:clear="all"/>
      </w:r>
      <w:r/>
    </w:p>
    <w:p>
      <w:pPr>
        <w:pStyle w:val="980"/>
        <w:numPr>
          <w:ilvl w:val="0"/>
          <w:numId w:val="0"/>
        </w:numPr>
        <w:rPr>
          <w:rFonts w:ascii="宋体" w:hAnsi="宋体" w:cs="宋体"/>
        </w:rPr>
      </w:pPr>
      <w:r/>
      <w:bookmarkStart w:id="157" w:name="_Toc43917779"/>
      <w:r/>
      <w:bookmarkStart w:id="158" w:name="_Toc43994942"/>
      <w:r>
        <w:rPr>
          <w:rFonts w:hint="eastAsia" w:ascii="宋体" w:hAnsi="宋体" w:cs="宋体"/>
        </w:rPr>
        <w:t xml:space="preserve">附件九、供应商类似业绩情况表</w:t>
      </w:r>
      <w:bookmarkEnd w:id="157"/>
      <w:r/>
      <w:bookmarkEnd w:id="158"/>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rPr>
          <w:rFonts w:ascii="宋体" w:hAnsi="宋体" w:cs="宋体"/>
          <w:b/>
          <w:sz w:val="32"/>
          <w:szCs w:val="32"/>
        </w:rPr>
      </w:pPr>
      <w:r/>
      <w:bookmarkStart w:id="159" w:name="_Hlk68084071"/>
      <w:r>
        <w:rPr>
          <w:rFonts w:hint="eastAsia" w:ascii="宋体" w:hAnsi="宋体" w:cs="宋体"/>
          <w:b/>
          <w:sz w:val="32"/>
          <w:szCs w:val="32"/>
        </w:rPr>
        <w:t xml:space="preserve">供应商类似业绩情况表</w:t>
      </w:r>
      <w:r/>
    </w:p>
    <w:p>
      <w:pPr>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231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项目名称</w:t>
            </w:r>
            <w:r/>
          </w:p>
        </w:tc>
        <w:tc>
          <w:tcPr>
            <w:tcW w:w="225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采购单位</w:t>
            </w:r>
            <w:r/>
          </w:p>
        </w:tc>
        <w:tc>
          <w:tcPr>
            <w:tcW w:w="12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合同</w:t>
            </w:r>
            <w:r/>
          </w:p>
          <w:p>
            <w:pPr>
              <w:jc w:val="center"/>
              <w:spacing w:line="360" w:lineRule="auto"/>
              <w:rPr>
                <w:rFonts w:ascii="宋体" w:hAnsi="宋体" w:cs="宋体"/>
                <w:b/>
                <w:bCs/>
                <w:szCs w:val="21"/>
              </w:rPr>
            </w:pPr>
            <w:r>
              <w:rPr>
                <w:rFonts w:hint="eastAsia" w:ascii="宋体" w:hAnsi="宋体" w:cs="宋体"/>
                <w:b/>
                <w:bCs/>
                <w:szCs w:val="21"/>
              </w:rPr>
              <w:t xml:space="preserve">金额</w:t>
            </w:r>
            <w:r/>
          </w:p>
        </w:tc>
        <w:tc>
          <w:tcPr>
            <w:tcW w:w="1418" w:type="dxa"/>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合同签订</w:t>
            </w:r>
            <w:r/>
          </w:p>
          <w:p>
            <w:pPr>
              <w:jc w:val="center"/>
              <w:spacing w:line="360" w:lineRule="auto"/>
              <w:rPr>
                <w:rFonts w:ascii="宋体" w:hAnsi="宋体" w:cs="宋体"/>
                <w:b/>
                <w:bCs/>
                <w:szCs w:val="21"/>
              </w:rPr>
            </w:pPr>
            <w:r>
              <w:rPr>
                <w:rFonts w:hint="eastAsia" w:ascii="宋体" w:hAnsi="宋体" w:cs="宋体"/>
                <w:b/>
                <w:bCs/>
                <w:szCs w:val="21"/>
              </w:rPr>
              <w:t xml:space="preserve">时间</w:t>
            </w:r>
            <w:r/>
          </w:p>
        </w:tc>
        <w:tc>
          <w:tcPr>
            <w:tcW w:w="1134" w:type="dxa"/>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联系人及电话</w:t>
            </w:r>
            <w:r/>
          </w:p>
        </w:tc>
        <w:tc>
          <w:tcPr>
            <w:tcW w:w="96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jc w:val="center"/>
        </w:trPr>
        <w:tc>
          <w:tcPr>
            <w:tcW w:w="733"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310"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257" w:type="dxa"/>
            <w:textDirection w:val="lrTb"/>
            <w:noWrap w:val="false"/>
          </w:tcPr>
          <w:p>
            <w:pPr>
              <w:ind w:firstLine="105"/>
              <w:spacing w:line="360" w:lineRule="auto"/>
              <w:rPr>
                <w:rFonts w:ascii="宋体" w:hAnsi="宋体" w:cs="宋体"/>
                <w:szCs w:val="21"/>
              </w:rPr>
            </w:pPr>
            <w:r>
              <w:rPr>
                <w:rFonts w:ascii="宋体" w:hAnsi="宋体" w:cs="宋体"/>
                <w:szCs w:val="21"/>
              </w:rPr>
            </w:r>
            <w:r/>
          </w:p>
        </w:tc>
        <w:tc>
          <w:tcPr>
            <w:tcW w:w="1255"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969"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Pr>
        <w:tc>
          <w:tcPr>
            <w:tcW w:w="733"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310"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25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255"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969"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Pr>
        <w:tc>
          <w:tcPr>
            <w:tcW w:w="733"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310"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25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255"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969"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Pr>
        <w:tc>
          <w:tcPr>
            <w:tcW w:w="733"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310"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25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255"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969"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Pr>
        <w:tc>
          <w:tcPr>
            <w:tcW w:w="733"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310"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25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255"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969"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Pr>
        <w:tc>
          <w:tcPr>
            <w:tcW w:w="733"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310"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25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255"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969" w:type="dxa"/>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szCs w:val="21"/>
        </w:rPr>
      </w:pPr>
      <w:r/>
      <w:bookmarkStart w:id="160" w:name="_Hlk66806548"/>
      <w:r/>
      <w:r/>
    </w:p>
    <w:p>
      <w:pPr>
        <w:spacing w:line="360" w:lineRule="auto"/>
        <w:rPr>
          <w:rFonts w:ascii="宋体" w:hAnsi="宋体" w:cs="宋体"/>
          <w:b/>
          <w:szCs w:val="21"/>
        </w:rPr>
      </w:pPr>
      <w:r>
        <w:rPr>
          <w:rFonts w:hint="eastAsia" w:ascii="宋体" w:hAnsi="宋体" w:cs="宋体"/>
          <w:b/>
          <w:szCs w:val="21"/>
        </w:rPr>
        <w:t xml:space="preserve">说明：供应商如实填写业绩情况表，并根据竞争性磋商文件要求附业绩证明材料。</w:t>
      </w:r>
      <w:bookmarkEnd w:id="159"/>
      <w:r/>
      <w:bookmarkEnd w:id="160"/>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p>
    <w:p>
      <w:pPr>
        <w:spacing w:line="360" w:lineRule="auto"/>
        <w:widowControl/>
        <w:rPr>
          <w:rFonts w:ascii="宋体" w:hAnsi="宋体" w:cs="宋体"/>
          <w:b/>
          <w:bCs/>
          <w:szCs w:val="21"/>
        </w:rPr>
      </w:pPr>
      <w:r>
        <w:rPr>
          <w:rFonts w:ascii="宋体" w:hAnsi="宋体" w:cs="宋体"/>
          <w:b/>
          <w:bCs/>
          <w:szCs w:val="21"/>
        </w:rPr>
      </w:r>
      <w:r/>
    </w:p>
    <w:p>
      <w:pPr>
        <w:spacing w:line="360" w:lineRule="auto"/>
        <w:rPr>
          <w:rFonts w:ascii="宋体" w:hAnsi="宋体" w:cs="宋体"/>
          <w:szCs w:val="21"/>
        </w:rPr>
      </w:pPr>
      <w:r>
        <w:rPr>
          <w:rFonts w:hint="eastAsia" w:ascii="宋体" w:hAnsi="宋体" w:cs="宋体"/>
          <w:szCs w:val="21"/>
        </w:rPr>
        <w:br w:type="page" w:clear="all"/>
      </w:r>
      <w:r/>
    </w:p>
    <w:p>
      <w:pPr>
        <w:pStyle w:val="980"/>
        <w:numPr>
          <w:ilvl w:val="0"/>
          <w:numId w:val="0"/>
        </w:numPr>
        <w:rPr>
          <w:rFonts w:ascii="宋体" w:hAnsi="宋体" w:cs="宋体"/>
        </w:rPr>
      </w:pPr>
      <w:r/>
      <w:bookmarkStart w:id="161" w:name="_Toc43917780"/>
      <w:r/>
      <w:bookmarkStart w:id="162" w:name="_Toc43994943"/>
      <w:r>
        <w:rPr>
          <w:rFonts w:hint="eastAsia" w:ascii="宋体" w:hAnsi="宋体" w:cs="宋体"/>
        </w:rPr>
        <w:t xml:space="preserve">附件十、企业声明函格式</w:t>
      </w:r>
      <w:bookmarkEnd w:id="161"/>
      <w:r/>
      <w:bookmarkEnd w:id="162"/>
      <w:r/>
      <w:r/>
    </w:p>
    <w:p>
      <w:pPr>
        <w:jc w:val="center"/>
        <w:spacing w:line="360" w:lineRule="auto"/>
        <w:rPr>
          <w:rFonts w:ascii="宋体" w:hAnsi="宋体" w:cs="宋体"/>
          <w:b/>
          <w:bCs/>
          <w:sz w:val="28"/>
          <w:szCs w:val="28"/>
        </w:rPr>
      </w:pPr>
      <w:r/>
      <w:bookmarkStart w:id="163" w:name="_Hlk83376788"/>
      <w:r/>
      <w:bookmarkStart w:id="164" w:name="OLE_LINK14"/>
      <w:r/>
      <w:bookmarkStart w:id="165" w:name="OLE_LINK13"/>
      <w:r>
        <w:rPr>
          <w:rFonts w:hint="eastAsia" w:ascii="宋体" w:hAnsi="宋体" w:cs="宋体"/>
          <w:b/>
          <w:bCs/>
          <w:sz w:val="28"/>
          <w:szCs w:val="28"/>
        </w:rPr>
        <w:t xml:space="preserve">中小企业声明函</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 企业发展管理办法》（财库〔2020 ） 46号）的规定，本公司 （联合体）参加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bCs/>
          <w:szCs w:val="21"/>
          <w:u w:val="single"/>
        </w:rPr>
        <w:t xml:space="preserve">软件和信息技术服务业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w:t>
      </w:r>
      <w:bookmarkStart w:id="166" w:name="_Hlk223532627"/>
      <w:r>
        <w:rPr>
          <w:rFonts w:hint="eastAsia" w:ascii="宋体" w:hAnsi="宋体" w:cs="宋体"/>
          <w:szCs w:val="21"/>
        </w:rPr>
        <w:t xml:space="preserve">¨中型企业 ¨小型企业 ¨微型企业</w:t>
      </w:r>
      <w:bookmarkEnd w:id="166"/>
      <w:r>
        <w:rPr>
          <w:rFonts w:hint="eastAsia" w:ascii="宋体" w:hAnsi="宋体" w:cs="宋体"/>
          <w:u w:val="single"/>
        </w:rPr>
        <w:t xml:space="preserve">）</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bCs/>
          <w:szCs w:val="21"/>
          <w:u w:val="single"/>
        </w:rPr>
        <w:t xml:space="preserve">软件和信息技术服务业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w:t>
      </w:r>
      <w:r>
        <w:rPr>
          <w:rFonts w:hint="eastAsia" w:ascii="宋体" w:hAnsi="宋体" w:cs="宋体"/>
          <w:szCs w:val="21"/>
        </w:rPr>
        <w:t xml:space="preserve">¨中型企业 ¨小型企业 ¨微型企业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right="840" w:firstLine="4200"/>
        <w:spacing w:line="440" w:lineRule="exact"/>
        <w:widowControl/>
        <w:rPr>
          <w:rFonts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p>
    <w:p>
      <w:pPr>
        <w:jc w:val="center"/>
        <w:spacing w:line="360" w:lineRule="auto"/>
        <w:rPr>
          <w:rFonts w:ascii="宋体" w:hAnsi="宋体" w:cs="宋体"/>
          <w:b/>
          <w:bCs/>
          <w:sz w:val="28"/>
          <w:szCs w:val="28"/>
        </w:rPr>
      </w:pPr>
      <w:r>
        <w:rPr>
          <w:rFonts w:hint="eastAsia" w:ascii="宋体" w:hAnsi="宋体" w:cs="宋体"/>
        </w:rPr>
        <w:t xml:space="preserve">日期：</w:t>
      </w:r>
      <w:r/>
    </w:p>
    <w:p>
      <w:pPr>
        <w:jc w:val="center"/>
        <w:spacing w:line="360" w:lineRule="auto"/>
        <w:rPr>
          <w:rFonts w:ascii="宋体" w:hAnsi="宋体" w:cs="宋体"/>
          <w:b/>
          <w:bCs/>
          <w:sz w:val="28"/>
          <w:szCs w:val="28"/>
        </w:rPr>
      </w:pPr>
      <w:r>
        <w:rPr>
          <w:rFonts w:ascii="宋体" w:hAnsi="宋体" w:cs="宋体"/>
          <w:b/>
          <w:bCs/>
          <w:sz w:val="28"/>
          <w:szCs w:val="28"/>
        </w:rPr>
      </w:r>
      <w:r/>
    </w:p>
    <w:p>
      <w:pPr>
        <w:ind w:firstLine="422"/>
        <w:jc w:val="left"/>
        <w:spacing w:line="440" w:lineRule="exact"/>
        <w:widowControl/>
        <w:rPr>
          <w:rFonts w:ascii="宋体" w:hAnsi="宋体" w:cs="宋体"/>
          <w:b/>
          <w:bCs/>
        </w:rPr>
      </w:pPr>
      <w:r/>
      <w:bookmarkStart w:id="167" w:name="_Hlk223532636"/>
      <w:r>
        <w:rPr>
          <w:rFonts w:hint="eastAsia" w:ascii="宋体" w:hAnsi="宋体" w:cs="宋体"/>
          <w:b/>
          <w:bCs/>
        </w:rPr>
        <w:t xml:space="preserve">备注：1.供应商在所属企业类型前的</w:t>
      </w:r>
      <w:r>
        <w:rPr>
          <w:rFonts w:hint="eastAsia" w:ascii="宋体" w:hAnsi="宋体" w:cs="宋体"/>
          <w:b/>
          <w:bCs/>
          <w:szCs w:val="21"/>
        </w:rPr>
        <w:t xml:space="preserve">¨</w:t>
      </w:r>
      <w:r>
        <w:rPr>
          <w:rFonts w:hint="eastAsia" w:ascii="宋体" w:hAnsi="宋体" w:cs="宋体"/>
          <w:b/>
          <w:bCs/>
        </w:rPr>
        <w:t xml:space="preserve">内打“√”。</w:t>
      </w:r>
      <w:r/>
    </w:p>
    <w:p>
      <w:pPr>
        <w:ind w:firstLine="1054"/>
        <w:jc w:val="left"/>
        <w:spacing w:line="440" w:lineRule="exact"/>
        <w:widowControl/>
        <w:rPr>
          <w:rFonts w:ascii="宋体" w:hAnsi="宋体" w:cs="宋体"/>
          <w:b/>
          <w:bCs/>
        </w:rPr>
      </w:pPr>
      <w:r>
        <w:rPr>
          <w:rFonts w:hint="eastAsia" w:ascii="宋体" w:hAnsi="宋体" w:cs="宋体"/>
          <w:b/>
          <w:bCs/>
        </w:rPr>
        <w:t xml:space="preserve">2.</w:t>
      </w:r>
      <w:bookmarkStart w:id="168" w:name="OLE_LINK59"/>
      <w:r>
        <w:rPr>
          <w:rFonts w:hint="eastAsia" w:ascii="宋体" w:hAnsi="宋体" w:cs="宋体"/>
          <w:b/>
          <w:bCs/>
        </w:rPr>
        <w:t xml:space="preserve">“中小企业划型标准”详见《关于印发中小企业划型标准规定的通知》工信部联企业〔2011〕300号及《国家统计局关于印发&lt;统计上大中小微型企业划分办法（2017）&gt;的通知》国统字〔2017〕213号）</w:t>
      </w:r>
      <w:bookmarkEnd w:id="167"/>
      <w:r/>
      <w:bookmarkEnd w:id="168"/>
      <w:r/>
      <w:r/>
    </w:p>
    <w:p>
      <w:pPr>
        <w:jc w:val="center"/>
        <w:spacing w:line="360" w:lineRule="auto"/>
        <w:rPr>
          <w:rFonts w:ascii="宋体" w:hAnsi="宋体" w:cs="宋体"/>
          <w:b/>
          <w:bCs/>
          <w:sz w:val="28"/>
          <w:szCs w:val="28"/>
        </w:rPr>
      </w:pPr>
      <w:r>
        <w:rPr>
          <w:rFonts w:ascii="宋体" w:hAnsi="宋体" w:cs="宋体"/>
          <w:b/>
          <w:bCs/>
          <w:sz w:val="28"/>
          <w:szCs w:val="28"/>
        </w:rPr>
      </w:r>
      <w:bookmarkEnd w:id="163"/>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 w:val="32"/>
          <w:szCs w:val="32"/>
        </w:rPr>
      </w:pPr>
      <w:r>
        <w:rPr>
          <w:rFonts w:hint="eastAsia" w:ascii="宋体" w:hAnsi="宋体" w:cs="宋体"/>
          <w:b/>
          <w:bCs/>
          <w:sz w:val="32"/>
          <w:szCs w:val="32"/>
        </w:rPr>
        <w:t xml:space="preserve">残疾人福利性单位声明函</w:t>
      </w:r>
      <w:bookmarkEnd w:id="164"/>
      <w:r/>
      <w:bookmarkEnd w:id="165"/>
      <w:r/>
      <w:r/>
    </w:p>
    <w:p>
      <w:pPr>
        <w:ind w:firstLine="420"/>
        <w:jc w:val="center"/>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center"/>
        <w:spacing w:line="440" w:lineRule="exact"/>
        <w:widowControl/>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jc w:val="center"/>
        <w:spacing w:line="440" w:lineRule="exact"/>
        <w:widowControl/>
        <w:rPr>
          <w:rFonts w:ascii="宋体" w:hAnsi="宋体" w:cs="宋体"/>
          <w:szCs w:val="21"/>
        </w:rPr>
      </w:pPr>
      <w:r>
        <w:rPr>
          <w:rFonts w:hint="eastAsia" w:ascii="宋体" w:hAnsi="宋体" w:cs="宋体"/>
          <w:szCs w:val="21"/>
        </w:rPr>
        <w:t xml:space="preserve">                               日  期：</w:t>
      </w:r>
      <w:r/>
    </w:p>
    <w:p>
      <w:pPr>
        <w:jc w:val="cente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 w:val="32"/>
          <w:szCs w:val="32"/>
        </w:rPr>
      </w:pPr>
      <w:r>
        <w:rPr>
          <w:rFonts w:hint="eastAsia" w:ascii="宋体" w:hAnsi="宋体" w:cs="宋体"/>
          <w:b/>
          <w:bCs/>
          <w:sz w:val="32"/>
          <w:szCs w:val="32"/>
        </w:rPr>
        <w:t xml:space="preserve">属于监狱企业的证明文件</w:t>
      </w:r>
      <w:r/>
    </w:p>
    <w:p>
      <w:pPr>
        <w:jc w:val="center"/>
        <w:spacing w:line="360" w:lineRule="auto"/>
        <w:rPr>
          <w:rFonts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rPr>
          <w:rFonts w:ascii="宋体" w:hAnsi="宋体" w:cs="宋体"/>
          <w:b/>
          <w:bCs/>
          <w:szCs w:val="21"/>
        </w:rPr>
      </w:pPr>
      <w:r>
        <w:rPr>
          <w:rFonts w:hint="eastAsia" w:ascii="宋体" w:hAnsi="宋体" w:cs="宋体"/>
          <w:b/>
          <w:bCs/>
          <w:szCs w:val="21"/>
        </w:rPr>
        <w:br w:type="page" w:clear="all"/>
      </w:r>
      <w:r/>
    </w:p>
    <w:p>
      <w:pPr>
        <w:pStyle w:val="980"/>
        <w:numPr>
          <w:ilvl w:val="0"/>
          <w:numId w:val="0"/>
        </w:numPr>
        <w:rPr>
          <w:rFonts w:ascii="宋体" w:hAnsi="宋体" w:cs="宋体"/>
        </w:rPr>
      </w:pPr>
      <w:r/>
      <w:bookmarkStart w:id="169" w:name="_Toc43994944"/>
      <w:r/>
      <w:bookmarkStart w:id="170" w:name="_Toc43917781"/>
      <w:r>
        <w:rPr>
          <w:rFonts w:hint="eastAsia" w:ascii="宋体" w:hAnsi="宋体" w:cs="宋体"/>
        </w:rPr>
        <w:t xml:space="preserve">附件十一、无重大违法记录声明格式</w:t>
      </w:r>
      <w:bookmarkEnd w:id="169"/>
      <w:r/>
      <w:bookmarkEnd w:id="170"/>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bCs/>
          <w:szCs w:val="21"/>
        </w:rPr>
        <w:t xml:space="preserve">南京市应急管理局</w:t>
      </w:r>
      <w:r/>
    </w:p>
    <w:p>
      <w:pPr>
        <w:ind w:firstLine="420"/>
        <w:spacing w:line="360" w:lineRule="auto"/>
        <w:rPr>
          <w:rFonts w:ascii="宋体" w:hAnsi="宋体" w:cs="宋体"/>
          <w:szCs w:val="21"/>
        </w:rPr>
      </w:pPr>
      <w:r>
        <w:rPr>
          <w:rFonts w:hint="eastAsia" w:ascii="宋体" w:hAnsi="宋体" w:cs="宋体"/>
          <w:szCs w:val="21"/>
        </w:rPr>
        <w:t xml:space="preserve">江苏国采工程咨询有限公司</w:t>
      </w:r>
      <w:r/>
    </w:p>
    <w:p>
      <w:pPr>
        <w:ind w:firstLine="420"/>
        <w:spacing w:line="360" w:lineRule="auto"/>
        <w:rPr>
          <w:rFonts w:ascii="宋体" w:hAnsi="宋体" w:cs="宋体"/>
          <w:szCs w:val="21"/>
        </w:rPr>
      </w:pPr>
      <w:r>
        <w:rPr>
          <w:rFonts w:hint="eastAsia" w:ascii="宋体" w:hAnsi="宋体" w:cs="宋体"/>
          <w:szCs w:val="21"/>
        </w:rPr>
        <w:t xml:space="preserve">我单位（供应商名称）郑重声明：</w:t>
      </w:r>
      <w:r/>
    </w:p>
    <w:p>
      <w:pPr>
        <w:ind w:firstLine="420"/>
        <w:spacing w:line="360" w:lineRule="auto"/>
        <w:rPr>
          <w:rFonts w:ascii="宋体" w:hAnsi="宋体" w:cs="宋体"/>
          <w:szCs w:val="21"/>
        </w:rPr>
      </w:pPr>
      <w:r>
        <w:rPr>
          <w:rFonts w:hint="eastAsia" w:ascii="宋体" w:hAnsi="宋体" w:cs="宋体"/>
          <w:szCs w:val="21"/>
        </w:rPr>
        <w:t xml:space="preserve">参加政府采购活动前3年内在经营活动中</w:t>
      </w:r>
      <w:r>
        <w:rPr>
          <w:rFonts w:hint="eastAsia" w:ascii="宋体" w:hAnsi="宋体" w:cs="宋体"/>
          <w:szCs w:val="21"/>
          <w:u w:val="single"/>
        </w:rPr>
        <w:t xml:space="preserve">         </w:t>
      </w:r>
      <w:r>
        <w:rPr>
          <w:rFonts w:hint="eastAsia" w:ascii="宋体" w:hAnsi="宋体" w:cs="宋体"/>
          <w:szCs w:val="21"/>
        </w:rPr>
        <w:t xml:space="preserve">（在下划线上如实填写：有或没有）重大违法记录。</w:t>
      </w:r>
      <w:r/>
    </w:p>
    <w:p>
      <w:pPr>
        <w:ind w:firstLine="315"/>
        <w:spacing w:line="360" w:lineRule="auto"/>
        <w:rPr>
          <w:rFonts w:ascii="宋体" w:hAnsi="宋体" w:cs="宋体"/>
          <w:szCs w:val="21"/>
        </w:rPr>
      </w:pPr>
      <w:r>
        <w:rPr>
          <w:rFonts w:hint="eastAsia" w:ascii="宋体" w:hAnsi="宋体" w:cs="宋体"/>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103"/>
        <w:spacing w:line="360" w:lineRule="auto"/>
        <w:rPr>
          <w:rFonts w:ascii="宋体" w:hAnsi="宋体" w:cs="宋体"/>
          <w:szCs w:val="21"/>
        </w:rPr>
      </w:pPr>
      <w:r>
        <w:rPr>
          <w:rFonts w:hint="eastAsia" w:ascii="宋体" w:hAnsi="宋体" w:cs="宋体"/>
          <w:szCs w:val="21"/>
        </w:rPr>
        <w:t xml:space="preserve">声明人： （</w:t>
      </w:r>
      <w:r>
        <w:rPr>
          <w:rFonts w:hint="eastAsia" w:ascii="宋体" w:hAnsi="宋体" w:cs="宋体"/>
          <w:szCs w:val="21"/>
        </w:rPr>
        <w:t xml:space="preserve">加盖电子公章</w:t>
      </w:r>
      <w:r>
        <w:rPr>
          <w:rFonts w:hint="eastAsia" w:ascii="宋体" w:hAnsi="宋体" w:cs="宋体"/>
          <w:szCs w:val="21"/>
        </w:rPr>
        <w:t xml:space="preserve">）</w:t>
      </w:r>
      <w:r/>
    </w:p>
    <w:p>
      <w:pPr>
        <w:ind w:firstLine="5040"/>
        <w:spacing w:line="360" w:lineRule="auto"/>
        <w:rPr>
          <w:rFonts w:ascii="宋体" w:hAnsi="宋体" w:cs="宋体"/>
          <w:szCs w:val="21"/>
          <w:lang w:val="zh-CN"/>
        </w:rPr>
      </w:pPr>
      <w:r>
        <w:rPr>
          <w:rFonts w:hint="eastAsia" w:ascii="宋体" w:hAnsi="宋体" w:cs="宋体"/>
          <w:szCs w:val="21"/>
          <w:lang w:val="zh-CN"/>
        </w:rPr>
        <w:t xml:space="preserve">日  期：    年   月  日</w:t>
      </w:r>
      <w:r/>
    </w:p>
    <w:p>
      <w:pPr>
        <w:spacing w:line="360" w:lineRule="auto"/>
        <w:rPr>
          <w:rFonts w:ascii="宋体" w:hAnsi="宋体" w:cs="宋体"/>
          <w:szCs w:val="21"/>
          <w:lang w:val="zh-CN"/>
        </w:rPr>
      </w:pPr>
      <w:r>
        <w:rPr>
          <w:rFonts w:ascii="宋体" w:hAnsi="宋体" w:cs="宋体"/>
          <w:szCs w:val="21"/>
          <w:lang w:val="zh-CN"/>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ascii="宋体" w:hAnsi="宋体" w:cs="宋体"/>
          <w:b/>
        </w:rPr>
      </w:r>
      <w:r/>
    </w:p>
    <w:p>
      <w:pPr>
        <w:pStyle w:val="980"/>
        <w:numPr>
          <w:ilvl w:val="0"/>
          <w:numId w:val="0"/>
        </w:numPr>
        <w:rPr>
          <w:rFonts w:ascii="宋体" w:hAnsi="宋体" w:cs="宋体"/>
        </w:rPr>
      </w:pPr>
      <w:r/>
      <w:bookmarkStart w:id="171" w:name="_Hlk164774608"/>
      <w:r/>
      <w:bookmarkStart w:id="172" w:name="_Toc1487"/>
      <w:r/>
      <w:bookmarkStart w:id="173" w:name="_Hlk163404435"/>
      <w:r>
        <w:rPr>
          <w:rFonts w:hint="eastAsia" w:ascii="宋体" w:hAnsi="宋体" w:cs="宋体"/>
        </w:rPr>
        <w:t xml:space="preserve">附件十二、具有履行合同所必需的设备和专业技术能力的声明格式</w:t>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具有履行合同所必需的设备和专业技术能力的声明</w:t>
      </w:r>
      <w:r/>
    </w:p>
    <w:p>
      <w:pPr>
        <w:spacing w:line="360" w:lineRule="auto"/>
        <w:rPr>
          <w:rFonts w:ascii="宋体" w:hAnsi="宋体" w:cs="宋体"/>
        </w:rPr>
      </w:pPr>
      <w:r/>
      <w:bookmarkStart w:id="174" w:name="_Hlk164774601"/>
      <w:r/>
      <w:r/>
    </w:p>
    <w:p>
      <w:pPr>
        <w:spacing w:line="360" w:lineRule="auto"/>
        <w:rPr>
          <w:rFonts w:ascii="宋体" w:hAnsi="宋体" w:cs="宋体"/>
        </w:rPr>
      </w:pPr>
      <w:r>
        <w:rPr>
          <w:rFonts w:hint="eastAsia" w:ascii="宋体" w:hAnsi="宋体" w:cs="宋体"/>
        </w:rPr>
        <w:t xml:space="preserve">致：</w:t>
      </w:r>
      <w:r>
        <w:rPr>
          <w:rFonts w:hint="eastAsia" w:ascii="宋体" w:hAnsi="宋体" w:cs="宋体"/>
          <w:bCs/>
          <w:szCs w:val="21"/>
        </w:rPr>
        <w:t xml:space="preserve">南京市应急管理局</w:t>
      </w:r>
      <w:r/>
    </w:p>
    <w:p>
      <w:pPr>
        <w:spacing w:line="360" w:lineRule="auto"/>
        <w:rPr>
          <w:rFonts w:ascii="宋体" w:hAnsi="宋体" w:cs="宋体"/>
        </w:rPr>
      </w:pPr>
      <w:r>
        <w:rPr>
          <w:rFonts w:hint="eastAsia" w:ascii="宋体" w:hAnsi="宋体" w:cs="宋体"/>
          <w:shd w:val="clear" w:color="auto" w:fill="ffffff"/>
          <w:lang w:val="zh-CN"/>
        </w:rPr>
        <w:t xml:space="preserve">    江苏国采工程咨询有限公司</w:t>
      </w:r>
      <w:r/>
    </w:p>
    <w:p>
      <w:pPr>
        <w:ind w:firstLine="420"/>
        <w:spacing w:line="360" w:lineRule="auto"/>
        <w:rPr>
          <w:rFonts w:ascii="宋体" w:hAnsi="宋体" w:cs="宋体"/>
          <w:szCs w:val="21"/>
        </w:rPr>
      </w:pPr>
      <w:r>
        <w:rPr>
          <w:rFonts w:hint="eastAsia" w:ascii="宋体" w:hAnsi="宋体" w:cs="宋体"/>
          <w:szCs w:val="21"/>
        </w:rPr>
        <w:t xml:space="preserve">我单位（供应商名称）郑重声明：</w:t>
      </w:r>
      <w:r/>
    </w:p>
    <w:p>
      <w:pPr>
        <w:ind w:firstLine="420"/>
        <w:spacing w:line="360" w:lineRule="auto"/>
        <w:rPr>
          <w:rFonts w:ascii="宋体" w:hAnsi="宋体" w:cs="宋体"/>
          <w:szCs w:val="21"/>
        </w:rPr>
      </w:pPr>
      <w:r>
        <w:rPr>
          <w:rFonts w:hint="eastAsia" w:ascii="宋体" w:hAnsi="宋体" w:cs="宋体"/>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。（材料附后）</w:t>
      </w:r>
      <w:r/>
    </w:p>
    <w:p>
      <w:pPr>
        <w:ind w:firstLine="420"/>
        <w:spacing w:line="360" w:lineRule="auto"/>
        <w:rPr>
          <w:rFonts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。（材料附后）</w:t>
      </w:r>
      <w:bookmarkEnd w:id="171"/>
      <w:r/>
      <w:bookmarkEnd w:id="172"/>
      <w:r/>
      <w:r/>
    </w:p>
    <w:p>
      <w:pPr>
        <w:ind w:firstLine="420"/>
        <w:spacing w:line="360" w:lineRule="auto"/>
        <w:rPr>
          <w:rFonts w:ascii="宋体" w:hAnsi="宋体" w:cs="宋体"/>
          <w:szCs w:val="21"/>
        </w:rPr>
      </w:pPr>
      <w:r>
        <w:rPr>
          <w:rFonts w:ascii="宋体" w:hAnsi="宋体" w:cs="宋体"/>
          <w:szCs w:val="21"/>
        </w:rPr>
      </w:r>
      <w:bookmarkEnd w:id="174"/>
      <w:r/>
      <w:r/>
    </w:p>
    <w:p>
      <w:pPr>
        <w:ind w:left="6300"/>
        <w:jc w:val="left"/>
        <w:spacing w:line="360" w:lineRule="auto"/>
        <w:rPr>
          <w:rFonts w:ascii="宋体" w:hAnsi="宋体" w:cs="宋体"/>
          <w:szCs w:val="21"/>
        </w:rPr>
      </w:pPr>
      <w:r>
        <w:rPr>
          <w:rFonts w:hint="eastAsia" w:ascii="宋体" w:hAnsi="宋体" w:cs="宋体"/>
          <w:szCs w:val="21"/>
        </w:rPr>
        <w:t xml:space="preserve">声明人（</w:t>
      </w:r>
      <w:r>
        <w:rPr>
          <w:rFonts w:hint="eastAsia" w:ascii="宋体" w:hAnsi="宋体" w:cs="宋体"/>
          <w:szCs w:val="21"/>
        </w:rPr>
        <w:t xml:space="preserve">加盖电子公章</w:t>
      </w:r>
      <w:r>
        <w:rPr>
          <w:rFonts w:hint="eastAsia" w:ascii="宋体" w:hAnsi="宋体" w:cs="宋体"/>
          <w:szCs w:val="21"/>
        </w:rPr>
        <w:t xml:space="preserve">）：</w:t>
      </w:r>
      <w:r/>
    </w:p>
    <w:p>
      <w:pPr>
        <w:ind w:left="6300"/>
        <w:jc w:val="left"/>
        <w:spacing w:line="360" w:lineRule="auto"/>
        <w:rPr>
          <w:rFonts w:ascii="宋体" w:hAnsi="宋体" w:cs="宋体"/>
          <w:szCs w:val="21"/>
        </w:rPr>
      </w:pPr>
      <w:r>
        <w:rPr>
          <w:rFonts w:hint="eastAsia" w:ascii="宋体" w:hAnsi="宋体" w:cs="宋体"/>
          <w:szCs w:val="21"/>
        </w:rPr>
        <w:t xml:space="preserve">日  期：  年  月  日</w:t>
      </w:r>
      <w:bookmarkEnd w:id="173"/>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bookmarkEnd w:id="110"/>
      <w:r/>
      <w:r/>
    </w:p>
    <w:p>
      <w:pPr>
        <w:spacing w:line="360" w:lineRule="auto"/>
        <w:rPr>
          <w:rFonts w:ascii="宋体" w:hAnsi="宋体" w:cs="宋体"/>
          <w:b/>
        </w:rPr>
      </w:pPr>
      <w:r>
        <w:rPr>
          <w:rFonts w:ascii="宋体" w:hAnsi="宋体" w:cs="宋体"/>
          <w:b/>
        </w:rPr>
      </w:r>
      <w:r/>
    </w:p>
    <w:sectPr>
      <w:headerReference w:type="default" r:id="rId11"/>
      <w:headerReference w:type="first" r:id="rId12"/>
      <w:footerReference w:type="default" r:id="rId14"/>
      <w:footnotePr/>
      <w:endnotePr/>
      <w:type w:val="nextPage"/>
      <w:pgSz w:w="11906" w:h="16838" w:orient="portrait"/>
      <w:pgMar w:top="1134" w:right="1134" w:bottom="1134" w:left="1134"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100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1008"/>
          <w:jc w:val="center"/>
        </w:pPr>
        <w:r>
          <w:fldChar w:fldCharType="begin"/>
        </w:r>
        <w:r>
          <w:instrText xml:space="preserve">PAGE   \* MERGEFORMAT</w:instrText>
        </w:r>
        <w:r>
          <w:fldChar w:fldCharType="separate"/>
        </w:r>
        <w:r>
          <w:rPr>
            <w:lang w:val="zh-CN"/>
          </w:rPr>
          <w:t xml:space="preserve">40</w:t>
        </w:r>
        <w:r>
          <w:fldChar w:fldCharType="end"/>
        </w:r>
        <w:r/>
      </w:p>
    </w:sdtContent>
  </w:sdt>
  <w:p>
    <w:pPr>
      <w:pStyle w:val="10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19050</wp:posOffset>
              </wp:positionH>
              <wp:positionV relativeFrom="paragraph">
                <wp:posOffset>-146685</wp:posOffset>
              </wp:positionV>
              <wp:extent cx="326390" cy="259080"/>
              <wp:effectExtent l="0" t="0" r="889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388620</wp:posOffset>
              </wp:positionH>
              <wp:positionV relativeFrom="paragraph">
                <wp:posOffset>-137160</wp:posOffset>
              </wp:positionV>
              <wp:extent cx="2110105" cy="299085"/>
              <wp:effectExtent l="0" t="0" r="8255" b="5715"/>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635</wp:posOffset>
              </wp:positionH>
              <wp:positionV relativeFrom="paragraph">
                <wp:posOffset>-139065</wp:posOffset>
              </wp:positionV>
              <wp:extent cx="331470" cy="247650"/>
              <wp:effectExtent l="0" t="0" r="3810" b="1143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C:\Users\Administrator\Desktop\eb0d.png"/>
                      <pic:cNvPicPr>
                        <a:picLocks noChangeAspect="1"/>
                      </pic:cNvPicPr>
                      <pic:nvPr/>
                    </pic:nvPicPr>
                    <pic:blipFill>
                      <a:blip r:embed="rId1"/>
                      <a:srcRect l="38461" t="15534" r="37413" b="34950"/>
                      <a:stretch/>
                    </pic:blipFill>
                    <pic:spPr bwMode="auto">
                      <a:xfrm>
                        <a:off x="0" y="0"/>
                        <a:ext cx="33147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6432;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343535</wp:posOffset>
              </wp:positionH>
              <wp:positionV relativeFrom="paragraph">
                <wp:posOffset>-146050</wp:posOffset>
              </wp:positionV>
              <wp:extent cx="2110105" cy="299085"/>
              <wp:effectExtent l="0" t="0" r="8255" b="5715"/>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540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5"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6"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7"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8"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79"/>
      <w:isLgl w:val="false"/>
      <w:suff w:val="nothing"/>
      <w:lvlText w:val="第%1章"/>
      <w:lvlJc w:val="left"/>
      <w:pPr>
        <w:ind w:left="1276" w:firstLine="0"/>
      </w:pPr>
    </w:lvl>
    <w:lvl w:ilvl="1">
      <w:start w:val="1"/>
      <w:numFmt w:val="none"/>
      <w:pStyle w:val="980"/>
      <w:isLgl w:val="false"/>
      <w:suff w:val="nothing"/>
      <w:lvlText w:val=""/>
      <w:lvlJc w:val="left"/>
      <w:pPr>
        <w:ind w:left="709" w:firstLine="0"/>
      </w:pPr>
    </w:lvl>
    <w:lvl w:ilvl="2">
      <w:start w:val="1"/>
      <w:numFmt w:val="none"/>
      <w:pStyle w:val="981"/>
      <w:isLgl w:val="false"/>
      <w:suff w:val="nothing"/>
      <w:lvlText w:val=""/>
      <w:lvlJc w:val="left"/>
      <w:pPr>
        <w:ind w:left="709" w:firstLine="0"/>
      </w:pPr>
    </w:lvl>
    <w:lvl w:ilvl="3">
      <w:start w:val="1"/>
      <w:numFmt w:val="none"/>
      <w:pStyle w:val="982"/>
      <w:isLgl w:val="false"/>
      <w:suff w:val="nothing"/>
      <w:lvlText w:val=""/>
      <w:lvlJc w:val="left"/>
      <w:pPr>
        <w:ind w:left="709" w:firstLine="0"/>
      </w:pPr>
    </w:lvl>
    <w:lvl w:ilvl="4">
      <w:start w:val="1"/>
      <w:numFmt w:val="none"/>
      <w:pStyle w:val="983"/>
      <w:isLgl w:val="false"/>
      <w:suff w:val="nothing"/>
      <w:lvlText w:val=""/>
      <w:lvlJc w:val="left"/>
      <w:pPr>
        <w:ind w:left="709" w:firstLine="0"/>
      </w:pPr>
    </w:lvl>
    <w:lvl w:ilvl="5">
      <w:start w:val="1"/>
      <w:numFmt w:val="none"/>
      <w:pStyle w:val="984"/>
      <w:isLgl w:val="false"/>
      <w:suff w:val="nothing"/>
      <w:lvlText w:val=""/>
      <w:lvlJc w:val="left"/>
      <w:pPr>
        <w:ind w:left="709" w:firstLine="0"/>
      </w:pPr>
    </w:lvl>
    <w:lvl w:ilvl="6">
      <w:start w:val="1"/>
      <w:numFmt w:val="none"/>
      <w:pStyle w:val="985"/>
      <w:isLgl w:val="false"/>
      <w:suff w:val="nothing"/>
      <w:lvlText w:val=""/>
      <w:lvlJc w:val="left"/>
      <w:pPr>
        <w:ind w:left="709" w:firstLine="0"/>
      </w:pPr>
    </w:lvl>
    <w:lvl w:ilvl="7">
      <w:start w:val="1"/>
      <w:numFmt w:val="none"/>
      <w:pStyle w:val="986"/>
      <w:isLgl w:val="false"/>
      <w:suff w:val="nothing"/>
      <w:lvlText w:val=""/>
      <w:lvlJc w:val="left"/>
      <w:pPr>
        <w:ind w:left="709" w:firstLine="0"/>
      </w:pPr>
    </w:lvl>
    <w:lvl w:ilvl="8">
      <w:start w:val="1"/>
      <w:numFmt w:val="none"/>
      <w:pStyle w:val="987"/>
      <w:isLgl w:val="false"/>
      <w:suff w:val="nothing"/>
      <w:lvlText w:val=""/>
      <w:lvlJc w:val="left"/>
      <w:pPr>
        <w:ind w:left="709" w:firstLine="0"/>
      </w:pPr>
    </w:lvl>
  </w:abstractNum>
  <w:abstractNum w:abstractNumId="1">
    <w:multiLevelType w:val="hybridMultilevel"/>
    <w:lvl w:ilvl="0">
      <w:start w:val="1"/>
      <w:numFmt w:val="chineseCountingThousand"/>
      <w:pStyle w:val="105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71"/>
      <w:isLgl/>
      <w:suff w:val="tab"/>
      <w:lvlText w:val="%1.%2"/>
      <w:lvlJc w:val="left"/>
      <w:pPr>
        <w:ind w:left="425" w:hanging="425"/>
      </w:pPr>
      <w:rPr>
        <w:rFonts w:hint="eastAsia" w:ascii="Arial Unicode MS" w:hAnsi="Arial Unicode MS" w:eastAsia="微软雅黑"/>
        <w:b/>
        <w:i w:val="0"/>
      </w:rPr>
    </w:lvl>
    <w:lvl w:ilvl="2">
      <w:start w:val="1"/>
      <w:numFmt w:val="decimal"/>
      <w:pStyle w:val="108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6">
    <w:name w:val="Heading 1 Char"/>
    <w:basedOn w:val="988"/>
    <w:link w:val="979"/>
    <w:uiPriority w:val="9"/>
    <w:rPr>
      <w:rFonts w:ascii="Arial" w:hAnsi="Arial" w:eastAsia="Arial" w:cs="Arial"/>
      <w:sz w:val="40"/>
      <w:szCs w:val="40"/>
    </w:rPr>
  </w:style>
  <w:style w:type="character" w:styleId="827">
    <w:name w:val="Heading 2 Char"/>
    <w:basedOn w:val="988"/>
    <w:link w:val="980"/>
    <w:uiPriority w:val="9"/>
    <w:rPr>
      <w:rFonts w:ascii="Arial" w:hAnsi="Arial" w:eastAsia="Arial" w:cs="Arial"/>
      <w:sz w:val="34"/>
    </w:rPr>
  </w:style>
  <w:style w:type="character" w:styleId="828">
    <w:name w:val="Heading 3 Char"/>
    <w:basedOn w:val="988"/>
    <w:link w:val="981"/>
    <w:uiPriority w:val="9"/>
    <w:rPr>
      <w:rFonts w:ascii="Arial" w:hAnsi="Arial" w:eastAsia="Arial" w:cs="Arial"/>
      <w:sz w:val="30"/>
      <w:szCs w:val="30"/>
    </w:rPr>
  </w:style>
  <w:style w:type="character" w:styleId="829">
    <w:name w:val="Heading 4 Char"/>
    <w:basedOn w:val="988"/>
    <w:link w:val="982"/>
    <w:uiPriority w:val="9"/>
    <w:rPr>
      <w:rFonts w:ascii="Arial" w:hAnsi="Arial" w:eastAsia="Arial" w:cs="Arial"/>
      <w:b/>
      <w:bCs/>
      <w:sz w:val="26"/>
      <w:szCs w:val="26"/>
    </w:rPr>
  </w:style>
  <w:style w:type="character" w:styleId="830">
    <w:name w:val="Heading 5 Char"/>
    <w:basedOn w:val="988"/>
    <w:link w:val="983"/>
    <w:uiPriority w:val="9"/>
    <w:rPr>
      <w:rFonts w:ascii="Arial" w:hAnsi="Arial" w:eastAsia="Arial" w:cs="Arial"/>
      <w:b/>
      <w:bCs/>
      <w:sz w:val="24"/>
      <w:szCs w:val="24"/>
    </w:rPr>
  </w:style>
  <w:style w:type="character" w:styleId="831">
    <w:name w:val="Heading 6 Char"/>
    <w:basedOn w:val="988"/>
    <w:link w:val="984"/>
    <w:uiPriority w:val="9"/>
    <w:rPr>
      <w:rFonts w:ascii="Arial" w:hAnsi="Arial" w:eastAsia="Arial" w:cs="Arial"/>
      <w:b/>
      <w:bCs/>
      <w:sz w:val="22"/>
      <w:szCs w:val="22"/>
    </w:rPr>
  </w:style>
  <w:style w:type="character" w:styleId="832">
    <w:name w:val="Heading 7 Char"/>
    <w:basedOn w:val="988"/>
    <w:link w:val="985"/>
    <w:uiPriority w:val="9"/>
    <w:rPr>
      <w:rFonts w:ascii="Arial" w:hAnsi="Arial" w:eastAsia="Arial" w:cs="Arial"/>
      <w:b/>
      <w:bCs/>
      <w:i/>
      <w:iCs/>
      <w:sz w:val="22"/>
      <w:szCs w:val="22"/>
    </w:rPr>
  </w:style>
  <w:style w:type="character" w:styleId="833">
    <w:name w:val="Heading 8 Char"/>
    <w:basedOn w:val="988"/>
    <w:link w:val="986"/>
    <w:uiPriority w:val="9"/>
    <w:rPr>
      <w:rFonts w:ascii="Arial" w:hAnsi="Arial" w:eastAsia="Arial" w:cs="Arial"/>
      <w:i/>
      <w:iCs/>
      <w:sz w:val="22"/>
      <w:szCs w:val="22"/>
    </w:rPr>
  </w:style>
  <w:style w:type="character" w:styleId="834">
    <w:name w:val="Heading 9 Char"/>
    <w:basedOn w:val="988"/>
    <w:link w:val="987"/>
    <w:uiPriority w:val="9"/>
    <w:rPr>
      <w:rFonts w:ascii="Arial" w:hAnsi="Arial" w:eastAsia="Arial" w:cs="Arial"/>
      <w:i/>
      <w:iCs/>
      <w:sz w:val="21"/>
      <w:szCs w:val="21"/>
    </w:rPr>
  </w:style>
  <w:style w:type="paragraph" w:styleId="835">
    <w:name w:val="No Spacing"/>
    <w:uiPriority w:val="1"/>
    <w:qFormat/>
    <w:pPr>
      <w:spacing w:before="0" w:after="0" w:line="240" w:lineRule="auto"/>
    </w:pPr>
  </w:style>
  <w:style w:type="character" w:styleId="836">
    <w:name w:val="Title Char"/>
    <w:basedOn w:val="988"/>
    <w:link w:val="1020"/>
    <w:uiPriority w:val="10"/>
    <w:rPr>
      <w:sz w:val="48"/>
      <w:szCs w:val="48"/>
    </w:rPr>
  </w:style>
  <w:style w:type="character" w:styleId="837">
    <w:name w:val="Subtitle Char"/>
    <w:basedOn w:val="988"/>
    <w:link w:val="1012"/>
    <w:uiPriority w:val="11"/>
    <w:rPr>
      <w:sz w:val="24"/>
      <w:szCs w:val="24"/>
    </w:rPr>
  </w:style>
  <w:style w:type="paragraph" w:styleId="838">
    <w:name w:val="Quote"/>
    <w:basedOn w:val="978"/>
    <w:next w:val="978"/>
    <w:link w:val="839"/>
    <w:uiPriority w:val="29"/>
    <w:qFormat/>
    <w:pPr>
      <w:ind w:left="720" w:right="720"/>
    </w:pPr>
    <w:rPr>
      <w:i/>
    </w:rPr>
  </w:style>
  <w:style w:type="character" w:styleId="839">
    <w:name w:val="Quote Char"/>
    <w:link w:val="838"/>
    <w:uiPriority w:val="29"/>
    <w:rPr>
      <w:i/>
    </w:rPr>
  </w:style>
  <w:style w:type="paragraph" w:styleId="840">
    <w:name w:val="Intense Quote"/>
    <w:basedOn w:val="978"/>
    <w:next w:val="978"/>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Intense Quote Char"/>
    <w:link w:val="840"/>
    <w:uiPriority w:val="30"/>
    <w:rPr>
      <w:i/>
    </w:rPr>
  </w:style>
  <w:style w:type="character" w:styleId="842">
    <w:name w:val="Header Char"/>
    <w:basedOn w:val="988"/>
    <w:link w:val="1009"/>
    <w:uiPriority w:val="99"/>
  </w:style>
  <w:style w:type="character" w:styleId="843">
    <w:name w:val="Footer Char"/>
    <w:basedOn w:val="988"/>
    <w:link w:val="1008"/>
    <w:uiPriority w:val="99"/>
  </w:style>
  <w:style w:type="character" w:styleId="844">
    <w:name w:val="Caption Char"/>
    <w:basedOn w:val="993"/>
    <w:link w:val="1008"/>
    <w:uiPriority w:val="99"/>
  </w:style>
  <w:style w:type="table" w:styleId="845">
    <w:name w:val="Table Grid Light"/>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basedOn w:val="9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basedOn w:val="9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basedOn w:val="9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basedOn w:val="9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basedOn w:val="9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basedOn w:val="9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basedOn w:val="9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basedOn w:val="9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basedOn w:val="9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basedOn w:val="9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basedOn w:val="9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basedOn w:val="9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basedOn w:val="9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basedOn w:val="9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basedOn w:val="9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basedOn w:val="9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basedOn w:val="9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basedOn w:val="9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basedOn w:val="9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basedOn w:val="9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basedOn w:val="9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basedOn w:val="9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basedOn w:val="9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basedOn w:val="9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basedOn w:val="9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basedOn w:val="9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basedOn w:val="9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basedOn w:val="9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basedOn w:val="9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basedOn w:val="9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basedOn w:val="9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basedOn w:val="9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basedOn w:val="9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basedOn w:val="9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basedOn w:val="9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basedOn w:val="9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basedOn w:val="9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basedOn w:val="9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basedOn w:val="9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basedOn w:val="9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basedOn w:val="9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basedOn w:val="9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basedOn w:val="9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basedOn w:val="9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basedOn w:val="9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basedOn w:val="9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basedOn w:val="9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basedOn w:val="9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basedOn w:val="9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basedOn w:val="9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basedOn w:val="9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basedOn w:val="9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basedOn w:val="9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basedOn w:val="9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basedOn w:val="9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basedOn w:val="9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basedOn w:val="9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basedOn w:val="9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basedOn w:val="9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basedOn w:val="9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basedOn w:val="9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basedOn w:val="9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basedOn w:val="9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basedOn w:val="9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basedOn w:val="9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basedOn w:val="9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basedOn w:val="9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basedOn w:val="9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basedOn w:val="9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basedOn w:val="9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basedOn w:val="9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basedOn w:val="9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0">
    <w:name w:val="footnote text"/>
    <w:basedOn w:val="978"/>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basedOn w:val="988"/>
    <w:uiPriority w:val="99"/>
    <w:unhideWhenUsed/>
    <w:rPr>
      <w:vertAlign w:val="superscript"/>
    </w:rPr>
  </w:style>
  <w:style w:type="paragraph" w:styleId="973">
    <w:name w:val="endnote text"/>
    <w:basedOn w:val="978"/>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basedOn w:val="988"/>
    <w:uiPriority w:val="99"/>
    <w:semiHidden/>
    <w:unhideWhenUsed/>
    <w:rPr>
      <w:vertAlign w:val="superscript"/>
    </w:rPr>
  </w:style>
  <w:style w:type="paragraph" w:styleId="976">
    <w:name w:val="TOC Heading"/>
    <w:uiPriority w:val="39"/>
    <w:unhideWhenUsed/>
  </w:style>
  <w:style w:type="paragraph" w:styleId="977">
    <w:name w:val="table of figures"/>
    <w:basedOn w:val="978"/>
    <w:next w:val="978"/>
    <w:uiPriority w:val="99"/>
    <w:unhideWhenUsed/>
    <w:pPr>
      <w:spacing w:after="0" w:afterAutospacing="0"/>
    </w:pPr>
  </w:style>
  <w:style w:type="paragraph" w:styleId="9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9">
    <w:name w:val="Heading 1"/>
    <w:basedOn w:val="978"/>
    <w:next w:val="978"/>
    <w:link w:val="1159"/>
    <w:uiPriority w:val="0"/>
    <w:qFormat/>
    <w:pPr>
      <w:numPr>
        <w:ilvl w:val="0"/>
        <w:numId w:val="1"/>
      </w:numPr>
      <w:jc w:val="center"/>
      <w:keepLines/>
      <w:keepNext/>
      <w:spacing w:before="340" w:after="330" w:line="578" w:lineRule="auto"/>
      <w:outlineLvl w:val="0"/>
    </w:pPr>
    <w:rPr>
      <w:b/>
      <w:bCs/>
      <w:sz w:val="32"/>
      <w:szCs w:val="44"/>
    </w:rPr>
  </w:style>
  <w:style w:type="paragraph" w:styleId="980">
    <w:name w:val="Heading 2"/>
    <w:basedOn w:val="978"/>
    <w:next w:val="978"/>
    <w:link w:val="109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81">
    <w:name w:val="Heading 3"/>
    <w:basedOn w:val="978"/>
    <w:next w:val="978"/>
    <w:link w:val="1131"/>
    <w:uiPriority w:val="0"/>
    <w:qFormat/>
    <w:pPr>
      <w:numPr>
        <w:ilvl w:val="2"/>
        <w:numId w:val="1"/>
      </w:numPr>
      <w:keepLines/>
      <w:keepNext/>
      <w:spacing w:before="260" w:after="260" w:line="416" w:lineRule="auto"/>
      <w:outlineLvl w:val="2"/>
    </w:pPr>
    <w:rPr>
      <w:b/>
      <w:bCs/>
      <w:sz w:val="32"/>
      <w:szCs w:val="32"/>
    </w:rPr>
  </w:style>
  <w:style w:type="paragraph" w:styleId="982">
    <w:name w:val="Heading 4"/>
    <w:basedOn w:val="978"/>
    <w:next w:val="978"/>
    <w:link w:val="116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83">
    <w:name w:val="Heading 5"/>
    <w:basedOn w:val="978"/>
    <w:next w:val="978"/>
    <w:link w:val="1121"/>
    <w:uiPriority w:val="0"/>
    <w:qFormat/>
    <w:pPr>
      <w:numPr>
        <w:ilvl w:val="4"/>
        <w:numId w:val="1"/>
      </w:numPr>
      <w:keepLines/>
      <w:keepNext/>
      <w:spacing w:before="280" w:after="290" w:line="376" w:lineRule="auto"/>
      <w:outlineLvl w:val="4"/>
    </w:pPr>
    <w:rPr>
      <w:b/>
      <w:bCs/>
      <w:sz w:val="28"/>
      <w:szCs w:val="28"/>
    </w:rPr>
  </w:style>
  <w:style w:type="paragraph" w:styleId="984">
    <w:name w:val="Heading 6"/>
    <w:basedOn w:val="978"/>
    <w:next w:val="978"/>
    <w:link w:val="1109"/>
    <w:uiPriority w:val="0"/>
    <w:qFormat/>
    <w:pPr>
      <w:numPr>
        <w:ilvl w:val="5"/>
        <w:numId w:val="1"/>
      </w:numPr>
      <w:keepLines/>
      <w:keepNext/>
      <w:spacing w:before="240" w:after="64" w:line="320" w:lineRule="auto"/>
      <w:outlineLvl w:val="5"/>
    </w:pPr>
    <w:rPr>
      <w:rFonts w:ascii="Cambria" w:hAnsi="Cambria"/>
      <w:b/>
      <w:bCs/>
      <w:sz w:val="24"/>
    </w:rPr>
  </w:style>
  <w:style w:type="paragraph" w:styleId="985">
    <w:name w:val="Heading 7"/>
    <w:basedOn w:val="978"/>
    <w:next w:val="978"/>
    <w:link w:val="1158"/>
    <w:uiPriority w:val="0"/>
    <w:qFormat/>
    <w:pPr>
      <w:numPr>
        <w:ilvl w:val="6"/>
        <w:numId w:val="1"/>
      </w:numPr>
      <w:keepLines/>
      <w:keepNext/>
      <w:spacing w:before="240" w:after="64" w:line="320" w:lineRule="auto"/>
      <w:outlineLvl w:val="6"/>
    </w:pPr>
    <w:rPr>
      <w:b/>
      <w:bCs/>
      <w:sz w:val="24"/>
    </w:rPr>
  </w:style>
  <w:style w:type="paragraph" w:styleId="986">
    <w:name w:val="Heading 8"/>
    <w:basedOn w:val="978"/>
    <w:next w:val="978"/>
    <w:link w:val="1144"/>
    <w:uiPriority w:val="0"/>
    <w:qFormat/>
    <w:pPr>
      <w:numPr>
        <w:ilvl w:val="7"/>
        <w:numId w:val="1"/>
      </w:numPr>
      <w:keepLines/>
      <w:keepNext/>
      <w:spacing w:before="240" w:after="64" w:line="320" w:lineRule="auto"/>
      <w:outlineLvl w:val="7"/>
    </w:pPr>
    <w:rPr>
      <w:rFonts w:ascii="Cambria" w:hAnsi="Cambria"/>
      <w:sz w:val="24"/>
    </w:rPr>
  </w:style>
  <w:style w:type="paragraph" w:styleId="987">
    <w:name w:val="Heading 9"/>
    <w:basedOn w:val="978"/>
    <w:next w:val="978"/>
    <w:link w:val="1125"/>
    <w:uiPriority w:val="0"/>
    <w:qFormat/>
    <w:pPr>
      <w:numPr>
        <w:ilvl w:val="8"/>
        <w:numId w:val="1"/>
      </w:numPr>
      <w:keepLines/>
      <w:keepNext/>
      <w:spacing w:before="240" w:after="64" w:line="320" w:lineRule="auto"/>
      <w:outlineLvl w:val="8"/>
    </w:pPr>
    <w:rPr>
      <w:rFonts w:ascii="Cambria" w:hAnsi="Cambria"/>
      <w:szCs w:val="21"/>
    </w:rPr>
  </w:style>
  <w:style w:type="character" w:styleId="988" w:default="1">
    <w:name w:val="Default Paragraph Font"/>
    <w:uiPriority w:val="1"/>
    <w:semiHidden/>
    <w:unhideWhenUsed/>
    <w:qFormat/>
  </w:style>
  <w:style w:type="table" w:styleId="989" w:default="1">
    <w:name w:val="Normal Table"/>
    <w:uiPriority w:val="99"/>
    <w:semiHidden/>
    <w:unhideWhenUsed/>
    <w:qFormat/>
    <w:tblPr>
      <w:tblCellMar>
        <w:left w:w="108" w:type="dxa"/>
        <w:top w:w="0" w:type="dxa"/>
        <w:right w:w="108" w:type="dxa"/>
        <w:bottom w:w="0" w:type="dxa"/>
      </w:tblCellMar>
    </w:tblPr>
  </w:style>
  <w:style w:type="paragraph" w:styleId="990">
    <w:name w:val="List 3"/>
    <w:basedOn w:val="978"/>
    <w:uiPriority w:val="99"/>
    <w:unhideWhenUsed/>
    <w:qFormat/>
    <w:pPr>
      <w:ind w:left="1260" w:hanging="420"/>
      <w:spacing w:before="100" w:beforeAutospacing="1" w:after="100" w:afterAutospacing="1"/>
    </w:pPr>
    <w:rPr>
      <w:szCs w:val="21"/>
    </w:rPr>
  </w:style>
  <w:style w:type="paragraph" w:styleId="991">
    <w:name w:val="toc 7"/>
    <w:basedOn w:val="978"/>
    <w:next w:val="978"/>
    <w:uiPriority w:val="39"/>
    <w:unhideWhenUsed/>
    <w:qFormat/>
    <w:pPr>
      <w:ind w:left="2520"/>
    </w:pPr>
    <w:rPr>
      <w:rFonts w:ascii="Calibri" w:hAnsi="Calibri"/>
      <w:szCs w:val="22"/>
    </w:rPr>
  </w:style>
  <w:style w:type="paragraph" w:styleId="992">
    <w:name w:val="Normal Indent"/>
    <w:basedOn w:val="978"/>
    <w:link w:val="1172"/>
    <w:uiPriority w:val="0"/>
    <w:qFormat/>
    <w:pPr>
      <w:ind w:firstLine="420"/>
    </w:pPr>
    <w:rPr>
      <w:b/>
      <w:sz w:val="24"/>
      <w:szCs w:val="20"/>
    </w:rPr>
  </w:style>
  <w:style w:type="paragraph" w:styleId="993">
    <w:name w:val="Caption"/>
    <w:basedOn w:val="978"/>
    <w:next w:val="978"/>
    <w:uiPriority w:val="0"/>
    <w:qFormat/>
    <w:rPr>
      <w:rFonts w:ascii="Cambria" w:hAnsi="Cambria" w:eastAsia="黑体"/>
      <w:sz w:val="20"/>
      <w:szCs w:val="22"/>
    </w:rPr>
  </w:style>
  <w:style w:type="paragraph" w:styleId="994">
    <w:name w:val="Document Map"/>
    <w:basedOn w:val="978"/>
    <w:link w:val="1116"/>
    <w:uiPriority w:val="0"/>
    <w:qFormat/>
    <w:rPr>
      <w:rFonts w:ascii="宋体"/>
      <w:sz w:val="18"/>
      <w:szCs w:val="18"/>
    </w:rPr>
  </w:style>
  <w:style w:type="paragraph" w:styleId="995">
    <w:name w:val="annotation text"/>
    <w:basedOn w:val="978"/>
    <w:link w:val="1137"/>
    <w:uiPriority w:val="99"/>
    <w:qFormat/>
    <w:pPr>
      <w:jc w:val="left"/>
    </w:pPr>
  </w:style>
  <w:style w:type="paragraph" w:styleId="996">
    <w:name w:val="Body Text 3"/>
    <w:basedOn w:val="978"/>
    <w:link w:val="1154"/>
    <w:uiPriority w:val="0"/>
    <w:qFormat/>
    <w:rPr>
      <w:rFonts w:ascii="宋体"/>
      <w:sz w:val="24"/>
      <w:szCs w:val="20"/>
    </w:rPr>
  </w:style>
  <w:style w:type="paragraph" w:styleId="997">
    <w:name w:val="Body Text"/>
    <w:basedOn w:val="978"/>
    <w:link w:val="1143"/>
    <w:uiPriority w:val="0"/>
    <w:qFormat/>
    <w:pPr>
      <w:jc w:val="center"/>
    </w:pPr>
    <w:rPr>
      <w:rFonts w:eastAsia="幼圆"/>
      <w:b/>
      <w:bCs/>
      <w:sz w:val="44"/>
    </w:rPr>
  </w:style>
  <w:style w:type="paragraph" w:styleId="998">
    <w:name w:val="Body Text Indent"/>
    <w:basedOn w:val="978"/>
    <w:next w:val="999"/>
    <w:link w:val="1105"/>
    <w:uiPriority w:val="0"/>
    <w:qFormat/>
    <w:pPr>
      <w:ind w:left="420"/>
      <w:spacing w:after="120"/>
    </w:pPr>
  </w:style>
  <w:style w:type="paragraph" w:styleId="999">
    <w:name w:val="envelope return"/>
    <w:basedOn w:val="978"/>
    <w:uiPriority w:val="0"/>
    <w:qFormat/>
    <w:rPr>
      <w:rFonts w:ascii="Arial" w:hAnsi="Arial" w:cs="宋体"/>
    </w:rPr>
  </w:style>
  <w:style w:type="paragraph" w:styleId="1000">
    <w:name w:val="index 4"/>
    <w:basedOn w:val="978"/>
    <w:next w:val="978"/>
    <w:uiPriority w:val="0"/>
    <w:qFormat/>
    <w:pPr>
      <w:ind w:left="600"/>
    </w:pPr>
    <w:rPr>
      <w:rFonts w:ascii="Calibri" w:hAnsi="Calibri"/>
    </w:rPr>
  </w:style>
  <w:style w:type="paragraph" w:styleId="1001">
    <w:name w:val="toc 5"/>
    <w:basedOn w:val="978"/>
    <w:next w:val="978"/>
    <w:uiPriority w:val="39"/>
    <w:unhideWhenUsed/>
    <w:qFormat/>
    <w:pPr>
      <w:ind w:left="1680"/>
    </w:pPr>
    <w:rPr>
      <w:rFonts w:ascii="Calibri" w:hAnsi="Calibri"/>
      <w:szCs w:val="22"/>
    </w:rPr>
  </w:style>
  <w:style w:type="paragraph" w:styleId="1002">
    <w:name w:val="toc 3"/>
    <w:basedOn w:val="978"/>
    <w:next w:val="978"/>
    <w:uiPriority w:val="39"/>
    <w:qFormat/>
    <w:pPr>
      <w:ind w:left="840"/>
    </w:pPr>
    <w:rPr>
      <w:rFonts w:ascii="Calibri" w:hAnsi="Calibri"/>
      <w:szCs w:val="22"/>
    </w:rPr>
  </w:style>
  <w:style w:type="paragraph" w:styleId="1003">
    <w:name w:val="Plain Text"/>
    <w:basedOn w:val="978"/>
    <w:link w:val="1110"/>
    <w:uiPriority w:val="0"/>
    <w:qFormat/>
    <w:rPr>
      <w:rFonts w:ascii="Ari"/>
      <w:sz w:val="20"/>
      <w:szCs w:val="20"/>
    </w:rPr>
  </w:style>
  <w:style w:type="paragraph" w:styleId="1004">
    <w:name w:val="toc 8"/>
    <w:basedOn w:val="978"/>
    <w:next w:val="978"/>
    <w:uiPriority w:val="39"/>
    <w:unhideWhenUsed/>
    <w:qFormat/>
    <w:pPr>
      <w:ind w:left="2940"/>
    </w:pPr>
    <w:rPr>
      <w:rFonts w:ascii="Calibri" w:hAnsi="Calibri"/>
      <w:szCs w:val="22"/>
    </w:rPr>
  </w:style>
  <w:style w:type="paragraph" w:styleId="1005">
    <w:name w:val="Date"/>
    <w:basedOn w:val="978"/>
    <w:next w:val="978"/>
    <w:link w:val="1117"/>
    <w:uiPriority w:val="0"/>
    <w:unhideWhenUsed/>
    <w:qFormat/>
  </w:style>
  <w:style w:type="paragraph" w:styleId="1006">
    <w:name w:val="Body Text Indent 2"/>
    <w:basedOn w:val="978"/>
    <w:link w:val="1136"/>
    <w:uiPriority w:val="99"/>
    <w:unhideWhenUsed/>
    <w:qFormat/>
    <w:pPr>
      <w:ind w:firstLine="525"/>
      <w:spacing w:line="420" w:lineRule="exact"/>
    </w:pPr>
    <w:rPr>
      <w:rFonts w:ascii="宋体"/>
      <w:sz w:val="20"/>
      <w:szCs w:val="20"/>
    </w:rPr>
  </w:style>
  <w:style w:type="paragraph" w:styleId="1007">
    <w:name w:val="Balloon Text"/>
    <w:basedOn w:val="978"/>
    <w:link w:val="1157"/>
    <w:uiPriority w:val="0"/>
    <w:qFormat/>
    <w:rPr>
      <w:sz w:val="18"/>
      <w:szCs w:val="18"/>
    </w:rPr>
  </w:style>
  <w:style w:type="paragraph" w:styleId="1008">
    <w:name w:val="Footer"/>
    <w:basedOn w:val="978"/>
    <w:link w:val="1148"/>
    <w:uiPriority w:val="99"/>
    <w:qFormat/>
    <w:pPr>
      <w:jc w:val="left"/>
      <w:tabs>
        <w:tab w:val="center" w:pos="4153" w:leader="none"/>
        <w:tab w:val="right" w:pos="8306" w:leader="none"/>
      </w:tabs>
    </w:pPr>
    <w:rPr>
      <w:sz w:val="18"/>
      <w:szCs w:val="18"/>
    </w:rPr>
  </w:style>
  <w:style w:type="paragraph" w:styleId="1009">
    <w:name w:val="Header"/>
    <w:basedOn w:val="978"/>
    <w:link w:val="1108"/>
    <w:uiPriority w:val="99"/>
    <w:qFormat/>
    <w:pPr>
      <w:jc w:val="center"/>
      <w:tabs>
        <w:tab w:val="center" w:pos="4153" w:leader="none"/>
        <w:tab w:val="right" w:pos="8306" w:leader="none"/>
      </w:tabs>
      <w:pBdr>
        <w:bottom w:val="single" w:color="auto" w:sz="6" w:space="1"/>
      </w:pBdr>
    </w:pPr>
    <w:rPr>
      <w:sz w:val="18"/>
      <w:szCs w:val="18"/>
    </w:rPr>
  </w:style>
  <w:style w:type="paragraph" w:styleId="1010">
    <w:name w:val="toc 1"/>
    <w:basedOn w:val="978"/>
    <w:next w:val="978"/>
    <w:uiPriority w:val="39"/>
    <w:qFormat/>
  </w:style>
  <w:style w:type="paragraph" w:styleId="1011">
    <w:name w:val="toc 4"/>
    <w:basedOn w:val="978"/>
    <w:next w:val="978"/>
    <w:uiPriority w:val="39"/>
    <w:unhideWhenUsed/>
    <w:qFormat/>
    <w:pPr>
      <w:ind w:left="1260"/>
    </w:pPr>
    <w:rPr>
      <w:rFonts w:ascii="Calibri" w:hAnsi="Calibri"/>
      <w:szCs w:val="22"/>
    </w:rPr>
  </w:style>
  <w:style w:type="paragraph" w:styleId="1012">
    <w:name w:val="Subtitle"/>
    <w:basedOn w:val="978"/>
    <w:next w:val="978"/>
    <w:link w:val="1133"/>
    <w:uiPriority w:val="0"/>
    <w:qFormat/>
    <w:pPr>
      <w:jc w:val="center"/>
      <w:spacing w:before="240" w:after="60" w:line="312" w:lineRule="auto"/>
      <w:outlineLvl w:val="1"/>
    </w:pPr>
    <w:rPr>
      <w:rFonts w:ascii="Cambria" w:hAnsi="Cambria"/>
      <w:b/>
      <w:bCs/>
      <w:sz w:val="32"/>
      <w:szCs w:val="32"/>
    </w:rPr>
  </w:style>
  <w:style w:type="paragraph" w:styleId="1013">
    <w:name w:val="toc 6"/>
    <w:basedOn w:val="978"/>
    <w:next w:val="978"/>
    <w:uiPriority w:val="39"/>
    <w:unhideWhenUsed/>
    <w:qFormat/>
    <w:pPr>
      <w:ind w:left="2100"/>
    </w:pPr>
    <w:rPr>
      <w:rFonts w:ascii="Calibri" w:hAnsi="Calibri"/>
      <w:szCs w:val="22"/>
    </w:rPr>
  </w:style>
  <w:style w:type="paragraph" w:styleId="1014">
    <w:name w:val="Body Text Indent 3"/>
    <w:basedOn w:val="978"/>
    <w:link w:val="1155"/>
    <w:uiPriority w:val="0"/>
    <w:qFormat/>
    <w:pPr>
      <w:ind w:left="420"/>
      <w:spacing w:after="120"/>
    </w:pPr>
    <w:rPr>
      <w:sz w:val="16"/>
      <w:szCs w:val="20"/>
    </w:rPr>
  </w:style>
  <w:style w:type="paragraph" w:styleId="1015">
    <w:name w:val="toc 2"/>
    <w:basedOn w:val="978"/>
    <w:next w:val="978"/>
    <w:uiPriority w:val="39"/>
    <w:qFormat/>
    <w:pPr>
      <w:ind w:left="420"/>
    </w:pPr>
    <w:rPr>
      <w:rFonts w:ascii="Calibri" w:hAnsi="Calibri"/>
      <w:szCs w:val="22"/>
    </w:rPr>
  </w:style>
  <w:style w:type="paragraph" w:styleId="1016">
    <w:name w:val="toc 9"/>
    <w:basedOn w:val="978"/>
    <w:next w:val="978"/>
    <w:uiPriority w:val="39"/>
    <w:unhideWhenUsed/>
    <w:qFormat/>
    <w:pPr>
      <w:ind w:left="3360"/>
    </w:pPr>
    <w:rPr>
      <w:rFonts w:ascii="Calibri" w:hAnsi="Calibri"/>
      <w:szCs w:val="22"/>
    </w:rPr>
  </w:style>
  <w:style w:type="paragraph" w:styleId="1017">
    <w:name w:val="HTML Preformatted"/>
    <w:basedOn w:val="97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8">
    <w:name w:val="Normal (Web)"/>
    <w:basedOn w:val="978"/>
    <w:uiPriority w:val="99"/>
    <w:qFormat/>
    <w:pPr>
      <w:jc w:val="left"/>
      <w:spacing w:before="100" w:beforeAutospacing="1" w:after="100" w:afterAutospacing="1"/>
      <w:widowControl/>
    </w:pPr>
    <w:rPr>
      <w:rFonts w:ascii="宋体" w:hAnsi="宋体" w:cs="宋体"/>
      <w:sz w:val="24"/>
    </w:rPr>
  </w:style>
  <w:style w:type="paragraph" w:styleId="1019">
    <w:name w:val="index 1"/>
    <w:basedOn w:val="978"/>
    <w:next w:val="978"/>
    <w:uiPriority w:val="0"/>
    <w:qFormat/>
    <w:pPr>
      <w:jc w:val="center"/>
      <w:spacing w:line="220" w:lineRule="exact"/>
    </w:pPr>
    <w:rPr>
      <w:rFonts w:ascii="仿宋_GB2312" w:hAnsi="Calibri" w:eastAsia="仿宋_GB2312"/>
      <w:szCs w:val="22"/>
    </w:rPr>
  </w:style>
  <w:style w:type="paragraph" w:styleId="1020">
    <w:name w:val="Title"/>
    <w:basedOn w:val="978"/>
    <w:link w:val="1113"/>
    <w:uiPriority w:val="0"/>
    <w:qFormat/>
    <w:pPr>
      <w:jc w:val="center"/>
      <w:spacing w:before="240" w:after="60" w:line="420" w:lineRule="atLeast"/>
      <w:outlineLvl w:val="0"/>
    </w:pPr>
    <w:rPr>
      <w:rFonts w:ascii="Arial" w:hAnsi="Arial"/>
      <w:b/>
      <w:sz w:val="32"/>
      <w:szCs w:val="20"/>
    </w:rPr>
  </w:style>
  <w:style w:type="paragraph" w:styleId="1021">
    <w:name w:val="annotation subject"/>
    <w:basedOn w:val="995"/>
    <w:next w:val="995"/>
    <w:link w:val="1146"/>
    <w:uiPriority w:val="0"/>
    <w:qFormat/>
    <w:rPr>
      <w:b/>
      <w:bCs/>
    </w:rPr>
  </w:style>
  <w:style w:type="paragraph" w:styleId="1022">
    <w:name w:val="Body Text First Indent"/>
    <w:basedOn w:val="997"/>
    <w:link w:val="1168"/>
    <w:uiPriority w:val="0"/>
    <w:semiHidden/>
    <w:unhideWhenUsed/>
    <w:qFormat/>
    <w:pPr>
      <w:ind w:firstLine="420"/>
      <w:jc w:val="both"/>
      <w:spacing w:after="120"/>
    </w:pPr>
    <w:rPr>
      <w:rFonts w:eastAsia="宋体"/>
      <w:b w:val="0"/>
      <w:bCs w:val="0"/>
      <w:sz w:val="21"/>
    </w:rPr>
  </w:style>
  <w:style w:type="paragraph" w:styleId="1023">
    <w:name w:val="Body Text First Indent 2"/>
    <w:basedOn w:val="998"/>
    <w:next w:val="978"/>
    <w:uiPriority w:val="99"/>
    <w:qFormat/>
    <w:pPr>
      <w:ind w:left="0" w:firstLine="420"/>
      <w:spacing w:after="0" w:line="360" w:lineRule="auto"/>
    </w:pPr>
    <w:rPr>
      <w:rFonts w:ascii="宋体" w:hAnsi="宋体"/>
      <w:szCs w:val="20"/>
    </w:rPr>
  </w:style>
  <w:style w:type="table" w:styleId="1024">
    <w:name w:val="Table Grid"/>
    <w:basedOn w:val="989"/>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5">
    <w:name w:val="Strong"/>
    <w:uiPriority w:val="0"/>
    <w:qFormat/>
    <w:rPr>
      <w:rFonts w:cs="Times New Roman"/>
      <w:b/>
    </w:rPr>
  </w:style>
  <w:style w:type="character" w:styleId="1026">
    <w:name w:val="page number"/>
    <w:uiPriority w:val="0"/>
    <w:qFormat/>
    <w:rPr>
      <w:rFonts w:eastAsia="宋体"/>
      <w:b/>
      <w:spacing w:val="0"/>
      <w:sz w:val="24"/>
      <w:szCs w:val="24"/>
      <w:lang w:val="en-US" w:eastAsia="zh-CN" w:bidi="ar-SA"/>
    </w:rPr>
  </w:style>
  <w:style w:type="character" w:styleId="1027">
    <w:name w:val="FollowedHyperlink"/>
    <w:uiPriority w:val="0"/>
    <w:qFormat/>
    <w:rPr>
      <w:color w:val="800080"/>
      <w:u w:val="single"/>
    </w:rPr>
  </w:style>
  <w:style w:type="character" w:styleId="1028">
    <w:name w:val="Emphasis"/>
    <w:uiPriority w:val="0"/>
    <w:qFormat/>
    <w:rPr>
      <w:color w:val="cc0000"/>
    </w:rPr>
  </w:style>
  <w:style w:type="character" w:styleId="1029">
    <w:name w:val="Hyperlink"/>
    <w:uiPriority w:val="99"/>
    <w:qFormat/>
    <w:rPr>
      <w:color w:val="0000ff"/>
      <w:u w:val="single"/>
    </w:rPr>
  </w:style>
  <w:style w:type="character" w:styleId="1030">
    <w:name w:val="annotation reference"/>
    <w:uiPriority w:val="99"/>
    <w:qFormat/>
    <w:rPr>
      <w:sz w:val="21"/>
      <w:szCs w:val="21"/>
    </w:rPr>
  </w:style>
  <w:style w:type="character" w:styleId="1031">
    <w:name w:val="HTML Cite"/>
    <w:uiPriority w:val="0"/>
    <w:qFormat/>
    <w:rPr>
      <w:color w:val="008000"/>
    </w:rPr>
  </w:style>
  <w:style w:type="character" w:styleId="1032" w:customStyle="1">
    <w:name w:val="标题 1 Char"/>
    <w:uiPriority w:val="0"/>
    <w:qFormat/>
    <w:rPr>
      <w:b/>
      <w:bCs/>
      <w:sz w:val="32"/>
      <w:szCs w:val="44"/>
    </w:rPr>
  </w:style>
  <w:style w:type="paragraph" w:styleId="1033" w:customStyle="1">
    <w:name w:val="列出段落1"/>
    <w:basedOn w:val="978"/>
    <w:uiPriority w:val="0"/>
    <w:qFormat/>
    <w:pPr>
      <w:ind w:firstLine="420"/>
    </w:pPr>
  </w:style>
  <w:style w:type="paragraph" w:styleId="1034" w:customStyle="1">
    <w:name w:val="标题 3_0"/>
    <w:basedOn w:val="1035"/>
    <w:next w:val="1035"/>
    <w:link w:val="1096"/>
    <w:uiPriority w:val="0"/>
    <w:qFormat/>
    <w:pPr>
      <w:keepLines/>
      <w:keepNext/>
      <w:spacing w:before="260" w:after="260" w:line="416" w:lineRule="auto"/>
      <w:outlineLvl w:val="2"/>
    </w:pPr>
    <w:rPr>
      <w:b/>
      <w:bCs/>
      <w:sz w:val="32"/>
      <w:szCs w:val="32"/>
    </w:rPr>
  </w:style>
  <w:style w:type="paragraph" w:styleId="103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引用1"/>
    <w:basedOn w:val="978"/>
    <w:next w:val="978"/>
    <w:link w:val="1101"/>
    <w:uiPriority w:val="0"/>
    <w:qFormat/>
    <w:rPr>
      <w:i/>
      <w:iCs/>
      <w:color w:val="000000"/>
      <w:sz w:val="20"/>
      <w:szCs w:val="20"/>
    </w:rPr>
  </w:style>
  <w:style w:type="paragraph" w:styleId="1037" w:customStyle="1">
    <w:name w:val="标题 1_0"/>
    <w:basedOn w:val="1035"/>
    <w:next w:val="1035"/>
    <w:link w:val="1102"/>
    <w:uiPriority w:val="0"/>
    <w:qFormat/>
    <w:pPr>
      <w:keepLines/>
      <w:keepNext/>
      <w:spacing w:before="340" w:after="330" w:line="578" w:lineRule="auto"/>
      <w:outlineLvl w:val="0"/>
    </w:pPr>
    <w:rPr>
      <w:b/>
      <w:bCs/>
      <w:sz w:val="44"/>
      <w:szCs w:val="44"/>
    </w:rPr>
  </w:style>
  <w:style w:type="paragraph" w:styleId="1038" w:customStyle="1">
    <w:name w:val="标题 4_0"/>
    <w:basedOn w:val="1035"/>
    <w:next w:val="1035"/>
    <w:link w:val="1107"/>
    <w:uiPriority w:val="0"/>
    <w:qFormat/>
    <w:pPr>
      <w:keepLines/>
      <w:keepNext/>
      <w:spacing w:before="280" w:after="290" w:line="376" w:lineRule="auto"/>
      <w:outlineLvl w:val="3"/>
    </w:pPr>
    <w:rPr>
      <w:rFonts w:ascii="Arial" w:hAnsi="Arial" w:eastAsia="黑体"/>
      <w:b/>
      <w:bCs/>
      <w:sz w:val="28"/>
      <w:szCs w:val="28"/>
    </w:rPr>
  </w:style>
  <w:style w:type="paragraph" w:styleId="1039" w:customStyle="1">
    <w:name w:val="标题5"/>
    <w:basedOn w:val="981"/>
    <w:link w:val="1114"/>
    <w:uiPriority w:val="0"/>
    <w:qFormat/>
    <w:pPr>
      <w:numPr>
        <w:numId w:val="0"/>
      </w:numPr>
      <w:spacing w:line="413" w:lineRule="auto"/>
    </w:pPr>
    <w:rPr>
      <w:rFonts w:ascii="Arial" w:hAnsi="Arial"/>
      <w:sz w:val="24"/>
    </w:rPr>
  </w:style>
  <w:style w:type="paragraph" w:styleId="1040" w:customStyle="1">
    <w:name w:val="明显引用1"/>
    <w:basedOn w:val="978"/>
    <w:next w:val="978"/>
    <w:link w:val="1120"/>
    <w:uiPriority w:val="0"/>
    <w:qFormat/>
    <w:pPr>
      <w:ind w:left="936" w:right="936"/>
      <w:spacing w:before="200" w:after="280"/>
      <w:pBdr>
        <w:bottom w:val="single" w:color="4F81BD" w:sz="4" w:space="4"/>
      </w:pBdr>
    </w:pPr>
    <w:rPr>
      <w:b/>
      <w:bCs/>
      <w:i/>
      <w:iCs/>
      <w:color w:val="4f81bd"/>
      <w:sz w:val="20"/>
      <w:szCs w:val="20"/>
    </w:rPr>
  </w:style>
  <w:style w:type="paragraph" w:styleId="1041" w:customStyle="1">
    <w:name w:val="正文文本_0"/>
    <w:basedOn w:val="1035"/>
    <w:link w:val="1132"/>
    <w:uiPriority w:val="0"/>
    <w:qFormat/>
    <w:pPr>
      <w:spacing w:after="120"/>
    </w:pPr>
    <w:rPr>
      <w:sz w:val="20"/>
    </w:rPr>
  </w:style>
  <w:style w:type="paragraph" w:styleId="1042" w:customStyle="1">
    <w:name w:val="标题 5_0"/>
    <w:basedOn w:val="1035"/>
    <w:next w:val="1035"/>
    <w:link w:val="1135"/>
    <w:uiPriority w:val="0"/>
    <w:qFormat/>
    <w:pPr>
      <w:keepLines/>
      <w:keepNext/>
      <w:spacing w:before="280" w:after="290" w:line="372" w:lineRule="auto"/>
      <w:outlineLvl w:val="4"/>
    </w:pPr>
    <w:rPr>
      <w:rFonts w:ascii="Calibri" w:hAnsi="Calibri"/>
      <w:b/>
      <w:bCs/>
      <w:sz w:val="28"/>
      <w:szCs w:val="28"/>
    </w:rPr>
  </w:style>
  <w:style w:type="paragraph" w:styleId="1043" w:customStyle="1">
    <w:name w:val="标题4"/>
    <w:basedOn w:val="980"/>
    <w:next w:val="1000"/>
    <w:link w:val="1149"/>
    <w:uiPriority w:val="0"/>
    <w:qFormat/>
    <w:pPr>
      <w:numPr>
        <w:numId w:val="0"/>
      </w:numPr>
      <w:spacing w:line="413" w:lineRule="auto"/>
    </w:pPr>
    <w:rPr>
      <w:rFonts w:ascii="Arial" w:hAnsi="Arial"/>
      <w:sz w:val="24"/>
    </w:rPr>
  </w:style>
  <w:style w:type="paragraph" w:styleId="1044" w:customStyle="1">
    <w:name w:val="标题 2_0"/>
    <w:basedOn w:val="1035"/>
    <w:next w:val="1035"/>
    <w:link w:val="1161"/>
    <w:uiPriority w:val="0"/>
    <w:unhideWhenUsed/>
    <w:qFormat/>
    <w:pPr>
      <w:keepLines/>
      <w:keepNext/>
      <w:spacing w:before="260" w:after="260" w:line="416" w:lineRule="auto"/>
      <w:outlineLvl w:val="1"/>
    </w:pPr>
    <w:rPr>
      <w:rFonts w:ascii="Cambria" w:hAnsi="Cambria"/>
      <w:b/>
      <w:bCs/>
      <w:sz w:val="32"/>
      <w:szCs w:val="32"/>
    </w:rPr>
  </w:style>
  <w:style w:type="paragraph" w:styleId="1045" w:customStyle="1">
    <w:name w:val="List Paragraph1"/>
    <w:basedOn w:val="978"/>
    <w:link w:val="1165"/>
    <w:uiPriority w:val="99"/>
    <w:qFormat/>
    <w:pPr>
      <w:ind w:firstLine="420"/>
    </w:pPr>
  </w:style>
  <w:style w:type="paragraph" w:styleId="1046" w:customStyle="1">
    <w:name w:val="样式 标题 3 + (中文) 黑体 小四 非加粗 段前: 7.8 磅 段后: 0 磅 行距: 固定值 20 磅"/>
    <w:basedOn w:val="981"/>
    <w:next w:val="978"/>
    <w:uiPriority w:val="0"/>
    <w:qFormat/>
    <w:pPr>
      <w:spacing w:before="0" w:after="0" w:line="400" w:lineRule="exact"/>
    </w:pPr>
    <w:rPr>
      <w:rFonts w:eastAsia="黑体" w:cs="宋体"/>
      <w:b w:val="0"/>
      <w:bCs w:val="0"/>
      <w:sz w:val="24"/>
      <w:szCs w:val="20"/>
    </w:rPr>
  </w:style>
  <w:style w:type="paragraph" w:styleId="1047" w:customStyle="1">
    <w:name w:val="_Style 34"/>
    <w:next w:val="978"/>
    <w:uiPriority w:val="0"/>
    <w:qFormat/>
    <w:pPr>
      <w:jc w:val="both"/>
      <w:widowControl w:val="off"/>
    </w:pPr>
    <w:rPr>
      <w:rFonts w:ascii="Times New Roman" w:hAnsi="Times New Roman" w:eastAsia="宋体" w:cs="Times New Roman"/>
      <w:sz w:val="21"/>
      <w:lang w:val="en-US" w:eastAsia="zh-CN" w:bidi="ar-SA"/>
    </w:rPr>
  </w:style>
  <w:style w:type="paragraph" w:styleId="104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49" w:customStyle="1">
    <w:name w:val="_Style 36"/>
    <w:next w:val="978"/>
    <w:uiPriority w:val="0"/>
    <w:qFormat/>
    <w:pPr>
      <w:jc w:val="both"/>
      <w:widowControl w:val="off"/>
    </w:pPr>
    <w:rPr>
      <w:rFonts w:ascii="Times New Roman" w:hAnsi="Times New Roman" w:eastAsia="宋体" w:cs="Times New Roman"/>
      <w:sz w:val="21"/>
      <w:lang w:val="en-US" w:eastAsia="zh-CN" w:bidi="ar-SA"/>
    </w:rPr>
  </w:style>
  <w:style w:type="paragraph" w:styleId="1050" w:customStyle="1">
    <w:name w:val="空半行"/>
    <w:basedOn w:val="978"/>
    <w:uiPriority w:val="0"/>
    <w:qFormat/>
    <w:pPr>
      <w:spacing w:line="120" w:lineRule="exact"/>
    </w:pPr>
    <w:rPr>
      <w:rFonts w:ascii="Calibri" w:hAnsi="Calibri" w:eastAsia="仿宋_GB2312"/>
      <w:color w:val="ffffff"/>
      <w:sz w:val="30"/>
      <w:szCs w:val="22"/>
    </w:rPr>
  </w:style>
  <w:style w:type="paragraph" w:styleId="1051" w:customStyle="1">
    <w:name w:val="1方案格式1"/>
    <w:basedOn w:val="979"/>
    <w:uiPriority w:val="0"/>
    <w:qFormat/>
    <w:pPr>
      <w:numPr>
        <w:numId w:val="2"/>
      </w:numPr>
      <w:ind w:left="0" w:firstLine="0"/>
      <w:spacing w:line="360" w:lineRule="auto"/>
      <w:tabs>
        <w:tab w:val="left" w:pos="360" w:leader="none"/>
      </w:tabs>
    </w:pPr>
    <w:rPr>
      <w:rFonts w:eastAsia="微软雅黑"/>
      <w:bCs w:val="0"/>
      <w:sz w:val="48"/>
    </w:rPr>
  </w:style>
  <w:style w:type="paragraph" w:styleId="1052" w:customStyle="1">
    <w:name w:val="格式３"/>
    <w:basedOn w:val="978"/>
    <w:uiPriority w:val="0"/>
    <w:qFormat/>
    <w:pPr>
      <w:ind w:left="600" w:hanging="600"/>
      <w:spacing w:line="420" w:lineRule="exact"/>
    </w:pPr>
    <w:rPr>
      <w:rFonts w:ascii="宋体" w:hAnsi="宋体"/>
      <w:color w:val="000000"/>
      <w:sz w:val="24"/>
      <w:szCs w:val="20"/>
    </w:rPr>
  </w:style>
  <w:style w:type="paragraph" w:styleId="1053" w:customStyle="1">
    <w:name w:val="正文1"/>
    <w:uiPriority w:val="0"/>
    <w:qFormat/>
    <w:pPr>
      <w:jc w:val="both"/>
      <w:widowControl w:val="off"/>
    </w:pPr>
    <w:rPr>
      <w:rFonts w:ascii="Calibri" w:hAnsi="Calibri" w:eastAsia="宋体" w:cs="Times New Roman"/>
      <w:lang w:val="en-US" w:eastAsia="zh-CN" w:bidi="ar-SA"/>
    </w:rPr>
  </w:style>
  <w:style w:type="paragraph" w:styleId="1054" w:customStyle="1">
    <w:name w:val="列出段落111"/>
    <w:basedOn w:val="978"/>
    <w:uiPriority w:val="99"/>
    <w:qFormat/>
    <w:pPr>
      <w:contextualSpacing/>
      <w:ind w:left="720"/>
      <w:jc w:val="left"/>
      <w:widowControl/>
    </w:pPr>
    <w:rPr>
      <w:rFonts w:ascii="Arial" w:hAnsi="Arial" w:eastAsia="黑体"/>
      <w:sz w:val="24"/>
      <w:lang w:eastAsia="en-US"/>
    </w:rPr>
  </w:style>
  <w:style w:type="paragraph" w:styleId="1055" w:customStyle="1">
    <w:name w:val="正文空2字"/>
    <w:basedOn w:val="978"/>
    <w:uiPriority w:val="0"/>
    <w:qFormat/>
    <w:pPr>
      <w:ind w:firstLine="200"/>
      <w:spacing w:line="360" w:lineRule="auto"/>
    </w:pPr>
    <w:rPr>
      <w:sz w:val="24"/>
      <w:lang w:bidi="en-US"/>
    </w:rPr>
  </w:style>
  <w:style w:type="paragraph" w:styleId="105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57" w:customStyle="1">
    <w:name w:val="目录 5_0"/>
    <w:basedOn w:val="1035"/>
    <w:next w:val="1035"/>
    <w:uiPriority w:val="39"/>
    <w:qFormat/>
    <w:pPr>
      <w:ind w:left="1680"/>
    </w:pPr>
    <w:rPr>
      <w:rFonts w:ascii="Calibri" w:hAnsi="Calibri"/>
    </w:rPr>
  </w:style>
  <w:style w:type="paragraph" w:styleId="1058" w:customStyle="1">
    <w:name w:val="修订1"/>
    <w:uiPriority w:val="0"/>
    <w:qFormat/>
    <w:rPr>
      <w:rFonts w:ascii="Times New Roman" w:hAnsi="Times New Roman" w:eastAsia="宋体" w:cs="Times New Roman"/>
      <w:sz w:val="21"/>
      <w:szCs w:val="24"/>
      <w:lang w:val="en-US" w:eastAsia="zh-CN" w:bidi="ar-SA"/>
    </w:rPr>
  </w:style>
  <w:style w:type="paragraph" w:styleId="1059" w:customStyle="1">
    <w:name w:val="标题 11"/>
    <w:basedOn w:val="1053"/>
    <w:next w:val="105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60" w:customStyle="1">
    <w:name w:val="正文 + 行距: 固定值 20 磅"/>
    <w:basedOn w:val="978"/>
    <w:uiPriority w:val="0"/>
    <w:qFormat/>
    <w:pPr>
      <w:ind w:firstLine="716"/>
      <w:spacing w:line="400" w:lineRule="exact"/>
    </w:pPr>
    <w:rPr>
      <w:rFonts w:ascii="Calibri" w:hAnsi="Calibri"/>
      <w:szCs w:val="22"/>
    </w:rPr>
  </w:style>
  <w:style w:type="paragraph" w:styleId="1061" w:customStyle="1">
    <w:name w:val="TOC 标题1"/>
    <w:basedOn w:val="979"/>
    <w:next w:val="97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62" w:customStyle="1">
    <w:name w:val="表格文字"/>
    <w:basedOn w:val="978"/>
    <w:link w:val="1166"/>
    <w:uiPriority w:val="0"/>
    <w:qFormat/>
    <w:pPr>
      <w:jc w:val="left"/>
      <w:spacing w:line="420" w:lineRule="atLeast"/>
    </w:pPr>
    <w:rPr>
      <w:rFonts w:ascii="Calibri" w:hAnsi="Calibri"/>
      <w:szCs w:val="22"/>
    </w:rPr>
  </w:style>
  <w:style w:type="paragraph" w:styleId="1063" w:customStyle="1">
    <w:name w:val="flNote"/>
    <w:basedOn w:val="978"/>
    <w:uiPriority w:val="0"/>
    <w:qFormat/>
    <w:pPr>
      <w:jc w:val="center"/>
      <w:spacing w:before="320" w:after="160" w:line="360" w:lineRule="atLeast"/>
    </w:pPr>
    <w:rPr>
      <w:rFonts w:ascii="Arial" w:hAnsi="Calibri" w:eastAsia="黑体"/>
      <w:sz w:val="30"/>
      <w:szCs w:val="22"/>
    </w:rPr>
  </w:style>
  <w:style w:type="paragraph" w:styleId="1064" w:customStyle="1">
    <w:name w:val="文章正文"/>
    <w:basedOn w:val="978"/>
    <w:uiPriority w:val="99"/>
    <w:qFormat/>
    <w:pPr>
      <w:ind w:firstLine="480"/>
      <w:spacing w:line="360" w:lineRule="auto"/>
    </w:pPr>
    <w:rPr>
      <w:rFonts w:ascii="仿宋_GB2312" w:hAnsi="宋体" w:eastAsia="仿宋_GB2312"/>
      <w:color w:val="ff0000"/>
      <w:sz w:val="24"/>
    </w:rPr>
  </w:style>
  <w:style w:type="paragraph" w:styleId="1065" w:customStyle="1">
    <w:name w:val="表格"/>
    <w:basedOn w:val="978"/>
    <w:uiPriority w:val="0"/>
    <w:qFormat/>
    <w:pPr>
      <w:jc w:val="center"/>
    </w:pPr>
    <w:rPr>
      <w:rFonts w:ascii="华文细黑" w:hAnsi="华文细黑"/>
      <w:szCs w:val="22"/>
    </w:rPr>
  </w:style>
  <w:style w:type="paragraph" w:styleId="1066" w:customStyle="1">
    <w:name w:val="Char"/>
    <w:basedOn w:val="978"/>
    <w:uiPriority w:val="0"/>
    <w:qFormat/>
    <w:pPr>
      <w:jc w:val="left"/>
      <w:spacing w:after="160" w:line="240" w:lineRule="exact"/>
      <w:widowControl/>
    </w:pPr>
    <w:rPr>
      <w:rFonts w:ascii="Verdana" w:hAnsi="Verdana"/>
      <w:sz w:val="20"/>
      <w:szCs w:val="20"/>
      <w:lang w:eastAsia="en-US"/>
    </w:rPr>
  </w:style>
  <w:style w:type="paragraph" w:styleId="106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8" w:customStyle="1">
    <w:name w:val="列出段落2"/>
    <w:basedOn w:val="978"/>
    <w:uiPriority w:val="99"/>
    <w:qFormat/>
    <w:pPr>
      <w:ind w:firstLine="420"/>
    </w:pPr>
  </w:style>
  <w:style w:type="paragraph" w:styleId="1069" w:customStyle="1">
    <w:name w:val="6'"/>
    <w:basedOn w:val="978"/>
    <w:uiPriority w:val="0"/>
    <w:qFormat/>
    <w:pPr>
      <w:jc w:val="center"/>
      <w:spacing w:line="320" w:lineRule="exact"/>
    </w:pPr>
    <w:rPr>
      <w:rFonts w:ascii="Calibri" w:hAnsi="Calibri"/>
      <w:spacing w:val="20"/>
      <w:szCs w:val="22"/>
    </w:rPr>
  </w:style>
  <w:style w:type="paragraph" w:styleId="1070" w:customStyle="1">
    <w:name w:val="Char Char Char Char Char Char Char"/>
    <w:basedOn w:val="978"/>
    <w:uiPriority w:val="0"/>
    <w:qFormat/>
    <w:pPr>
      <w:spacing w:line="360" w:lineRule="auto"/>
    </w:pPr>
    <w:rPr>
      <w:sz w:val="24"/>
      <w:szCs w:val="20"/>
    </w:rPr>
  </w:style>
  <w:style w:type="paragraph" w:styleId="1071" w:customStyle="1">
    <w:name w:val="2方案格式2"/>
    <w:basedOn w:val="1051"/>
    <w:uiPriority w:val="0"/>
    <w:qFormat/>
    <w:pPr>
      <w:numPr>
        <w:ilvl w:val="1"/>
      </w:numPr>
      <w:spacing w:line="240" w:lineRule="auto"/>
      <w:outlineLvl w:val="1"/>
    </w:pPr>
    <w:rPr>
      <w:sz w:val="44"/>
    </w:rPr>
  </w:style>
  <w:style w:type="paragraph" w:styleId="107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文档正文"/>
    <w:basedOn w:val="978"/>
    <w:uiPriority w:val="0"/>
    <w:qFormat/>
    <w:pPr>
      <w:ind w:firstLine="567"/>
      <w:spacing w:line="480" w:lineRule="atLeast"/>
    </w:pPr>
    <w:rPr>
      <w:rFonts w:ascii="Ari" w:eastAsia="Ari"/>
      <w:sz w:val="28"/>
      <w:szCs w:val="20"/>
    </w:rPr>
  </w:style>
  <w:style w:type="paragraph" w:styleId="1074" w:customStyle="1">
    <w:name w:val="txt"/>
    <w:basedOn w:val="978"/>
    <w:uiPriority w:val="0"/>
    <w:qFormat/>
    <w:pPr>
      <w:jc w:val="left"/>
      <w:spacing w:before="100" w:beforeAutospacing="1" w:after="100" w:afterAutospacing="1"/>
      <w:widowControl/>
    </w:pPr>
    <w:rPr>
      <w:rFonts w:ascii="宋体" w:hAnsi="宋体" w:cs="宋体"/>
      <w:sz w:val="24"/>
    </w:rPr>
  </w:style>
  <w:style w:type="paragraph" w:styleId="1075" w:customStyle="1">
    <w:name w:val="目录 4_0"/>
    <w:basedOn w:val="1035"/>
    <w:next w:val="1035"/>
    <w:uiPriority w:val="39"/>
    <w:qFormat/>
    <w:pPr>
      <w:ind w:left="1260"/>
    </w:pPr>
    <w:rPr>
      <w:rFonts w:ascii="Calibri" w:hAnsi="Calibri"/>
    </w:rPr>
  </w:style>
  <w:style w:type="paragraph" w:styleId="1076" w:customStyle="1">
    <w:name w:val="目录 3_0"/>
    <w:basedOn w:val="1035"/>
    <w:next w:val="1035"/>
    <w:uiPriority w:val="39"/>
    <w:qFormat/>
    <w:pPr>
      <w:ind w:left="840"/>
    </w:pPr>
    <w:rPr>
      <w:rFonts w:ascii="Calibri" w:hAnsi="Calibri"/>
    </w:rPr>
  </w:style>
  <w:style w:type="paragraph" w:styleId="1077" w:customStyle="1">
    <w:name w:val="样式 标题 1 + 黑体 三号 非加粗 居中 段前: 6 磅 段后: 6 磅 行距: 固定值 20 磅"/>
    <w:basedOn w:val="979"/>
    <w:uiPriority w:val="0"/>
    <w:qFormat/>
    <w:pPr>
      <w:numPr>
        <w:numId w:val="0"/>
      </w:numPr>
      <w:spacing w:before="120" w:after="120" w:line="400" w:lineRule="exact"/>
    </w:pPr>
    <w:rPr>
      <w:rFonts w:ascii="黑体" w:hAnsi="黑体" w:eastAsia="黑体"/>
      <w:b w:val="0"/>
      <w:bCs w:val="0"/>
      <w:szCs w:val="20"/>
    </w:rPr>
  </w:style>
  <w:style w:type="paragraph" w:styleId="1078" w:customStyle="1">
    <w:name w:val="1"/>
    <w:basedOn w:val="978"/>
    <w:next w:val="978"/>
    <w:uiPriority w:val="0"/>
    <w:qFormat/>
    <w:rPr>
      <w:rFonts w:ascii="Calibri" w:hAnsi="Calibri"/>
      <w:szCs w:val="22"/>
    </w:rPr>
  </w:style>
  <w:style w:type="paragraph" w:styleId="1079" w:customStyle="1">
    <w:name w:val="Blockquote_0"/>
    <w:basedOn w:val="1035"/>
    <w:uiPriority w:val="0"/>
    <w:qFormat/>
    <w:pPr>
      <w:ind w:left="360" w:right="360"/>
      <w:jc w:val="left"/>
      <w:spacing w:before="100" w:after="100"/>
    </w:pPr>
    <w:rPr>
      <w:rFonts w:ascii="Calibri" w:hAnsi="Calibri" w:eastAsia="Times New Roman"/>
      <w:sz w:val="24"/>
      <w:szCs w:val="20"/>
    </w:rPr>
  </w:style>
  <w:style w:type="paragraph" w:styleId="1080" w:customStyle="1">
    <w:name w:val="列出段落11"/>
    <w:basedOn w:val="978"/>
    <w:uiPriority w:val="0"/>
    <w:qFormat/>
    <w:pPr>
      <w:contextualSpacing/>
      <w:ind w:left="720"/>
      <w:jc w:val="left"/>
      <w:widowControl/>
    </w:pPr>
    <w:rPr>
      <w:rFonts w:ascii="Arial" w:hAnsi="Arial" w:eastAsia="黑体"/>
      <w:sz w:val="24"/>
      <w:lang w:eastAsia="en-US"/>
    </w:rPr>
  </w:style>
  <w:style w:type="paragraph" w:styleId="1081" w:customStyle="1">
    <w:name w:val="样式 标题 2 + Times New Roman 四号 非加粗 段前: 5 磅 段后: 0 磅 行距: 固定值 20..._0"/>
    <w:basedOn w:val="978"/>
    <w:uiPriority w:val="0"/>
    <w:qFormat/>
    <w:pPr>
      <w:keepLines/>
      <w:keepNext/>
      <w:spacing w:before="100" w:line="360" w:lineRule="auto"/>
      <w:outlineLvl w:val="1"/>
    </w:pPr>
    <w:rPr>
      <w:rFonts w:eastAsia="Times New Roman" w:cs="宋体"/>
      <w:sz w:val="28"/>
      <w:szCs w:val="20"/>
    </w:rPr>
  </w:style>
  <w:style w:type="paragraph" w:styleId="1082" w:customStyle="1">
    <w:name w:val="op_mapdots_left"/>
    <w:basedOn w:val="978"/>
    <w:uiPriority w:val="0"/>
    <w:qFormat/>
    <w:pPr>
      <w:jc w:val="left"/>
      <w:spacing w:before="100" w:beforeAutospacing="1" w:after="100" w:afterAutospacing="1"/>
      <w:widowControl/>
    </w:pPr>
    <w:rPr>
      <w:rFonts w:ascii="宋体" w:hAnsi="宋体" w:cs="宋体"/>
      <w:sz w:val="24"/>
    </w:rPr>
  </w:style>
  <w:style w:type="paragraph" w:styleId="1083" w:customStyle="1">
    <w:name w:val="p0"/>
    <w:basedOn w:val="978"/>
    <w:uiPriority w:val="0"/>
    <w:qFormat/>
    <w:pPr>
      <w:widowControl/>
    </w:pPr>
    <w:rPr>
      <w:b/>
      <w:bCs/>
      <w:sz w:val="24"/>
    </w:rPr>
  </w:style>
  <w:style w:type="paragraph" w:styleId="1084" w:customStyle="1">
    <w:name w:val="Blockquote"/>
    <w:basedOn w:val="978"/>
    <w:uiPriority w:val="0"/>
    <w:qFormat/>
    <w:pPr>
      <w:ind w:left="360" w:right="360"/>
      <w:jc w:val="left"/>
      <w:spacing w:before="100" w:after="100"/>
    </w:pPr>
    <w:rPr>
      <w:rFonts w:ascii="Calibri" w:hAnsi="Calibri"/>
      <w:sz w:val="24"/>
      <w:szCs w:val="22"/>
    </w:rPr>
  </w:style>
  <w:style w:type="paragraph" w:styleId="1085" w:customStyle="1">
    <w:name w:val="3方案格式3"/>
    <w:basedOn w:val="1071"/>
    <w:uiPriority w:val="0"/>
    <w:qFormat/>
    <w:pPr>
      <w:numPr>
        <w:ilvl w:val="2"/>
      </w:numPr>
      <w:outlineLvl w:val="2"/>
    </w:pPr>
    <w:rPr>
      <w:sz w:val="32"/>
    </w:rPr>
  </w:style>
  <w:style w:type="paragraph" w:styleId="1086" w:customStyle="1">
    <w:name w:val="样式 标题 2 + Times New Roman 四号 非加粗 段前: 5 磅 段后: 0 磅 行距: 固定值 20..."/>
    <w:basedOn w:val="980"/>
    <w:uiPriority w:val="0"/>
    <w:qFormat/>
    <w:pPr>
      <w:numPr>
        <w:numId w:val="0"/>
      </w:numPr>
      <w:spacing w:before="100" w:after="0" w:line="400" w:lineRule="exact"/>
    </w:pPr>
    <w:rPr>
      <w:rFonts w:ascii="Times New Roman" w:hAnsi="Times New Roman" w:eastAsia="黑体"/>
      <w:b w:val="0"/>
      <w:bCs w:val="0"/>
      <w:sz w:val="28"/>
      <w:szCs w:val="20"/>
    </w:rPr>
  </w:style>
  <w:style w:type="paragraph" w:styleId="1087" w:customStyle="1">
    <w:name w:val="标题2"/>
    <w:basedOn w:val="980"/>
    <w:next w:val="997"/>
    <w:uiPriority w:val="0"/>
    <w:qFormat/>
    <w:pPr>
      <w:spacing w:before="156" w:after="156" w:line="360" w:lineRule="auto"/>
    </w:pPr>
    <w:rPr>
      <w:bCs w:val="0"/>
      <w:sz w:val="24"/>
    </w:rPr>
  </w:style>
  <w:style w:type="paragraph" w:styleId="1088" w:customStyle="1">
    <w:name w:val="普通正文"/>
    <w:basedOn w:val="978"/>
    <w:uiPriority w:val="0"/>
    <w:qFormat/>
    <w:pPr>
      <w:ind w:firstLine="480"/>
      <w:jc w:val="left"/>
      <w:spacing w:before="120" w:after="120" w:line="360" w:lineRule="auto"/>
    </w:pPr>
    <w:rPr>
      <w:rFonts w:ascii="Arial" w:hAnsi="Arial"/>
      <w:sz w:val="24"/>
    </w:rPr>
  </w:style>
  <w:style w:type="paragraph" w:styleId="1089" w:customStyle="1">
    <w:name w:val="正文11"/>
    <w:uiPriority w:val="0"/>
    <w:qFormat/>
    <w:rPr>
      <w:rFonts w:ascii="Calibri" w:hAnsi="Calibri" w:eastAsia="宋体" w:cs="Calibri"/>
      <w:sz w:val="24"/>
      <w:szCs w:val="24"/>
      <w:lang w:val="en-US" w:eastAsia="zh-CN" w:bidi="ar-SA"/>
    </w:rPr>
  </w:style>
  <w:style w:type="paragraph" w:styleId="1090" w:customStyle="1">
    <w:name w:val="正文2"/>
    <w:basedOn w:val="978"/>
    <w:uiPriority w:val="0"/>
    <w:qFormat/>
    <w:rPr>
      <w:rFonts w:eastAsia="微软雅黑"/>
      <w:sz w:val="24"/>
    </w:rPr>
  </w:style>
  <w:style w:type="paragraph" w:styleId="1091" w:customStyle="1">
    <w:name w:val="列出段落3"/>
    <w:basedOn w:val="978"/>
    <w:uiPriority w:val="0"/>
    <w:qFormat/>
    <w:pPr>
      <w:ind w:firstLine="420"/>
      <w:jc w:val="left"/>
      <w:spacing w:after="200"/>
      <w:widowControl/>
    </w:pPr>
    <w:rPr>
      <w:rFonts w:ascii="Tahoma" w:hAnsi="Tahoma" w:eastAsia="微软雅黑"/>
      <w:sz w:val="22"/>
      <w:szCs w:val="22"/>
    </w:rPr>
  </w:style>
  <w:style w:type="paragraph" w:styleId="1092" w:customStyle="1">
    <w:name w:val="纯文本2"/>
    <w:basedOn w:val="978"/>
    <w:uiPriority w:val="0"/>
    <w:qFormat/>
    <w:pPr>
      <w:jc w:val="left"/>
    </w:pPr>
    <w:rPr>
      <w:rFonts w:hint="eastAsia" w:ascii="宋体" w:hAnsi="宋体" w:cs="Courier New"/>
      <w:sz w:val="24"/>
      <w:szCs w:val="20"/>
    </w:rPr>
  </w:style>
  <w:style w:type="paragraph" w:styleId="1093" w:customStyle="1">
    <w:name w:val="trs_editor"/>
    <w:basedOn w:val="978"/>
    <w:uiPriority w:val="0"/>
    <w:qFormat/>
    <w:pPr>
      <w:jc w:val="left"/>
      <w:spacing w:before="100" w:beforeAutospacing="1" w:after="100" w:afterAutospacing="1"/>
      <w:widowControl/>
    </w:pPr>
    <w:rPr>
      <w:rFonts w:ascii="宋体" w:hAnsi="宋体" w:cs="宋体"/>
      <w:sz w:val="24"/>
    </w:rPr>
  </w:style>
  <w:style w:type="character" w:styleId="1094" w:customStyle="1">
    <w:name w:val="明显强调1"/>
    <w:uiPriority w:val="0"/>
    <w:qFormat/>
    <w:rPr>
      <w:b/>
      <w:bCs/>
      <w:i/>
      <w:iCs/>
      <w:color w:val="4f81bd"/>
    </w:rPr>
  </w:style>
  <w:style w:type="character" w:styleId="1095" w:customStyle="1">
    <w:name w:val="批注文字 Char2"/>
    <w:uiPriority w:val="0"/>
    <w:qFormat/>
    <w:rPr>
      <w:sz w:val="21"/>
    </w:rPr>
  </w:style>
  <w:style w:type="character" w:styleId="1096" w:customStyle="1">
    <w:name w:val="标题 3 Char_0"/>
    <w:link w:val="1034"/>
    <w:uiPriority w:val="0"/>
    <w:qFormat/>
    <w:rPr>
      <w:b/>
      <w:bCs/>
      <w:sz w:val="32"/>
      <w:szCs w:val="32"/>
    </w:rPr>
  </w:style>
  <w:style w:type="character" w:styleId="1097" w:customStyle="1">
    <w:name w:val="标题 2 Char"/>
    <w:link w:val="980"/>
    <w:uiPriority w:val="0"/>
    <w:qFormat/>
    <w:rPr>
      <w:rFonts w:ascii="Cambria" w:hAnsi="Cambria"/>
      <w:b/>
      <w:bCs/>
      <w:sz w:val="32"/>
      <w:szCs w:val="32"/>
    </w:rPr>
  </w:style>
  <w:style w:type="character" w:styleId="1098" w:customStyle="1">
    <w:name w:val="正文文本 Char2"/>
    <w:uiPriority w:val="99"/>
    <w:semiHidden/>
    <w:qFormat/>
    <w:rPr>
      <w:rFonts w:ascii="Calibri" w:hAnsi="Calibri" w:eastAsia="宋体" w:cs="Times New Roman"/>
    </w:rPr>
  </w:style>
  <w:style w:type="character" w:styleId="1099" w:customStyle="1">
    <w:name w:val="页脚 Char1"/>
    <w:uiPriority w:val="99"/>
    <w:semiHidden/>
    <w:qFormat/>
    <w:rPr>
      <w:rFonts w:ascii="Calibri" w:hAnsi="Calibri" w:eastAsia="宋体" w:cs="Times New Roman"/>
      <w:sz w:val="18"/>
      <w:szCs w:val="18"/>
    </w:rPr>
  </w:style>
  <w:style w:type="character" w:styleId="1100" w:customStyle="1">
    <w:name w:val="明显引用 Char2"/>
    <w:uiPriority w:val="99"/>
    <w:qFormat/>
    <w:rPr>
      <w:b/>
      <w:bCs/>
      <w:i/>
      <w:iCs/>
      <w:color w:val="4f81bd"/>
      <w:sz w:val="21"/>
      <w:szCs w:val="24"/>
    </w:rPr>
  </w:style>
  <w:style w:type="character" w:styleId="1101" w:customStyle="1">
    <w:name w:val="引用 Char"/>
    <w:link w:val="1036"/>
    <w:uiPriority w:val="0"/>
    <w:qFormat/>
    <w:rPr>
      <w:i/>
      <w:iCs/>
      <w:color w:val="000000"/>
    </w:rPr>
  </w:style>
  <w:style w:type="character" w:styleId="1102" w:customStyle="1">
    <w:name w:val="标题 1 Char_0"/>
    <w:link w:val="1037"/>
    <w:uiPriority w:val="0"/>
    <w:qFormat/>
    <w:rPr>
      <w:b/>
      <w:bCs/>
      <w:sz w:val="44"/>
      <w:szCs w:val="44"/>
    </w:rPr>
  </w:style>
  <w:style w:type="character" w:styleId="1103" w:customStyle="1">
    <w:name w:val="正文文本缩进 3 Char1"/>
    <w:uiPriority w:val="99"/>
    <w:semiHidden/>
    <w:qFormat/>
    <w:rPr>
      <w:sz w:val="16"/>
      <w:szCs w:val="16"/>
    </w:rPr>
  </w:style>
  <w:style w:type="character" w:styleId="1104" w:customStyle="1">
    <w:name w:val="引用 Char1"/>
    <w:uiPriority w:val="29"/>
    <w:qFormat/>
    <w:rPr>
      <w:i/>
      <w:iCs/>
      <w:color w:val="000000"/>
      <w:sz w:val="21"/>
    </w:rPr>
  </w:style>
  <w:style w:type="character" w:styleId="1105" w:customStyle="1">
    <w:name w:val="正文文本缩进 Char"/>
    <w:link w:val="998"/>
    <w:uiPriority w:val="0"/>
    <w:qFormat/>
    <w:rPr>
      <w:sz w:val="21"/>
      <w:szCs w:val="24"/>
    </w:rPr>
  </w:style>
  <w:style w:type="character" w:styleId="1106" w:customStyle="1">
    <w:name w:val="font161"/>
    <w:uiPriority w:val="0"/>
    <w:qFormat/>
    <w:rPr>
      <w:b/>
      <w:sz w:val="32"/>
    </w:rPr>
  </w:style>
  <w:style w:type="character" w:styleId="1107" w:customStyle="1">
    <w:name w:val="标题 4 Char_0"/>
    <w:link w:val="1038"/>
    <w:uiPriority w:val="0"/>
    <w:qFormat/>
    <w:rPr>
      <w:rFonts w:ascii="Arial" w:hAnsi="Arial" w:eastAsia="黑体"/>
      <w:b/>
      <w:bCs/>
      <w:sz w:val="28"/>
      <w:szCs w:val="28"/>
    </w:rPr>
  </w:style>
  <w:style w:type="character" w:styleId="1108" w:customStyle="1">
    <w:name w:val="页眉 Char"/>
    <w:link w:val="1009"/>
    <w:uiPriority w:val="99"/>
    <w:qFormat/>
    <w:rPr>
      <w:sz w:val="18"/>
      <w:szCs w:val="18"/>
    </w:rPr>
  </w:style>
  <w:style w:type="character" w:styleId="1109" w:customStyle="1">
    <w:name w:val="标题 6 Char"/>
    <w:link w:val="984"/>
    <w:uiPriority w:val="0"/>
    <w:qFormat/>
    <w:rPr>
      <w:rFonts w:ascii="Cambria" w:hAnsi="Cambria" w:eastAsia="宋体" w:cs="Times New Roman"/>
      <w:b/>
      <w:bCs/>
      <w:sz w:val="24"/>
      <w:szCs w:val="24"/>
    </w:rPr>
  </w:style>
  <w:style w:type="character" w:styleId="1110" w:customStyle="1">
    <w:name w:val="纯文本 Char"/>
    <w:link w:val="1003"/>
    <w:uiPriority w:val="0"/>
    <w:qFormat/>
    <w:rPr>
      <w:rFonts w:ascii="Ari"/>
      <w:lang w:val="en-US" w:eastAsia="zh-CN" w:bidi="ar-SA"/>
    </w:rPr>
  </w:style>
  <w:style w:type="character" w:styleId="1111" w:customStyle="1">
    <w:name w:val="引用 Char2"/>
    <w:uiPriority w:val="99"/>
    <w:qFormat/>
    <w:rPr>
      <w:i/>
      <w:iCs/>
      <w:color w:val="000000"/>
      <w:sz w:val="21"/>
      <w:szCs w:val="24"/>
    </w:rPr>
  </w:style>
  <w:style w:type="character" w:styleId="1112" w:customStyle="1">
    <w:name w:val="rvts11"/>
    <w:uiPriority w:val="0"/>
    <w:qFormat/>
    <w:rPr>
      <w:rFonts w:hint="default" w:ascii="KNLe" w:hAnsi="KNLe"/>
      <w:sz w:val="24"/>
      <w:szCs w:val="24"/>
      <w:u w:val="single"/>
    </w:rPr>
  </w:style>
  <w:style w:type="character" w:styleId="1113" w:customStyle="1">
    <w:name w:val="标题 Char"/>
    <w:link w:val="1020"/>
    <w:uiPriority w:val="0"/>
    <w:qFormat/>
    <w:rPr>
      <w:rFonts w:ascii="Arial" w:hAnsi="Arial"/>
      <w:b/>
      <w:sz w:val="32"/>
    </w:rPr>
  </w:style>
  <w:style w:type="character" w:styleId="1114" w:customStyle="1">
    <w:name w:val="标题5 Char Char"/>
    <w:link w:val="1039"/>
    <w:uiPriority w:val="0"/>
    <w:qFormat/>
    <w:rPr>
      <w:rFonts w:ascii="Arial" w:hAnsi="Arial"/>
      <w:b/>
      <w:bCs/>
      <w:sz w:val="24"/>
      <w:szCs w:val="32"/>
    </w:rPr>
  </w:style>
  <w:style w:type="character" w:styleId="1115" w:customStyle="1">
    <w:name w:val="副标题 Char2"/>
    <w:uiPriority w:val="11"/>
    <w:qFormat/>
    <w:rPr>
      <w:rFonts w:ascii="Cambria" w:hAnsi="Cambria" w:cs="Times New Roman"/>
      <w:b/>
      <w:bCs/>
      <w:sz w:val="32"/>
      <w:szCs w:val="32"/>
    </w:rPr>
  </w:style>
  <w:style w:type="character" w:styleId="1116" w:customStyle="1">
    <w:name w:val="文档结构图 Char"/>
    <w:link w:val="994"/>
    <w:uiPriority w:val="0"/>
    <w:qFormat/>
    <w:rPr>
      <w:rFonts w:ascii="宋体"/>
      <w:sz w:val="18"/>
      <w:szCs w:val="18"/>
    </w:rPr>
  </w:style>
  <w:style w:type="character" w:styleId="1117" w:customStyle="1">
    <w:name w:val="日期 Char"/>
    <w:link w:val="1005"/>
    <w:uiPriority w:val="0"/>
    <w:qFormat/>
    <w:rPr>
      <w:sz w:val="21"/>
      <w:szCs w:val="24"/>
    </w:rPr>
  </w:style>
  <w:style w:type="character" w:styleId="1118" w:customStyle="1">
    <w:name w:val="批注主题 Char1"/>
    <w:uiPriority w:val="0"/>
    <w:qFormat/>
    <w:rPr>
      <w:b/>
      <w:bCs/>
      <w:sz w:val="21"/>
      <w:szCs w:val="22"/>
    </w:rPr>
  </w:style>
  <w:style w:type="character" w:styleId="1119" w:customStyle="1">
    <w:name w:val="font31"/>
    <w:uiPriority w:val="0"/>
    <w:qFormat/>
    <w:rPr>
      <w:rFonts w:hint="eastAsia" w:ascii="宋体" w:hAnsi="宋体" w:eastAsia="宋体" w:cs="宋体"/>
      <w:color w:val="000000"/>
      <w:sz w:val="20"/>
      <w:szCs w:val="20"/>
      <w:u w:val="none"/>
    </w:rPr>
  </w:style>
  <w:style w:type="character" w:styleId="1120" w:customStyle="1">
    <w:name w:val="明显引用 Char"/>
    <w:link w:val="1040"/>
    <w:uiPriority w:val="0"/>
    <w:qFormat/>
    <w:rPr>
      <w:b/>
      <w:bCs/>
      <w:i/>
      <w:iCs/>
      <w:color w:val="4f81bd"/>
    </w:rPr>
  </w:style>
  <w:style w:type="character" w:styleId="1121" w:customStyle="1">
    <w:name w:val="标题 5 Char"/>
    <w:link w:val="983"/>
    <w:uiPriority w:val="0"/>
    <w:qFormat/>
    <w:rPr>
      <w:b/>
      <w:bCs/>
      <w:sz w:val="28"/>
      <w:szCs w:val="28"/>
    </w:rPr>
  </w:style>
  <w:style w:type="character" w:styleId="1122" w:customStyle="1">
    <w:name w:val="日期 Char1"/>
    <w:uiPriority w:val="0"/>
    <w:qFormat/>
    <w:rPr>
      <w:rFonts w:ascii="Calibri" w:hAnsi="Calibri" w:eastAsia="宋体" w:cs="Times New Roman"/>
    </w:rPr>
  </w:style>
  <w:style w:type="character" w:styleId="1123" w:customStyle="1">
    <w:name w:val="批注框文本 Char1"/>
    <w:uiPriority w:val="0"/>
    <w:qFormat/>
    <w:rPr>
      <w:sz w:val="18"/>
      <w:szCs w:val="18"/>
    </w:rPr>
  </w:style>
  <w:style w:type="character" w:styleId="1124" w:customStyle="1">
    <w:name w:val="标题 Char1"/>
    <w:uiPriority w:val="10"/>
    <w:qFormat/>
    <w:rPr>
      <w:rFonts w:ascii="Cambria" w:hAnsi="Cambria" w:eastAsia="宋体" w:cs="Times New Roman"/>
      <w:b/>
      <w:bCs/>
      <w:sz w:val="32"/>
      <w:szCs w:val="32"/>
    </w:rPr>
  </w:style>
  <w:style w:type="character" w:styleId="1125" w:customStyle="1">
    <w:name w:val="标题 9 Char"/>
    <w:link w:val="987"/>
    <w:uiPriority w:val="0"/>
    <w:qFormat/>
    <w:rPr>
      <w:rFonts w:ascii="Cambria" w:hAnsi="Cambria" w:eastAsia="宋体" w:cs="Times New Roman"/>
      <w:sz w:val="21"/>
      <w:szCs w:val="21"/>
    </w:rPr>
  </w:style>
  <w:style w:type="character" w:styleId="1126" w:customStyle="1">
    <w:name w:val="不明显参考1"/>
    <w:uiPriority w:val="0"/>
    <w:qFormat/>
    <w:rPr>
      <w:smallCaps/>
      <w:color w:val="c0504d"/>
      <w:u w:val="single"/>
    </w:rPr>
  </w:style>
  <w:style w:type="character" w:styleId="1127" w:customStyle="1">
    <w:name w:val="批注文字 Char1"/>
    <w:uiPriority w:val="0"/>
    <w:qFormat/>
    <w:rPr>
      <w:rFonts w:ascii="Calibri" w:hAnsi="Calibri" w:eastAsia="宋体" w:cs="Times New Roman"/>
    </w:rPr>
  </w:style>
  <w:style w:type="character" w:styleId="1128" w:customStyle="1">
    <w:name w:val="标题 Char2"/>
    <w:uiPriority w:val="10"/>
    <w:qFormat/>
    <w:rPr>
      <w:rFonts w:ascii="Cambria" w:hAnsi="Cambria" w:cs="Times New Roman"/>
      <w:b/>
      <w:bCs/>
      <w:sz w:val="32"/>
      <w:szCs w:val="32"/>
    </w:rPr>
  </w:style>
  <w:style w:type="character" w:styleId="1129" w:customStyle="1">
    <w:name w:val="正文文本 3 Char1"/>
    <w:uiPriority w:val="99"/>
    <w:semiHidden/>
    <w:qFormat/>
    <w:rPr>
      <w:sz w:val="16"/>
      <w:szCs w:val="16"/>
    </w:rPr>
  </w:style>
  <w:style w:type="character" w:styleId="1130" w:customStyle="1">
    <w:name w:val="批注主题 Char2"/>
    <w:uiPriority w:val="0"/>
    <w:qFormat/>
    <w:rPr>
      <w:b/>
      <w:bCs/>
      <w:sz w:val="21"/>
    </w:rPr>
  </w:style>
  <w:style w:type="character" w:styleId="1131" w:customStyle="1">
    <w:name w:val="标题 3 Char"/>
    <w:link w:val="981"/>
    <w:uiPriority w:val="0"/>
    <w:qFormat/>
    <w:rPr>
      <w:b/>
      <w:bCs/>
      <w:sz w:val="32"/>
      <w:szCs w:val="32"/>
    </w:rPr>
  </w:style>
  <w:style w:type="character" w:styleId="1132" w:customStyle="1">
    <w:name w:val="正文文本 Char_0"/>
    <w:link w:val="1041"/>
    <w:uiPriority w:val="0"/>
    <w:qFormat/>
    <w:rPr>
      <w:szCs w:val="24"/>
    </w:rPr>
  </w:style>
  <w:style w:type="character" w:styleId="1133" w:customStyle="1">
    <w:name w:val="副标题 Char"/>
    <w:link w:val="1012"/>
    <w:uiPriority w:val="0"/>
    <w:qFormat/>
    <w:rPr>
      <w:rFonts w:ascii="Cambria" w:hAnsi="Cambria"/>
      <w:b/>
      <w:bCs/>
      <w:sz w:val="32"/>
      <w:szCs w:val="32"/>
    </w:rPr>
  </w:style>
  <w:style w:type="character" w:styleId="1134" w:customStyle="1">
    <w:name w:val="bookmark"/>
    <w:basedOn w:val="988"/>
    <w:uiPriority w:val="0"/>
    <w:qFormat/>
  </w:style>
  <w:style w:type="character" w:styleId="1135" w:customStyle="1">
    <w:name w:val="标题 5 Char_0"/>
    <w:link w:val="1042"/>
    <w:uiPriority w:val="0"/>
    <w:qFormat/>
    <w:rPr>
      <w:rFonts w:ascii="Calibri" w:hAnsi="Calibri"/>
      <w:b/>
      <w:bCs/>
      <w:sz w:val="28"/>
      <w:szCs w:val="28"/>
    </w:rPr>
  </w:style>
  <w:style w:type="character" w:styleId="1136" w:customStyle="1">
    <w:name w:val="正文文本缩进 2 Char"/>
    <w:link w:val="1006"/>
    <w:uiPriority w:val="99"/>
    <w:qFormat/>
    <w:rPr>
      <w:rFonts w:ascii="宋体"/>
    </w:rPr>
  </w:style>
  <w:style w:type="character" w:styleId="1137" w:customStyle="1">
    <w:name w:val="批注文字 Char"/>
    <w:link w:val="995"/>
    <w:uiPriority w:val="99"/>
    <w:qFormat/>
    <w:rPr>
      <w:sz w:val="21"/>
      <w:szCs w:val="24"/>
    </w:rPr>
  </w:style>
  <w:style w:type="character" w:styleId="1138" w:customStyle="1">
    <w:name w:val="font11"/>
    <w:uiPriority w:val="0"/>
    <w:qFormat/>
    <w:rPr>
      <w:rFonts w:hint="eastAsia" w:ascii="宋体" w:hAnsi="宋体" w:eastAsia="宋体" w:cs="宋体"/>
      <w:color w:val="000000"/>
      <w:sz w:val="20"/>
      <w:szCs w:val="20"/>
      <w:u w:val="none"/>
    </w:rPr>
  </w:style>
  <w:style w:type="character" w:styleId="1139" w:customStyle="1">
    <w:name w:val="明显参考1"/>
    <w:uiPriority w:val="0"/>
    <w:qFormat/>
    <w:rPr>
      <w:b/>
      <w:bCs/>
      <w:smallCaps/>
      <w:color w:val="c0504d"/>
      <w:spacing w:val="5"/>
      <w:u w:val="single"/>
    </w:rPr>
  </w:style>
  <w:style w:type="character" w:styleId="1140" w:customStyle="1">
    <w:name w:val="超链接_0"/>
    <w:uiPriority w:val="99"/>
    <w:qFormat/>
    <w:rPr>
      <w:rFonts w:ascii="Calibri" w:hAnsi="Calibri"/>
      <w:color w:val="0000ff"/>
      <w:u w:val="single"/>
    </w:rPr>
  </w:style>
  <w:style w:type="character" w:styleId="1141" w:customStyle="1">
    <w:name w:val="文档结构图 Char2"/>
    <w:uiPriority w:val="99"/>
    <w:semiHidden/>
    <w:qFormat/>
    <w:rPr>
      <w:rFonts w:ascii="宋体" w:hAnsi="Calibri" w:eastAsia="宋体" w:cs="Times New Roman"/>
      <w:sz w:val="18"/>
      <w:szCs w:val="18"/>
    </w:rPr>
  </w:style>
  <w:style w:type="character" w:styleId="1142" w:customStyle="1">
    <w:name w:val="textcontents"/>
    <w:uiPriority w:val="0"/>
    <w:qFormat/>
    <w:rPr>
      <w:rFonts w:cs="Times New Roman"/>
    </w:rPr>
  </w:style>
  <w:style w:type="character" w:styleId="1143" w:customStyle="1">
    <w:name w:val="正文文本 Char"/>
    <w:link w:val="997"/>
    <w:uiPriority w:val="0"/>
    <w:qFormat/>
    <w:rPr>
      <w:rFonts w:eastAsia="幼圆"/>
      <w:b/>
      <w:bCs/>
      <w:sz w:val="44"/>
      <w:szCs w:val="24"/>
    </w:rPr>
  </w:style>
  <w:style w:type="character" w:styleId="1144" w:customStyle="1">
    <w:name w:val="标题 8 Char"/>
    <w:link w:val="986"/>
    <w:uiPriority w:val="0"/>
    <w:qFormat/>
    <w:rPr>
      <w:rFonts w:ascii="Cambria" w:hAnsi="Cambria" w:eastAsia="宋体" w:cs="Times New Roman"/>
      <w:sz w:val="24"/>
      <w:szCs w:val="24"/>
    </w:rPr>
  </w:style>
  <w:style w:type="character" w:styleId="1145" w:customStyle="1">
    <w:name w:val="副标题 Char1"/>
    <w:uiPriority w:val="11"/>
    <w:qFormat/>
    <w:rPr>
      <w:rFonts w:ascii="Cambria" w:hAnsi="Cambria" w:cs="Times New Roman"/>
      <w:b/>
      <w:bCs/>
      <w:sz w:val="32"/>
      <w:szCs w:val="32"/>
    </w:rPr>
  </w:style>
  <w:style w:type="character" w:styleId="1146" w:customStyle="1">
    <w:name w:val="批注主题 Char"/>
    <w:link w:val="1021"/>
    <w:uiPriority w:val="0"/>
    <w:qFormat/>
    <w:rPr>
      <w:b/>
      <w:bCs/>
      <w:sz w:val="21"/>
      <w:szCs w:val="24"/>
    </w:rPr>
  </w:style>
  <w:style w:type="character" w:styleId="1147" w:customStyle="1">
    <w:name w:val="书籍标题1"/>
    <w:uiPriority w:val="0"/>
    <w:qFormat/>
    <w:rPr>
      <w:b/>
      <w:bCs/>
      <w:smallCaps/>
      <w:spacing w:val="5"/>
    </w:rPr>
  </w:style>
  <w:style w:type="character" w:styleId="1148" w:customStyle="1">
    <w:name w:val="页脚 Char"/>
    <w:link w:val="1008"/>
    <w:uiPriority w:val="99"/>
    <w:qFormat/>
    <w:rPr>
      <w:sz w:val="18"/>
      <w:szCs w:val="18"/>
    </w:rPr>
  </w:style>
  <w:style w:type="character" w:styleId="1149" w:customStyle="1">
    <w:name w:val="标题4 Char Char"/>
    <w:link w:val="1043"/>
    <w:uiPriority w:val="0"/>
    <w:qFormat/>
    <w:rPr>
      <w:rFonts w:ascii="Arial" w:hAnsi="Arial"/>
      <w:b/>
      <w:bCs/>
      <w:sz w:val="24"/>
      <w:szCs w:val="32"/>
    </w:rPr>
  </w:style>
  <w:style w:type="character" w:styleId="1150" w:customStyle="1">
    <w:name w:val="正文文本 Char1"/>
    <w:uiPriority w:val="0"/>
    <w:qFormat/>
    <w:rPr>
      <w:rFonts w:ascii="Calibri" w:hAnsi="Calibri" w:eastAsia="宋体" w:cs="Times New Roman"/>
    </w:rPr>
  </w:style>
  <w:style w:type="character" w:styleId="1151" w:customStyle="1">
    <w:name w:val="明显引用 Char1"/>
    <w:uiPriority w:val="30"/>
    <w:qFormat/>
    <w:rPr>
      <w:b/>
      <w:bCs/>
      <w:i/>
      <w:iCs/>
      <w:color w:val="4f81bd"/>
      <w:sz w:val="21"/>
    </w:rPr>
  </w:style>
  <w:style w:type="character" w:styleId="1152" w:customStyle="1">
    <w:name w:val="页眉 Char1"/>
    <w:uiPriority w:val="99"/>
    <w:semiHidden/>
    <w:qFormat/>
    <w:rPr>
      <w:rFonts w:ascii="Calibri" w:hAnsi="Calibri" w:eastAsia="宋体" w:cs="Times New Roman"/>
      <w:sz w:val="18"/>
      <w:szCs w:val="18"/>
    </w:rPr>
  </w:style>
  <w:style w:type="character" w:styleId="1153" w:customStyle="1">
    <w:name w:val="不明显强调1"/>
    <w:uiPriority w:val="0"/>
    <w:qFormat/>
    <w:rPr>
      <w:i/>
      <w:iCs/>
      <w:color w:val="808080"/>
    </w:rPr>
  </w:style>
  <w:style w:type="character" w:styleId="1154" w:customStyle="1">
    <w:name w:val="正文文本 3 Char"/>
    <w:link w:val="996"/>
    <w:uiPriority w:val="0"/>
    <w:qFormat/>
    <w:rPr>
      <w:rFonts w:ascii="宋体"/>
      <w:sz w:val="24"/>
    </w:rPr>
  </w:style>
  <w:style w:type="character" w:styleId="1155" w:customStyle="1">
    <w:name w:val="正文文本缩进 3 Char"/>
    <w:link w:val="1014"/>
    <w:uiPriority w:val="0"/>
    <w:qFormat/>
    <w:rPr>
      <w:sz w:val="16"/>
    </w:rPr>
  </w:style>
  <w:style w:type="character" w:styleId="1156" w:customStyle="1">
    <w:name w:val="font21"/>
    <w:uiPriority w:val="0"/>
    <w:qFormat/>
    <w:rPr>
      <w:rFonts w:hint="eastAsia" w:ascii="宋体" w:hAnsi="宋体" w:eastAsia="宋体" w:cs="宋体"/>
      <w:color w:val="000000"/>
      <w:sz w:val="20"/>
      <w:szCs w:val="20"/>
      <w:u w:val="none"/>
    </w:rPr>
  </w:style>
  <w:style w:type="character" w:styleId="1157" w:customStyle="1">
    <w:name w:val="批注框文本 Char"/>
    <w:link w:val="1007"/>
    <w:uiPriority w:val="0"/>
    <w:qFormat/>
    <w:rPr>
      <w:sz w:val="18"/>
      <w:szCs w:val="18"/>
    </w:rPr>
  </w:style>
  <w:style w:type="character" w:styleId="1158" w:customStyle="1">
    <w:name w:val="标题 7 Char"/>
    <w:link w:val="985"/>
    <w:uiPriority w:val="0"/>
    <w:qFormat/>
    <w:rPr>
      <w:b/>
      <w:bCs/>
      <w:sz w:val="24"/>
      <w:szCs w:val="24"/>
    </w:rPr>
  </w:style>
  <w:style w:type="character" w:styleId="1159" w:customStyle="1">
    <w:name w:val="标题 1 Char1"/>
    <w:link w:val="979"/>
    <w:uiPriority w:val="0"/>
    <w:qFormat/>
    <w:rPr>
      <w:rFonts w:ascii="Times New Roman" w:hAnsi="Times New Roman" w:eastAsia="宋体" w:cs="Times New Roman"/>
      <w:b/>
      <w:bCs/>
      <w:sz w:val="32"/>
      <w:szCs w:val="44"/>
    </w:rPr>
  </w:style>
  <w:style w:type="character" w:styleId="1160" w:customStyle="1">
    <w:name w:val="文档结构图 Char1"/>
    <w:uiPriority w:val="0"/>
    <w:qFormat/>
    <w:rPr>
      <w:rFonts w:ascii="宋体" w:hAnsi="Calibri" w:eastAsia="宋体" w:cs="Times New Roman"/>
      <w:sz w:val="18"/>
      <w:szCs w:val="18"/>
    </w:rPr>
  </w:style>
  <w:style w:type="character" w:styleId="1161" w:customStyle="1">
    <w:name w:val="标题 2 Char_0"/>
    <w:link w:val="1044"/>
    <w:uiPriority w:val="0"/>
    <w:qFormat/>
    <w:rPr>
      <w:rFonts w:ascii="Cambria" w:hAnsi="Cambria"/>
      <w:b/>
      <w:bCs/>
      <w:sz w:val="32"/>
      <w:szCs w:val="32"/>
    </w:rPr>
  </w:style>
  <w:style w:type="character" w:styleId="1162" w:customStyle="1">
    <w:name w:val="日期 Char2"/>
    <w:uiPriority w:val="99"/>
    <w:semiHidden/>
    <w:qFormat/>
    <w:rPr>
      <w:rFonts w:ascii="Calibri" w:hAnsi="Calibri" w:eastAsia="宋体" w:cs="Times New Roman"/>
    </w:rPr>
  </w:style>
  <w:style w:type="character" w:styleId="1163" w:customStyle="1">
    <w:name w:val="批注框文本 Char2"/>
    <w:uiPriority w:val="99"/>
    <w:semiHidden/>
    <w:qFormat/>
    <w:rPr>
      <w:rFonts w:ascii="Calibri" w:hAnsi="Calibri" w:eastAsia="宋体" w:cs="Times New Roman"/>
      <w:sz w:val="18"/>
      <w:szCs w:val="18"/>
    </w:rPr>
  </w:style>
  <w:style w:type="character" w:styleId="1164" w:customStyle="1">
    <w:name w:val="标题 4 Char"/>
    <w:link w:val="982"/>
    <w:uiPriority w:val="0"/>
    <w:qFormat/>
    <w:rPr>
      <w:rFonts w:ascii="Cambria" w:hAnsi="Cambria" w:eastAsia="宋体" w:cs="Times New Roman"/>
      <w:b/>
      <w:bCs/>
      <w:sz w:val="28"/>
      <w:szCs w:val="28"/>
    </w:rPr>
  </w:style>
  <w:style w:type="character" w:styleId="1165" w:customStyle="1">
    <w:name w:val="列出段落 Char"/>
    <w:link w:val="1045"/>
    <w:uiPriority w:val="99"/>
    <w:qFormat/>
    <w:rPr>
      <w:sz w:val="21"/>
      <w:szCs w:val="24"/>
    </w:rPr>
  </w:style>
  <w:style w:type="character" w:styleId="1166" w:customStyle="1">
    <w:name w:val="表格文字 字符"/>
    <w:link w:val="1062"/>
    <w:uiPriority w:val="0"/>
    <w:qFormat/>
    <w:rPr>
      <w:rFonts w:ascii="Calibri" w:hAnsi="Calibri" w:eastAsia="宋体" w:cs="Times New Roman"/>
      <w:sz w:val="21"/>
      <w:szCs w:val="22"/>
    </w:rPr>
  </w:style>
  <w:style w:type="paragraph" w:styleId="1167"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68" w:customStyle="1">
    <w:name w:val="正文首行缩进 Char"/>
    <w:basedOn w:val="1143"/>
    <w:link w:val="1022"/>
    <w:uiPriority w:val="0"/>
    <w:semiHidden/>
    <w:qFormat/>
    <w:rPr>
      <w:rFonts w:eastAsia="幼圆"/>
      <w:b w:val="0"/>
      <w:bCs w:val="0"/>
      <w:sz w:val="21"/>
      <w:szCs w:val="24"/>
    </w:rPr>
  </w:style>
  <w:style w:type="character" w:styleId="1169" w:customStyle="1">
    <w:name w:val="未处理的提及1"/>
    <w:basedOn w:val="988"/>
    <w:uiPriority w:val="99"/>
    <w:semiHidden/>
    <w:unhideWhenUsed/>
    <w:qFormat/>
    <w:rPr>
      <w:color w:val="605e5c"/>
      <w:shd w:val="clear" w:color="auto" w:fill="e1dfdd"/>
    </w:rPr>
  </w:style>
  <w:style w:type="paragraph" w:styleId="1170" w:customStyle="1">
    <w:name w:val="TOC 标题2"/>
    <w:basedOn w:val="979"/>
    <w:next w:val="978"/>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171">
    <w:name w:val="List Paragraph"/>
    <w:basedOn w:val="978"/>
    <w:uiPriority w:val="99"/>
    <w:qFormat/>
    <w:pPr>
      <w:ind w:firstLine="420"/>
    </w:pPr>
    <w:rPr>
      <w:rFonts w:ascii="Calibri" w:hAnsi="Calibri"/>
      <w:szCs w:val="22"/>
    </w:rPr>
  </w:style>
  <w:style w:type="character" w:styleId="1172" w:customStyle="1">
    <w:name w:val="正文缩进 Char"/>
    <w:link w:val="992"/>
    <w:uiPriority w:val="0"/>
    <w:qFormat/>
    <w:rPr>
      <w:b/>
      <w:sz w:val="24"/>
    </w:rPr>
  </w:style>
  <w:style w:type="paragraph" w:styleId="117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7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75" w:customStyle="1">
    <w:name w:val="修订5"/>
    <w:hidden/>
    <w:uiPriority w:val="99"/>
    <w:unhideWhenUsed/>
    <w:qFormat/>
    <w:rPr>
      <w:rFonts w:ascii="Times New Roman" w:hAnsi="Times New Roman" w:eastAsia="宋体" w:cs="Times New Roman"/>
      <w:sz w:val="21"/>
      <w:szCs w:val="24"/>
      <w:lang w:val="en-US" w:eastAsia="zh-CN" w:bidi="ar-SA"/>
    </w:r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905CD-7584-4843-B7E4-22EEFAA1252C}"/>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张近</cp:lastModifiedBy>
  <cp:revision>477</cp:revision>
  <dcterms:created xsi:type="dcterms:W3CDTF">2020-06-24T05:04:00Z</dcterms:created>
  <dcterms:modified xsi:type="dcterms:W3CDTF">2026-09-29T09:33:12Z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130BDFB9A85B40B6A7412188D931498B_13</vt:lpwstr>
  </property>
  <property fmtid="{D5CDD505-2E9C-101B-9397-08002B2CF9AE}" pid="4" name="KSOTemplateDocerSaveRecord">
    <vt:lpwstr>eyJoZGlkIjoiM2JiMzkzMTc0ODczMzFmZDU2Zjg4ZTllMWQ3ZTMwZmUiLCJ1c2VySWQiOiI1Mzg2ODMwOTkifQ==</vt:lpwstr>
  </property>
</Properties>
</file>